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8D81" w14:textId="6B8395EF" w:rsidR="00B47827" w:rsidRPr="00967AC5" w:rsidRDefault="000F5E76">
      <w:pPr>
        <w:jc w:val="center"/>
        <w:rPr>
          <w:lang w:val="en-GB"/>
        </w:rPr>
      </w:pPr>
      <w:r w:rsidRPr="00967AC5">
        <w:rPr>
          <w:noProof/>
          <w:lang w:val="en-GB"/>
        </w:rPr>
        <w:drawing>
          <wp:anchor distT="0" distB="0" distL="114300" distR="114300" simplePos="0" relativeHeight="251658251" behindDoc="0" locked="0" layoutInCell="1" allowOverlap="1" wp14:anchorId="0B672301" wp14:editId="46120451">
            <wp:simplePos x="0" y="0"/>
            <wp:positionH relativeFrom="page">
              <wp:posOffset>5799546</wp:posOffset>
            </wp:positionH>
            <wp:positionV relativeFrom="page">
              <wp:posOffset>675549</wp:posOffset>
            </wp:positionV>
            <wp:extent cx="1461770" cy="546100"/>
            <wp:effectExtent l="25400" t="0" r="11430" b="0"/>
            <wp:wrapNone/>
            <wp:docPr id="124" name="Picture 12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1"/>
                    <a:srcRect/>
                    <a:stretch>
                      <a:fillRect/>
                    </a:stretch>
                  </pic:blipFill>
                  <pic:spPr bwMode="auto">
                    <a:xfrm>
                      <a:off x="0" y="0"/>
                      <a:ext cx="1461770" cy="546100"/>
                    </a:xfrm>
                    <a:prstGeom prst="rect">
                      <a:avLst/>
                    </a:prstGeom>
                    <a:noFill/>
                  </pic:spPr>
                </pic:pic>
              </a:graphicData>
            </a:graphic>
          </wp:anchor>
        </w:drawing>
      </w:r>
      <w:r w:rsidRPr="00967AC5">
        <w:rPr>
          <w:noProof/>
          <w:lang w:val="en-GB"/>
        </w:rPr>
        <w:drawing>
          <wp:anchor distT="0" distB="0" distL="114300" distR="114300" simplePos="0" relativeHeight="251658250" behindDoc="0" locked="0" layoutInCell="1" allowOverlap="1" wp14:anchorId="0EDC22E4" wp14:editId="2E333755">
            <wp:simplePos x="0" y="0"/>
            <wp:positionH relativeFrom="page">
              <wp:posOffset>605790</wp:posOffset>
            </wp:positionH>
            <wp:positionV relativeFrom="page">
              <wp:posOffset>566057</wp:posOffset>
            </wp:positionV>
            <wp:extent cx="889000" cy="889000"/>
            <wp:effectExtent l="25400" t="0" r="0" b="0"/>
            <wp:wrapNone/>
            <wp:docPr id="126" name="Picture 126"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2"/>
                    <a:srcRect/>
                    <a:stretch>
                      <a:fillRect/>
                    </a:stretch>
                  </pic:blipFill>
                  <pic:spPr bwMode="auto">
                    <a:xfrm>
                      <a:off x="0" y="0"/>
                      <a:ext cx="889000" cy="889000"/>
                    </a:xfrm>
                    <a:prstGeom prst="rect">
                      <a:avLst/>
                    </a:prstGeom>
                    <a:noFill/>
                  </pic:spPr>
                </pic:pic>
              </a:graphicData>
            </a:graphic>
          </wp:anchor>
        </w:drawing>
      </w:r>
    </w:p>
    <w:p w14:paraId="17FB5F9D" w14:textId="30C1DC6A" w:rsidR="00B47827" w:rsidRPr="00967AC5" w:rsidRDefault="00B47827" w:rsidP="002505BC">
      <w:pPr>
        <w:rPr>
          <w:lang w:val="en-GB"/>
        </w:rPr>
      </w:pPr>
    </w:p>
    <w:p w14:paraId="218FC408" w14:textId="0B92C769" w:rsidR="00B47827" w:rsidRPr="00967AC5" w:rsidRDefault="00B47827">
      <w:pPr>
        <w:rPr>
          <w:lang w:val="en-GB"/>
        </w:rPr>
      </w:pPr>
    </w:p>
    <w:p w14:paraId="23603103" w14:textId="5DB7CC2D" w:rsidR="00B47827" w:rsidRPr="00967AC5" w:rsidRDefault="00B47827">
      <w:pPr>
        <w:rPr>
          <w:lang w:val="en-GB"/>
        </w:rPr>
      </w:pPr>
    </w:p>
    <w:p w14:paraId="3C450C38" w14:textId="321BE211" w:rsidR="00B47827" w:rsidRPr="00967AC5" w:rsidRDefault="00087D9F">
      <w:pPr>
        <w:jc w:val="center"/>
        <w:rPr>
          <w:b/>
          <w:sz w:val="24"/>
          <w:lang w:val="en-GB"/>
        </w:rPr>
      </w:pPr>
      <w:r w:rsidRPr="00967AC5">
        <w:rPr>
          <w:b/>
          <w:noProof/>
          <w:sz w:val="24"/>
          <w:lang w:val="en-GB" w:eastAsia="zh-CN"/>
        </w:rPr>
        <mc:AlternateContent>
          <mc:Choice Requires="wpg">
            <w:drawing>
              <wp:anchor distT="0" distB="0" distL="114300" distR="114300" simplePos="0" relativeHeight="251658249" behindDoc="0" locked="0" layoutInCell="1" allowOverlap="1" wp14:anchorId="7DDE7BB0" wp14:editId="72BC83E9">
                <wp:simplePos x="0" y="0"/>
                <wp:positionH relativeFrom="page">
                  <wp:align>right</wp:align>
                </wp:positionH>
                <wp:positionV relativeFrom="paragraph">
                  <wp:posOffset>112297</wp:posOffset>
                </wp:positionV>
                <wp:extent cx="7564120" cy="8268970"/>
                <wp:effectExtent l="0" t="0" r="0" b="0"/>
                <wp:wrapNone/>
                <wp:docPr id="1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1"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25"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2A4A1" w14:textId="77777777" w:rsidR="00680BB5" w:rsidRDefault="00680BB5" w:rsidP="00DA4C34">
                              <w:pPr>
                                <w:rPr>
                                  <w:color w:val="57433E"/>
                                  <w:sz w:val="68"/>
                                </w:rPr>
                              </w:pPr>
                              <w:r>
                                <w:rPr>
                                  <w:color w:val="FFFFFF"/>
                                  <w:sz w:val="68"/>
                                </w:rPr>
                                <w:t xml:space="preserve">CEPT Report </w:t>
                              </w:r>
                              <w:r>
                                <w:rPr>
                                  <w:color w:val="D2232A"/>
                                  <w:sz w:val="68"/>
                                </w:rPr>
                                <w:t>80</w:t>
                              </w:r>
                            </w:p>
                          </w:txbxContent>
                        </wps:txbx>
                        <wps:bodyPr rot="0" vert="horz" wrap="square" lIns="2880000" tIns="540000" rIns="72000" bIns="45720" anchor="t" anchorCtr="0" upright="1">
                          <a:noAutofit/>
                        </wps:bodyPr>
                      </wps:wsp>
                      <wpg:grpSp>
                        <wpg:cNvPr id="26" name="Group 36"/>
                        <wpg:cNvGrpSpPr>
                          <a:grpSpLocks/>
                        </wpg:cNvGrpSpPr>
                        <wpg:grpSpPr bwMode="auto">
                          <a:xfrm>
                            <a:off x="1304" y="2744"/>
                            <a:ext cx="2683" cy="2464"/>
                            <a:chOff x="1304" y="2744"/>
                            <a:chExt cx="2683" cy="2464"/>
                          </a:xfrm>
                        </wpg:grpSpPr>
                        <wps:wsp>
                          <wps:cNvPr id="27"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0"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1"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3"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DDE7BB0" id="Group 37" o:spid="_x0000_s1026" style="position:absolute;left:0;text-align:left;margin-left:544.4pt;margin-top:8.85pt;width:595.6pt;height:651.1pt;z-index:251658249;mso-position-horizontal:righ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" fillcolor="#828282" stroked="f">
                  <v:textbox inset="80mm,15mm,2mm">
                    <w:txbxContent>
                      <w:p w14:paraId="27D2A4A1" w14:textId="77777777" w:rsidR="00680BB5" w:rsidRDefault="00680BB5" w:rsidP="00DA4C34">
                        <w:pPr>
                          <w:rPr>
                            <w:color w:val="57433E"/>
                            <w:sz w:val="68"/>
                          </w:rPr>
                        </w:pPr>
                        <w:r>
                          <w:rPr>
                            <w:color w:val="FFFFFF"/>
                            <w:sz w:val="68"/>
                          </w:rPr>
                          <w:t xml:space="preserve">CEPT Report </w:t>
                        </w:r>
                        <w:r>
                          <w:rPr>
                            <w:color w:val="D2232A"/>
                            <w:sz w:val="68"/>
                          </w:rPr>
                          <w:t>80</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" strokecolor="#828282" strokeweight="15.5pt"/>
                </v:group>
                <w10:wrap anchorx="page"/>
              </v:group>
            </w:pict>
          </mc:Fallback>
        </mc:AlternateContent>
      </w:r>
    </w:p>
    <w:p w14:paraId="2CE607C6" w14:textId="043E65E0" w:rsidR="00F91806" w:rsidRPr="00967AC5" w:rsidRDefault="00F91806">
      <w:pPr>
        <w:jc w:val="center"/>
        <w:rPr>
          <w:b/>
          <w:sz w:val="24"/>
          <w:lang w:val="en-GB"/>
        </w:rPr>
      </w:pPr>
    </w:p>
    <w:p w14:paraId="3FF288CD" w14:textId="77777777" w:rsidR="00B47827" w:rsidRPr="00967AC5" w:rsidRDefault="00B47827">
      <w:pPr>
        <w:jc w:val="center"/>
        <w:rPr>
          <w:b/>
          <w:sz w:val="24"/>
          <w:lang w:val="en-GB"/>
        </w:rPr>
      </w:pPr>
    </w:p>
    <w:p w14:paraId="5676ECC0" w14:textId="77777777" w:rsidR="00B47827" w:rsidRPr="00967AC5" w:rsidRDefault="00B47827">
      <w:pPr>
        <w:jc w:val="center"/>
        <w:rPr>
          <w:b/>
          <w:sz w:val="24"/>
          <w:lang w:val="en-GB"/>
        </w:rPr>
      </w:pPr>
    </w:p>
    <w:p w14:paraId="2B655825" w14:textId="77777777" w:rsidR="00B47827" w:rsidRPr="00967AC5" w:rsidRDefault="00B47827">
      <w:pPr>
        <w:jc w:val="center"/>
        <w:rPr>
          <w:b/>
          <w:sz w:val="24"/>
          <w:lang w:val="en-GB"/>
        </w:rPr>
      </w:pPr>
    </w:p>
    <w:p w14:paraId="69F34779" w14:textId="77777777" w:rsidR="00B47827" w:rsidRPr="00967AC5" w:rsidRDefault="00B47827">
      <w:pPr>
        <w:jc w:val="center"/>
        <w:rPr>
          <w:b/>
          <w:sz w:val="24"/>
          <w:lang w:val="en-GB"/>
        </w:rPr>
      </w:pPr>
    </w:p>
    <w:p w14:paraId="33BB0D54" w14:textId="131030E9" w:rsidR="00B47827" w:rsidRPr="00967AC5" w:rsidRDefault="000F5E76">
      <w:pPr>
        <w:jc w:val="center"/>
        <w:rPr>
          <w:lang w:val="en-GB"/>
        </w:rPr>
      </w:pPr>
      <w:r w:rsidRPr="00967AC5">
        <w:rPr>
          <w:noProof/>
          <w:lang w:val="en-GB" w:eastAsia="zh-CN"/>
        </w:rPr>
        <w:drawing>
          <wp:anchor distT="0" distB="0" distL="114300" distR="114300" simplePos="0" relativeHeight="251658243" behindDoc="0" locked="0" layoutInCell="1" allowOverlap="1" wp14:anchorId="53C1ACD9" wp14:editId="4810F246">
            <wp:simplePos x="0" y="0"/>
            <wp:positionH relativeFrom="page">
              <wp:posOffset>5799546</wp:posOffset>
            </wp:positionH>
            <wp:positionV relativeFrom="page">
              <wp:posOffset>675549</wp:posOffset>
            </wp:positionV>
            <wp:extent cx="1461770" cy="546100"/>
            <wp:effectExtent l="25400" t="0" r="11430" b="0"/>
            <wp:wrapNone/>
            <wp:docPr id="118" name="Picture 118"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1"/>
                    <a:srcRect/>
                    <a:stretch>
                      <a:fillRect/>
                    </a:stretch>
                  </pic:blipFill>
                  <pic:spPr bwMode="auto">
                    <a:xfrm>
                      <a:off x="0" y="0"/>
                      <a:ext cx="1461770" cy="546100"/>
                    </a:xfrm>
                    <a:prstGeom prst="rect">
                      <a:avLst/>
                    </a:prstGeom>
                    <a:noFill/>
                  </pic:spPr>
                </pic:pic>
              </a:graphicData>
            </a:graphic>
          </wp:anchor>
        </w:drawing>
      </w:r>
      <w:r w:rsidRPr="00967AC5">
        <w:rPr>
          <w:noProof/>
          <w:lang w:val="en-GB" w:eastAsia="zh-CN"/>
        </w:rPr>
        <w:drawing>
          <wp:anchor distT="0" distB="0" distL="114300" distR="114300" simplePos="0" relativeHeight="251658242" behindDoc="0" locked="0" layoutInCell="1" allowOverlap="1" wp14:anchorId="4D2B416B" wp14:editId="0F79857C">
            <wp:simplePos x="0" y="0"/>
            <wp:positionH relativeFrom="page">
              <wp:posOffset>605790</wp:posOffset>
            </wp:positionH>
            <wp:positionV relativeFrom="page">
              <wp:posOffset>566057</wp:posOffset>
            </wp:positionV>
            <wp:extent cx="889000" cy="889000"/>
            <wp:effectExtent l="25400" t="0" r="0" b="0"/>
            <wp:wrapNone/>
            <wp:docPr id="119" name="Picture 119"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2"/>
                    <a:srcRect/>
                    <a:stretch>
                      <a:fillRect/>
                    </a:stretch>
                  </pic:blipFill>
                  <pic:spPr bwMode="auto">
                    <a:xfrm>
                      <a:off x="0" y="0"/>
                      <a:ext cx="889000" cy="889000"/>
                    </a:xfrm>
                    <a:prstGeom prst="rect">
                      <a:avLst/>
                    </a:prstGeom>
                    <a:noFill/>
                  </pic:spPr>
                </pic:pic>
              </a:graphicData>
            </a:graphic>
          </wp:anchor>
        </w:drawing>
      </w:r>
    </w:p>
    <w:p w14:paraId="29FB21CA" w14:textId="77777777" w:rsidR="00B47827" w:rsidRPr="00967AC5" w:rsidRDefault="00B47827">
      <w:pPr>
        <w:jc w:val="center"/>
        <w:rPr>
          <w:lang w:val="en-GB"/>
        </w:rPr>
      </w:pPr>
    </w:p>
    <w:p w14:paraId="224C06CB" w14:textId="77777777" w:rsidR="00B47827" w:rsidRPr="00967AC5" w:rsidRDefault="00B47827">
      <w:pPr>
        <w:rPr>
          <w:lang w:val="en-GB"/>
        </w:rPr>
      </w:pPr>
    </w:p>
    <w:p w14:paraId="13A1867B" w14:textId="77777777" w:rsidR="00087D9F" w:rsidRDefault="00087D9F">
      <w:pPr>
        <w:pStyle w:val="Reporttitledescription"/>
        <w:rPr>
          <w:lang w:val="en-GB"/>
        </w:rPr>
      </w:pPr>
    </w:p>
    <w:p w14:paraId="312AD181" w14:textId="451D6466" w:rsidR="00B47827" w:rsidRPr="00967AC5" w:rsidRDefault="00DE38BE">
      <w:pPr>
        <w:pStyle w:val="Reporttitledescription"/>
        <w:rPr>
          <w:lang w:val="en-GB"/>
        </w:rPr>
      </w:pPr>
      <w:r w:rsidRPr="00967AC5">
        <w:rPr>
          <w:lang w:val="en-GB"/>
        </w:rPr>
        <w:fldChar w:fldCharType="begin">
          <w:ffData>
            <w:name w:val="Text7"/>
            <w:enabled/>
            <w:calcOnExit w:val="0"/>
            <w:textInput>
              <w:default w:val="Report from CEPT to the European Commission in response to the Mandate"/>
            </w:textInput>
          </w:ffData>
        </w:fldChar>
      </w:r>
      <w:bookmarkStart w:id="0" w:name="Text7"/>
      <w:r w:rsidRPr="00967AC5">
        <w:rPr>
          <w:lang w:val="en-GB"/>
        </w:rPr>
        <w:instrText xml:space="preserve"> FORMTEXT </w:instrText>
      </w:r>
      <w:r w:rsidRPr="00967AC5">
        <w:rPr>
          <w:lang w:val="en-GB"/>
        </w:rPr>
      </w:r>
      <w:r w:rsidRPr="00967AC5">
        <w:rPr>
          <w:lang w:val="en-GB"/>
        </w:rPr>
        <w:fldChar w:fldCharType="separate"/>
      </w:r>
      <w:r w:rsidR="00AA165D" w:rsidRPr="00967AC5">
        <w:rPr>
          <w:noProof/>
          <w:lang w:val="en-GB"/>
        </w:rPr>
        <w:t>Report from CEPT to the European Commission in response to the Mandate</w:t>
      </w:r>
      <w:r w:rsidRPr="00967AC5">
        <w:rPr>
          <w:lang w:val="en-GB"/>
        </w:rPr>
        <w:fldChar w:fldCharType="end"/>
      </w:r>
      <w:bookmarkEnd w:id="0"/>
      <w:r w:rsidRPr="00967AC5">
        <w:rPr>
          <w:lang w:val="en-GB"/>
        </w:rPr>
        <w:t xml:space="preserve"> </w:t>
      </w:r>
    </w:p>
    <w:p w14:paraId="52B40D9D" w14:textId="323A668B" w:rsidR="00B47827" w:rsidRPr="00967AC5" w:rsidRDefault="00DE38BE" w:rsidP="00261CB8">
      <w:pPr>
        <w:pStyle w:val="Reporttitledescription"/>
        <w:spacing w:before="500"/>
        <w:rPr>
          <w:lang w:val="en-GB"/>
        </w:rPr>
      </w:pPr>
      <w:r w:rsidRPr="00967AC5">
        <w:rPr>
          <w:lang w:val="en-GB"/>
        </w:rPr>
        <w:t>“to review the harmonised technical conditions for certain EU-harmonised frequency bands and to develop least restrictive harmonised technical conditions suitable for next-generation (5G) terrestrial wireless systems”</w:t>
      </w:r>
    </w:p>
    <w:p w14:paraId="607B3260" w14:textId="3805101C" w:rsidR="00DA4C34" w:rsidRPr="00967AC5" w:rsidRDefault="00DE38BE" w:rsidP="00AC4011">
      <w:pPr>
        <w:pStyle w:val="Reporttitledescription"/>
        <w:spacing w:before="500"/>
        <w:rPr>
          <w:b/>
          <w:lang w:val="en-GB"/>
        </w:rPr>
      </w:pPr>
      <w:r w:rsidRPr="00967AC5">
        <w:rPr>
          <w:lang w:val="en-GB"/>
        </w:rPr>
        <w:t xml:space="preserve">Report </w:t>
      </w:r>
      <w:r w:rsidR="00DA4C34" w:rsidRPr="00967AC5">
        <w:rPr>
          <w:lang w:val="en-GB"/>
        </w:rPr>
        <w:t>B</w:t>
      </w:r>
      <w:r w:rsidRPr="00967AC5">
        <w:rPr>
          <w:lang w:val="en-GB"/>
        </w:rPr>
        <w:t xml:space="preserve">: </w:t>
      </w:r>
      <w:r w:rsidR="00774AD1" w:rsidRPr="00967AC5">
        <w:rPr>
          <w:lang w:val="en-GB"/>
        </w:rPr>
        <w:t xml:space="preserve">Channelling </w:t>
      </w:r>
      <w:r w:rsidR="00DA4C34" w:rsidRPr="00967AC5">
        <w:rPr>
          <w:lang w:val="en-GB"/>
        </w:rPr>
        <w:t>arrangements and least restrictive technical conditions</w:t>
      </w:r>
      <w:r w:rsidR="00C679FB" w:rsidRPr="00967AC5">
        <w:rPr>
          <w:lang w:val="en-GB"/>
        </w:rPr>
        <w:t xml:space="preserve"> suitable for </w:t>
      </w:r>
      <w:r w:rsidR="00AC4011" w:rsidRPr="00967AC5">
        <w:rPr>
          <w:lang w:val="en-GB"/>
        </w:rPr>
        <w:t xml:space="preserve">ECS including </w:t>
      </w:r>
      <w:r w:rsidR="00C679FB" w:rsidRPr="00967AC5">
        <w:rPr>
          <w:lang w:val="en-GB"/>
        </w:rPr>
        <w:t>5G terrestrial wireless systems</w:t>
      </w:r>
      <w:r w:rsidR="00AC4011" w:rsidRPr="00967AC5">
        <w:rPr>
          <w:lang w:val="en-GB"/>
        </w:rPr>
        <w:t xml:space="preserve"> in the 900 MHz and 1800 MHz frequency bands</w:t>
      </w:r>
      <w:r w:rsidR="006C5CDE" w:rsidRPr="00967AC5">
        <w:rPr>
          <w:lang w:val="en-GB"/>
        </w:rPr>
        <w:t>,</w:t>
      </w:r>
      <w:r w:rsidR="00C679FB" w:rsidRPr="00967AC5">
        <w:rPr>
          <w:lang w:val="en-GB"/>
        </w:rPr>
        <w:t xml:space="preserve"> in </w:t>
      </w:r>
      <w:r w:rsidR="00C8120C" w:rsidRPr="00967AC5">
        <w:rPr>
          <w:lang w:val="en-GB"/>
        </w:rPr>
        <w:t>compliance with the principles of technology and service neutrality</w:t>
      </w:r>
    </w:p>
    <w:p w14:paraId="71486DC1" w14:textId="6F1A98F8" w:rsidR="00B47827" w:rsidRPr="00967AC5" w:rsidRDefault="00087D9F">
      <w:pPr>
        <w:pStyle w:val="Reporttitledescription"/>
        <w:rPr>
          <w:b/>
          <w:sz w:val="18"/>
          <w:lang w:val="en-GB"/>
        </w:rPr>
      </w:pPr>
      <w:r>
        <w:rPr>
          <w:b/>
          <w:sz w:val="18"/>
          <w:lang w:val="en-GB"/>
        </w:rPr>
        <w:fldChar w:fldCharType="begin">
          <w:ffData>
            <w:name w:val="Text8"/>
            <w:enabled/>
            <w:calcOnExit w:val="0"/>
            <w:textInput>
              <w:default w:val="Report approved on 2 July 20201 by the ECC"/>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Report approved on 2 July 2021 by the ECC</w:t>
      </w:r>
      <w:r>
        <w:rPr>
          <w:b/>
          <w:sz w:val="18"/>
          <w:lang w:val="en-GB"/>
        </w:rPr>
        <w:fldChar w:fldCharType="end"/>
      </w:r>
      <w:bookmarkEnd w:id="1"/>
      <w:r w:rsidR="00DE38BE" w:rsidRPr="00967AC5">
        <w:rPr>
          <w:b/>
          <w:sz w:val="18"/>
          <w:lang w:val="en-GB"/>
        </w:rPr>
        <w:tab/>
      </w:r>
    </w:p>
    <w:p w14:paraId="2BE997F0" w14:textId="5ED894D9" w:rsidR="00EA2D0B" w:rsidRPr="00967AC5" w:rsidRDefault="00DE38BE" w:rsidP="00EA2D0B">
      <w:pPr>
        <w:pStyle w:val="Lastupdated"/>
        <w:rPr>
          <w:b/>
          <w:lang w:val="en-GB"/>
        </w:rPr>
      </w:pPr>
      <w:r w:rsidRPr="00967AC5">
        <w:rPr>
          <w:b/>
          <w:lang w:val="en-GB"/>
        </w:rPr>
        <w:fldChar w:fldCharType="begin">
          <w:ffData>
            <w:name w:val="Text3"/>
            <w:enabled/>
            <w:calcOnExit w:val="0"/>
            <w:textInput/>
          </w:ffData>
        </w:fldChar>
      </w:r>
      <w:r w:rsidRPr="00967AC5">
        <w:rPr>
          <w:b/>
          <w:lang w:val="en-GB"/>
        </w:rPr>
        <w:instrText xml:space="preserve"> </w:instrText>
      </w:r>
      <w:bookmarkStart w:id="2" w:name="Text3"/>
      <w:r w:rsidRPr="00967AC5">
        <w:rPr>
          <w:b/>
          <w:lang w:val="en-GB"/>
        </w:rPr>
        <w:instrText xml:space="preserve">FORMTEXT </w:instrText>
      </w:r>
      <w:r w:rsidRPr="00967AC5">
        <w:rPr>
          <w:b/>
          <w:lang w:val="en-GB"/>
        </w:rPr>
      </w:r>
      <w:r w:rsidRPr="00967AC5">
        <w:rPr>
          <w:b/>
          <w:lang w:val="en-GB"/>
        </w:rPr>
        <w:fldChar w:fldCharType="separate"/>
      </w:r>
      <w:r w:rsidR="00AA165D" w:rsidRPr="00967AC5">
        <w:rPr>
          <w:b/>
          <w:noProof/>
          <w:lang w:val="en-GB"/>
        </w:rPr>
        <w:t> </w:t>
      </w:r>
      <w:r w:rsidR="00AA165D" w:rsidRPr="00967AC5">
        <w:rPr>
          <w:b/>
          <w:noProof/>
          <w:lang w:val="en-GB"/>
        </w:rPr>
        <w:t> </w:t>
      </w:r>
      <w:r w:rsidR="00AA165D" w:rsidRPr="00967AC5">
        <w:rPr>
          <w:b/>
          <w:noProof/>
          <w:lang w:val="en-GB"/>
        </w:rPr>
        <w:t> </w:t>
      </w:r>
      <w:r w:rsidR="00AA165D" w:rsidRPr="00967AC5">
        <w:rPr>
          <w:b/>
          <w:noProof/>
          <w:lang w:val="en-GB"/>
        </w:rPr>
        <w:t> </w:t>
      </w:r>
      <w:r w:rsidR="00AA165D" w:rsidRPr="00967AC5">
        <w:rPr>
          <w:b/>
          <w:noProof/>
          <w:lang w:val="en-GB"/>
        </w:rPr>
        <w:t> </w:t>
      </w:r>
      <w:r w:rsidRPr="00967AC5">
        <w:rPr>
          <w:b/>
          <w:lang w:val="en-GB"/>
        </w:rPr>
        <w:fldChar w:fldCharType="end"/>
      </w:r>
      <w:bookmarkEnd w:id="2"/>
    </w:p>
    <w:p w14:paraId="26A7AAC6" w14:textId="77777777" w:rsidR="00EA2D0B" w:rsidRPr="00967AC5" w:rsidRDefault="00EA2D0B" w:rsidP="002505BC">
      <w:pPr>
        <w:pStyle w:val="Lastupdated"/>
        <w:rPr>
          <w:b/>
          <w:lang w:val="en-GB"/>
        </w:rPr>
      </w:pPr>
    </w:p>
    <w:p w14:paraId="4CD88F71" w14:textId="77777777" w:rsidR="00EA2D0B" w:rsidRPr="00967AC5" w:rsidRDefault="00EA2D0B" w:rsidP="001E60EC">
      <w:pPr>
        <w:pStyle w:val="Lastupdated"/>
        <w:spacing w:before="0" w:after="0"/>
        <w:rPr>
          <w:b/>
          <w:lang w:val="en-GB"/>
        </w:rPr>
      </w:pPr>
    </w:p>
    <w:p w14:paraId="2B03D2D2" w14:textId="77777777" w:rsidR="00EA2D0B" w:rsidRPr="00967AC5" w:rsidRDefault="00EA2D0B">
      <w:pPr>
        <w:pStyle w:val="Lastupdated"/>
        <w:rPr>
          <w:b/>
          <w:lang w:val="en-GB"/>
        </w:rPr>
      </w:pPr>
    </w:p>
    <w:p w14:paraId="6EE62F47" w14:textId="77777777" w:rsidR="00B47827" w:rsidRPr="00967AC5" w:rsidRDefault="00B47827">
      <w:pPr>
        <w:rPr>
          <w:lang w:val="en-GB"/>
        </w:rPr>
        <w:sectPr w:rsidR="00B47827" w:rsidRPr="00967AC5">
          <w:headerReference w:type="even" r:id="rId13"/>
          <w:headerReference w:type="default" r:id="rId14"/>
          <w:pgSz w:w="11907" w:h="16840" w:code="9"/>
          <w:pgMar w:top="1440" w:right="1134" w:bottom="1440" w:left="1134" w:header="709" w:footer="709" w:gutter="0"/>
          <w:cols w:space="708"/>
          <w:titlePg/>
          <w:docGrid w:linePitch="360"/>
        </w:sectPr>
      </w:pPr>
    </w:p>
    <w:p w14:paraId="0FB0A83D" w14:textId="77777777" w:rsidR="00B47827" w:rsidRPr="00967AC5" w:rsidRDefault="00DE38BE" w:rsidP="00DD5131">
      <w:pPr>
        <w:pStyle w:val="Heading1"/>
      </w:pPr>
      <w:bookmarkStart w:id="3" w:name="_Toc18338417"/>
      <w:bookmarkStart w:id="4" w:name="_Toc71037795"/>
      <w:r w:rsidRPr="00967AC5">
        <w:lastRenderedPageBreak/>
        <w:t>Executive summary</w:t>
      </w:r>
      <w:bookmarkEnd w:id="3"/>
      <w:bookmarkEnd w:id="4"/>
    </w:p>
    <w:p w14:paraId="0732F6DE" w14:textId="528093D0" w:rsidR="00B47827" w:rsidRPr="00967AC5" w:rsidRDefault="00DE38BE" w:rsidP="00886340">
      <w:pPr>
        <w:pStyle w:val="ECCParagraph"/>
      </w:pPr>
      <w:r w:rsidRPr="00967AC5">
        <w:t xml:space="preserve">This </w:t>
      </w:r>
      <w:r w:rsidR="00EA67E3" w:rsidRPr="00967AC5">
        <w:t>R</w:t>
      </w:r>
      <w:r w:rsidRPr="00967AC5">
        <w:t xml:space="preserve">eport is the response (Report </w:t>
      </w:r>
      <w:r w:rsidR="00A7590B" w:rsidRPr="00967AC5">
        <w:t>B</w:t>
      </w:r>
      <w:r w:rsidRPr="00967AC5">
        <w:t xml:space="preserve">) to Task </w:t>
      </w:r>
      <w:r w:rsidR="00A7590B" w:rsidRPr="00967AC5">
        <w:t>2</w:t>
      </w:r>
      <w:r w:rsidR="00940676" w:rsidRPr="00967AC5">
        <w:t xml:space="preserve"> </w:t>
      </w:r>
      <w:r w:rsidRPr="00967AC5">
        <w:t>of the Mandate from the European Commission “to review the harmonised technical conditions for certain EU-harmonised frequency bands and to develop least restrictive harmonised technical conditions suitable for next-generation (5G) terrestrial wireless systems”</w:t>
      </w:r>
      <w:r w:rsidR="008049BE" w:rsidRPr="00967AC5">
        <w:t>, addressing the 900</w:t>
      </w:r>
      <w:r w:rsidR="0017674F" w:rsidRPr="00967AC5">
        <w:t xml:space="preserve"> MHz</w:t>
      </w:r>
      <w:r w:rsidR="008049BE" w:rsidRPr="00967AC5">
        <w:t xml:space="preserve"> and 1800 MHz </w:t>
      </w:r>
      <w:r w:rsidR="00881A96" w:rsidRPr="00967AC5">
        <w:t>frequency bands</w:t>
      </w:r>
      <w:r w:rsidR="00A719F2" w:rsidRPr="00967AC5">
        <w:t>.</w:t>
      </w:r>
    </w:p>
    <w:p w14:paraId="493559CC" w14:textId="6C947D66" w:rsidR="00B47827" w:rsidRPr="00967AC5" w:rsidRDefault="00DE38BE" w:rsidP="004C0BA8">
      <w:pPr>
        <w:pStyle w:val="ECCParagraph"/>
      </w:pPr>
      <w:r w:rsidRPr="00967AC5">
        <w:t xml:space="preserve">According to the schedule set out in the Mandate, this Report addresses Task </w:t>
      </w:r>
      <w:r w:rsidR="00A7590B" w:rsidRPr="00967AC5">
        <w:t xml:space="preserve">2 </w:t>
      </w:r>
      <w:r w:rsidR="000C3CE4" w:rsidRPr="00967AC5">
        <w:t xml:space="preserve">to </w:t>
      </w:r>
      <w:r w:rsidR="00A446BD" w:rsidRPr="00967AC5">
        <w:t>d</w:t>
      </w:r>
      <w:r w:rsidR="00A83933" w:rsidRPr="00967AC5">
        <w:t>e</w:t>
      </w:r>
      <w:r w:rsidR="00A446BD" w:rsidRPr="00967AC5">
        <w:t>velop</w:t>
      </w:r>
      <w:r w:rsidR="00A83933" w:rsidRPr="00967AC5">
        <w:t xml:space="preserve"> </w:t>
      </w:r>
      <w:proofErr w:type="spellStart"/>
      <w:r w:rsidR="00AC4011" w:rsidRPr="00967AC5">
        <w:t>channeling</w:t>
      </w:r>
      <w:proofErr w:type="spellEnd"/>
      <w:r w:rsidR="00AC4011" w:rsidRPr="00967AC5">
        <w:t xml:space="preserve"> arrangements and </w:t>
      </w:r>
      <w:r w:rsidR="00A83933" w:rsidRPr="00967AC5">
        <w:t>least restrictive technical conditions</w:t>
      </w:r>
      <w:r w:rsidR="00E3542B" w:rsidRPr="00967AC5">
        <w:t xml:space="preserve"> (LRTC</w:t>
      </w:r>
      <w:r w:rsidR="00AC4011" w:rsidRPr="00967AC5">
        <w:t>s</w:t>
      </w:r>
      <w:r w:rsidR="00E3542B" w:rsidRPr="00967AC5">
        <w:t>)</w:t>
      </w:r>
      <w:r w:rsidR="006C3B73" w:rsidRPr="00967AC5">
        <w:t xml:space="preserve"> </w:t>
      </w:r>
      <w:r w:rsidR="00A7590B" w:rsidRPr="00967AC5">
        <w:t>for the 900</w:t>
      </w:r>
      <w:r w:rsidR="00AB737C" w:rsidRPr="00967AC5">
        <w:t xml:space="preserve"> </w:t>
      </w:r>
      <w:r w:rsidR="00A7590B" w:rsidRPr="00967AC5">
        <w:t>MHz and 1800</w:t>
      </w:r>
      <w:r w:rsidR="00177B03" w:rsidRPr="00967AC5">
        <w:t> </w:t>
      </w:r>
      <w:r w:rsidR="00A7590B" w:rsidRPr="00967AC5">
        <w:t xml:space="preserve">MHz </w:t>
      </w:r>
      <w:r w:rsidR="00302469" w:rsidRPr="00967AC5">
        <w:t xml:space="preserve">frequency </w:t>
      </w:r>
      <w:r w:rsidR="00A7590B" w:rsidRPr="00967AC5">
        <w:t xml:space="preserve">bands. CEPT </w:t>
      </w:r>
      <w:r w:rsidR="00302469" w:rsidRPr="00967AC5">
        <w:t xml:space="preserve">Report </w:t>
      </w:r>
      <w:r w:rsidR="00A7590B" w:rsidRPr="00967AC5">
        <w:t>72 (Report A)</w:t>
      </w:r>
      <w:r w:rsidR="0068567D" w:rsidRPr="00967AC5">
        <w:t xml:space="preserve"> </w:t>
      </w:r>
      <w:r w:rsidR="0068567D" w:rsidRPr="00967AC5">
        <w:fldChar w:fldCharType="begin"/>
      </w:r>
      <w:r w:rsidR="0068567D" w:rsidRPr="00967AC5">
        <w:instrText xml:space="preserve"> REF _Ref49781524 \r \h </w:instrText>
      </w:r>
      <w:r w:rsidR="00886340" w:rsidRPr="00967AC5">
        <w:instrText xml:space="preserve"> \* MERGEFORMAT </w:instrText>
      </w:r>
      <w:r w:rsidR="0068567D" w:rsidRPr="00967AC5">
        <w:fldChar w:fldCharType="separate"/>
      </w:r>
      <w:r w:rsidR="00680BB5" w:rsidRPr="00967AC5">
        <w:t>[1]</w:t>
      </w:r>
      <w:r w:rsidR="0068567D" w:rsidRPr="00967AC5">
        <w:fldChar w:fldCharType="end"/>
      </w:r>
      <w:r w:rsidR="00A7590B" w:rsidRPr="00967AC5">
        <w:t xml:space="preserve"> addressed Tasks </w:t>
      </w:r>
      <w:r w:rsidRPr="00967AC5">
        <w:t xml:space="preserve">1 </w:t>
      </w:r>
      <w:r w:rsidR="00FC2660" w:rsidRPr="00967AC5">
        <w:t xml:space="preserve">to </w:t>
      </w:r>
      <w:r w:rsidRPr="00967AC5">
        <w:t>3</w:t>
      </w:r>
      <w:r w:rsidR="00CA4D9C" w:rsidRPr="00967AC5">
        <w:t xml:space="preserve"> </w:t>
      </w:r>
      <w:r w:rsidRPr="00967AC5">
        <w:t xml:space="preserve">in full for </w:t>
      </w:r>
      <w:r w:rsidR="00FC2660" w:rsidRPr="00967AC5">
        <w:t xml:space="preserve">the </w:t>
      </w:r>
      <w:r w:rsidRPr="00967AC5">
        <w:t xml:space="preserve"> paired terrestrial 2 GHz and 2.6 GHz frequency bands</w:t>
      </w:r>
      <w:r w:rsidR="00300E94" w:rsidRPr="00967AC5">
        <w:t xml:space="preserve">, </w:t>
      </w:r>
      <w:r w:rsidR="006B6749" w:rsidRPr="00967AC5">
        <w:t>as well as the aspects of</w:t>
      </w:r>
      <w:r w:rsidR="00EB2720" w:rsidRPr="00967AC5">
        <w:t xml:space="preserve"> </w:t>
      </w:r>
      <w:r w:rsidR="00D9771A" w:rsidRPr="00967AC5">
        <w:t xml:space="preserve">Task 1 </w:t>
      </w:r>
      <w:r w:rsidR="006B6749" w:rsidRPr="00967AC5">
        <w:t>related to the usage</w:t>
      </w:r>
      <w:r w:rsidR="00BB7E4A" w:rsidRPr="00967AC5">
        <w:t xml:space="preserve"> feasibility of 900/1800 MHz for 5G</w:t>
      </w:r>
      <w:r w:rsidR="00885385" w:rsidRPr="00967AC5">
        <w:t>, and Task 3 related to cross-border</w:t>
      </w:r>
      <w:r w:rsidR="00C6700D" w:rsidRPr="00967AC5">
        <w:t xml:space="preserve"> coordination guidance for </w:t>
      </w:r>
      <w:r w:rsidR="00BC6C50" w:rsidRPr="00967AC5">
        <w:t xml:space="preserve">these frequency </w:t>
      </w:r>
      <w:r w:rsidR="00D53E26" w:rsidRPr="00967AC5">
        <w:t xml:space="preserve">bands. </w:t>
      </w:r>
      <w:r w:rsidR="004A5E42" w:rsidRPr="00967AC5">
        <w:t xml:space="preserve">This Report </w:t>
      </w:r>
      <w:r w:rsidR="00CA4D9C" w:rsidRPr="00967AC5">
        <w:t xml:space="preserve">B </w:t>
      </w:r>
      <w:r w:rsidR="004A5E42" w:rsidRPr="00967AC5">
        <w:t>provides additional clarification in response to Task 3 (cross-border coordination), with respect to the new technology neutral BEM and the handling of GSM.</w:t>
      </w:r>
    </w:p>
    <w:p w14:paraId="3F6C8CEA" w14:textId="37A100A0" w:rsidR="00302469" w:rsidRPr="00967AC5" w:rsidRDefault="00302469" w:rsidP="004C0BA8">
      <w:pPr>
        <w:pStyle w:val="ECCParagraph"/>
      </w:pPr>
      <w:r w:rsidRPr="00967AC5">
        <w:t xml:space="preserve">This Report assumes that </w:t>
      </w:r>
      <w:r w:rsidR="00940676" w:rsidRPr="00967AC5">
        <w:t xml:space="preserve">ECS </w:t>
      </w:r>
      <w:r w:rsidRPr="00967AC5">
        <w:t xml:space="preserve">use only non-AAS BS in </w:t>
      </w:r>
      <w:r w:rsidR="004B20C4" w:rsidRPr="00967AC5">
        <w:t xml:space="preserve">the </w:t>
      </w:r>
      <w:r w:rsidRPr="00967AC5">
        <w:t>900 MHz frequency band and may use either non-AAS BS or AAS BS in the 1800 MHz frequency band.</w:t>
      </w:r>
      <w:r w:rsidR="00940676" w:rsidRPr="00967AC5">
        <w:t xml:space="preserve"> Analysis has been developed under this assumption. No recommendation is provided for usage of AAS BS in the 900 MHz frequency band.</w:t>
      </w:r>
    </w:p>
    <w:p w14:paraId="18D4BCE5" w14:textId="179BB329" w:rsidR="00302469" w:rsidRPr="00967AC5" w:rsidRDefault="00302469" w:rsidP="00FD67EA">
      <w:pPr>
        <w:pStyle w:val="ECCParagraph"/>
      </w:pPr>
      <w:r w:rsidRPr="00967AC5">
        <w:t xml:space="preserve">AAS does not apply to user terminals in the 900 MHz </w:t>
      </w:r>
      <w:r w:rsidR="003F030C" w:rsidRPr="00967AC5">
        <w:t>or</w:t>
      </w:r>
      <w:r w:rsidRPr="00967AC5">
        <w:t xml:space="preserve"> 1800 MHz frequency bands.</w:t>
      </w:r>
    </w:p>
    <w:p w14:paraId="345F5431" w14:textId="47F720DA" w:rsidR="00302469" w:rsidRPr="00967AC5" w:rsidRDefault="00302469" w:rsidP="00FD67EA">
      <w:pPr>
        <w:pStyle w:val="ECCParagraph"/>
      </w:pPr>
      <w:r w:rsidRPr="00967AC5">
        <w:t xml:space="preserve">CEPT agreed not to </w:t>
      </w:r>
      <w:r w:rsidR="002C7AA5" w:rsidRPr="00967AC5">
        <w:t>include</w:t>
      </w:r>
      <w:r w:rsidRPr="00967AC5">
        <w:t xml:space="preserve"> GSM </w:t>
      </w:r>
      <w:r w:rsidR="00693F56" w:rsidRPr="00967AC5">
        <w:t>in</w:t>
      </w:r>
      <w:r w:rsidRPr="00967AC5">
        <w:t xml:space="preserve"> the technology neutral LRTC</w:t>
      </w:r>
      <w:r w:rsidR="006615B0" w:rsidRPr="00967AC5">
        <w:t>s</w:t>
      </w:r>
      <w:r w:rsidRPr="00967AC5">
        <w:t xml:space="preserve"> and to recommend keeping the GSM definition (as in current EC decision through reference to GSM ETSI HS listed in Article 2 of </w:t>
      </w:r>
      <w:r w:rsidRPr="00967AC5">
        <w:rPr>
          <w:rFonts w:eastAsia="Calibri"/>
        </w:rPr>
        <w:t>EC Decision 2009/766/EC</w:t>
      </w:r>
      <w:r w:rsidR="0068567D" w:rsidRPr="00967AC5">
        <w:rPr>
          <w:rFonts w:eastAsia="Calibri"/>
        </w:rPr>
        <w:t xml:space="preserve"> </w:t>
      </w:r>
      <w:r w:rsidR="00F77ACE">
        <w:fldChar w:fldCharType="begin"/>
      </w:r>
      <w:r w:rsidR="00F77ACE">
        <w:instrText xml:space="preserve"> REF _Ref63337216 \r \h </w:instrText>
      </w:r>
      <w:r w:rsidR="00F77ACE">
        <w:fldChar w:fldCharType="separate"/>
      </w:r>
      <w:r w:rsidR="00F77ACE">
        <w:t>[2]</w:t>
      </w:r>
      <w:r w:rsidR="00F77ACE">
        <w:fldChar w:fldCharType="end"/>
      </w:r>
      <w:r w:rsidRPr="00967AC5">
        <w:t xml:space="preserve">). EC-GSM-IoT is protected as GSM with the proposed </w:t>
      </w:r>
      <w:r w:rsidR="00940676" w:rsidRPr="00967AC5">
        <w:t xml:space="preserve">technology neutral </w:t>
      </w:r>
      <w:r w:rsidRPr="00967AC5">
        <w:t>LRTC.</w:t>
      </w:r>
    </w:p>
    <w:p w14:paraId="482D9BB7" w14:textId="65B06E5A" w:rsidR="00302469" w:rsidRPr="00967AC5" w:rsidRDefault="00302469" w:rsidP="00936241">
      <w:pPr>
        <w:pStyle w:val="ECCParagraph"/>
        <w:rPr>
          <w:rFonts w:eastAsia="Calibri"/>
        </w:rPr>
      </w:pPr>
      <w:r w:rsidRPr="00967AC5">
        <w:rPr>
          <w:rFonts w:eastAsia="Calibri"/>
        </w:rPr>
        <w:t xml:space="preserve">The following definitions for </w:t>
      </w:r>
      <w:r w:rsidR="00CC0702" w:rsidRPr="00967AC5">
        <w:rPr>
          <w:rFonts w:eastAsia="Calibri"/>
        </w:rPr>
        <w:t xml:space="preserve">ECS </w:t>
      </w:r>
      <w:r w:rsidR="00940676" w:rsidRPr="00967AC5">
        <w:rPr>
          <w:rFonts w:eastAsia="Calibri"/>
        </w:rPr>
        <w:t>Narrow</w:t>
      </w:r>
      <w:r w:rsidR="00AA5C27" w:rsidRPr="00967AC5">
        <w:rPr>
          <w:rFonts w:eastAsia="Calibri"/>
        </w:rPr>
        <w:t xml:space="preserve">band </w:t>
      </w:r>
      <w:r w:rsidR="00940676" w:rsidRPr="00967AC5">
        <w:rPr>
          <w:rFonts w:eastAsia="Calibri"/>
        </w:rPr>
        <w:t>(</w:t>
      </w:r>
      <w:r w:rsidRPr="00967AC5">
        <w:rPr>
          <w:rFonts w:eastAsia="Calibri"/>
        </w:rPr>
        <w:t>NB</w:t>
      </w:r>
      <w:r w:rsidR="00940676" w:rsidRPr="00967AC5">
        <w:rPr>
          <w:rFonts w:eastAsia="Calibri"/>
        </w:rPr>
        <w:t>)</w:t>
      </w:r>
      <w:r w:rsidRPr="00967AC5">
        <w:rPr>
          <w:rFonts w:eastAsia="Calibri"/>
        </w:rPr>
        <w:t xml:space="preserve"> and </w:t>
      </w:r>
      <w:r w:rsidR="00CC0702" w:rsidRPr="00967AC5">
        <w:rPr>
          <w:rFonts w:eastAsia="Calibri"/>
        </w:rPr>
        <w:t xml:space="preserve">ECS </w:t>
      </w:r>
      <w:r w:rsidR="00940676" w:rsidRPr="00967AC5">
        <w:rPr>
          <w:rFonts w:eastAsia="Calibri"/>
        </w:rPr>
        <w:t>Wide</w:t>
      </w:r>
      <w:r w:rsidR="00D10440" w:rsidRPr="00967AC5">
        <w:rPr>
          <w:rFonts w:eastAsia="Calibri"/>
        </w:rPr>
        <w:t>b</w:t>
      </w:r>
      <w:r w:rsidR="00940676" w:rsidRPr="00967AC5">
        <w:rPr>
          <w:rFonts w:eastAsia="Calibri"/>
        </w:rPr>
        <w:t>and (</w:t>
      </w:r>
      <w:r w:rsidRPr="00967AC5">
        <w:rPr>
          <w:rFonts w:eastAsia="Calibri"/>
        </w:rPr>
        <w:t>WB</w:t>
      </w:r>
      <w:r w:rsidR="00940676" w:rsidRPr="00967AC5">
        <w:rPr>
          <w:rFonts w:eastAsia="Calibri"/>
        </w:rPr>
        <w:t>)</w:t>
      </w:r>
      <w:r w:rsidRPr="00967AC5">
        <w:rPr>
          <w:rFonts w:eastAsia="Calibri"/>
        </w:rPr>
        <w:t xml:space="preserve"> systems respectively apply in this CEPT </w:t>
      </w:r>
      <w:r w:rsidR="0009779D" w:rsidRPr="00967AC5">
        <w:rPr>
          <w:rFonts w:eastAsia="Calibri"/>
        </w:rPr>
        <w:t>R</w:t>
      </w:r>
      <w:r w:rsidRPr="00967AC5">
        <w:rPr>
          <w:rFonts w:eastAsia="Calibri"/>
        </w:rPr>
        <w:t>eport:</w:t>
      </w:r>
    </w:p>
    <w:p w14:paraId="18BB9300" w14:textId="29D2FADA" w:rsidR="00302469" w:rsidRPr="00967AC5" w:rsidRDefault="00CC0702" w:rsidP="00940676">
      <w:pPr>
        <w:pStyle w:val="ECCBulletsLv1"/>
        <w:rPr>
          <w:rFonts w:cs="Arial"/>
          <w:szCs w:val="20"/>
        </w:rPr>
      </w:pPr>
      <w:r w:rsidRPr="00967AC5">
        <w:rPr>
          <w:rFonts w:cs="Arial"/>
          <w:szCs w:val="20"/>
        </w:rPr>
        <w:t xml:space="preserve">ECS </w:t>
      </w:r>
      <w:r w:rsidR="00302469" w:rsidRPr="00967AC5">
        <w:rPr>
          <w:rFonts w:cs="Arial"/>
          <w:szCs w:val="20"/>
        </w:rPr>
        <w:t xml:space="preserve">NB systems </w:t>
      </w:r>
      <w:r w:rsidR="00940676" w:rsidRPr="00967AC5">
        <w:rPr>
          <w:rFonts w:cs="Arial"/>
          <w:szCs w:val="20"/>
        </w:rPr>
        <w:t xml:space="preserve">are </w:t>
      </w:r>
      <w:r w:rsidR="00302469" w:rsidRPr="00967AC5">
        <w:rPr>
          <w:rFonts w:cs="Arial"/>
          <w:szCs w:val="20"/>
        </w:rPr>
        <w:t xml:space="preserve">systems operating in 200 kHz channels, excluding GSM </w:t>
      </w:r>
      <w:bookmarkStart w:id="5" w:name="_Hlk75873267"/>
      <w:r w:rsidR="00302469" w:rsidRPr="00967AC5">
        <w:rPr>
          <w:rFonts w:cs="Arial"/>
          <w:szCs w:val="20"/>
        </w:rPr>
        <w:t>and EC-GSM-IoT</w:t>
      </w:r>
      <w:bookmarkEnd w:id="5"/>
      <w:r w:rsidR="00AF07A5" w:rsidRPr="00967AC5">
        <w:rPr>
          <w:rFonts w:cs="Arial"/>
          <w:szCs w:val="20"/>
        </w:rPr>
        <w:t>;</w:t>
      </w:r>
    </w:p>
    <w:p w14:paraId="6F032078" w14:textId="766B599D" w:rsidR="00302469" w:rsidRPr="00967AC5" w:rsidRDefault="00CC0702" w:rsidP="00940676">
      <w:pPr>
        <w:pStyle w:val="ECCBulletsLv1"/>
        <w:rPr>
          <w:rFonts w:cs="Arial"/>
          <w:szCs w:val="20"/>
        </w:rPr>
      </w:pPr>
      <w:r w:rsidRPr="00967AC5">
        <w:rPr>
          <w:rFonts w:eastAsiaTheme="minorHAnsi" w:cs="Arial"/>
          <w:szCs w:val="20"/>
        </w:rPr>
        <w:t xml:space="preserve">ECS </w:t>
      </w:r>
      <w:r w:rsidR="00302469" w:rsidRPr="00967AC5">
        <w:rPr>
          <w:rFonts w:eastAsiaTheme="minorHAnsi" w:cs="Arial"/>
          <w:szCs w:val="20"/>
        </w:rPr>
        <w:t xml:space="preserve">WB systems </w:t>
      </w:r>
      <w:r w:rsidR="00940676" w:rsidRPr="00967AC5">
        <w:rPr>
          <w:rFonts w:eastAsiaTheme="minorHAnsi" w:cs="Arial"/>
          <w:szCs w:val="20"/>
        </w:rPr>
        <w:t xml:space="preserve">are </w:t>
      </w:r>
      <w:r w:rsidR="00302469" w:rsidRPr="00967AC5">
        <w:rPr>
          <w:rFonts w:eastAsiaTheme="minorHAnsi" w:cs="Arial"/>
          <w:szCs w:val="20"/>
        </w:rPr>
        <w:t>systems operating in channels larger than 200 kHz</w:t>
      </w:r>
      <w:r w:rsidR="00AF07A5" w:rsidRPr="00967AC5">
        <w:rPr>
          <w:rFonts w:eastAsiaTheme="minorHAnsi" w:cs="Arial"/>
          <w:szCs w:val="20"/>
        </w:rPr>
        <w:t>.</w:t>
      </w:r>
    </w:p>
    <w:p w14:paraId="44F501A2" w14:textId="77777777" w:rsidR="00AF07A5" w:rsidRPr="00967AC5" w:rsidRDefault="00AF07A5" w:rsidP="00261CB8">
      <w:pPr>
        <w:pStyle w:val="ECCBulletsLv1"/>
        <w:numPr>
          <w:ilvl w:val="0"/>
          <w:numId w:val="0"/>
        </w:numPr>
        <w:ind w:left="360"/>
        <w:rPr>
          <w:rFonts w:cs="Arial"/>
          <w:szCs w:val="20"/>
        </w:rPr>
      </w:pPr>
    </w:p>
    <w:p w14:paraId="62D78010" w14:textId="3C865587" w:rsidR="00302469" w:rsidRPr="00967AC5" w:rsidRDefault="00302469" w:rsidP="009910F0">
      <w:pPr>
        <w:pStyle w:val="ECCParagraph"/>
      </w:pPr>
      <w:r w:rsidRPr="00967AC5">
        <w:t>CEPT recommends a harmonised band plan for both the 900 MHz and 1800 MHz frequency bands</w:t>
      </w:r>
      <w:r w:rsidR="009910F0" w:rsidRPr="00967AC5">
        <w:t xml:space="preserve"> with a block size multiple of </w:t>
      </w:r>
      <w:r w:rsidR="004C0BA8" w:rsidRPr="00967AC5">
        <w:t xml:space="preserve">200 </w:t>
      </w:r>
      <w:r w:rsidR="00A9114F" w:rsidRPr="00967AC5">
        <w:t xml:space="preserve">kHz </w:t>
      </w:r>
      <w:r w:rsidR="009910F0" w:rsidRPr="00967AC5">
        <w:t xml:space="preserve">(see section </w:t>
      </w:r>
      <w:r w:rsidR="009910F0" w:rsidRPr="00967AC5">
        <w:fldChar w:fldCharType="begin"/>
      </w:r>
      <w:r w:rsidR="009910F0" w:rsidRPr="00967AC5">
        <w:instrText xml:space="preserve"> REF _Ref62117241 \r \h  \* MERGEFORMAT </w:instrText>
      </w:r>
      <w:r w:rsidR="009910F0" w:rsidRPr="00967AC5">
        <w:fldChar w:fldCharType="separate"/>
      </w:r>
      <w:r w:rsidR="00680BB5" w:rsidRPr="00967AC5">
        <w:t>3.3</w:t>
      </w:r>
      <w:r w:rsidR="009910F0" w:rsidRPr="00967AC5">
        <w:fldChar w:fldCharType="end"/>
      </w:r>
      <w:r w:rsidR="009910F0" w:rsidRPr="00967AC5">
        <w:t>)</w:t>
      </w:r>
      <w:r w:rsidRPr="00967AC5">
        <w:t xml:space="preserve">. Various </w:t>
      </w:r>
      <w:r w:rsidR="002B5CAA" w:rsidRPr="00967AC5">
        <w:t xml:space="preserve">factors </w:t>
      </w:r>
      <w:r w:rsidRPr="00967AC5">
        <w:t>have been taken into due consideration in order to derive this harmonised band plan:</w:t>
      </w:r>
    </w:p>
    <w:p w14:paraId="0058DFF3" w14:textId="7D485A9B" w:rsidR="00302469" w:rsidRPr="00967AC5" w:rsidRDefault="00302469" w:rsidP="001360C4">
      <w:pPr>
        <w:pStyle w:val="ECCBulletsLv1"/>
      </w:pPr>
      <w:r w:rsidRPr="00967AC5">
        <w:t>GSM and standalone</w:t>
      </w:r>
      <w:r w:rsidR="009658B4" w:rsidRPr="00967AC5">
        <w:t xml:space="preserve"> </w:t>
      </w:r>
      <w:r w:rsidRPr="00967AC5">
        <w:t>NB IoT</w:t>
      </w:r>
      <w:r w:rsidR="00AF07A5" w:rsidRPr="00967AC5">
        <w:t>;</w:t>
      </w:r>
      <w:r w:rsidRPr="00967AC5">
        <w:t xml:space="preserve"> </w:t>
      </w:r>
    </w:p>
    <w:p w14:paraId="149C4C1C" w14:textId="5BC8DDD3" w:rsidR="009910F0" w:rsidRPr="00967AC5" w:rsidRDefault="009910F0" w:rsidP="009910F0">
      <w:pPr>
        <w:pStyle w:val="ECCBulletsLv1"/>
      </w:pPr>
      <w:r w:rsidRPr="00967AC5">
        <w:t>Wideband systems (such as 5G N</w:t>
      </w:r>
      <w:r w:rsidR="007650E6" w:rsidRPr="00967AC5">
        <w:t xml:space="preserve">ew </w:t>
      </w:r>
      <w:r w:rsidRPr="00967AC5">
        <w:t>R</w:t>
      </w:r>
      <w:r w:rsidR="007650E6" w:rsidRPr="00967AC5">
        <w:t>adio (NR)</w:t>
      </w:r>
      <w:r w:rsidRPr="00967AC5">
        <w:t>) with typical block size of 5 MHz or more</w:t>
      </w:r>
      <w:r w:rsidR="00AF07A5" w:rsidRPr="00967AC5">
        <w:t>;</w:t>
      </w:r>
    </w:p>
    <w:p w14:paraId="0A2698E0" w14:textId="332EB5BF" w:rsidR="00302469" w:rsidRPr="00967AC5" w:rsidRDefault="00302469" w:rsidP="001360C4">
      <w:pPr>
        <w:pStyle w:val="ECCBulletsLv1"/>
      </w:pPr>
      <w:r w:rsidRPr="00967AC5">
        <w:t xml:space="preserve">IoT (non-standalone) systems covered with the 5 MHz block size </w:t>
      </w:r>
      <w:r w:rsidR="00AD135B" w:rsidRPr="00967AC5">
        <w:t>or m</w:t>
      </w:r>
      <w:r w:rsidR="00F73AF6" w:rsidRPr="00967AC5">
        <w:t>ore;</w:t>
      </w:r>
      <w:r w:rsidRPr="00967AC5">
        <w:t xml:space="preserve"> </w:t>
      </w:r>
    </w:p>
    <w:p w14:paraId="05C387A5" w14:textId="5A6CBFAA" w:rsidR="00302469" w:rsidRPr="00967AC5" w:rsidRDefault="00302469" w:rsidP="001360C4">
      <w:pPr>
        <w:pStyle w:val="ECCBulletsLv1"/>
      </w:pPr>
      <w:r w:rsidRPr="00967AC5">
        <w:t>Migration towards 5G (NR)</w:t>
      </w:r>
      <w:r w:rsidR="00AF07A5" w:rsidRPr="00967AC5">
        <w:t>;</w:t>
      </w:r>
      <w:r w:rsidRPr="00967AC5">
        <w:t xml:space="preserve"> </w:t>
      </w:r>
    </w:p>
    <w:p w14:paraId="3937763F" w14:textId="08911B0C" w:rsidR="00302469" w:rsidRPr="00967AC5" w:rsidRDefault="00302469" w:rsidP="001360C4">
      <w:pPr>
        <w:pStyle w:val="ECCBulletsLv1"/>
      </w:pPr>
      <w:r w:rsidRPr="00967AC5">
        <w:t>Uplink and downlink mode operations</w:t>
      </w:r>
      <w:r w:rsidR="00AF07A5" w:rsidRPr="00967AC5">
        <w:t>;</w:t>
      </w:r>
      <w:r w:rsidRPr="00967AC5">
        <w:t xml:space="preserve"> </w:t>
      </w:r>
    </w:p>
    <w:p w14:paraId="1FC0164C" w14:textId="5A7B1B54" w:rsidR="00302469" w:rsidRPr="00967AC5" w:rsidRDefault="00302469" w:rsidP="001360C4">
      <w:pPr>
        <w:pStyle w:val="ECCBulletsLv1"/>
      </w:pPr>
      <w:r w:rsidRPr="00967AC5">
        <w:t xml:space="preserve">Guard band at the edge of </w:t>
      </w:r>
      <w:r w:rsidR="00711320" w:rsidRPr="00967AC5">
        <w:t xml:space="preserve">the </w:t>
      </w:r>
      <w:r w:rsidRPr="00967AC5">
        <w:t>900/1800 MHz harmonised bands</w:t>
      </w:r>
      <w:r w:rsidR="00AF07A5" w:rsidRPr="00967AC5">
        <w:t>;</w:t>
      </w:r>
      <w:r w:rsidRPr="00967AC5">
        <w:t xml:space="preserve"> </w:t>
      </w:r>
    </w:p>
    <w:p w14:paraId="2724190F" w14:textId="77777777" w:rsidR="00302469" w:rsidRPr="00967AC5" w:rsidRDefault="00302469" w:rsidP="001360C4">
      <w:pPr>
        <w:pStyle w:val="ECCBulletsLv1"/>
      </w:pPr>
      <w:r w:rsidRPr="00967AC5">
        <w:t>Options on how to implement frequency separation at national level.</w:t>
      </w:r>
    </w:p>
    <w:p w14:paraId="5129AE7B" w14:textId="77777777" w:rsidR="001360C4" w:rsidRPr="00967AC5" w:rsidRDefault="001360C4" w:rsidP="006D2E7F">
      <w:pPr>
        <w:pStyle w:val="ECCParagraph"/>
        <w:spacing w:before="60" w:after="0"/>
      </w:pPr>
    </w:p>
    <w:p w14:paraId="62C84AE7" w14:textId="40AE1D7F" w:rsidR="00917BA9" w:rsidRPr="00967AC5" w:rsidRDefault="00302469">
      <w:pPr>
        <w:pStyle w:val="ECCParagraph"/>
        <w:rPr>
          <w:rFonts w:eastAsiaTheme="minorEastAsia"/>
        </w:rPr>
      </w:pPr>
      <w:r w:rsidRPr="00967AC5">
        <w:t>Concerning NB</w:t>
      </w:r>
      <w:r w:rsidR="00D1069D" w:rsidRPr="00967AC5">
        <w:t xml:space="preserve"> systems</w:t>
      </w:r>
      <w:r w:rsidRPr="00967AC5">
        <w:t xml:space="preserve"> and WB</w:t>
      </w:r>
      <w:r w:rsidR="00BA047D">
        <w:t xml:space="preserve"> </w:t>
      </w:r>
      <w:r w:rsidRPr="00967AC5">
        <w:t>systems, CEPT agreed to derive the BEM from unwanted emissions based on ETSI technical specifications</w:t>
      </w:r>
      <w:r w:rsidR="00917BA9" w:rsidRPr="00967AC5">
        <w:t xml:space="preserve"> </w:t>
      </w:r>
      <w:r w:rsidR="00024035" w:rsidRPr="00967AC5">
        <w:t xml:space="preserve">(core requirements) </w:t>
      </w:r>
      <w:r w:rsidR="00917BA9" w:rsidRPr="00967AC5">
        <w:t>resulting in a</w:t>
      </w:r>
      <w:r w:rsidR="00917BA9" w:rsidRPr="00967AC5">
        <w:rPr>
          <w:rFonts w:eastAsia="Calibri"/>
        </w:rPr>
        <w:t xml:space="preserve"> single BEM defined for non-AAS NB</w:t>
      </w:r>
      <w:r w:rsidR="00D1069D" w:rsidRPr="00967AC5">
        <w:rPr>
          <w:rFonts w:eastAsia="Calibri"/>
        </w:rPr>
        <w:t xml:space="preserve"> systems </w:t>
      </w:r>
      <w:r w:rsidR="00917BA9" w:rsidRPr="00967AC5">
        <w:rPr>
          <w:rFonts w:eastAsia="Calibri"/>
        </w:rPr>
        <w:t xml:space="preserve"> and WB</w:t>
      </w:r>
      <w:r w:rsidR="00BA047D">
        <w:rPr>
          <w:rFonts w:eastAsia="Calibri"/>
        </w:rPr>
        <w:t xml:space="preserve"> </w:t>
      </w:r>
      <w:r w:rsidR="00917BA9" w:rsidRPr="00967AC5">
        <w:rPr>
          <w:rFonts w:eastAsia="Calibri"/>
        </w:rPr>
        <w:t xml:space="preserve">systems and </w:t>
      </w:r>
      <w:r w:rsidR="00917BA9" w:rsidRPr="00967AC5">
        <w:rPr>
          <w:rFonts w:eastAsiaTheme="minorEastAsia"/>
        </w:rPr>
        <w:t xml:space="preserve">a single BEM defined for AAS WB systems (see </w:t>
      </w:r>
      <w:r w:rsidR="00AF07A5" w:rsidRPr="00967AC5">
        <w:rPr>
          <w:rFonts w:eastAsiaTheme="minorEastAsia"/>
        </w:rPr>
        <w:t>s</w:t>
      </w:r>
      <w:r w:rsidR="00917BA9" w:rsidRPr="00967AC5">
        <w:rPr>
          <w:rFonts w:eastAsiaTheme="minorEastAsia"/>
        </w:rPr>
        <w:t xml:space="preserve">ection </w:t>
      </w:r>
      <w:r w:rsidR="00917BA9" w:rsidRPr="00967AC5">
        <w:rPr>
          <w:rFonts w:eastAsiaTheme="minorEastAsia"/>
        </w:rPr>
        <w:fldChar w:fldCharType="begin"/>
      </w:r>
      <w:r w:rsidR="00917BA9" w:rsidRPr="00967AC5">
        <w:rPr>
          <w:rFonts w:eastAsiaTheme="minorEastAsia"/>
        </w:rPr>
        <w:instrText xml:space="preserve"> REF _Ref62117959 \r \h  \* MERGEFORMAT </w:instrText>
      </w:r>
      <w:r w:rsidR="00917BA9" w:rsidRPr="00967AC5">
        <w:rPr>
          <w:rFonts w:eastAsiaTheme="minorEastAsia"/>
        </w:rPr>
      </w:r>
      <w:r w:rsidR="00917BA9" w:rsidRPr="00967AC5">
        <w:rPr>
          <w:rFonts w:eastAsiaTheme="minorEastAsia"/>
        </w:rPr>
        <w:fldChar w:fldCharType="separate"/>
      </w:r>
      <w:r w:rsidR="00680BB5" w:rsidRPr="00967AC5">
        <w:rPr>
          <w:rFonts w:eastAsiaTheme="minorEastAsia"/>
        </w:rPr>
        <w:t>3.4</w:t>
      </w:r>
      <w:r w:rsidR="00917BA9" w:rsidRPr="00967AC5">
        <w:rPr>
          <w:rFonts w:eastAsiaTheme="minorEastAsia"/>
        </w:rPr>
        <w:fldChar w:fldCharType="end"/>
      </w:r>
      <w:r w:rsidR="00917BA9" w:rsidRPr="00967AC5">
        <w:rPr>
          <w:rFonts w:eastAsiaTheme="minorEastAsia"/>
        </w:rPr>
        <w:t>)</w:t>
      </w:r>
      <w:r w:rsidR="00917BA9" w:rsidRPr="00967AC5">
        <w:rPr>
          <w:rFonts w:eastAsia="Calibri"/>
        </w:rPr>
        <w:t>.</w:t>
      </w:r>
      <w:r w:rsidR="00917BA9" w:rsidRPr="00967AC5">
        <w:rPr>
          <w:rFonts w:eastAsiaTheme="minorEastAsia"/>
        </w:rPr>
        <w:t xml:space="preserve"> </w:t>
      </w:r>
    </w:p>
    <w:p w14:paraId="3E52310B" w14:textId="3CAA9AF7" w:rsidR="006744FA" w:rsidRPr="00967AC5" w:rsidRDefault="006744FA">
      <w:pPr>
        <w:pStyle w:val="ECCParagraph"/>
        <w:rPr>
          <w:rFonts w:eastAsia="Calibri"/>
        </w:rPr>
      </w:pPr>
      <w:r w:rsidRPr="00967AC5">
        <w:t>CEPT recognis</w:t>
      </w:r>
      <w:r w:rsidR="00DE4E3E" w:rsidRPr="00967AC5">
        <w:t>e</w:t>
      </w:r>
      <w:r w:rsidRPr="00967AC5">
        <w:t>s that ETSI H</w:t>
      </w:r>
      <w:r w:rsidR="00C60666" w:rsidRPr="00967AC5">
        <w:t xml:space="preserve">armonised </w:t>
      </w:r>
      <w:r w:rsidRPr="00967AC5">
        <w:t>S</w:t>
      </w:r>
      <w:r w:rsidR="00C60666" w:rsidRPr="00967AC5">
        <w:t>tandards</w:t>
      </w:r>
      <w:r w:rsidRPr="00967AC5">
        <w:t xml:space="preserve"> that are referred to in the annex of </w:t>
      </w:r>
      <w:r w:rsidR="00CC628B" w:rsidRPr="00967AC5">
        <w:t xml:space="preserve">current </w:t>
      </w:r>
      <w:r w:rsidRPr="00967AC5">
        <w:t>ECC</w:t>
      </w:r>
      <w:r w:rsidR="0046524A" w:rsidRPr="00967AC5">
        <w:t xml:space="preserve"> and </w:t>
      </w:r>
      <w:r w:rsidRPr="00967AC5">
        <w:t>EC Decisions</w:t>
      </w:r>
      <w:r w:rsidR="0046524A" w:rsidRPr="00967AC5">
        <w:t xml:space="preserve">, available during development of this Report, </w:t>
      </w:r>
      <w:r w:rsidRPr="00967AC5">
        <w:t xml:space="preserve">are based on conformance requirements (including test tolerance) and assumes that ETSI will continue using conformance requirements </w:t>
      </w:r>
      <w:r w:rsidR="002740CF" w:rsidRPr="00967AC5">
        <w:t xml:space="preserve">as such </w:t>
      </w:r>
      <w:r w:rsidRPr="00967AC5">
        <w:t>when developing ETSI HS in the future (including necessary test tolerance).</w:t>
      </w:r>
    </w:p>
    <w:p w14:paraId="6F3A8974" w14:textId="021FE331" w:rsidR="00302469" w:rsidRPr="00967AC5" w:rsidRDefault="00302469">
      <w:pPr>
        <w:pStyle w:val="ECCParagraph"/>
        <w:rPr>
          <w:rFonts w:eastAsia="Calibri"/>
          <w:iCs/>
        </w:rPr>
      </w:pPr>
      <w:r w:rsidRPr="00967AC5">
        <w:rPr>
          <w:rFonts w:eastAsia="Calibri"/>
          <w:iCs/>
        </w:rPr>
        <w:t xml:space="preserve">Although the following systems: </w:t>
      </w:r>
      <w:r w:rsidRPr="00967AC5">
        <w:rPr>
          <w:rFonts w:eastAsia="Calibri"/>
        </w:rPr>
        <w:t>UMTS, WiMAX, NR, NB-IoT and LTE,</w:t>
      </w:r>
      <w:r w:rsidRPr="00967AC5">
        <w:rPr>
          <w:rFonts w:eastAsia="Calibri"/>
          <w:iCs/>
        </w:rPr>
        <w:t xml:space="preserve"> excluding GSM, could be covered by a common </w:t>
      </w:r>
      <w:r w:rsidRPr="00967AC5">
        <w:rPr>
          <w:rFonts w:eastAsia="Calibri"/>
        </w:rPr>
        <w:t>set of LRTC</w:t>
      </w:r>
      <w:r w:rsidR="00C22649" w:rsidRPr="00967AC5">
        <w:rPr>
          <w:rFonts w:eastAsia="Calibri"/>
        </w:rPr>
        <w:t>s</w:t>
      </w:r>
      <w:r w:rsidR="009008F8" w:rsidRPr="00967AC5">
        <w:rPr>
          <w:rFonts w:eastAsia="Calibri"/>
        </w:rPr>
        <w:t xml:space="preserve"> </w:t>
      </w:r>
      <w:r w:rsidRPr="00967AC5">
        <w:rPr>
          <w:rFonts w:eastAsia="Calibri"/>
        </w:rPr>
        <w:t>which are compliant with the princip</w:t>
      </w:r>
      <w:r w:rsidR="00FE52BA" w:rsidRPr="00967AC5">
        <w:rPr>
          <w:rFonts w:eastAsia="Calibri"/>
        </w:rPr>
        <w:t>l</w:t>
      </w:r>
      <w:r w:rsidR="00DA2EB9" w:rsidRPr="00967AC5">
        <w:rPr>
          <w:rFonts w:eastAsia="Calibri"/>
        </w:rPr>
        <w:t>e</w:t>
      </w:r>
      <w:r w:rsidRPr="00967AC5">
        <w:rPr>
          <w:rFonts w:eastAsia="Calibri"/>
        </w:rPr>
        <w:t xml:space="preserve"> of technology neutrality</w:t>
      </w:r>
      <w:r w:rsidRPr="00967AC5">
        <w:rPr>
          <w:rFonts w:eastAsia="Calibri"/>
          <w:iCs/>
        </w:rPr>
        <w:t xml:space="preserve"> (a common BEM) there is still a need to differentiate </w:t>
      </w:r>
      <w:r w:rsidRPr="00967AC5">
        <w:rPr>
          <w:rFonts w:eastAsia="Calibri"/>
        </w:rPr>
        <w:t>between NB</w:t>
      </w:r>
      <w:r w:rsidR="00D1069D" w:rsidRPr="00967AC5">
        <w:rPr>
          <w:rFonts w:eastAsia="Calibri"/>
        </w:rPr>
        <w:t xml:space="preserve"> systems</w:t>
      </w:r>
      <w:r w:rsidR="00A13948" w:rsidRPr="00967AC5">
        <w:rPr>
          <w:rFonts w:eastAsia="Calibri"/>
        </w:rPr>
        <w:t xml:space="preserve"> </w:t>
      </w:r>
      <w:r w:rsidR="00A13948" w:rsidRPr="00967AC5">
        <w:rPr>
          <w:rFonts w:eastAsia="Calibri"/>
          <w:iCs/>
        </w:rPr>
        <w:t>and WB</w:t>
      </w:r>
      <w:r w:rsidRPr="00967AC5">
        <w:rPr>
          <w:rFonts w:eastAsia="Calibri"/>
        </w:rPr>
        <w:t xml:space="preserve"> </w:t>
      </w:r>
      <w:r w:rsidRPr="00967AC5">
        <w:rPr>
          <w:rFonts w:eastAsia="Calibri"/>
          <w:iCs/>
        </w:rPr>
        <w:t>systems in the LRTC for implementation of the frequency separation.</w:t>
      </w:r>
    </w:p>
    <w:p w14:paraId="025836EC" w14:textId="7CEF777B" w:rsidR="00BA15A0" w:rsidRPr="00967AC5" w:rsidRDefault="00BA15A0" w:rsidP="00261CB8">
      <w:pPr>
        <w:pStyle w:val="ECCParagraph"/>
      </w:pPr>
      <w:r w:rsidRPr="00967AC5">
        <w:lastRenderedPageBreak/>
        <w:t>According to national context, there is a need for a 200 kHz frequency separation between the nominal channel edges of adjacent NB and WB ECS systems, and between the nominal channel edges of two different adjacent NB ECS systems’ (including GSM/</w:t>
      </w:r>
      <w:r w:rsidR="00AA0330" w:rsidRPr="00967AC5">
        <w:t>EC-GSM-</w:t>
      </w:r>
      <w:r w:rsidRPr="00967AC5">
        <w:t>IoT).</w:t>
      </w:r>
    </w:p>
    <w:p w14:paraId="0D3FA33A" w14:textId="4D3A4ADD" w:rsidR="00BA15A0" w:rsidRPr="00967AC5" w:rsidRDefault="00BA15A0" w:rsidP="00261CB8">
      <w:pPr>
        <w:pStyle w:val="ECCParagraph"/>
      </w:pPr>
      <w:r w:rsidRPr="00967AC5">
        <w:t xml:space="preserve">For the relevant NB system operating in a </w:t>
      </w:r>
      <w:r w:rsidR="007C4912" w:rsidRPr="00967AC5">
        <w:t>guard</w:t>
      </w:r>
      <w:r w:rsidR="00280AF2" w:rsidRPr="00967AC5">
        <w:t xml:space="preserve"> </w:t>
      </w:r>
      <w:r w:rsidRPr="00967AC5">
        <w:t xml:space="preserve">band mode of a relevant WB system, a frequency separation of 200 kHz or more is necessary, between the channel edge of this NB system and the edge of the operator's block, taking into account existing guard bands between operators' block edges or the edge of the operating band (adjacent to other services). This </w:t>
      </w:r>
      <w:r w:rsidR="007C4912" w:rsidRPr="00967AC5">
        <w:t xml:space="preserve">guard </w:t>
      </w:r>
      <w:r w:rsidR="00E16DC6" w:rsidRPr="00967AC5">
        <w:t xml:space="preserve">band </w:t>
      </w:r>
      <w:r w:rsidRPr="00967AC5">
        <w:t>NB system operates only in channel bandwidths of 10 MHz or higher.</w:t>
      </w:r>
    </w:p>
    <w:p w14:paraId="5D6590FB" w14:textId="5056CEF6" w:rsidR="00BA15A0" w:rsidRPr="00967AC5" w:rsidRDefault="00BA15A0" w:rsidP="00261CB8">
      <w:pPr>
        <w:pStyle w:val="ECCParagraph"/>
      </w:pPr>
      <w:r w:rsidRPr="00967AC5">
        <w:t>The above frequency separations are required to ensure coexistence in the absence of bilateral or multilateral agreements between neighbouring networks without precluding less stringent technical parameters if agreed among the operators of such networks.</w:t>
      </w:r>
    </w:p>
    <w:p w14:paraId="1C77E4C3" w14:textId="77777777" w:rsidR="00BA15A0" w:rsidRPr="00967AC5" w:rsidRDefault="00BA15A0" w:rsidP="00261CB8">
      <w:pPr>
        <w:pStyle w:val="ECCParagraph"/>
      </w:pPr>
      <w:r w:rsidRPr="00967AC5">
        <w:t>The implementation of this 200 kHz frequency separation needs to be addressed by regulatory measures at national level in order to maintain spectrum efficiency. Various approaches could be implemented either separately or simultaneously depending on the spectrum edges of adjacent ECS networks.</w:t>
      </w:r>
    </w:p>
    <w:p w14:paraId="558A0420" w14:textId="37F3CE4A" w:rsidR="00053329" w:rsidRPr="00967AC5" w:rsidRDefault="00053329" w:rsidP="00176BCE">
      <w:pPr>
        <w:pStyle w:val="ECCParagraph"/>
      </w:pPr>
      <w:r w:rsidRPr="00967AC5">
        <w:t>CEPT agreed to avoid new additional studies in order to derive the LRTC, including the coexistence with all adjacent services. CEPT also agreed to avoid additional constraints to systems deployed under the current regulatory framework. Therefore, the proposed approach to be followed</w:t>
      </w:r>
      <w:r w:rsidR="00E06585" w:rsidRPr="00967AC5">
        <w:t>,</w:t>
      </w:r>
      <w:r w:rsidRPr="00967AC5">
        <w:t xml:space="preserve"> to ensure coexistence with the relevant adjacent </w:t>
      </w:r>
      <w:r w:rsidR="00C64897" w:rsidRPr="00967AC5">
        <w:t xml:space="preserve">band </w:t>
      </w:r>
      <w:r w:rsidRPr="00967AC5">
        <w:t>systems while avoiding additional studies</w:t>
      </w:r>
      <w:r w:rsidR="00E06585" w:rsidRPr="00967AC5">
        <w:t>,</w:t>
      </w:r>
      <w:r w:rsidRPr="00967AC5">
        <w:t xml:space="preserve"> </w:t>
      </w:r>
      <w:r w:rsidR="0060409F" w:rsidRPr="00967AC5">
        <w:t>is as follows</w:t>
      </w:r>
      <w:r w:rsidRPr="00967AC5">
        <w:t>:</w:t>
      </w:r>
    </w:p>
    <w:p w14:paraId="2ACD22AF" w14:textId="1F3DD004" w:rsidR="00053329" w:rsidRPr="00967AC5" w:rsidRDefault="00053329" w:rsidP="00053329">
      <w:pPr>
        <w:pStyle w:val="ECCBulletsLv1"/>
      </w:pPr>
      <w:r w:rsidRPr="00967AC5">
        <w:t>Identify the appropriate ECC/CEPT Reports which were used to confirm coexistence between existing MFCN technologies in the 900/1800 MHz bands and the relevant adjacent services</w:t>
      </w:r>
      <w:r w:rsidR="00176BCE" w:rsidRPr="00967AC5">
        <w:t>;</w:t>
      </w:r>
    </w:p>
    <w:p w14:paraId="1AB84BFF" w14:textId="45147E5B" w:rsidR="00053329" w:rsidRPr="00967AC5" w:rsidRDefault="00053329" w:rsidP="00053329">
      <w:pPr>
        <w:pStyle w:val="ECCBulletsLv1"/>
      </w:pPr>
      <w:r w:rsidRPr="00967AC5">
        <w:t>Demonstrate how the new technology</w:t>
      </w:r>
      <w:r w:rsidR="00F91806" w:rsidRPr="00967AC5">
        <w:t xml:space="preserve"> </w:t>
      </w:r>
      <w:r w:rsidRPr="00967AC5">
        <w:t>neutral LRTC (including new technologies) can ensure that this coexistence remains for all systems that comply with these technology</w:t>
      </w:r>
      <w:r w:rsidR="00F91806" w:rsidRPr="00967AC5">
        <w:t xml:space="preserve"> </w:t>
      </w:r>
      <w:r w:rsidRPr="00967AC5">
        <w:t>neutral LRTCs</w:t>
      </w:r>
      <w:r w:rsidR="00176BCE" w:rsidRPr="00967AC5">
        <w:t>;</w:t>
      </w:r>
    </w:p>
    <w:p w14:paraId="2B4846DC" w14:textId="536C540C" w:rsidR="00053329" w:rsidRPr="00967AC5" w:rsidRDefault="00053329" w:rsidP="00053329">
      <w:pPr>
        <w:pStyle w:val="ECCBulletsLv1"/>
        <w:numPr>
          <w:ilvl w:val="1"/>
          <w:numId w:val="15"/>
        </w:numPr>
        <w:ind w:left="709"/>
      </w:pPr>
      <w:r w:rsidRPr="00967AC5">
        <w:t>Recalling that the technology</w:t>
      </w:r>
      <w:r w:rsidR="00F91806" w:rsidRPr="00967AC5">
        <w:t xml:space="preserve"> </w:t>
      </w:r>
      <w:r w:rsidRPr="00967AC5">
        <w:t xml:space="preserve">neutral out-of-block limits (baseline and transitional) have been derived from ETSI TS unwanted emissions of an existing MFCN technology (see </w:t>
      </w:r>
      <w:r w:rsidR="00176BCE" w:rsidRPr="00967AC5">
        <w:t>s</w:t>
      </w:r>
      <w:r w:rsidRPr="00967AC5">
        <w:t xml:space="preserve">ection </w:t>
      </w:r>
      <w:r w:rsidRPr="00967AC5">
        <w:fldChar w:fldCharType="begin"/>
      </w:r>
      <w:r w:rsidRPr="00967AC5">
        <w:instrText xml:space="preserve"> REF _Ref62053974 \r \h  \* MERGEFORMAT </w:instrText>
      </w:r>
      <w:r w:rsidRPr="00967AC5">
        <w:fldChar w:fldCharType="separate"/>
      </w:r>
      <w:r w:rsidR="00680BB5" w:rsidRPr="00967AC5">
        <w:t>3.4.4.1</w:t>
      </w:r>
      <w:r w:rsidRPr="00967AC5">
        <w:fldChar w:fldCharType="end"/>
      </w:r>
      <w:r w:rsidRPr="00967AC5">
        <w:t xml:space="preserve">). Unless an additional baseline limit is defined, these out-of-block limits also apply </w:t>
      </w:r>
      <w:r w:rsidR="00C64897" w:rsidRPr="00967AC5">
        <w:t xml:space="preserve">in </w:t>
      </w:r>
      <w:r w:rsidRPr="00967AC5">
        <w:t>out-of-band</w:t>
      </w:r>
      <w:r w:rsidR="00C64897" w:rsidRPr="00967AC5">
        <w:t xml:space="preserve"> domain</w:t>
      </w:r>
      <w:r w:rsidR="00176BCE" w:rsidRPr="00967AC5">
        <w:t>;</w:t>
      </w:r>
    </w:p>
    <w:p w14:paraId="0ED33BDE" w14:textId="1AB6DA2D" w:rsidR="00053329" w:rsidRPr="00967AC5" w:rsidRDefault="00053329" w:rsidP="00053329">
      <w:pPr>
        <w:pStyle w:val="ECCBulletsLv1"/>
        <w:numPr>
          <w:ilvl w:val="1"/>
          <w:numId w:val="15"/>
        </w:numPr>
        <w:ind w:left="709"/>
      </w:pPr>
      <w:r w:rsidRPr="00967AC5">
        <w:t>Recalling that the new technology</w:t>
      </w:r>
      <w:r w:rsidR="00F91806" w:rsidRPr="00967AC5">
        <w:t xml:space="preserve"> </w:t>
      </w:r>
      <w:r w:rsidRPr="00967AC5">
        <w:t>neutral LRTC are compatible with all existing MFCN technologies (UMTS, WiMAX, LTE</w:t>
      </w:r>
      <w:r w:rsidR="00765AA3" w:rsidRPr="00967AC5">
        <w:t xml:space="preserve"> and</w:t>
      </w:r>
      <w:r w:rsidRPr="00967AC5">
        <w:t xml:space="preserve"> </w:t>
      </w:r>
      <w:r w:rsidR="00CA283D" w:rsidRPr="00967AC5">
        <w:t>NB-</w:t>
      </w:r>
      <w:r w:rsidRPr="00967AC5">
        <w:t>IoT), which have already been studied to ensure coexistence with the relevant adjacent band systems</w:t>
      </w:r>
      <w:r w:rsidR="00176BCE" w:rsidRPr="00967AC5">
        <w:t>;</w:t>
      </w:r>
    </w:p>
    <w:p w14:paraId="0A1AC739" w14:textId="73DCA0F9" w:rsidR="00053329" w:rsidRPr="00967AC5" w:rsidRDefault="00053329" w:rsidP="00053329">
      <w:pPr>
        <w:pStyle w:val="ECCBulletsLv1"/>
        <w:numPr>
          <w:ilvl w:val="1"/>
          <w:numId w:val="15"/>
        </w:numPr>
        <w:ind w:left="709"/>
      </w:pPr>
      <w:r w:rsidRPr="00967AC5">
        <w:t>Using these facts to demonstrate that coexistence remains for all systems that comply with the new technology</w:t>
      </w:r>
      <w:r w:rsidR="00F91806" w:rsidRPr="00967AC5">
        <w:t xml:space="preserve"> </w:t>
      </w:r>
      <w:r w:rsidRPr="00967AC5">
        <w:t>neutral LRTCs (including new technologies)</w:t>
      </w:r>
      <w:r w:rsidR="00176BCE" w:rsidRPr="00967AC5">
        <w:t>;</w:t>
      </w:r>
    </w:p>
    <w:p w14:paraId="6AF411AA" w14:textId="72186C3C" w:rsidR="00053329" w:rsidRPr="00967AC5" w:rsidRDefault="00053329" w:rsidP="00053329">
      <w:pPr>
        <w:pStyle w:val="ECCBulletsLv1"/>
      </w:pPr>
      <w:r w:rsidRPr="00967AC5">
        <w:t>Recall the various coexistence conditions resulting from the ECC/CEPT Reports to confirm coexistence between MFCN systems complying with the proposed technology neutral LRTC and all relevant adjacent services.</w:t>
      </w:r>
    </w:p>
    <w:p w14:paraId="305687DE" w14:textId="77777777" w:rsidR="00053329" w:rsidRPr="00967AC5" w:rsidRDefault="00053329" w:rsidP="00053329">
      <w:pPr>
        <w:rPr>
          <w:rFonts w:cs="Arial"/>
          <w:lang w:val="en-GB"/>
        </w:rPr>
      </w:pPr>
    </w:p>
    <w:p w14:paraId="3A75D570" w14:textId="2DFD3CB3" w:rsidR="00053329" w:rsidRPr="00967AC5" w:rsidRDefault="00053329" w:rsidP="00053329">
      <w:pPr>
        <w:pStyle w:val="ECCParagraph"/>
        <w:rPr>
          <w:b/>
        </w:rPr>
      </w:pPr>
      <w:r w:rsidRPr="00967AC5">
        <w:t>This is the same approach that was used in this report to ensure coexistence between the technology neutral LRTC and GSM in-band (</w:t>
      </w:r>
      <w:r w:rsidR="00D22C84" w:rsidRPr="00967AC5">
        <w:t xml:space="preserve">see </w:t>
      </w:r>
      <w:r w:rsidRPr="00967AC5">
        <w:t>section</w:t>
      </w:r>
      <w:r w:rsidR="00176BCE" w:rsidRPr="00967AC5">
        <w:t xml:space="preserve"> </w:t>
      </w:r>
      <w:r w:rsidRPr="00967AC5">
        <w:fldChar w:fldCharType="begin"/>
      </w:r>
      <w:r w:rsidRPr="00967AC5">
        <w:instrText xml:space="preserve"> REF _Ref59205982 \r \h  \* MERGEFORMAT </w:instrText>
      </w:r>
      <w:r w:rsidRPr="00967AC5">
        <w:fldChar w:fldCharType="separate"/>
      </w:r>
      <w:r w:rsidR="00680BB5" w:rsidRPr="00967AC5">
        <w:t>3.2</w:t>
      </w:r>
      <w:r w:rsidRPr="00967AC5">
        <w:fldChar w:fldCharType="end"/>
      </w:r>
      <w:r w:rsidRPr="00967AC5">
        <w:t>).</w:t>
      </w:r>
    </w:p>
    <w:p w14:paraId="72EED61A" w14:textId="77777777" w:rsidR="00302469" w:rsidRPr="00967AC5" w:rsidRDefault="00302469" w:rsidP="00302469">
      <w:pPr>
        <w:rPr>
          <w:rFonts w:eastAsia="Calibri"/>
          <w:iCs/>
          <w:lang w:val="en-GB"/>
        </w:rPr>
      </w:pPr>
      <w:r w:rsidRPr="00967AC5">
        <w:rPr>
          <w:rFonts w:eastAsia="Calibri"/>
          <w:iCs/>
          <w:lang w:val="en-GB"/>
        </w:rPr>
        <w:t>Coexistence between ECS systems in the 900 MHz and 1800 MHz frequency bands and the following services in adjacent bands have been analysed:</w:t>
      </w:r>
    </w:p>
    <w:p w14:paraId="08948DE3" w14:textId="6EB420B0" w:rsidR="00302469" w:rsidRPr="00967AC5" w:rsidRDefault="00B8631E" w:rsidP="00302469">
      <w:pPr>
        <w:pStyle w:val="ECCBulletsLv1"/>
      </w:pPr>
      <w:r w:rsidRPr="00967AC5">
        <w:t xml:space="preserve">900 MHz adjacent systems: GSM-R/E-GSM-R, FRMCS, PMR/PAMR, </w:t>
      </w:r>
      <w:r w:rsidRPr="00967AC5">
        <w:rPr>
          <w:iCs/>
          <w:szCs w:val="24"/>
        </w:rPr>
        <w:t>aeronautical radio</w:t>
      </w:r>
      <w:r w:rsidRPr="00967AC5">
        <w:t xml:space="preserve"> navigation (DME/L-DACS), </w:t>
      </w:r>
      <w:r w:rsidRPr="00967AC5">
        <w:rPr>
          <w:iCs/>
          <w:szCs w:val="24"/>
        </w:rPr>
        <w:t>aeronautical mobile service communication</w:t>
      </w:r>
      <w:r w:rsidRPr="00967AC5">
        <w:t xml:space="preserve"> systems and MIDS (Military NATO);</w:t>
      </w:r>
    </w:p>
    <w:p w14:paraId="2AA60D44" w14:textId="797C5EA4" w:rsidR="00302469" w:rsidRPr="00967AC5" w:rsidRDefault="00302469" w:rsidP="00302469">
      <w:pPr>
        <w:pStyle w:val="ECCBulletsLv1"/>
      </w:pPr>
      <w:r w:rsidRPr="00967AC5">
        <w:t>1800 MHz adjacent systems: DECT, MetSat</w:t>
      </w:r>
      <w:r w:rsidR="00EE0D36">
        <w:t xml:space="preserve"> (w</w:t>
      </w:r>
      <w:r w:rsidR="00EE0D36" w:rsidRPr="00967AC5">
        <w:t xml:space="preserve">eather </w:t>
      </w:r>
      <w:r w:rsidR="00EE0D36">
        <w:t>s</w:t>
      </w:r>
      <w:r w:rsidR="00EE0D36" w:rsidRPr="00967AC5">
        <w:t>atellite</w:t>
      </w:r>
      <w:r w:rsidR="00EE0D36">
        <w:t>)</w:t>
      </w:r>
      <w:r w:rsidR="00940C03" w:rsidRPr="00967AC5">
        <w:rPr>
          <w:iCs/>
          <w:szCs w:val="24"/>
        </w:rPr>
        <w:t>, fixed</w:t>
      </w:r>
      <w:r w:rsidR="003B0653" w:rsidRPr="00967AC5">
        <w:rPr>
          <w:iCs/>
          <w:szCs w:val="24"/>
        </w:rPr>
        <w:t xml:space="preserve"> telemetry</w:t>
      </w:r>
      <w:r w:rsidR="003B0653" w:rsidRPr="00967AC5">
        <w:t xml:space="preserve"> </w:t>
      </w:r>
      <w:r w:rsidRPr="00967AC5">
        <w:t>(</w:t>
      </w:r>
      <w:r w:rsidR="00C8029B">
        <w:t>d</w:t>
      </w:r>
      <w:r w:rsidR="00C8029B" w:rsidRPr="00967AC5">
        <w:t>efence</w:t>
      </w:r>
      <w:r w:rsidRPr="00967AC5">
        <w:t xml:space="preserve">), radio microphones and </w:t>
      </w:r>
      <w:r w:rsidR="005B628D" w:rsidRPr="00967AC5">
        <w:rPr>
          <w:iCs/>
          <w:szCs w:val="24"/>
        </w:rPr>
        <w:t>fixed service</w:t>
      </w:r>
      <w:r w:rsidRPr="00967AC5">
        <w:t>.</w:t>
      </w:r>
    </w:p>
    <w:p w14:paraId="5CFEDE2F" w14:textId="2182F393" w:rsidR="00813007" w:rsidRPr="00967AC5" w:rsidRDefault="00813007" w:rsidP="006C4BCA">
      <w:pPr>
        <w:pStyle w:val="ECCParagraph"/>
        <w:spacing w:after="60"/>
      </w:pPr>
    </w:p>
    <w:p w14:paraId="12D45D25" w14:textId="655C3C11" w:rsidR="00813007" w:rsidRPr="00967AC5" w:rsidRDefault="00813007" w:rsidP="00261CB8">
      <w:pPr>
        <w:pStyle w:val="ECCParagraph"/>
      </w:pPr>
      <w:r w:rsidRPr="00967AC5">
        <w:rPr>
          <w:rFonts w:eastAsia="Calibri"/>
        </w:rPr>
        <w:t xml:space="preserve">This CEPT Report </w:t>
      </w:r>
      <w:r w:rsidR="007F06FE" w:rsidRPr="00967AC5">
        <w:rPr>
          <w:rFonts w:eastAsia="Calibri"/>
        </w:rPr>
        <w:t>define</w:t>
      </w:r>
      <w:r w:rsidR="00D10BF3" w:rsidRPr="00967AC5">
        <w:rPr>
          <w:rFonts w:eastAsia="Calibri"/>
        </w:rPr>
        <w:t>s</w:t>
      </w:r>
      <w:r w:rsidRPr="00967AC5">
        <w:rPr>
          <w:rFonts w:eastAsia="Calibri"/>
        </w:rPr>
        <w:t xml:space="preserve"> </w:t>
      </w:r>
      <w:r w:rsidRPr="00967AC5">
        <w:t xml:space="preserve">an additional baseline power limit </w:t>
      </w:r>
      <w:r w:rsidR="00F16EFA" w:rsidRPr="00967AC5">
        <w:t>for non-AAS BS</w:t>
      </w:r>
      <w:r w:rsidRPr="00967AC5">
        <w:t xml:space="preserve"> </w:t>
      </w:r>
      <w:r w:rsidRPr="00967AC5">
        <w:rPr>
          <w:rFonts w:eastAsia="Calibri"/>
        </w:rPr>
        <w:t>to protect adjacent services in addition to the out</w:t>
      </w:r>
      <w:r w:rsidR="00F91806" w:rsidRPr="00967AC5">
        <w:rPr>
          <w:rFonts w:eastAsia="Calibri"/>
        </w:rPr>
        <w:t>-</w:t>
      </w:r>
      <w:r w:rsidRPr="00967AC5">
        <w:rPr>
          <w:rFonts w:eastAsia="Calibri"/>
        </w:rPr>
        <w:t>of-block limits between ECS</w:t>
      </w:r>
      <w:r w:rsidR="007F06FE" w:rsidRPr="00967AC5">
        <w:rPr>
          <w:rFonts w:eastAsia="Calibri"/>
        </w:rPr>
        <w:t>.</w:t>
      </w:r>
      <w:r w:rsidRPr="00967AC5">
        <w:t xml:space="preserve"> </w:t>
      </w:r>
    </w:p>
    <w:p w14:paraId="644C3A14" w14:textId="2A026048" w:rsidR="001C081B" w:rsidRPr="00967AC5" w:rsidRDefault="001C081B" w:rsidP="002505BC">
      <w:pPr>
        <w:pStyle w:val="ECCParagraph"/>
        <w:rPr>
          <w:rFonts w:ascii="Calibri" w:hAnsi="Calibri"/>
        </w:rPr>
      </w:pPr>
      <w:r w:rsidRPr="00967AC5">
        <w:t>Depending on the national context and relevant deployment of ECS</w:t>
      </w:r>
      <w:r w:rsidR="009D4A86" w:rsidRPr="00967AC5">
        <w:t xml:space="preserve"> NB or WB</w:t>
      </w:r>
      <w:r w:rsidRPr="00967AC5">
        <w:t xml:space="preserve"> and RMR (encompasses GSM-R and </w:t>
      </w:r>
      <w:r w:rsidR="009A34B3" w:rsidRPr="00967AC5">
        <w:t>its successor</w:t>
      </w:r>
      <w:r w:rsidR="002C57E9" w:rsidRPr="00967AC5">
        <w:t>(</w:t>
      </w:r>
      <w:r w:rsidR="009A34B3" w:rsidRPr="00967AC5">
        <w:t>s</w:t>
      </w:r>
      <w:r w:rsidR="002C57E9" w:rsidRPr="00967AC5">
        <w:t>), including FRMCS</w:t>
      </w:r>
      <w:r w:rsidRPr="00967AC5">
        <w:t>), there may also be a need for a 200 kHz frequency separation between channel edges of networks adjacent in frequency at 925 MHz in the following cases: RMR NB</w:t>
      </w:r>
      <w:r w:rsidR="004D580C" w:rsidRPr="00967AC5">
        <w:rPr>
          <w:rStyle w:val="FootnoteReference"/>
        </w:rPr>
        <w:footnoteReference w:id="2"/>
      </w:r>
      <w:r w:rsidRPr="00967AC5">
        <w:t xml:space="preserve"> vs. </w:t>
      </w:r>
      <w:r w:rsidRPr="00967AC5">
        <w:lastRenderedPageBreak/>
        <w:t>ECS WB, RMR WB</w:t>
      </w:r>
      <w:r w:rsidR="004D580C" w:rsidRPr="00967AC5">
        <w:rPr>
          <w:rStyle w:val="FootnoteReference"/>
        </w:rPr>
        <w:footnoteReference w:id="3"/>
      </w:r>
      <w:r w:rsidRPr="00967AC5">
        <w:t xml:space="preserve"> vs. ECS NB and, when the </w:t>
      </w:r>
      <w:r w:rsidR="001F2FB6" w:rsidRPr="00967AC5">
        <w:t>ECS NB and RMR NB</w:t>
      </w:r>
      <w:r w:rsidR="00B3592C" w:rsidRPr="00967AC5">
        <w:t xml:space="preserve"> </w:t>
      </w:r>
      <w:r w:rsidRPr="00967AC5">
        <w:t>systems are different, RMR NB vs. ECS NB. This frequency separation should be addressed by regulatory measures at a national level in order to maintain spectrum efficiency.</w:t>
      </w:r>
    </w:p>
    <w:p w14:paraId="4B351405" w14:textId="24B8AFFD" w:rsidR="00302469" w:rsidRPr="00967AC5" w:rsidRDefault="00302469" w:rsidP="00953D75">
      <w:pPr>
        <w:pStyle w:val="ECCParagraph"/>
        <w:rPr>
          <w:rStyle w:val="ECCHLyellow"/>
          <w:szCs w:val="24"/>
          <w:shd w:val="clear" w:color="auto" w:fill="auto"/>
        </w:rPr>
      </w:pPr>
      <w:r w:rsidRPr="00967AC5">
        <w:rPr>
          <w:rStyle w:val="ECCHLyellow"/>
          <w:szCs w:val="24"/>
          <w:shd w:val="clear" w:color="auto" w:fill="auto"/>
        </w:rPr>
        <w:t xml:space="preserve">In response to Task 3, CEPT </w:t>
      </w:r>
      <w:r w:rsidR="003C2D6A" w:rsidRPr="00967AC5">
        <w:rPr>
          <w:rStyle w:val="ECCHLyellow"/>
          <w:shd w:val="clear" w:color="auto" w:fill="auto"/>
        </w:rPr>
        <w:t>confirms</w:t>
      </w:r>
      <w:r w:rsidR="00CA0817" w:rsidRPr="00967AC5">
        <w:rPr>
          <w:rStyle w:val="ECCHLyellow"/>
          <w:szCs w:val="24"/>
          <w:shd w:val="clear" w:color="auto" w:fill="auto"/>
        </w:rPr>
        <w:t xml:space="preserve"> </w:t>
      </w:r>
      <w:r w:rsidRPr="00967AC5">
        <w:rPr>
          <w:rStyle w:val="ECCHLyellow"/>
          <w:szCs w:val="24"/>
          <w:shd w:val="clear" w:color="auto" w:fill="auto"/>
        </w:rPr>
        <w:t xml:space="preserve">that cross-border co-ordination can be addressed through existing and, where appropriate, </w:t>
      </w:r>
      <w:proofErr w:type="gramStart"/>
      <w:r w:rsidRPr="00967AC5">
        <w:rPr>
          <w:rStyle w:val="ECCHLyellow"/>
          <w:szCs w:val="24"/>
          <w:shd w:val="clear" w:color="auto" w:fill="auto"/>
        </w:rPr>
        <w:t>further</w:t>
      </w:r>
      <w:proofErr w:type="gramEnd"/>
      <w:r w:rsidRPr="00967AC5">
        <w:rPr>
          <w:rStyle w:val="ECCHLyellow"/>
          <w:szCs w:val="24"/>
          <w:shd w:val="clear" w:color="auto" w:fill="auto"/>
        </w:rPr>
        <w:t xml:space="preserve"> to be developed bilateral and multilateral procedures</w:t>
      </w:r>
      <w:r w:rsidRPr="00967AC5">
        <w:rPr>
          <w:rStyle w:val="ECCHLyellow"/>
          <w:shd w:val="clear" w:color="auto" w:fill="auto"/>
        </w:rPr>
        <w:t xml:space="preserve">, supported by ECC Recommendations </w:t>
      </w:r>
      <w:r w:rsidR="00953D75" w:rsidRPr="00967AC5">
        <w:rPr>
          <w:rStyle w:val="ECCHLyellow"/>
          <w:szCs w:val="24"/>
          <w:shd w:val="clear" w:color="auto" w:fill="auto"/>
        </w:rPr>
        <w:t>as appropriate</w:t>
      </w:r>
      <w:r w:rsidRPr="00967AC5">
        <w:rPr>
          <w:rStyle w:val="ECCHLyellow"/>
          <w:szCs w:val="24"/>
          <w:shd w:val="clear" w:color="auto" w:fill="auto"/>
        </w:rPr>
        <w:t>.</w:t>
      </w:r>
    </w:p>
    <w:p w14:paraId="5B469E8C" w14:textId="3E542722" w:rsidR="00B00CFF" w:rsidRPr="00967AC5" w:rsidRDefault="00B00CFF" w:rsidP="00050D7D">
      <w:pPr>
        <w:pStyle w:val="ECCParagraph"/>
      </w:pPr>
      <w:r w:rsidRPr="00967AC5">
        <w:t xml:space="preserve">In addition, when there is no market demand to use other standards than 5G NR and those listed in the current Annex of the EC Decision, there is no need to update national regulatory frameworks. This </w:t>
      </w:r>
      <w:r w:rsidR="00AC4CD9" w:rsidRPr="00967AC5">
        <w:t xml:space="preserve">leaves </w:t>
      </w:r>
      <w:r w:rsidRPr="00967AC5">
        <w:t xml:space="preserve">some flexibility for the date of implementation by the EU Member States of the future EC Decision </w:t>
      </w:r>
      <w:r w:rsidR="003630AB" w:rsidRPr="00967AC5">
        <w:t xml:space="preserve">containing the proposed LRTCs </w:t>
      </w:r>
      <w:r w:rsidRPr="00967AC5">
        <w:t xml:space="preserve">based on this CEPT </w:t>
      </w:r>
      <w:r w:rsidR="003630AB" w:rsidRPr="00967AC5">
        <w:t>R</w:t>
      </w:r>
      <w:r w:rsidRPr="00967AC5">
        <w:t xml:space="preserve">eport. </w:t>
      </w:r>
      <w:r w:rsidR="009B719A" w:rsidRPr="00967AC5">
        <w:t xml:space="preserve">Varying </w:t>
      </w:r>
      <w:r w:rsidRPr="00967AC5">
        <w:t xml:space="preserve">dates for implementation of the updated EC framework </w:t>
      </w:r>
      <w:r w:rsidR="003A75C8" w:rsidRPr="00967AC5">
        <w:t xml:space="preserve">should </w:t>
      </w:r>
      <w:r w:rsidRPr="00967AC5">
        <w:t>not impact the rollout of 5G NR in 900/1800</w:t>
      </w:r>
      <w:r w:rsidR="0068567D" w:rsidRPr="00967AC5">
        <w:t xml:space="preserve"> </w:t>
      </w:r>
      <w:r w:rsidRPr="00967AC5">
        <w:t>MHz bands in Europe.</w:t>
      </w:r>
    </w:p>
    <w:p w14:paraId="0D7C442A" w14:textId="43F34EA6" w:rsidR="00B47827" w:rsidRPr="00967AC5" w:rsidRDefault="00DE38BE" w:rsidP="006464F0">
      <w:pPr>
        <w:pStyle w:val="ECCBulletsLv1"/>
        <w:numPr>
          <w:ilvl w:val="0"/>
          <w:numId w:val="0"/>
        </w:numPr>
        <w:tabs>
          <w:tab w:val="clear" w:pos="340"/>
        </w:tabs>
      </w:pPr>
      <w:r w:rsidRPr="00967AC5">
        <w:br w:type="page"/>
      </w:r>
    </w:p>
    <w:p w14:paraId="734FB7E7" w14:textId="77777777" w:rsidR="00B47827" w:rsidRPr="00967AC5" w:rsidRDefault="00DE38BE">
      <w:pPr>
        <w:rPr>
          <w:b/>
          <w:color w:val="FFFFFF"/>
          <w:lang w:val="en-GB"/>
        </w:rPr>
      </w:pPr>
      <w:r w:rsidRPr="00967AC5">
        <w:rPr>
          <w:b/>
          <w:noProof/>
          <w:color w:val="FFFFFF"/>
          <w:lang w:val="en-GB"/>
        </w:rPr>
        <w:lastRenderedPageBreak/>
        <mc:AlternateContent>
          <mc:Choice Requires="wps">
            <w:drawing>
              <wp:anchor distT="0" distB="0" distL="114300" distR="114300" simplePos="0" relativeHeight="251658240" behindDoc="1" locked="0" layoutInCell="1" allowOverlap="1" wp14:anchorId="152A90C0" wp14:editId="1CFFD658">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0292"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C5e/V9AAIAANwDAAAOAAAAAAAAAAAA&#10;AAAAAC4CAABkcnMvZTJvRG9jLnhtbFBLAQItABQABgAIAAAAIQBOzhKl3AAAAAkBAAAPAAAAAAAA&#10;AAAAAAAAAFoEAABkcnMvZG93bnJldi54bWxQSwUGAAAAAAQABADzAAAAYwUAAAAA&#10;" fillcolor="#b0a696" stroked="f">
                <w10:wrap anchorx="page" anchory="page"/>
              </v:rect>
            </w:pict>
          </mc:Fallback>
        </mc:AlternateContent>
      </w:r>
    </w:p>
    <w:p w14:paraId="544EFF0B" w14:textId="77777777" w:rsidR="00B47827" w:rsidRPr="00967AC5" w:rsidRDefault="00B47827">
      <w:pPr>
        <w:rPr>
          <w:b/>
          <w:color w:val="FFFFFF"/>
          <w:szCs w:val="20"/>
          <w:lang w:val="en-GB"/>
        </w:rPr>
      </w:pPr>
    </w:p>
    <w:p w14:paraId="759B3903" w14:textId="77777777" w:rsidR="00B47827" w:rsidRPr="00967AC5" w:rsidRDefault="00DE38BE">
      <w:pPr>
        <w:rPr>
          <w:b/>
          <w:color w:val="FFFFFF"/>
          <w:szCs w:val="20"/>
          <w:lang w:val="en-GB"/>
        </w:rPr>
      </w:pPr>
      <w:r w:rsidRPr="00967AC5">
        <w:rPr>
          <w:b/>
          <w:color w:val="FFFFFF"/>
          <w:szCs w:val="20"/>
          <w:lang w:val="en-GB"/>
        </w:rPr>
        <w:t>TABLE OF CONTENTS</w:t>
      </w:r>
    </w:p>
    <w:p w14:paraId="5EE71722" w14:textId="77777777" w:rsidR="00B47827" w:rsidRPr="00967AC5" w:rsidRDefault="00B47827">
      <w:pPr>
        <w:rPr>
          <w:b/>
          <w:color w:val="FFFFFF"/>
          <w:szCs w:val="20"/>
          <w:lang w:val="en-GB"/>
        </w:rPr>
      </w:pPr>
    </w:p>
    <w:p w14:paraId="626F54AE" w14:textId="77777777" w:rsidR="00B47827" w:rsidRPr="00967AC5" w:rsidRDefault="00B47827">
      <w:pPr>
        <w:rPr>
          <w:b/>
          <w:color w:val="FFFFFF"/>
          <w:szCs w:val="20"/>
          <w:lang w:val="en-GB"/>
        </w:rPr>
      </w:pPr>
    </w:p>
    <w:p w14:paraId="02375F4B" w14:textId="5AE2078B" w:rsidR="00680BB5" w:rsidRPr="00967AC5" w:rsidRDefault="00460896">
      <w:pPr>
        <w:pStyle w:val="TOC1"/>
        <w:rPr>
          <w:rFonts w:asciiTheme="minorHAnsi" w:eastAsiaTheme="minorEastAsia" w:hAnsiTheme="minorHAnsi" w:cstheme="minorBidi"/>
          <w:b w:val="0"/>
          <w:caps w:val="0"/>
          <w:noProof/>
          <w:sz w:val="22"/>
          <w:szCs w:val="22"/>
          <w:lang w:val="en-GB" w:eastAsia="en-GB"/>
        </w:rPr>
      </w:pPr>
      <w:r w:rsidRPr="00967AC5">
        <w:rPr>
          <w:lang w:val="en-GB"/>
        </w:rPr>
        <w:fldChar w:fldCharType="begin"/>
      </w:r>
      <w:r w:rsidRPr="00967AC5">
        <w:rPr>
          <w:lang w:val="en-GB"/>
        </w:rPr>
        <w:instrText xml:space="preserve"> TOC \o "1-4" \h \z \u </w:instrText>
      </w:r>
      <w:r w:rsidRPr="00967AC5">
        <w:rPr>
          <w:lang w:val="en-GB"/>
        </w:rPr>
        <w:fldChar w:fldCharType="separate"/>
      </w:r>
      <w:hyperlink w:anchor="_Toc71037795" w:history="1">
        <w:r w:rsidR="00680BB5" w:rsidRPr="00967AC5">
          <w:rPr>
            <w:rStyle w:val="Hyperlink"/>
            <w:noProof/>
            <w:lang w:val="en-GB"/>
          </w:rPr>
          <w:t>0</w:t>
        </w:r>
        <w:r w:rsidR="00680BB5" w:rsidRPr="00967AC5">
          <w:rPr>
            <w:rFonts w:asciiTheme="minorHAnsi" w:eastAsiaTheme="minorEastAsia" w:hAnsiTheme="minorHAnsi" w:cstheme="minorBidi"/>
            <w:b w:val="0"/>
            <w:caps w:val="0"/>
            <w:noProof/>
            <w:sz w:val="22"/>
            <w:szCs w:val="22"/>
            <w:lang w:val="en-GB" w:eastAsia="en-GB"/>
          </w:rPr>
          <w:tab/>
        </w:r>
        <w:r w:rsidR="00680BB5" w:rsidRPr="00967AC5">
          <w:rPr>
            <w:rStyle w:val="Hyperlink"/>
            <w:noProof/>
            <w:lang w:val="en-GB"/>
          </w:rPr>
          <w:t>Executive summary</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_Toc71037795 \h </w:instrText>
        </w:r>
        <w:r w:rsidR="00680BB5" w:rsidRPr="00967AC5">
          <w:rPr>
            <w:noProof/>
            <w:webHidden/>
            <w:lang w:val="en-GB"/>
          </w:rPr>
        </w:r>
        <w:r w:rsidR="00680BB5" w:rsidRPr="00967AC5">
          <w:rPr>
            <w:noProof/>
            <w:webHidden/>
            <w:lang w:val="en-GB"/>
          </w:rPr>
          <w:fldChar w:fldCharType="separate"/>
        </w:r>
        <w:r w:rsidR="003B2407">
          <w:rPr>
            <w:noProof/>
            <w:webHidden/>
            <w:lang w:val="en-GB"/>
          </w:rPr>
          <w:t>2</w:t>
        </w:r>
        <w:r w:rsidR="00680BB5" w:rsidRPr="00967AC5">
          <w:rPr>
            <w:noProof/>
            <w:webHidden/>
            <w:lang w:val="en-GB"/>
          </w:rPr>
          <w:fldChar w:fldCharType="end"/>
        </w:r>
      </w:hyperlink>
    </w:p>
    <w:p w14:paraId="214F6EB4" w14:textId="7D6336EE"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796" w:history="1">
        <w:r w:rsidR="00680BB5" w:rsidRPr="00967AC5">
          <w:rPr>
            <w:rStyle w:val="Hyperlink"/>
            <w:noProof/>
            <w:lang w:val="en-GB"/>
          </w:rPr>
          <w:t>1</w:t>
        </w:r>
        <w:r w:rsidR="00680BB5" w:rsidRPr="00967AC5">
          <w:rPr>
            <w:rFonts w:asciiTheme="minorHAnsi" w:eastAsiaTheme="minorEastAsia" w:hAnsiTheme="minorHAnsi" w:cstheme="minorBidi"/>
            <w:b w:val="0"/>
            <w:caps w:val="0"/>
            <w:noProof/>
            <w:sz w:val="22"/>
            <w:szCs w:val="22"/>
            <w:lang w:val="en-GB" w:eastAsia="en-GB"/>
          </w:rPr>
          <w:tab/>
        </w:r>
        <w:r w:rsidR="00680BB5" w:rsidRPr="00967AC5">
          <w:rPr>
            <w:rStyle w:val="Hyperlink"/>
            <w:noProof/>
            <w:lang w:val="en-GB"/>
          </w:rPr>
          <w:t>Introduction</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_Toc71037796 \h </w:instrText>
        </w:r>
        <w:r w:rsidR="00680BB5" w:rsidRPr="00967AC5">
          <w:rPr>
            <w:noProof/>
            <w:webHidden/>
            <w:lang w:val="en-GB"/>
          </w:rPr>
        </w:r>
        <w:r w:rsidR="00680BB5" w:rsidRPr="00967AC5">
          <w:rPr>
            <w:noProof/>
            <w:webHidden/>
            <w:lang w:val="en-GB"/>
          </w:rPr>
          <w:fldChar w:fldCharType="separate"/>
        </w:r>
        <w:r w:rsidR="003B2407">
          <w:rPr>
            <w:noProof/>
            <w:webHidden/>
            <w:lang w:val="en-GB"/>
          </w:rPr>
          <w:t>9</w:t>
        </w:r>
        <w:r w:rsidR="00680BB5" w:rsidRPr="00967AC5">
          <w:rPr>
            <w:noProof/>
            <w:webHidden/>
            <w:lang w:val="en-GB"/>
          </w:rPr>
          <w:fldChar w:fldCharType="end"/>
        </w:r>
      </w:hyperlink>
    </w:p>
    <w:p w14:paraId="7F56BA8B" w14:textId="609B46B7"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797" w:history="1">
        <w:r w:rsidR="00680BB5" w:rsidRPr="00967AC5">
          <w:rPr>
            <w:rStyle w:val="Hyperlink"/>
            <w:noProof/>
            <w:lang w:val="en-GB"/>
          </w:rPr>
          <w:t>2</w:t>
        </w:r>
        <w:r w:rsidR="00680BB5" w:rsidRPr="00967AC5">
          <w:rPr>
            <w:rFonts w:asciiTheme="minorHAnsi" w:eastAsiaTheme="minorEastAsia" w:hAnsiTheme="minorHAnsi" w:cstheme="minorBidi"/>
            <w:b w:val="0"/>
            <w:caps w:val="0"/>
            <w:noProof/>
            <w:sz w:val="22"/>
            <w:szCs w:val="22"/>
            <w:lang w:val="en-GB" w:eastAsia="en-GB"/>
          </w:rPr>
          <w:tab/>
        </w:r>
        <w:r w:rsidR="00680BB5" w:rsidRPr="00967AC5">
          <w:rPr>
            <w:rStyle w:val="Hyperlink"/>
            <w:noProof/>
            <w:lang w:val="en-GB"/>
          </w:rPr>
          <w:t>Existing regulatory framework for 900 MHz and 1800 MHz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_Toc71037797 \h </w:instrText>
        </w:r>
        <w:r w:rsidR="00680BB5" w:rsidRPr="00967AC5">
          <w:rPr>
            <w:noProof/>
            <w:webHidden/>
            <w:lang w:val="en-GB"/>
          </w:rPr>
        </w:r>
        <w:r w:rsidR="00680BB5" w:rsidRPr="00967AC5">
          <w:rPr>
            <w:noProof/>
            <w:webHidden/>
            <w:lang w:val="en-GB"/>
          </w:rPr>
          <w:fldChar w:fldCharType="separate"/>
        </w:r>
        <w:r w:rsidR="003B2407">
          <w:rPr>
            <w:noProof/>
            <w:webHidden/>
            <w:lang w:val="en-GB"/>
          </w:rPr>
          <w:t>10</w:t>
        </w:r>
        <w:r w:rsidR="00680BB5" w:rsidRPr="00967AC5">
          <w:rPr>
            <w:noProof/>
            <w:webHidden/>
            <w:lang w:val="en-GB"/>
          </w:rPr>
          <w:fldChar w:fldCharType="end"/>
        </w:r>
      </w:hyperlink>
    </w:p>
    <w:p w14:paraId="3D3F5E75" w14:textId="3922D2BD" w:rsidR="00680BB5" w:rsidRPr="00967AC5" w:rsidRDefault="0025353C">
      <w:pPr>
        <w:pStyle w:val="TOC2"/>
        <w:rPr>
          <w:rFonts w:asciiTheme="minorHAnsi" w:eastAsiaTheme="minorEastAsia" w:hAnsiTheme="minorHAnsi" w:cstheme="minorBidi"/>
          <w:noProof/>
          <w:sz w:val="22"/>
          <w:szCs w:val="22"/>
          <w:lang w:val="en-GB" w:eastAsia="en-GB"/>
        </w:rPr>
      </w:pPr>
      <w:hyperlink w:anchor="_Toc71037798" w:history="1">
        <w:r w:rsidR="00680BB5" w:rsidRPr="00967AC5">
          <w:rPr>
            <w:rStyle w:val="Hyperlink"/>
            <w:noProof/>
            <w:lang w:val="en-GB"/>
          </w:rPr>
          <w:t>2.1</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Existing band plan</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_Toc71037798 \h </w:instrText>
        </w:r>
        <w:r w:rsidR="00680BB5" w:rsidRPr="00967AC5">
          <w:rPr>
            <w:noProof/>
            <w:webHidden/>
            <w:lang w:val="en-GB"/>
          </w:rPr>
        </w:r>
        <w:r w:rsidR="00680BB5" w:rsidRPr="00967AC5">
          <w:rPr>
            <w:noProof/>
            <w:webHidden/>
            <w:lang w:val="en-GB"/>
          </w:rPr>
          <w:fldChar w:fldCharType="separate"/>
        </w:r>
        <w:r w:rsidR="003B2407">
          <w:rPr>
            <w:noProof/>
            <w:webHidden/>
            <w:lang w:val="en-GB"/>
          </w:rPr>
          <w:t>10</w:t>
        </w:r>
        <w:r w:rsidR="00680BB5" w:rsidRPr="00967AC5">
          <w:rPr>
            <w:noProof/>
            <w:webHidden/>
            <w:lang w:val="en-GB"/>
          </w:rPr>
          <w:fldChar w:fldCharType="end"/>
        </w:r>
      </w:hyperlink>
    </w:p>
    <w:p w14:paraId="43178100" w14:textId="1E7A67AC" w:rsidR="00680BB5" w:rsidRPr="00967AC5" w:rsidRDefault="0025353C">
      <w:pPr>
        <w:pStyle w:val="TOC2"/>
        <w:rPr>
          <w:rFonts w:asciiTheme="minorHAnsi" w:eastAsiaTheme="minorEastAsia" w:hAnsiTheme="minorHAnsi" w:cstheme="minorBidi"/>
          <w:noProof/>
          <w:sz w:val="22"/>
          <w:szCs w:val="22"/>
          <w:lang w:val="en-GB" w:eastAsia="en-GB"/>
        </w:rPr>
      </w:pPr>
      <w:hyperlink w:anchor="_Toc71037799" w:history="1">
        <w:r w:rsidR="00680BB5" w:rsidRPr="00967AC5">
          <w:rPr>
            <w:rStyle w:val="Hyperlink"/>
            <w:noProof/>
            <w:lang w:val="en-GB"/>
          </w:rPr>
          <w:t>2.2</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Existing technical conditions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_Toc71037799 \h </w:instrText>
        </w:r>
        <w:r w:rsidR="00680BB5" w:rsidRPr="00967AC5">
          <w:rPr>
            <w:noProof/>
            <w:webHidden/>
            <w:lang w:val="en-GB"/>
          </w:rPr>
        </w:r>
        <w:r w:rsidR="00680BB5" w:rsidRPr="00967AC5">
          <w:rPr>
            <w:noProof/>
            <w:webHidden/>
            <w:lang w:val="en-GB"/>
          </w:rPr>
          <w:fldChar w:fldCharType="separate"/>
        </w:r>
        <w:r w:rsidR="003B2407">
          <w:rPr>
            <w:noProof/>
            <w:webHidden/>
            <w:lang w:val="en-GB"/>
          </w:rPr>
          <w:t>10</w:t>
        </w:r>
        <w:r w:rsidR="00680BB5" w:rsidRPr="00967AC5">
          <w:rPr>
            <w:noProof/>
            <w:webHidden/>
            <w:lang w:val="en-GB"/>
          </w:rPr>
          <w:fldChar w:fldCharType="end"/>
        </w:r>
      </w:hyperlink>
    </w:p>
    <w:p w14:paraId="77BCB650" w14:textId="06CB2C79"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00" w:history="1">
        <w:r w:rsidR="00680BB5" w:rsidRPr="00967AC5">
          <w:rPr>
            <w:rStyle w:val="Hyperlink"/>
            <w:noProof/>
            <w:lang w:val="en-GB"/>
          </w:rPr>
          <w:t>3</w:t>
        </w:r>
        <w:r w:rsidR="00680BB5" w:rsidRPr="00967AC5">
          <w:rPr>
            <w:rFonts w:asciiTheme="minorHAnsi" w:eastAsiaTheme="minorEastAsia" w:hAnsiTheme="minorHAnsi" w:cstheme="minorBidi"/>
            <w:b w:val="0"/>
            <w:caps w:val="0"/>
            <w:noProof/>
            <w:sz w:val="22"/>
            <w:szCs w:val="22"/>
            <w:lang w:val="en-GB" w:eastAsia="en-GB"/>
          </w:rPr>
          <w:tab/>
        </w:r>
        <w:r w:rsidR="00680BB5" w:rsidRPr="00967AC5">
          <w:rPr>
            <w:rStyle w:val="Hyperlink"/>
            <w:noProof/>
            <w:lang w:val="en-GB"/>
          </w:rPr>
          <w:t>Recommended technology neutral Framework for 900 MHz and 1800 MHz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_Toc71037800 \h </w:instrText>
        </w:r>
        <w:r w:rsidR="00680BB5" w:rsidRPr="00967AC5">
          <w:rPr>
            <w:noProof/>
            <w:webHidden/>
            <w:lang w:val="en-GB"/>
          </w:rPr>
        </w:r>
        <w:r w:rsidR="00680BB5" w:rsidRPr="00967AC5">
          <w:rPr>
            <w:noProof/>
            <w:webHidden/>
            <w:lang w:val="en-GB"/>
          </w:rPr>
          <w:fldChar w:fldCharType="separate"/>
        </w:r>
        <w:r w:rsidR="003B2407">
          <w:rPr>
            <w:noProof/>
            <w:webHidden/>
            <w:lang w:val="en-GB"/>
          </w:rPr>
          <w:t>12</w:t>
        </w:r>
        <w:r w:rsidR="00680BB5" w:rsidRPr="00967AC5">
          <w:rPr>
            <w:noProof/>
            <w:webHidden/>
            <w:lang w:val="en-GB"/>
          </w:rPr>
          <w:fldChar w:fldCharType="end"/>
        </w:r>
      </w:hyperlink>
    </w:p>
    <w:p w14:paraId="1DAB08AF" w14:textId="520D712B" w:rsidR="00680BB5" w:rsidRPr="00967AC5" w:rsidRDefault="0025353C">
      <w:pPr>
        <w:pStyle w:val="TOC2"/>
        <w:rPr>
          <w:rFonts w:asciiTheme="minorHAnsi" w:eastAsiaTheme="minorEastAsia" w:hAnsiTheme="minorHAnsi" w:cstheme="minorBidi"/>
          <w:noProof/>
          <w:sz w:val="22"/>
          <w:szCs w:val="22"/>
          <w:lang w:val="en-GB" w:eastAsia="en-GB"/>
        </w:rPr>
      </w:pPr>
      <w:hyperlink w:anchor="_Toc71037801" w:history="1">
        <w:r w:rsidR="00680BB5" w:rsidRPr="00967AC5">
          <w:rPr>
            <w:rStyle w:val="Hyperlink"/>
            <w:noProof/>
            <w:lang w:val="en-GB"/>
          </w:rPr>
          <w:t>3.1</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Requirements for updated EC and ECC Decisions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_Toc71037801 \h </w:instrText>
        </w:r>
        <w:r w:rsidR="00680BB5" w:rsidRPr="00967AC5">
          <w:rPr>
            <w:noProof/>
            <w:webHidden/>
            <w:lang w:val="en-GB"/>
          </w:rPr>
        </w:r>
        <w:r w:rsidR="00680BB5" w:rsidRPr="00967AC5">
          <w:rPr>
            <w:noProof/>
            <w:webHidden/>
            <w:lang w:val="en-GB"/>
          </w:rPr>
          <w:fldChar w:fldCharType="separate"/>
        </w:r>
        <w:r w:rsidR="003B2407">
          <w:rPr>
            <w:noProof/>
            <w:webHidden/>
            <w:lang w:val="en-GB"/>
          </w:rPr>
          <w:t>12</w:t>
        </w:r>
        <w:r w:rsidR="00680BB5" w:rsidRPr="00967AC5">
          <w:rPr>
            <w:noProof/>
            <w:webHidden/>
            <w:lang w:val="en-GB"/>
          </w:rPr>
          <w:fldChar w:fldCharType="end"/>
        </w:r>
      </w:hyperlink>
    </w:p>
    <w:p w14:paraId="4578F186" w14:textId="60098830" w:rsidR="00680BB5" w:rsidRPr="00967AC5" w:rsidRDefault="0025353C">
      <w:pPr>
        <w:pStyle w:val="TOC2"/>
        <w:rPr>
          <w:rFonts w:asciiTheme="minorHAnsi" w:eastAsiaTheme="minorEastAsia" w:hAnsiTheme="minorHAnsi" w:cstheme="minorBidi"/>
          <w:noProof/>
          <w:sz w:val="22"/>
          <w:szCs w:val="22"/>
          <w:lang w:val="en-GB" w:eastAsia="en-GB"/>
        </w:rPr>
      </w:pPr>
      <w:hyperlink w:anchor="_Toc71037802" w:history="1">
        <w:r w:rsidR="00680BB5" w:rsidRPr="00967AC5">
          <w:rPr>
            <w:rStyle w:val="Hyperlink"/>
            <w:noProof/>
            <w:lang w:val="en-GB"/>
          </w:rPr>
          <w:t>3.2</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Recommended approach on GSM</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_Toc71037802 \h </w:instrText>
        </w:r>
        <w:r w:rsidR="00680BB5" w:rsidRPr="00967AC5">
          <w:rPr>
            <w:noProof/>
            <w:webHidden/>
            <w:lang w:val="en-GB"/>
          </w:rPr>
        </w:r>
        <w:r w:rsidR="00680BB5" w:rsidRPr="00967AC5">
          <w:rPr>
            <w:noProof/>
            <w:webHidden/>
            <w:lang w:val="en-GB"/>
          </w:rPr>
          <w:fldChar w:fldCharType="separate"/>
        </w:r>
        <w:r w:rsidR="003B2407">
          <w:rPr>
            <w:noProof/>
            <w:webHidden/>
            <w:lang w:val="en-GB"/>
          </w:rPr>
          <w:t>12</w:t>
        </w:r>
        <w:r w:rsidR="00680BB5" w:rsidRPr="00967AC5">
          <w:rPr>
            <w:noProof/>
            <w:webHidden/>
            <w:lang w:val="en-GB"/>
          </w:rPr>
          <w:fldChar w:fldCharType="end"/>
        </w:r>
      </w:hyperlink>
    </w:p>
    <w:p w14:paraId="4BD67440" w14:textId="201B42C0"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03" w:history="1">
        <w:r w:rsidR="00680BB5" w:rsidRPr="00967AC5">
          <w:rPr>
            <w:rStyle w:val="Hyperlink"/>
            <w:noProof/>
            <w:lang w:val="en-GB"/>
          </w:rPr>
          <w:t>3.2.1</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Why CEPT agreed to eexclude GSM from the technology neutral BEM</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_Toc71037803 \h </w:instrText>
        </w:r>
        <w:r w:rsidR="00680BB5" w:rsidRPr="00967AC5">
          <w:rPr>
            <w:noProof/>
            <w:webHidden/>
            <w:lang w:val="en-GB"/>
          </w:rPr>
        </w:r>
        <w:r w:rsidR="00680BB5" w:rsidRPr="00967AC5">
          <w:rPr>
            <w:noProof/>
            <w:webHidden/>
            <w:lang w:val="en-GB"/>
          </w:rPr>
          <w:fldChar w:fldCharType="separate"/>
        </w:r>
        <w:r w:rsidR="003B2407">
          <w:rPr>
            <w:noProof/>
            <w:webHidden/>
            <w:lang w:val="en-GB"/>
          </w:rPr>
          <w:t>12</w:t>
        </w:r>
        <w:r w:rsidR="00680BB5" w:rsidRPr="00967AC5">
          <w:rPr>
            <w:noProof/>
            <w:webHidden/>
            <w:lang w:val="en-GB"/>
          </w:rPr>
          <w:fldChar w:fldCharType="end"/>
        </w:r>
      </w:hyperlink>
    </w:p>
    <w:p w14:paraId="7D369B88" w14:textId="7CA5A2FF"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04" w:history="1">
        <w:r w:rsidR="00680BB5" w:rsidRPr="00967AC5">
          <w:rPr>
            <w:rStyle w:val="Hyperlink"/>
            <w:noProof/>
            <w:lang w:val="en-GB"/>
          </w:rPr>
          <w:t>3.2.2</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GSM coexistence with NB systems and WBsystems that comply with the proposed technology neutral LRTCs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_Toc71037804 \h </w:instrText>
        </w:r>
        <w:r w:rsidR="00680BB5" w:rsidRPr="00967AC5">
          <w:rPr>
            <w:noProof/>
            <w:webHidden/>
            <w:lang w:val="en-GB"/>
          </w:rPr>
        </w:r>
        <w:r w:rsidR="00680BB5" w:rsidRPr="00967AC5">
          <w:rPr>
            <w:noProof/>
            <w:webHidden/>
            <w:lang w:val="en-GB"/>
          </w:rPr>
          <w:fldChar w:fldCharType="separate"/>
        </w:r>
        <w:r w:rsidR="003B2407">
          <w:rPr>
            <w:noProof/>
            <w:webHidden/>
            <w:lang w:val="en-GB"/>
          </w:rPr>
          <w:t>15</w:t>
        </w:r>
        <w:r w:rsidR="00680BB5" w:rsidRPr="00967AC5">
          <w:rPr>
            <w:noProof/>
            <w:webHidden/>
            <w:lang w:val="en-GB"/>
          </w:rPr>
          <w:fldChar w:fldCharType="end"/>
        </w:r>
      </w:hyperlink>
    </w:p>
    <w:p w14:paraId="32F999E8" w14:textId="2363AD78"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05" w:history="1">
        <w:r w:rsidR="00680BB5" w:rsidRPr="00967AC5">
          <w:rPr>
            <w:rStyle w:val="Hyperlink"/>
            <w:noProof/>
            <w:lang w:val="en-GB"/>
          </w:rPr>
          <w:t>3.2.3</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EC-GSM-IoT</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_Toc71037805 \h </w:instrText>
        </w:r>
        <w:r w:rsidR="00680BB5" w:rsidRPr="00967AC5">
          <w:rPr>
            <w:noProof/>
            <w:webHidden/>
            <w:lang w:val="en-GB"/>
          </w:rPr>
        </w:r>
        <w:r w:rsidR="00680BB5" w:rsidRPr="00967AC5">
          <w:rPr>
            <w:noProof/>
            <w:webHidden/>
            <w:lang w:val="en-GB"/>
          </w:rPr>
          <w:fldChar w:fldCharType="separate"/>
        </w:r>
        <w:r w:rsidR="003B2407">
          <w:rPr>
            <w:noProof/>
            <w:webHidden/>
            <w:lang w:val="en-GB"/>
          </w:rPr>
          <w:t>15</w:t>
        </w:r>
        <w:r w:rsidR="00680BB5" w:rsidRPr="00967AC5">
          <w:rPr>
            <w:noProof/>
            <w:webHidden/>
            <w:lang w:val="en-GB"/>
          </w:rPr>
          <w:fldChar w:fldCharType="end"/>
        </w:r>
      </w:hyperlink>
    </w:p>
    <w:p w14:paraId="2C922988" w14:textId="6B635806" w:rsidR="00680BB5" w:rsidRPr="00967AC5" w:rsidRDefault="0025353C">
      <w:pPr>
        <w:pStyle w:val="TOC2"/>
        <w:rPr>
          <w:rFonts w:asciiTheme="minorHAnsi" w:eastAsiaTheme="minorEastAsia" w:hAnsiTheme="minorHAnsi" w:cstheme="minorBidi"/>
          <w:noProof/>
          <w:sz w:val="22"/>
          <w:szCs w:val="22"/>
          <w:lang w:val="en-GB" w:eastAsia="en-GB"/>
        </w:rPr>
      </w:pPr>
      <w:hyperlink w:anchor="_Toc71037806" w:history="1">
        <w:r w:rsidR="00680BB5" w:rsidRPr="00967AC5">
          <w:rPr>
            <w:rStyle w:val="Hyperlink"/>
            <w:noProof/>
            <w:lang w:val="en-GB"/>
          </w:rPr>
          <w:t>3.3</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Recommended band plan</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_Toc71037806 \h </w:instrText>
        </w:r>
        <w:r w:rsidR="00680BB5" w:rsidRPr="00967AC5">
          <w:rPr>
            <w:noProof/>
            <w:webHidden/>
            <w:lang w:val="en-GB"/>
          </w:rPr>
        </w:r>
        <w:r w:rsidR="00680BB5" w:rsidRPr="00967AC5">
          <w:rPr>
            <w:noProof/>
            <w:webHidden/>
            <w:lang w:val="en-GB"/>
          </w:rPr>
          <w:fldChar w:fldCharType="separate"/>
        </w:r>
        <w:r w:rsidR="003B2407">
          <w:rPr>
            <w:noProof/>
            <w:webHidden/>
            <w:lang w:val="en-GB"/>
          </w:rPr>
          <w:t>16</w:t>
        </w:r>
        <w:r w:rsidR="00680BB5" w:rsidRPr="00967AC5">
          <w:rPr>
            <w:noProof/>
            <w:webHidden/>
            <w:lang w:val="en-GB"/>
          </w:rPr>
          <w:fldChar w:fldCharType="end"/>
        </w:r>
      </w:hyperlink>
    </w:p>
    <w:p w14:paraId="7E500E7C" w14:textId="7F26A780"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07" w:history="1">
        <w:r w:rsidR="00680BB5" w:rsidRPr="00967AC5">
          <w:rPr>
            <w:rStyle w:val="Hyperlink"/>
            <w:noProof/>
            <w:lang w:val="en-GB"/>
          </w:rPr>
          <w:t>3.3.1</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 xml:space="preserve">GSM and standalone NB-IoT </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_Toc71037807 \h </w:instrText>
        </w:r>
        <w:r w:rsidR="00680BB5" w:rsidRPr="00967AC5">
          <w:rPr>
            <w:noProof/>
            <w:webHidden/>
            <w:lang w:val="en-GB"/>
          </w:rPr>
        </w:r>
        <w:r w:rsidR="00680BB5" w:rsidRPr="00967AC5">
          <w:rPr>
            <w:noProof/>
            <w:webHidden/>
            <w:lang w:val="en-GB"/>
          </w:rPr>
          <w:fldChar w:fldCharType="separate"/>
        </w:r>
        <w:r w:rsidR="003B2407">
          <w:rPr>
            <w:noProof/>
            <w:webHidden/>
            <w:lang w:val="en-GB"/>
          </w:rPr>
          <w:t>16</w:t>
        </w:r>
        <w:r w:rsidR="00680BB5" w:rsidRPr="00967AC5">
          <w:rPr>
            <w:noProof/>
            <w:webHidden/>
            <w:lang w:val="en-GB"/>
          </w:rPr>
          <w:fldChar w:fldCharType="end"/>
        </w:r>
      </w:hyperlink>
    </w:p>
    <w:p w14:paraId="6048A135" w14:textId="31DABF1A"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08" w:history="1">
        <w:r w:rsidR="00680BB5" w:rsidRPr="00967AC5">
          <w:rPr>
            <w:rStyle w:val="Hyperlink"/>
            <w:noProof/>
            <w:lang w:val="en-GB"/>
          </w:rPr>
          <w:t>3.3.2</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Wideband systems (such as 5G New Radio (NR)):</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_Toc71037808 \h </w:instrText>
        </w:r>
        <w:r w:rsidR="00680BB5" w:rsidRPr="00967AC5">
          <w:rPr>
            <w:noProof/>
            <w:webHidden/>
            <w:lang w:val="en-GB"/>
          </w:rPr>
        </w:r>
        <w:r w:rsidR="00680BB5" w:rsidRPr="00967AC5">
          <w:rPr>
            <w:noProof/>
            <w:webHidden/>
            <w:lang w:val="en-GB"/>
          </w:rPr>
          <w:fldChar w:fldCharType="separate"/>
        </w:r>
        <w:r w:rsidR="003B2407">
          <w:rPr>
            <w:noProof/>
            <w:webHidden/>
            <w:lang w:val="en-GB"/>
          </w:rPr>
          <w:t>16</w:t>
        </w:r>
        <w:r w:rsidR="00680BB5" w:rsidRPr="00967AC5">
          <w:rPr>
            <w:noProof/>
            <w:webHidden/>
            <w:lang w:val="en-GB"/>
          </w:rPr>
          <w:fldChar w:fldCharType="end"/>
        </w:r>
      </w:hyperlink>
    </w:p>
    <w:p w14:paraId="5D5D5953" w14:textId="0EF1C84F"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09" w:history="1">
        <w:r w:rsidR="00680BB5" w:rsidRPr="00967AC5">
          <w:rPr>
            <w:rStyle w:val="Hyperlink"/>
            <w:noProof/>
            <w:lang w:val="en-GB"/>
          </w:rPr>
          <w:t>3.3.3</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IoT (non-standalone) systems covered with the 5 MHz block size</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_Toc71037809 \h </w:instrText>
        </w:r>
        <w:r w:rsidR="00680BB5" w:rsidRPr="00967AC5">
          <w:rPr>
            <w:noProof/>
            <w:webHidden/>
            <w:lang w:val="en-GB"/>
          </w:rPr>
        </w:r>
        <w:r w:rsidR="00680BB5" w:rsidRPr="00967AC5">
          <w:rPr>
            <w:noProof/>
            <w:webHidden/>
            <w:lang w:val="en-GB"/>
          </w:rPr>
          <w:fldChar w:fldCharType="separate"/>
        </w:r>
        <w:r w:rsidR="003B2407">
          <w:rPr>
            <w:noProof/>
            <w:webHidden/>
            <w:lang w:val="en-GB"/>
          </w:rPr>
          <w:t>17</w:t>
        </w:r>
        <w:r w:rsidR="00680BB5" w:rsidRPr="00967AC5">
          <w:rPr>
            <w:noProof/>
            <w:webHidden/>
            <w:lang w:val="en-GB"/>
          </w:rPr>
          <w:fldChar w:fldCharType="end"/>
        </w:r>
      </w:hyperlink>
    </w:p>
    <w:p w14:paraId="6138B4A5" w14:textId="76707DDC"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0" w:history="1">
        <w:r w:rsidR="00680BB5" w:rsidRPr="00967AC5">
          <w:rPr>
            <w:rStyle w:val="Hyperlink"/>
            <w:noProof/>
            <w:lang w:val="en-GB"/>
          </w:rPr>
          <w:t>3.3.4</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Migration issues towards 5G (NR)</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_Toc71037810 \h </w:instrText>
        </w:r>
        <w:r w:rsidR="00680BB5" w:rsidRPr="00967AC5">
          <w:rPr>
            <w:noProof/>
            <w:webHidden/>
            <w:lang w:val="en-GB"/>
          </w:rPr>
        </w:r>
        <w:r w:rsidR="00680BB5" w:rsidRPr="00967AC5">
          <w:rPr>
            <w:noProof/>
            <w:webHidden/>
            <w:lang w:val="en-GB"/>
          </w:rPr>
          <w:fldChar w:fldCharType="separate"/>
        </w:r>
        <w:r w:rsidR="003B2407">
          <w:rPr>
            <w:noProof/>
            <w:webHidden/>
            <w:lang w:val="en-GB"/>
          </w:rPr>
          <w:t>17</w:t>
        </w:r>
        <w:r w:rsidR="00680BB5" w:rsidRPr="00967AC5">
          <w:rPr>
            <w:noProof/>
            <w:webHidden/>
            <w:lang w:val="en-GB"/>
          </w:rPr>
          <w:fldChar w:fldCharType="end"/>
        </w:r>
      </w:hyperlink>
    </w:p>
    <w:p w14:paraId="57770292" w14:textId="03E45E6C"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1" w:history="1">
        <w:r w:rsidR="00680BB5" w:rsidRPr="00967AC5">
          <w:rPr>
            <w:rStyle w:val="Hyperlink"/>
            <w:noProof/>
            <w:lang w:val="en-GB"/>
          </w:rPr>
          <w:t>3.3.5</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Uplink only or Downlink only operations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_Toc71037811 \h </w:instrText>
        </w:r>
        <w:r w:rsidR="00680BB5" w:rsidRPr="00967AC5">
          <w:rPr>
            <w:noProof/>
            <w:webHidden/>
            <w:lang w:val="en-GB"/>
          </w:rPr>
        </w:r>
        <w:r w:rsidR="00680BB5" w:rsidRPr="00967AC5">
          <w:rPr>
            <w:noProof/>
            <w:webHidden/>
            <w:lang w:val="en-GB"/>
          </w:rPr>
          <w:fldChar w:fldCharType="separate"/>
        </w:r>
        <w:r w:rsidR="003B2407">
          <w:rPr>
            <w:noProof/>
            <w:webHidden/>
            <w:lang w:val="en-GB"/>
          </w:rPr>
          <w:t>17</w:t>
        </w:r>
        <w:r w:rsidR="00680BB5" w:rsidRPr="00967AC5">
          <w:rPr>
            <w:noProof/>
            <w:webHidden/>
            <w:lang w:val="en-GB"/>
          </w:rPr>
          <w:fldChar w:fldCharType="end"/>
        </w:r>
      </w:hyperlink>
    </w:p>
    <w:p w14:paraId="0BAA72B5" w14:textId="10044B1D"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2" w:history="1">
        <w:r w:rsidR="00680BB5" w:rsidRPr="00967AC5">
          <w:rPr>
            <w:rStyle w:val="Hyperlink"/>
            <w:noProof/>
            <w:lang w:val="en-GB"/>
          </w:rPr>
          <w:t>3.3.6</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Guard band at the edge of 900/1800 MHz harmonised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_Toc71037812 \h </w:instrText>
        </w:r>
        <w:r w:rsidR="00680BB5" w:rsidRPr="00967AC5">
          <w:rPr>
            <w:noProof/>
            <w:webHidden/>
            <w:lang w:val="en-GB"/>
          </w:rPr>
        </w:r>
        <w:r w:rsidR="00680BB5" w:rsidRPr="00967AC5">
          <w:rPr>
            <w:noProof/>
            <w:webHidden/>
            <w:lang w:val="en-GB"/>
          </w:rPr>
          <w:fldChar w:fldCharType="separate"/>
        </w:r>
        <w:r w:rsidR="003B2407">
          <w:rPr>
            <w:noProof/>
            <w:webHidden/>
            <w:lang w:val="en-GB"/>
          </w:rPr>
          <w:t>17</w:t>
        </w:r>
        <w:r w:rsidR="00680BB5" w:rsidRPr="00967AC5">
          <w:rPr>
            <w:noProof/>
            <w:webHidden/>
            <w:lang w:val="en-GB"/>
          </w:rPr>
          <w:fldChar w:fldCharType="end"/>
        </w:r>
      </w:hyperlink>
    </w:p>
    <w:p w14:paraId="24FF512A" w14:textId="3E3CCAE9"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3" w:history="1">
        <w:r w:rsidR="00680BB5" w:rsidRPr="00967AC5">
          <w:rPr>
            <w:rStyle w:val="Hyperlink"/>
            <w:noProof/>
            <w:lang w:val="en-GB"/>
          </w:rPr>
          <w:t>3.3.7</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Options for administrations on how to implement frequency separation at national level</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_Toc71037813 \h </w:instrText>
        </w:r>
        <w:r w:rsidR="00680BB5" w:rsidRPr="00967AC5">
          <w:rPr>
            <w:noProof/>
            <w:webHidden/>
            <w:lang w:val="en-GB"/>
          </w:rPr>
        </w:r>
        <w:r w:rsidR="00680BB5" w:rsidRPr="00967AC5">
          <w:rPr>
            <w:noProof/>
            <w:webHidden/>
            <w:lang w:val="en-GB"/>
          </w:rPr>
          <w:fldChar w:fldCharType="separate"/>
        </w:r>
        <w:r w:rsidR="003B2407">
          <w:rPr>
            <w:noProof/>
            <w:webHidden/>
            <w:lang w:val="en-GB"/>
          </w:rPr>
          <w:t>17</w:t>
        </w:r>
        <w:r w:rsidR="00680BB5" w:rsidRPr="00967AC5">
          <w:rPr>
            <w:noProof/>
            <w:webHidden/>
            <w:lang w:val="en-GB"/>
          </w:rPr>
          <w:fldChar w:fldCharType="end"/>
        </w:r>
      </w:hyperlink>
    </w:p>
    <w:p w14:paraId="71D96FB4" w14:textId="21D14B8D"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4" w:history="1">
        <w:r w:rsidR="00680BB5" w:rsidRPr="00967AC5">
          <w:rPr>
            <w:rStyle w:val="Hyperlink"/>
            <w:noProof/>
            <w:lang w:val="en-GB"/>
          </w:rPr>
          <w:t>3.3.8</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Recommendations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_Toc71037814 \h </w:instrText>
        </w:r>
        <w:r w:rsidR="00680BB5" w:rsidRPr="00967AC5">
          <w:rPr>
            <w:noProof/>
            <w:webHidden/>
            <w:lang w:val="en-GB"/>
          </w:rPr>
        </w:r>
        <w:r w:rsidR="00680BB5" w:rsidRPr="00967AC5">
          <w:rPr>
            <w:noProof/>
            <w:webHidden/>
            <w:lang w:val="en-GB"/>
          </w:rPr>
          <w:fldChar w:fldCharType="separate"/>
        </w:r>
        <w:r w:rsidR="003B2407">
          <w:rPr>
            <w:noProof/>
            <w:webHidden/>
            <w:lang w:val="en-GB"/>
          </w:rPr>
          <w:t>18</w:t>
        </w:r>
        <w:r w:rsidR="00680BB5" w:rsidRPr="00967AC5">
          <w:rPr>
            <w:noProof/>
            <w:webHidden/>
            <w:lang w:val="en-GB"/>
          </w:rPr>
          <w:fldChar w:fldCharType="end"/>
        </w:r>
      </w:hyperlink>
    </w:p>
    <w:p w14:paraId="3D9F361D" w14:textId="5D8DF706" w:rsidR="00680BB5" w:rsidRPr="00967AC5" w:rsidRDefault="0025353C">
      <w:pPr>
        <w:pStyle w:val="TOC2"/>
        <w:rPr>
          <w:rFonts w:asciiTheme="minorHAnsi" w:eastAsiaTheme="minorEastAsia" w:hAnsiTheme="minorHAnsi" w:cstheme="minorBidi"/>
          <w:noProof/>
          <w:sz w:val="22"/>
          <w:szCs w:val="22"/>
          <w:lang w:val="en-GB" w:eastAsia="en-GB"/>
        </w:rPr>
      </w:pPr>
      <w:hyperlink w:anchor="_Toc71037815" w:history="1">
        <w:r w:rsidR="00680BB5" w:rsidRPr="00967AC5">
          <w:rPr>
            <w:rStyle w:val="Hyperlink"/>
            <w:noProof/>
            <w:lang w:val="en-GB"/>
          </w:rPr>
          <w:t>3.4</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Recommended applicable LRTCs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_Toc71037815 \h </w:instrText>
        </w:r>
        <w:r w:rsidR="00680BB5" w:rsidRPr="00967AC5">
          <w:rPr>
            <w:noProof/>
            <w:webHidden/>
            <w:lang w:val="en-GB"/>
          </w:rPr>
        </w:r>
        <w:r w:rsidR="00680BB5" w:rsidRPr="00967AC5">
          <w:rPr>
            <w:noProof/>
            <w:webHidden/>
            <w:lang w:val="en-GB"/>
          </w:rPr>
          <w:fldChar w:fldCharType="separate"/>
        </w:r>
        <w:r w:rsidR="003B2407">
          <w:rPr>
            <w:noProof/>
            <w:webHidden/>
            <w:lang w:val="en-GB"/>
          </w:rPr>
          <w:t>18</w:t>
        </w:r>
        <w:r w:rsidR="00680BB5" w:rsidRPr="00967AC5">
          <w:rPr>
            <w:noProof/>
            <w:webHidden/>
            <w:lang w:val="en-GB"/>
          </w:rPr>
          <w:fldChar w:fldCharType="end"/>
        </w:r>
      </w:hyperlink>
    </w:p>
    <w:p w14:paraId="1FEBDBC4" w14:textId="5EFD0928"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6" w:history="1">
        <w:r w:rsidR="00680BB5" w:rsidRPr="00967AC5">
          <w:rPr>
            <w:rStyle w:val="Hyperlink"/>
            <w:noProof/>
            <w:lang w:val="en-GB"/>
          </w:rPr>
          <w:t>3.4.1</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Introduction</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_Toc71037816 \h </w:instrText>
        </w:r>
        <w:r w:rsidR="00680BB5" w:rsidRPr="00967AC5">
          <w:rPr>
            <w:noProof/>
            <w:webHidden/>
            <w:lang w:val="en-GB"/>
          </w:rPr>
        </w:r>
        <w:r w:rsidR="00680BB5" w:rsidRPr="00967AC5">
          <w:rPr>
            <w:noProof/>
            <w:webHidden/>
            <w:lang w:val="en-GB"/>
          </w:rPr>
          <w:fldChar w:fldCharType="separate"/>
        </w:r>
        <w:r w:rsidR="003B2407">
          <w:rPr>
            <w:noProof/>
            <w:webHidden/>
            <w:lang w:val="en-GB"/>
          </w:rPr>
          <w:t>18</w:t>
        </w:r>
        <w:r w:rsidR="00680BB5" w:rsidRPr="00967AC5">
          <w:rPr>
            <w:noProof/>
            <w:webHidden/>
            <w:lang w:val="en-GB"/>
          </w:rPr>
          <w:fldChar w:fldCharType="end"/>
        </w:r>
      </w:hyperlink>
    </w:p>
    <w:p w14:paraId="365AB0E4" w14:textId="66253C68"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7" w:history="1">
        <w:r w:rsidR="00680BB5" w:rsidRPr="00967AC5">
          <w:rPr>
            <w:rStyle w:val="Hyperlink"/>
            <w:noProof/>
            <w:lang w:val="en-GB"/>
          </w:rPr>
          <w:t>3.4.2</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Methodology for deriving out-of-block and out-of-band limits for non-AAS BS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_Toc71037817 \h </w:instrText>
        </w:r>
        <w:r w:rsidR="00680BB5" w:rsidRPr="00967AC5">
          <w:rPr>
            <w:noProof/>
            <w:webHidden/>
            <w:lang w:val="en-GB"/>
          </w:rPr>
        </w:r>
        <w:r w:rsidR="00680BB5" w:rsidRPr="00967AC5">
          <w:rPr>
            <w:noProof/>
            <w:webHidden/>
            <w:lang w:val="en-GB"/>
          </w:rPr>
          <w:fldChar w:fldCharType="separate"/>
        </w:r>
        <w:r w:rsidR="003B2407">
          <w:rPr>
            <w:noProof/>
            <w:webHidden/>
            <w:lang w:val="en-GB"/>
          </w:rPr>
          <w:t>20</w:t>
        </w:r>
        <w:r w:rsidR="00680BB5" w:rsidRPr="00967AC5">
          <w:rPr>
            <w:noProof/>
            <w:webHidden/>
            <w:lang w:val="en-GB"/>
          </w:rPr>
          <w:fldChar w:fldCharType="end"/>
        </w:r>
      </w:hyperlink>
    </w:p>
    <w:p w14:paraId="5040E7A1" w14:textId="036DF1AB"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8" w:history="1">
        <w:r w:rsidR="00680BB5" w:rsidRPr="00967AC5">
          <w:rPr>
            <w:rStyle w:val="Hyperlink"/>
            <w:noProof/>
            <w:lang w:val="en-GB"/>
          </w:rPr>
          <w:t>3.4.3</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In-block power limits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_Toc71037818 \h </w:instrText>
        </w:r>
        <w:r w:rsidR="00680BB5" w:rsidRPr="00967AC5">
          <w:rPr>
            <w:noProof/>
            <w:webHidden/>
            <w:lang w:val="en-GB"/>
          </w:rPr>
        </w:r>
        <w:r w:rsidR="00680BB5" w:rsidRPr="00967AC5">
          <w:rPr>
            <w:noProof/>
            <w:webHidden/>
            <w:lang w:val="en-GB"/>
          </w:rPr>
          <w:fldChar w:fldCharType="separate"/>
        </w:r>
        <w:r w:rsidR="003B2407">
          <w:rPr>
            <w:noProof/>
            <w:webHidden/>
            <w:lang w:val="en-GB"/>
          </w:rPr>
          <w:t>22</w:t>
        </w:r>
        <w:r w:rsidR="00680BB5" w:rsidRPr="00967AC5">
          <w:rPr>
            <w:noProof/>
            <w:webHidden/>
            <w:lang w:val="en-GB"/>
          </w:rPr>
          <w:fldChar w:fldCharType="end"/>
        </w:r>
      </w:hyperlink>
    </w:p>
    <w:p w14:paraId="6502EC4B" w14:textId="40361FDF"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19" w:history="1">
        <w:r w:rsidR="00680BB5" w:rsidRPr="00967AC5">
          <w:rPr>
            <w:rStyle w:val="Hyperlink"/>
            <w:noProof/>
            <w:lang w:val="en-GB"/>
          </w:rPr>
          <w:t>3.4.4</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Out-of-block and out-of-band power limits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_Toc71037819 \h </w:instrText>
        </w:r>
        <w:r w:rsidR="00680BB5" w:rsidRPr="00967AC5">
          <w:rPr>
            <w:noProof/>
            <w:webHidden/>
            <w:lang w:val="en-GB"/>
          </w:rPr>
        </w:r>
        <w:r w:rsidR="00680BB5" w:rsidRPr="00967AC5">
          <w:rPr>
            <w:noProof/>
            <w:webHidden/>
            <w:lang w:val="en-GB"/>
          </w:rPr>
          <w:fldChar w:fldCharType="separate"/>
        </w:r>
        <w:r w:rsidR="003B2407">
          <w:rPr>
            <w:noProof/>
            <w:webHidden/>
            <w:lang w:val="en-GB"/>
          </w:rPr>
          <w:t>23</w:t>
        </w:r>
        <w:r w:rsidR="00680BB5" w:rsidRPr="00967AC5">
          <w:rPr>
            <w:noProof/>
            <w:webHidden/>
            <w:lang w:val="en-GB"/>
          </w:rPr>
          <w:fldChar w:fldCharType="end"/>
        </w:r>
      </w:hyperlink>
    </w:p>
    <w:p w14:paraId="3C2FED29" w14:textId="1EE1F970"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20" w:history="1">
        <w:r w:rsidR="00680BB5" w:rsidRPr="00967AC5">
          <w:rPr>
            <w:rStyle w:val="Hyperlink"/>
            <w:noProof/>
            <w:lang w:val="en-GB"/>
          </w:rPr>
          <w:t>3.4.4.1</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Recommended out-of-block power limits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_Toc71037820 \h </w:instrText>
        </w:r>
        <w:r w:rsidR="00680BB5" w:rsidRPr="00967AC5">
          <w:rPr>
            <w:noProof/>
            <w:webHidden/>
            <w:lang w:val="en-GB"/>
          </w:rPr>
        </w:r>
        <w:r w:rsidR="00680BB5" w:rsidRPr="00967AC5">
          <w:rPr>
            <w:noProof/>
            <w:webHidden/>
            <w:lang w:val="en-GB"/>
          </w:rPr>
          <w:fldChar w:fldCharType="separate"/>
        </w:r>
        <w:r w:rsidR="003B2407">
          <w:rPr>
            <w:noProof/>
            <w:webHidden/>
            <w:lang w:val="en-GB"/>
          </w:rPr>
          <w:t>23</w:t>
        </w:r>
        <w:r w:rsidR="00680BB5" w:rsidRPr="00967AC5">
          <w:rPr>
            <w:noProof/>
            <w:webHidden/>
            <w:lang w:val="en-GB"/>
          </w:rPr>
          <w:fldChar w:fldCharType="end"/>
        </w:r>
      </w:hyperlink>
    </w:p>
    <w:p w14:paraId="15AA17A9" w14:textId="785EE548"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21" w:history="1">
        <w:r w:rsidR="00680BB5" w:rsidRPr="00967AC5">
          <w:rPr>
            <w:rStyle w:val="Hyperlink"/>
            <w:noProof/>
            <w:lang w:val="en-GB"/>
          </w:rPr>
          <w:t>3.4.4.2</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BS out-of-band power limits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_Toc71037821 \h </w:instrText>
        </w:r>
        <w:r w:rsidR="00680BB5" w:rsidRPr="00967AC5">
          <w:rPr>
            <w:noProof/>
            <w:webHidden/>
            <w:lang w:val="en-GB"/>
          </w:rPr>
        </w:r>
        <w:r w:rsidR="00680BB5" w:rsidRPr="00967AC5">
          <w:rPr>
            <w:noProof/>
            <w:webHidden/>
            <w:lang w:val="en-GB"/>
          </w:rPr>
          <w:fldChar w:fldCharType="separate"/>
        </w:r>
        <w:r w:rsidR="003B2407">
          <w:rPr>
            <w:noProof/>
            <w:webHidden/>
            <w:lang w:val="en-GB"/>
          </w:rPr>
          <w:t>24</w:t>
        </w:r>
        <w:r w:rsidR="00680BB5" w:rsidRPr="00967AC5">
          <w:rPr>
            <w:noProof/>
            <w:webHidden/>
            <w:lang w:val="en-GB"/>
          </w:rPr>
          <w:fldChar w:fldCharType="end"/>
        </w:r>
      </w:hyperlink>
    </w:p>
    <w:p w14:paraId="395A7919" w14:textId="7B692D1B"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22" w:history="1">
        <w:r w:rsidR="00680BB5" w:rsidRPr="00967AC5">
          <w:rPr>
            <w:rStyle w:val="Hyperlink"/>
            <w:noProof/>
            <w:lang w:val="en-GB"/>
          </w:rPr>
          <w:t>3.4.5</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Recommended frequency separations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_Toc71037822 \h </w:instrText>
        </w:r>
        <w:r w:rsidR="00680BB5" w:rsidRPr="00967AC5">
          <w:rPr>
            <w:noProof/>
            <w:webHidden/>
            <w:lang w:val="en-GB"/>
          </w:rPr>
        </w:r>
        <w:r w:rsidR="00680BB5" w:rsidRPr="00967AC5">
          <w:rPr>
            <w:noProof/>
            <w:webHidden/>
            <w:lang w:val="en-GB"/>
          </w:rPr>
          <w:fldChar w:fldCharType="separate"/>
        </w:r>
        <w:r w:rsidR="003B2407">
          <w:rPr>
            <w:noProof/>
            <w:webHidden/>
            <w:lang w:val="en-GB"/>
          </w:rPr>
          <w:t>24</w:t>
        </w:r>
        <w:r w:rsidR="00680BB5" w:rsidRPr="00967AC5">
          <w:rPr>
            <w:noProof/>
            <w:webHidden/>
            <w:lang w:val="en-GB"/>
          </w:rPr>
          <w:fldChar w:fldCharType="end"/>
        </w:r>
      </w:hyperlink>
    </w:p>
    <w:p w14:paraId="5EE49197" w14:textId="117C5B17"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23" w:history="1">
        <w:r w:rsidR="00680BB5" w:rsidRPr="00967AC5">
          <w:rPr>
            <w:rStyle w:val="Hyperlink"/>
            <w:noProof/>
            <w:lang w:val="en-GB"/>
          </w:rPr>
          <w:t>3.4.5.1</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Frequency separation between WB systems and NB systems and between two different NB systems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_Toc71037823 \h </w:instrText>
        </w:r>
        <w:r w:rsidR="00680BB5" w:rsidRPr="00967AC5">
          <w:rPr>
            <w:noProof/>
            <w:webHidden/>
            <w:lang w:val="en-GB"/>
          </w:rPr>
        </w:r>
        <w:r w:rsidR="00680BB5" w:rsidRPr="00967AC5">
          <w:rPr>
            <w:noProof/>
            <w:webHidden/>
            <w:lang w:val="en-GB"/>
          </w:rPr>
          <w:fldChar w:fldCharType="separate"/>
        </w:r>
        <w:r w:rsidR="003B2407">
          <w:rPr>
            <w:noProof/>
            <w:webHidden/>
            <w:lang w:val="en-GB"/>
          </w:rPr>
          <w:t>25</w:t>
        </w:r>
        <w:r w:rsidR="00680BB5" w:rsidRPr="00967AC5">
          <w:rPr>
            <w:noProof/>
            <w:webHidden/>
            <w:lang w:val="en-GB"/>
          </w:rPr>
          <w:fldChar w:fldCharType="end"/>
        </w:r>
      </w:hyperlink>
    </w:p>
    <w:p w14:paraId="01B24213" w14:textId="38D28CA4"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24" w:history="1">
        <w:r w:rsidR="00680BB5" w:rsidRPr="00967AC5">
          <w:rPr>
            <w:rStyle w:val="Hyperlink"/>
            <w:noProof/>
            <w:lang w:val="en-GB"/>
          </w:rPr>
          <w:t>3.4.5.2</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Technology neutral approach to frequency separation</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_Toc71037824 \h </w:instrText>
        </w:r>
        <w:r w:rsidR="00680BB5" w:rsidRPr="00967AC5">
          <w:rPr>
            <w:noProof/>
            <w:webHidden/>
            <w:lang w:val="en-GB"/>
          </w:rPr>
        </w:r>
        <w:r w:rsidR="00680BB5" w:rsidRPr="00967AC5">
          <w:rPr>
            <w:noProof/>
            <w:webHidden/>
            <w:lang w:val="en-GB"/>
          </w:rPr>
          <w:fldChar w:fldCharType="separate"/>
        </w:r>
        <w:r w:rsidR="003B2407">
          <w:rPr>
            <w:noProof/>
            <w:webHidden/>
            <w:lang w:val="en-GB"/>
          </w:rPr>
          <w:t>26</w:t>
        </w:r>
        <w:r w:rsidR="00680BB5" w:rsidRPr="00967AC5">
          <w:rPr>
            <w:noProof/>
            <w:webHidden/>
            <w:lang w:val="en-GB"/>
          </w:rPr>
          <w:fldChar w:fldCharType="end"/>
        </w:r>
      </w:hyperlink>
    </w:p>
    <w:p w14:paraId="2E9D7BD1" w14:textId="3D8B4A75"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25" w:history="1">
        <w:r w:rsidR="00680BB5" w:rsidRPr="00967AC5">
          <w:rPr>
            <w:rStyle w:val="Hyperlink"/>
            <w:noProof/>
            <w:lang w:val="en-GB"/>
          </w:rPr>
          <w:t>3.4.5.3</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Toolbox for implementing BEM and the required frequency separation at national level (LRTCs approach)</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_Toc71037825 \h </w:instrText>
        </w:r>
        <w:r w:rsidR="00680BB5" w:rsidRPr="00967AC5">
          <w:rPr>
            <w:noProof/>
            <w:webHidden/>
            <w:lang w:val="en-GB"/>
          </w:rPr>
        </w:r>
        <w:r w:rsidR="00680BB5" w:rsidRPr="00967AC5">
          <w:rPr>
            <w:noProof/>
            <w:webHidden/>
            <w:lang w:val="en-GB"/>
          </w:rPr>
          <w:fldChar w:fldCharType="separate"/>
        </w:r>
        <w:r w:rsidR="003B2407">
          <w:rPr>
            <w:noProof/>
            <w:webHidden/>
            <w:lang w:val="en-GB"/>
          </w:rPr>
          <w:t>27</w:t>
        </w:r>
        <w:r w:rsidR="00680BB5" w:rsidRPr="00967AC5">
          <w:rPr>
            <w:noProof/>
            <w:webHidden/>
            <w:lang w:val="en-GB"/>
          </w:rPr>
          <w:fldChar w:fldCharType="end"/>
        </w:r>
      </w:hyperlink>
    </w:p>
    <w:p w14:paraId="6AA3BB25" w14:textId="23B43AD4"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26" w:history="1">
        <w:r w:rsidR="00680BB5" w:rsidRPr="00967AC5">
          <w:rPr>
            <w:rStyle w:val="Hyperlink"/>
            <w:noProof/>
            <w:lang w:val="en-GB"/>
          </w:rPr>
          <w:t>3.4.6</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Other conditions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_Toc71037826 \h </w:instrText>
        </w:r>
        <w:r w:rsidR="00680BB5" w:rsidRPr="00967AC5">
          <w:rPr>
            <w:noProof/>
            <w:webHidden/>
            <w:lang w:val="en-GB"/>
          </w:rPr>
        </w:r>
        <w:r w:rsidR="00680BB5" w:rsidRPr="00967AC5">
          <w:rPr>
            <w:noProof/>
            <w:webHidden/>
            <w:lang w:val="en-GB"/>
          </w:rPr>
          <w:fldChar w:fldCharType="separate"/>
        </w:r>
        <w:r w:rsidR="003B2407">
          <w:rPr>
            <w:noProof/>
            <w:webHidden/>
            <w:lang w:val="en-GB"/>
          </w:rPr>
          <w:t>29</w:t>
        </w:r>
        <w:r w:rsidR="00680BB5" w:rsidRPr="00967AC5">
          <w:rPr>
            <w:noProof/>
            <w:webHidden/>
            <w:lang w:val="en-GB"/>
          </w:rPr>
          <w:fldChar w:fldCharType="end"/>
        </w:r>
      </w:hyperlink>
    </w:p>
    <w:p w14:paraId="264F7075" w14:textId="5441A610" w:rsidR="00680BB5" w:rsidRPr="00967AC5" w:rsidRDefault="0025353C">
      <w:pPr>
        <w:pStyle w:val="TOC2"/>
        <w:rPr>
          <w:rFonts w:asciiTheme="minorHAnsi" w:eastAsiaTheme="minorEastAsia" w:hAnsiTheme="minorHAnsi" w:cstheme="minorBidi"/>
          <w:noProof/>
          <w:sz w:val="22"/>
          <w:szCs w:val="22"/>
          <w:lang w:val="en-GB" w:eastAsia="en-GB"/>
        </w:rPr>
      </w:pPr>
      <w:hyperlink w:anchor="_Toc71037827" w:history="1">
        <w:r w:rsidR="00680BB5" w:rsidRPr="00967AC5">
          <w:rPr>
            <w:rStyle w:val="Hyperlink"/>
            <w:noProof/>
            <w:lang w:val="en-GB"/>
          </w:rPr>
          <w:t>3.5</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Coexistence with services in adjacent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_Toc71037827 \h </w:instrText>
        </w:r>
        <w:r w:rsidR="00680BB5" w:rsidRPr="00967AC5">
          <w:rPr>
            <w:noProof/>
            <w:webHidden/>
            <w:lang w:val="en-GB"/>
          </w:rPr>
        </w:r>
        <w:r w:rsidR="00680BB5" w:rsidRPr="00967AC5">
          <w:rPr>
            <w:noProof/>
            <w:webHidden/>
            <w:lang w:val="en-GB"/>
          </w:rPr>
          <w:fldChar w:fldCharType="separate"/>
        </w:r>
        <w:r w:rsidR="003B2407">
          <w:rPr>
            <w:noProof/>
            <w:webHidden/>
            <w:lang w:val="en-GB"/>
          </w:rPr>
          <w:t>29</w:t>
        </w:r>
        <w:r w:rsidR="00680BB5" w:rsidRPr="00967AC5">
          <w:rPr>
            <w:noProof/>
            <w:webHidden/>
            <w:lang w:val="en-GB"/>
          </w:rPr>
          <w:fldChar w:fldCharType="end"/>
        </w:r>
      </w:hyperlink>
    </w:p>
    <w:p w14:paraId="5099EF33" w14:textId="4F6D2EB6"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28" w:history="1">
        <w:r w:rsidR="00680BB5" w:rsidRPr="00967AC5">
          <w:rPr>
            <w:rStyle w:val="Hyperlink"/>
            <w:noProof/>
            <w:lang w:val="en-GB"/>
          </w:rPr>
          <w:t>3.5.1</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Approach for the coexistence with services in adjacent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_Toc71037828 \h </w:instrText>
        </w:r>
        <w:r w:rsidR="00680BB5" w:rsidRPr="00967AC5">
          <w:rPr>
            <w:noProof/>
            <w:webHidden/>
            <w:lang w:val="en-GB"/>
          </w:rPr>
        </w:r>
        <w:r w:rsidR="00680BB5" w:rsidRPr="00967AC5">
          <w:rPr>
            <w:noProof/>
            <w:webHidden/>
            <w:lang w:val="en-GB"/>
          </w:rPr>
          <w:fldChar w:fldCharType="separate"/>
        </w:r>
        <w:r w:rsidR="003B2407">
          <w:rPr>
            <w:noProof/>
            <w:webHidden/>
            <w:lang w:val="en-GB"/>
          </w:rPr>
          <w:t>29</w:t>
        </w:r>
        <w:r w:rsidR="00680BB5" w:rsidRPr="00967AC5">
          <w:rPr>
            <w:noProof/>
            <w:webHidden/>
            <w:lang w:val="en-GB"/>
          </w:rPr>
          <w:fldChar w:fldCharType="end"/>
        </w:r>
      </w:hyperlink>
    </w:p>
    <w:p w14:paraId="3C7A684C" w14:textId="3346DE63"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29" w:history="1">
        <w:r w:rsidR="00680BB5" w:rsidRPr="00967AC5">
          <w:rPr>
            <w:rStyle w:val="Hyperlink"/>
            <w:noProof/>
            <w:lang w:val="en-GB"/>
          </w:rPr>
          <w:t>3.5.2</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Summary of adjacent systems coexistence with NB systems and WBsystems complying with proposed LRTCs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_Toc71037829 \h </w:instrText>
        </w:r>
        <w:r w:rsidR="00680BB5" w:rsidRPr="00967AC5">
          <w:rPr>
            <w:noProof/>
            <w:webHidden/>
            <w:lang w:val="en-GB"/>
          </w:rPr>
        </w:r>
        <w:r w:rsidR="00680BB5" w:rsidRPr="00967AC5">
          <w:rPr>
            <w:noProof/>
            <w:webHidden/>
            <w:lang w:val="en-GB"/>
          </w:rPr>
          <w:fldChar w:fldCharType="separate"/>
        </w:r>
        <w:r w:rsidR="003B2407">
          <w:rPr>
            <w:noProof/>
            <w:webHidden/>
            <w:lang w:val="en-GB"/>
          </w:rPr>
          <w:t>29</w:t>
        </w:r>
        <w:r w:rsidR="00680BB5" w:rsidRPr="00967AC5">
          <w:rPr>
            <w:noProof/>
            <w:webHidden/>
            <w:lang w:val="en-GB"/>
          </w:rPr>
          <w:fldChar w:fldCharType="end"/>
        </w:r>
      </w:hyperlink>
    </w:p>
    <w:p w14:paraId="3EFFED3F" w14:textId="758CA5DA"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30" w:history="1">
        <w:r w:rsidR="00680BB5" w:rsidRPr="00967AC5">
          <w:rPr>
            <w:rStyle w:val="Hyperlink"/>
            <w:noProof/>
            <w:lang w:val="en-GB"/>
          </w:rPr>
          <w:t>3.5.3</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Adjacent band coexistence issues in 900 MHz frequency bands (non-AAS)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_Toc71037830 \h </w:instrText>
        </w:r>
        <w:r w:rsidR="00680BB5" w:rsidRPr="00967AC5">
          <w:rPr>
            <w:noProof/>
            <w:webHidden/>
            <w:lang w:val="en-GB"/>
          </w:rPr>
        </w:r>
        <w:r w:rsidR="00680BB5" w:rsidRPr="00967AC5">
          <w:rPr>
            <w:noProof/>
            <w:webHidden/>
            <w:lang w:val="en-GB"/>
          </w:rPr>
          <w:fldChar w:fldCharType="separate"/>
        </w:r>
        <w:r w:rsidR="003B2407">
          <w:rPr>
            <w:noProof/>
            <w:webHidden/>
            <w:lang w:val="en-GB"/>
          </w:rPr>
          <w:t>31</w:t>
        </w:r>
        <w:r w:rsidR="00680BB5" w:rsidRPr="00967AC5">
          <w:rPr>
            <w:noProof/>
            <w:webHidden/>
            <w:lang w:val="en-GB"/>
          </w:rPr>
          <w:fldChar w:fldCharType="end"/>
        </w:r>
      </w:hyperlink>
    </w:p>
    <w:p w14:paraId="7B3D6838" w14:textId="05DD8270"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31" w:history="1">
        <w:r w:rsidR="00680BB5" w:rsidRPr="00967AC5">
          <w:rPr>
            <w:rStyle w:val="Hyperlink"/>
            <w:noProof/>
            <w:lang w:val="en-GB"/>
          </w:rPr>
          <w:t>3.5.3.1</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RMR (GSM-R/E-GSM-R/FRMCS)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_Toc71037831 \h </w:instrText>
        </w:r>
        <w:r w:rsidR="00680BB5" w:rsidRPr="00967AC5">
          <w:rPr>
            <w:noProof/>
            <w:webHidden/>
            <w:lang w:val="en-GB"/>
          </w:rPr>
        </w:r>
        <w:r w:rsidR="00680BB5" w:rsidRPr="00967AC5">
          <w:rPr>
            <w:noProof/>
            <w:webHidden/>
            <w:lang w:val="en-GB"/>
          </w:rPr>
          <w:fldChar w:fldCharType="separate"/>
        </w:r>
        <w:r w:rsidR="003B2407">
          <w:rPr>
            <w:noProof/>
            <w:webHidden/>
            <w:lang w:val="en-GB"/>
          </w:rPr>
          <w:t>32</w:t>
        </w:r>
        <w:r w:rsidR="00680BB5" w:rsidRPr="00967AC5">
          <w:rPr>
            <w:noProof/>
            <w:webHidden/>
            <w:lang w:val="en-GB"/>
          </w:rPr>
          <w:fldChar w:fldCharType="end"/>
        </w:r>
      </w:hyperlink>
    </w:p>
    <w:p w14:paraId="7DD4207B" w14:textId="6069AF7F"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32" w:history="1">
        <w:r w:rsidR="00680BB5" w:rsidRPr="00967AC5">
          <w:rPr>
            <w:rStyle w:val="Hyperlink"/>
            <w:noProof/>
            <w:lang w:val="en-GB"/>
          </w:rPr>
          <w:t>3.5.3.2</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PMR/PAMR (above 915 MHz)</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_Toc71037832 \h </w:instrText>
        </w:r>
        <w:r w:rsidR="00680BB5" w:rsidRPr="00967AC5">
          <w:rPr>
            <w:noProof/>
            <w:webHidden/>
            <w:lang w:val="en-GB"/>
          </w:rPr>
        </w:r>
        <w:r w:rsidR="00680BB5" w:rsidRPr="00967AC5">
          <w:rPr>
            <w:noProof/>
            <w:webHidden/>
            <w:lang w:val="en-GB"/>
          </w:rPr>
          <w:fldChar w:fldCharType="separate"/>
        </w:r>
        <w:r w:rsidR="003B2407">
          <w:rPr>
            <w:noProof/>
            <w:webHidden/>
            <w:lang w:val="en-GB"/>
          </w:rPr>
          <w:t>34</w:t>
        </w:r>
        <w:r w:rsidR="00680BB5" w:rsidRPr="00967AC5">
          <w:rPr>
            <w:noProof/>
            <w:webHidden/>
            <w:lang w:val="en-GB"/>
          </w:rPr>
          <w:fldChar w:fldCharType="end"/>
        </w:r>
      </w:hyperlink>
    </w:p>
    <w:p w14:paraId="4DEEFD81" w14:textId="2FC38792"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33" w:history="1">
        <w:r w:rsidR="00680BB5" w:rsidRPr="00967AC5">
          <w:rPr>
            <w:rStyle w:val="Hyperlink"/>
            <w:noProof/>
            <w:lang w:val="en-GB"/>
          </w:rPr>
          <w:t>3.5.3.3</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Aeronautical Radio navigation (DME/L-DACS)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_Toc71037833 \h </w:instrText>
        </w:r>
        <w:r w:rsidR="00680BB5" w:rsidRPr="00967AC5">
          <w:rPr>
            <w:noProof/>
            <w:webHidden/>
            <w:lang w:val="en-GB"/>
          </w:rPr>
        </w:r>
        <w:r w:rsidR="00680BB5" w:rsidRPr="00967AC5">
          <w:rPr>
            <w:noProof/>
            <w:webHidden/>
            <w:lang w:val="en-GB"/>
          </w:rPr>
          <w:fldChar w:fldCharType="separate"/>
        </w:r>
        <w:r w:rsidR="003B2407">
          <w:rPr>
            <w:noProof/>
            <w:webHidden/>
            <w:lang w:val="en-GB"/>
          </w:rPr>
          <w:t>35</w:t>
        </w:r>
        <w:r w:rsidR="00680BB5" w:rsidRPr="00967AC5">
          <w:rPr>
            <w:noProof/>
            <w:webHidden/>
            <w:lang w:val="en-GB"/>
          </w:rPr>
          <w:fldChar w:fldCharType="end"/>
        </w:r>
      </w:hyperlink>
    </w:p>
    <w:p w14:paraId="64800A37" w14:textId="3C2F0D51"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34" w:history="1">
        <w:r w:rsidR="00680BB5" w:rsidRPr="00967AC5">
          <w:rPr>
            <w:rStyle w:val="Hyperlink"/>
            <w:noProof/>
            <w:lang w:val="en-GB"/>
          </w:rPr>
          <w:t>3.5.3.4</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Aeronautical Mobile Service Communication systems and MIDS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_Toc71037834 \h </w:instrText>
        </w:r>
        <w:r w:rsidR="00680BB5" w:rsidRPr="00967AC5">
          <w:rPr>
            <w:noProof/>
            <w:webHidden/>
            <w:lang w:val="en-GB"/>
          </w:rPr>
        </w:r>
        <w:r w:rsidR="00680BB5" w:rsidRPr="00967AC5">
          <w:rPr>
            <w:noProof/>
            <w:webHidden/>
            <w:lang w:val="en-GB"/>
          </w:rPr>
          <w:fldChar w:fldCharType="separate"/>
        </w:r>
        <w:r w:rsidR="003B2407">
          <w:rPr>
            <w:noProof/>
            <w:webHidden/>
            <w:lang w:val="en-GB"/>
          </w:rPr>
          <w:t>36</w:t>
        </w:r>
        <w:r w:rsidR="00680BB5" w:rsidRPr="00967AC5">
          <w:rPr>
            <w:noProof/>
            <w:webHidden/>
            <w:lang w:val="en-GB"/>
          </w:rPr>
          <w:fldChar w:fldCharType="end"/>
        </w:r>
      </w:hyperlink>
    </w:p>
    <w:p w14:paraId="1F14BD58" w14:textId="7B34AAC0" w:rsidR="00680BB5" w:rsidRPr="00967AC5" w:rsidRDefault="0025353C">
      <w:pPr>
        <w:pStyle w:val="TOC3"/>
        <w:rPr>
          <w:rFonts w:asciiTheme="minorHAnsi" w:eastAsiaTheme="minorEastAsia" w:hAnsiTheme="minorHAnsi" w:cstheme="minorBidi"/>
          <w:noProof/>
          <w:sz w:val="22"/>
          <w:szCs w:val="22"/>
          <w:lang w:val="en-GB" w:eastAsia="en-GB"/>
        </w:rPr>
      </w:pPr>
      <w:hyperlink w:anchor="_Toc71037835" w:history="1">
        <w:r w:rsidR="00680BB5" w:rsidRPr="00967AC5">
          <w:rPr>
            <w:rStyle w:val="Hyperlink"/>
            <w:noProof/>
            <w:lang w:val="en-GB"/>
          </w:rPr>
          <w:t>3.5.4</w:t>
        </w:r>
        <w:r w:rsidR="00680BB5" w:rsidRPr="00967AC5">
          <w:rPr>
            <w:rFonts w:asciiTheme="minorHAnsi" w:eastAsiaTheme="minorEastAsia" w:hAnsiTheme="minorHAnsi" w:cstheme="minorBidi"/>
            <w:noProof/>
            <w:sz w:val="22"/>
            <w:szCs w:val="22"/>
            <w:lang w:val="en-GB" w:eastAsia="en-GB"/>
          </w:rPr>
          <w:tab/>
        </w:r>
        <w:r w:rsidR="00680BB5" w:rsidRPr="00967AC5">
          <w:rPr>
            <w:rStyle w:val="Hyperlink"/>
            <w:noProof/>
            <w:lang w:val="en-GB"/>
          </w:rPr>
          <w:t>Adjacent band coexistence for non-AAS/AAS MFCN system in 1800 MHz frequency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_Toc71037835 \h </w:instrText>
        </w:r>
        <w:r w:rsidR="00680BB5" w:rsidRPr="00967AC5">
          <w:rPr>
            <w:noProof/>
            <w:webHidden/>
            <w:lang w:val="en-GB"/>
          </w:rPr>
        </w:r>
        <w:r w:rsidR="00680BB5" w:rsidRPr="00967AC5">
          <w:rPr>
            <w:noProof/>
            <w:webHidden/>
            <w:lang w:val="en-GB"/>
          </w:rPr>
          <w:fldChar w:fldCharType="separate"/>
        </w:r>
        <w:r w:rsidR="003B2407">
          <w:rPr>
            <w:noProof/>
            <w:webHidden/>
            <w:lang w:val="en-GB"/>
          </w:rPr>
          <w:t>37</w:t>
        </w:r>
        <w:r w:rsidR="00680BB5" w:rsidRPr="00967AC5">
          <w:rPr>
            <w:noProof/>
            <w:webHidden/>
            <w:lang w:val="en-GB"/>
          </w:rPr>
          <w:fldChar w:fldCharType="end"/>
        </w:r>
      </w:hyperlink>
    </w:p>
    <w:p w14:paraId="79B098E1" w14:textId="2E87893A"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36" w:history="1">
        <w:r w:rsidR="00680BB5" w:rsidRPr="00967AC5">
          <w:rPr>
            <w:rStyle w:val="Hyperlink"/>
            <w:noProof/>
            <w:lang w:val="en-GB"/>
          </w:rPr>
          <w:t>3.5.4.1</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Adjacent band coexistence for non-AAS MFCN system in 1800 MHz frequency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_Toc71037836 \h </w:instrText>
        </w:r>
        <w:r w:rsidR="00680BB5" w:rsidRPr="00967AC5">
          <w:rPr>
            <w:noProof/>
            <w:webHidden/>
            <w:lang w:val="en-GB"/>
          </w:rPr>
        </w:r>
        <w:r w:rsidR="00680BB5" w:rsidRPr="00967AC5">
          <w:rPr>
            <w:noProof/>
            <w:webHidden/>
            <w:lang w:val="en-GB"/>
          </w:rPr>
          <w:fldChar w:fldCharType="separate"/>
        </w:r>
        <w:r w:rsidR="003B2407">
          <w:rPr>
            <w:noProof/>
            <w:webHidden/>
            <w:lang w:val="en-GB"/>
          </w:rPr>
          <w:t>37</w:t>
        </w:r>
        <w:r w:rsidR="00680BB5" w:rsidRPr="00967AC5">
          <w:rPr>
            <w:noProof/>
            <w:webHidden/>
            <w:lang w:val="en-GB"/>
          </w:rPr>
          <w:fldChar w:fldCharType="end"/>
        </w:r>
      </w:hyperlink>
    </w:p>
    <w:p w14:paraId="06E5ED9F" w14:textId="0CD9C264" w:rsidR="00680BB5" w:rsidRPr="00967AC5" w:rsidRDefault="0025353C">
      <w:pPr>
        <w:pStyle w:val="TOC4"/>
        <w:rPr>
          <w:rFonts w:asciiTheme="minorHAnsi" w:eastAsiaTheme="minorEastAsia" w:hAnsiTheme="minorHAnsi" w:cstheme="minorBidi"/>
          <w:i w:val="0"/>
          <w:noProof/>
          <w:sz w:val="22"/>
          <w:szCs w:val="22"/>
          <w:lang w:val="en-GB" w:eastAsia="en-GB"/>
        </w:rPr>
      </w:pPr>
      <w:hyperlink w:anchor="_Toc71037837" w:history="1">
        <w:r w:rsidR="00680BB5" w:rsidRPr="00967AC5">
          <w:rPr>
            <w:rStyle w:val="Hyperlink"/>
            <w:noProof/>
            <w:lang w:val="en-GB"/>
          </w:rPr>
          <w:t>3.5.4.2</w:t>
        </w:r>
        <w:r w:rsidR="00680BB5" w:rsidRPr="00967AC5">
          <w:rPr>
            <w:rFonts w:asciiTheme="minorHAnsi" w:eastAsiaTheme="minorEastAsia" w:hAnsiTheme="minorHAnsi" w:cstheme="minorBidi"/>
            <w:i w:val="0"/>
            <w:noProof/>
            <w:sz w:val="22"/>
            <w:szCs w:val="22"/>
            <w:lang w:val="en-GB" w:eastAsia="en-GB"/>
          </w:rPr>
          <w:tab/>
        </w:r>
        <w:r w:rsidR="00680BB5" w:rsidRPr="00967AC5">
          <w:rPr>
            <w:rStyle w:val="Hyperlink"/>
            <w:noProof/>
            <w:lang w:val="en-GB"/>
          </w:rPr>
          <w:t>Adjacent band coexistence for AAS MFCN system in 1800 MHz frequency bands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_Toc71037837 \h </w:instrText>
        </w:r>
        <w:r w:rsidR="00680BB5" w:rsidRPr="00967AC5">
          <w:rPr>
            <w:noProof/>
            <w:webHidden/>
            <w:lang w:val="en-GB"/>
          </w:rPr>
        </w:r>
        <w:r w:rsidR="00680BB5" w:rsidRPr="00967AC5">
          <w:rPr>
            <w:noProof/>
            <w:webHidden/>
            <w:lang w:val="en-GB"/>
          </w:rPr>
          <w:fldChar w:fldCharType="separate"/>
        </w:r>
        <w:r w:rsidR="003B2407">
          <w:rPr>
            <w:noProof/>
            <w:webHidden/>
            <w:lang w:val="en-GB"/>
          </w:rPr>
          <w:t>38</w:t>
        </w:r>
        <w:r w:rsidR="00680BB5" w:rsidRPr="00967AC5">
          <w:rPr>
            <w:noProof/>
            <w:webHidden/>
            <w:lang w:val="en-GB"/>
          </w:rPr>
          <w:fldChar w:fldCharType="end"/>
        </w:r>
      </w:hyperlink>
    </w:p>
    <w:p w14:paraId="3DD9A63B" w14:textId="20A84B1E"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38" w:history="1">
        <w:r w:rsidR="00680BB5" w:rsidRPr="00967AC5">
          <w:rPr>
            <w:rStyle w:val="Hyperlink"/>
            <w:noProof/>
            <w:lang w:val="en-GB"/>
          </w:rPr>
          <w:t>4</w:t>
        </w:r>
        <w:r w:rsidR="00680BB5" w:rsidRPr="00967AC5">
          <w:rPr>
            <w:rFonts w:asciiTheme="minorHAnsi" w:eastAsiaTheme="minorEastAsia" w:hAnsiTheme="minorHAnsi" w:cstheme="minorBidi"/>
            <w:b w:val="0"/>
            <w:caps w:val="0"/>
            <w:noProof/>
            <w:sz w:val="22"/>
            <w:szCs w:val="22"/>
            <w:lang w:val="en-GB" w:eastAsia="en-GB"/>
          </w:rPr>
          <w:tab/>
        </w:r>
        <w:r w:rsidR="00680BB5" w:rsidRPr="00967AC5">
          <w:rPr>
            <w:rStyle w:val="Hyperlink"/>
            <w:noProof/>
            <w:lang w:val="en-GB"/>
          </w:rPr>
          <w:t>Cross-border coordination</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_Toc71037838 \h </w:instrText>
        </w:r>
        <w:r w:rsidR="00680BB5" w:rsidRPr="00967AC5">
          <w:rPr>
            <w:noProof/>
            <w:webHidden/>
            <w:lang w:val="en-GB"/>
          </w:rPr>
        </w:r>
        <w:r w:rsidR="00680BB5" w:rsidRPr="00967AC5">
          <w:rPr>
            <w:noProof/>
            <w:webHidden/>
            <w:lang w:val="en-GB"/>
          </w:rPr>
          <w:fldChar w:fldCharType="separate"/>
        </w:r>
        <w:r w:rsidR="003B2407">
          <w:rPr>
            <w:noProof/>
            <w:webHidden/>
            <w:lang w:val="en-GB"/>
          </w:rPr>
          <w:t>41</w:t>
        </w:r>
        <w:r w:rsidR="00680BB5" w:rsidRPr="00967AC5">
          <w:rPr>
            <w:noProof/>
            <w:webHidden/>
            <w:lang w:val="en-GB"/>
          </w:rPr>
          <w:fldChar w:fldCharType="end"/>
        </w:r>
      </w:hyperlink>
    </w:p>
    <w:p w14:paraId="61CB0B7C" w14:textId="73567797"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39" w:history="1">
        <w:r w:rsidR="00680BB5" w:rsidRPr="00967AC5">
          <w:rPr>
            <w:rStyle w:val="Hyperlink"/>
            <w:noProof/>
            <w:lang w:val="en-GB"/>
          </w:rPr>
          <w:t>5</w:t>
        </w:r>
        <w:r w:rsidR="00680BB5" w:rsidRPr="00967AC5">
          <w:rPr>
            <w:rFonts w:asciiTheme="minorHAnsi" w:eastAsiaTheme="minorEastAsia" w:hAnsiTheme="minorHAnsi" w:cstheme="minorBidi"/>
            <w:b w:val="0"/>
            <w:caps w:val="0"/>
            <w:noProof/>
            <w:sz w:val="22"/>
            <w:szCs w:val="22"/>
            <w:lang w:val="en-GB" w:eastAsia="en-GB"/>
          </w:rPr>
          <w:tab/>
        </w:r>
        <w:r w:rsidR="00680BB5" w:rsidRPr="00967AC5">
          <w:rPr>
            <w:rStyle w:val="Hyperlink"/>
            <w:noProof/>
            <w:lang w:val="en-GB"/>
          </w:rPr>
          <w:t>Implementation of LRTCs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_Toc71037839 \h </w:instrText>
        </w:r>
        <w:r w:rsidR="00680BB5" w:rsidRPr="00967AC5">
          <w:rPr>
            <w:noProof/>
            <w:webHidden/>
            <w:lang w:val="en-GB"/>
          </w:rPr>
        </w:r>
        <w:r w:rsidR="00680BB5" w:rsidRPr="00967AC5">
          <w:rPr>
            <w:noProof/>
            <w:webHidden/>
            <w:lang w:val="en-GB"/>
          </w:rPr>
          <w:fldChar w:fldCharType="separate"/>
        </w:r>
        <w:r w:rsidR="003B2407">
          <w:rPr>
            <w:noProof/>
            <w:webHidden/>
            <w:lang w:val="en-GB"/>
          </w:rPr>
          <w:t>42</w:t>
        </w:r>
        <w:r w:rsidR="00680BB5" w:rsidRPr="00967AC5">
          <w:rPr>
            <w:noProof/>
            <w:webHidden/>
            <w:lang w:val="en-GB"/>
          </w:rPr>
          <w:fldChar w:fldCharType="end"/>
        </w:r>
      </w:hyperlink>
    </w:p>
    <w:p w14:paraId="45847D05" w14:textId="5736D6D0"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40" w:history="1">
        <w:r w:rsidR="00680BB5" w:rsidRPr="00967AC5">
          <w:rPr>
            <w:rStyle w:val="Hyperlink"/>
            <w:noProof/>
            <w:lang w:val="en-GB"/>
          </w:rPr>
          <w:t>6</w:t>
        </w:r>
        <w:r w:rsidR="00680BB5" w:rsidRPr="00967AC5">
          <w:rPr>
            <w:rFonts w:asciiTheme="minorHAnsi" w:eastAsiaTheme="minorEastAsia" w:hAnsiTheme="minorHAnsi" w:cstheme="minorBidi"/>
            <w:b w:val="0"/>
            <w:caps w:val="0"/>
            <w:noProof/>
            <w:sz w:val="22"/>
            <w:szCs w:val="22"/>
            <w:lang w:val="en-GB" w:eastAsia="en-GB"/>
          </w:rPr>
          <w:tab/>
        </w:r>
        <w:r w:rsidR="00680BB5" w:rsidRPr="00967AC5">
          <w:rPr>
            <w:rStyle w:val="Hyperlink"/>
            <w:noProof/>
            <w:lang w:val="en-GB"/>
          </w:rPr>
          <w:t>Conclusions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_Toc71037840 \h </w:instrText>
        </w:r>
        <w:r w:rsidR="00680BB5" w:rsidRPr="00967AC5">
          <w:rPr>
            <w:noProof/>
            <w:webHidden/>
            <w:lang w:val="en-GB"/>
          </w:rPr>
        </w:r>
        <w:r w:rsidR="00680BB5" w:rsidRPr="00967AC5">
          <w:rPr>
            <w:noProof/>
            <w:webHidden/>
            <w:lang w:val="en-GB"/>
          </w:rPr>
          <w:fldChar w:fldCharType="separate"/>
        </w:r>
        <w:r w:rsidR="003B2407">
          <w:rPr>
            <w:noProof/>
            <w:webHidden/>
            <w:lang w:val="en-GB"/>
          </w:rPr>
          <w:t>43</w:t>
        </w:r>
        <w:r w:rsidR="00680BB5" w:rsidRPr="00967AC5">
          <w:rPr>
            <w:noProof/>
            <w:webHidden/>
            <w:lang w:val="en-GB"/>
          </w:rPr>
          <w:fldChar w:fldCharType="end"/>
        </w:r>
      </w:hyperlink>
    </w:p>
    <w:p w14:paraId="06BD1504" w14:textId="6DDBC63F"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41" w:history="1">
        <w:r w:rsidR="00680BB5" w:rsidRPr="00967AC5">
          <w:rPr>
            <w:rStyle w:val="Hyperlink"/>
            <w:noProof/>
            <w:lang w:val="en-GB"/>
          </w:rPr>
          <w:t>ANNEX 1: Mandate to CEPT</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_Toc71037841 \h </w:instrText>
        </w:r>
        <w:r w:rsidR="00680BB5" w:rsidRPr="00967AC5">
          <w:rPr>
            <w:noProof/>
            <w:webHidden/>
            <w:lang w:val="en-GB"/>
          </w:rPr>
        </w:r>
        <w:r w:rsidR="00680BB5" w:rsidRPr="00967AC5">
          <w:rPr>
            <w:noProof/>
            <w:webHidden/>
            <w:lang w:val="en-GB"/>
          </w:rPr>
          <w:fldChar w:fldCharType="separate"/>
        </w:r>
        <w:r w:rsidR="003B2407">
          <w:rPr>
            <w:noProof/>
            <w:webHidden/>
            <w:lang w:val="en-GB"/>
          </w:rPr>
          <w:t>46</w:t>
        </w:r>
        <w:r w:rsidR="00680BB5" w:rsidRPr="00967AC5">
          <w:rPr>
            <w:noProof/>
            <w:webHidden/>
            <w:lang w:val="en-GB"/>
          </w:rPr>
          <w:fldChar w:fldCharType="end"/>
        </w:r>
      </w:hyperlink>
    </w:p>
    <w:p w14:paraId="1EDBF905" w14:textId="2351532D"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42" w:history="1">
        <w:r w:rsidR="00680BB5" w:rsidRPr="00967AC5">
          <w:rPr>
            <w:rStyle w:val="Hyperlink"/>
            <w:noProof/>
            <w:lang w:val="en-GB"/>
          </w:rPr>
          <w:t>ANNEX 2: Updates to EC Decision</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_Toc71037842 \h </w:instrText>
        </w:r>
        <w:r w:rsidR="00680BB5" w:rsidRPr="00967AC5">
          <w:rPr>
            <w:noProof/>
            <w:webHidden/>
            <w:lang w:val="en-GB"/>
          </w:rPr>
        </w:r>
        <w:r w:rsidR="00680BB5" w:rsidRPr="00967AC5">
          <w:rPr>
            <w:noProof/>
            <w:webHidden/>
            <w:lang w:val="en-GB"/>
          </w:rPr>
          <w:fldChar w:fldCharType="separate"/>
        </w:r>
        <w:r w:rsidR="003B2407">
          <w:rPr>
            <w:noProof/>
            <w:webHidden/>
            <w:lang w:val="en-GB"/>
          </w:rPr>
          <w:t>52</w:t>
        </w:r>
        <w:r w:rsidR="00680BB5" w:rsidRPr="00967AC5">
          <w:rPr>
            <w:noProof/>
            <w:webHidden/>
            <w:lang w:val="en-GB"/>
          </w:rPr>
          <w:fldChar w:fldCharType="end"/>
        </w:r>
      </w:hyperlink>
    </w:p>
    <w:p w14:paraId="77ED01FD" w14:textId="01F0BB98"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44" w:history="1">
        <w:r w:rsidR="00680BB5" w:rsidRPr="00967AC5">
          <w:rPr>
            <w:rStyle w:val="Hyperlink"/>
            <w:noProof/>
            <w:lang w:val="en-GB"/>
          </w:rPr>
          <w:t>ANNEX 3: ETSI TS core specifications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_Toc71037844 \h </w:instrText>
        </w:r>
        <w:r w:rsidR="00680BB5" w:rsidRPr="00967AC5">
          <w:rPr>
            <w:noProof/>
            <w:webHidden/>
            <w:lang w:val="en-GB"/>
          </w:rPr>
        </w:r>
        <w:r w:rsidR="00680BB5" w:rsidRPr="00967AC5">
          <w:rPr>
            <w:noProof/>
            <w:webHidden/>
            <w:lang w:val="en-GB"/>
          </w:rPr>
          <w:fldChar w:fldCharType="separate"/>
        </w:r>
        <w:r w:rsidR="003B2407">
          <w:rPr>
            <w:noProof/>
            <w:webHidden/>
            <w:lang w:val="en-GB"/>
          </w:rPr>
          <w:t>58</w:t>
        </w:r>
        <w:r w:rsidR="00680BB5" w:rsidRPr="00967AC5">
          <w:rPr>
            <w:noProof/>
            <w:webHidden/>
            <w:lang w:val="en-GB"/>
          </w:rPr>
          <w:fldChar w:fldCharType="end"/>
        </w:r>
      </w:hyperlink>
    </w:p>
    <w:p w14:paraId="5A724A8F" w14:textId="0B596C52"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46" w:history="1">
        <w:r w:rsidR="00680BB5" w:rsidRPr="00967AC5">
          <w:rPr>
            <w:rStyle w:val="Hyperlink"/>
            <w:noProof/>
            <w:lang w:val="en-GB"/>
          </w:rPr>
          <w:t>ANNEX 4: High level principles used in this report</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_Toc71037846 \h </w:instrText>
        </w:r>
        <w:r w:rsidR="00680BB5" w:rsidRPr="00967AC5">
          <w:rPr>
            <w:noProof/>
            <w:webHidden/>
            <w:lang w:val="en-GB"/>
          </w:rPr>
        </w:r>
        <w:r w:rsidR="00680BB5" w:rsidRPr="00967AC5">
          <w:rPr>
            <w:noProof/>
            <w:webHidden/>
            <w:lang w:val="en-GB"/>
          </w:rPr>
          <w:fldChar w:fldCharType="separate"/>
        </w:r>
        <w:r w:rsidR="003B2407">
          <w:rPr>
            <w:noProof/>
            <w:webHidden/>
            <w:lang w:val="en-GB"/>
          </w:rPr>
          <w:t>64</w:t>
        </w:r>
        <w:r w:rsidR="00680BB5" w:rsidRPr="00967AC5">
          <w:rPr>
            <w:noProof/>
            <w:webHidden/>
            <w:lang w:val="en-GB"/>
          </w:rPr>
          <w:fldChar w:fldCharType="end"/>
        </w:r>
      </w:hyperlink>
    </w:p>
    <w:p w14:paraId="6DA32F55" w14:textId="009D3ED1" w:rsidR="00680BB5" w:rsidRPr="00967AC5" w:rsidRDefault="0025353C">
      <w:pPr>
        <w:pStyle w:val="TOC1"/>
        <w:rPr>
          <w:rFonts w:asciiTheme="minorHAnsi" w:eastAsiaTheme="minorEastAsia" w:hAnsiTheme="minorHAnsi" w:cstheme="minorBidi"/>
          <w:b w:val="0"/>
          <w:caps w:val="0"/>
          <w:noProof/>
          <w:sz w:val="22"/>
          <w:szCs w:val="22"/>
          <w:lang w:val="en-GB" w:eastAsia="en-GB"/>
        </w:rPr>
      </w:pPr>
      <w:hyperlink w:anchor="_Toc71037847" w:history="1">
        <w:r w:rsidR="00680BB5" w:rsidRPr="00967AC5">
          <w:rPr>
            <w:rStyle w:val="Hyperlink"/>
            <w:noProof/>
            <w:lang w:val="en-GB"/>
          </w:rPr>
          <w:t>ANNEX 5: list of References</w:t>
        </w:r>
        <w:r w:rsidR="00680BB5" w:rsidRPr="00967AC5">
          <w:rPr>
            <w:noProof/>
            <w:webHidden/>
            <w:lang w:val="en-GB"/>
          </w:rPr>
          <w:tab/>
        </w:r>
        <w:r w:rsidR="00680BB5" w:rsidRPr="00967AC5">
          <w:rPr>
            <w:noProof/>
            <w:webHidden/>
            <w:lang w:val="en-GB"/>
          </w:rPr>
          <w:fldChar w:fldCharType="begin"/>
        </w:r>
        <w:r w:rsidR="00680BB5" w:rsidRPr="00967AC5">
          <w:rPr>
            <w:noProof/>
            <w:webHidden/>
            <w:lang w:val="en-GB"/>
          </w:rPr>
          <w:instrText xml:space="preserve"> PAGEREF _Toc71037847 \h </w:instrText>
        </w:r>
        <w:r w:rsidR="00680BB5" w:rsidRPr="00967AC5">
          <w:rPr>
            <w:noProof/>
            <w:webHidden/>
            <w:lang w:val="en-GB"/>
          </w:rPr>
        </w:r>
        <w:r w:rsidR="00680BB5" w:rsidRPr="00967AC5">
          <w:rPr>
            <w:noProof/>
            <w:webHidden/>
            <w:lang w:val="en-GB"/>
          </w:rPr>
          <w:fldChar w:fldCharType="separate"/>
        </w:r>
        <w:r w:rsidR="003B2407">
          <w:rPr>
            <w:noProof/>
            <w:webHidden/>
            <w:lang w:val="en-GB"/>
          </w:rPr>
          <w:t>65</w:t>
        </w:r>
        <w:r w:rsidR="00680BB5" w:rsidRPr="00967AC5">
          <w:rPr>
            <w:noProof/>
            <w:webHidden/>
            <w:lang w:val="en-GB"/>
          </w:rPr>
          <w:fldChar w:fldCharType="end"/>
        </w:r>
      </w:hyperlink>
    </w:p>
    <w:p w14:paraId="63C3D86E" w14:textId="285BB27C" w:rsidR="006A7FB6" w:rsidRPr="00967AC5" w:rsidRDefault="00460896" w:rsidP="00460896">
      <w:pPr>
        <w:rPr>
          <w:lang w:val="en-GB"/>
        </w:rPr>
      </w:pPr>
      <w:r w:rsidRPr="00967AC5">
        <w:rPr>
          <w:lang w:val="en-GB"/>
        </w:rPr>
        <w:fldChar w:fldCharType="end"/>
      </w:r>
    </w:p>
    <w:p w14:paraId="402B83CA" w14:textId="77777777" w:rsidR="006A7FB6" w:rsidRPr="00967AC5" w:rsidRDefault="006A7FB6">
      <w:pPr>
        <w:rPr>
          <w:lang w:val="en-GB"/>
        </w:rPr>
      </w:pPr>
      <w:r w:rsidRPr="00967AC5">
        <w:rPr>
          <w:lang w:val="en-GB"/>
        </w:rPr>
        <w:br w:type="page"/>
      </w:r>
    </w:p>
    <w:p w14:paraId="66A77497" w14:textId="0848A5CE" w:rsidR="000F105E" w:rsidRPr="00967AC5" w:rsidRDefault="001C65AB" w:rsidP="000F105E">
      <w:pPr>
        <w:rPr>
          <w:b/>
          <w:color w:val="FFFFFF"/>
          <w:szCs w:val="20"/>
          <w:lang w:val="en-GB"/>
        </w:rPr>
      </w:pPr>
      <w:r w:rsidRPr="00967AC5">
        <w:rPr>
          <w:b/>
          <w:noProof/>
          <w:color w:val="FFFFFF"/>
          <w:lang w:val="en-GB"/>
        </w:rPr>
        <w:lastRenderedPageBreak/>
        <mc:AlternateContent>
          <mc:Choice Requires="wps">
            <w:drawing>
              <wp:anchor distT="0" distB="0" distL="114300" distR="114300" simplePos="0" relativeHeight="251658241" behindDoc="1" locked="0" layoutInCell="1" allowOverlap="1" wp14:anchorId="1DCEA81E" wp14:editId="381F44A8">
                <wp:simplePos x="0" y="0"/>
                <wp:positionH relativeFrom="page">
                  <wp:posOffset>20229</wp:posOffset>
                </wp:positionH>
                <wp:positionV relativeFrom="page">
                  <wp:posOffset>714375</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42030" id="Rectangle 22" o:spid="_x0000_s1026" style="position:absolute;margin-left:1.6pt;margin-top:56.25pt;width:595.3pt;height:56.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" fillcolor="#b0a696" stroked="f">
                <w10:wrap anchorx="page" anchory="page"/>
              </v:rect>
            </w:pict>
          </mc:Fallback>
        </mc:AlternateContent>
      </w:r>
      <w:r w:rsidR="000F105E" w:rsidRPr="00967AC5">
        <w:rPr>
          <w:b/>
          <w:color w:val="FFFFFF"/>
          <w:szCs w:val="20"/>
          <w:lang w:val="en-GB"/>
        </w:rPr>
        <w:t>LIST OF ABBREVIATIONS</w:t>
      </w:r>
    </w:p>
    <w:p w14:paraId="4B879693" w14:textId="77777777" w:rsidR="00B47827" w:rsidRPr="00967AC5" w:rsidRDefault="00B47827">
      <w:pPr>
        <w:rPr>
          <w:lang w:val="en-GB"/>
        </w:rPr>
      </w:pPr>
    </w:p>
    <w:tbl>
      <w:tblPr>
        <w:tblpPr w:leftFromText="141" w:rightFromText="141" w:horzAnchor="margin" w:tblpY="1197"/>
        <w:tblW w:w="0" w:type="auto"/>
        <w:tblCellMar>
          <w:top w:w="11" w:type="dxa"/>
          <w:bottom w:w="11" w:type="dxa"/>
        </w:tblCellMar>
        <w:tblLook w:val="01E0" w:firstRow="1" w:lastRow="1" w:firstColumn="1" w:lastColumn="1" w:noHBand="0" w:noVBand="0"/>
      </w:tblPr>
      <w:tblGrid>
        <w:gridCol w:w="2195"/>
        <w:gridCol w:w="6656"/>
      </w:tblGrid>
      <w:tr w:rsidR="00B47827" w:rsidRPr="00967AC5" w14:paraId="62187AFB" w14:textId="77777777" w:rsidTr="003E739C">
        <w:trPr>
          <w:trHeight w:val="413"/>
        </w:trPr>
        <w:tc>
          <w:tcPr>
            <w:tcW w:w="2195" w:type="dxa"/>
          </w:tcPr>
          <w:p w14:paraId="782EFE9A" w14:textId="1B98DC62" w:rsidR="00B47827" w:rsidRPr="00967AC5" w:rsidRDefault="00DE38BE" w:rsidP="001C65AB">
            <w:pPr>
              <w:spacing w:line="288" w:lineRule="auto"/>
              <w:rPr>
                <w:b/>
                <w:color w:val="D2232A"/>
                <w:lang w:val="en-GB"/>
              </w:rPr>
            </w:pPr>
            <w:r w:rsidRPr="00967AC5">
              <w:rPr>
                <w:b/>
                <w:color w:val="D2232A"/>
                <w:lang w:val="en-GB"/>
              </w:rPr>
              <w:t>Abbreviation</w:t>
            </w:r>
          </w:p>
        </w:tc>
        <w:tc>
          <w:tcPr>
            <w:tcW w:w="6656" w:type="dxa"/>
          </w:tcPr>
          <w:p w14:paraId="3DEA5700" w14:textId="3ECB675E" w:rsidR="00B47827" w:rsidRPr="00967AC5" w:rsidRDefault="00DE38BE" w:rsidP="001C65AB">
            <w:pPr>
              <w:spacing w:line="288" w:lineRule="auto"/>
              <w:rPr>
                <w:b/>
                <w:color w:val="D2232A"/>
                <w:lang w:val="en-GB"/>
              </w:rPr>
            </w:pPr>
            <w:r w:rsidRPr="00967AC5">
              <w:rPr>
                <w:b/>
                <w:color w:val="D2232A"/>
                <w:lang w:val="en-GB"/>
              </w:rPr>
              <w:t>Explanation</w:t>
            </w:r>
          </w:p>
        </w:tc>
      </w:tr>
      <w:tr w:rsidR="00B47827" w:rsidRPr="00967AC5" w14:paraId="4B962C6D" w14:textId="77777777" w:rsidTr="002505BC">
        <w:trPr>
          <w:trHeight w:val="76"/>
        </w:trPr>
        <w:tc>
          <w:tcPr>
            <w:tcW w:w="2195" w:type="dxa"/>
          </w:tcPr>
          <w:p w14:paraId="6032E32C" w14:textId="77777777" w:rsidR="00B47827" w:rsidRPr="00967AC5" w:rsidRDefault="00DE38BE" w:rsidP="001C65AB">
            <w:pPr>
              <w:pStyle w:val="ECCTabletext"/>
              <w:rPr>
                <w:rStyle w:val="ECCHLbold"/>
              </w:rPr>
            </w:pPr>
            <w:r w:rsidRPr="00967AC5">
              <w:rPr>
                <w:rStyle w:val="ECCHLbold"/>
              </w:rPr>
              <w:t>5G</w:t>
            </w:r>
          </w:p>
        </w:tc>
        <w:tc>
          <w:tcPr>
            <w:tcW w:w="6656" w:type="dxa"/>
          </w:tcPr>
          <w:p w14:paraId="1B41EFB8" w14:textId="37350836" w:rsidR="00B47827" w:rsidRPr="00967AC5" w:rsidRDefault="00DE38BE" w:rsidP="001C65AB">
            <w:pPr>
              <w:pStyle w:val="ECCTabletext"/>
            </w:pPr>
            <w:r w:rsidRPr="00967AC5">
              <w:t>5</w:t>
            </w:r>
            <w:r w:rsidRPr="00967AC5">
              <w:rPr>
                <w:vertAlign w:val="superscript"/>
              </w:rPr>
              <w:t>th</w:t>
            </w:r>
            <w:r w:rsidRPr="00967AC5">
              <w:t xml:space="preserve"> Generation of mobile networks</w:t>
            </w:r>
          </w:p>
        </w:tc>
      </w:tr>
      <w:tr w:rsidR="00B47827" w:rsidRPr="00967AC5" w14:paraId="137DADE9" w14:textId="77777777" w:rsidTr="002505BC">
        <w:tc>
          <w:tcPr>
            <w:tcW w:w="2195" w:type="dxa"/>
          </w:tcPr>
          <w:p w14:paraId="5B332F7B" w14:textId="77777777" w:rsidR="00B47827" w:rsidRPr="00967AC5" w:rsidRDefault="00DE38BE" w:rsidP="001C65AB">
            <w:pPr>
              <w:pStyle w:val="ECCTabletext"/>
              <w:rPr>
                <w:rStyle w:val="ECCHLbold"/>
              </w:rPr>
            </w:pPr>
            <w:r w:rsidRPr="00967AC5">
              <w:rPr>
                <w:rStyle w:val="ECCHLbold"/>
              </w:rPr>
              <w:t>AAS</w:t>
            </w:r>
          </w:p>
        </w:tc>
        <w:tc>
          <w:tcPr>
            <w:tcW w:w="6656" w:type="dxa"/>
          </w:tcPr>
          <w:p w14:paraId="55B17260" w14:textId="4C7E0CEC" w:rsidR="00B47827" w:rsidRPr="00967AC5" w:rsidRDefault="00DE38BE" w:rsidP="001C65AB">
            <w:pPr>
              <w:pStyle w:val="ECCTabletext"/>
              <w:rPr>
                <w:szCs w:val="20"/>
              </w:rPr>
            </w:pPr>
            <w:r w:rsidRPr="00967AC5">
              <w:rPr>
                <w:szCs w:val="20"/>
              </w:rPr>
              <w:t>Active Antenna System</w:t>
            </w:r>
          </w:p>
        </w:tc>
      </w:tr>
      <w:tr w:rsidR="00D07E77" w:rsidRPr="00967AC5" w14:paraId="4B919661" w14:textId="77777777" w:rsidTr="000A6845">
        <w:trPr>
          <w:trHeight w:val="202"/>
        </w:trPr>
        <w:tc>
          <w:tcPr>
            <w:tcW w:w="2195" w:type="dxa"/>
          </w:tcPr>
          <w:p w14:paraId="2BB57A76" w14:textId="6B713815" w:rsidR="00D07E77" w:rsidRPr="00967AC5" w:rsidRDefault="00D07E77" w:rsidP="001C65AB">
            <w:pPr>
              <w:pStyle w:val="ECCTabletext"/>
              <w:rPr>
                <w:rStyle w:val="ECCHLbold"/>
              </w:rPr>
            </w:pPr>
            <w:r w:rsidRPr="00967AC5">
              <w:rPr>
                <w:rStyle w:val="ECCHLbold"/>
              </w:rPr>
              <w:t>ALD</w:t>
            </w:r>
          </w:p>
        </w:tc>
        <w:tc>
          <w:tcPr>
            <w:tcW w:w="6656" w:type="dxa"/>
          </w:tcPr>
          <w:p w14:paraId="6C27BD2F" w14:textId="5436928C" w:rsidR="00D07E77" w:rsidRPr="00967AC5" w:rsidRDefault="00D07E77" w:rsidP="001C65AB">
            <w:pPr>
              <w:pStyle w:val="ECCTabletext"/>
              <w:rPr>
                <w:szCs w:val="20"/>
              </w:rPr>
            </w:pPr>
            <w:r w:rsidRPr="00967AC5">
              <w:rPr>
                <w:szCs w:val="20"/>
              </w:rPr>
              <w:t>Assistive Listening Devices</w:t>
            </w:r>
          </w:p>
        </w:tc>
      </w:tr>
      <w:tr w:rsidR="00B47827" w:rsidRPr="00967AC5" w14:paraId="1B5388A4" w14:textId="77777777" w:rsidTr="002505BC">
        <w:trPr>
          <w:trHeight w:val="202"/>
        </w:trPr>
        <w:tc>
          <w:tcPr>
            <w:tcW w:w="2195" w:type="dxa"/>
          </w:tcPr>
          <w:p w14:paraId="57857FBC" w14:textId="77777777" w:rsidR="00B47827" w:rsidRPr="00967AC5" w:rsidRDefault="00DE38BE" w:rsidP="001C65AB">
            <w:pPr>
              <w:pStyle w:val="ECCTabletext"/>
              <w:rPr>
                <w:rStyle w:val="ECCHLbold"/>
              </w:rPr>
            </w:pPr>
            <w:r w:rsidRPr="00967AC5">
              <w:rPr>
                <w:rStyle w:val="ECCHLbold"/>
              </w:rPr>
              <w:t>BEM</w:t>
            </w:r>
          </w:p>
        </w:tc>
        <w:tc>
          <w:tcPr>
            <w:tcW w:w="6656" w:type="dxa"/>
          </w:tcPr>
          <w:p w14:paraId="37824310" w14:textId="2CCE2919" w:rsidR="00B47827" w:rsidRPr="00967AC5" w:rsidRDefault="00DE38BE" w:rsidP="001C65AB">
            <w:pPr>
              <w:pStyle w:val="ECCTabletext"/>
              <w:rPr>
                <w:szCs w:val="20"/>
              </w:rPr>
            </w:pPr>
            <w:r w:rsidRPr="00967AC5">
              <w:rPr>
                <w:szCs w:val="20"/>
              </w:rPr>
              <w:t>Block Edge Mask</w:t>
            </w:r>
          </w:p>
        </w:tc>
      </w:tr>
      <w:tr w:rsidR="00B47827" w:rsidRPr="00967AC5" w14:paraId="43680F18" w14:textId="77777777" w:rsidTr="002505BC">
        <w:tc>
          <w:tcPr>
            <w:tcW w:w="2195" w:type="dxa"/>
          </w:tcPr>
          <w:p w14:paraId="6EADCE85" w14:textId="77777777" w:rsidR="00B47827" w:rsidRPr="00967AC5" w:rsidRDefault="00DE38BE" w:rsidP="001C65AB">
            <w:pPr>
              <w:pStyle w:val="ECCTabletext"/>
              <w:rPr>
                <w:rStyle w:val="ECCHLbold"/>
              </w:rPr>
            </w:pPr>
            <w:r w:rsidRPr="00967AC5">
              <w:rPr>
                <w:rStyle w:val="ECCHLbold"/>
              </w:rPr>
              <w:t>BS</w:t>
            </w:r>
          </w:p>
        </w:tc>
        <w:tc>
          <w:tcPr>
            <w:tcW w:w="6656" w:type="dxa"/>
          </w:tcPr>
          <w:p w14:paraId="1CD8C772" w14:textId="77777777" w:rsidR="00B47827" w:rsidRPr="00967AC5" w:rsidRDefault="00DE38BE" w:rsidP="001C65AB">
            <w:pPr>
              <w:pStyle w:val="ECCTabletext"/>
              <w:rPr>
                <w:szCs w:val="20"/>
              </w:rPr>
            </w:pPr>
            <w:r w:rsidRPr="00967AC5">
              <w:rPr>
                <w:szCs w:val="20"/>
              </w:rPr>
              <w:t>Base Station</w:t>
            </w:r>
          </w:p>
        </w:tc>
      </w:tr>
      <w:tr w:rsidR="00B47827" w:rsidRPr="00967AC5" w14:paraId="3897B214" w14:textId="77777777" w:rsidTr="002505BC">
        <w:tc>
          <w:tcPr>
            <w:tcW w:w="2195" w:type="dxa"/>
          </w:tcPr>
          <w:p w14:paraId="0A17EBC8" w14:textId="77777777" w:rsidR="00B47827" w:rsidRPr="00967AC5" w:rsidRDefault="00DE38BE" w:rsidP="001C65AB">
            <w:pPr>
              <w:pStyle w:val="ECCTabletext"/>
              <w:rPr>
                <w:rStyle w:val="ECCHLbold"/>
              </w:rPr>
            </w:pPr>
            <w:r w:rsidRPr="00967AC5">
              <w:rPr>
                <w:rStyle w:val="ECCHLbold"/>
              </w:rPr>
              <w:t>CBW</w:t>
            </w:r>
          </w:p>
        </w:tc>
        <w:tc>
          <w:tcPr>
            <w:tcW w:w="6656" w:type="dxa"/>
          </w:tcPr>
          <w:p w14:paraId="52BD05E3" w14:textId="77777777" w:rsidR="00B47827" w:rsidRPr="00967AC5" w:rsidRDefault="00DE38BE" w:rsidP="001C65AB">
            <w:pPr>
              <w:pStyle w:val="ECCTabletext"/>
              <w:rPr>
                <w:szCs w:val="20"/>
              </w:rPr>
            </w:pPr>
            <w:r w:rsidRPr="00967AC5">
              <w:rPr>
                <w:szCs w:val="20"/>
              </w:rPr>
              <w:t>Carrier Bandwidth</w:t>
            </w:r>
          </w:p>
        </w:tc>
      </w:tr>
      <w:tr w:rsidR="00B47827" w:rsidRPr="00967AC5" w14:paraId="116A2FA1" w14:textId="77777777" w:rsidTr="002505BC">
        <w:tc>
          <w:tcPr>
            <w:tcW w:w="2195" w:type="dxa"/>
          </w:tcPr>
          <w:p w14:paraId="2E977039" w14:textId="77777777" w:rsidR="00B47827" w:rsidRPr="00967AC5" w:rsidRDefault="00DE38BE" w:rsidP="001C65AB">
            <w:pPr>
              <w:pStyle w:val="ECCTabletext"/>
              <w:rPr>
                <w:rStyle w:val="ECCHLbold"/>
              </w:rPr>
            </w:pPr>
            <w:r w:rsidRPr="00967AC5">
              <w:rPr>
                <w:rStyle w:val="ECCHLbold"/>
              </w:rPr>
              <w:t>CEPT</w:t>
            </w:r>
          </w:p>
        </w:tc>
        <w:tc>
          <w:tcPr>
            <w:tcW w:w="6656" w:type="dxa"/>
          </w:tcPr>
          <w:p w14:paraId="02B91513" w14:textId="77777777" w:rsidR="00B47827" w:rsidRPr="00967AC5" w:rsidRDefault="00DE38BE" w:rsidP="001C65AB">
            <w:pPr>
              <w:pStyle w:val="ECCTabletext"/>
              <w:rPr>
                <w:szCs w:val="20"/>
              </w:rPr>
            </w:pPr>
            <w:r w:rsidRPr="00967AC5">
              <w:rPr>
                <w:szCs w:val="20"/>
              </w:rPr>
              <w:t>European Conference of Postal and Telecommunications Administrations</w:t>
            </w:r>
          </w:p>
        </w:tc>
      </w:tr>
      <w:tr w:rsidR="00CA0AEE" w:rsidRPr="00967AC5" w14:paraId="1989366F" w14:textId="77777777" w:rsidTr="000A6845">
        <w:tc>
          <w:tcPr>
            <w:tcW w:w="2195" w:type="dxa"/>
          </w:tcPr>
          <w:p w14:paraId="248F801C" w14:textId="5B10B003" w:rsidR="00CA0AEE" w:rsidRPr="00967AC5" w:rsidRDefault="00CA0AEE" w:rsidP="001C65AB">
            <w:pPr>
              <w:pStyle w:val="ECCTabletext"/>
              <w:rPr>
                <w:rStyle w:val="ECCHLbold"/>
              </w:rPr>
            </w:pPr>
            <w:r w:rsidRPr="00967AC5">
              <w:rPr>
                <w:rStyle w:val="ECCHLbold"/>
              </w:rPr>
              <w:t>DCA</w:t>
            </w:r>
          </w:p>
        </w:tc>
        <w:tc>
          <w:tcPr>
            <w:tcW w:w="6656" w:type="dxa"/>
          </w:tcPr>
          <w:p w14:paraId="30326CEB" w14:textId="0F7D3397" w:rsidR="00CA0AEE" w:rsidRPr="00967AC5" w:rsidRDefault="00CA0AEE" w:rsidP="001C65AB">
            <w:pPr>
              <w:pStyle w:val="ECCTabletext"/>
              <w:rPr>
                <w:rStyle w:val="hgkelc"/>
              </w:rPr>
            </w:pPr>
            <w:r w:rsidRPr="00967AC5">
              <w:rPr>
                <w:rStyle w:val="hgkelc"/>
              </w:rPr>
              <w:t>Dynamic Channel Allocation</w:t>
            </w:r>
          </w:p>
        </w:tc>
      </w:tr>
      <w:tr w:rsidR="00EF5C9D" w:rsidRPr="00967AC5" w14:paraId="46C284A0" w14:textId="77777777" w:rsidTr="000A6845">
        <w:tc>
          <w:tcPr>
            <w:tcW w:w="2195" w:type="dxa"/>
          </w:tcPr>
          <w:p w14:paraId="7DEE35A2" w14:textId="676C1285" w:rsidR="00EF5C9D" w:rsidRPr="00967AC5" w:rsidRDefault="00EF5C9D" w:rsidP="001C65AB">
            <w:pPr>
              <w:pStyle w:val="ECCTabletext"/>
              <w:rPr>
                <w:rStyle w:val="ECCHLbold"/>
              </w:rPr>
            </w:pPr>
            <w:r w:rsidRPr="00967AC5">
              <w:rPr>
                <w:rStyle w:val="ECCHLbold"/>
              </w:rPr>
              <w:t>DECT</w:t>
            </w:r>
          </w:p>
        </w:tc>
        <w:tc>
          <w:tcPr>
            <w:tcW w:w="6656" w:type="dxa"/>
          </w:tcPr>
          <w:p w14:paraId="368C7DCA" w14:textId="3DAD7CD1" w:rsidR="00EF5C9D" w:rsidRPr="00967AC5" w:rsidRDefault="00A2673F" w:rsidP="001C65AB">
            <w:pPr>
              <w:pStyle w:val="ECCTabletext"/>
            </w:pPr>
            <w:r w:rsidRPr="00967AC5">
              <w:rPr>
                <w:rStyle w:val="hgkelc"/>
              </w:rPr>
              <w:t>Digital Enhanced Cordless Telecommunications</w:t>
            </w:r>
          </w:p>
        </w:tc>
      </w:tr>
      <w:tr w:rsidR="00CA4496" w:rsidRPr="00967AC5" w14:paraId="47072AB4" w14:textId="77777777" w:rsidTr="000A6845">
        <w:tc>
          <w:tcPr>
            <w:tcW w:w="2195" w:type="dxa"/>
          </w:tcPr>
          <w:p w14:paraId="73030B07" w14:textId="46A4B2A4" w:rsidR="00CA4496" w:rsidRPr="00967AC5" w:rsidRDefault="00AA2A25" w:rsidP="001C65AB">
            <w:pPr>
              <w:pStyle w:val="ECCTabletext"/>
              <w:rPr>
                <w:rStyle w:val="ECCHLbold"/>
              </w:rPr>
            </w:pPr>
            <w:r w:rsidRPr="00967AC5">
              <w:rPr>
                <w:rStyle w:val="ECCHLbold"/>
              </w:rPr>
              <w:t>DME</w:t>
            </w:r>
          </w:p>
        </w:tc>
        <w:tc>
          <w:tcPr>
            <w:tcW w:w="6656" w:type="dxa"/>
          </w:tcPr>
          <w:p w14:paraId="56CB0EE4" w14:textId="7476480C" w:rsidR="00CA4496" w:rsidRPr="00967AC5" w:rsidRDefault="00AA2A25" w:rsidP="001C65AB">
            <w:pPr>
              <w:pStyle w:val="ECCTabletext"/>
            </w:pPr>
            <w:r w:rsidRPr="00967AC5">
              <w:t>Distance Measuring Equipment</w:t>
            </w:r>
          </w:p>
        </w:tc>
      </w:tr>
      <w:tr w:rsidR="00B47827" w:rsidRPr="00967AC5" w14:paraId="7A0AC4DF" w14:textId="77777777" w:rsidTr="002505BC">
        <w:tc>
          <w:tcPr>
            <w:tcW w:w="2195" w:type="dxa"/>
          </w:tcPr>
          <w:p w14:paraId="31B1F009" w14:textId="77777777" w:rsidR="00B47827" w:rsidRPr="00967AC5" w:rsidRDefault="00DE38BE" w:rsidP="001C65AB">
            <w:pPr>
              <w:pStyle w:val="ECCTabletext"/>
              <w:rPr>
                <w:rStyle w:val="ECCHLbold"/>
              </w:rPr>
            </w:pPr>
            <w:r w:rsidRPr="00967AC5">
              <w:rPr>
                <w:rStyle w:val="ECCHLbold"/>
              </w:rPr>
              <w:t>EC</w:t>
            </w:r>
          </w:p>
        </w:tc>
        <w:tc>
          <w:tcPr>
            <w:tcW w:w="6656" w:type="dxa"/>
          </w:tcPr>
          <w:p w14:paraId="12524AC3" w14:textId="77777777" w:rsidR="00B47827" w:rsidRPr="00967AC5" w:rsidRDefault="00DE38BE" w:rsidP="001C65AB">
            <w:pPr>
              <w:pStyle w:val="ECCTabletext"/>
            </w:pPr>
            <w:r w:rsidRPr="00967AC5">
              <w:t>European Commission</w:t>
            </w:r>
          </w:p>
        </w:tc>
      </w:tr>
      <w:tr w:rsidR="00935B39" w:rsidRPr="00967AC5" w14:paraId="67981CDB" w14:textId="77777777" w:rsidTr="000A6845">
        <w:tc>
          <w:tcPr>
            <w:tcW w:w="2195" w:type="dxa"/>
          </w:tcPr>
          <w:p w14:paraId="3198C369" w14:textId="47F73F3C" w:rsidR="00935B39" w:rsidRPr="00967AC5" w:rsidRDefault="00E63970" w:rsidP="00935B39">
            <w:pPr>
              <w:pStyle w:val="ECCTabletext"/>
              <w:rPr>
                <w:rStyle w:val="ECCHLbold"/>
              </w:rPr>
            </w:pPr>
            <w:r w:rsidRPr="00967AC5">
              <w:rPr>
                <w:rStyle w:val="ECCHLbold"/>
              </w:rPr>
              <w:t>EC</w:t>
            </w:r>
            <w:r w:rsidR="00935B39" w:rsidRPr="00967AC5">
              <w:rPr>
                <w:rStyle w:val="ECCHLbold"/>
              </w:rPr>
              <w:t>-GSM-IoT</w:t>
            </w:r>
          </w:p>
        </w:tc>
        <w:tc>
          <w:tcPr>
            <w:tcW w:w="6656" w:type="dxa"/>
          </w:tcPr>
          <w:p w14:paraId="4C8D663D" w14:textId="56A25704" w:rsidR="00935B39" w:rsidRPr="00967AC5" w:rsidRDefault="00935B39" w:rsidP="00935B39">
            <w:pPr>
              <w:pStyle w:val="ECCTabletext"/>
            </w:pPr>
            <w:r w:rsidRPr="00967AC5">
              <w:t xml:space="preserve">Extended </w:t>
            </w:r>
            <w:r w:rsidR="002B11FF" w:rsidRPr="00967AC5">
              <w:t>Coverage</w:t>
            </w:r>
            <w:r w:rsidRPr="00967AC5">
              <w:t xml:space="preserve"> GSM-IoT</w:t>
            </w:r>
          </w:p>
        </w:tc>
      </w:tr>
      <w:tr w:rsidR="00B47827" w:rsidRPr="00967AC5" w14:paraId="62C611A2" w14:textId="77777777" w:rsidTr="002505BC">
        <w:tc>
          <w:tcPr>
            <w:tcW w:w="2195" w:type="dxa"/>
          </w:tcPr>
          <w:p w14:paraId="0A2F9B65" w14:textId="13EE0AE7" w:rsidR="00B47827" w:rsidRPr="00967AC5" w:rsidRDefault="00DE38BE" w:rsidP="001C65AB">
            <w:pPr>
              <w:pStyle w:val="ECCTabletext"/>
              <w:rPr>
                <w:rStyle w:val="ECCHLbold"/>
              </w:rPr>
            </w:pPr>
            <w:r w:rsidRPr="00967AC5">
              <w:rPr>
                <w:rStyle w:val="ECCHLbold"/>
              </w:rPr>
              <w:t>ECC</w:t>
            </w:r>
          </w:p>
        </w:tc>
        <w:tc>
          <w:tcPr>
            <w:tcW w:w="6656" w:type="dxa"/>
          </w:tcPr>
          <w:p w14:paraId="5F69393F" w14:textId="719EE589" w:rsidR="00B47827" w:rsidRPr="00967AC5" w:rsidRDefault="00DE38BE" w:rsidP="001C65AB">
            <w:pPr>
              <w:pStyle w:val="ECCTabletext"/>
            </w:pPr>
            <w:r w:rsidRPr="00967AC5">
              <w:t>Electronic Communications Committee</w:t>
            </w:r>
          </w:p>
        </w:tc>
      </w:tr>
      <w:tr w:rsidR="00BA21BD" w:rsidRPr="00967AC5" w14:paraId="31B1BB21" w14:textId="77777777" w:rsidTr="000A6845">
        <w:tc>
          <w:tcPr>
            <w:tcW w:w="2195" w:type="dxa"/>
          </w:tcPr>
          <w:p w14:paraId="4881C254" w14:textId="2269A572" w:rsidR="00BA21BD" w:rsidRPr="00967AC5" w:rsidRDefault="00BA21BD" w:rsidP="001C65AB">
            <w:pPr>
              <w:pStyle w:val="ECCTabletext"/>
              <w:rPr>
                <w:rStyle w:val="ECCHLbold"/>
              </w:rPr>
            </w:pPr>
            <w:r w:rsidRPr="00967AC5">
              <w:rPr>
                <w:rStyle w:val="ECCHLbold"/>
              </w:rPr>
              <w:t>ECO</w:t>
            </w:r>
          </w:p>
        </w:tc>
        <w:tc>
          <w:tcPr>
            <w:tcW w:w="6656" w:type="dxa"/>
          </w:tcPr>
          <w:p w14:paraId="3508E7CF" w14:textId="2A92FF7C" w:rsidR="00BA21BD" w:rsidRPr="00967AC5" w:rsidRDefault="00BA21BD" w:rsidP="001C65AB">
            <w:pPr>
              <w:pStyle w:val="ECCTabletext"/>
            </w:pPr>
            <w:r w:rsidRPr="00967AC5">
              <w:t>European Communications Office</w:t>
            </w:r>
          </w:p>
        </w:tc>
      </w:tr>
      <w:tr w:rsidR="00CA34DA" w:rsidRPr="00967AC5" w14:paraId="2CAC4448" w14:textId="77777777" w:rsidTr="004E2E0D">
        <w:tc>
          <w:tcPr>
            <w:tcW w:w="2195" w:type="dxa"/>
          </w:tcPr>
          <w:p w14:paraId="7CFD3E84" w14:textId="252357F4" w:rsidR="00CA34DA" w:rsidRPr="00967AC5" w:rsidRDefault="00CA34DA" w:rsidP="001C65AB">
            <w:pPr>
              <w:pStyle w:val="ECCTabletext"/>
              <w:rPr>
                <w:rStyle w:val="ECCHLbold"/>
              </w:rPr>
            </w:pPr>
            <w:r w:rsidRPr="00967AC5">
              <w:rPr>
                <w:rStyle w:val="ECCHLbold"/>
              </w:rPr>
              <w:t>ECS</w:t>
            </w:r>
          </w:p>
        </w:tc>
        <w:tc>
          <w:tcPr>
            <w:tcW w:w="6656" w:type="dxa"/>
          </w:tcPr>
          <w:p w14:paraId="1A543CC6" w14:textId="0E7B9263" w:rsidR="00CA34DA" w:rsidRPr="00967AC5" w:rsidRDefault="00CA34DA" w:rsidP="001C65AB">
            <w:pPr>
              <w:pStyle w:val="ECCTabletext"/>
            </w:pPr>
            <w:r w:rsidRPr="00967AC5">
              <w:t>Electronic Communication Services</w:t>
            </w:r>
          </w:p>
        </w:tc>
      </w:tr>
      <w:tr w:rsidR="00A2673F" w:rsidRPr="00967AC5" w14:paraId="20010763" w14:textId="77777777" w:rsidTr="000A6845">
        <w:tc>
          <w:tcPr>
            <w:tcW w:w="2195" w:type="dxa"/>
          </w:tcPr>
          <w:p w14:paraId="1328403A" w14:textId="5EEB4092" w:rsidR="00A2673F" w:rsidRPr="00967AC5" w:rsidRDefault="00A2673F" w:rsidP="001C65AB">
            <w:pPr>
              <w:pStyle w:val="ECCTabletext"/>
              <w:rPr>
                <w:rStyle w:val="ECCHLbold"/>
              </w:rPr>
            </w:pPr>
            <w:r w:rsidRPr="00967AC5">
              <w:rPr>
                <w:rStyle w:val="ECCHLbold"/>
              </w:rPr>
              <w:t>EFIS</w:t>
            </w:r>
          </w:p>
        </w:tc>
        <w:tc>
          <w:tcPr>
            <w:tcW w:w="6656" w:type="dxa"/>
          </w:tcPr>
          <w:p w14:paraId="0A34A094" w14:textId="1561F242" w:rsidR="00A2673F" w:rsidRPr="00967AC5" w:rsidRDefault="00BA21BD" w:rsidP="001C65AB">
            <w:pPr>
              <w:pStyle w:val="ECCTabletext"/>
            </w:pPr>
            <w:r w:rsidRPr="00967AC5">
              <w:t>ECO</w:t>
            </w:r>
            <w:r w:rsidR="00A2673F" w:rsidRPr="00967AC5">
              <w:t xml:space="preserve"> Frequency Information System</w:t>
            </w:r>
          </w:p>
        </w:tc>
      </w:tr>
      <w:tr w:rsidR="00B47827" w:rsidRPr="00967AC5" w14:paraId="06616AB3" w14:textId="77777777" w:rsidTr="002505BC">
        <w:tc>
          <w:tcPr>
            <w:tcW w:w="2195" w:type="dxa"/>
          </w:tcPr>
          <w:p w14:paraId="639F5555" w14:textId="77777777" w:rsidR="00B47827" w:rsidRPr="00967AC5" w:rsidRDefault="00DE38BE" w:rsidP="001C65AB">
            <w:pPr>
              <w:pStyle w:val="ECCTabletext"/>
              <w:rPr>
                <w:rStyle w:val="ECCHLbold"/>
              </w:rPr>
            </w:pPr>
            <w:r w:rsidRPr="00967AC5">
              <w:rPr>
                <w:rStyle w:val="ECCHLbold"/>
              </w:rPr>
              <w:t>e.i.r.p.</w:t>
            </w:r>
          </w:p>
        </w:tc>
        <w:tc>
          <w:tcPr>
            <w:tcW w:w="6656" w:type="dxa"/>
          </w:tcPr>
          <w:p w14:paraId="729983C7" w14:textId="77777777" w:rsidR="00B47827" w:rsidRPr="00967AC5" w:rsidRDefault="00DE38BE" w:rsidP="001C65AB">
            <w:pPr>
              <w:pStyle w:val="ECCTabletext"/>
            </w:pPr>
            <w:r w:rsidRPr="00967AC5">
              <w:rPr>
                <w:color w:val="000000"/>
              </w:rPr>
              <w:t xml:space="preserve">Equivalent </w:t>
            </w:r>
            <w:proofErr w:type="spellStart"/>
            <w:r w:rsidRPr="00967AC5">
              <w:rPr>
                <w:color w:val="000000"/>
              </w:rPr>
              <w:t>Isotropically</w:t>
            </w:r>
            <w:proofErr w:type="spellEnd"/>
            <w:r w:rsidRPr="00967AC5">
              <w:rPr>
                <w:color w:val="000000"/>
              </w:rPr>
              <w:t xml:space="preserve"> Radiated Power</w:t>
            </w:r>
          </w:p>
        </w:tc>
      </w:tr>
      <w:tr w:rsidR="00854349" w:rsidRPr="00967AC5" w14:paraId="6601F8D6" w14:textId="77777777" w:rsidTr="000A6845">
        <w:tc>
          <w:tcPr>
            <w:tcW w:w="2195" w:type="dxa"/>
          </w:tcPr>
          <w:p w14:paraId="35154E41" w14:textId="3C4F381C" w:rsidR="00854349" w:rsidRPr="00967AC5" w:rsidRDefault="00854349" w:rsidP="001C65AB">
            <w:pPr>
              <w:pStyle w:val="ECCTabletext"/>
              <w:rPr>
                <w:rStyle w:val="ECCHLbold"/>
              </w:rPr>
            </w:pPr>
            <w:r w:rsidRPr="00967AC5">
              <w:rPr>
                <w:rStyle w:val="ECCHLbold"/>
              </w:rPr>
              <w:t>eMTC</w:t>
            </w:r>
          </w:p>
        </w:tc>
        <w:tc>
          <w:tcPr>
            <w:tcW w:w="6656" w:type="dxa"/>
          </w:tcPr>
          <w:p w14:paraId="0D67E67D" w14:textId="07436D3E" w:rsidR="00854349" w:rsidRPr="00967AC5" w:rsidRDefault="00854349" w:rsidP="001C65AB">
            <w:pPr>
              <w:pStyle w:val="ECCTabletext"/>
            </w:pPr>
            <w:r w:rsidRPr="00967AC5">
              <w:t>Enhanced MTC</w:t>
            </w:r>
          </w:p>
        </w:tc>
      </w:tr>
      <w:tr w:rsidR="00B47827" w:rsidRPr="00967AC5" w14:paraId="1B37F038" w14:textId="77777777" w:rsidTr="002505BC">
        <w:tc>
          <w:tcPr>
            <w:tcW w:w="2195" w:type="dxa"/>
          </w:tcPr>
          <w:p w14:paraId="6246FCD0" w14:textId="12660481" w:rsidR="00B47827" w:rsidRPr="00967AC5" w:rsidRDefault="00DE38BE" w:rsidP="00273F5A">
            <w:pPr>
              <w:pStyle w:val="ECCTabletext"/>
              <w:rPr>
                <w:rStyle w:val="ECCHLbold"/>
              </w:rPr>
            </w:pPr>
            <w:r w:rsidRPr="00967AC5">
              <w:rPr>
                <w:rStyle w:val="ECCHLbold"/>
              </w:rPr>
              <w:t>ETSI</w:t>
            </w:r>
          </w:p>
        </w:tc>
        <w:tc>
          <w:tcPr>
            <w:tcW w:w="6656" w:type="dxa"/>
          </w:tcPr>
          <w:p w14:paraId="585DA2B5" w14:textId="75A8DA31" w:rsidR="00B47827" w:rsidRPr="00967AC5" w:rsidRDefault="00DE38BE" w:rsidP="001C65AB">
            <w:pPr>
              <w:pStyle w:val="ECCTabletext"/>
            </w:pPr>
            <w:r w:rsidRPr="00967AC5">
              <w:t>European Telecommunications Standards Institute</w:t>
            </w:r>
          </w:p>
        </w:tc>
      </w:tr>
      <w:tr w:rsidR="00273F5A" w:rsidRPr="00967AC5" w14:paraId="25D61B10" w14:textId="77777777" w:rsidTr="004E2E0D">
        <w:tc>
          <w:tcPr>
            <w:tcW w:w="2195" w:type="dxa"/>
          </w:tcPr>
          <w:p w14:paraId="6368E56D" w14:textId="30C26160" w:rsidR="00273F5A" w:rsidRPr="00967AC5" w:rsidRDefault="00273F5A" w:rsidP="001C65AB">
            <w:pPr>
              <w:pStyle w:val="ECCTabletext"/>
              <w:rPr>
                <w:rStyle w:val="ECCHLbold"/>
              </w:rPr>
            </w:pPr>
            <w:r w:rsidRPr="00967AC5">
              <w:rPr>
                <w:rStyle w:val="ECCHLbold"/>
              </w:rPr>
              <w:t>ETSI HS</w:t>
            </w:r>
          </w:p>
        </w:tc>
        <w:tc>
          <w:tcPr>
            <w:tcW w:w="6656" w:type="dxa"/>
          </w:tcPr>
          <w:p w14:paraId="4A367292" w14:textId="5734A743" w:rsidR="00273F5A" w:rsidRPr="00967AC5" w:rsidRDefault="00273F5A" w:rsidP="001C65AB">
            <w:pPr>
              <w:pStyle w:val="ECCTabletext"/>
            </w:pPr>
            <w:r w:rsidRPr="00967AC5">
              <w:t>ETSI Harmonised Standard</w:t>
            </w:r>
          </w:p>
        </w:tc>
      </w:tr>
      <w:tr w:rsidR="00B47827" w:rsidRPr="00967AC5" w14:paraId="6DBACB06" w14:textId="77777777" w:rsidTr="002505BC">
        <w:tc>
          <w:tcPr>
            <w:tcW w:w="2195" w:type="dxa"/>
          </w:tcPr>
          <w:p w14:paraId="4C074E7D" w14:textId="77777777" w:rsidR="00B47827" w:rsidRPr="00967AC5" w:rsidRDefault="00DE38BE" w:rsidP="001C65AB">
            <w:pPr>
              <w:pStyle w:val="ECCTabletext"/>
              <w:rPr>
                <w:rStyle w:val="ECCHLbold"/>
              </w:rPr>
            </w:pPr>
            <w:r w:rsidRPr="00967AC5">
              <w:rPr>
                <w:rStyle w:val="ECCHLbold"/>
              </w:rPr>
              <w:t>EU</w:t>
            </w:r>
          </w:p>
        </w:tc>
        <w:tc>
          <w:tcPr>
            <w:tcW w:w="6656" w:type="dxa"/>
          </w:tcPr>
          <w:p w14:paraId="4F5AE973" w14:textId="77777777" w:rsidR="00B47827" w:rsidRPr="00967AC5" w:rsidRDefault="00DE38BE" w:rsidP="001C65AB">
            <w:pPr>
              <w:pStyle w:val="ECCTabletext"/>
            </w:pPr>
            <w:r w:rsidRPr="00967AC5">
              <w:t>European Union</w:t>
            </w:r>
          </w:p>
        </w:tc>
      </w:tr>
      <w:tr w:rsidR="00CA0817" w:rsidRPr="00967AC5" w14:paraId="2F626B8B" w14:textId="77777777" w:rsidTr="000A6845">
        <w:tc>
          <w:tcPr>
            <w:tcW w:w="2195" w:type="dxa"/>
          </w:tcPr>
          <w:p w14:paraId="4DB159F5" w14:textId="4C64BE06" w:rsidR="00CA0817" w:rsidRPr="00967AC5" w:rsidRDefault="00CA0817" w:rsidP="00CA0817">
            <w:pPr>
              <w:pStyle w:val="ECCTabletext"/>
              <w:rPr>
                <w:rStyle w:val="ECCHLbold"/>
              </w:rPr>
            </w:pPr>
            <w:r w:rsidRPr="00967AC5">
              <w:rPr>
                <w:rStyle w:val="ECCHLbold"/>
              </w:rPr>
              <w:t>E-UTRA</w:t>
            </w:r>
          </w:p>
        </w:tc>
        <w:tc>
          <w:tcPr>
            <w:tcW w:w="6656" w:type="dxa"/>
          </w:tcPr>
          <w:p w14:paraId="27D4F25C" w14:textId="51F97527" w:rsidR="00CA0817" w:rsidRPr="00967AC5" w:rsidRDefault="00CA0817" w:rsidP="00D35780">
            <w:pPr>
              <w:pStyle w:val="ECCTabletext"/>
            </w:pPr>
            <w:r w:rsidRPr="00967AC5">
              <w:t>Evolved Universal Terrestrial Radio Access</w:t>
            </w:r>
          </w:p>
        </w:tc>
      </w:tr>
      <w:tr w:rsidR="00162933" w:rsidRPr="00967AC5" w14:paraId="6667EFD2" w14:textId="77777777" w:rsidTr="000A6845">
        <w:tc>
          <w:tcPr>
            <w:tcW w:w="2195" w:type="dxa"/>
          </w:tcPr>
          <w:p w14:paraId="714FCF0A" w14:textId="18D24CC0" w:rsidR="00162933" w:rsidRPr="00967AC5" w:rsidRDefault="00162933" w:rsidP="001C65AB">
            <w:pPr>
              <w:pStyle w:val="ECCTabletext"/>
              <w:rPr>
                <w:rStyle w:val="ECCHLbold"/>
              </w:rPr>
            </w:pPr>
            <w:r w:rsidRPr="00967AC5">
              <w:rPr>
                <w:rStyle w:val="ECCHLbold"/>
              </w:rPr>
              <w:t>GMSK</w:t>
            </w:r>
          </w:p>
        </w:tc>
        <w:tc>
          <w:tcPr>
            <w:tcW w:w="6656" w:type="dxa"/>
          </w:tcPr>
          <w:p w14:paraId="1DC695A7" w14:textId="40A99A44" w:rsidR="00162933" w:rsidRPr="00967AC5" w:rsidRDefault="00162933" w:rsidP="001C65AB">
            <w:pPr>
              <w:pStyle w:val="ECCTabletext"/>
              <w:rPr>
                <w:color w:val="000000"/>
              </w:rPr>
            </w:pPr>
            <w:r w:rsidRPr="00967AC5">
              <w:rPr>
                <w:rStyle w:val="tlid-translation"/>
              </w:rPr>
              <w:t>Gaussian Minimum Shift Keying</w:t>
            </w:r>
          </w:p>
        </w:tc>
      </w:tr>
      <w:tr w:rsidR="00210C8D" w:rsidRPr="00967AC5" w14:paraId="1ABAB7FE" w14:textId="77777777" w:rsidTr="000A6845">
        <w:tc>
          <w:tcPr>
            <w:tcW w:w="2195" w:type="dxa"/>
          </w:tcPr>
          <w:p w14:paraId="10B2FDBE" w14:textId="23036CB7" w:rsidR="00210C8D" w:rsidRPr="00967AC5" w:rsidRDefault="00210C8D" w:rsidP="001C65AB">
            <w:pPr>
              <w:pStyle w:val="ECCTabletext"/>
              <w:rPr>
                <w:rStyle w:val="ECCHLbold"/>
              </w:rPr>
            </w:pPr>
            <w:r w:rsidRPr="00967AC5">
              <w:rPr>
                <w:rStyle w:val="ECCHLbold"/>
              </w:rPr>
              <w:t>FRMCS</w:t>
            </w:r>
          </w:p>
        </w:tc>
        <w:tc>
          <w:tcPr>
            <w:tcW w:w="6656" w:type="dxa"/>
          </w:tcPr>
          <w:p w14:paraId="3DBD1AD2" w14:textId="062CA215" w:rsidR="00210C8D" w:rsidRPr="00967AC5" w:rsidRDefault="00210C8D" w:rsidP="001C65AB">
            <w:pPr>
              <w:pStyle w:val="ECCTabletext"/>
              <w:rPr>
                <w:color w:val="000000"/>
              </w:rPr>
            </w:pPr>
            <w:r w:rsidRPr="00967AC5">
              <w:rPr>
                <w:color w:val="000000"/>
              </w:rPr>
              <w:t>Future Railway Mobile Communications System</w:t>
            </w:r>
          </w:p>
        </w:tc>
      </w:tr>
      <w:tr w:rsidR="00B47827" w:rsidRPr="00967AC5" w14:paraId="49DEA715" w14:textId="77777777" w:rsidTr="002505BC">
        <w:tc>
          <w:tcPr>
            <w:tcW w:w="2195" w:type="dxa"/>
          </w:tcPr>
          <w:p w14:paraId="637AE364" w14:textId="77777777" w:rsidR="00B47827" w:rsidRPr="00967AC5" w:rsidRDefault="00DE38BE" w:rsidP="001C65AB">
            <w:pPr>
              <w:pStyle w:val="ECCTabletext"/>
              <w:rPr>
                <w:rStyle w:val="ECCHLbold"/>
              </w:rPr>
            </w:pPr>
            <w:r w:rsidRPr="00967AC5">
              <w:rPr>
                <w:rStyle w:val="ECCHLbold"/>
              </w:rPr>
              <w:t>GSM</w:t>
            </w:r>
          </w:p>
        </w:tc>
        <w:tc>
          <w:tcPr>
            <w:tcW w:w="6656" w:type="dxa"/>
          </w:tcPr>
          <w:p w14:paraId="7C725974" w14:textId="77777777" w:rsidR="00B47827" w:rsidRPr="00967AC5" w:rsidRDefault="00DE38BE" w:rsidP="001C65AB">
            <w:pPr>
              <w:pStyle w:val="ECCTabletext"/>
              <w:rPr>
                <w:color w:val="000000"/>
              </w:rPr>
            </w:pPr>
            <w:r w:rsidRPr="00967AC5">
              <w:rPr>
                <w:color w:val="000000"/>
              </w:rPr>
              <w:t>Global System for Mobile Communication</w:t>
            </w:r>
          </w:p>
        </w:tc>
      </w:tr>
      <w:tr w:rsidR="00B50564" w:rsidRPr="00967AC5" w14:paraId="7FD92792" w14:textId="77777777" w:rsidTr="000A6845">
        <w:tc>
          <w:tcPr>
            <w:tcW w:w="2195" w:type="dxa"/>
          </w:tcPr>
          <w:p w14:paraId="71C10C3C" w14:textId="32F3F3BA" w:rsidR="00B50564" w:rsidRPr="00967AC5" w:rsidRDefault="00B50564" w:rsidP="001C65AB">
            <w:pPr>
              <w:pStyle w:val="ECCTabletext"/>
              <w:rPr>
                <w:rStyle w:val="ECCHLbold"/>
              </w:rPr>
            </w:pPr>
            <w:r w:rsidRPr="00967AC5">
              <w:rPr>
                <w:rStyle w:val="ECCHLbold"/>
              </w:rPr>
              <w:t>GSM-R</w:t>
            </w:r>
          </w:p>
        </w:tc>
        <w:tc>
          <w:tcPr>
            <w:tcW w:w="6656" w:type="dxa"/>
          </w:tcPr>
          <w:p w14:paraId="15FF57D4" w14:textId="4BA4F013" w:rsidR="00B50564" w:rsidRPr="00967AC5" w:rsidRDefault="00B50564" w:rsidP="001C65AB">
            <w:pPr>
              <w:pStyle w:val="ECCTabletext"/>
              <w:rPr>
                <w:color w:val="000000"/>
              </w:rPr>
            </w:pPr>
            <w:r w:rsidRPr="00967AC5">
              <w:rPr>
                <w:color w:val="000000"/>
              </w:rPr>
              <w:t>GSM-Railway</w:t>
            </w:r>
          </w:p>
        </w:tc>
      </w:tr>
      <w:tr w:rsidR="00035706" w:rsidRPr="00967AC5" w14:paraId="43E73101" w14:textId="77777777" w:rsidTr="000A6845">
        <w:tc>
          <w:tcPr>
            <w:tcW w:w="2195" w:type="dxa"/>
          </w:tcPr>
          <w:p w14:paraId="6677093D" w14:textId="6D68BF93" w:rsidR="00035706" w:rsidRPr="00967AC5" w:rsidRDefault="00035706" w:rsidP="001C65AB">
            <w:pPr>
              <w:pStyle w:val="ECCTabletext"/>
              <w:rPr>
                <w:rStyle w:val="ECCHLbold"/>
              </w:rPr>
            </w:pPr>
            <w:r w:rsidRPr="00967AC5">
              <w:rPr>
                <w:rStyle w:val="ECCHLbold"/>
              </w:rPr>
              <w:t>HS</w:t>
            </w:r>
          </w:p>
        </w:tc>
        <w:tc>
          <w:tcPr>
            <w:tcW w:w="6656" w:type="dxa"/>
          </w:tcPr>
          <w:p w14:paraId="7FAA50B5" w14:textId="50403F10" w:rsidR="00035706" w:rsidRPr="00967AC5" w:rsidRDefault="00035706" w:rsidP="001C65AB">
            <w:pPr>
              <w:pStyle w:val="ECCTabletext"/>
              <w:rPr>
                <w:color w:val="000000"/>
              </w:rPr>
            </w:pPr>
            <w:r w:rsidRPr="00967AC5">
              <w:rPr>
                <w:color w:val="000000"/>
              </w:rPr>
              <w:t>Harmonised Standard</w:t>
            </w:r>
          </w:p>
        </w:tc>
      </w:tr>
      <w:tr w:rsidR="007D2E15" w:rsidRPr="00967AC5" w14:paraId="3A6460FC" w14:textId="77777777" w:rsidTr="000A6845">
        <w:tc>
          <w:tcPr>
            <w:tcW w:w="2195" w:type="dxa"/>
          </w:tcPr>
          <w:p w14:paraId="488834CC" w14:textId="573934EF" w:rsidR="007D2E15" w:rsidRPr="00967AC5" w:rsidRDefault="007D2E15" w:rsidP="001C65AB">
            <w:pPr>
              <w:pStyle w:val="ECCTabletext"/>
              <w:rPr>
                <w:rStyle w:val="ECCHLbold"/>
              </w:rPr>
            </w:pPr>
            <w:r w:rsidRPr="00967AC5">
              <w:rPr>
                <w:rStyle w:val="ECCHLbold"/>
              </w:rPr>
              <w:t>IMT</w:t>
            </w:r>
          </w:p>
        </w:tc>
        <w:tc>
          <w:tcPr>
            <w:tcW w:w="6656" w:type="dxa"/>
          </w:tcPr>
          <w:p w14:paraId="2C5E580B" w14:textId="616F1FFF" w:rsidR="007D2E15" w:rsidRPr="00967AC5" w:rsidRDefault="007D2E15" w:rsidP="001C65AB">
            <w:pPr>
              <w:pStyle w:val="ECCTabletext"/>
              <w:rPr>
                <w:color w:val="000000"/>
              </w:rPr>
            </w:pPr>
            <w:r w:rsidRPr="00967AC5">
              <w:rPr>
                <w:color w:val="000000"/>
              </w:rPr>
              <w:t>International Mobile Telecommunications</w:t>
            </w:r>
          </w:p>
        </w:tc>
      </w:tr>
      <w:tr w:rsidR="00B47827" w:rsidRPr="00967AC5" w14:paraId="15286841" w14:textId="77777777" w:rsidTr="002505BC">
        <w:tc>
          <w:tcPr>
            <w:tcW w:w="2195" w:type="dxa"/>
          </w:tcPr>
          <w:p w14:paraId="7DBCB8DA" w14:textId="77777777" w:rsidR="00B47827" w:rsidRPr="00967AC5" w:rsidRDefault="00DE38BE" w:rsidP="001C65AB">
            <w:pPr>
              <w:pStyle w:val="ECCTabletext"/>
              <w:rPr>
                <w:rStyle w:val="ECCHLbold"/>
              </w:rPr>
            </w:pPr>
            <w:r w:rsidRPr="00967AC5">
              <w:rPr>
                <w:rStyle w:val="ECCHLbold"/>
              </w:rPr>
              <w:t>IoT</w:t>
            </w:r>
          </w:p>
        </w:tc>
        <w:tc>
          <w:tcPr>
            <w:tcW w:w="6656" w:type="dxa"/>
          </w:tcPr>
          <w:p w14:paraId="4C0C766F" w14:textId="77777777" w:rsidR="00B47827" w:rsidRPr="00967AC5" w:rsidRDefault="00DE38BE" w:rsidP="001C65AB">
            <w:pPr>
              <w:pStyle w:val="ECCTabletext"/>
              <w:rPr>
                <w:color w:val="000000"/>
              </w:rPr>
            </w:pPr>
            <w:r w:rsidRPr="00967AC5">
              <w:rPr>
                <w:color w:val="000000"/>
              </w:rPr>
              <w:t>Internet of Things</w:t>
            </w:r>
          </w:p>
        </w:tc>
      </w:tr>
      <w:tr w:rsidR="00E938A5" w:rsidRPr="00967AC5" w14:paraId="48AF7DE6" w14:textId="77777777" w:rsidTr="000A6845">
        <w:tc>
          <w:tcPr>
            <w:tcW w:w="2195" w:type="dxa"/>
          </w:tcPr>
          <w:p w14:paraId="4DD66135" w14:textId="19A484D8" w:rsidR="00E938A5" w:rsidRPr="00967AC5" w:rsidRDefault="00E938A5" w:rsidP="001C65AB">
            <w:pPr>
              <w:pStyle w:val="ECCTabletext"/>
              <w:rPr>
                <w:rStyle w:val="ECCHLbold"/>
              </w:rPr>
            </w:pPr>
            <w:r w:rsidRPr="00967AC5">
              <w:rPr>
                <w:rStyle w:val="ECCHLbold"/>
              </w:rPr>
              <w:t>JTIDS</w:t>
            </w:r>
          </w:p>
        </w:tc>
        <w:tc>
          <w:tcPr>
            <w:tcW w:w="6656" w:type="dxa"/>
          </w:tcPr>
          <w:p w14:paraId="345C016D" w14:textId="295436FA" w:rsidR="00E938A5" w:rsidRPr="00967AC5" w:rsidRDefault="00C55070" w:rsidP="001C65AB">
            <w:pPr>
              <w:pStyle w:val="ECCTabletext"/>
              <w:rPr>
                <w:rStyle w:val="acopre"/>
              </w:rPr>
            </w:pPr>
            <w:r w:rsidRPr="00967AC5">
              <w:rPr>
                <w:rStyle w:val="acopre"/>
              </w:rPr>
              <w:t>Joint Tactical Information Distribution System</w:t>
            </w:r>
          </w:p>
        </w:tc>
      </w:tr>
      <w:tr w:rsidR="00127F5F" w:rsidRPr="00967AC5" w14:paraId="4F8E70E5" w14:textId="77777777" w:rsidTr="000A6845">
        <w:tc>
          <w:tcPr>
            <w:tcW w:w="2195" w:type="dxa"/>
          </w:tcPr>
          <w:p w14:paraId="68CB5EC4" w14:textId="467E8C78" w:rsidR="00127F5F" w:rsidRPr="00967AC5" w:rsidRDefault="00127F5F" w:rsidP="001C65AB">
            <w:pPr>
              <w:pStyle w:val="ECCTabletext"/>
              <w:rPr>
                <w:rStyle w:val="ECCHLbold"/>
              </w:rPr>
            </w:pPr>
            <w:r w:rsidRPr="00967AC5">
              <w:rPr>
                <w:rStyle w:val="ECCHLbold"/>
              </w:rPr>
              <w:t>L-DACS</w:t>
            </w:r>
          </w:p>
        </w:tc>
        <w:tc>
          <w:tcPr>
            <w:tcW w:w="6656" w:type="dxa"/>
          </w:tcPr>
          <w:p w14:paraId="5CFF773E" w14:textId="475E77FC" w:rsidR="00127F5F" w:rsidRPr="00967AC5" w:rsidRDefault="00127F5F" w:rsidP="001C65AB">
            <w:pPr>
              <w:pStyle w:val="ECCTabletext"/>
              <w:rPr>
                <w:color w:val="000000"/>
              </w:rPr>
            </w:pPr>
            <w:r w:rsidRPr="00967AC5">
              <w:rPr>
                <w:rStyle w:val="acopre"/>
              </w:rPr>
              <w:t>L-band Digital Aeronautical Communications System</w:t>
            </w:r>
          </w:p>
        </w:tc>
      </w:tr>
      <w:tr w:rsidR="00B47827" w:rsidRPr="00967AC5" w14:paraId="7B10B48A" w14:textId="77777777" w:rsidTr="004E2E0D">
        <w:tc>
          <w:tcPr>
            <w:tcW w:w="2195" w:type="dxa"/>
          </w:tcPr>
          <w:p w14:paraId="4A34369E" w14:textId="772732A1" w:rsidR="00B47827" w:rsidRPr="00967AC5" w:rsidRDefault="00DE38BE" w:rsidP="001C65AB">
            <w:pPr>
              <w:pStyle w:val="ECCTabletext"/>
              <w:rPr>
                <w:rStyle w:val="ECCHLbold"/>
              </w:rPr>
            </w:pPr>
            <w:r w:rsidRPr="00967AC5">
              <w:rPr>
                <w:rStyle w:val="ECCHLbold"/>
              </w:rPr>
              <w:t>LRTC</w:t>
            </w:r>
            <w:r w:rsidR="00CC48F8" w:rsidRPr="00967AC5">
              <w:rPr>
                <w:rStyle w:val="ECCHLbold"/>
              </w:rPr>
              <w:t>s</w:t>
            </w:r>
          </w:p>
        </w:tc>
        <w:tc>
          <w:tcPr>
            <w:tcW w:w="6656" w:type="dxa"/>
          </w:tcPr>
          <w:p w14:paraId="50201D4B" w14:textId="04BD71A2" w:rsidR="00B47827" w:rsidRPr="00967AC5" w:rsidRDefault="00DE38BE" w:rsidP="001C65AB">
            <w:pPr>
              <w:pStyle w:val="ECCTabletext"/>
              <w:rPr>
                <w:color w:val="000000"/>
              </w:rPr>
            </w:pPr>
            <w:r w:rsidRPr="00967AC5">
              <w:rPr>
                <w:color w:val="000000"/>
              </w:rPr>
              <w:t xml:space="preserve">Least Restrictive Technical </w:t>
            </w:r>
            <w:r w:rsidR="009167FC" w:rsidRPr="00967AC5">
              <w:rPr>
                <w:color w:val="000000"/>
              </w:rPr>
              <w:t>Condition</w:t>
            </w:r>
            <w:r w:rsidR="00CC48F8" w:rsidRPr="00967AC5">
              <w:rPr>
                <w:color w:val="000000"/>
              </w:rPr>
              <w:t>s</w:t>
            </w:r>
          </w:p>
        </w:tc>
      </w:tr>
      <w:tr w:rsidR="00B47827" w:rsidRPr="00967AC5" w14:paraId="3917F342" w14:textId="77777777" w:rsidTr="002505BC">
        <w:tc>
          <w:tcPr>
            <w:tcW w:w="2195" w:type="dxa"/>
          </w:tcPr>
          <w:p w14:paraId="4AEAFA5C" w14:textId="77777777" w:rsidR="00B47827" w:rsidRPr="00967AC5" w:rsidRDefault="00DE38BE" w:rsidP="001C65AB">
            <w:pPr>
              <w:pStyle w:val="ECCTabletext"/>
              <w:rPr>
                <w:rStyle w:val="ECCHLbold"/>
              </w:rPr>
            </w:pPr>
            <w:r w:rsidRPr="00967AC5">
              <w:rPr>
                <w:rStyle w:val="ECCHLbold"/>
              </w:rPr>
              <w:t>LTE</w:t>
            </w:r>
          </w:p>
        </w:tc>
        <w:tc>
          <w:tcPr>
            <w:tcW w:w="6656" w:type="dxa"/>
          </w:tcPr>
          <w:p w14:paraId="33936860" w14:textId="77777777" w:rsidR="00B47827" w:rsidRPr="00967AC5" w:rsidRDefault="00DE38BE" w:rsidP="001C65AB">
            <w:pPr>
              <w:pStyle w:val="ECCTabletext"/>
              <w:rPr>
                <w:color w:val="000000"/>
              </w:rPr>
            </w:pPr>
            <w:r w:rsidRPr="00967AC5">
              <w:rPr>
                <w:color w:val="000000"/>
              </w:rPr>
              <w:t>Long Term Evolution</w:t>
            </w:r>
          </w:p>
        </w:tc>
      </w:tr>
      <w:tr w:rsidR="006D2188" w:rsidRPr="00967AC5" w14:paraId="3B0C12D1" w14:textId="77777777" w:rsidTr="000A6845">
        <w:tc>
          <w:tcPr>
            <w:tcW w:w="2195" w:type="dxa"/>
          </w:tcPr>
          <w:p w14:paraId="1E130492" w14:textId="49D53C68" w:rsidR="006D2188" w:rsidRPr="00967AC5" w:rsidRDefault="006D2188" w:rsidP="001C65AB">
            <w:pPr>
              <w:pStyle w:val="ECCTabletext"/>
              <w:rPr>
                <w:rStyle w:val="ECCHLbold"/>
              </w:rPr>
            </w:pPr>
            <w:r w:rsidRPr="00967AC5">
              <w:rPr>
                <w:rStyle w:val="ECCHLbold"/>
              </w:rPr>
              <w:t>MCA</w:t>
            </w:r>
          </w:p>
        </w:tc>
        <w:tc>
          <w:tcPr>
            <w:tcW w:w="6656" w:type="dxa"/>
          </w:tcPr>
          <w:p w14:paraId="5AA30538" w14:textId="674E21AF" w:rsidR="006D2188" w:rsidRPr="00967AC5" w:rsidRDefault="006D2188" w:rsidP="001C65AB">
            <w:pPr>
              <w:pStyle w:val="ECCTabletext"/>
              <w:rPr>
                <w:color w:val="000000"/>
              </w:rPr>
            </w:pPr>
            <w:r w:rsidRPr="00967AC5">
              <w:rPr>
                <w:color w:val="000000"/>
              </w:rPr>
              <w:t xml:space="preserve">Mobile </w:t>
            </w:r>
            <w:proofErr w:type="spellStart"/>
            <w:r w:rsidRPr="00967AC5">
              <w:rPr>
                <w:color w:val="000000"/>
              </w:rPr>
              <w:t>Communicarions</w:t>
            </w:r>
            <w:proofErr w:type="spellEnd"/>
            <w:r w:rsidRPr="00967AC5">
              <w:rPr>
                <w:color w:val="000000"/>
              </w:rPr>
              <w:t xml:space="preserve"> on</w:t>
            </w:r>
            <w:r w:rsidR="004356BF" w:rsidRPr="00967AC5">
              <w:rPr>
                <w:color w:val="000000"/>
              </w:rPr>
              <w:t xml:space="preserve"> board</w:t>
            </w:r>
            <w:r w:rsidRPr="00967AC5">
              <w:rPr>
                <w:color w:val="000000"/>
              </w:rPr>
              <w:t xml:space="preserve"> Aircraft</w:t>
            </w:r>
          </w:p>
        </w:tc>
      </w:tr>
      <w:tr w:rsidR="007D2E15" w:rsidRPr="00967AC5" w14:paraId="07BEA109" w14:textId="77777777" w:rsidTr="000A6845">
        <w:tc>
          <w:tcPr>
            <w:tcW w:w="2195" w:type="dxa"/>
          </w:tcPr>
          <w:p w14:paraId="7C82E3F1" w14:textId="29E4EB41" w:rsidR="007D2E15" w:rsidRPr="00967AC5" w:rsidRDefault="007D2E15" w:rsidP="001C65AB">
            <w:pPr>
              <w:pStyle w:val="ECCTabletext"/>
              <w:rPr>
                <w:rStyle w:val="ECCHLbold"/>
              </w:rPr>
            </w:pPr>
            <w:r w:rsidRPr="00967AC5">
              <w:rPr>
                <w:rStyle w:val="ECCHLbold"/>
              </w:rPr>
              <w:t>MCV</w:t>
            </w:r>
          </w:p>
        </w:tc>
        <w:tc>
          <w:tcPr>
            <w:tcW w:w="6656" w:type="dxa"/>
          </w:tcPr>
          <w:p w14:paraId="446F9547" w14:textId="5064AA98" w:rsidR="007D2E15" w:rsidRPr="00967AC5" w:rsidRDefault="003A1521" w:rsidP="001C65AB">
            <w:pPr>
              <w:pStyle w:val="ECCTabletext"/>
              <w:rPr>
                <w:color w:val="000000"/>
              </w:rPr>
            </w:pPr>
            <w:r w:rsidRPr="00967AC5">
              <w:rPr>
                <w:color w:val="000000"/>
              </w:rPr>
              <w:t>Mobile Communication services on Board Vessels</w:t>
            </w:r>
          </w:p>
        </w:tc>
      </w:tr>
      <w:tr w:rsidR="000944D6" w:rsidRPr="00967AC5" w14:paraId="3CC30CA6" w14:textId="77777777" w:rsidTr="000A6845">
        <w:tc>
          <w:tcPr>
            <w:tcW w:w="2195" w:type="dxa"/>
          </w:tcPr>
          <w:p w14:paraId="5B2F9D9C" w14:textId="3DE6D38B" w:rsidR="000944D6" w:rsidRPr="00967AC5" w:rsidRDefault="000944D6" w:rsidP="001C65AB">
            <w:pPr>
              <w:pStyle w:val="ECCTabletext"/>
              <w:rPr>
                <w:rStyle w:val="ECCHLbold"/>
              </w:rPr>
            </w:pPr>
            <w:r w:rsidRPr="00967AC5">
              <w:rPr>
                <w:rStyle w:val="ECCHLbold"/>
              </w:rPr>
              <w:t>MetSat</w:t>
            </w:r>
          </w:p>
        </w:tc>
        <w:tc>
          <w:tcPr>
            <w:tcW w:w="6656" w:type="dxa"/>
          </w:tcPr>
          <w:p w14:paraId="4CBE54AB" w14:textId="4AAFC72A" w:rsidR="000944D6" w:rsidRPr="00967AC5" w:rsidRDefault="000944D6" w:rsidP="001C65AB">
            <w:pPr>
              <w:pStyle w:val="ECCTabletext"/>
              <w:rPr>
                <w:color w:val="000000"/>
              </w:rPr>
            </w:pPr>
            <w:r w:rsidRPr="00967AC5">
              <w:rPr>
                <w:color w:val="000000"/>
              </w:rPr>
              <w:t>Meteorological Satellite</w:t>
            </w:r>
          </w:p>
        </w:tc>
      </w:tr>
      <w:tr w:rsidR="00B47827" w:rsidRPr="00967AC5" w14:paraId="2DB44BEE" w14:textId="77777777" w:rsidTr="004E2E0D">
        <w:tc>
          <w:tcPr>
            <w:tcW w:w="2195" w:type="dxa"/>
          </w:tcPr>
          <w:p w14:paraId="66DBF048" w14:textId="085A208C" w:rsidR="00B47827" w:rsidRPr="00967AC5" w:rsidRDefault="00DE38BE" w:rsidP="001C65AB">
            <w:pPr>
              <w:pStyle w:val="ECCTabletext"/>
              <w:rPr>
                <w:rStyle w:val="ECCHLbold"/>
              </w:rPr>
            </w:pPr>
            <w:r w:rsidRPr="00967AC5">
              <w:rPr>
                <w:rStyle w:val="ECCHLbold"/>
              </w:rPr>
              <w:t>MFCN</w:t>
            </w:r>
          </w:p>
        </w:tc>
        <w:tc>
          <w:tcPr>
            <w:tcW w:w="6656" w:type="dxa"/>
          </w:tcPr>
          <w:p w14:paraId="1E9DFB09" w14:textId="25B9FCA1" w:rsidR="00B47827" w:rsidRPr="00967AC5" w:rsidRDefault="00DE38BE" w:rsidP="001C65AB">
            <w:pPr>
              <w:pStyle w:val="ECCTabletext"/>
            </w:pPr>
            <w:r w:rsidRPr="00967AC5">
              <w:rPr>
                <w:color w:val="000000"/>
              </w:rPr>
              <w:t>Mobile/</w:t>
            </w:r>
            <w:r w:rsidRPr="00967AC5">
              <w:t>Fixed</w:t>
            </w:r>
            <w:r w:rsidRPr="00967AC5">
              <w:rPr>
                <w:color w:val="000000"/>
              </w:rPr>
              <w:t xml:space="preserve"> Communications Network</w:t>
            </w:r>
            <w:r w:rsidRPr="00967AC5">
              <w:t>s</w:t>
            </w:r>
            <w:r w:rsidR="00433CC8" w:rsidRPr="00967AC5" w:rsidDel="00433CC8">
              <w:rPr>
                <w:rStyle w:val="FootnoteReference"/>
              </w:rPr>
              <w:t xml:space="preserve"> </w:t>
            </w:r>
          </w:p>
        </w:tc>
      </w:tr>
      <w:tr w:rsidR="00EF5C9D" w:rsidRPr="00967AC5" w14:paraId="448D6AAF" w14:textId="77777777" w:rsidTr="000A6845">
        <w:tc>
          <w:tcPr>
            <w:tcW w:w="2195" w:type="dxa"/>
          </w:tcPr>
          <w:p w14:paraId="7045EFC0" w14:textId="63B0AA4F" w:rsidR="00EF5C9D" w:rsidRPr="00967AC5" w:rsidRDefault="00EF5C9D" w:rsidP="001C65AB">
            <w:pPr>
              <w:pStyle w:val="ECCTabletext"/>
              <w:rPr>
                <w:rStyle w:val="ECCHLbold"/>
              </w:rPr>
            </w:pPr>
            <w:r w:rsidRPr="00967AC5">
              <w:rPr>
                <w:rStyle w:val="ECCHLbold"/>
              </w:rPr>
              <w:t>MIDS</w:t>
            </w:r>
          </w:p>
        </w:tc>
        <w:tc>
          <w:tcPr>
            <w:tcW w:w="6656" w:type="dxa"/>
          </w:tcPr>
          <w:p w14:paraId="460B8F83" w14:textId="7A1078C5" w:rsidR="00EF5C9D" w:rsidRPr="00967AC5" w:rsidRDefault="00EF5C9D" w:rsidP="001C65AB">
            <w:pPr>
              <w:pStyle w:val="ECCTabletext"/>
              <w:rPr>
                <w:color w:val="000000"/>
              </w:rPr>
            </w:pPr>
            <w:r w:rsidRPr="00967AC5">
              <w:rPr>
                <w:color w:val="000000"/>
              </w:rPr>
              <w:t>Multifunctional Information Distribution System</w:t>
            </w:r>
          </w:p>
        </w:tc>
      </w:tr>
      <w:tr w:rsidR="00DF4C4D" w:rsidRPr="00967AC5" w14:paraId="39CD0AA5" w14:textId="77777777" w:rsidTr="004E2E0D">
        <w:tc>
          <w:tcPr>
            <w:tcW w:w="2195" w:type="dxa"/>
          </w:tcPr>
          <w:p w14:paraId="61120F75" w14:textId="3D7C2A51" w:rsidR="00DF4C4D" w:rsidRPr="00967AC5" w:rsidRDefault="00DF4C4D" w:rsidP="001C65AB">
            <w:pPr>
              <w:pStyle w:val="ECCTabletext"/>
              <w:rPr>
                <w:rStyle w:val="ECCHLbold"/>
              </w:rPr>
            </w:pPr>
            <w:r w:rsidRPr="00967AC5">
              <w:rPr>
                <w:rStyle w:val="ECCHLbold"/>
              </w:rPr>
              <w:t>MSR</w:t>
            </w:r>
          </w:p>
        </w:tc>
        <w:tc>
          <w:tcPr>
            <w:tcW w:w="6656" w:type="dxa"/>
          </w:tcPr>
          <w:p w14:paraId="0CE7F5CA" w14:textId="4E201E31" w:rsidR="00DF4C4D" w:rsidRPr="00967AC5" w:rsidRDefault="00DF4C4D" w:rsidP="001C65AB">
            <w:pPr>
              <w:pStyle w:val="ECCTabletext"/>
              <w:rPr>
                <w:color w:val="000000"/>
              </w:rPr>
            </w:pPr>
            <w:r w:rsidRPr="00967AC5">
              <w:rPr>
                <w:color w:val="000000"/>
              </w:rPr>
              <w:t>Multi-Standard Radio</w:t>
            </w:r>
          </w:p>
        </w:tc>
      </w:tr>
      <w:tr w:rsidR="00884660" w:rsidRPr="00967AC5" w14:paraId="61578876" w14:textId="77777777" w:rsidTr="000A6845">
        <w:tc>
          <w:tcPr>
            <w:tcW w:w="2195" w:type="dxa"/>
          </w:tcPr>
          <w:p w14:paraId="1D044349" w14:textId="43D6EAF4" w:rsidR="00884660" w:rsidRPr="00967AC5" w:rsidRDefault="00884660" w:rsidP="001C65AB">
            <w:pPr>
              <w:pStyle w:val="ECCTabletext"/>
              <w:rPr>
                <w:rStyle w:val="ECCHLbold"/>
              </w:rPr>
            </w:pPr>
            <w:r w:rsidRPr="00967AC5">
              <w:rPr>
                <w:rStyle w:val="ECCHLbold"/>
              </w:rPr>
              <w:lastRenderedPageBreak/>
              <w:t>MTC</w:t>
            </w:r>
          </w:p>
        </w:tc>
        <w:tc>
          <w:tcPr>
            <w:tcW w:w="6656" w:type="dxa"/>
          </w:tcPr>
          <w:p w14:paraId="47960556" w14:textId="1BFAF726" w:rsidR="00884660" w:rsidRPr="00967AC5" w:rsidRDefault="00884660" w:rsidP="001C65AB">
            <w:pPr>
              <w:pStyle w:val="ECCTabletext"/>
              <w:rPr>
                <w:color w:val="000000"/>
              </w:rPr>
            </w:pPr>
            <w:r w:rsidRPr="00967AC5">
              <w:rPr>
                <w:color w:val="000000"/>
              </w:rPr>
              <w:t>Machine Type Communications</w:t>
            </w:r>
          </w:p>
        </w:tc>
      </w:tr>
      <w:tr w:rsidR="00B47827" w:rsidRPr="00967AC5" w14:paraId="04304A35" w14:textId="77777777" w:rsidTr="002505BC">
        <w:tc>
          <w:tcPr>
            <w:tcW w:w="2195" w:type="dxa"/>
          </w:tcPr>
          <w:p w14:paraId="78D1C41F" w14:textId="77777777" w:rsidR="00B47827" w:rsidRPr="00967AC5" w:rsidRDefault="00DE38BE" w:rsidP="001C65AB">
            <w:pPr>
              <w:pStyle w:val="ECCTabletext"/>
              <w:rPr>
                <w:rStyle w:val="ECCHLbold"/>
              </w:rPr>
            </w:pPr>
            <w:r w:rsidRPr="00967AC5">
              <w:rPr>
                <w:rStyle w:val="ECCHLbold"/>
              </w:rPr>
              <w:t>non-AAS</w:t>
            </w:r>
          </w:p>
        </w:tc>
        <w:tc>
          <w:tcPr>
            <w:tcW w:w="6656" w:type="dxa"/>
          </w:tcPr>
          <w:p w14:paraId="225DD139" w14:textId="77777777" w:rsidR="00B47827" w:rsidRPr="00967AC5" w:rsidRDefault="00DE38BE" w:rsidP="001C65AB">
            <w:pPr>
              <w:pStyle w:val="ECCTabletext"/>
            </w:pPr>
            <w:r w:rsidRPr="00967AC5">
              <w:t>non-Active Antenna Systems</w:t>
            </w:r>
          </w:p>
        </w:tc>
      </w:tr>
      <w:tr w:rsidR="00B35C2F" w:rsidRPr="00967AC5" w14:paraId="1F36DBF4" w14:textId="77777777" w:rsidTr="000A6845">
        <w:tc>
          <w:tcPr>
            <w:tcW w:w="2195" w:type="dxa"/>
          </w:tcPr>
          <w:p w14:paraId="14AD1B48" w14:textId="26378735" w:rsidR="00B35C2F" w:rsidRPr="00967AC5" w:rsidRDefault="00B35C2F" w:rsidP="001C65AB">
            <w:pPr>
              <w:pStyle w:val="ECCTabletext"/>
              <w:rPr>
                <w:rStyle w:val="ECCHLbold"/>
              </w:rPr>
            </w:pPr>
            <w:r w:rsidRPr="00967AC5">
              <w:rPr>
                <w:rStyle w:val="ECCHLbold"/>
              </w:rPr>
              <w:t>NATO</w:t>
            </w:r>
          </w:p>
        </w:tc>
        <w:tc>
          <w:tcPr>
            <w:tcW w:w="6656" w:type="dxa"/>
          </w:tcPr>
          <w:p w14:paraId="4FFC5ADE" w14:textId="15ADC007" w:rsidR="00B35C2F" w:rsidRPr="00967AC5" w:rsidRDefault="00B35C2F" w:rsidP="001C65AB">
            <w:pPr>
              <w:pStyle w:val="ECCTabletext"/>
              <w:rPr>
                <w:color w:val="000000"/>
              </w:rPr>
            </w:pPr>
            <w:r w:rsidRPr="00967AC5">
              <w:rPr>
                <w:color w:val="000000"/>
              </w:rPr>
              <w:t>North Atlantic Treaty Organi</w:t>
            </w:r>
            <w:r w:rsidR="00111CB8" w:rsidRPr="00967AC5">
              <w:rPr>
                <w:color w:val="000000"/>
              </w:rPr>
              <w:t>z</w:t>
            </w:r>
            <w:r w:rsidRPr="00967AC5">
              <w:rPr>
                <w:color w:val="000000"/>
              </w:rPr>
              <w:t>ation</w:t>
            </w:r>
          </w:p>
        </w:tc>
      </w:tr>
      <w:tr w:rsidR="00443544" w:rsidRPr="00967AC5" w14:paraId="4B90AA49" w14:textId="77777777" w:rsidTr="000A6845">
        <w:tc>
          <w:tcPr>
            <w:tcW w:w="2195" w:type="dxa"/>
          </w:tcPr>
          <w:p w14:paraId="5F21D88A" w14:textId="73764FB8" w:rsidR="00443544" w:rsidRPr="00967AC5" w:rsidRDefault="00443544" w:rsidP="001C65AB">
            <w:pPr>
              <w:pStyle w:val="ECCTabletext"/>
              <w:rPr>
                <w:rStyle w:val="ECCHLbold"/>
              </w:rPr>
            </w:pPr>
            <w:r w:rsidRPr="00967AC5">
              <w:rPr>
                <w:rStyle w:val="ECCHLbold"/>
              </w:rPr>
              <w:t>NB</w:t>
            </w:r>
          </w:p>
        </w:tc>
        <w:tc>
          <w:tcPr>
            <w:tcW w:w="6656" w:type="dxa"/>
          </w:tcPr>
          <w:p w14:paraId="307D2211" w14:textId="1BA66FBD" w:rsidR="00443544" w:rsidRPr="00967AC5" w:rsidRDefault="00443544" w:rsidP="00916CDF">
            <w:pPr>
              <w:pStyle w:val="ECCTabletext"/>
              <w:rPr>
                <w:color w:val="000000"/>
              </w:rPr>
            </w:pPr>
            <w:r w:rsidRPr="00967AC5">
              <w:rPr>
                <w:color w:val="000000"/>
              </w:rPr>
              <w:t>Narrowband</w:t>
            </w:r>
          </w:p>
        </w:tc>
      </w:tr>
      <w:tr w:rsidR="00B47827" w:rsidRPr="00967AC5" w14:paraId="2E017F77" w14:textId="77777777" w:rsidTr="004E2E0D">
        <w:tc>
          <w:tcPr>
            <w:tcW w:w="2195" w:type="dxa"/>
          </w:tcPr>
          <w:p w14:paraId="4B9B8634" w14:textId="46D996F3" w:rsidR="00B47827" w:rsidRPr="00967AC5" w:rsidRDefault="00DE38BE" w:rsidP="001C65AB">
            <w:pPr>
              <w:pStyle w:val="ECCTabletext"/>
              <w:rPr>
                <w:rStyle w:val="ECCHLbold"/>
              </w:rPr>
            </w:pPr>
            <w:r w:rsidRPr="00967AC5">
              <w:rPr>
                <w:rStyle w:val="ECCHLbold"/>
              </w:rPr>
              <w:t>NB-IoT</w:t>
            </w:r>
          </w:p>
        </w:tc>
        <w:tc>
          <w:tcPr>
            <w:tcW w:w="6656" w:type="dxa"/>
          </w:tcPr>
          <w:p w14:paraId="28786683" w14:textId="42AECA77" w:rsidR="00B47827" w:rsidRPr="00967AC5" w:rsidRDefault="00DE38BE" w:rsidP="003F1B69">
            <w:pPr>
              <w:pStyle w:val="ECCTabletext"/>
              <w:rPr>
                <w:color w:val="000000"/>
              </w:rPr>
            </w:pPr>
            <w:r w:rsidRPr="00967AC5">
              <w:rPr>
                <w:color w:val="000000"/>
              </w:rPr>
              <w:t>Narrow</w:t>
            </w:r>
            <w:r w:rsidR="00443544" w:rsidRPr="00967AC5">
              <w:rPr>
                <w:color w:val="000000"/>
              </w:rPr>
              <w:t>b</w:t>
            </w:r>
            <w:r w:rsidRPr="00967AC5">
              <w:rPr>
                <w:color w:val="000000"/>
              </w:rPr>
              <w:t>and-IoT</w:t>
            </w:r>
          </w:p>
        </w:tc>
      </w:tr>
      <w:tr w:rsidR="00B47827" w:rsidRPr="00967AC5" w14:paraId="26972FC8" w14:textId="77777777" w:rsidTr="002505BC">
        <w:tc>
          <w:tcPr>
            <w:tcW w:w="2195" w:type="dxa"/>
          </w:tcPr>
          <w:p w14:paraId="0A83C3D6" w14:textId="77777777" w:rsidR="00B47827" w:rsidRPr="00967AC5" w:rsidRDefault="00DE38BE" w:rsidP="001C65AB">
            <w:pPr>
              <w:pStyle w:val="ECCTabletext"/>
              <w:rPr>
                <w:rStyle w:val="ECCHLbold"/>
              </w:rPr>
            </w:pPr>
            <w:r w:rsidRPr="00967AC5">
              <w:rPr>
                <w:rStyle w:val="ECCHLbold"/>
              </w:rPr>
              <w:t>NR</w:t>
            </w:r>
          </w:p>
        </w:tc>
        <w:tc>
          <w:tcPr>
            <w:tcW w:w="6656" w:type="dxa"/>
          </w:tcPr>
          <w:p w14:paraId="7BFCA6C8" w14:textId="77777777" w:rsidR="00B47827" w:rsidRPr="00967AC5" w:rsidRDefault="00DE38BE" w:rsidP="001C65AB">
            <w:pPr>
              <w:pStyle w:val="ECCTabletext"/>
              <w:rPr>
                <w:color w:val="000000"/>
              </w:rPr>
            </w:pPr>
            <w:r w:rsidRPr="00967AC5">
              <w:rPr>
                <w:color w:val="000000"/>
              </w:rPr>
              <w:t>New Radio</w:t>
            </w:r>
          </w:p>
        </w:tc>
      </w:tr>
      <w:tr w:rsidR="00215347" w:rsidRPr="00967AC5" w14:paraId="2262309E" w14:textId="77777777" w:rsidTr="000A6845">
        <w:tc>
          <w:tcPr>
            <w:tcW w:w="2195" w:type="dxa"/>
          </w:tcPr>
          <w:p w14:paraId="45A37254" w14:textId="75A4B706" w:rsidR="00215347" w:rsidRPr="00967AC5" w:rsidRDefault="00215347" w:rsidP="001C65AB">
            <w:pPr>
              <w:pStyle w:val="ECCTabletext"/>
              <w:rPr>
                <w:rStyle w:val="ECCHLbold"/>
              </w:rPr>
            </w:pPr>
            <w:r w:rsidRPr="00967AC5">
              <w:rPr>
                <w:rStyle w:val="ECCHLbold"/>
              </w:rPr>
              <w:t>PAMR</w:t>
            </w:r>
          </w:p>
        </w:tc>
        <w:tc>
          <w:tcPr>
            <w:tcW w:w="6656" w:type="dxa"/>
          </w:tcPr>
          <w:p w14:paraId="2A65E72B" w14:textId="6E2A5CC6" w:rsidR="00215347" w:rsidRPr="00967AC5" w:rsidRDefault="00884660" w:rsidP="001C65AB">
            <w:pPr>
              <w:pStyle w:val="ECCTabletext"/>
              <w:rPr>
                <w:color w:val="000000"/>
              </w:rPr>
            </w:pPr>
            <w:r w:rsidRPr="00967AC5">
              <w:rPr>
                <w:rStyle w:val="acopre"/>
              </w:rPr>
              <w:t>Public Access Mobile Radio</w:t>
            </w:r>
          </w:p>
        </w:tc>
      </w:tr>
      <w:tr w:rsidR="000D0172" w:rsidRPr="00967AC5" w14:paraId="0A43DAEC" w14:textId="77777777" w:rsidTr="000A6845">
        <w:tc>
          <w:tcPr>
            <w:tcW w:w="2195" w:type="dxa"/>
          </w:tcPr>
          <w:p w14:paraId="1E63E164" w14:textId="621D42D7" w:rsidR="000D0172" w:rsidRPr="00967AC5" w:rsidDel="00215347" w:rsidRDefault="000D0172" w:rsidP="001C65AB">
            <w:pPr>
              <w:pStyle w:val="ECCTabletext"/>
              <w:rPr>
                <w:rStyle w:val="ECCHLbold"/>
              </w:rPr>
            </w:pPr>
            <w:r w:rsidRPr="00967AC5">
              <w:rPr>
                <w:rStyle w:val="ECCHLbold"/>
              </w:rPr>
              <w:t>PMR</w:t>
            </w:r>
          </w:p>
        </w:tc>
        <w:tc>
          <w:tcPr>
            <w:tcW w:w="6656" w:type="dxa"/>
          </w:tcPr>
          <w:p w14:paraId="78CA76FE" w14:textId="1230DF76" w:rsidR="000D0172" w:rsidRPr="00967AC5" w:rsidRDefault="000D0172" w:rsidP="001C65AB">
            <w:pPr>
              <w:pStyle w:val="ECCTabletext"/>
              <w:rPr>
                <w:color w:val="000000"/>
              </w:rPr>
            </w:pPr>
            <w:r w:rsidRPr="00967AC5">
              <w:rPr>
                <w:color w:val="000000"/>
              </w:rPr>
              <w:t>Private Mobile Radio</w:t>
            </w:r>
          </w:p>
        </w:tc>
      </w:tr>
      <w:tr w:rsidR="00551CE4" w:rsidRPr="00967AC5" w14:paraId="7B3FF59A" w14:textId="77777777" w:rsidTr="000A6845">
        <w:tc>
          <w:tcPr>
            <w:tcW w:w="2195" w:type="dxa"/>
          </w:tcPr>
          <w:p w14:paraId="69CF6668" w14:textId="26D39D22" w:rsidR="00551CE4" w:rsidRPr="00967AC5" w:rsidRDefault="00551CE4" w:rsidP="001C65AB">
            <w:pPr>
              <w:pStyle w:val="ECCTabletext"/>
              <w:rPr>
                <w:rStyle w:val="ECCHLbold"/>
              </w:rPr>
            </w:pPr>
            <w:r w:rsidRPr="00967AC5">
              <w:rPr>
                <w:rStyle w:val="ECCHLbold"/>
              </w:rPr>
              <w:t>PMSE</w:t>
            </w:r>
          </w:p>
        </w:tc>
        <w:tc>
          <w:tcPr>
            <w:tcW w:w="6656" w:type="dxa"/>
          </w:tcPr>
          <w:p w14:paraId="54988C01" w14:textId="463AB803" w:rsidR="00551CE4" w:rsidRPr="00967AC5" w:rsidRDefault="00551CE4" w:rsidP="001C65AB">
            <w:pPr>
              <w:pStyle w:val="ECCTabletext"/>
              <w:rPr>
                <w:color w:val="000000"/>
              </w:rPr>
            </w:pPr>
            <w:r w:rsidRPr="00967AC5">
              <w:rPr>
                <w:color w:val="000000"/>
              </w:rPr>
              <w:t>Programme Making and Special Events</w:t>
            </w:r>
          </w:p>
        </w:tc>
      </w:tr>
      <w:tr w:rsidR="00C03F90" w:rsidRPr="00967AC5" w14:paraId="1FEF3F31" w14:textId="77777777" w:rsidTr="000A6845">
        <w:tc>
          <w:tcPr>
            <w:tcW w:w="2195" w:type="dxa"/>
          </w:tcPr>
          <w:p w14:paraId="179E8F6F" w14:textId="3CD28CED" w:rsidR="00C03F90" w:rsidRPr="00967AC5" w:rsidRDefault="00C03F90" w:rsidP="001C65AB">
            <w:pPr>
              <w:pStyle w:val="ECCTabletext"/>
              <w:rPr>
                <w:rStyle w:val="ECCHLbold"/>
              </w:rPr>
            </w:pPr>
            <w:r w:rsidRPr="00967AC5">
              <w:rPr>
                <w:rStyle w:val="ECCHLbold"/>
              </w:rPr>
              <w:t>PP</w:t>
            </w:r>
          </w:p>
        </w:tc>
        <w:tc>
          <w:tcPr>
            <w:tcW w:w="6656" w:type="dxa"/>
          </w:tcPr>
          <w:p w14:paraId="38F16653" w14:textId="7CF54184" w:rsidR="00C03F90" w:rsidRPr="00967AC5" w:rsidRDefault="00C03F90" w:rsidP="001C65AB">
            <w:pPr>
              <w:pStyle w:val="ECCTabletext"/>
              <w:rPr>
                <w:color w:val="000000"/>
              </w:rPr>
            </w:pPr>
            <w:r w:rsidRPr="00967AC5">
              <w:rPr>
                <w:color w:val="000000"/>
              </w:rPr>
              <w:t>Portable Part</w:t>
            </w:r>
          </w:p>
        </w:tc>
      </w:tr>
      <w:tr w:rsidR="00BD2BF4" w:rsidRPr="00967AC5" w14:paraId="14FDCC9D" w14:textId="77777777" w:rsidTr="000A6845">
        <w:tc>
          <w:tcPr>
            <w:tcW w:w="2195" w:type="dxa"/>
          </w:tcPr>
          <w:p w14:paraId="579E1267" w14:textId="419CA756" w:rsidR="00BD2BF4" w:rsidRPr="00967AC5" w:rsidRDefault="00BD2BF4" w:rsidP="001C65AB">
            <w:pPr>
              <w:pStyle w:val="ECCTabletext"/>
              <w:rPr>
                <w:rStyle w:val="ECCHLbold"/>
              </w:rPr>
            </w:pPr>
            <w:r w:rsidRPr="00967AC5">
              <w:rPr>
                <w:rStyle w:val="ECCHLbold"/>
              </w:rPr>
              <w:t>QoS</w:t>
            </w:r>
          </w:p>
        </w:tc>
        <w:tc>
          <w:tcPr>
            <w:tcW w:w="6656" w:type="dxa"/>
          </w:tcPr>
          <w:p w14:paraId="6634DC8C" w14:textId="18CC7F97" w:rsidR="00BD2BF4" w:rsidRPr="00967AC5" w:rsidRDefault="00BD2BF4" w:rsidP="001C65AB">
            <w:pPr>
              <w:pStyle w:val="ECCTabletext"/>
              <w:rPr>
                <w:color w:val="000000"/>
              </w:rPr>
            </w:pPr>
            <w:r w:rsidRPr="00967AC5">
              <w:rPr>
                <w:color w:val="000000"/>
              </w:rPr>
              <w:t>Quality of Service</w:t>
            </w:r>
          </w:p>
        </w:tc>
      </w:tr>
      <w:tr w:rsidR="005E7D68" w:rsidRPr="00967AC5" w14:paraId="473DEEBD" w14:textId="77777777" w:rsidTr="004E2E0D">
        <w:tc>
          <w:tcPr>
            <w:tcW w:w="2195" w:type="dxa"/>
          </w:tcPr>
          <w:p w14:paraId="0E4E7E22" w14:textId="3C67AF9E" w:rsidR="005E7D68" w:rsidRPr="00967AC5" w:rsidRDefault="005E7D68" w:rsidP="001C65AB">
            <w:pPr>
              <w:pStyle w:val="ECCTabletext"/>
              <w:rPr>
                <w:rStyle w:val="ECCHLbold"/>
              </w:rPr>
            </w:pPr>
            <w:r w:rsidRPr="00967AC5">
              <w:rPr>
                <w:rStyle w:val="ECCHLbold"/>
              </w:rPr>
              <w:t>RAT</w:t>
            </w:r>
          </w:p>
        </w:tc>
        <w:tc>
          <w:tcPr>
            <w:tcW w:w="6656" w:type="dxa"/>
          </w:tcPr>
          <w:p w14:paraId="74499DF6" w14:textId="5D9B7D9C" w:rsidR="005E7D68" w:rsidRPr="00967AC5" w:rsidRDefault="005E7D68" w:rsidP="001C65AB">
            <w:pPr>
              <w:pStyle w:val="ECCTabletext"/>
              <w:rPr>
                <w:color w:val="000000"/>
              </w:rPr>
            </w:pPr>
            <w:r w:rsidRPr="00967AC5">
              <w:rPr>
                <w:color w:val="000000"/>
              </w:rPr>
              <w:t>Radio Access Technology</w:t>
            </w:r>
          </w:p>
        </w:tc>
      </w:tr>
      <w:tr w:rsidR="00B742F6" w:rsidRPr="00967AC5" w14:paraId="39784A55" w14:textId="77777777" w:rsidTr="000A6845">
        <w:tc>
          <w:tcPr>
            <w:tcW w:w="2195" w:type="dxa"/>
          </w:tcPr>
          <w:p w14:paraId="68D1219E" w14:textId="65334C59" w:rsidR="00B742F6" w:rsidRPr="00967AC5" w:rsidRDefault="00B742F6" w:rsidP="001C65AB">
            <w:pPr>
              <w:pStyle w:val="ECCTabletext"/>
              <w:rPr>
                <w:rStyle w:val="ECCHLbold"/>
              </w:rPr>
            </w:pPr>
            <w:r w:rsidRPr="00967AC5">
              <w:rPr>
                <w:rStyle w:val="ECCHLbold"/>
              </w:rPr>
              <w:t>RF</w:t>
            </w:r>
          </w:p>
        </w:tc>
        <w:tc>
          <w:tcPr>
            <w:tcW w:w="6656" w:type="dxa"/>
          </w:tcPr>
          <w:p w14:paraId="3A03A907" w14:textId="1D8E0EF7" w:rsidR="00B742F6" w:rsidRPr="00967AC5" w:rsidRDefault="00B742F6" w:rsidP="001C65AB">
            <w:pPr>
              <w:pStyle w:val="ECCTabletext"/>
              <w:rPr>
                <w:color w:val="000000"/>
              </w:rPr>
            </w:pPr>
            <w:r w:rsidRPr="00967AC5">
              <w:rPr>
                <w:color w:val="000000"/>
              </w:rPr>
              <w:t>Radio Frequency</w:t>
            </w:r>
          </w:p>
        </w:tc>
      </w:tr>
      <w:tr w:rsidR="00C03F90" w:rsidRPr="00967AC5" w14:paraId="341A052C" w14:textId="77777777" w:rsidTr="000A6845">
        <w:tc>
          <w:tcPr>
            <w:tcW w:w="2195" w:type="dxa"/>
          </w:tcPr>
          <w:p w14:paraId="6A57EDB7" w14:textId="70213378" w:rsidR="00C03F90" w:rsidRPr="00967AC5" w:rsidRDefault="00C03F90" w:rsidP="001C65AB">
            <w:pPr>
              <w:pStyle w:val="ECCTabletext"/>
              <w:rPr>
                <w:rStyle w:val="ECCHLbold"/>
              </w:rPr>
            </w:pPr>
            <w:r w:rsidRPr="00967AC5">
              <w:rPr>
                <w:rStyle w:val="ECCHLbold"/>
              </w:rPr>
              <w:t>RFP</w:t>
            </w:r>
          </w:p>
        </w:tc>
        <w:tc>
          <w:tcPr>
            <w:tcW w:w="6656" w:type="dxa"/>
          </w:tcPr>
          <w:p w14:paraId="4A478083" w14:textId="65452BD2" w:rsidR="00C03F90" w:rsidRPr="00967AC5" w:rsidRDefault="00C03F90" w:rsidP="001C65AB">
            <w:pPr>
              <w:pStyle w:val="ECCTabletext"/>
              <w:rPr>
                <w:color w:val="000000"/>
              </w:rPr>
            </w:pPr>
            <w:r w:rsidRPr="00967AC5">
              <w:t>Radio Fixed Part</w:t>
            </w:r>
          </w:p>
        </w:tc>
      </w:tr>
      <w:tr w:rsidR="00EE1432" w:rsidRPr="00967AC5" w14:paraId="3DC63773" w14:textId="77777777" w:rsidTr="004E2E0D">
        <w:tc>
          <w:tcPr>
            <w:tcW w:w="2195" w:type="dxa"/>
          </w:tcPr>
          <w:p w14:paraId="3F4AB7C9" w14:textId="27E9BC84" w:rsidR="00EE1432" w:rsidRPr="00967AC5" w:rsidRDefault="00EE1432" w:rsidP="001C65AB">
            <w:pPr>
              <w:pStyle w:val="ECCTabletext"/>
              <w:rPr>
                <w:rStyle w:val="ECCHLbold"/>
              </w:rPr>
            </w:pPr>
            <w:r w:rsidRPr="00967AC5">
              <w:rPr>
                <w:rStyle w:val="ECCHLbold"/>
              </w:rPr>
              <w:t>RMR</w:t>
            </w:r>
          </w:p>
        </w:tc>
        <w:tc>
          <w:tcPr>
            <w:tcW w:w="6656" w:type="dxa"/>
          </w:tcPr>
          <w:p w14:paraId="30796FE3" w14:textId="7456B6E4" w:rsidR="00EE1432" w:rsidRPr="00967AC5" w:rsidRDefault="00EE1432" w:rsidP="001C65AB">
            <w:pPr>
              <w:pStyle w:val="ECCTabletext"/>
              <w:rPr>
                <w:color w:val="000000"/>
              </w:rPr>
            </w:pPr>
            <w:r w:rsidRPr="00967AC5">
              <w:rPr>
                <w:color w:val="000000"/>
              </w:rPr>
              <w:t>Railway</w:t>
            </w:r>
            <w:r w:rsidR="000B764B" w:rsidRPr="00967AC5">
              <w:rPr>
                <w:color w:val="000000"/>
              </w:rPr>
              <w:t>s</w:t>
            </w:r>
            <w:r w:rsidRPr="00967AC5">
              <w:rPr>
                <w:color w:val="000000"/>
              </w:rPr>
              <w:t xml:space="preserve"> Mobile Radio</w:t>
            </w:r>
          </w:p>
        </w:tc>
      </w:tr>
      <w:tr w:rsidR="0067738D" w:rsidRPr="00967AC5" w14:paraId="1FCF7ABA" w14:textId="77777777" w:rsidTr="000A6845">
        <w:tc>
          <w:tcPr>
            <w:tcW w:w="2195" w:type="dxa"/>
          </w:tcPr>
          <w:p w14:paraId="7ADA2507" w14:textId="4F661FEC" w:rsidR="0067738D" w:rsidRPr="00967AC5" w:rsidRDefault="0067738D" w:rsidP="001C65AB">
            <w:pPr>
              <w:pStyle w:val="ECCTabletext"/>
              <w:rPr>
                <w:rStyle w:val="ECCHLbold"/>
              </w:rPr>
            </w:pPr>
            <w:r w:rsidRPr="00967AC5">
              <w:rPr>
                <w:rStyle w:val="ECCHLbold"/>
              </w:rPr>
              <w:t>RIB</w:t>
            </w:r>
          </w:p>
        </w:tc>
        <w:tc>
          <w:tcPr>
            <w:tcW w:w="6656" w:type="dxa"/>
          </w:tcPr>
          <w:p w14:paraId="1DCB6ADE" w14:textId="60BECAA4" w:rsidR="0067738D" w:rsidRPr="00967AC5" w:rsidRDefault="00E3139D" w:rsidP="001C65AB">
            <w:pPr>
              <w:pStyle w:val="ECCTabletext"/>
              <w:rPr>
                <w:color w:val="000000"/>
              </w:rPr>
            </w:pPr>
            <w:r w:rsidRPr="00967AC5">
              <w:rPr>
                <w:color w:val="000000"/>
              </w:rPr>
              <w:t>Radio Interface Boundary</w:t>
            </w:r>
          </w:p>
        </w:tc>
      </w:tr>
      <w:tr w:rsidR="00381927" w:rsidRPr="00967AC5" w14:paraId="5012BC8B" w14:textId="77777777" w:rsidTr="000A6845">
        <w:tc>
          <w:tcPr>
            <w:tcW w:w="2195" w:type="dxa"/>
          </w:tcPr>
          <w:p w14:paraId="41979712" w14:textId="2C2948DA" w:rsidR="00381927" w:rsidRPr="00967AC5" w:rsidRDefault="00381927" w:rsidP="00381927">
            <w:pPr>
              <w:pStyle w:val="ECCTabletext"/>
              <w:rPr>
                <w:rStyle w:val="ECCHLbold"/>
              </w:rPr>
            </w:pPr>
            <w:r w:rsidRPr="00967AC5">
              <w:rPr>
                <w:rStyle w:val="ECCHLbold"/>
              </w:rPr>
              <w:t>SA NB-IoT</w:t>
            </w:r>
          </w:p>
        </w:tc>
        <w:tc>
          <w:tcPr>
            <w:tcW w:w="6656" w:type="dxa"/>
          </w:tcPr>
          <w:p w14:paraId="6F8B5A43" w14:textId="3DB331E1" w:rsidR="00381927" w:rsidRPr="00967AC5" w:rsidRDefault="00381927" w:rsidP="004E3BD3">
            <w:pPr>
              <w:pStyle w:val="ECCTabletext"/>
              <w:rPr>
                <w:color w:val="000000"/>
              </w:rPr>
            </w:pPr>
            <w:r w:rsidRPr="00967AC5">
              <w:rPr>
                <w:color w:val="000000"/>
              </w:rPr>
              <w:t>Standalone Narrow</w:t>
            </w:r>
            <w:r w:rsidR="003D5596" w:rsidRPr="00967AC5">
              <w:rPr>
                <w:color w:val="000000"/>
              </w:rPr>
              <w:t>b</w:t>
            </w:r>
            <w:r w:rsidRPr="00967AC5">
              <w:rPr>
                <w:color w:val="000000"/>
              </w:rPr>
              <w:t>and-IoT</w:t>
            </w:r>
          </w:p>
        </w:tc>
      </w:tr>
      <w:tr w:rsidR="00B47827" w:rsidRPr="00967AC5" w14:paraId="7BB9C1AB" w14:textId="77777777" w:rsidTr="002505BC">
        <w:tc>
          <w:tcPr>
            <w:tcW w:w="2195" w:type="dxa"/>
          </w:tcPr>
          <w:p w14:paraId="0972752A" w14:textId="77777777" w:rsidR="00B47827" w:rsidRPr="00967AC5" w:rsidRDefault="00DE38BE" w:rsidP="001C65AB">
            <w:pPr>
              <w:pStyle w:val="ECCTabletext"/>
              <w:rPr>
                <w:rStyle w:val="ECCHLbold"/>
              </w:rPr>
            </w:pPr>
            <w:r w:rsidRPr="00967AC5">
              <w:rPr>
                <w:rStyle w:val="ECCHLbold"/>
              </w:rPr>
              <w:t>SCS</w:t>
            </w:r>
          </w:p>
        </w:tc>
        <w:tc>
          <w:tcPr>
            <w:tcW w:w="6656" w:type="dxa"/>
          </w:tcPr>
          <w:p w14:paraId="070591DF" w14:textId="77777777" w:rsidR="00B47827" w:rsidRPr="00967AC5" w:rsidRDefault="00DE38BE" w:rsidP="001C65AB">
            <w:pPr>
              <w:pStyle w:val="ECCTabletext"/>
              <w:rPr>
                <w:color w:val="000000"/>
              </w:rPr>
            </w:pPr>
            <w:r w:rsidRPr="00967AC5">
              <w:rPr>
                <w:color w:val="000000"/>
              </w:rPr>
              <w:t>Sub-Carrier Spacing</w:t>
            </w:r>
          </w:p>
        </w:tc>
      </w:tr>
      <w:tr w:rsidR="009344E4" w:rsidRPr="00967AC5" w14:paraId="001B5690" w14:textId="77777777" w:rsidTr="002505BC">
        <w:tc>
          <w:tcPr>
            <w:tcW w:w="2195" w:type="dxa"/>
          </w:tcPr>
          <w:p w14:paraId="4D9AB64C" w14:textId="6E9BFB11" w:rsidR="009344E4" w:rsidRPr="00967AC5" w:rsidRDefault="009344E4" w:rsidP="001C65AB">
            <w:pPr>
              <w:pStyle w:val="ECCTabletext"/>
              <w:rPr>
                <w:rStyle w:val="ECCHLbold"/>
              </w:rPr>
            </w:pPr>
            <w:r w:rsidRPr="00967AC5">
              <w:rPr>
                <w:rStyle w:val="ECCHLbold"/>
              </w:rPr>
              <w:t>SEM</w:t>
            </w:r>
          </w:p>
        </w:tc>
        <w:tc>
          <w:tcPr>
            <w:tcW w:w="6656" w:type="dxa"/>
          </w:tcPr>
          <w:p w14:paraId="43507167" w14:textId="08B0E6BC" w:rsidR="009344E4" w:rsidRPr="00967AC5" w:rsidRDefault="00B6025F" w:rsidP="001C65AB">
            <w:pPr>
              <w:pStyle w:val="ECCTabletext"/>
              <w:rPr>
                <w:color w:val="000000"/>
              </w:rPr>
            </w:pPr>
            <w:r w:rsidRPr="00967AC5">
              <w:rPr>
                <w:color w:val="000000"/>
              </w:rPr>
              <w:t>Spectrum Emission</w:t>
            </w:r>
            <w:r w:rsidR="009344E4" w:rsidRPr="00967AC5">
              <w:rPr>
                <w:color w:val="000000"/>
              </w:rPr>
              <w:t xml:space="preserve"> Mask</w:t>
            </w:r>
          </w:p>
        </w:tc>
      </w:tr>
      <w:tr w:rsidR="00B47827" w:rsidRPr="00967AC5" w14:paraId="4BC4B259" w14:textId="77777777" w:rsidTr="002505BC">
        <w:tc>
          <w:tcPr>
            <w:tcW w:w="2195" w:type="dxa"/>
          </w:tcPr>
          <w:p w14:paraId="2047BD07" w14:textId="77777777" w:rsidR="00B47827" w:rsidRPr="00967AC5" w:rsidRDefault="00DE38BE" w:rsidP="001C65AB">
            <w:pPr>
              <w:pStyle w:val="ECCTabletext"/>
              <w:rPr>
                <w:rStyle w:val="ECCHLbold"/>
              </w:rPr>
            </w:pPr>
            <w:r w:rsidRPr="00967AC5">
              <w:rPr>
                <w:rStyle w:val="ECCHLbold"/>
              </w:rPr>
              <w:t>SDL</w:t>
            </w:r>
          </w:p>
        </w:tc>
        <w:tc>
          <w:tcPr>
            <w:tcW w:w="6656" w:type="dxa"/>
          </w:tcPr>
          <w:p w14:paraId="7B2B6B6A" w14:textId="5F7D1E96" w:rsidR="00B47827" w:rsidRPr="00967AC5" w:rsidRDefault="00DE38BE" w:rsidP="001C65AB">
            <w:pPr>
              <w:pStyle w:val="ECCTabletext"/>
              <w:rPr>
                <w:color w:val="000000"/>
              </w:rPr>
            </w:pPr>
            <w:r w:rsidRPr="00967AC5">
              <w:rPr>
                <w:color w:val="000000"/>
              </w:rPr>
              <w:t>Supplemental Downlink</w:t>
            </w:r>
          </w:p>
        </w:tc>
      </w:tr>
      <w:tr w:rsidR="00C03F9C" w:rsidRPr="00967AC5" w14:paraId="77608F1E" w14:textId="77777777" w:rsidTr="000A6845">
        <w:tc>
          <w:tcPr>
            <w:tcW w:w="2195" w:type="dxa"/>
          </w:tcPr>
          <w:p w14:paraId="1B16B730" w14:textId="7F7A58CC" w:rsidR="00C03F9C" w:rsidRPr="00967AC5" w:rsidRDefault="00C03F9C" w:rsidP="001C65AB">
            <w:pPr>
              <w:pStyle w:val="ECCTabletext"/>
              <w:rPr>
                <w:rStyle w:val="ECCHLbold"/>
              </w:rPr>
            </w:pPr>
            <w:r w:rsidRPr="00967AC5">
              <w:rPr>
                <w:rStyle w:val="ECCHLbold"/>
              </w:rPr>
              <w:t>SRD</w:t>
            </w:r>
          </w:p>
        </w:tc>
        <w:tc>
          <w:tcPr>
            <w:tcW w:w="6656" w:type="dxa"/>
          </w:tcPr>
          <w:p w14:paraId="517E5A71" w14:textId="159B2720" w:rsidR="00C03F9C" w:rsidRPr="00967AC5" w:rsidRDefault="00C03F9C" w:rsidP="001C65AB">
            <w:pPr>
              <w:pStyle w:val="ECCTabletext"/>
              <w:rPr>
                <w:color w:val="000000"/>
              </w:rPr>
            </w:pPr>
            <w:r w:rsidRPr="00967AC5">
              <w:rPr>
                <w:color w:val="000000"/>
              </w:rPr>
              <w:t>Short Range Device</w:t>
            </w:r>
          </w:p>
        </w:tc>
      </w:tr>
      <w:tr w:rsidR="00E938A5" w:rsidRPr="00967AC5" w14:paraId="20EE786D" w14:textId="77777777" w:rsidTr="000A6845">
        <w:tc>
          <w:tcPr>
            <w:tcW w:w="2195" w:type="dxa"/>
          </w:tcPr>
          <w:p w14:paraId="04C649E8" w14:textId="737BDF76" w:rsidR="00E938A5" w:rsidRPr="00967AC5" w:rsidRDefault="00E938A5" w:rsidP="001C65AB">
            <w:pPr>
              <w:pStyle w:val="ECCTabletext"/>
              <w:rPr>
                <w:rStyle w:val="ECCHLbold"/>
              </w:rPr>
            </w:pPr>
            <w:r w:rsidRPr="00967AC5">
              <w:rPr>
                <w:rStyle w:val="ECCHLbold"/>
              </w:rPr>
              <w:t>SSR</w:t>
            </w:r>
          </w:p>
        </w:tc>
        <w:tc>
          <w:tcPr>
            <w:tcW w:w="6656" w:type="dxa"/>
          </w:tcPr>
          <w:p w14:paraId="460DF7F6" w14:textId="471CB747" w:rsidR="00E938A5" w:rsidRPr="00967AC5" w:rsidRDefault="00E938A5" w:rsidP="001C65AB">
            <w:pPr>
              <w:pStyle w:val="ECCTabletext"/>
              <w:rPr>
                <w:color w:val="000000"/>
              </w:rPr>
            </w:pPr>
            <w:r w:rsidRPr="00967AC5">
              <w:rPr>
                <w:color w:val="000000"/>
              </w:rPr>
              <w:t>Secondary Surveillance Radar</w:t>
            </w:r>
          </w:p>
        </w:tc>
      </w:tr>
      <w:tr w:rsidR="00B47827" w:rsidRPr="00967AC5" w14:paraId="71CDCE5E" w14:textId="77777777" w:rsidTr="002505BC">
        <w:tc>
          <w:tcPr>
            <w:tcW w:w="2195" w:type="dxa"/>
          </w:tcPr>
          <w:p w14:paraId="53FAEF73" w14:textId="77777777" w:rsidR="00B47827" w:rsidRPr="00967AC5" w:rsidRDefault="00DE38BE" w:rsidP="001C65AB">
            <w:pPr>
              <w:pStyle w:val="ECCTabletext"/>
              <w:rPr>
                <w:rStyle w:val="ECCHLbold"/>
              </w:rPr>
            </w:pPr>
            <w:r w:rsidRPr="00967AC5">
              <w:rPr>
                <w:rStyle w:val="ECCHLbold"/>
              </w:rPr>
              <w:t>SUL</w:t>
            </w:r>
          </w:p>
        </w:tc>
        <w:tc>
          <w:tcPr>
            <w:tcW w:w="6656" w:type="dxa"/>
          </w:tcPr>
          <w:p w14:paraId="5CC0F6ED" w14:textId="77777777" w:rsidR="00B47827" w:rsidRPr="00967AC5" w:rsidRDefault="00DE38BE" w:rsidP="001C65AB">
            <w:pPr>
              <w:pStyle w:val="ECCTabletext"/>
              <w:rPr>
                <w:color w:val="000000"/>
              </w:rPr>
            </w:pPr>
            <w:r w:rsidRPr="00967AC5">
              <w:rPr>
                <w:color w:val="000000"/>
              </w:rPr>
              <w:t>Supplemental Uplink</w:t>
            </w:r>
          </w:p>
        </w:tc>
      </w:tr>
      <w:tr w:rsidR="00A5102B" w:rsidRPr="00967AC5" w14:paraId="1DC90E6C" w14:textId="77777777" w:rsidTr="000A6845">
        <w:tc>
          <w:tcPr>
            <w:tcW w:w="2195" w:type="dxa"/>
          </w:tcPr>
          <w:p w14:paraId="0EC54E52" w14:textId="6AA9C626" w:rsidR="00A5102B" w:rsidRPr="00967AC5" w:rsidRDefault="00A5102B" w:rsidP="001C65AB">
            <w:pPr>
              <w:pStyle w:val="ECCTabletext"/>
              <w:rPr>
                <w:rStyle w:val="ECCHLbold"/>
              </w:rPr>
            </w:pPr>
            <w:r w:rsidRPr="00967AC5">
              <w:rPr>
                <w:rStyle w:val="ECCHLbold"/>
              </w:rPr>
              <w:t>TACAN</w:t>
            </w:r>
          </w:p>
        </w:tc>
        <w:tc>
          <w:tcPr>
            <w:tcW w:w="6656" w:type="dxa"/>
          </w:tcPr>
          <w:p w14:paraId="425A5058" w14:textId="42B7EEF0" w:rsidR="00A5102B" w:rsidRPr="00967AC5" w:rsidRDefault="00A5102B" w:rsidP="001C65AB">
            <w:pPr>
              <w:pStyle w:val="ECCTabletext"/>
              <w:rPr>
                <w:color w:val="000000"/>
              </w:rPr>
            </w:pPr>
            <w:r w:rsidRPr="00967AC5">
              <w:rPr>
                <w:color w:val="000000"/>
              </w:rPr>
              <w:t>Tactical Air Navigation System</w:t>
            </w:r>
          </w:p>
        </w:tc>
      </w:tr>
      <w:tr w:rsidR="007D0D59" w:rsidRPr="00967AC5" w14:paraId="7015A976" w14:textId="77777777" w:rsidTr="000A6845">
        <w:tc>
          <w:tcPr>
            <w:tcW w:w="2195" w:type="dxa"/>
          </w:tcPr>
          <w:p w14:paraId="6993A7E2" w14:textId="345C6622" w:rsidR="007D0D59" w:rsidRPr="00967AC5" w:rsidRDefault="007D0D59" w:rsidP="001C65AB">
            <w:pPr>
              <w:pStyle w:val="ECCTabletext"/>
              <w:rPr>
                <w:rStyle w:val="ECCHLbold"/>
              </w:rPr>
            </w:pPr>
            <w:r w:rsidRPr="00967AC5">
              <w:rPr>
                <w:rStyle w:val="ECCHLbold"/>
              </w:rPr>
              <w:t>TDD</w:t>
            </w:r>
          </w:p>
        </w:tc>
        <w:tc>
          <w:tcPr>
            <w:tcW w:w="6656" w:type="dxa"/>
          </w:tcPr>
          <w:p w14:paraId="609C87E1" w14:textId="37212DF0" w:rsidR="007D0D59" w:rsidRPr="00967AC5" w:rsidRDefault="007D0D59" w:rsidP="001C65AB">
            <w:pPr>
              <w:pStyle w:val="ECCTabletext"/>
              <w:rPr>
                <w:color w:val="000000"/>
              </w:rPr>
            </w:pPr>
            <w:r w:rsidRPr="00967AC5">
              <w:rPr>
                <w:color w:val="000000"/>
              </w:rPr>
              <w:t>Time Divis</w:t>
            </w:r>
            <w:r w:rsidR="0012303E" w:rsidRPr="00967AC5">
              <w:rPr>
                <w:color w:val="000000"/>
              </w:rPr>
              <w:t>ion Duplex</w:t>
            </w:r>
          </w:p>
        </w:tc>
      </w:tr>
      <w:tr w:rsidR="00B47827" w:rsidRPr="00967AC5" w14:paraId="1C2A793F" w14:textId="77777777" w:rsidTr="002505BC">
        <w:tc>
          <w:tcPr>
            <w:tcW w:w="2195" w:type="dxa"/>
          </w:tcPr>
          <w:p w14:paraId="7F72D80B" w14:textId="77777777" w:rsidR="00B47827" w:rsidRPr="00967AC5" w:rsidRDefault="00DE38BE" w:rsidP="001C65AB">
            <w:pPr>
              <w:pStyle w:val="ECCTabletext"/>
              <w:rPr>
                <w:rStyle w:val="ECCHLbold"/>
              </w:rPr>
            </w:pPr>
            <w:r w:rsidRPr="00967AC5">
              <w:rPr>
                <w:rStyle w:val="ECCHLbold"/>
              </w:rPr>
              <w:t>TRP</w:t>
            </w:r>
          </w:p>
        </w:tc>
        <w:tc>
          <w:tcPr>
            <w:tcW w:w="6656" w:type="dxa"/>
          </w:tcPr>
          <w:p w14:paraId="73D70D69" w14:textId="77777777" w:rsidR="00B47827" w:rsidRPr="00967AC5" w:rsidRDefault="00DE38BE" w:rsidP="001C65AB">
            <w:pPr>
              <w:pStyle w:val="ECCTabletext"/>
              <w:rPr>
                <w:color w:val="000000"/>
              </w:rPr>
            </w:pPr>
            <w:r w:rsidRPr="00967AC5">
              <w:rPr>
                <w:color w:val="000000"/>
              </w:rPr>
              <w:t>Total Radiated Power</w:t>
            </w:r>
          </w:p>
        </w:tc>
      </w:tr>
      <w:tr w:rsidR="00B47827" w:rsidRPr="00967AC5" w14:paraId="0CD0C2C7" w14:textId="77777777" w:rsidTr="002505BC">
        <w:tc>
          <w:tcPr>
            <w:tcW w:w="2195" w:type="dxa"/>
          </w:tcPr>
          <w:p w14:paraId="247A225B" w14:textId="77777777" w:rsidR="00B47827" w:rsidRPr="00967AC5" w:rsidRDefault="00DE38BE" w:rsidP="001C65AB">
            <w:pPr>
              <w:pStyle w:val="ECCTabletext"/>
              <w:rPr>
                <w:rStyle w:val="ECCHLbold"/>
              </w:rPr>
            </w:pPr>
            <w:r w:rsidRPr="00967AC5">
              <w:rPr>
                <w:rStyle w:val="ECCHLbold"/>
              </w:rPr>
              <w:t>UE</w:t>
            </w:r>
          </w:p>
        </w:tc>
        <w:tc>
          <w:tcPr>
            <w:tcW w:w="6656" w:type="dxa"/>
          </w:tcPr>
          <w:p w14:paraId="7C84C6EF" w14:textId="656C6A48" w:rsidR="00B47827" w:rsidRPr="00967AC5" w:rsidRDefault="00DE38BE" w:rsidP="001C65AB">
            <w:pPr>
              <w:pStyle w:val="ECCTabletext"/>
              <w:rPr>
                <w:color w:val="000000"/>
              </w:rPr>
            </w:pPr>
            <w:r w:rsidRPr="00967AC5">
              <w:rPr>
                <w:color w:val="000000"/>
              </w:rPr>
              <w:t>User Equipment</w:t>
            </w:r>
          </w:p>
        </w:tc>
      </w:tr>
      <w:tr w:rsidR="00B47827" w:rsidRPr="00967AC5" w14:paraId="057182C5" w14:textId="77777777" w:rsidTr="002505BC">
        <w:tc>
          <w:tcPr>
            <w:tcW w:w="2195" w:type="dxa"/>
          </w:tcPr>
          <w:p w14:paraId="3FCCFAD3" w14:textId="5DBB363D" w:rsidR="00B47827" w:rsidRPr="00967AC5" w:rsidRDefault="00DE38BE" w:rsidP="001C65AB">
            <w:pPr>
              <w:pStyle w:val="ECCTabletext"/>
              <w:rPr>
                <w:rStyle w:val="ECCHLbold"/>
              </w:rPr>
            </w:pPr>
            <w:r w:rsidRPr="00967AC5">
              <w:rPr>
                <w:rStyle w:val="ECCHLbold"/>
              </w:rPr>
              <w:t>UMTS</w:t>
            </w:r>
          </w:p>
        </w:tc>
        <w:tc>
          <w:tcPr>
            <w:tcW w:w="6656" w:type="dxa"/>
          </w:tcPr>
          <w:p w14:paraId="35BF42C6" w14:textId="06C01517" w:rsidR="00B47827" w:rsidRPr="00967AC5" w:rsidRDefault="00DE38BE" w:rsidP="001C65AB">
            <w:pPr>
              <w:pStyle w:val="ECCTabletext"/>
              <w:rPr>
                <w:color w:val="000000"/>
              </w:rPr>
            </w:pPr>
            <w:r w:rsidRPr="00967AC5">
              <w:rPr>
                <w:color w:val="000000"/>
              </w:rPr>
              <w:t>Universal Mobile Telecommunications System</w:t>
            </w:r>
          </w:p>
        </w:tc>
      </w:tr>
      <w:tr w:rsidR="00206188" w:rsidRPr="00967AC5" w14:paraId="4523476E" w14:textId="77777777" w:rsidTr="000A6845">
        <w:tc>
          <w:tcPr>
            <w:tcW w:w="2195" w:type="dxa"/>
          </w:tcPr>
          <w:p w14:paraId="43554F1D" w14:textId="00681523" w:rsidR="00206188" w:rsidRPr="00967AC5" w:rsidRDefault="00206188" w:rsidP="001C65AB">
            <w:pPr>
              <w:pStyle w:val="ECCTabletext"/>
              <w:rPr>
                <w:rStyle w:val="ECCHLbold"/>
              </w:rPr>
            </w:pPr>
            <w:r w:rsidRPr="00967AC5">
              <w:rPr>
                <w:rStyle w:val="ECCHLbold"/>
              </w:rPr>
              <w:t>UTRA</w:t>
            </w:r>
          </w:p>
        </w:tc>
        <w:tc>
          <w:tcPr>
            <w:tcW w:w="6656" w:type="dxa"/>
          </w:tcPr>
          <w:p w14:paraId="3AC8D1BE" w14:textId="104E4A40" w:rsidR="00206188" w:rsidRPr="00967AC5" w:rsidRDefault="00206188" w:rsidP="001C65AB">
            <w:pPr>
              <w:pStyle w:val="ECCTabletext"/>
              <w:rPr>
                <w:rStyle w:val="acopre"/>
              </w:rPr>
            </w:pPr>
            <w:r w:rsidRPr="00967AC5">
              <w:rPr>
                <w:color w:val="000000"/>
              </w:rPr>
              <w:t>Universal Terrestrial Radio</w:t>
            </w:r>
            <w:r w:rsidR="00A20ACA" w:rsidRPr="00967AC5">
              <w:rPr>
                <w:color w:val="000000"/>
              </w:rPr>
              <w:t xml:space="preserve"> Access</w:t>
            </w:r>
          </w:p>
        </w:tc>
      </w:tr>
      <w:tr w:rsidR="00335B88" w:rsidRPr="00967AC5" w14:paraId="4A02F406" w14:textId="77777777" w:rsidTr="000A6845">
        <w:tc>
          <w:tcPr>
            <w:tcW w:w="2195" w:type="dxa"/>
          </w:tcPr>
          <w:p w14:paraId="2B19C55E" w14:textId="7613D543" w:rsidR="00335B88" w:rsidRPr="00967AC5" w:rsidRDefault="00335B88" w:rsidP="001C65AB">
            <w:pPr>
              <w:pStyle w:val="ECCTabletext"/>
              <w:rPr>
                <w:rStyle w:val="ECCHLbold"/>
              </w:rPr>
            </w:pPr>
            <w:r w:rsidRPr="00967AC5">
              <w:rPr>
                <w:rStyle w:val="ECCHLbold"/>
              </w:rPr>
              <w:t>VLBI</w:t>
            </w:r>
          </w:p>
        </w:tc>
        <w:tc>
          <w:tcPr>
            <w:tcW w:w="6656" w:type="dxa"/>
          </w:tcPr>
          <w:p w14:paraId="16B572D4" w14:textId="542ACF97" w:rsidR="00335B88" w:rsidRPr="00967AC5" w:rsidRDefault="00335B88" w:rsidP="001C65AB">
            <w:pPr>
              <w:pStyle w:val="ECCTabletext"/>
              <w:rPr>
                <w:rStyle w:val="acopre"/>
              </w:rPr>
            </w:pPr>
            <w:r w:rsidRPr="00967AC5">
              <w:rPr>
                <w:rStyle w:val="acopre"/>
              </w:rPr>
              <w:t>Very Long Baseline Interferometry</w:t>
            </w:r>
          </w:p>
        </w:tc>
      </w:tr>
      <w:tr w:rsidR="00443544" w:rsidRPr="00967AC5" w14:paraId="34A7C883" w14:textId="77777777" w:rsidTr="004E2E0D">
        <w:tc>
          <w:tcPr>
            <w:tcW w:w="2195" w:type="dxa"/>
          </w:tcPr>
          <w:p w14:paraId="681896B5" w14:textId="33E3E36A" w:rsidR="00443544" w:rsidRPr="00967AC5" w:rsidRDefault="00443544" w:rsidP="001C65AB">
            <w:pPr>
              <w:pStyle w:val="ECCTabletext"/>
              <w:rPr>
                <w:rStyle w:val="ECCHLbold"/>
              </w:rPr>
            </w:pPr>
            <w:r w:rsidRPr="00967AC5">
              <w:rPr>
                <w:rStyle w:val="ECCHLbold"/>
              </w:rPr>
              <w:t>WB</w:t>
            </w:r>
          </w:p>
        </w:tc>
        <w:tc>
          <w:tcPr>
            <w:tcW w:w="6656" w:type="dxa"/>
          </w:tcPr>
          <w:p w14:paraId="125A7E31" w14:textId="40077339" w:rsidR="00443544" w:rsidRPr="00967AC5" w:rsidRDefault="00443544" w:rsidP="00916CDF">
            <w:pPr>
              <w:pStyle w:val="ECCTabletext"/>
              <w:rPr>
                <w:rStyle w:val="acopre"/>
              </w:rPr>
            </w:pPr>
            <w:r w:rsidRPr="00967AC5">
              <w:rPr>
                <w:rStyle w:val="acopre"/>
              </w:rPr>
              <w:t>Wideband</w:t>
            </w:r>
          </w:p>
        </w:tc>
      </w:tr>
      <w:tr w:rsidR="00E73FE1" w:rsidRPr="00967AC5" w14:paraId="625DCB3A" w14:textId="77777777" w:rsidTr="000A6845">
        <w:tc>
          <w:tcPr>
            <w:tcW w:w="2195" w:type="dxa"/>
          </w:tcPr>
          <w:p w14:paraId="386ED40B" w14:textId="0604C78D" w:rsidR="00E73FE1" w:rsidRPr="00967AC5" w:rsidRDefault="00E73FE1" w:rsidP="001C65AB">
            <w:pPr>
              <w:pStyle w:val="ECCTabletext"/>
              <w:rPr>
                <w:rStyle w:val="ECCHLbold"/>
              </w:rPr>
            </w:pPr>
            <w:r w:rsidRPr="00967AC5">
              <w:rPr>
                <w:rStyle w:val="ECCHLbold"/>
              </w:rPr>
              <w:t>WiMAX</w:t>
            </w:r>
          </w:p>
        </w:tc>
        <w:tc>
          <w:tcPr>
            <w:tcW w:w="6656" w:type="dxa"/>
          </w:tcPr>
          <w:p w14:paraId="0EC97A19" w14:textId="647A93E4" w:rsidR="00E73FE1" w:rsidRPr="00967AC5" w:rsidRDefault="00201E0A" w:rsidP="001C65AB">
            <w:pPr>
              <w:pStyle w:val="ECCTabletext"/>
              <w:rPr>
                <w:color w:val="000000"/>
              </w:rPr>
            </w:pPr>
            <w:r w:rsidRPr="00967AC5">
              <w:rPr>
                <w:rStyle w:val="acopre"/>
              </w:rPr>
              <w:t>Worldwide Interoperability for Microwave Access</w:t>
            </w:r>
          </w:p>
        </w:tc>
      </w:tr>
    </w:tbl>
    <w:p w14:paraId="6EB27510" w14:textId="77777777" w:rsidR="00B47827" w:rsidRPr="00967AC5" w:rsidRDefault="00B47827">
      <w:pPr>
        <w:rPr>
          <w:lang w:val="en-GB"/>
        </w:rPr>
      </w:pPr>
    </w:p>
    <w:p w14:paraId="6E9B30AF" w14:textId="77777777" w:rsidR="00D56FAB" w:rsidRPr="00967AC5" w:rsidRDefault="00D56FAB">
      <w:pPr>
        <w:rPr>
          <w:lang w:val="en-GB"/>
        </w:rPr>
      </w:pPr>
    </w:p>
    <w:p w14:paraId="52A78AC1" w14:textId="77777777" w:rsidR="00615FB6" w:rsidRPr="00967AC5" w:rsidRDefault="00615FB6" w:rsidP="00DD5131">
      <w:pPr>
        <w:pStyle w:val="Heading1"/>
      </w:pPr>
      <w:bookmarkStart w:id="6" w:name="_Toc71037796"/>
      <w:r w:rsidRPr="00967AC5">
        <w:lastRenderedPageBreak/>
        <w:t>Introduction</w:t>
      </w:r>
      <w:bookmarkEnd w:id="6"/>
    </w:p>
    <w:p w14:paraId="724BABEC" w14:textId="2CF119FC" w:rsidR="00BD7FA7" w:rsidRPr="00967AC5" w:rsidRDefault="00BD7FA7" w:rsidP="00B13847">
      <w:pPr>
        <w:pStyle w:val="ECCParagraph"/>
      </w:pPr>
      <w:r w:rsidRPr="00967AC5">
        <w:t>This Report is the response (Report B) to Task 2 of the Mandate from the European Commission “to review the harmonised technical conditions for certain EU-harmonised frequency bands and to develop least restrictive harmonised technical conditions suitable for next-generation (5G) terrestrial wireless systems</w:t>
      </w:r>
      <w:r w:rsidR="00AD140A" w:rsidRPr="00967AC5">
        <w:t>”</w:t>
      </w:r>
      <w:r w:rsidR="0055729F" w:rsidRPr="00967AC5">
        <w:t xml:space="preserve"> </w:t>
      </w:r>
      <w:r w:rsidR="00F61443" w:rsidRPr="00967AC5">
        <w:t xml:space="preserve">(see </w:t>
      </w:r>
      <w:r w:rsidR="00AF5002" w:rsidRPr="00967AC5">
        <w:fldChar w:fldCharType="begin"/>
      </w:r>
      <w:r w:rsidR="00AF5002" w:rsidRPr="00967AC5">
        <w:instrText xml:space="preserve"> REF _Ref68772731 \r \h </w:instrText>
      </w:r>
      <w:r w:rsidR="00B13847" w:rsidRPr="00967AC5">
        <w:instrText xml:space="preserve"> \* MERGEFORMAT </w:instrText>
      </w:r>
      <w:r w:rsidR="00AF5002" w:rsidRPr="00967AC5">
        <w:fldChar w:fldCharType="separate"/>
      </w:r>
      <w:r w:rsidR="00680BB5" w:rsidRPr="00967AC5">
        <w:t>ANNEX 1</w:t>
      </w:r>
      <w:r w:rsidR="00AF5002" w:rsidRPr="00967AC5">
        <w:fldChar w:fldCharType="end"/>
      </w:r>
      <w:r w:rsidR="00F61443" w:rsidRPr="00967AC5">
        <w:t xml:space="preserve">) </w:t>
      </w:r>
      <w:r w:rsidR="0055729F" w:rsidRPr="00967AC5">
        <w:t>a</w:t>
      </w:r>
      <w:r w:rsidR="00533546" w:rsidRPr="00967AC5">
        <w:t>dd</w:t>
      </w:r>
      <w:r w:rsidR="0055729F" w:rsidRPr="00967AC5">
        <w:t xml:space="preserve">ressing the 900 </w:t>
      </w:r>
      <w:r w:rsidR="00E03123" w:rsidRPr="00967AC5">
        <w:t xml:space="preserve">MHz </w:t>
      </w:r>
      <w:r w:rsidR="0055729F" w:rsidRPr="00967AC5">
        <w:t>and 1800 MHz frequency bands.</w:t>
      </w:r>
    </w:p>
    <w:p w14:paraId="5C0F6F73" w14:textId="750B28FC" w:rsidR="00BD7FA7" w:rsidRPr="00967AC5" w:rsidRDefault="00BD7FA7" w:rsidP="00BD7FA7">
      <w:pPr>
        <w:pStyle w:val="ECCParagraph"/>
      </w:pPr>
      <w:r w:rsidRPr="00967AC5">
        <w:t xml:space="preserve">This Report informs on the planned update of </w:t>
      </w:r>
      <w:r w:rsidR="00BF2CF2" w:rsidRPr="00967AC5">
        <w:t>the</w:t>
      </w:r>
      <w:r w:rsidRPr="00967AC5">
        <w:t xml:space="preserve"> current ECC existing framework in </w:t>
      </w:r>
      <w:r w:rsidR="00AB71B9" w:rsidRPr="00967AC5">
        <w:t xml:space="preserve">the </w:t>
      </w:r>
      <w:r w:rsidRPr="00967AC5">
        <w:t>900</w:t>
      </w:r>
      <w:r w:rsidR="00AB71B9" w:rsidRPr="00967AC5">
        <w:t xml:space="preserve"> MHz and </w:t>
      </w:r>
      <w:r w:rsidRPr="00967AC5">
        <w:t>1800 MHz</w:t>
      </w:r>
      <w:r w:rsidR="00AB71B9" w:rsidRPr="00967AC5">
        <w:t xml:space="preserve"> </w:t>
      </w:r>
      <w:r w:rsidR="006D4E61" w:rsidRPr="00967AC5">
        <w:t xml:space="preserve">frequency </w:t>
      </w:r>
      <w:r w:rsidR="00AB71B9" w:rsidRPr="00967AC5">
        <w:t>bands</w:t>
      </w:r>
      <w:r w:rsidRPr="00967AC5">
        <w:t xml:space="preserve"> based on </w:t>
      </w:r>
      <w:r w:rsidR="003C0F87" w:rsidRPr="00967AC5">
        <w:t>the</w:t>
      </w:r>
      <w:r w:rsidRPr="00967AC5">
        <w:t xml:space="preserve"> proposed revision of the harmonised technical conditions. The revision includes channelling arrangements and least restrictive technical conditions under the form of a technology neutral block edge mask and relevant frequency separation, where needed, as an approach to technical </w:t>
      </w:r>
      <w:r w:rsidR="00AA0D9B" w:rsidRPr="00967AC5">
        <w:t xml:space="preserve">harmonisation </w:t>
      </w:r>
      <w:r w:rsidRPr="00967AC5">
        <w:t xml:space="preserve">in </w:t>
      </w:r>
      <w:r w:rsidR="00FB1577" w:rsidRPr="00967AC5">
        <w:t>the</w:t>
      </w:r>
      <w:r w:rsidRPr="00967AC5">
        <w:t xml:space="preserve"> 900</w:t>
      </w:r>
      <w:r w:rsidR="00FB1577" w:rsidRPr="00967AC5">
        <w:t xml:space="preserve"> </w:t>
      </w:r>
      <w:r w:rsidR="00164E0D" w:rsidRPr="00967AC5">
        <w:t xml:space="preserve">MHz </w:t>
      </w:r>
      <w:r w:rsidR="00FB1577" w:rsidRPr="00967AC5">
        <w:t xml:space="preserve">and </w:t>
      </w:r>
      <w:r w:rsidRPr="00967AC5">
        <w:t>1800 MHz bands, in replacement of the current existing technical framework based on references to ETSI standards for both bands.</w:t>
      </w:r>
    </w:p>
    <w:p w14:paraId="57336C36" w14:textId="4EC4647E" w:rsidR="00BD7FA7" w:rsidRPr="00967AC5" w:rsidRDefault="00BD7FA7" w:rsidP="00BD7FA7">
      <w:pPr>
        <w:pStyle w:val="ECCParagraph"/>
      </w:pPr>
      <w:r w:rsidRPr="00967AC5">
        <w:t xml:space="preserve">This Report is based on the principles and objectives detailed in </w:t>
      </w:r>
      <w:r w:rsidR="00680BB5" w:rsidRPr="00967AC5">
        <w:fldChar w:fldCharType="begin"/>
      </w:r>
      <w:r w:rsidR="00680BB5" w:rsidRPr="00967AC5">
        <w:instrText xml:space="preserve"> REF _Ref71037848 \r \h </w:instrText>
      </w:r>
      <w:r w:rsidR="00680BB5" w:rsidRPr="00967AC5">
        <w:fldChar w:fldCharType="separate"/>
      </w:r>
      <w:r w:rsidR="00680BB5" w:rsidRPr="00967AC5">
        <w:t>ANNEX 4</w:t>
      </w:r>
      <w:r w:rsidR="00680BB5" w:rsidRPr="00967AC5">
        <w:fldChar w:fldCharType="end"/>
      </w:r>
      <w:r w:rsidRPr="00967AC5">
        <w:t xml:space="preserve">. </w:t>
      </w:r>
    </w:p>
    <w:p w14:paraId="40BF586B" w14:textId="585B791B" w:rsidR="00D40207" w:rsidRPr="00967AC5" w:rsidRDefault="00D40207" w:rsidP="00164E0D">
      <w:pPr>
        <w:pStyle w:val="ECCParagraph"/>
      </w:pPr>
      <w:bookmarkStart w:id="7" w:name="_Hlk62720976"/>
      <w:r w:rsidRPr="00967AC5">
        <w:t xml:space="preserve">This </w:t>
      </w:r>
      <w:r w:rsidR="000066B7" w:rsidRPr="00967AC5">
        <w:t>R</w:t>
      </w:r>
      <w:r w:rsidRPr="00967AC5">
        <w:t>eport assesse</w:t>
      </w:r>
      <w:r w:rsidR="00E6019D" w:rsidRPr="00967AC5">
        <w:t>s</w:t>
      </w:r>
      <w:r w:rsidR="00E26DC0" w:rsidRPr="00967AC5">
        <w:t xml:space="preserve"> the</w:t>
      </w:r>
      <w:r w:rsidRPr="00967AC5">
        <w:t xml:space="preserve"> technical challenges for GSM (including </w:t>
      </w:r>
      <w:r w:rsidR="003A473B" w:rsidRPr="00967AC5">
        <w:t>EC-GSM-</w:t>
      </w:r>
      <w:r w:rsidRPr="00967AC5">
        <w:t xml:space="preserve">IoT) when developing the technology neutral LRTC for the 900 </w:t>
      </w:r>
      <w:r w:rsidR="00164E0D" w:rsidRPr="00967AC5">
        <w:t xml:space="preserve">MHz </w:t>
      </w:r>
      <w:r w:rsidRPr="00967AC5">
        <w:t>and 1800 MHz bands  based on existing CEPT</w:t>
      </w:r>
      <w:r w:rsidR="00164E0D" w:rsidRPr="00967AC5">
        <w:t xml:space="preserve"> Reports</w:t>
      </w:r>
      <w:r w:rsidRPr="00967AC5">
        <w:t xml:space="preserve"> and ECC</w:t>
      </w:r>
      <w:r w:rsidR="005931B9" w:rsidRPr="00967AC5">
        <w:t xml:space="preserve"> </w:t>
      </w:r>
      <w:r w:rsidRPr="00967AC5">
        <w:t>Reports</w:t>
      </w:r>
      <w:r w:rsidR="00034BBA" w:rsidRPr="00967AC5">
        <w:t>.</w:t>
      </w:r>
      <w:r w:rsidR="004B0EEB" w:rsidRPr="00967AC5">
        <w:t xml:space="preserve"> It</w:t>
      </w:r>
      <w:r w:rsidRPr="00967AC5">
        <w:t xml:space="preserve"> explain</w:t>
      </w:r>
      <w:r w:rsidR="00E26DC0" w:rsidRPr="00967AC5">
        <w:t>s</w:t>
      </w:r>
      <w:r w:rsidRPr="00967AC5">
        <w:t xml:space="preserve"> why </w:t>
      </w:r>
      <w:r w:rsidR="00E26DC0" w:rsidRPr="00967AC5">
        <w:t>the</w:t>
      </w:r>
      <w:r w:rsidRPr="00967AC5">
        <w:t xml:space="preserve"> new LRTC c</w:t>
      </w:r>
      <w:r w:rsidR="00E26DC0" w:rsidRPr="00967AC5">
        <w:t>an</w:t>
      </w:r>
      <w:r w:rsidRPr="00967AC5">
        <w:t xml:space="preserve">not be applied to GSM and how protection of GSM is to be managed </w:t>
      </w:r>
      <w:r w:rsidR="00361DDD" w:rsidRPr="00967AC5">
        <w:t>vis-</w:t>
      </w:r>
      <w:r w:rsidR="00535FAB" w:rsidRPr="00967AC5">
        <w:t>à</w:t>
      </w:r>
      <w:r w:rsidR="00361DDD" w:rsidRPr="00967AC5">
        <w:t>-</w:t>
      </w:r>
      <w:r w:rsidRPr="00967AC5">
        <w:t>vis the new BEM</w:t>
      </w:r>
      <w:r w:rsidR="0069137D" w:rsidRPr="00967AC5">
        <w:t>,</w:t>
      </w:r>
      <w:r w:rsidRPr="00967AC5">
        <w:t xml:space="preserve"> while delivering a solution which ensures availability and efficient use of the spectrum for next-generation terrestrial wireless systems in line with the Union’s spectrum policy priorities.</w:t>
      </w:r>
    </w:p>
    <w:p w14:paraId="07AFE727" w14:textId="7219CBA9" w:rsidR="00D40207" w:rsidRPr="00967AC5" w:rsidRDefault="00D40207">
      <w:pPr>
        <w:pStyle w:val="ECCParagraph"/>
      </w:pPr>
      <w:r w:rsidRPr="00967AC5">
        <w:t xml:space="preserve">This </w:t>
      </w:r>
      <w:r w:rsidR="00727FC6" w:rsidRPr="00967AC5">
        <w:t>R</w:t>
      </w:r>
      <w:r w:rsidRPr="00967AC5">
        <w:t xml:space="preserve">eport also demonstrates how the proposed </w:t>
      </w:r>
      <w:r w:rsidR="0039220B" w:rsidRPr="00967AC5">
        <w:t xml:space="preserve">least restrictive </w:t>
      </w:r>
      <w:r w:rsidRPr="00967AC5">
        <w:t xml:space="preserve">harmonised technical conditions suitable for </w:t>
      </w:r>
      <w:r w:rsidR="00DE3CC1" w:rsidRPr="00967AC5">
        <w:t>5G NR</w:t>
      </w:r>
      <w:r w:rsidR="00164E0D" w:rsidRPr="00967AC5">
        <w:t xml:space="preserve"> </w:t>
      </w:r>
      <w:r w:rsidRPr="00967AC5">
        <w:t>terrestrial wireless systems (and when applicable AAS technologies) ensure appropriate compatibility with current systems and protection of adjacent services, based on existing CEPT</w:t>
      </w:r>
      <w:r w:rsidR="00A236C4" w:rsidRPr="00967AC5">
        <w:t xml:space="preserve"> Reports</w:t>
      </w:r>
      <w:r w:rsidRPr="00967AC5">
        <w:t xml:space="preserve"> and ECC</w:t>
      </w:r>
      <w:r w:rsidR="00A236C4" w:rsidRPr="00967AC5">
        <w:t xml:space="preserve"> </w:t>
      </w:r>
      <w:r w:rsidRPr="00967AC5">
        <w:t xml:space="preserve">Reports, which </w:t>
      </w:r>
      <w:r w:rsidR="00D07C98" w:rsidRPr="00967AC5">
        <w:t xml:space="preserve">is </w:t>
      </w:r>
      <w:r w:rsidRPr="00967AC5">
        <w:t>under the responsibility of administrations.</w:t>
      </w:r>
      <w:bookmarkEnd w:id="7"/>
    </w:p>
    <w:p w14:paraId="714F8B45" w14:textId="5E85CE90" w:rsidR="00BD7FA7" w:rsidRPr="00967AC5" w:rsidRDefault="00BD7FA7" w:rsidP="00BD7FA7">
      <w:pPr>
        <w:pStyle w:val="ECCParagraph"/>
      </w:pPr>
      <w:r w:rsidRPr="00967AC5">
        <w:t xml:space="preserve">This </w:t>
      </w:r>
      <w:r w:rsidR="007F6E6B" w:rsidRPr="00967AC5">
        <w:t>R</w:t>
      </w:r>
      <w:r w:rsidRPr="00967AC5">
        <w:t>eport</w:t>
      </w:r>
      <w:r w:rsidR="00361FEA" w:rsidRPr="00967AC5">
        <w:t xml:space="preserve"> also provides additional clarification in response to Task 3 (cross-border coordination), with respect to the new technology neutral BEM and the handling of GSM</w:t>
      </w:r>
      <w:r w:rsidR="00742F3A" w:rsidRPr="00967AC5">
        <w:t>,</w:t>
      </w:r>
      <w:r w:rsidRPr="00967AC5">
        <w:t xml:space="preserve"> and provides explanations on the lack of impact </w:t>
      </w:r>
      <w:r w:rsidRPr="00967AC5">
        <w:rPr>
          <w:rFonts w:eastAsia="Calibri"/>
        </w:rPr>
        <w:t xml:space="preserve">of </w:t>
      </w:r>
      <w:r w:rsidR="00D07C98" w:rsidRPr="00967AC5">
        <w:rPr>
          <w:rFonts w:eastAsia="Calibri"/>
        </w:rPr>
        <w:t xml:space="preserve">varying </w:t>
      </w:r>
      <w:r w:rsidRPr="00967AC5">
        <w:rPr>
          <w:rFonts w:eastAsia="Calibri"/>
        </w:rPr>
        <w:t>dates for implementation of the updated EC framework with LRTC</w:t>
      </w:r>
      <w:r w:rsidR="003D5596" w:rsidRPr="00967AC5">
        <w:rPr>
          <w:rFonts w:eastAsia="Calibri"/>
        </w:rPr>
        <w:t>s</w:t>
      </w:r>
      <w:r w:rsidRPr="00967AC5">
        <w:rPr>
          <w:rFonts w:eastAsia="Calibri"/>
        </w:rPr>
        <w:t xml:space="preserve"> on the rollout of 5G NR in Europe</w:t>
      </w:r>
      <w:r w:rsidRPr="00967AC5">
        <w:t>.</w:t>
      </w:r>
    </w:p>
    <w:p w14:paraId="23F2915D" w14:textId="5741FC63" w:rsidR="00615FB6" w:rsidRPr="00967AC5" w:rsidRDefault="00615FB6" w:rsidP="00D94FF6">
      <w:pPr>
        <w:pStyle w:val="ECCParagraph"/>
      </w:pPr>
    </w:p>
    <w:p w14:paraId="493D1A3C" w14:textId="77777777" w:rsidR="002A4397" w:rsidRPr="00967AC5" w:rsidRDefault="002A4397" w:rsidP="002A4397">
      <w:pPr>
        <w:pStyle w:val="Heading1"/>
      </w:pPr>
      <w:bookmarkStart w:id="8" w:name="_Toc18321613"/>
      <w:bookmarkStart w:id="9" w:name="_Toc71037797"/>
      <w:bookmarkStart w:id="10" w:name="_Ref525829584"/>
      <w:bookmarkStart w:id="11" w:name="_Ref526177742"/>
      <w:bookmarkStart w:id="12" w:name="_Toc17991199"/>
      <w:bookmarkStart w:id="13" w:name="_Toc18338430"/>
      <w:bookmarkStart w:id="14" w:name="_Toc528661749"/>
      <w:bookmarkStart w:id="15" w:name="_Toc533173131"/>
      <w:bookmarkStart w:id="16" w:name="_Toc380056499"/>
      <w:bookmarkStart w:id="17" w:name="_Toc380059750"/>
      <w:bookmarkStart w:id="18" w:name="_Toc380059787"/>
      <w:bookmarkStart w:id="19" w:name="_Toc396153638"/>
      <w:bookmarkStart w:id="20" w:name="_Toc396383865"/>
      <w:bookmarkStart w:id="21" w:name="_Toc396917298"/>
      <w:bookmarkStart w:id="22" w:name="_Toc396917347"/>
      <w:bookmarkStart w:id="23" w:name="_Toc396917409"/>
      <w:bookmarkStart w:id="24" w:name="_Toc396917462"/>
      <w:bookmarkStart w:id="25" w:name="_Toc396917629"/>
      <w:bookmarkStart w:id="26" w:name="_Toc396917644"/>
      <w:bookmarkStart w:id="27" w:name="_Toc396917749"/>
      <w:r w:rsidRPr="00967AC5">
        <w:lastRenderedPageBreak/>
        <w:t>Existing regulatory framework for 900 MHz and 1800 MHz bands</w:t>
      </w:r>
      <w:bookmarkEnd w:id="8"/>
      <w:bookmarkEnd w:id="9"/>
    </w:p>
    <w:p w14:paraId="482441C5" w14:textId="5F5009D7" w:rsidR="002A4397" w:rsidRPr="00967AC5" w:rsidRDefault="002A4397" w:rsidP="002A4397">
      <w:pPr>
        <w:pStyle w:val="ECCParagraph"/>
      </w:pPr>
      <w:bookmarkStart w:id="28" w:name="_Toc18321614"/>
      <w:bookmarkStart w:id="29" w:name="_Ref68874481"/>
      <w:r w:rsidRPr="00967AC5">
        <w:t xml:space="preserve">The existing regulatory framework for the 900 MHz and 1800 MHz frequency bands are specified in EC Decision 2009/766/EC </w:t>
      </w:r>
      <w:r w:rsidR="00F77ACE">
        <w:fldChar w:fldCharType="begin"/>
      </w:r>
      <w:r w:rsidR="00F77ACE">
        <w:instrText xml:space="preserve"> REF _Ref63337216 \r \h </w:instrText>
      </w:r>
      <w:r w:rsidR="00F77ACE">
        <w:fldChar w:fldCharType="separate"/>
      </w:r>
      <w:r w:rsidR="00F77ACE">
        <w:t>[2]</w:t>
      </w:r>
      <w:r w:rsidR="00F77ACE">
        <w:fldChar w:fldCharType="end"/>
      </w:r>
      <w:r w:rsidRPr="00967AC5">
        <w:t xml:space="preserve"> amended by EC Decision 2011/251/EU [16] and EC Decision </w:t>
      </w:r>
      <w:r w:rsidRPr="00967AC5">
        <w:rPr>
          <w:rStyle w:val="ECCHLcyan"/>
          <w:shd w:val="clear" w:color="auto" w:fill="auto"/>
        </w:rPr>
        <w:t xml:space="preserve">(EU) </w:t>
      </w:r>
      <w:r w:rsidRPr="00967AC5">
        <w:t>2018/637 [20].</w:t>
      </w:r>
    </w:p>
    <w:p w14:paraId="31FBF178" w14:textId="77777777" w:rsidR="002A4397" w:rsidRPr="00967AC5" w:rsidRDefault="002A4397" w:rsidP="002A4397">
      <w:pPr>
        <w:pStyle w:val="Heading2"/>
        <w:rPr>
          <w:lang w:val="en-GB"/>
        </w:rPr>
      </w:pPr>
      <w:bookmarkStart w:id="30" w:name="_Toc71037798"/>
      <w:r w:rsidRPr="00967AC5">
        <w:rPr>
          <w:lang w:val="en-GB"/>
        </w:rPr>
        <w:t>Existing band plan</w:t>
      </w:r>
      <w:bookmarkEnd w:id="28"/>
      <w:bookmarkEnd w:id="29"/>
      <w:bookmarkEnd w:id="30"/>
    </w:p>
    <w:p w14:paraId="296B4656" w14:textId="3F6B3E97" w:rsidR="002A4397" w:rsidRPr="00967AC5" w:rsidRDefault="002A4397" w:rsidP="002A4397">
      <w:pPr>
        <w:pStyle w:val="ECCParagraph"/>
      </w:pPr>
      <w:r w:rsidRPr="00967AC5">
        <w:t xml:space="preserve">The existing regulatory framework refers to the following definitions: </w:t>
      </w:r>
    </w:p>
    <w:p w14:paraId="13761E7F" w14:textId="77777777" w:rsidR="002A4397" w:rsidRPr="00967AC5" w:rsidRDefault="002A4397" w:rsidP="002505BC">
      <w:pPr>
        <w:pStyle w:val="ECCBulletsLv1"/>
      </w:pPr>
      <w:r w:rsidRPr="00967AC5">
        <w:t>The ‘900 MHz band’ means the 880-915 MHz and 925-960 MHz frequency bands.</w:t>
      </w:r>
    </w:p>
    <w:p w14:paraId="357CAC07" w14:textId="77777777" w:rsidR="002A4397" w:rsidRPr="00967AC5" w:rsidRDefault="002A4397" w:rsidP="002505BC">
      <w:pPr>
        <w:pStyle w:val="ECCBulletsLv1"/>
      </w:pPr>
      <w:r w:rsidRPr="00967AC5">
        <w:t>The ‘1800 MHz band’ means the 1710-1785 MHz and 1805-1880 MHz frequency bands.</w:t>
      </w:r>
    </w:p>
    <w:p w14:paraId="0AE063BC" w14:textId="77777777" w:rsidR="002A4397" w:rsidRPr="00967AC5" w:rsidRDefault="002A4397" w:rsidP="002A4397">
      <w:pPr>
        <w:pStyle w:val="ECCParagraph"/>
        <w:rPr>
          <w:rFonts w:eastAsia="Calibri"/>
          <w:szCs w:val="22"/>
        </w:rPr>
      </w:pPr>
    </w:p>
    <w:p w14:paraId="5D5ED8F2" w14:textId="1268AE2C" w:rsidR="002A4397" w:rsidRPr="00967AC5" w:rsidRDefault="002A4397" w:rsidP="002A4397">
      <w:pPr>
        <w:pStyle w:val="ECCParagraph"/>
        <w:rPr>
          <w:rFonts w:eastAsia="Calibri"/>
        </w:rPr>
      </w:pPr>
      <w:r w:rsidRPr="00967AC5">
        <w:rPr>
          <w:rFonts w:eastAsia="Calibri"/>
        </w:rPr>
        <w:t>Existing ECS usage in 900 MHz and 1800 MHz band is based on the following FDD band plan:</w:t>
      </w:r>
    </w:p>
    <w:p w14:paraId="438F5B2A" w14:textId="61D0D547" w:rsidR="002A4397" w:rsidRPr="00967AC5" w:rsidRDefault="002A4397" w:rsidP="002A4397">
      <w:pPr>
        <w:pStyle w:val="ECCFiguregraphcentered"/>
        <w:rPr>
          <w:rFonts w:eastAsia="Calibri"/>
          <w:lang w:val="en-GB"/>
        </w:rPr>
      </w:pPr>
      <w:r w:rsidRPr="00967AC5">
        <w:rPr>
          <w:lang w:val="en-GB" w:eastAsia="zh-CN"/>
        </w:rPr>
        <w:drawing>
          <wp:inline distT="0" distB="0" distL="0" distR="0" wp14:anchorId="4BF959FE" wp14:editId="37FE5524">
            <wp:extent cx="2457450" cy="742950"/>
            <wp:effectExtent l="0" t="0" r="0"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457450" cy="742950"/>
                    </a:xfrm>
                    <a:prstGeom prst="rect">
                      <a:avLst/>
                    </a:prstGeom>
                  </pic:spPr>
                </pic:pic>
              </a:graphicData>
            </a:graphic>
          </wp:inline>
        </w:drawing>
      </w:r>
    </w:p>
    <w:p w14:paraId="0F23B60D" w14:textId="080782C7" w:rsidR="002A4397" w:rsidRPr="00967AC5" w:rsidRDefault="002A4397" w:rsidP="002A4397">
      <w:pPr>
        <w:pStyle w:val="Caption"/>
        <w:rPr>
          <w:lang w:val="en-GB"/>
        </w:rPr>
      </w:pPr>
      <w:r w:rsidRPr="00967AC5">
        <w:rPr>
          <w:lang w:val="en-GB"/>
        </w:rPr>
        <w:t xml:space="preserve">Figure </w:t>
      </w:r>
      <w:r w:rsidRPr="00967AC5">
        <w:rPr>
          <w:lang w:val="en-GB"/>
        </w:rPr>
        <w:fldChar w:fldCharType="begin"/>
      </w:r>
      <w:r w:rsidRPr="00967AC5">
        <w:rPr>
          <w:lang w:val="en-GB"/>
        </w:rPr>
        <w:instrText xml:space="preserve"> SEQ Figure \* ARABIC </w:instrText>
      </w:r>
      <w:r w:rsidRPr="00967AC5">
        <w:rPr>
          <w:lang w:val="en-GB"/>
        </w:rPr>
        <w:fldChar w:fldCharType="separate"/>
      </w:r>
      <w:r w:rsidR="00680BB5" w:rsidRPr="00967AC5">
        <w:rPr>
          <w:noProof/>
          <w:lang w:val="en-GB"/>
        </w:rPr>
        <w:t>1</w:t>
      </w:r>
      <w:r w:rsidRPr="00967AC5">
        <w:rPr>
          <w:lang w:val="en-GB"/>
        </w:rPr>
        <w:fldChar w:fldCharType="end"/>
      </w:r>
      <w:r w:rsidRPr="00967AC5">
        <w:rPr>
          <w:lang w:val="en-GB"/>
        </w:rPr>
        <w:t>: 900 MHz band plan</w:t>
      </w:r>
    </w:p>
    <w:p w14:paraId="680BC698" w14:textId="77777777" w:rsidR="002A4397" w:rsidRPr="00967AC5" w:rsidRDefault="002A4397" w:rsidP="002505BC">
      <w:pPr>
        <w:pStyle w:val="ECCFiguregraphcentered"/>
        <w:rPr>
          <w:lang w:val="en-GB"/>
        </w:rPr>
      </w:pPr>
      <w:r w:rsidRPr="00967AC5">
        <w:rPr>
          <w:lang w:val="en-GB" w:eastAsia="zh-CN"/>
        </w:rPr>
        <w:drawing>
          <wp:inline distT="0" distB="0" distL="0" distR="0" wp14:anchorId="39FE3AC8" wp14:editId="6921D6DB">
            <wp:extent cx="6096000" cy="742950"/>
            <wp:effectExtent l="0" t="0" r="0" b="0"/>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6096000" cy="742950"/>
                    </a:xfrm>
                    <a:prstGeom prst="rect">
                      <a:avLst/>
                    </a:prstGeom>
                  </pic:spPr>
                </pic:pic>
              </a:graphicData>
            </a:graphic>
          </wp:inline>
        </w:drawing>
      </w:r>
    </w:p>
    <w:p w14:paraId="1342EF16" w14:textId="6B3E6A8E" w:rsidR="002A4397" w:rsidRPr="00967AC5" w:rsidRDefault="002A4397" w:rsidP="002A4397">
      <w:pPr>
        <w:pStyle w:val="Caption"/>
        <w:rPr>
          <w:lang w:val="en-GB"/>
        </w:rPr>
      </w:pPr>
      <w:r w:rsidRPr="00967AC5">
        <w:rPr>
          <w:lang w:val="en-GB"/>
        </w:rPr>
        <w:t xml:space="preserve">Figure </w:t>
      </w:r>
      <w:r w:rsidRPr="00967AC5">
        <w:rPr>
          <w:lang w:val="en-GB"/>
        </w:rPr>
        <w:fldChar w:fldCharType="begin"/>
      </w:r>
      <w:r w:rsidRPr="00967AC5">
        <w:rPr>
          <w:lang w:val="en-GB"/>
        </w:rPr>
        <w:instrText xml:space="preserve"> SEQ Figure \* ARABIC </w:instrText>
      </w:r>
      <w:r w:rsidRPr="00967AC5">
        <w:rPr>
          <w:lang w:val="en-GB"/>
        </w:rPr>
        <w:fldChar w:fldCharType="separate"/>
      </w:r>
      <w:r w:rsidR="00680BB5" w:rsidRPr="00967AC5">
        <w:rPr>
          <w:noProof/>
          <w:lang w:val="en-GB"/>
        </w:rPr>
        <w:t>2</w:t>
      </w:r>
      <w:r w:rsidRPr="00967AC5">
        <w:rPr>
          <w:lang w:val="en-GB"/>
        </w:rPr>
        <w:fldChar w:fldCharType="end"/>
      </w:r>
      <w:r w:rsidRPr="00967AC5">
        <w:rPr>
          <w:lang w:val="en-GB"/>
        </w:rPr>
        <w:t>: 1800 MHz frequency band plan</w:t>
      </w:r>
    </w:p>
    <w:p w14:paraId="09DAED25" w14:textId="2392E4A1" w:rsidR="002A4397" w:rsidRPr="00967AC5" w:rsidRDefault="002A4397" w:rsidP="002A4397">
      <w:pPr>
        <w:pStyle w:val="ECCParagraph"/>
        <w:rPr>
          <w:rFonts w:eastAsia="Calibri"/>
        </w:rPr>
      </w:pPr>
      <w:r w:rsidRPr="00967AC5">
        <w:rPr>
          <w:rFonts w:eastAsia="Calibri"/>
        </w:rPr>
        <w:t xml:space="preserve">In total there are 2 x 35 MHz in 900 MHz frequency band and </w:t>
      </w:r>
      <w:smartTag w:uri="urn:schemas-microsoft-com:office:smarttags" w:element="date">
        <w:smartTagPr>
          <w:attr w:name="ls" w:val="trans"/>
          <w:attr w:name="Month" w:val="10"/>
          <w:attr w:name="Day" w:val="2"/>
          <w:attr w:name="Year" w:val="75"/>
        </w:smartTagPr>
        <w:r w:rsidRPr="00967AC5">
          <w:rPr>
            <w:rFonts w:eastAsia="Calibri"/>
          </w:rPr>
          <w:t>2 x 75</w:t>
        </w:r>
      </w:smartTag>
      <w:r w:rsidRPr="00967AC5">
        <w:rPr>
          <w:rFonts w:eastAsia="Calibri"/>
        </w:rPr>
        <w:t xml:space="preserve"> MHz in 1800 MHz frequency band.</w:t>
      </w:r>
    </w:p>
    <w:p w14:paraId="2EC8693A" w14:textId="77777777" w:rsidR="002A4397" w:rsidRPr="00967AC5" w:rsidDel="0017118A" w:rsidRDefault="002A4397" w:rsidP="002A4397">
      <w:pPr>
        <w:pStyle w:val="ECCParagraph"/>
      </w:pPr>
      <w:r w:rsidRPr="00967AC5">
        <w:t xml:space="preserve">The current ECC framework refers also to the same band plan. </w:t>
      </w:r>
    </w:p>
    <w:p w14:paraId="5979A62B" w14:textId="3D810C73" w:rsidR="002A4397" w:rsidRPr="00967AC5" w:rsidRDefault="002A4397" w:rsidP="002A4397">
      <w:pPr>
        <w:pStyle w:val="Heading2"/>
        <w:rPr>
          <w:lang w:val="en-GB"/>
        </w:rPr>
      </w:pPr>
      <w:bookmarkStart w:id="31" w:name="_Toc18321615"/>
      <w:bookmarkStart w:id="32" w:name="_Toc71037799"/>
      <w:r w:rsidRPr="00967AC5">
        <w:rPr>
          <w:lang w:val="en-GB"/>
        </w:rPr>
        <w:t>Existing technical conditions</w:t>
      </w:r>
      <w:bookmarkEnd w:id="31"/>
      <w:bookmarkEnd w:id="32"/>
    </w:p>
    <w:p w14:paraId="5FD34C3D" w14:textId="0A48CC69" w:rsidR="002A4397" w:rsidRPr="00967AC5" w:rsidRDefault="002A4397" w:rsidP="002505BC">
      <w:pPr>
        <w:pStyle w:val="ECCParagraph"/>
        <w:spacing w:before="240"/>
      </w:pPr>
      <w:bookmarkStart w:id="33" w:name="_Hlk532289194"/>
      <w:r w:rsidRPr="00967AC5">
        <w:t>CEPT noted that the last update of EC framework (on the basis of CEPT Report 66 targeting cellular IoT systems) and ECC framework (amended ECC Decision (06)13 on the basis of ECC Report 297</w:t>
      </w:r>
      <w:r w:rsidRPr="00967AC5">
        <w:rPr>
          <w:rStyle w:val="FootnoteReference"/>
        </w:rPr>
        <w:footnoteReference w:id="4"/>
      </w:r>
      <w:r w:rsidRPr="00967AC5">
        <w:t>) in these bands has been done in 2019. Current frameworks are based on a list of ETSI standards approach and relevant frequency separation requirements between systems where appropriate.</w:t>
      </w:r>
    </w:p>
    <w:p w14:paraId="4820BBA4" w14:textId="3A796CBF" w:rsidR="002A4397" w:rsidRPr="00967AC5" w:rsidRDefault="002A4397" w:rsidP="002A4397">
      <w:pPr>
        <w:pStyle w:val="ECCParagraph"/>
        <w:spacing w:before="240"/>
      </w:pPr>
      <w:r w:rsidRPr="00967AC5">
        <w:t>CEPT plans to update during 2021 harmonised technical conditions on the basis of frequency arrangement and BEM for both frequency bands as long-term regulatory approach. The work will be done on the basis of this CEPT Report and in particular on the proposed harmonised technical conditions for updating the EC framework 900 MHz and 1800 MHz in order to ensure consistency between technical harmonised conditions of both frameworks EC and ECC.</w:t>
      </w:r>
    </w:p>
    <w:p w14:paraId="2ACB699B" w14:textId="77777777" w:rsidR="002A4397" w:rsidRPr="00967AC5" w:rsidRDefault="002A4397" w:rsidP="002A4397">
      <w:pPr>
        <w:pStyle w:val="ECCParagraph"/>
        <w:rPr>
          <w:rFonts w:eastAsiaTheme="minorHAnsi"/>
        </w:rPr>
      </w:pPr>
      <w:r w:rsidRPr="00967AC5">
        <w:t>CEPT noted that the current EC framework requests Member States to ensure that systems listed in EC Decision and others not listed give appropriate protection to systems in adjacent bands.</w:t>
      </w:r>
      <w:r w:rsidRPr="00967AC5">
        <w:rPr>
          <w:rFonts w:eastAsia="Calibri"/>
        </w:rPr>
        <w:t xml:space="preserve"> Coexistence between ECS systems in the 900 MHz and 1800 MHz frequency bands and the relevant services in adjacent bands have been analysed in this Report</w:t>
      </w:r>
      <w:r w:rsidRPr="00967AC5">
        <w:rPr>
          <w:rFonts w:eastAsiaTheme="minorHAnsi"/>
        </w:rPr>
        <w:t>.</w:t>
      </w:r>
    </w:p>
    <w:p w14:paraId="589F2FC8" w14:textId="5F4DB4C6" w:rsidR="002A4397" w:rsidRPr="00967AC5" w:rsidRDefault="002A4397" w:rsidP="002A4397">
      <w:pPr>
        <w:pStyle w:val="ECCParagraph"/>
      </w:pPr>
      <w:r w:rsidRPr="00967AC5">
        <w:lastRenderedPageBreak/>
        <w:t>The table below lists the relevant CEPT/ECC/EU documents for 900 MHz and 1800 MHz MFCN frequency bands.</w:t>
      </w:r>
    </w:p>
    <w:p w14:paraId="6DF8E8A4" w14:textId="60572287" w:rsidR="002A4397" w:rsidRPr="00967AC5" w:rsidRDefault="002A4397" w:rsidP="002A4397">
      <w:pPr>
        <w:pStyle w:val="Caption"/>
        <w:rPr>
          <w:lang w:val="en-GB"/>
        </w:rPr>
      </w:pPr>
      <w:bookmarkStart w:id="34" w:name="_Ref474314454"/>
      <w:r w:rsidRPr="00967AC5">
        <w:rPr>
          <w:lang w:val="en-GB"/>
        </w:rPr>
        <w:t xml:space="preserve">Table </w:t>
      </w:r>
      <w:r w:rsidRPr="00967AC5">
        <w:rPr>
          <w:bCs w:val="0"/>
          <w:lang w:val="en-GB"/>
        </w:rPr>
        <w:fldChar w:fldCharType="begin"/>
      </w:r>
      <w:r w:rsidRPr="00967AC5">
        <w:rPr>
          <w:lang w:val="en-GB"/>
        </w:rPr>
        <w:instrText xml:space="preserve"> SEQ Table \* ARABIC </w:instrText>
      </w:r>
      <w:r w:rsidRPr="00967AC5">
        <w:rPr>
          <w:bCs w:val="0"/>
          <w:lang w:val="en-GB"/>
        </w:rPr>
        <w:fldChar w:fldCharType="separate"/>
      </w:r>
      <w:r w:rsidR="00680BB5" w:rsidRPr="00967AC5">
        <w:rPr>
          <w:noProof/>
          <w:lang w:val="en-GB"/>
        </w:rPr>
        <w:t>1</w:t>
      </w:r>
      <w:r w:rsidRPr="00967AC5">
        <w:rPr>
          <w:bCs w:val="0"/>
          <w:lang w:val="en-GB"/>
        </w:rPr>
        <w:fldChar w:fldCharType="end"/>
      </w:r>
      <w:r w:rsidRPr="00967AC5">
        <w:rPr>
          <w:lang w:val="en-GB"/>
        </w:rPr>
        <w:t>: Band specific regulatory framework</w:t>
      </w:r>
      <w:bookmarkEnd w:id="34"/>
    </w:p>
    <w:tbl>
      <w:tblPr>
        <w:tblStyle w:val="ECCTable-redheader"/>
        <w:tblW w:w="4954" w:type="pct"/>
        <w:tblInd w:w="0" w:type="dxa"/>
        <w:tblLayout w:type="fixed"/>
        <w:tblLook w:val="04A0" w:firstRow="1" w:lastRow="0" w:firstColumn="1" w:lastColumn="0" w:noHBand="0" w:noVBand="1"/>
      </w:tblPr>
      <w:tblGrid>
        <w:gridCol w:w="1129"/>
        <w:gridCol w:w="2269"/>
        <w:gridCol w:w="2127"/>
        <w:gridCol w:w="1937"/>
        <w:gridCol w:w="2078"/>
      </w:tblGrid>
      <w:tr w:rsidR="002505BC" w:rsidRPr="00967AC5" w14:paraId="2C10717C" w14:textId="77777777" w:rsidTr="00E863C7">
        <w:trPr>
          <w:cnfStyle w:val="100000000000" w:firstRow="1" w:lastRow="0" w:firstColumn="0" w:lastColumn="0" w:oddVBand="0" w:evenVBand="0" w:oddHBand="0" w:evenHBand="0" w:firstRowFirstColumn="0" w:firstRowLastColumn="0" w:lastRowFirstColumn="0" w:lastRowLastColumn="0"/>
        </w:trPr>
        <w:tc>
          <w:tcPr>
            <w:tcW w:w="592" w:type="pct"/>
            <w:tcBorders>
              <w:top w:val="single" w:sz="4" w:space="0" w:color="FFFFFF" w:themeColor="background1"/>
              <w:left w:val="single" w:sz="4" w:space="0" w:color="FFFFFF" w:themeColor="background1"/>
              <w:bottom w:val="single" w:sz="4" w:space="0" w:color="FFFFFF" w:themeColor="background1"/>
            </w:tcBorders>
          </w:tcPr>
          <w:p w14:paraId="0101C562" w14:textId="77777777" w:rsidR="002A4397" w:rsidRPr="00967AC5" w:rsidRDefault="002A4397" w:rsidP="00E863C7">
            <w:pPr>
              <w:pStyle w:val="ECCTableHeaderwhitefont"/>
              <w:rPr>
                <w:lang w:val="en-GB"/>
              </w:rPr>
            </w:pPr>
            <w:r w:rsidRPr="00967AC5">
              <w:rPr>
                <w:lang w:val="en-GB"/>
              </w:rPr>
              <w:t>Band</w:t>
            </w:r>
          </w:p>
        </w:tc>
        <w:tc>
          <w:tcPr>
            <w:tcW w:w="1189" w:type="pct"/>
            <w:tcBorders>
              <w:top w:val="single" w:sz="4" w:space="0" w:color="FFFFFF" w:themeColor="background1"/>
              <w:bottom w:val="single" w:sz="4" w:space="0" w:color="FFFFFF" w:themeColor="background1"/>
            </w:tcBorders>
          </w:tcPr>
          <w:p w14:paraId="3BFDDFFF" w14:textId="77777777" w:rsidR="002A4397" w:rsidRPr="00967AC5" w:rsidRDefault="002A4397" w:rsidP="00E863C7">
            <w:pPr>
              <w:pStyle w:val="ECCTableHeaderwhitefont"/>
              <w:rPr>
                <w:lang w:val="en-GB"/>
              </w:rPr>
            </w:pPr>
            <w:r w:rsidRPr="00967AC5">
              <w:rPr>
                <w:lang w:val="en-GB"/>
              </w:rPr>
              <w:t>Report</w:t>
            </w:r>
          </w:p>
        </w:tc>
        <w:tc>
          <w:tcPr>
            <w:tcW w:w="1115" w:type="pct"/>
            <w:tcBorders>
              <w:top w:val="single" w:sz="4" w:space="0" w:color="FFFFFF" w:themeColor="background1"/>
              <w:bottom w:val="single" w:sz="4" w:space="0" w:color="FFFFFF" w:themeColor="background1"/>
            </w:tcBorders>
          </w:tcPr>
          <w:p w14:paraId="1587179A" w14:textId="77777777" w:rsidR="002A4397" w:rsidRPr="00967AC5" w:rsidRDefault="002A4397" w:rsidP="00E863C7">
            <w:pPr>
              <w:pStyle w:val="ECCTableHeaderwhitefont"/>
              <w:rPr>
                <w:lang w:val="en-GB"/>
              </w:rPr>
            </w:pPr>
            <w:r w:rsidRPr="00967AC5">
              <w:rPr>
                <w:lang w:val="en-GB"/>
              </w:rPr>
              <w:t>ECC Decision</w:t>
            </w:r>
          </w:p>
        </w:tc>
        <w:tc>
          <w:tcPr>
            <w:tcW w:w="1015" w:type="pct"/>
            <w:tcBorders>
              <w:top w:val="single" w:sz="4" w:space="0" w:color="FFFFFF" w:themeColor="background1"/>
              <w:bottom w:val="single" w:sz="4" w:space="0" w:color="FFFFFF" w:themeColor="background1"/>
            </w:tcBorders>
          </w:tcPr>
          <w:p w14:paraId="7AA12557" w14:textId="77777777" w:rsidR="002A4397" w:rsidRPr="00967AC5" w:rsidRDefault="002A4397" w:rsidP="00E863C7">
            <w:pPr>
              <w:pStyle w:val="ECCTableHeaderwhitefont"/>
              <w:rPr>
                <w:lang w:val="en-GB"/>
              </w:rPr>
            </w:pPr>
            <w:r w:rsidRPr="00967AC5">
              <w:rPr>
                <w:lang w:val="en-GB"/>
              </w:rPr>
              <w:t>EC Decision based on CEPT Reports</w:t>
            </w:r>
          </w:p>
        </w:tc>
        <w:tc>
          <w:tcPr>
            <w:tcW w:w="1089" w:type="pct"/>
            <w:tcBorders>
              <w:top w:val="single" w:sz="4" w:space="0" w:color="FFFFFF" w:themeColor="background1"/>
              <w:bottom w:val="single" w:sz="4" w:space="0" w:color="FFFFFF" w:themeColor="background1"/>
              <w:right w:val="single" w:sz="4" w:space="0" w:color="FFFFFF" w:themeColor="background1"/>
            </w:tcBorders>
          </w:tcPr>
          <w:p w14:paraId="132275DE" w14:textId="77777777" w:rsidR="002A4397" w:rsidRPr="00967AC5" w:rsidRDefault="002A4397" w:rsidP="00E863C7">
            <w:pPr>
              <w:pStyle w:val="ECCTableHeaderwhitefont"/>
              <w:rPr>
                <w:lang w:val="en-GB"/>
              </w:rPr>
            </w:pPr>
            <w:r w:rsidRPr="00967AC5">
              <w:rPr>
                <w:lang w:val="en-GB"/>
              </w:rPr>
              <w:t>Cross-border coordination</w:t>
            </w:r>
          </w:p>
        </w:tc>
      </w:tr>
      <w:tr w:rsidR="002505BC" w:rsidRPr="00967AC5" w14:paraId="6AF65179" w14:textId="77777777" w:rsidTr="002505BC">
        <w:tc>
          <w:tcPr>
            <w:tcW w:w="592" w:type="pct"/>
            <w:tcBorders>
              <w:top w:val="single" w:sz="4" w:space="0" w:color="FFFFFF" w:themeColor="background1"/>
            </w:tcBorders>
          </w:tcPr>
          <w:p w14:paraId="0DDE5F7E" w14:textId="77777777" w:rsidR="002A4397" w:rsidRPr="00967AC5" w:rsidRDefault="002A4397" w:rsidP="00E863C7">
            <w:pPr>
              <w:pStyle w:val="ECCTabletext"/>
            </w:pPr>
            <w:r w:rsidRPr="00967AC5">
              <w:t>900 MHz</w:t>
            </w:r>
          </w:p>
        </w:tc>
        <w:tc>
          <w:tcPr>
            <w:tcW w:w="1189" w:type="pct"/>
            <w:vMerge w:val="restart"/>
            <w:tcBorders>
              <w:top w:val="single" w:sz="4" w:space="0" w:color="FFFFFF" w:themeColor="background1"/>
            </w:tcBorders>
          </w:tcPr>
          <w:p w14:paraId="27021627" w14:textId="577D0920" w:rsidR="002A4397" w:rsidRPr="00967AC5" w:rsidRDefault="002A4397" w:rsidP="00E863C7">
            <w:pPr>
              <w:pStyle w:val="ECCTabletext"/>
            </w:pPr>
            <w:r w:rsidRPr="00967AC5">
              <w:t xml:space="preserve">ECC Report 82 </w:t>
            </w:r>
            <w:r w:rsidRPr="00967AC5">
              <w:fldChar w:fldCharType="begin"/>
            </w:r>
            <w:r w:rsidRPr="00967AC5">
              <w:instrText xml:space="preserve"> REF _Ref63337472 \r \h  \* MERGEFORMAT </w:instrText>
            </w:r>
            <w:r w:rsidRPr="00967AC5">
              <w:fldChar w:fldCharType="separate"/>
            </w:r>
            <w:r w:rsidR="00680BB5" w:rsidRPr="00967AC5">
              <w:t>[8]</w:t>
            </w:r>
            <w:r w:rsidRPr="00967AC5">
              <w:fldChar w:fldCharType="end"/>
            </w:r>
          </w:p>
          <w:p w14:paraId="1618A48C" w14:textId="72D3E823" w:rsidR="002A4397" w:rsidRPr="00967AC5" w:rsidRDefault="002A4397" w:rsidP="00E863C7">
            <w:pPr>
              <w:pStyle w:val="ECCTabletext"/>
            </w:pPr>
            <w:r w:rsidRPr="00967AC5">
              <w:t xml:space="preserve">ECC Report 96 </w:t>
            </w:r>
            <w:r w:rsidRPr="00967AC5">
              <w:fldChar w:fldCharType="begin"/>
            </w:r>
            <w:r w:rsidRPr="00967AC5">
              <w:instrText xml:space="preserve"> REF _Ref63337476 \r \h  \* MERGEFORMAT </w:instrText>
            </w:r>
            <w:r w:rsidRPr="00967AC5">
              <w:fldChar w:fldCharType="separate"/>
            </w:r>
            <w:r w:rsidR="00680BB5" w:rsidRPr="00967AC5">
              <w:t>[9]</w:t>
            </w:r>
            <w:r w:rsidRPr="00967AC5">
              <w:fldChar w:fldCharType="end"/>
            </w:r>
          </w:p>
          <w:p w14:paraId="4A6D422F" w14:textId="1157F183" w:rsidR="002A4397" w:rsidRPr="00967AC5" w:rsidRDefault="002A4397" w:rsidP="00E863C7">
            <w:pPr>
              <w:pStyle w:val="ECCTabletext"/>
            </w:pPr>
            <w:r w:rsidRPr="00967AC5">
              <w:t xml:space="preserve">ECC Report 146 </w:t>
            </w:r>
            <w:r w:rsidRPr="00967AC5">
              <w:fldChar w:fldCharType="begin"/>
            </w:r>
            <w:r w:rsidRPr="00967AC5">
              <w:instrText xml:space="preserve"> REF _Ref63337465 \r \h  \* MERGEFORMAT </w:instrText>
            </w:r>
            <w:r w:rsidRPr="00967AC5">
              <w:fldChar w:fldCharType="separate"/>
            </w:r>
            <w:r w:rsidR="00680BB5" w:rsidRPr="00967AC5">
              <w:t>[7]</w:t>
            </w:r>
            <w:r w:rsidRPr="00967AC5">
              <w:fldChar w:fldCharType="end"/>
            </w:r>
          </w:p>
          <w:p w14:paraId="5C90EF2C" w14:textId="26AD7476" w:rsidR="002A4397" w:rsidRPr="00967AC5" w:rsidRDefault="002A4397" w:rsidP="00E863C7">
            <w:pPr>
              <w:pStyle w:val="ECCTabletext"/>
            </w:pPr>
            <w:r w:rsidRPr="00967AC5">
              <w:t xml:space="preserve">ECC Report 229 </w:t>
            </w:r>
            <w:r w:rsidRPr="00967AC5">
              <w:fldChar w:fldCharType="begin"/>
            </w:r>
            <w:r w:rsidRPr="00967AC5">
              <w:instrText xml:space="preserve"> REF _Ref63337460 \r \h  \* MERGEFORMAT </w:instrText>
            </w:r>
            <w:r w:rsidRPr="00967AC5">
              <w:fldChar w:fldCharType="separate"/>
            </w:r>
            <w:r w:rsidR="00680BB5" w:rsidRPr="00967AC5">
              <w:t>[6]</w:t>
            </w:r>
            <w:r w:rsidRPr="00967AC5">
              <w:fldChar w:fldCharType="end"/>
            </w:r>
          </w:p>
          <w:p w14:paraId="3F344C9E" w14:textId="3DEA8941" w:rsidR="002A4397" w:rsidRPr="00967AC5" w:rsidRDefault="002A4397" w:rsidP="00E863C7">
            <w:pPr>
              <w:pStyle w:val="ECCTabletext"/>
            </w:pPr>
            <w:r w:rsidRPr="00967AC5">
              <w:t xml:space="preserve">ECC Report 266 </w:t>
            </w:r>
            <w:r w:rsidRPr="00967AC5">
              <w:fldChar w:fldCharType="begin"/>
            </w:r>
            <w:r w:rsidRPr="00967AC5">
              <w:instrText xml:space="preserve"> REF _Ref63337447 \r \h  \* MERGEFORMAT </w:instrText>
            </w:r>
            <w:r w:rsidRPr="00967AC5">
              <w:fldChar w:fldCharType="separate"/>
            </w:r>
            <w:r w:rsidR="00680BB5" w:rsidRPr="00967AC5">
              <w:t>[5]</w:t>
            </w:r>
            <w:r w:rsidRPr="00967AC5">
              <w:fldChar w:fldCharType="end"/>
            </w:r>
          </w:p>
          <w:p w14:paraId="546C16E0" w14:textId="66A727C1" w:rsidR="002A4397" w:rsidRPr="00967AC5" w:rsidRDefault="002A4397" w:rsidP="00E863C7">
            <w:pPr>
              <w:pStyle w:val="ECCTabletext"/>
            </w:pPr>
            <w:r w:rsidRPr="00967AC5">
              <w:t xml:space="preserve">ECC Report 297 </w:t>
            </w:r>
            <w:r w:rsidRPr="00967AC5">
              <w:fldChar w:fldCharType="begin"/>
            </w:r>
            <w:r w:rsidRPr="00967AC5">
              <w:instrText xml:space="preserve"> REF _Ref63337314 \r \h  \* MERGEFORMAT </w:instrText>
            </w:r>
            <w:r w:rsidRPr="00967AC5">
              <w:fldChar w:fldCharType="separate"/>
            </w:r>
            <w:r w:rsidR="00680BB5" w:rsidRPr="00967AC5">
              <w:t>[3]</w:t>
            </w:r>
            <w:r w:rsidRPr="00967AC5">
              <w:fldChar w:fldCharType="end"/>
            </w:r>
          </w:p>
          <w:p w14:paraId="51B6622C" w14:textId="69A04F43" w:rsidR="002A4397" w:rsidRPr="00967AC5" w:rsidRDefault="002A4397" w:rsidP="00E863C7">
            <w:pPr>
              <w:pStyle w:val="ECCTabletext"/>
            </w:pPr>
            <w:r w:rsidRPr="00967AC5">
              <w:t xml:space="preserve">CEPT Report 40 </w:t>
            </w:r>
            <w:r w:rsidRPr="00967AC5">
              <w:fldChar w:fldCharType="begin"/>
            </w:r>
            <w:r w:rsidRPr="00967AC5">
              <w:instrText xml:space="preserve"> REF _Ref63337334 \r \h  \* MERGEFORMAT </w:instrText>
            </w:r>
            <w:r w:rsidRPr="00967AC5">
              <w:fldChar w:fldCharType="separate"/>
            </w:r>
            <w:r w:rsidR="00680BB5" w:rsidRPr="00967AC5">
              <w:t>[4]</w:t>
            </w:r>
            <w:r w:rsidRPr="00967AC5">
              <w:fldChar w:fldCharType="end"/>
            </w:r>
          </w:p>
          <w:p w14:paraId="5CE100CF" w14:textId="7508ADA3" w:rsidR="002A4397" w:rsidRPr="00967AC5" w:rsidRDefault="002A4397" w:rsidP="00E863C7">
            <w:pPr>
              <w:pStyle w:val="ECCTabletext"/>
            </w:pPr>
            <w:r w:rsidRPr="00967AC5">
              <w:t xml:space="preserve">CEPT Report 41 </w:t>
            </w:r>
            <w:r w:rsidRPr="00967AC5">
              <w:fldChar w:fldCharType="begin"/>
            </w:r>
            <w:r w:rsidRPr="00967AC5">
              <w:instrText xml:space="preserve"> REF _Ref63337493 \r \h  \* MERGEFORMAT </w:instrText>
            </w:r>
            <w:r w:rsidRPr="00967AC5">
              <w:fldChar w:fldCharType="separate"/>
            </w:r>
            <w:r w:rsidR="00680BB5" w:rsidRPr="00967AC5">
              <w:t>[12]</w:t>
            </w:r>
            <w:r w:rsidRPr="00967AC5">
              <w:fldChar w:fldCharType="end"/>
            </w:r>
          </w:p>
          <w:p w14:paraId="3EE8E256" w14:textId="61026FEE" w:rsidR="002A4397" w:rsidRPr="00967AC5" w:rsidRDefault="002A4397" w:rsidP="00E863C7">
            <w:pPr>
              <w:pStyle w:val="ECCTabletext"/>
            </w:pPr>
            <w:r w:rsidRPr="00967AC5">
              <w:t xml:space="preserve">CEPT Report 42 </w:t>
            </w:r>
            <w:r w:rsidRPr="00967AC5">
              <w:fldChar w:fldCharType="begin"/>
            </w:r>
            <w:r w:rsidRPr="00967AC5">
              <w:instrText xml:space="preserve"> REF _Ref63337486 \r \h  \* MERGEFORMAT </w:instrText>
            </w:r>
            <w:r w:rsidRPr="00967AC5">
              <w:fldChar w:fldCharType="separate"/>
            </w:r>
            <w:r w:rsidR="00680BB5" w:rsidRPr="00967AC5">
              <w:t>[11]</w:t>
            </w:r>
            <w:r w:rsidRPr="00967AC5">
              <w:fldChar w:fldCharType="end"/>
            </w:r>
          </w:p>
          <w:p w14:paraId="073FCE9E" w14:textId="7BEC5FF0" w:rsidR="002A4397" w:rsidRPr="00967AC5" w:rsidRDefault="002A4397" w:rsidP="00E863C7">
            <w:pPr>
              <w:pStyle w:val="ECCTabletext"/>
            </w:pPr>
            <w:r w:rsidRPr="00967AC5">
              <w:t xml:space="preserve">CEPT Report 66 </w:t>
            </w:r>
            <w:r w:rsidRPr="00967AC5">
              <w:fldChar w:fldCharType="begin"/>
            </w:r>
            <w:r w:rsidRPr="00967AC5">
              <w:instrText xml:space="preserve"> REF _Ref63337482 \r \h  \* MERGEFORMAT </w:instrText>
            </w:r>
            <w:r w:rsidRPr="00967AC5">
              <w:fldChar w:fldCharType="separate"/>
            </w:r>
            <w:r w:rsidR="00680BB5" w:rsidRPr="00967AC5">
              <w:t>[10]</w:t>
            </w:r>
            <w:r w:rsidRPr="00967AC5">
              <w:fldChar w:fldCharType="end"/>
            </w:r>
          </w:p>
          <w:p w14:paraId="35E640EA" w14:textId="460DB693" w:rsidR="002A4397" w:rsidRPr="00967AC5" w:rsidRDefault="002A4397" w:rsidP="00E863C7">
            <w:pPr>
              <w:pStyle w:val="ECCTabletext"/>
            </w:pPr>
            <w:r w:rsidRPr="00967AC5">
              <w:t xml:space="preserve">CEPT Report 72 </w:t>
            </w:r>
            <w:r w:rsidRPr="00967AC5">
              <w:fldChar w:fldCharType="begin"/>
            </w:r>
            <w:r w:rsidRPr="00967AC5">
              <w:instrText xml:space="preserve"> REF _Ref49781524 \r \h  \* MERGEFORMAT </w:instrText>
            </w:r>
            <w:r w:rsidRPr="00967AC5">
              <w:fldChar w:fldCharType="separate"/>
            </w:r>
            <w:r w:rsidR="00680BB5" w:rsidRPr="00967AC5">
              <w:t>[1]</w:t>
            </w:r>
            <w:r w:rsidRPr="00967AC5">
              <w:fldChar w:fldCharType="end"/>
            </w:r>
          </w:p>
        </w:tc>
        <w:tc>
          <w:tcPr>
            <w:tcW w:w="1115" w:type="pct"/>
            <w:tcBorders>
              <w:top w:val="single" w:sz="4" w:space="0" w:color="FFFFFF" w:themeColor="background1"/>
            </w:tcBorders>
          </w:tcPr>
          <w:p w14:paraId="5D552FB7" w14:textId="1721FB33" w:rsidR="002A4397" w:rsidRPr="00967AC5" w:rsidRDefault="002A4397" w:rsidP="00E863C7">
            <w:pPr>
              <w:pStyle w:val="ECCTabletext"/>
            </w:pPr>
            <w:r w:rsidRPr="00967AC5">
              <w:t xml:space="preserve">ERC/DEC/(94)01 </w:t>
            </w:r>
            <w:r w:rsidRPr="00967AC5">
              <w:fldChar w:fldCharType="begin"/>
            </w:r>
            <w:r w:rsidRPr="00967AC5">
              <w:instrText xml:space="preserve"> REF _Ref63427263 \r \h  \* MERGEFORMAT </w:instrText>
            </w:r>
            <w:r w:rsidRPr="00967AC5">
              <w:fldChar w:fldCharType="separate"/>
            </w:r>
            <w:r w:rsidR="00680BB5" w:rsidRPr="00967AC5">
              <w:t>[13]</w:t>
            </w:r>
            <w:r w:rsidRPr="00967AC5">
              <w:fldChar w:fldCharType="end"/>
            </w:r>
          </w:p>
          <w:p w14:paraId="28147019" w14:textId="0DAE862F" w:rsidR="002A4397" w:rsidRPr="00967AC5" w:rsidRDefault="002A4397" w:rsidP="00E863C7">
            <w:pPr>
              <w:pStyle w:val="ECCTabletext"/>
            </w:pPr>
            <w:r w:rsidRPr="00967AC5">
              <w:t xml:space="preserve">ERC/DEC/(97)02 </w:t>
            </w:r>
            <w:r w:rsidRPr="00967AC5">
              <w:fldChar w:fldCharType="begin"/>
            </w:r>
            <w:r w:rsidRPr="00967AC5">
              <w:instrText xml:space="preserve"> REF _Ref63427268 \r \h  \* MERGEFORMAT </w:instrText>
            </w:r>
            <w:r w:rsidRPr="00967AC5">
              <w:fldChar w:fldCharType="separate"/>
            </w:r>
            <w:r w:rsidR="00680BB5" w:rsidRPr="00967AC5">
              <w:t>[14]</w:t>
            </w:r>
            <w:r w:rsidRPr="00967AC5">
              <w:fldChar w:fldCharType="end"/>
            </w:r>
          </w:p>
          <w:p w14:paraId="331D4926" w14:textId="7B5E6474" w:rsidR="002A4397" w:rsidRPr="00967AC5" w:rsidRDefault="002A4397" w:rsidP="00E863C7">
            <w:pPr>
              <w:pStyle w:val="ECCTabletext"/>
            </w:pPr>
            <w:r w:rsidRPr="00967AC5">
              <w:t xml:space="preserve">ECC/DEC/(06)13 (Amended 8 March 2019) </w:t>
            </w:r>
            <w:r w:rsidRPr="00967AC5">
              <w:fldChar w:fldCharType="begin"/>
            </w:r>
            <w:r w:rsidRPr="00967AC5">
              <w:instrText xml:space="preserve"> REF _Ref63427273 \r \h  \* MERGEFORMAT </w:instrText>
            </w:r>
            <w:r w:rsidRPr="00967AC5">
              <w:fldChar w:fldCharType="separate"/>
            </w:r>
            <w:r w:rsidR="00680BB5" w:rsidRPr="00967AC5">
              <w:t>[15]</w:t>
            </w:r>
            <w:r w:rsidRPr="00967AC5">
              <w:fldChar w:fldCharType="end"/>
            </w:r>
          </w:p>
        </w:tc>
        <w:tc>
          <w:tcPr>
            <w:tcW w:w="1015" w:type="pct"/>
            <w:vMerge w:val="restart"/>
            <w:tcBorders>
              <w:top w:val="single" w:sz="4" w:space="0" w:color="FFFFFF" w:themeColor="background1"/>
            </w:tcBorders>
          </w:tcPr>
          <w:p w14:paraId="058BF706" w14:textId="65AE3C0A" w:rsidR="002A4397" w:rsidRPr="00967AC5" w:rsidRDefault="002A4397" w:rsidP="00E863C7">
            <w:pPr>
              <w:pStyle w:val="ECCTabletext"/>
            </w:pPr>
            <w:r w:rsidRPr="00967AC5">
              <w:t xml:space="preserve">Decision (EU) 2018/637 </w:t>
            </w:r>
            <w:r w:rsidRPr="00967AC5">
              <w:fldChar w:fldCharType="begin"/>
            </w:r>
            <w:r w:rsidRPr="00967AC5">
              <w:instrText xml:space="preserve"> REF _Ref63427421 \r \h  \* MERGEFORMAT </w:instrText>
            </w:r>
            <w:r w:rsidRPr="00967AC5">
              <w:fldChar w:fldCharType="separate"/>
            </w:r>
            <w:r w:rsidR="00680BB5" w:rsidRPr="00967AC5">
              <w:t>[20]</w:t>
            </w:r>
            <w:r w:rsidRPr="00967AC5">
              <w:fldChar w:fldCharType="end"/>
            </w:r>
          </w:p>
        </w:tc>
        <w:tc>
          <w:tcPr>
            <w:tcW w:w="1089" w:type="pct"/>
            <w:vMerge w:val="restart"/>
            <w:tcBorders>
              <w:top w:val="single" w:sz="4" w:space="0" w:color="FFFFFF" w:themeColor="background1"/>
            </w:tcBorders>
          </w:tcPr>
          <w:p w14:paraId="659047D7" w14:textId="4EE06AE4" w:rsidR="002A4397" w:rsidRPr="00967AC5" w:rsidRDefault="002A4397" w:rsidP="00E863C7">
            <w:pPr>
              <w:pStyle w:val="ECCTabletext"/>
            </w:pPr>
            <w:r w:rsidRPr="00967AC5">
              <w:t xml:space="preserve">ECC/REC(05)08 </w:t>
            </w:r>
            <w:r w:rsidRPr="00967AC5">
              <w:fldChar w:fldCharType="begin"/>
            </w:r>
            <w:r w:rsidRPr="00967AC5">
              <w:instrText xml:space="preserve"> REF _Ref63427321 \r \h  \* MERGEFORMAT </w:instrText>
            </w:r>
            <w:r w:rsidRPr="00967AC5">
              <w:fldChar w:fldCharType="separate"/>
            </w:r>
            <w:r w:rsidR="00680BB5" w:rsidRPr="00967AC5">
              <w:t>[17]</w:t>
            </w:r>
            <w:r w:rsidRPr="00967AC5">
              <w:fldChar w:fldCharType="end"/>
            </w:r>
          </w:p>
          <w:p w14:paraId="6B20F8D1" w14:textId="12719E1F" w:rsidR="002A4397" w:rsidRPr="00967AC5" w:rsidRDefault="002A4397" w:rsidP="00E863C7">
            <w:pPr>
              <w:pStyle w:val="ECCTabletext"/>
            </w:pPr>
            <w:r w:rsidRPr="00967AC5">
              <w:t xml:space="preserve">ECC/REC(08)02 </w:t>
            </w:r>
            <w:r w:rsidRPr="00967AC5">
              <w:fldChar w:fldCharType="begin"/>
            </w:r>
            <w:r w:rsidRPr="00967AC5">
              <w:instrText xml:space="preserve"> REF _Ref63427327 \r \h  \* MERGEFORMAT </w:instrText>
            </w:r>
            <w:r w:rsidRPr="00967AC5">
              <w:fldChar w:fldCharType="separate"/>
            </w:r>
            <w:r w:rsidR="00680BB5" w:rsidRPr="00967AC5">
              <w:t>[18]</w:t>
            </w:r>
            <w:r w:rsidRPr="00967AC5">
              <w:fldChar w:fldCharType="end"/>
            </w:r>
          </w:p>
        </w:tc>
      </w:tr>
      <w:tr w:rsidR="002505BC" w:rsidRPr="00967AC5" w14:paraId="4BD198A0" w14:textId="77777777" w:rsidTr="002505BC">
        <w:tc>
          <w:tcPr>
            <w:tcW w:w="592" w:type="pct"/>
          </w:tcPr>
          <w:p w14:paraId="06A0905D" w14:textId="77777777" w:rsidR="002A4397" w:rsidRPr="00967AC5" w:rsidRDefault="002A4397" w:rsidP="00E863C7">
            <w:pPr>
              <w:pStyle w:val="ECCTabletext"/>
            </w:pPr>
            <w:r w:rsidRPr="00967AC5">
              <w:t>1800 MHz</w:t>
            </w:r>
          </w:p>
        </w:tc>
        <w:tc>
          <w:tcPr>
            <w:tcW w:w="1189" w:type="pct"/>
            <w:vMerge/>
          </w:tcPr>
          <w:p w14:paraId="58CEE792" w14:textId="5207E269" w:rsidR="002A4397" w:rsidRPr="00967AC5" w:rsidRDefault="002A4397" w:rsidP="00E863C7">
            <w:pPr>
              <w:pStyle w:val="ECCTabletext"/>
            </w:pPr>
          </w:p>
        </w:tc>
        <w:tc>
          <w:tcPr>
            <w:tcW w:w="1115" w:type="pct"/>
          </w:tcPr>
          <w:p w14:paraId="1496B731" w14:textId="2BCBD751" w:rsidR="002A4397" w:rsidRPr="00967AC5" w:rsidRDefault="002A4397" w:rsidP="00E863C7">
            <w:pPr>
              <w:pStyle w:val="ECCTabletext"/>
            </w:pPr>
            <w:r w:rsidRPr="00967AC5">
              <w:t xml:space="preserve">ERC/DEC/(95)03 </w:t>
            </w:r>
            <w:r w:rsidRPr="00967AC5">
              <w:fldChar w:fldCharType="begin"/>
            </w:r>
            <w:r w:rsidRPr="00967AC5">
              <w:instrText xml:space="preserve"> REF _Ref63427348 \r \h </w:instrText>
            </w:r>
            <w:r w:rsidR="00F1486A" w:rsidRPr="00967AC5">
              <w:instrText xml:space="preserve"> \* MERGEFORMAT </w:instrText>
            </w:r>
            <w:r w:rsidRPr="00967AC5">
              <w:fldChar w:fldCharType="separate"/>
            </w:r>
            <w:r w:rsidR="00680BB5" w:rsidRPr="00967AC5">
              <w:t>[19]</w:t>
            </w:r>
            <w:r w:rsidRPr="00967AC5">
              <w:fldChar w:fldCharType="end"/>
            </w:r>
          </w:p>
          <w:p w14:paraId="74FE7C88" w14:textId="460FFFEA" w:rsidR="002A4397" w:rsidRPr="00967AC5" w:rsidRDefault="002A4397" w:rsidP="00E863C7">
            <w:pPr>
              <w:pStyle w:val="ECCTabletext"/>
            </w:pPr>
            <w:r w:rsidRPr="00967AC5">
              <w:t xml:space="preserve">ECC/DEC/(06)13 (Amended 8 March 2019) </w:t>
            </w:r>
            <w:r w:rsidRPr="00967AC5">
              <w:fldChar w:fldCharType="begin"/>
            </w:r>
            <w:r w:rsidRPr="00967AC5">
              <w:instrText xml:space="preserve"> REF _Ref63427273 \r \h </w:instrText>
            </w:r>
            <w:r w:rsidR="00F1486A" w:rsidRPr="00967AC5">
              <w:instrText xml:space="preserve"> \* MERGEFORMAT </w:instrText>
            </w:r>
            <w:r w:rsidRPr="00967AC5">
              <w:fldChar w:fldCharType="separate"/>
            </w:r>
            <w:r w:rsidR="00680BB5" w:rsidRPr="00967AC5">
              <w:t>[15]</w:t>
            </w:r>
            <w:r w:rsidRPr="00967AC5">
              <w:fldChar w:fldCharType="end"/>
            </w:r>
          </w:p>
        </w:tc>
        <w:tc>
          <w:tcPr>
            <w:tcW w:w="1015" w:type="pct"/>
            <w:vMerge/>
          </w:tcPr>
          <w:p w14:paraId="61FC7447" w14:textId="782912CD" w:rsidR="002A4397" w:rsidRPr="00967AC5" w:rsidRDefault="002A4397" w:rsidP="00E863C7">
            <w:pPr>
              <w:pStyle w:val="ECCTabletext"/>
            </w:pPr>
          </w:p>
        </w:tc>
        <w:tc>
          <w:tcPr>
            <w:tcW w:w="1089" w:type="pct"/>
            <w:vMerge/>
          </w:tcPr>
          <w:p w14:paraId="2D059FD6" w14:textId="73945562" w:rsidR="002A4397" w:rsidRPr="00967AC5" w:rsidRDefault="002A4397" w:rsidP="00E863C7">
            <w:pPr>
              <w:pStyle w:val="ECCTabletext"/>
            </w:pPr>
          </w:p>
        </w:tc>
      </w:tr>
    </w:tbl>
    <w:p w14:paraId="148CC4E2" w14:textId="6B2053F4" w:rsidR="003C351B" w:rsidRPr="00967AC5" w:rsidRDefault="003C351B" w:rsidP="00DD5131">
      <w:pPr>
        <w:pStyle w:val="Heading1"/>
      </w:pPr>
      <w:bookmarkStart w:id="35" w:name="_Toc71037800"/>
      <w:bookmarkEnd w:id="33"/>
      <w:r w:rsidRPr="00967AC5">
        <w:lastRenderedPageBreak/>
        <w:t>R</w:t>
      </w:r>
      <w:r w:rsidR="001A26E1" w:rsidRPr="00967AC5">
        <w:t>ecommended</w:t>
      </w:r>
      <w:r w:rsidRPr="00967AC5">
        <w:t xml:space="preserve"> technology neutral Framework</w:t>
      </w:r>
      <w:bookmarkEnd w:id="10"/>
      <w:bookmarkEnd w:id="11"/>
      <w:bookmarkEnd w:id="12"/>
      <w:r w:rsidRPr="00967AC5">
        <w:t xml:space="preserve"> for 900</w:t>
      </w:r>
      <w:r w:rsidR="00227E53" w:rsidRPr="00967AC5">
        <w:t> </w:t>
      </w:r>
      <w:r w:rsidRPr="00967AC5">
        <w:t>MHz and 1800</w:t>
      </w:r>
      <w:r w:rsidR="00227E53" w:rsidRPr="00967AC5">
        <w:t> </w:t>
      </w:r>
      <w:r w:rsidRPr="00967AC5">
        <w:t>MHz bands</w:t>
      </w:r>
      <w:bookmarkEnd w:id="13"/>
      <w:bookmarkEnd w:id="35"/>
    </w:p>
    <w:p w14:paraId="7769C44D" w14:textId="75056937" w:rsidR="00DE242E" w:rsidRPr="00967AC5" w:rsidRDefault="003C351B" w:rsidP="00E20BAC">
      <w:pPr>
        <w:pStyle w:val="Heading2"/>
        <w:rPr>
          <w:lang w:val="en-GB"/>
        </w:rPr>
      </w:pPr>
      <w:bookmarkStart w:id="36" w:name="_Toc17991200"/>
      <w:bookmarkStart w:id="37" w:name="_Toc18338431"/>
      <w:bookmarkStart w:id="38" w:name="_Toc71037801"/>
      <w:r w:rsidRPr="00967AC5">
        <w:rPr>
          <w:lang w:val="en-GB"/>
        </w:rPr>
        <w:t>Requirement</w:t>
      </w:r>
      <w:r w:rsidR="002E53BF" w:rsidRPr="00967AC5">
        <w:rPr>
          <w:lang w:val="en-GB"/>
        </w:rPr>
        <w:t>s</w:t>
      </w:r>
      <w:r w:rsidRPr="00967AC5">
        <w:rPr>
          <w:lang w:val="en-GB"/>
        </w:rPr>
        <w:t xml:space="preserve"> for updated </w:t>
      </w:r>
      <w:r w:rsidR="003927D2" w:rsidRPr="00967AC5">
        <w:rPr>
          <w:lang w:val="en-GB"/>
        </w:rPr>
        <w:t xml:space="preserve">EC and </w:t>
      </w:r>
      <w:r w:rsidRPr="00967AC5">
        <w:rPr>
          <w:lang w:val="en-GB"/>
        </w:rPr>
        <w:t xml:space="preserve">ECC </w:t>
      </w:r>
      <w:r w:rsidR="00006892" w:rsidRPr="00967AC5">
        <w:rPr>
          <w:lang w:val="en-GB"/>
        </w:rPr>
        <w:t>D</w:t>
      </w:r>
      <w:r w:rsidRPr="00967AC5">
        <w:rPr>
          <w:lang w:val="en-GB"/>
        </w:rPr>
        <w:t>ecision</w:t>
      </w:r>
      <w:bookmarkEnd w:id="36"/>
      <w:bookmarkEnd w:id="37"/>
      <w:r w:rsidR="003927D2" w:rsidRPr="00967AC5">
        <w:rPr>
          <w:lang w:val="en-GB"/>
        </w:rPr>
        <w:t>s</w:t>
      </w:r>
      <w:bookmarkEnd w:id="38"/>
    </w:p>
    <w:p w14:paraId="0F9B6CD7" w14:textId="6D627EC3" w:rsidR="004E6C9F" w:rsidRPr="00967AC5" w:rsidRDefault="004E6C9F" w:rsidP="001360C4">
      <w:pPr>
        <w:pStyle w:val="ECCParagraph"/>
      </w:pPr>
      <w:r w:rsidRPr="00967AC5">
        <w:t>CEPT has analysed how to transpose the current harmonised technical conditions, based on a list of technologies identified by the previous EC regulatory framework: UMTS, WiMAX, NR, NB-IoT and LTE, to a common set of LRTC</w:t>
      </w:r>
      <w:r w:rsidR="00D07C98" w:rsidRPr="00967AC5">
        <w:t>s</w:t>
      </w:r>
      <w:r w:rsidRPr="00967AC5">
        <w:t xml:space="preserve"> which are compliant with the </w:t>
      </w:r>
      <w:proofErr w:type="spellStart"/>
      <w:r w:rsidR="0084591E" w:rsidRPr="00967AC5">
        <w:t>principle</w:t>
      </w:r>
      <w:r w:rsidR="004D20CA" w:rsidRPr="00967AC5">
        <w:t>e</w:t>
      </w:r>
      <w:proofErr w:type="spellEnd"/>
      <w:r w:rsidR="0084591E" w:rsidRPr="00967AC5">
        <w:t xml:space="preserve"> </w:t>
      </w:r>
      <w:r w:rsidRPr="00967AC5">
        <w:t>of technology neutrality.</w:t>
      </w:r>
    </w:p>
    <w:p w14:paraId="58AB32D2" w14:textId="0EE371B0" w:rsidR="004E6C9F" w:rsidRPr="00967AC5" w:rsidRDefault="004E6C9F" w:rsidP="001360C4">
      <w:pPr>
        <w:pStyle w:val="ECCParagraph"/>
      </w:pPr>
      <w:r w:rsidRPr="00967AC5">
        <w:t xml:space="preserve">CEPT confirmed the need to replace the current technical framework based on references to ETSI harmonised standards for both bands in order to implement </w:t>
      </w:r>
      <w:r w:rsidR="00416B2C" w:rsidRPr="00967AC5">
        <w:t>the</w:t>
      </w:r>
      <w:r w:rsidRPr="00967AC5">
        <w:t xml:space="preserve"> LR</w:t>
      </w:r>
      <w:r w:rsidR="00416B2C" w:rsidRPr="00967AC5">
        <w:t>T</w:t>
      </w:r>
      <w:r w:rsidRPr="00967AC5">
        <w:t>C</w:t>
      </w:r>
      <w:r w:rsidR="003D5596" w:rsidRPr="00967AC5">
        <w:t>s</w:t>
      </w:r>
      <w:r w:rsidR="00833E80" w:rsidRPr="00967AC5">
        <w:t xml:space="preserve"> </w:t>
      </w:r>
      <w:r w:rsidRPr="00967AC5">
        <w:t>approach suitable for long term development of various mobile systems (NB/WB, non</w:t>
      </w:r>
      <w:r w:rsidR="0084591E" w:rsidRPr="00967AC5">
        <w:t>-</w:t>
      </w:r>
      <w:r w:rsidRPr="00967AC5">
        <w:t xml:space="preserve">AAS, AAS) in the 900/1800 MHz bands. </w:t>
      </w:r>
    </w:p>
    <w:p w14:paraId="70BCA1E3" w14:textId="21EB1C00" w:rsidR="004E6C9F" w:rsidRPr="00967AC5" w:rsidRDefault="004E6C9F" w:rsidP="001360C4">
      <w:pPr>
        <w:pStyle w:val="ECCParagraph"/>
      </w:pPr>
      <w:r w:rsidRPr="00967AC5">
        <w:t>Furthermore, it should ensure coexistence with the GSM system in the 900/1800 MHz frequency bands, pursuant to the GSM Directive (Council Directive 87/372/EEC as amended by Directive 2009/114/EC of the European Parliament and of the Council</w:t>
      </w:r>
      <w:r w:rsidR="007D3698" w:rsidRPr="00967AC5">
        <w:t xml:space="preserve"> </w:t>
      </w:r>
      <w:r w:rsidR="007D3698" w:rsidRPr="00967AC5">
        <w:fldChar w:fldCharType="begin"/>
      </w:r>
      <w:r w:rsidR="007D3698" w:rsidRPr="00967AC5">
        <w:instrText xml:space="preserve"> REF _Ref63427457 \r \h </w:instrText>
      </w:r>
      <w:r w:rsidR="002505BC" w:rsidRPr="00967AC5">
        <w:instrText xml:space="preserve"> \* MERGEFORMAT </w:instrText>
      </w:r>
      <w:r w:rsidR="007D3698" w:rsidRPr="00967AC5">
        <w:fldChar w:fldCharType="separate"/>
      </w:r>
      <w:r w:rsidR="00680BB5" w:rsidRPr="00967AC5">
        <w:t>[21]</w:t>
      </w:r>
      <w:r w:rsidR="007D3698" w:rsidRPr="00967AC5">
        <w:fldChar w:fldCharType="end"/>
      </w:r>
      <w:r w:rsidRPr="00967AC5">
        <w:t>), while delivering a solution, which ensures availability and efficient use of the spectrum for next-generation terrestrial wireless systems in line with the Union’s spectrum policy priorities.</w:t>
      </w:r>
    </w:p>
    <w:p w14:paraId="127586FC" w14:textId="468D133A" w:rsidR="00604605" w:rsidRPr="00967AC5" w:rsidRDefault="00E21A8D" w:rsidP="00604605">
      <w:pPr>
        <w:pStyle w:val="Heading2"/>
        <w:rPr>
          <w:lang w:val="en-GB"/>
        </w:rPr>
      </w:pPr>
      <w:bookmarkStart w:id="39" w:name="_Ref59205982"/>
      <w:bookmarkStart w:id="40" w:name="_Toc71037802"/>
      <w:r w:rsidRPr="00967AC5">
        <w:rPr>
          <w:lang w:val="en-GB"/>
        </w:rPr>
        <w:t>R</w:t>
      </w:r>
      <w:r w:rsidR="00E76E82" w:rsidRPr="00967AC5">
        <w:rPr>
          <w:lang w:val="en-GB"/>
        </w:rPr>
        <w:t>e</w:t>
      </w:r>
      <w:r w:rsidR="00006892" w:rsidRPr="00967AC5">
        <w:rPr>
          <w:lang w:val="en-GB"/>
        </w:rPr>
        <w:t>commended</w:t>
      </w:r>
      <w:r w:rsidRPr="00967AC5">
        <w:rPr>
          <w:lang w:val="en-GB"/>
        </w:rPr>
        <w:t xml:space="preserve"> </w:t>
      </w:r>
      <w:r w:rsidR="00006892" w:rsidRPr="00967AC5">
        <w:rPr>
          <w:lang w:val="en-GB"/>
        </w:rPr>
        <w:t>approach</w:t>
      </w:r>
      <w:r w:rsidRPr="00967AC5">
        <w:rPr>
          <w:lang w:val="en-GB"/>
        </w:rPr>
        <w:t xml:space="preserve"> </w:t>
      </w:r>
      <w:r w:rsidR="00006892" w:rsidRPr="00967AC5">
        <w:rPr>
          <w:lang w:val="en-GB"/>
        </w:rPr>
        <w:t>on</w:t>
      </w:r>
      <w:r w:rsidRPr="00967AC5">
        <w:rPr>
          <w:lang w:val="en-GB"/>
        </w:rPr>
        <w:t xml:space="preserve"> GSM</w:t>
      </w:r>
      <w:bookmarkEnd w:id="39"/>
      <w:bookmarkEnd w:id="40"/>
    </w:p>
    <w:p w14:paraId="63E90F27" w14:textId="1C9675AB" w:rsidR="00E21A8D" w:rsidRPr="00967AC5" w:rsidRDefault="00E21A8D" w:rsidP="00E21A8D">
      <w:pPr>
        <w:pStyle w:val="ECCParagraph"/>
      </w:pPr>
      <w:r w:rsidRPr="00967AC5">
        <w:t xml:space="preserve">In this </w:t>
      </w:r>
      <w:r w:rsidR="007F6E6B" w:rsidRPr="00967AC5">
        <w:t>R</w:t>
      </w:r>
      <w:r w:rsidRPr="00967AC5">
        <w:t xml:space="preserve">eport, CEPT agreed not to consider GSM when developing the technology neutral LRTC and to recommend keeping the GSM definition (as in current EC decision through reference to GSM ETSI HS listed in </w:t>
      </w:r>
      <w:r w:rsidR="00537A9B" w:rsidRPr="00967AC5">
        <w:t xml:space="preserve">Article </w:t>
      </w:r>
      <w:r w:rsidRPr="00967AC5">
        <w:t xml:space="preserve">2 of </w:t>
      </w:r>
      <w:r w:rsidRPr="00967AC5">
        <w:rPr>
          <w:rFonts w:eastAsia="Calibri"/>
        </w:rPr>
        <w:t xml:space="preserve">EC </w:t>
      </w:r>
      <w:r w:rsidR="00537A9B" w:rsidRPr="00967AC5">
        <w:rPr>
          <w:rFonts w:eastAsia="Calibri"/>
        </w:rPr>
        <w:t xml:space="preserve">Decision </w:t>
      </w:r>
      <w:r w:rsidRPr="00967AC5">
        <w:rPr>
          <w:rFonts w:eastAsia="Calibri"/>
        </w:rPr>
        <w:t>(2009/766/EC)</w:t>
      </w:r>
      <w:r w:rsidR="007D3698" w:rsidRPr="00967AC5">
        <w:rPr>
          <w:rFonts w:eastAsia="Calibri"/>
        </w:rPr>
        <w:t xml:space="preserve"> </w:t>
      </w:r>
      <w:r w:rsidR="00F77ACE">
        <w:fldChar w:fldCharType="begin"/>
      </w:r>
      <w:r w:rsidR="00F77ACE">
        <w:instrText xml:space="preserve"> REF _Ref63337216 \r \h </w:instrText>
      </w:r>
      <w:r w:rsidR="00F77ACE">
        <w:fldChar w:fldCharType="separate"/>
      </w:r>
      <w:r w:rsidR="00F77ACE">
        <w:t>[2]</w:t>
      </w:r>
      <w:r w:rsidR="00F77ACE">
        <w:fldChar w:fldCharType="end"/>
      </w:r>
      <w:r w:rsidR="000B3DEF" w:rsidRPr="00967AC5">
        <w:t>)</w:t>
      </w:r>
      <w:r w:rsidRPr="00967AC5">
        <w:t>.</w:t>
      </w:r>
    </w:p>
    <w:p w14:paraId="6FDCAFA3" w14:textId="7D8ECF9A" w:rsidR="00E21A8D" w:rsidRPr="00967AC5" w:rsidRDefault="00E21A8D" w:rsidP="00F91806">
      <w:pPr>
        <w:pStyle w:val="Heading3"/>
        <w:rPr>
          <w:lang w:val="en-GB"/>
        </w:rPr>
      </w:pPr>
      <w:bookmarkStart w:id="41" w:name="_Toc71037803"/>
      <w:r w:rsidRPr="00967AC5">
        <w:rPr>
          <w:lang w:val="en-GB"/>
        </w:rPr>
        <w:t xml:space="preserve">Why </w:t>
      </w:r>
      <w:r w:rsidR="00DC1AE1" w:rsidRPr="00967AC5">
        <w:rPr>
          <w:lang w:val="en-GB"/>
        </w:rPr>
        <w:t>CEPT agreed to</w:t>
      </w:r>
      <w:r w:rsidRPr="00967AC5">
        <w:rPr>
          <w:lang w:val="en-GB"/>
        </w:rPr>
        <w:t xml:space="preserve"> </w:t>
      </w:r>
      <w:r w:rsidR="00D07C98" w:rsidRPr="00967AC5">
        <w:rPr>
          <w:lang w:val="en-GB"/>
        </w:rPr>
        <w:t>exclude</w:t>
      </w:r>
      <w:r w:rsidRPr="00967AC5">
        <w:rPr>
          <w:lang w:val="en-GB"/>
        </w:rPr>
        <w:t xml:space="preserve"> GSM </w:t>
      </w:r>
      <w:r w:rsidR="00D07C98" w:rsidRPr="00967AC5">
        <w:rPr>
          <w:lang w:val="en-GB"/>
        </w:rPr>
        <w:t xml:space="preserve">from </w:t>
      </w:r>
      <w:r w:rsidRPr="00967AC5">
        <w:rPr>
          <w:lang w:val="en-GB"/>
        </w:rPr>
        <w:t>the technology neutral BEM</w:t>
      </w:r>
      <w:bookmarkEnd w:id="41"/>
    </w:p>
    <w:p w14:paraId="5889D88C" w14:textId="6ABF3769" w:rsidR="00E21A8D" w:rsidRPr="00967AC5" w:rsidRDefault="00E21A8D" w:rsidP="00E21A8D">
      <w:pPr>
        <w:pStyle w:val="ECCParagraph"/>
      </w:pPr>
      <w:r w:rsidRPr="00967AC5">
        <w:t xml:space="preserve">CEPT took into consideration the following technical challenges justifying the </w:t>
      </w:r>
      <w:r w:rsidR="00D07C98" w:rsidRPr="00967AC5">
        <w:t>exclusion</w:t>
      </w:r>
      <w:r w:rsidRPr="00967AC5">
        <w:t xml:space="preserve"> of GSM in the technology neutral LRTCs for the 900 and 1800 MHz bands: </w:t>
      </w:r>
    </w:p>
    <w:p w14:paraId="451C6054" w14:textId="1D819E21" w:rsidR="00E21A8D" w:rsidRPr="00967AC5" w:rsidRDefault="00E21A8D" w:rsidP="002C5B2F">
      <w:pPr>
        <w:pStyle w:val="ECCParagraph"/>
      </w:pPr>
      <w:r w:rsidRPr="00967AC5">
        <w:t>Concerning NB</w:t>
      </w:r>
      <w:r w:rsidR="002C5B2F" w:rsidRPr="00967AC5">
        <w:t xml:space="preserve"> systems</w:t>
      </w:r>
      <w:r w:rsidRPr="00967AC5">
        <w:t xml:space="preserve"> and WB</w:t>
      </w:r>
      <w:r w:rsidR="002C5B2F" w:rsidRPr="00967AC5">
        <w:t xml:space="preserve"> </w:t>
      </w:r>
      <w:r w:rsidRPr="00967AC5">
        <w:t>systems, CEPT agreed to derive the BEM from unwanted emissions based on the following ETSI technical specifications:</w:t>
      </w:r>
    </w:p>
    <w:p w14:paraId="12026F02" w14:textId="126E88E5" w:rsidR="00E21A8D" w:rsidRPr="00967AC5" w:rsidRDefault="00E21A8D" w:rsidP="002C5B2F">
      <w:pPr>
        <w:pStyle w:val="ECCParagraph"/>
        <w:rPr>
          <w:rFonts w:eastAsia="Calibri"/>
          <w:bCs/>
          <w:szCs w:val="20"/>
        </w:rPr>
      </w:pPr>
      <w:r w:rsidRPr="00967AC5">
        <w:rPr>
          <w:rFonts w:eastAsia="Calibri"/>
          <w:b/>
        </w:rPr>
        <w:t xml:space="preserve">For </w:t>
      </w:r>
      <w:r w:rsidR="004F6730" w:rsidRPr="00967AC5">
        <w:rPr>
          <w:rFonts w:eastAsia="Calibri"/>
          <w:b/>
          <w:szCs w:val="20"/>
        </w:rPr>
        <w:t>n</w:t>
      </w:r>
      <w:r w:rsidR="004F6730" w:rsidRPr="00967AC5">
        <w:rPr>
          <w:rFonts w:eastAsia="Calibri"/>
          <w:b/>
        </w:rPr>
        <w:t>on</w:t>
      </w:r>
      <w:r w:rsidRPr="00967AC5">
        <w:rPr>
          <w:rFonts w:eastAsia="Calibri"/>
          <w:b/>
        </w:rPr>
        <w:t>-AAS</w:t>
      </w:r>
      <w:r w:rsidR="003802C5" w:rsidRPr="00967AC5">
        <w:rPr>
          <w:rFonts w:eastAsia="Calibri"/>
          <w:b/>
          <w:szCs w:val="20"/>
        </w:rPr>
        <w:t xml:space="preserve"> BS</w:t>
      </w:r>
      <w:r w:rsidRPr="00967AC5">
        <w:rPr>
          <w:rFonts w:eastAsia="Calibri"/>
        </w:rPr>
        <w:t>:</w:t>
      </w:r>
      <w:r w:rsidRPr="00967AC5">
        <w:rPr>
          <w:rFonts w:eastAsia="Calibri"/>
          <w:bCs/>
          <w:szCs w:val="20"/>
        </w:rPr>
        <w:t xml:space="preserve"> </w:t>
      </w:r>
      <w:r w:rsidR="007A587E" w:rsidRPr="00967AC5">
        <w:rPr>
          <w:rFonts w:eastAsia="Calibri"/>
          <w:bCs/>
          <w:szCs w:val="20"/>
        </w:rPr>
        <w:t xml:space="preserve">ETSI TS </w:t>
      </w:r>
      <w:r w:rsidR="007A587E" w:rsidRPr="00967AC5">
        <w:rPr>
          <w:rFonts w:eastAsia="Calibri"/>
        </w:rPr>
        <w:t xml:space="preserve">137.104 version 15.10.0 </w:t>
      </w:r>
      <w:r w:rsidR="007A587E" w:rsidRPr="00967AC5">
        <w:rPr>
          <w:rFonts w:eastAsia="Calibri"/>
        </w:rPr>
        <w:fldChar w:fldCharType="begin"/>
      </w:r>
      <w:r w:rsidR="007A587E" w:rsidRPr="00967AC5">
        <w:rPr>
          <w:rFonts w:eastAsia="Calibri"/>
        </w:rPr>
        <w:instrText xml:space="preserve"> REF _Ref63427540 \r \h  \* MERGEFORMAT </w:instrText>
      </w:r>
      <w:r w:rsidR="007A587E" w:rsidRPr="00967AC5">
        <w:rPr>
          <w:rFonts w:eastAsia="Calibri"/>
        </w:rPr>
      </w:r>
      <w:r w:rsidR="007A587E" w:rsidRPr="00967AC5">
        <w:rPr>
          <w:rFonts w:eastAsia="Calibri"/>
        </w:rPr>
        <w:fldChar w:fldCharType="separate"/>
      </w:r>
      <w:r w:rsidR="00680BB5" w:rsidRPr="00967AC5">
        <w:rPr>
          <w:rFonts w:eastAsia="Calibri"/>
        </w:rPr>
        <w:t>[22]</w:t>
      </w:r>
      <w:r w:rsidR="007A587E" w:rsidRPr="00967AC5">
        <w:rPr>
          <w:rFonts w:eastAsia="Calibri"/>
        </w:rPr>
        <w:fldChar w:fldCharType="end"/>
      </w:r>
      <w:r w:rsidR="007A587E" w:rsidRPr="00967AC5">
        <w:rPr>
          <w:rFonts w:eastAsia="Calibri"/>
        </w:rPr>
        <w:t xml:space="preserve"> </w:t>
      </w:r>
      <w:r w:rsidR="007A587E" w:rsidRPr="00967AC5">
        <w:rPr>
          <w:rFonts w:eastAsia="Calibri"/>
          <w:bCs/>
          <w:szCs w:val="20"/>
        </w:rPr>
        <w:t>provides the</w:t>
      </w:r>
      <w:r w:rsidR="007A587E" w:rsidRPr="00967AC5">
        <w:rPr>
          <w:rFonts w:eastAsia="Calibri"/>
        </w:rPr>
        <w:t xml:space="preserve"> </w:t>
      </w:r>
      <w:r w:rsidRPr="00967AC5">
        <w:rPr>
          <w:rFonts w:eastAsia="Calibri"/>
        </w:rPr>
        <w:t>core requirements</w:t>
      </w:r>
      <w:r w:rsidR="007A587E" w:rsidRPr="00967AC5">
        <w:rPr>
          <w:rFonts w:eastAsia="Calibri"/>
        </w:rPr>
        <w:t xml:space="preserve"> </w:t>
      </w:r>
      <w:r w:rsidR="007A587E" w:rsidRPr="00967AC5">
        <w:rPr>
          <w:rFonts w:eastAsia="Calibri"/>
          <w:bCs/>
          <w:szCs w:val="20"/>
        </w:rPr>
        <w:t>for</w:t>
      </w:r>
      <w:r w:rsidRPr="00967AC5">
        <w:rPr>
          <w:rFonts w:eastAsia="Calibri"/>
          <w:bCs/>
          <w:szCs w:val="20"/>
        </w:rPr>
        <w:t xml:space="preserve"> MSR non-AAS BS in </w:t>
      </w:r>
      <w:r w:rsidR="0058725D" w:rsidRPr="00967AC5">
        <w:rPr>
          <w:rFonts w:eastAsia="Calibri"/>
          <w:bCs/>
          <w:szCs w:val="20"/>
        </w:rPr>
        <w:t>Table 6.6.2.2-1 and 6.6.2.2-</w:t>
      </w:r>
      <w:r w:rsidR="0058725D" w:rsidRPr="00967AC5">
        <w:rPr>
          <w:rFonts w:eastAsia="Calibri"/>
        </w:rPr>
        <w:t>2</w:t>
      </w:r>
      <w:r w:rsidRPr="00967AC5">
        <w:rPr>
          <w:rFonts w:eastAsia="Calibri"/>
          <w:bCs/>
          <w:szCs w:val="20"/>
        </w:rPr>
        <w:t xml:space="preserve"> which is the same </w:t>
      </w:r>
      <w:r w:rsidR="00216B41" w:rsidRPr="00967AC5">
        <w:rPr>
          <w:rFonts w:eastAsia="Calibri"/>
          <w:bCs/>
          <w:szCs w:val="20"/>
        </w:rPr>
        <w:t xml:space="preserve">as the </w:t>
      </w:r>
      <w:r w:rsidRPr="00967AC5">
        <w:rPr>
          <w:rFonts w:eastAsia="Calibri"/>
          <w:bCs/>
          <w:szCs w:val="20"/>
        </w:rPr>
        <w:t>ETSI core requirements of the standalone NB-IoT system provided in the ETSI TS 136.104 V 15.3.0</w:t>
      </w:r>
      <w:r w:rsidRPr="00967AC5">
        <w:rPr>
          <w:rFonts w:cs="Arial"/>
          <w:szCs w:val="20"/>
        </w:rPr>
        <w:t xml:space="preserve"> </w:t>
      </w:r>
      <w:r w:rsidR="000210A9" w:rsidRPr="00967AC5">
        <w:rPr>
          <w:rFonts w:cs="Arial"/>
          <w:szCs w:val="20"/>
        </w:rPr>
        <w:fldChar w:fldCharType="begin"/>
      </w:r>
      <w:r w:rsidR="000210A9" w:rsidRPr="00967AC5">
        <w:rPr>
          <w:rFonts w:cs="Arial"/>
          <w:szCs w:val="20"/>
        </w:rPr>
        <w:instrText xml:space="preserve"> REF _Ref63427580 \r \h </w:instrText>
      </w:r>
      <w:r w:rsidR="001649EC" w:rsidRPr="00967AC5">
        <w:rPr>
          <w:rFonts w:cs="Arial"/>
          <w:szCs w:val="20"/>
        </w:rPr>
        <w:instrText xml:space="preserve"> \* MERGEFORMAT </w:instrText>
      </w:r>
      <w:r w:rsidR="000210A9" w:rsidRPr="00967AC5">
        <w:rPr>
          <w:rFonts w:cs="Arial"/>
          <w:szCs w:val="20"/>
        </w:rPr>
      </w:r>
      <w:r w:rsidR="000210A9" w:rsidRPr="00967AC5">
        <w:rPr>
          <w:rFonts w:cs="Arial"/>
          <w:szCs w:val="20"/>
        </w:rPr>
        <w:fldChar w:fldCharType="separate"/>
      </w:r>
      <w:r w:rsidR="00680BB5" w:rsidRPr="00967AC5">
        <w:rPr>
          <w:rFonts w:cs="Arial"/>
          <w:szCs w:val="20"/>
        </w:rPr>
        <w:t>[23]</w:t>
      </w:r>
      <w:r w:rsidR="000210A9" w:rsidRPr="00967AC5">
        <w:rPr>
          <w:rFonts w:cs="Arial"/>
          <w:szCs w:val="20"/>
        </w:rPr>
        <w:fldChar w:fldCharType="end"/>
      </w:r>
      <w:r w:rsidR="007D3698" w:rsidRPr="00967AC5">
        <w:rPr>
          <w:rFonts w:cs="Arial"/>
          <w:szCs w:val="20"/>
        </w:rPr>
        <w:t xml:space="preserve"> </w:t>
      </w:r>
      <w:r w:rsidRPr="00967AC5">
        <w:rPr>
          <w:rFonts w:eastAsia="Calibri"/>
          <w:bCs/>
          <w:szCs w:val="20"/>
        </w:rPr>
        <w:t xml:space="preserve">(table 6.6.6.2E-1). CEPT agreed to derive a single BEM </w:t>
      </w:r>
      <w:r w:rsidRPr="00967AC5">
        <w:rPr>
          <w:rFonts w:eastAsia="Calibri"/>
        </w:rPr>
        <w:t xml:space="preserve">for </w:t>
      </w:r>
      <w:r w:rsidR="005823ED" w:rsidRPr="00967AC5">
        <w:rPr>
          <w:rFonts w:eastAsia="Calibri"/>
        </w:rPr>
        <w:t>non</w:t>
      </w:r>
      <w:r w:rsidR="005823ED" w:rsidRPr="00967AC5">
        <w:rPr>
          <w:rFonts w:eastAsia="Calibri"/>
          <w:bCs/>
          <w:szCs w:val="20"/>
        </w:rPr>
        <w:t>-</w:t>
      </w:r>
      <w:r w:rsidRPr="00967AC5">
        <w:rPr>
          <w:rFonts w:eastAsia="Calibri"/>
        </w:rPr>
        <w:t>AAS NB</w:t>
      </w:r>
      <w:r w:rsidR="002C5B2F" w:rsidRPr="00967AC5">
        <w:rPr>
          <w:rFonts w:eastAsia="Calibri"/>
          <w:bCs/>
          <w:szCs w:val="20"/>
        </w:rPr>
        <w:t xml:space="preserve"> systems</w:t>
      </w:r>
      <w:r w:rsidRPr="00967AC5">
        <w:rPr>
          <w:rFonts w:eastAsia="Calibri"/>
        </w:rPr>
        <w:t xml:space="preserve"> and WB</w:t>
      </w:r>
      <w:r w:rsidR="002C5B2F" w:rsidRPr="00967AC5">
        <w:rPr>
          <w:rFonts w:eastAsia="Calibri"/>
        </w:rPr>
        <w:t xml:space="preserve"> </w:t>
      </w:r>
      <w:r w:rsidRPr="00967AC5">
        <w:rPr>
          <w:rFonts w:eastAsia="Calibri"/>
        </w:rPr>
        <w:t>systems on that basis</w:t>
      </w:r>
      <w:r w:rsidR="00E9313D" w:rsidRPr="00967AC5">
        <w:rPr>
          <w:rFonts w:eastAsiaTheme="minorEastAsia"/>
        </w:rPr>
        <w:t xml:space="preserve"> </w:t>
      </w:r>
      <w:r w:rsidRPr="00967AC5">
        <w:rPr>
          <w:rFonts w:eastAsia="Calibri"/>
        </w:rPr>
        <w:t xml:space="preserve">(see also section </w:t>
      </w:r>
      <w:r w:rsidR="006E79C6" w:rsidRPr="00967AC5">
        <w:rPr>
          <w:rFonts w:eastAsia="Calibri"/>
        </w:rPr>
        <w:fldChar w:fldCharType="begin"/>
      </w:r>
      <w:r w:rsidR="006E79C6" w:rsidRPr="00967AC5">
        <w:rPr>
          <w:rFonts w:eastAsia="Calibri"/>
        </w:rPr>
        <w:instrText xml:space="preserve"> REF _Ref52282185 \r \h </w:instrText>
      </w:r>
      <w:r w:rsidR="001C7C80" w:rsidRPr="00967AC5">
        <w:rPr>
          <w:rFonts w:eastAsia="Calibri"/>
        </w:rPr>
        <w:instrText xml:space="preserve"> \* MERGEFORMAT </w:instrText>
      </w:r>
      <w:r w:rsidR="006E79C6" w:rsidRPr="00967AC5">
        <w:rPr>
          <w:rFonts w:eastAsia="Calibri"/>
        </w:rPr>
      </w:r>
      <w:r w:rsidR="006E79C6" w:rsidRPr="00967AC5">
        <w:rPr>
          <w:rFonts w:eastAsia="Calibri"/>
        </w:rPr>
        <w:fldChar w:fldCharType="separate"/>
      </w:r>
      <w:r w:rsidR="00680BB5" w:rsidRPr="00967AC5">
        <w:rPr>
          <w:rFonts w:eastAsia="Calibri"/>
        </w:rPr>
        <w:t>3.4</w:t>
      </w:r>
      <w:r w:rsidR="006E79C6" w:rsidRPr="00967AC5">
        <w:rPr>
          <w:rFonts w:eastAsia="Calibri"/>
        </w:rPr>
        <w:fldChar w:fldCharType="end"/>
      </w:r>
      <w:r w:rsidRPr="00967AC5">
        <w:rPr>
          <w:rFonts w:eastAsia="Calibri"/>
        </w:rPr>
        <w:t xml:space="preserve"> for more details/explanations</w:t>
      </w:r>
      <w:r w:rsidRPr="00967AC5">
        <w:rPr>
          <w:rFonts w:eastAsia="Calibri"/>
          <w:bCs/>
          <w:szCs w:val="20"/>
        </w:rPr>
        <w:t>)</w:t>
      </w:r>
      <w:r w:rsidR="00416B2C" w:rsidRPr="00967AC5">
        <w:rPr>
          <w:rFonts w:eastAsia="Calibri"/>
          <w:bCs/>
          <w:szCs w:val="20"/>
        </w:rPr>
        <w:t>.</w:t>
      </w:r>
    </w:p>
    <w:p w14:paraId="0269511C" w14:textId="05F1BA60" w:rsidR="00E21A8D" w:rsidRPr="00967AC5" w:rsidRDefault="00E21A8D" w:rsidP="00A236C4">
      <w:pPr>
        <w:pStyle w:val="ECCParagraph"/>
      </w:pPr>
      <w:r w:rsidRPr="00967AC5">
        <w:rPr>
          <w:b/>
        </w:rPr>
        <w:t>Note:</w:t>
      </w:r>
      <w:r w:rsidRPr="00967AC5">
        <w:t xml:space="preserve"> For the MSR non-AAS BS the unwanted emissions are defined by combining two tables, with the second table giving a relaxation for cases when a GSM/EDGE, </w:t>
      </w:r>
      <w:r w:rsidR="00680BB5" w:rsidRPr="00967AC5">
        <w:t>standalone</w:t>
      </w:r>
      <w:r w:rsidR="00A236C4" w:rsidRPr="00967AC5">
        <w:t xml:space="preserve"> </w:t>
      </w:r>
      <w:r w:rsidRPr="00967AC5">
        <w:t>NB-IoT</w:t>
      </w:r>
      <w:r w:rsidR="00A236C4" w:rsidRPr="00967AC5">
        <w:t xml:space="preserve"> </w:t>
      </w:r>
      <w:r w:rsidRPr="00967AC5">
        <w:t xml:space="preserve">or </w:t>
      </w:r>
      <w:r w:rsidR="00611C1D" w:rsidRPr="00967AC5">
        <w:t>LTE</w:t>
      </w:r>
      <w:r w:rsidRPr="00967AC5">
        <w:t xml:space="preserve"> 1.4 MHz or 3 MHz carrier is adjacent to the BS RF bandwidth edge</w:t>
      </w:r>
      <w:r w:rsidR="001C5C09" w:rsidRPr="00967AC5">
        <w:t xml:space="preserve"> (F</w:t>
      </w:r>
      <w:r w:rsidR="001C5C09" w:rsidRPr="00967AC5">
        <w:rPr>
          <w:vertAlign w:val="subscript"/>
        </w:rPr>
        <w:t>BW RF, high</w:t>
      </w:r>
      <w:r w:rsidR="001C5C09" w:rsidRPr="00967AC5">
        <w:t xml:space="preserve"> and F</w:t>
      </w:r>
      <w:r w:rsidR="001C5C09" w:rsidRPr="00967AC5">
        <w:rPr>
          <w:vertAlign w:val="subscript"/>
        </w:rPr>
        <w:t>BW RF, low</w:t>
      </w:r>
      <w:r w:rsidR="001C5C09" w:rsidRPr="00967AC5">
        <w:t xml:space="preserve"> in </w:t>
      </w:r>
      <w:r w:rsidR="001C5C09" w:rsidRPr="00967AC5">
        <w:fldChar w:fldCharType="begin"/>
      </w:r>
      <w:r w:rsidR="001C5C09" w:rsidRPr="00967AC5">
        <w:instrText xml:space="preserve"> REF _Ref53761561 \h  \* MERGEFORMAT </w:instrText>
      </w:r>
      <w:r w:rsidR="001C5C09" w:rsidRPr="00967AC5">
        <w:fldChar w:fldCharType="separate"/>
      </w:r>
      <w:r w:rsidR="00680BB5" w:rsidRPr="00967AC5">
        <w:t>Figure 3</w:t>
      </w:r>
      <w:r w:rsidR="001C5C09" w:rsidRPr="00967AC5">
        <w:fldChar w:fldCharType="end"/>
      </w:r>
      <w:r w:rsidR="001C5C09" w:rsidRPr="00967AC5">
        <w:t>)</w:t>
      </w:r>
      <w:r w:rsidRPr="00967AC5">
        <w:t xml:space="preserve">. On the other hand, the </w:t>
      </w:r>
      <w:r w:rsidR="00680BB5" w:rsidRPr="00967AC5">
        <w:t>standalone</w:t>
      </w:r>
      <w:r w:rsidR="00A236C4" w:rsidRPr="00967AC5">
        <w:t xml:space="preserve"> </w:t>
      </w:r>
      <w:r w:rsidRPr="00967AC5">
        <w:t>NB-IoT</w:t>
      </w:r>
      <w:r w:rsidR="005B423A" w:rsidRPr="00967AC5">
        <w:t xml:space="preserve"> </w:t>
      </w:r>
      <w:r w:rsidRPr="00967AC5">
        <w:t>BS unwanted emissions are defined in a single table.</w:t>
      </w:r>
    </w:p>
    <w:p w14:paraId="1FA50E6C" w14:textId="1A26FC9C" w:rsidR="001C5C09" w:rsidRPr="00967AC5" w:rsidRDefault="001C5C09" w:rsidP="00E21A8D">
      <w:pPr>
        <w:pStyle w:val="ECCParagraph"/>
      </w:pPr>
      <w:r w:rsidRPr="00967AC5">
        <w:rPr>
          <w:noProof/>
        </w:rPr>
        <w:lastRenderedPageBreak/>
        <w:drawing>
          <wp:inline distT="0" distB="0" distL="0" distR="0" wp14:anchorId="64B5A910" wp14:editId="202F6C76">
            <wp:extent cx="6120765" cy="3440430"/>
            <wp:effectExtent l="0" t="0" r="0"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pic:nvPicPr>
                  <pic:blipFill>
                    <a:blip r:embed="rId19">
                      <a:extLst>
                        <a:ext uri="{28A0092B-C50C-407E-A947-70E740481C1C}">
                          <a14:useLocalDpi xmlns:a14="http://schemas.microsoft.com/office/drawing/2010/main" val="0"/>
                        </a:ext>
                      </a:extLst>
                    </a:blip>
                    <a:stretch>
                      <a:fillRect/>
                    </a:stretch>
                  </pic:blipFill>
                  <pic:spPr>
                    <a:xfrm>
                      <a:off x="0" y="0"/>
                      <a:ext cx="6120765" cy="3440430"/>
                    </a:xfrm>
                    <a:prstGeom prst="rect">
                      <a:avLst/>
                    </a:prstGeom>
                  </pic:spPr>
                </pic:pic>
              </a:graphicData>
            </a:graphic>
          </wp:inline>
        </w:drawing>
      </w:r>
    </w:p>
    <w:p w14:paraId="121AD948" w14:textId="37CCF51F" w:rsidR="00911BAB" w:rsidRPr="00967AC5" w:rsidRDefault="001C5C09" w:rsidP="001C5C09">
      <w:pPr>
        <w:pStyle w:val="Caption"/>
        <w:rPr>
          <w:lang w:val="en-GB"/>
        </w:rPr>
      </w:pPr>
      <w:bookmarkStart w:id="42" w:name="_Ref53761561"/>
      <w:r w:rsidRPr="00967AC5">
        <w:rPr>
          <w:lang w:val="en-GB"/>
        </w:rPr>
        <w:t xml:space="preserve">Figure </w:t>
      </w:r>
      <w:r w:rsidRPr="00967AC5">
        <w:rPr>
          <w:lang w:val="en-GB"/>
        </w:rPr>
        <w:fldChar w:fldCharType="begin"/>
      </w:r>
      <w:r w:rsidRPr="00967AC5">
        <w:rPr>
          <w:lang w:val="en-GB"/>
        </w:rPr>
        <w:instrText xml:space="preserve"> SEQ Figure \* ARABIC </w:instrText>
      </w:r>
      <w:r w:rsidRPr="00967AC5">
        <w:rPr>
          <w:lang w:val="en-GB"/>
        </w:rPr>
        <w:fldChar w:fldCharType="separate"/>
      </w:r>
      <w:r w:rsidR="00680BB5" w:rsidRPr="00967AC5">
        <w:rPr>
          <w:noProof/>
          <w:lang w:val="en-GB"/>
        </w:rPr>
        <w:t>3</w:t>
      </w:r>
      <w:r w:rsidRPr="00967AC5">
        <w:rPr>
          <w:lang w:val="en-GB"/>
        </w:rPr>
        <w:fldChar w:fldCharType="end"/>
      </w:r>
      <w:bookmarkEnd w:id="42"/>
      <w:r w:rsidR="00911BAB" w:rsidRPr="00967AC5">
        <w:rPr>
          <w:lang w:val="en-GB"/>
        </w:rPr>
        <w:t>:</w:t>
      </w:r>
      <w:r w:rsidRPr="00967AC5">
        <w:rPr>
          <w:lang w:val="en-GB"/>
        </w:rPr>
        <w:t xml:space="preserve"> Illustration of multiple carriers/radio access technologies (RATs) for Multi-Standard Radio (MSR) Base Stations (BS)</w:t>
      </w:r>
    </w:p>
    <w:p w14:paraId="66EEC24B" w14:textId="481D5AFE" w:rsidR="001C5C09" w:rsidRPr="00967AC5" w:rsidRDefault="00911BAB" w:rsidP="001C5C09">
      <w:pPr>
        <w:pStyle w:val="Caption"/>
        <w:rPr>
          <w:lang w:val="en-GB"/>
        </w:rPr>
      </w:pPr>
      <w:r w:rsidRPr="00967AC5">
        <w:rPr>
          <w:lang w:val="en-GB"/>
        </w:rPr>
        <w:t>(</w:t>
      </w:r>
      <w:r w:rsidR="001C5C09" w:rsidRPr="00967AC5">
        <w:rPr>
          <w:lang w:val="en-GB"/>
        </w:rPr>
        <w:t>Source: ETSI TS 137.104 version 15.10.0</w:t>
      </w:r>
      <w:r w:rsidR="007D3698" w:rsidRPr="00967AC5">
        <w:rPr>
          <w:lang w:val="en-GB"/>
        </w:rPr>
        <w:t xml:space="preserve"> </w:t>
      </w:r>
      <w:r w:rsidR="006D5C1A" w:rsidRPr="00967AC5">
        <w:rPr>
          <w:lang w:val="en-GB"/>
        </w:rPr>
        <w:fldChar w:fldCharType="begin"/>
      </w:r>
      <w:r w:rsidR="006D5C1A" w:rsidRPr="00967AC5">
        <w:rPr>
          <w:lang w:val="en-GB"/>
        </w:rPr>
        <w:instrText xml:space="preserve"> REF _Ref63427540 \r \h </w:instrText>
      </w:r>
      <w:r w:rsidR="002505BC" w:rsidRPr="00967AC5">
        <w:rPr>
          <w:lang w:val="en-GB"/>
        </w:rPr>
        <w:instrText xml:space="preserve"> \* MERGEFORMAT </w:instrText>
      </w:r>
      <w:r w:rsidR="006D5C1A" w:rsidRPr="00967AC5">
        <w:rPr>
          <w:lang w:val="en-GB"/>
        </w:rPr>
      </w:r>
      <w:r w:rsidR="006D5C1A" w:rsidRPr="00967AC5">
        <w:rPr>
          <w:lang w:val="en-GB"/>
        </w:rPr>
        <w:fldChar w:fldCharType="separate"/>
      </w:r>
      <w:r w:rsidR="00680BB5" w:rsidRPr="00967AC5">
        <w:rPr>
          <w:lang w:val="en-GB"/>
        </w:rPr>
        <w:t>[22]</w:t>
      </w:r>
      <w:r w:rsidR="006D5C1A" w:rsidRPr="00967AC5">
        <w:rPr>
          <w:lang w:val="en-GB"/>
        </w:rPr>
        <w:fldChar w:fldCharType="end"/>
      </w:r>
      <w:r w:rsidRPr="00967AC5">
        <w:rPr>
          <w:lang w:val="en-GB"/>
        </w:rPr>
        <w:t>)</w:t>
      </w:r>
    </w:p>
    <w:p w14:paraId="050CAFC5" w14:textId="3B2C840E" w:rsidR="00E21A8D" w:rsidRPr="00967AC5" w:rsidRDefault="00E21A8D" w:rsidP="000F2293">
      <w:pPr>
        <w:pStyle w:val="ECCParagraph"/>
        <w:rPr>
          <w:rFonts w:eastAsiaTheme="minorEastAsia"/>
          <w:b/>
          <w:bCs/>
        </w:rPr>
      </w:pPr>
      <w:r w:rsidRPr="00967AC5">
        <w:rPr>
          <w:rFonts w:eastAsia="Calibri"/>
          <w:b/>
        </w:rPr>
        <w:t>For AAS</w:t>
      </w:r>
      <w:r w:rsidR="003802C5" w:rsidRPr="00967AC5">
        <w:rPr>
          <w:rFonts w:eastAsia="Calibri"/>
          <w:b/>
        </w:rPr>
        <w:t xml:space="preserve"> BS</w:t>
      </w:r>
      <w:r w:rsidRPr="00967AC5">
        <w:rPr>
          <w:rFonts w:eastAsia="Calibri"/>
        </w:rPr>
        <w:t>:</w:t>
      </w:r>
      <w:r w:rsidRPr="00967AC5">
        <w:rPr>
          <w:rFonts w:eastAsiaTheme="minorEastAsia"/>
          <w:bCs/>
        </w:rPr>
        <w:t xml:space="preserve"> </w:t>
      </w:r>
      <w:r w:rsidR="005A28ED" w:rsidRPr="00967AC5">
        <w:rPr>
          <w:rFonts w:eastAsiaTheme="minorEastAsia"/>
          <w:bCs/>
        </w:rPr>
        <w:t xml:space="preserve">ETSI </w:t>
      </w:r>
      <w:r w:rsidR="005A28ED" w:rsidRPr="00967AC5">
        <w:rPr>
          <w:rFonts w:eastAsiaTheme="minorEastAsia"/>
        </w:rPr>
        <w:t xml:space="preserve">TS </w:t>
      </w:r>
      <w:r w:rsidR="005A28ED" w:rsidRPr="00967AC5">
        <w:rPr>
          <w:rFonts w:eastAsiaTheme="minorEastAsia"/>
          <w:bCs/>
        </w:rPr>
        <w:t xml:space="preserve">137.105 version 15.8.0 </w:t>
      </w:r>
      <w:r w:rsidR="005A28ED" w:rsidRPr="00967AC5">
        <w:rPr>
          <w:rFonts w:eastAsiaTheme="minorEastAsia"/>
          <w:bCs/>
        </w:rPr>
        <w:fldChar w:fldCharType="begin"/>
      </w:r>
      <w:r w:rsidR="005A28ED" w:rsidRPr="00967AC5">
        <w:rPr>
          <w:rFonts w:eastAsiaTheme="minorEastAsia"/>
          <w:bCs/>
        </w:rPr>
        <w:instrText xml:space="preserve"> REF _Ref63427627 \r \h </w:instrText>
      </w:r>
      <w:r w:rsidR="002C5B2F" w:rsidRPr="00967AC5">
        <w:rPr>
          <w:rFonts w:eastAsiaTheme="minorEastAsia"/>
          <w:bCs/>
        </w:rPr>
        <w:instrText xml:space="preserve"> \* MERGEFORMAT </w:instrText>
      </w:r>
      <w:r w:rsidR="005A28ED" w:rsidRPr="00967AC5">
        <w:rPr>
          <w:rFonts w:eastAsiaTheme="minorEastAsia"/>
          <w:bCs/>
        </w:rPr>
      </w:r>
      <w:r w:rsidR="005A28ED" w:rsidRPr="00967AC5">
        <w:rPr>
          <w:rFonts w:eastAsiaTheme="minorEastAsia"/>
          <w:bCs/>
        </w:rPr>
        <w:fldChar w:fldCharType="separate"/>
      </w:r>
      <w:r w:rsidR="00680BB5" w:rsidRPr="00967AC5">
        <w:rPr>
          <w:rFonts w:eastAsiaTheme="minorEastAsia"/>
          <w:bCs/>
        </w:rPr>
        <w:t>[24]</w:t>
      </w:r>
      <w:r w:rsidR="005A28ED" w:rsidRPr="00967AC5">
        <w:rPr>
          <w:rFonts w:eastAsiaTheme="minorEastAsia"/>
          <w:bCs/>
        </w:rPr>
        <w:fldChar w:fldCharType="end"/>
      </w:r>
      <w:r w:rsidR="005A28ED" w:rsidRPr="00967AC5">
        <w:rPr>
          <w:rFonts w:eastAsiaTheme="minorEastAsia"/>
          <w:bCs/>
        </w:rPr>
        <w:t xml:space="preserve"> provides the </w:t>
      </w:r>
      <w:r w:rsidRPr="00967AC5">
        <w:rPr>
          <w:rFonts w:eastAsiaTheme="minorEastAsia"/>
        </w:rPr>
        <w:t>core requirements</w:t>
      </w:r>
      <w:r w:rsidR="005A28ED" w:rsidRPr="00967AC5">
        <w:rPr>
          <w:rFonts w:eastAsiaTheme="minorEastAsia"/>
          <w:bCs/>
        </w:rPr>
        <w:t xml:space="preserve"> for</w:t>
      </w:r>
      <w:r w:rsidRPr="00967AC5">
        <w:rPr>
          <w:rFonts w:eastAsiaTheme="minorEastAsia"/>
        </w:rPr>
        <w:t xml:space="preserve"> MSR AAS BS in Table 9.7.5.2.3-1 and 9.7.5.2.3-2</w:t>
      </w:r>
      <w:r w:rsidRPr="00967AC5">
        <w:rPr>
          <w:rFonts w:eastAsiaTheme="minorEastAsia"/>
          <w:bCs/>
        </w:rPr>
        <w:t>.</w:t>
      </w:r>
      <w:r w:rsidRPr="00967AC5">
        <w:t xml:space="preserve"> </w:t>
      </w:r>
      <w:r w:rsidRPr="00967AC5">
        <w:rPr>
          <w:rFonts w:eastAsiaTheme="minorEastAsia"/>
          <w:bCs/>
        </w:rPr>
        <w:t>CEPT agreed to derive a single BEM for AAS WB systems on that basis</w:t>
      </w:r>
      <w:r w:rsidR="00E9313D" w:rsidRPr="00967AC5">
        <w:rPr>
          <w:rFonts w:eastAsiaTheme="minorEastAsia"/>
          <w:bCs/>
        </w:rPr>
        <w:t xml:space="preserve"> </w:t>
      </w:r>
      <w:r w:rsidRPr="00967AC5">
        <w:rPr>
          <w:rFonts w:eastAsia="Calibri"/>
          <w:bCs/>
        </w:rPr>
        <w:t xml:space="preserve">(see also section </w:t>
      </w:r>
      <w:r w:rsidR="006E79C6" w:rsidRPr="00967AC5">
        <w:rPr>
          <w:rFonts w:eastAsia="Calibri"/>
          <w:bCs/>
        </w:rPr>
        <w:fldChar w:fldCharType="begin"/>
      </w:r>
      <w:r w:rsidR="006E79C6" w:rsidRPr="00967AC5">
        <w:rPr>
          <w:rFonts w:eastAsia="Calibri"/>
          <w:bCs/>
        </w:rPr>
        <w:instrText xml:space="preserve"> REF _Ref52282185 \r \h </w:instrText>
      </w:r>
      <w:r w:rsidR="001C7C80" w:rsidRPr="00967AC5">
        <w:rPr>
          <w:rFonts w:eastAsia="Calibri"/>
          <w:bCs/>
        </w:rPr>
        <w:instrText xml:space="preserve"> \* MERGEFORMAT </w:instrText>
      </w:r>
      <w:r w:rsidR="006E79C6" w:rsidRPr="00967AC5">
        <w:rPr>
          <w:rFonts w:eastAsia="Calibri"/>
          <w:bCs/>
        </w:rPr>
      </w:r>
      <w:r w:rsidR="006E79C6" w:rsidRPr="00967AC5">
        <w:rPr>
          <w:rFonts w:eastAsia="Calibri"/>
          <w:bCs/>
        </w:rPr>
        <w:fldChar w:fldCharType="separate"/>
      </w:r>
      <w:r w:rsidR="00680BB5" w:rsidRPr="00967AC5">
        <w:rPr>
          <w:rFonts w:eastAsia="Calibri"/>
          <w:bCs/>
        </w:rPr>
        <w:t>3.4</w:t>
      </w:r>
      <w:r w:rsidR="006E79C6" w:rsidRPr="00967AC5">
        <w:rPr>
          <w:rFonts w:eastAsia="Calibri"/>
          <w:bCs/>
        </w:rPr>
        <w:fldChar w:fldCharType="end"/>
      </w:r>
      <w:r w:rsidRPr="00967AC5">
        <w:rPr>
          <w:rFonts w:eastAsia="Calibri"/>
          <w:bCs/>
        </w:rPr>
        <w:t xml:space="preserve"> for more details/explanation</w:t>
      </w:r>
      <w:r w:rsidRPr="00967AC5">
        <w:rPr>
          <w:rFonts w:eastAsia="Calibri"/>
        </w:rPr>
        <w:t>s</w:t>
      </w:r>
      <w:r w:rsidRPr="00967AC5">
        <w:rPr>
          <w:rFonts w:eastAsia="Calibri"/>
          <w:bCs/>
        </w:rPr>
        <w:t>)</w:t>
      </w:r>
      <w:r w:rsidR="00D56FAB" w:rsidRPr="00967AC5">
        <w:rPr>
          <w:rFonts w:eastAsia="Calibri"/>
          <w:bCs/>
        </w:rPr>
        <w:t>.</w:t>
      </w:r>
    </w:p>
    <w:p w14:paraId="210F32F2" w14:textId="752D6288" w:rsidR="00585D45" w:rsidRPr="00967AC5" w:rsidRDefault="00E21A8D" w:rsidP="001360C4">
      <w:pPr>
        <w:pStyle w:val="ECCParagraph"/>
      </w:pPr>
      <w:r w:rsidRPr="00967AC5">
        <w:t>This results in</w:t>
      </w:r>
      <w:r w:rsidR="00585D45" w:rsidRPr="00967AC5">
        <w:t>:</w:t>
      </w:r>
    </w:p>
    <w:p w14:paraId="53FB9461" w14:textId="72AE66A1" w:rsidR="00585D45" w:rsidRPr="00967AC5" w:rsidRDefault="00E21A8D">
      <w:pPr>
        <w:pStyle w:val="ECCBulletsLv1"/>
      </w:pPr>
      <w:r w:rsidRPr="00967AC5">
        <w:t>a single BEM for</w:t>
      </w:r>
      <w:r w:rsidR="003B722E" w:rsidRPr="00967AC5">
        <w:t xml:space="preserve"> </w:t>
      </w:r>
      <w:r w:rsidR="00585D45" w:rsidRPr="00967AC5">
        <w:t>non-AAS</w:t>
      </w:r>
      <w:r w:rsidRPr="00967AC5">
        <w:t xml:space="preserve"> NB</w:t>
      </w:r>
      <w:r w:rsidR="00B36DDB" w:rsidRPr="00967AC5">
        <w:t xml:space="preserve"> systems</w:t>
      </w:r>
      <w:r w:rsidRPr="00967AC5">
        <w:t xml:space="preserve"> and WB</w:t>
      </w:r>
      <w:r w:rsidR="00BA047D">
        <w:t xml:space="preserve"> </w:t>
      </w:r>
      <w:r w:rsidRPr="00967AC5">
        <w:t>systems</w:t>
      </w:r>
      <w:r w:rsidR="00224D23" w:rsidRPr="00967AC5">
        <w:t xml:space="preserve"> for</w:t>
      </w:r>
      <w:r w:rsidRPr="00967AC5">
        <w:t xml:space="preserve"> </w:t>
      </w:r>
      <w:r w:rsidR="00585D45" w:rsidRPr="00967AC5">
        <w:t xml:space="preserve">which </w:t>
      </w:r>
      <w:r w:rsidR="001061B3" w:rsidRPr="00967AC5">
        <w:t xml:space="preserve">the </w:t>
      </w:r>
      <w:r w:rsidR="00585D45" w:rsidRPr="00967AC5">
        <w:t xml:space="preserve">limits </w:t>
      </w:r>
      <w:r w:rsidR="00441A8F" w:rsidRPr="00967AC5">
        <w:t>are the same as the out-of-block</w:t>
      </w:r>
      <w:r w:rsidRPr="00967AC5">
        <w:t xml:space="preserve"> </w:t>
      </w:r>
      <w:r w:rsidR="00441A8F" w:rsidRPr="00967AC5">
        <w:t xml:space="preserve">limits of </w:t>
      </w:r>
      <w:r w:rsidR="00680BB5" w:rsidRPr="00967AC5">
        <w:t>standalone</w:t>
      </w:r>
      <w:r w:rsidR="00B36DDB" w:rsidRPr="00967AC5">
        <w:t xml:space="preserve"> </w:t>
      </w:r>
      <w:r w:rsidR="00D07C98" w:rsidRPr="00967AC5">
        <w:t>NB-IoT</w:t>
      </w:r>
      <w:r w:rsidR="00F70997" w:rsidRPr="00967AC5">
        <w:t>;</w:t>
      </w:r>
      <w:r w:rsidRPr="00967AC5">
        <w:t xml:space="preserve"> and </w:t>
      </w:r>
    </w:p>
    <w:p w14:paraId="2326121E" w14:textId="68403FAA" w:rsidR="00E21A8D" w:rsidRPr="00967AC5" w:rsidRDefault="00E21A8D" w:rsidP="001360C4">
      <w:pPr>
        <w:pStyle w:val="ECCBulletsLv1"/>
      </w:pPr>
      <w:r w:rsidRPr="00967AC5">
        <w:t xml:space="preserve">a </w:t>
      </w:r>
      <w:r w:rsidR="00441A8F" w:rsidRPr="00967AC5">
        <w:t>single</w:t>
      </w:r>
      <w:r w:rsidR="00585D45" w:rsidRPr="00967AC5">
        <w:t xml:space="preserve"> </w:t>
      </w:r>
      <w:r w:rsidRPr="00967AC5">
        <w:t xml:space="preserve">BEM for AAS WB systems </w:t>
      </w:r>
      <w:r w:rsidR="00161B42" w:rsidRPr="00967AC5">
        <w:t xml:space="preserve">for </w:t>
      </w:r>
      <w:r w:rsidR="00585D45" w:rsidRPr="00967AC5">
        <w:t xml:space="preserve">which </w:t>
      </w:r>
      <w:r w:rsidR="00161B42" w:rsidRPr="00967AC5">
        <w:t xml:space="preserve">the </w:t>
      </w:r>
      <w:r w:rsidR="00585D45" w:rsidRPr="00967AC5">
        <w:t xml:space="preserve">limits are </w:t>
      </w:r>
      <w:r w:rsidR="00441A8F" w:rsidRPr="00967AC5">
        <w:t xml:space="preserve">the same </w:t>
      </w:r>
      <w:r w:rsidR="00585D45" w:rsidRPr="00967AC5">
        <w:t>as</w:t>
      </w:r>
      <w:r w:rsidRPr="00967AC5">
        <w:t xml:space="preserve"> </w:t>
      </w:r>
      <w:r w:rsidR="00585D45" w:rsidRPr="00967AC5">
        <w:t xml:space="preserve">the </w:t>
      </w:r>
      <w:r w:rsidR="00441A8F" w:rsidRPr="00967AC5">
        <w:t>out-of-block</w:t>
      </w:r>
      <w:r w:rsidRPr="00967AC5">
        <w:t xml:space="preserve"> </w:t>
      </w:r>
      <w:r w:rsidR="00441A8F" w:rsidRPr="00967AC5">
        <w:t xml:space="preserve">limits </w:t>
      </w:r>
      <w:r w:rsidR="00585D45" w:rsidRPr="00967AC5">
        <w:t xml:space="preserve">of </w:t>
      </w:r>
      <w:r w:rsidRPr="00967AC5">
        <w:t>AAS LTE</w:t>
      </w:r>
      <w:r w:rsidR="00585D45" w:rsidRPr="00967AC5">
        <w:t>.</w:t>
      </w:r>
      <w:r w:rsidRPr="00967AC5">
        <w:t xml:space="preserve"> </w:t>
      </w:r>
    </w:p>
    <w:p w14:paraId="23F99240" w14:textId="7FA7B736" w:rsidR="00E21A8D" w:rsidRPr="00967AC5" w:rsidRDefault="00E21A8D" w:rsidP="00B36DDB">
      <w:pPr>
        <w:pStyle w:val="ECCParagraph"/>
        <w:spacing w:before="240"/>
      </w:pPr>
      <w:r w:rsidRPr="00967AC5">
        <w:t>Even if GSM is also a NB system</w:t>
      </w:r>
      <w:r w:rsidR="00585D45" w:rsidRPr="00967AC5">
        <w:t>,</w:t>
      </w:r>
      <w:r w:rsidRPr="00967AC5">
        <w:t xml:space="preserve"> </w:t>
      </w:r>
      <w:r w:rsidR="00221945" w:rsidRPr="00967AC5">
        <w:t xml:space="preserve">such </w:t>
      </w:r>
      <w:r w:rsidRPr="00967AC5">
        <w:t xml:space="preserve">as </w:t>
      </w:r>
      <w:r w:rsidR="00680BB5" w:rsidRPr="00967AC5">
        <w:t>standalone</w:t>
      </w:r>
      <w:r w:rsidR="00B36DDB" w:rsidRPr="00967AC5">
        <w:t xml:space="preserve"> </w:t>
      </w:r>
      <w:r w:rsidR="00D07C98" w:rsidRPr="00967AC5">
        <w:t>NB-IoT</w:t>
      </w:r>
      <w:r w:rsidR="00585D45" w:rsidRPr="00967AC5">
        <w:t>,</w:t>
      </w:r>
      <w:r w:rsidRPr="00967AC5">
        <w:t xml:space="preserve"> operating with </w:t>
      </w:r>
      <w:r w:rsidR="00F03B0E" w:rsidRPr="00967AC5">
        <w:t xml:space="preserve">the </w:t>
      </w:r>
      <w:r w:rsidRPr="00967AC5">
        <w:t xml:space="preserve">same 200 kHz channel bandwidth, CEPT identified </w:t>
      </w:r>
      <w:r w:rsidR="00AD27E1" w:rsidRPr="00967AC5">
        <w:t>that GSM system</w:t>
      </w:r>
      <w:r w:rsidR="00C17754" w:rsidRPr="00967AC5">
        <w:t>s</w:t>
      </w:r>
      <w:r w:rsidR="00AD27E1" w:rsidRPr="00967AC5">
        <w:t xml:space="preserve"> </w:t>
      </w:r>
      <w:r w:rsidR="00F03B0E" w:rsidRPr="00967AC5">
        <w:t xml:space="preserve">have </w:t>
      </w:r>
      <w:r w:rsidR="00AD27E1" w:rsidRPr="00967AC5">
        <w:t xml:space="preserve">different unwanted emission characteristics compared to </w:t>
      </w:r>
      <w:r w:rsidR="00680BB5" w:rsidRPr="00967AC5">
        <w:t>standalone</w:t>
      </w:r>
      <w:r w:rsidR="00B36DDB" w:rsidRPr="00967AC5">
        <w:t xml:space="preserve"> </w:t>
      </w:r>
      <w:r w:rsidR="0053344A" w:rsidRPr="00967AC5">
        <w:t>NB-IoT</w:t>
      </w:r>
      <w:r w:rsidR="000E6C03" w:rsidRPr="00967AC5">
        <w:t xml:space="preserve"> </w:t>
      </w:r>
      <w:r w:rsidR="0053344A" w:rsidRPr="00967AC5">
        <w:t>and to WB systems</w:t>
      </w:r>
      <w:r w:rsidR="00E27BA1" w:rsidRPr="00967AC5">
        <w:rPr>
          <w:rFonts w:eastAsia="Calibri"/>
          <w:bCs/>
        </w:rPr>
        <w:t>:</w:t>
      </w:r>
    </w:p>
    <w:p w14:paraId="32091211" w14:textId="131D9862" w:rsidR="00E21A8D" w:rsidRPr="00967AC5" w:rsidRDefault="00E21A8D">
      <w:pPr>
        <w:pStyle w:val="ECCBulletsLv1"/>
      </w:pPr>
      <w:r w:rsidRPr="00967AC5">
        <w:t xml:space="preserve">GSM BS and UE technical characteristics as defined </w:t>
      </w:r>
      <w:r w:rsidR="00585D45" w:rsidRPr="00967AC5">
        <w:t>in</w:t>
      </w:r>
      <w:r w:rsidRPr="00967AC5">
        <w:t xml:space="preserve"> ETSI EN 301 502 </w:t>
      </w:r>
      <w:r w:rsidR="004519EE" w:rsidRPr="00967AC5">
        <w:fldChar w:fldCharType="begin"/>
      </w:r>
      <w:r w:rsidR="004519EE" w:rsidRPr="00967AC5">
        <w:instrText xml:space="preserve"> REF _Ref63427693 \r \h </w:instrText>
      </w:r>
      <w:r w:rsidR="002505BC" w:rsidRPr="00967AC5">
        <w:instrText xml:space="preserve"> \* MERGEFORMAT </w:instrText>
      </w:r>
      <w:r w:rsidR="004519EE" w:rsidRPr="00967AC5">
        <w:fldChar w:fldCharType="separate"/>
      </w:r>
      <w:r w:rsidR="00680BB5" w:rsidRPr="00967AC5">
        <w:t>[25]</w:t>
      </w:r>
      <w:r w:rsidR="004519EE" w:rsidRPr="00967AC5">
        <w:fldChar w:fldCharType="end"/>
      </w:r>
      <w:r w:rsidR="004519EE" w:rsidRPr="00967AC5">
        <w:t xml:space="preserve"> </w:t>
      </w:r>
      <w:r w:rsidRPr="00967AC5">
        <w:t>and EN 301 511</w:t>
      </w:r>
      <w:r w:rsidR="004519EE" w:rsidRPr="00967AC5">
        <w:t xml:space="preserve"> </w:t>
      </w:r>
      <w:r w:rsidR="004519EE" w:rsidRPr="00967AC5">
        <w:fldChar w:fldCharType="begin"/>
      </w:r>
      <w:r w:rsidR="004519EE" w:rsidRPr="00967AC5">
        <w:instrText xml:space="preserve"> REF _Ref63427699 \r \h </w:instrText>
      </w:r>
      <w:r w:rsidR="002505BC" w:rsidRPr="00967AC5">
        <w:instrText xml:space="preserve"> \* MERGEFORMAT </w:instrText>
      </w:r>
      <w:r w:rsidR="004519EE" w:rsidRPr="00967AC5">
        <w:fldChar w:fldCharType="separate"/>
      </w:r>
      <w:r w:rsidR="00680BB5" w:rsidRPr="00967AC5">
        <w:t>[26]</w:t>
      </w:r>
      <w:r w:rsidR="004519EE" w:rsidRPr="00967AC5">
        <w:fldChar w:fldCharType="end"/>
      </w:r>
      <w:r w:rsidRPr="00967AC5">
        <w:t xml:space="preserve"> are different from the technical characteristics of </w:t>
      </w:r>
      <w:r w:rsidR="00B36DDB" w:rsidRPr="00967AC5">
        <w:t xml:space="preserve">Standalone </w:t>
      </w:r>
      <w:r w:rsidRPr="00967AC5">
        <w:t>NB-IoT</w:t>
      </w:r>
      <w:r w:rsidR="004842C9" w:rsidRPr="00967AC5">
        <w:t xml:space="preserve"> </w:t>
      </w:r>
      <w:r w:rsidR="00B36DDB" w:rsidRPr="00967AC5">
        <w:t xml:space="preserve"> </w:t>
      </w:r>
      <w:r w:rsidR="00585D45" w:rsidRPr="00967AC5">
        <w:t xml:space="preserve">as defined in </w:t>
      </w:r>
      <w:r w:rsidR="009A7D69" w:rsidRPr="00967AC5">
        <w:t xml:space="preserve">the </w:t>
      </w:r>
      <w:r w:rsidRPr="00967AC5">
        <w:t>core specifications (ETSI TS 136</w:t>
      </w:r>
      <w:r w:rsidR="004519EE" w:rsidRPr="00967AC5">
        <w:t xml:space="preserve"> </w:t>
      </w:r>
      <w:r w:rsidRPr="00967AC5">
        <w:t xml:space="preserve">104 </w:t>
      </w:r>
      <w:r w:rsidR="004519EE" w:rsidRPr="00967AC5">
        <w:fldChar w:fldCharType="begin"/>
      </w:r>
      <w:r w:rsidR="004519EE" w:rsidRPr="00967AC5">
        <w:instrText xml:space="preserve"> REF _Ref63427580 \r \h </w:instrText>
      </w:r>
      <w:r w:rsidR="002505BC" w:rsidRPr="00967AC5">
        <w:instrText xml:space="preserve"> \* MERGEFORMAT </w:instrText>
      </w:r>
      <w:r w:rsidR="004519EE" w:rsidRPr="00967AC5">
        <w:fldChar w:fldCharType="separate"/>
      </w:r>
      <w:r w:rsidR="00680BB5" w:rsidRPr="00967AC5">
        <w:t>[23]</w:t>
      </w:r>
      <w:r w:rsidR="004519EE" w:rsidRPr="00967AC5">
        <w:fldChar w:fldCharType="end"/>
      </w:r>
      <w:r w:rsidR="004519EE" w:rsidRPr="00967AC5">
        <w:t xml:space="preserve"> </w:t>
      </w:r>
      <w:r w:rsidRPr="00967AC5">
        <w:t>for BS and ETSI TS 13</w:t>
      </w:r>
      <w:r w:rsidR="00585D45" w:rsidRPr="00967AC5">
        <w:t>6</w:t>
      </w:r>
      <w:r w:rsidR="004519EE" w:rsidRPr="00967AC5">
        <w:t xml:space="preserve"> </w:t>
      </w:r>
      <w:r w:rsidRPr="00967AC5">
        <w:t xml:space="preserve">101 </w:t>
      </w:r>
      <w:r w:rsidR="004519EE" w:rsidRPr="00967AC5">
        <w:fldChar w:fldCharType="begin"/>
      </w:r>
      <w:r w:rsidR="004519EE" w:rsidRPr="00967AC5">
        <w:instrText xml:space="preserve"> REF _Ref63427720 \r \h </w:instrText>
      </w:r>
      <w:r w:rsidR="002505BC" w:rsidRPr="00967AC5">
        <w:instrText xml:space="preserve"> \* MERGEFORMAT </w:instrText>
      </w:r>
      <w:r w:rsidR="004519EE" w:rsidRPr="00967AC5">
        <w:fldChar w:fldCharType="separate"/>
      </w:r>
      <w:r w:rsidR="00680BB5" w:rsidRPr="00967AC5">
        <w:t>[27]</w:t>
      </w:r>
      <w:r w:rsidR="004519EE" w:rsidRPr="00967AC5">
        <w:fldChar w:fldCharType="end"/>
      </w:r>
      <w:r w:rsidR="004519EE" w:rsidRPr="00967AC5">
        <w:t xml:space="preserve"> </w:t>
      </w:r>
      <w:r w:rsidRPr="00967AC5">
        <w:t>for UE)</w:t>
      </w:r>
      <w:r w:rsidR="00E92D0C" w:rsidRPr="00967AC5">
        <w:t>;</w:t>
      </w:r>
    </w:p>
    <w:p w14:paraId="74DA2304" w14:textId="18E595B5" w:rsidR="00AA46B2" w:rsidRPr="00967AC5" w:rsidRDefault="00AA46B2" w:rsidP="00D90FF0">
      <w:pPr>
        <w:pStyle w:val="ECCBulletsLv1"/>
      </w:pPr>
      <w:bookmarkStart w:id="43" w:name="_Ref50625938"/>
      <w:r w:rsidRPr="00967AC5">
        <w:t>Due to its continuous phase modulation, GMSK (Gaussian Minimum Shift Keying), GSM presents unwanted emissions limits that are different from the unwanted emission limits of the proposed BEM and different from those of the other systems as shown in</w:t>
      </w:r>
      <w:r w:rsidR="00D90FF0">
        <w:t xml:space="preserve"> </w:t>
      </w:r>
      <w:r w:rsidR="00D90FF0">
        <w:fldChar w:fldCharType="begin"/>
      </w:r>
      <w:r w:rsidR="00D90FF0">
        <w:instrText xml:space="preserve"> REF _Ref75961241 \h </w:instrText>
      </w:r>
      <w:r w:rsidR="00D90FF0">
        <w:fldChar w:fldCharType="separate"/>
      </w:r>
      <w:r w:rsidR="00D90FF0" w:rsidRPr="00967AC5" w:rsidDel="0017118A">
        <w:t xml:space="preserve">Figure </w:t>
      </w:r>
      <w:r w:rsidR="00D90FF0" w:rsidRPr="00967AC5">
        <w:rPr>
          <w:noProof/>
        </w:rPr>
        <w:t>4</w:t>
      </w:r>
      <w:r w:rsidR="00D90FF0">
        <w:fldChar w:fldCharType="end"/>
      </w:r>
      <w:r w:rsidRPr="00967AC5">
        <w:t>, in particular after the first 165 kHz where GSM presents much lower limits.</w:t>
      </w:r>
    </w:p>
    <w:p w14:paraId="635C2A34" w14:textId="69B0581F" w:rsidR="00AA46B2" w:rsidRPr="00967AC5" w:rsidRDefault="00AA46B2" w:rsidP="002505BC">
      <w:pPr>
        <w:pStyle w:val="ECCBulletsLv1"/>
        <w:numPr>
          <w:ilvl w:val="0"/>
          <w:numId w:val="0"/>
        </w:numPr>
        <w:jc w:val="center"/>
      </w:pPr>
      <w:r w:rsidRPr="00967AC5">
        <w:rPr>
          <w:noProof/>
        </w:rPr>
        <w:lastRenderedPageBreak/>
        <w:drawing>
          <wp:inline distT="0" distB="0" distL="0" distR="0" wp14:anchorId="2D319E4A" wp14:editId="63924E7A">
            <wp:extent cx="4717367" cy="3264718"/>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0">
                      <a:extLst>
                        <a:ext uri="{28A0092B-C50C-407E-A947-70E740481C1C}">
                          <a14:useLocalDpi xmlns:a14="http://schemas.microsoft.com/office/drawing/2010/main" val="0"/>
                        </a:ext>
                      </a:extLst>
                    </a:blip>
                    <a:stretch>
                      <a:fillRect/>
                    </a:stretch>
                  </pic:blipFill>
                  <pic:spPr>
                    <a:xfrm>
                      <a:off x="0" y="0"/>
                      <a:ext cx="4717367" cy="3264718"/>
                    </a:xfrm>
                    <a:prstGeom prst="rect">
                      <a:avLst/>
                    </a:prstGeom>
                  </pic:spPr>
                </pic:pic>
              </a:graphicData>
            </a:graphic>
          </wp:inline>
        </w:drawing>
      </w:r>
    </w:p>
    <w:p w14:paraId="53BA96F5" w14:textId="4BCD8E97" w:rsidR="00F81242" w:rsidRPr="00967AC5" w:rsidRDefault="005B6FD7" w:rsidP="00F81242">
      <w:pPr>
        <w:pStyle w:val="ECCFiguregraphcentered"/>
        <w:rPr>
          <w:lang w:val="en-GB"/>
        </w:rPr>
      </w:pPr>
      <w:r w:rsidRPr="00967AC5">
        <w:rPr>
          <w:lang w:val="en-GB"/>
        </w:rPr>
        <w:drawing>
          <wp:inline distT="0" distB="0" distL="0" distR="0" wp14:anchorId="09653963" wp14:editId="27937E5E">
            <wp:extent cx="5228252" cy="3408045"/>
            <wp:effectExtent l="0" t="0" r="0" b="190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pic:nvPicPr>
                  <pic:blipFill>
                    <a:blip r:embed="rId21">
                      <a:extLst>
                        <a:ext uri="{28A0092B-C50C-407E-A947-70E740481C1C}">
                          <a14:useLocalDpi xmlns:a14="http://schemas.microsoft.com/office/drawing/2010/main" val="0"/>
                        </a:ext>
                      </a:extLst>
                    </a:blip>
                    <a:stretch>
                      <a:fillRect/>
                    </a:stretch>
                  </pic:blipFill>
                  <pic:spPr>
                    <a:xfrm>
                      <a:off x="0" y="0"/>
                      <a:ext cx="5228252" cy="3408045"/>
                    </a:xfrm>
                    <a:prstGeom prst="rect">
                      <a:avLst/>
                    </a:prstGeom>
                  </pic:spPr>
                </pic:pic>
              </a:graphicData>
            </a:graphic>
          </wp:inline>
        </w:drawing>
      </w:r>
      <w:bookmarkStart w:id="44" w:name="_Ref68783360"/>
    </w:p>
    <w:p w14:paraId="25B47C0C" w14:textId="1D294AF2" w:rsidR="00491D2A" w:rsidRPr="00967AC5" w:rsidRDefault="00DF4CB4" w:rsidP="00F81242">
      <w:pPr>
        <w:pStyle w:val="Caption"/>
        <w:rPr>
          <w:lang w:val="en-GB"/>
        </w:rPr>
      </w:pPr>
      <w:bookmarkStart w:id="45" w:name="_Ref75961241"/>
      <w:r w:rsidRPr="00967AC5" w:rsidDel="0017118A">
        <w:rPr>
          <w:lang w:val="en-GB"/>
        </w:rPr>
        <w:t xml:space="preserve">Figure </w:t>
      </w:r>
      <w:r w:rsidRPr="00967AC5" w:rsidDel="0017118A">
        <w:rPr>
          <w:lang w:val="en-GB"/>
        </w:rPr>
        <w:fldChar w:fldCharType="begin"/>
      </w:r>
      <w:r w:rsidRPr="00967AC5" w:rsidDel="0017118A">
        <w:rPr>
          <w:lang w:val="en-GB"/>
        </w:rPr>
        <w:instrText xml:space="preserve"> SEQ Figure \* ARABIC </w:instrText>
      </w:r>
      <w:r w:rsidRPr="00967AC5" w:rsidDel="0017118A">
        <w:rPr>
          <w:lang w:val="en-GB"/>
        </w:rPr>
        <w:fldChar w:fldCharType="separate"/>
      </w:r>
      <w:r w:rsidR="00680BB5" w:rsidRPr="00967AC5">
        <w:rPr>
          <w:noProof/>
          <w:lang w:val="en-GB"/>
        </w:rPr>
        <w:t>4</w:t>
      </w:r>
      <w:r w:rsidRPr="00967AC5" w:rsidDel="0017118A">
        <w:rPr>
          <w:lang w:val="en-GB"/>
        </w:rPr>
        <w:fldChar w:fldCharType="end"/>
      </w:r>
      <w:bookmarkEnd w:id="43"/>
      <w:bookmarkEnd w:id="44"/>
      <w:bookmarkEnd w:id="45"/>
      <w:r w:rsidRPr="00967AC5" w:rsidDel="0017118A">
        <w:rPr>
          <w:lang w:val="en-GB"/>
        </w:rPr>
        <w:t xml:space="preserve">: </w:t>
      </w:r>
      <w:r w:rsidR="007150E5" w:rsidRPr="00967AC5">
        <w:rPr>
          <w:lang w:val="en-GB"/>
        </w:rPr>
        <w:t>Unwanted emission</w:t>
      </w:r>
      <w:r w:rsidRPr="00967AC5">
        <w:rPr>
          <w:lang w:val="en-GB"/>
        </w:rPr>
        <w:t xml:space="preserve"> limits </w:t>
      </w:r>
    </w:p>
    <w:p w14:paraId="27E6033C" w14:textId="2B3FD2F9" w:rsidR="00DF4CB4" w:rsidRPr="00967AC5" w:rsidDel="0017118A" w:rsidRDefault="00DF4CB4" w:rsidP="00AA46B2">
      <w:pPr>
        <w:pStyle w:val="Caption"/>
        <w:rPr>
          <w:lang w:val="en-GB"/>
        </w:rPr>
      </w:pPr>
      <w:r w:rsidRPr="00967AC5">
        <w:rPr>
          <w:lang w:val="en-GB"/>
        </w:rPr>
        <w:t xml:space="preserve">(ETSI core Specifications </w:t>
      </w:r>
      <w:r w:rsidR="00162933" w:rsidRPr="00967AC5">
        <w:rPr>
          <w:lang w:val="en-GB"/>
        </w:rPr>
        <w:t xml:space="preserve">for </w:t>
      </w:r>
      <w:r w:rsidRPr="00967AC5">
        <w:rPr>
          <w:lang w:val="en-GB"/>
        </w:rPr>
        <w:t xml:space="preserve">GSM, </w:t>
      </w:r>
      <w:r w:rsidR="00D07C98" w:rsidRPr="00967AC5">
        <w:rPr>
          <w:lang w:val="en-GB"/>
        </w:rPr>
        <w:t>NB-IoT</w:t>
      </w:r>
      <w:r w:rsidRPr="00967AC5">
        <w:rPr>
          <w:lang w:val="en-GB"/>
        </w:rPr>
        <w:t>, MSR, LTE 1.4, 3</w:t>
      </w:r>
      <w:r w:rsidR="00390B73" w:rsidRPr="00967AC5">
        <w:rPr>
          <w:lang w:val="en-GB"/>
        </w:rPr>
        <w:t>, 5</w:t>
      </w:r>
      <w:r w:rsidR="00CC7298" w:rsidRPr="00967AC5">
        <w:rPr>
          <w:lang w:val="en-GB"/>
        </w:rPr>
        <w:t xml:space="preserve">, 10, 15, </w:t>
      </w:r>
      <w:r w:rsidR="00390B73" w:rsidRPr="00967AC5">
        <w:rPr>
          <w:lang w:val="en-GB"/>
        </w:rPr>
        <w:t>20 MHz</w:t>
      </w:r>
      <w:r w:rsidR="004519EE" w:rsidRPr="00967AC5">
        <w:rPr>
          <w:lang w:val="en-GB"/>
        </w:rPr>
        <w:t>)</w:t>
      </w:r>
    </w:p>
    <w:p w14:paraId="219ACD8E" w14:textId="2F79DBDE" w:rsidR="00E21A8D" w:rsidRPr="00967AC5" w:rsidRDefault="00A91568" w:rsidP="00E21A8D">
      <w:pPr>
        <w:pStyle w:val="ECCParagraph"/>
        <w:rPr>
          <w:rFonts w:eastAsia="Calibri"/>
          <w:szCs w:val="20"/>
        </w:rPr>
      </w:pPr>
      <w:r w:rsidRPr="00967AC5">
        <w:rPr>
          <w:rFonts w:eastAsia="Calibri"/>
          <w:szCs w:val="20"/>
        </w:rPr>
        <w:t>Therefore, it is</w:t>
      </w:r>
      <w:r w:rsidRPr="00967AC5">
        <w:rPr>
          <w:rFonts w:eastAsia="Calibri"/>
        </w:rPr>
        <w:t xml:space="preserve"> </w:t>
      </w:r>
      <w:r w:rsidR="00E21A8D" w:rsidRPr="00967AC5">
        <w:rPr>
          <w:rFonts w:eastAsia="Calibri"/>
        </w:rPr>
        <w:t>difficult</w:t>
      </w:r>
      <w:r w:rsidR="00E21A8D" w:rsidRPr="00967AC5">
        <w:rPr>
          <w:rFonts w:eastAsia="Calibri"/>
          <w:szCs w:val="20"/>
        </w:rPr>
        <w:t xml:space="preserve"> to find technology neutral </w:t>
      </w:r>
      <w:r w:rsidR="00E21A8D" w:rsidRPr="00967AC5">
        <w:rPr>
          <w:szCs w:val="20"/>
        </w:rPr>
        <w:t>LRTCs</w:t>
      </w:r>
      <w:r w:rsidR="00E21A8D" w:rsidRPr="00967AC5">
        <w:rPr>
          <w:rFonts w:eastAsia="Calibri"/>
          <w:szCs w:val="20"/>
        </w:rPr>
        <w:t xml:space="preserve"> covering both GSM and other NB/WB systems. In </w:t>
      </w:r>
      <w:r w:rsidR="00E21A8D" w:rsidRPr="00967AC5">
        <w:rPr>
          <w:rFonts w:eastAsia="Calibri"/>
        </w:rPr>
        <w:t xml:space="preserve">practice, </w:t>
      </w:r>
      <w:r w:rsidR="004D5C3C" w:rsidRPr="00967AC5">
        <w:rPr>
          <w:rFonts w:eastAsia="Calibri"/>
          <w:szCs w:val="20"/>
        </w:rPr>
        <w:t>an</w:t>
      </w:r>
      <w:r w:rsidR="00E21A8D" w:rsidRPr="00967AC5">
        <w:rPr>
          <w:rFonts w:eastAsia="Calibri"/>
        </w:rPr>
        <w:t xml:space="preserve"> LRTCs </w:t>
      </w:r>
      <w:r w:rsidR="004D5C3C" w:rsidRPr="00967AC5">
        <w:rPr>
          <w:rFonts w:eastAsia="Calibri"/>
          <w:szCs w:val="20"/>
        </w:rPr>
        <w:t>which covers both GSM and other NB/WB systems</w:t>
      </w:r>
      <w:r w:rsidR="00E21A8D" w:rsidRPr="00967AC5">
        <w:rPr>
          <w:rFonts w:eastAsia="Calibri"/>
          <w:szCs w:val="20"/>
        </w:rPr>
        <w:t xml:space="preserve"> </w:t>
      </w:r>
      <w:r w:rsidR="00E21A8D" w:rsidRPr="00967AC5">
        <w:rPr>
          <w:rFonts w:eastAsia="Calibri"/>
        </w:rPr>
        <w:t>would</w:t>
      </w:r>
      <w:r w:rsidR="00E21A8D" w:rsidRPr="00967AC5">
        <w:rPr>
          <w:rFonts w:eastAsia="Calibri"/>
          <w:szCs w:val="20"/>
        </w:rPr>
        <w:t xml:space="preserve"> relax the requirements for GSM</w:t>
      </w:r>
      <w:r w:rsidR="004D5C3C" w:rsidRPr="00967AC5">
        <w:rPr>
          <w:rFonts w:eastAsia="Calibri"/>
          <w:szCs w:val="20"/>
        </w:rPr>
        <w:t>,</w:t>
      </w:r>
      <w:r w:rsidR="00E21A8D" w:rsidRPr="00967AC5">
        <w:rPr>
          <w:rFonts w:eastAsia="Calibri"/>
          <w:szCs w:val="20"/>
        </w:rPr>
        <w:t xml:space="preserve"> which could impact coexistence with other systems and with adjacent services or constrain the requirements for the other systems as authori</w:t>
      </w:r>
      <w:r w:rsidR="00E42A1A" w:rsidRPr="00967AC5">
        <w:rPr>
          <w:rFonts w:eastAsia="Calibri"/>
          <w:szCs w:val="20"/>
        </w:rPr>
        <w:t>s</w:t>
      </w:r>
      <w:r w:rsidR="00E21A8D" w:rsidRPr="00967AC5">
        <w:rPr>
          <w:rFonts w:eastAsia="Calibri"/>
          <w:szCs w:val="20"/>
        </w:rPr>
        <w:t>ed today through the EC framework</w:t>
      </w:r>
      <w:r w:rsidR="007150E5" w:rsidRPr="00967AC5">
        <w:rPr>
          <w:rFonts w:eastAsia="Calibri"/>
          <w:szCs w:val="20"/>
        </w:rPr>
        <w:t xml:space="preserve"> (see the figures above).</w:t>
      </w:r>
    </w:p>
    <w:p w14:paraId="253925B0" w14:textId="7363354F" w:rsidR="00E21A8D" w:rsidRPr="00967AC5" w:rsidRDefault="00E21A8D" w:rsidP="005C5692">
      <w:pPr>
        <w:pStyle w:val="ECCParagraph"/>
      </w:pPr>
      <w:r w:rsidRPr="00967AC5">
        <w:t>In addition, GSM system</w:t>
      </w:r>
      <w:r w:rsidR="004D5C3C" w:rsidRPr="00967AC5">
        <w:t>s</w:t>
      </w:r>
      <w:r w:rsidRPr="00967AC5">
        <w:t xml:space="preserve"> </w:t>
      </w:r>
      <w:proofErr w:type="spellStart"/>
      <w:r w:rsidR="00DA703D" w:rsidRPr="00967AC5">
        <w:t>ha</w:t>
      </w:r>
      <w:r w:rsidR="004D5C3C" w:rsidRPr="00967AC5">
        <w:t>ve</w:t>
      </w:r>
      <w:r w:rsidR="00DA703D" w:rsidRPr="00967AC5">
        <w:t>been</w:t>
      </w:r>
      <w:proofErr w:type="spellEnd"/>
      <w:r w:rsidR="00DA703D" w:rsidRPr="00967AC5">
        <w:t xml:space="preserve"> </w:t>
      </w:r>
      <w:r w:rsidRPr="00967AC5">
        <w:t xml:space="preserve">deployed in the field </w:t>
      </w:r>
      <w:r w:rsidR="005D16EF" w:rsidRPr="00967AC5">
        <w:t>for many years</w:t>
      </w:r>
      <w:r w:rsidRPr="00967AC5">
        <w:t xml:space="preserve"> based on </w:t>
      </w:r>
      <w:r w:rsidR="000B6F32" w:rsidRPr="00967AC5">
        <w:t xml:space="preserve">the </w:t>
      </w:r>
      <w:r w:rsidRPr="00967AC5">
        <w:t xml:space="preserve">GSM ETSI </w:t>
      </w:r>
      <w:r w:rsidR="004519EE" w:rsidRPr="00967AC5">
        <w:t xml:space="preserve">Harmonised </w:t>
      </w:r>
      <w:r w:rsidRPr="00967AC5">
        <w:t xml:space="preserve">standard. Replacement of current GSM definition </w:t>
      </w:r>
      <w:proofErr w:type="spellStart"/>
      <w:r w:rsidRPr="00967AC5">
        <w:t>withtechnology</w:t>
      </w:r>
      <w:proofErr w:type="spellEnd"/>
      <w:r w:rsidRPr="00967AC5">
        <w:t xml:space="preserve"> neutral LRTCs might raise the risk of backward incompatibility with exi</w:t>
      </w:r>
      <w:r w:rsidR="006B3DDF" w:rsidRPr="00967AC5">
        <w:t>s</w:t>
      </w:r>
      <w:r w:rsidRPr="00967AC5">
        <w:t xml:space="preserve">ting deployments and coexistence with adjacent </w:t>
      </w:r>
      <w:r w:rsidR="007E20A0" w:rsidRPr="00967AC5">
        <w:t xml:space="preserve">band </w:t>
      </w:r>
      <w:r w:rsidRPr="00967AC5">
        <w:t>services</w:t>
      </w:r>
      <w:r w:rsidR="006B3DDF" w:rsidRPr="00967AC5">
        <w:t>.</w:t>
      </w:r>
    </w:p>
    <w:p w14:paraId="4C0A5443" w14:textId="699D2435" w:rsidR="00E21A8D" w:rsidRPr="00967AC5" w:rsidRDefault="00E21A8D" w:rsidP="00E21A8D">
      <w:pPr>
        <w:pStyle w:val="ECCParagraph"/>
      </w:pPr>
      <w:r w:rsidRPr="00967AC5">
        <w:lastRenderedPageBreak/>
        <w:t xml:space="preserve">Based on the technical assessments above, and </w:t>
      </w:r>
      <w:r w:rsidR="00162933" w:rsidRPr="00967AC5">
        <w:t xml:space="preserve">in order </w:t>
      </w:r>
      <w:r w:rsidRPr="00967AC5">
        <w:t xml:space="preserve">to avoid </w:t>
      </w:r>
      <w:r w:rsidR="0068405F" w:rsidRPr="00967AC5">
        <w:t>the need for</w:t>
      </w:r>
      <w:r w:rsidRPr="00967AC5">
        <w:t xml:space="preserve"> new additional studies to derive the LRTCs, this </w:t>
      </w:r>
      <w:r w:rsidR="00A3663E" w:rsidRPr="00967AC5">
        <w:t>R</w:t>
      </w:r>
      <w:r w:rsidRPr="00967AC5">
        <w:t>eport recommends maintain</w:t>
      </w:r>
      <w:r w:rsidR="00E111C9" w:rsidRPr="00967AC5">
        <w:t>ing</w:t>
      </w:r>
      <w:r w:rsidRPr="00967AC5">
        <w:t xml:space="preserve"> the current regulatory framework applicable to GSM based on ETSI EN 301 502 </w:t>
      </w:r>
      <w:r w:rsidR="00491D2A" w:rsidRPr="00967AC5">
        <w:fldChar w:fldCharType="begin"/>
      </w:r>
      <w:r w:rsidR="00491D2A" w:rsidRPr="00967AC5">
        <w:instrText xml:space="preserve"> REF _Ref63686447 \r \h </w:instrText>
      </w:r>
      <w:r w:rsidR="002505BC" w:rsidRPr="00967AC5">
        <w:instrText xml:space="preserve"> \* MERGEFORMAT </w:instrText>
      </w:r>
      <w:r w:rsidR="00491D2A" w:rsidRPr="00967AC5">
        <w:fldChar w:fldCharType="separate"/>
      </w:r>
      <w:r w:rsidR="00680BB5" w:rsidRPr="00967AC5">
        <w:t>[25]</w:t>
      </w:r>
      <w:r w:rsidR="00491D2A" w:rsidRPr="00967AC5">
        <w:fldChar w:fldCharType="end"/>
      </w:r>
      <w:r w:rsidR="00491D2A" w:rsidRPr="00967AC5">
        <w:t xml:space="preserve"> </w:t>
      </w:r>
      <w:r w:rsidRPr="00967AC5">
        <w:t>and EN 301 511</w:t>
      </w:r>
      <w:r w:rsidR="00491D2A" w:rsidRPr="00967AC5">
        <w:t xml:space="preserve"> </w:t>
      </w:r>
      <w:r w:rsidR="00491D2A" w:rsidRPr="00967AC5">
        <w:fldChar w:fldCharType="begin"/>
      </w:r>
      <w:r w:rsidR="00491D2A" w:rsidRPr="00967AC5">
        <w:instrText xml:space="preserve"> REF _Ref63686461 \r \h </w:instrText>
      </w:r>
      <w:r w:rsidR="002505BC" w:rsidRPr="00967AC5">
        <w:instrText xml:space="preserve"> \* MERGEFORMAT </w:instrText>
      </w:r>
      <w:r w:rsidR="00491D2A" w:rsidRPr="00967AC5">
        <w:fldChar w:fldCharType="separate"/>
      </w:r>
      <w:r w:rsidR="00680BB5" w:rsidRPr="00967AC5">
        <w:t>[26]</w:t>
      </w:r>
      <w:r w:rsidR="00491D2A" w:rsidRPr="00967AC5">
        <w:fldChar w:fldCharType="end"/>
      </w:r>
      <w:r w:rsidRPr="00967AC5">
        <w:t>.</w:t>
      </w:r>
    </w:p>
    <w:p w14:paraId="5AEBE0E5" w14:textId="36E8D2F4" w:rsidR="00E21A8D" w:rsidRPr="00967AC5" w:rsidRDefault="006B3DDF" w:rsidP="005C5692">
      <w:pPr>
        <w:pStyle w:val="ECCParagraph"/>
      </w:pPr>
      <w:r w:rsidRPr="00967AC5">
        <w:t>By not applying the new single BEM to GSM, a</w:t>
      </w:r>
      <w:r w:rsidR="00E21A8D" w:rsidRPr="00967AC5">
        <w:t xml:space="preserve">ll </w:t>
      </w:r>
      <w:r w:rsidR="00162933" w:rsidRPr="00967AC5">
        <w:t xml:space="preserve">existing </w:t>
      </w:r>
      <w:r w:rsidR="00E21A8D" w:rsidRPr="00967AC5">
        <w:t xml:space="preserve">coexistence frameworks between GSM </w:t>
      </w:r>
      <w:r w:rsidRPr="00967AC5">
        <w:t>and</w:t>
      </w:r>
      <w:r w:rsidR="00E21A8D" w:rsidRPr="00967AC5">
        <w:t xml:space="preserve"> adjacent services based on previous ECC</w:t>
      </w:r>
      <w:r w:rsidRPr="00967AC5">
        <w:t>/CEPT</w:t>
      </w:r>
      <w:r w:rsidR="00E21A8D" w:rsidRPr="00967AC5">
        <w:t xml:space="preserve"> reports will remain valid.</w:t>
      </w:r>
    </w:p>
    <w:p w14:paraId="5B12AE62" w14:textId="607729CC" w:rsidR="00E21A8D" w:rsidRPr="00967AC5" w:rsidRDefault="00E21A8D" w:rsidP="00F91806">
      <w:pPr>
        <w:pStyle w:val="Heading3"/>
        <w:rPr>
          <w:lang w:val="en-GB"/>
        </w:rPr>
      </w:pPr>
      <w:bookmarkStart w:id="46" w:name="_Toc71037804"/>
      <w:r w:rsidRPr="00967AC5">
        <w:rPr>
          <w:lang w:val="en-GB"/>
        </w:rPr>
        <w:t>GSM coexistence with NB</w:t>
      </w:r>
      <w:r w:rsidR="00143AB1" w:rsidRPr="00967AC5">
        <w:rPr>
          <w:lang w:val="en-GB"/>
        </w:rPr>
        <w:t xml:space="preserve"> systems</w:t>
      </w:r>
      <w:r w:rsidRPr="00967AC5">
        <w:rPr>
          <w:lang w:val="en-GB"/>
        </w:rPr>
        <w:t xml:space="preserve"> and WB</w:t>
      </w:r>
      <w:r w:rsidR="00A96DCF">
        <w:rPr>
          <w:lang w:val="en-GB"/>
        </w:rPr>
        <w:t xml:space="preserve"> </w:t>
      </w:r>
      <w:r w:rsidRPr="00967AC5">
        <w:rPr>
          <w:lang w:val="en-GB"/>
        </w:rPr>
        <w:t xml:space="preserve">systems </w:t>
      </w:r>
      <w:r w:rsidR="00E30DE1" w:rsidRPr="00967AC5">
        <w:rPr>
          <w:lang w:val="en-GB"/>
        </w:rPr>
        <w:t>that</w:t>
      </w:r>
      <w:r w:rsidRPr="00967AC5">
        <w:rPr>
          <w:lang w:val="en-GB"/>
        </w:rPr>
        <w:t xml:space="preserve"> comply with </w:t>
      </w:r>
      <w:r w:rsidR="00E30DE1" w:rsidRPr="00967AC5">
        <w:rPr>
          <w:lang w:val="en-GB"/>
        </w:rPr>
        <w:t>the</w:t>
      </w:r>
      <w:r w:rsidRPr="00967AC5">
        <w:rPr>
          <w:lang w:val="en-GB"/>
        </w:rPr>
        <w:t xml:space="preserve"> proposed </w:t>
      </w:r>
      <w:r w:rsidR="00E30DE1" w:rsidRPr="00967AC5">
        <w:rPr>
          <w:lang w:val="en-GB"/>
        </w:rPr>
        <w:t>technology neutral</w:t>
      </w:r>
      <w:r w:rsidRPr="00967AC5">
        <w:rPr>
          <w:lang w:val="en-GB"/>
        </w:rPr>
        <w:t xml:space="preserve"> LRTC</w:t>
      </w:r>
      <w:r w:rsidR="00EF6E1B" w:rsidRPr="00967AC5">
        <w:rPr>
          <w:lang w:val="en-GB"/>
        </w:rPr>
        <w:t>s</w:t>
      </w:r>
      <w:bookmarkEnd w:id="46"/>
    </w:p>
    <w:p w14:paraId="0B5E5B0F" w14:textId="666B93C1" w:rsidR="00B06CB5" w:rsidRPr="00967AC5" w:rsidRDefault="00E21A8D" w:rsidP="00143AB1">
      <w:pPr>
        <w:pStyle w:val="ECCParagraph"/>
      </w:pPr>
      <w:r w:rsidRPr="00967AC5">
        <w:t xml:space="preserve">The technology neutral LRTC/BEM recommended in this </w:t>
      </w:r>
      <w:r w:rsidR="00A3663E" w:rsidRPr="00967AC5">
        <w:t>R</w:t>
      </w:r>
      <w:r w:rsidRPr="00967AC5">
        <w:t>eport (</w:t>
      </w:r>
      <w:r w:rsidR="00B06CB5" w:rsidRPr="00967AC5">
        <w:t>see</w:t>
      </w:r>
      <w:r w:rsidRPr="00967AC5">
        <w:t xml:space="preserve"> section </w:t>
      </w:r>
      <w:r w:rsidR="005E57D3" w:rsidRPr="00967AC5">
        <w:fldChar w:fldCharType="begin"/>
      </w:r>
      <w:r w:rsidR="005E57D3" w:rsidRPr="00967AC5">
        <w:instrText xml:space="preserve"> REF _Ref59201223 \r \h </w:instrText>
      </w:r>
      <w:r w:rsidR="001C7C80" w:rsidRPr="00967AC5">
        <w:instrText xml:space="preserve"> \* MERGEFORMAT </w:instrText>
      </w:r>
      <w:r w:rsidR="005E57D3" w:rsidRPr="00967AC5">
        <w:fldChar w:fldCharType="separate"/>
      </w:r>
      <w:r w:rsidR="00680BB5" w:rsidRPr="00967AC5">
        <w:t>3.4</w:t>
      </w:r>
      <w:r w:rsidR="005E57D3" w:rsidRPr="00967AC5">
        <w:fldChar w:fldCharType="end"/>
      </w:r>
      <w:r w:rsidRPr="00967AC5">
        <w:t xml:space="preserve">) </w:t>
      </w:r>
      <w:r w:rsidR="00162933" w:rsidRPr="00967AC5">
        <w:t xml:space="preserve">were </w:t>
      </w:r>
      <w:r w:rsidRPr="00967AC5">
        <w:t xml:space="preserve">derived on the basis of </w:t>
      </w:r>
      <w:r w:rsidR="00162933" w:rsidRPr="00967AC5">
        <w:t xml:space="preserve">core </w:t>
      </w:r>
      <w:r w:rsidRPr="00967AC5">
        <w:t>ETSI Technical Specifications</w:t>
      </w:r>
      <w:r w:rsidR="00B06CB5" w:rsidRPr="00967AC5">
        <w:t>.</w:t>
      </w:r>
      <w:r w:rsidRPr="00967AC5">
        <w:t xml:space="preserve"> As it has been mentioned previously, this results in a single </w:t>
      </w:r>
      <w:r w:rsidR="00B06CB5" w:rsidRPr="00967AC5">
        <w:t>BEM</w:t>
      </w:r>
      <w:r w:rsidR="005F5DC1" w:rsidRPr="00967AC5">
        <w:t xml:space="preserve"> for </w:t>
      </w:r>
      <w:r w:rsidR="00B06CB5" w:rsidRPr="00967AC5">
        <w:t xml:space="preserve">non-AAS </w:t>
      </w:r>
      <w:r w:rsidR="005F5DC1" w:rsidRPr="00967AC5">
        <w:t>BS</w:t>
      </w:r>
      <w:r w:rsidR="00B06CB5" w:rsidRPr="00967AC5">
        <w:t xml:space="preserve"> and a single BEM</w:t>
      </w:r>
      <w:r w:rsidR="005F5DC1" w:rsidRPr="00967AC5">
        <w:t xml:space="preserve"> for </w:t>
      </w:r>
      <w:r w:rsidR="00B06CB5" w:rsidRPr="00967AC5">
        <w:t>AAS</w:t>
      </w:r>
      <w:r w:rsidR="00847C4D" w:rsidRPr="00967AC5">
        <w:t>,</w:t>
      </w:r>
      <w:r w:rsidR="00D708F0" w:rsidRPr="00967AC5">
        <w:t xml:space="preserve"> excluding</w:t>
      </w:r>
      <w:r w:rsidR="00475040" w:rsidRPr="00967AC5">
        <w:t xml:space="preserve"> GSM.</w:t>
      </w:r>
    </w:p>
    <w:p w14:paraId="15A0BC08" w14:textId="77C970B7" w:rsidR="001605EF" w:rsidRPr="00967AC5" w:rsidRDefault="00E21A8D" w:rsidP="00B36DDB">
      <w:pPr>
        <w:pStyle w:val="ECCParagraph"/>
        <w:rPr>
          <w:sz w:val="19"/>
          <w:szCs w:val="19"/>
        </w:rPr>
      </w:pPr>
      <w:r w:rsidRPr="00967AC5">
        <w:t xml:space="preserve">Coexistence between </w:t>
      </w:r>
      <w:r w:rsidR="00B36DDB" w:rsidRPr="00967AC5">
        <w:t xml:space="preserve">Standalone </w:t>
      </w:r>
      <w:r w:rsidR="00D07C98" w:rsidRPr="00967AC5">
        <w:t>NB-IoT</w:t>
      </w:r>
      <w:r w:rsidR="00E76D0A" w:rsidRPr="00967AC5">
        <w:t>-</w:t>
      </w:r>
      <w:r w:rsidRPr="00967AC5">
        <w:t xml:space="preserve"> and GSM ha</w:t>
      </w:r>
      <w:r w:rsidR="00540C62" w:rsidRPr="00967AC5">
        <w:t>s</w:t>
      </w:r>
      <w:r w:rsidRPr="00967AC5">
        <w:t xml:space="preserve"> been studied and proven to be feasible in </w:t>
      </w:r>
      <w:r w:rsidR="009303D5" w:rsidRPr="00967AC5">
        <w:t xml:space="preserve">CEPT </w:t>
      </w:r>
      <w:r w:rsidR="00137385" w:rsidRPr="00967AC5">
        <w:t>R</w:t>
      </w:r>
      <w:r w:rsidR="009303D5" w:rsidRPr="00967AC5">
        <w:t xml:space="preserve">eport 66 </w:t>
      </w:r>
      <w:r w:rsidR="00327F19" w:rsidRPr="00967AC5">
        <w:fldChar w:fldCharType="begin"/>
      </w:r>
      <w:r w:rsidR="00327F19" w:rsidRPr="00967AC5">
        <w:instrText xml:space="preserve"> REF _Ref63337482 \r \h </w:instrText>
      </w:r>
      <w:r w:rsidR="002505BC" w:rsidRPr="00967AC5">
        <w:instrText xml:space="preserve"> \* MERGEFORMAT </w:instrText>
      </w:r>
      <w:r w:rsidR="00327F19" w:rsidRPr="00967AC5">
        <w:fldChar w:fldCharType="separate"/>
      </w:r>
      <w:r w:rsidR="00680BB5" w:rsidRPr="00967AC5">
        <w:t>[10]</w:t>
      </w:r>
      <w:r w:rsidR="00327F19" w:rsidRPr="00967AC5">
        <w:fldChar w:fldCharType="end"/>
      </w:r>
      <w:r w:rsidR="00327F19" w:rsidRPr="00967AC5">
        <w:t xml:space="preserve"> </w:t>
      </w:r>
      <w:r w:rsidR="009303D5" w:rsidRPr="00967AC5">
        <w:t>and EC Decision 2018/637</w:t>
      </w:r>
      <w:r w:rsidRPr="00967AC5">
        <w:t xml:space="preserve"> </w:t>
      </w:r>
      <w:r w:rsidR="009303D5" w:rsidRPr="00967AC5">
        <w:t>(amending Decision 2009/766/EC)</w:t>
      </w:r>
      <w:r w:rsidR="00327F19" w:rsidRPr="00967AC5">
        <w:t xml:space="preserve"> </w:t>
      </w:r>
      <w:r w:rsidR="00327F19" w:rsidRPr="00967AC5">
        <w:fldChar w:fldCharType="begin"/>
      </w:r>
      <w:r w:rsidR="00327F19" w:rsidRPr="00967AC5">
        <w:instrText xml:space="preserve"> REF _Ref63427421 \r \h </w:instrText>
      </w:r>
      <w:r w:rsidR="002505BC" w:rsidRPr="00967AC5">
        <w:instrText xml:space="preserve"> \* MERGEFORMAT </w:instrText>
      </w:r>
      <w:r w:rsidR="00327F19" w:rsidRPr="00967AC5">
        <w:fldChar w:fldCharType="separate"/>
      </w:r>
      <w:r w:rsidR="00680BB5" w:rsidRPr="00967AC5">
        <w:t>[20]</w:t>
      </w:r>
      <w:r w:rsidR="00327F19" w:rsidRPr="00967AC5">
        <w:fldChar w:fldCharType="end"/>
      </w:r>
      <w:r w:rsidRPr="00967AC5">
        <w:t xml:space="preserve">. </w:t>
      </w:r>
      <w:r w:rsidR="001605EF" w:rsidRPr="00967AC5">
        <w:t xml:space="preserve">CEPT </w:t>
      </w:r>
      <w:r w:rsidR="00137385" w:rsidRPr="00967AC5">
        <w:t>R</w:t>
      </w:r>
      <w:r w:rsidR="001605EF" w:rsidRPr="00967AC5">
        <w:t xml:space="preserve">eport 66 concludes in its section 4.3.2 that </w:t>
      </w:r>
      <w:r w:rsidR="0007447F" w:rsidRPr="00967AC5">
        <w:t>a</w:t>
      </w:r>
      <w:r w:rsidR="001605EF" w:rsidRPr="00967AC5">
        <w:t xml:space="preserve"> 200 kHz separation between the standalone NB-IoT channel edge and the GSM channel edge, where GSM includes EC-GSM-IoT, </w:t>
      </w:r>
      <w:r w:rsidR="0007447F" w:rsidRPr="00967AC5">
        <w:t>is needed</w:t>
      </w:r>
      <w:r w:rsidR="005C488A" w:rsidRPr="00967AC5">
        <w:t>,</w:t>
      </w:r>
      <w:r w:rsidR="001605EF" w:rsidRPr="00967AC5">
        <w:t xml:space="preserve"> subject to coordination between operators</w:t>
      </w:r>
      <w:r w:rsidR="009303D5" w:rsidRPr="00967AC5">
        <w:rPr>
          <w:sz w:val="19"/>
          <w:szCs w:val="19"/>
        </w:rPr>
        <w:t>.</w:t>
      </w:r>
    </w:p>
    <w:p w14:paraId="2A0511BE" w14:textId="17A15AAA" w:rsidR="009303D5" w:rsidRPr="00967AC5" w:rsidRDefault="009303D5" w:rsidP="00B36DDB">
      <w:pPr>
        <w:pStyle w:val="ECCParagraph"/>
      </w:pPr>
      <w:r w:rsidRPr="00967AC5">
        <w:t>Th</w:t>
      </w:r>
      <w:r w:rsidR="00803E45" w:rsidRPr="00967AC5">
        <w:t xml:space="preserve">e conclusions of this </w:t>
      </w:r>
      <w:r w:rsidR="00A3663E" w:rsidRPr="00967AC5">
        <w:t>R</w:t>
      </w:r>
      <w:r w:rsidR="00803E45" w:rsidRPr="00967AC5">
        <w:t>eport remain</w:t>
      </w:r>
      <w:r w:rsidR="005C488A" w:rsidRPr="00967AC5">
        <w:t>s</w:t>
      </w:r>
      <w:r w:rsidR="00803E45" w:rsidRPr="00967AC5">
        <w:t xml:space="preserve"> valid and GSM protection is ensured as the</w:t>
      </w:r>
      <w:r w:rsidRPr="00967AC5">
        <w:t xml:space="preserve"> requirement </w:t>
      </w:r>
      <w:r w:rsidR="00803E45" w:rsidRPr="00967AC5">
        <w:t xml:space="preserve">above </w:t>
      </w:r>
      <w:r w:rsidRPr="00967AC5">
        <w:t xml:space="preserve">is being maintained in the proposed </w:t>
      </w:r>
      <w:r w:rsidR="001605EF" w:rsidRPr="00967AC5">
        <w:t xml:space="preserve">technology neutral </w:t>
      </w:r>
      <w:r w:rsidRPr="00967AC5">
        <w:t>LRTCs</w:t>
      </w:r>
      <w:r w:rsidR="002A2D46" w:rsidRPr="00967AC5">
        <w:t xml:space="preserve"> for </w:t>
      </w:r>
      <w:r w:rsidR="001D7748" w:rsidRPr="00967AC5">
        <w:t xml:space="preserve">non-AAS </w:t>
      </w:r>
      <w:r w:rsidR="002A2D46" w:rsidRPr="00967AC5">
        <w:t>BS</w:t>
      </w:r>
      <w:r w:rsidRPr="00967AC5" w:rsidDel="009303D5">
        <w:t xml:space="preserve"> </w:t>
      </w:r>
      <w:r w:rsidRPr="00967AC5">
        <w:t>(</w:t>
      </w:r>
      <w:r w:rsidR="00803E45" w:rsidRPr="00967AC5">
        <w:t>see</w:t>
      </w:r>
      <w:r w:rsidR="001605EF" w:rsidRPr="00967AC5">
        <w:t xml:space="preserve"> section </w:t>
      </w:r>
      <w:r w:rsidR="006E79C6" w:rsidRPr="00967AC5">
        <w:fldChar w:fldCharType="begin"/>
      </w:r>
      <w:r w:rsidR="006E79C6" w:rsidRPr="00967AC5">
        <w:instrText xml:space="preserve"> REF _Ref52282185 \r \h </w:instrText>
      </w:r>
      <w:r w:rsidR="007D30B1" w:rsidRPr="00967AC5">
        <w:instrText xml:space="preserve"> \* MERGEFORMAT </w:instrText>
      </w:r>
      <w:r w:rsidR="006E79C6" w:rsidRPr="00967AC5">
        <w:fldChar w:fldCharType="separate"/>
      </w:r>
      <w:r w:rsidR="00680BB5" w:rsidRPr="00967AC5">
        <w:t>3.4</w:t>
      </w:r>
      <w:r w:rsidR="006E79C6" w:rsidRPr="00967AC5">
        <w:fldChar w:fldCharType="end"/>
      </w:r>
      <w:r w:rsidRPr="00967AC5">
        <w:t>)</w:t>
      </w:r>
      <w:r w:rsidR="00843134" w:rsidRPr="00967AC5">
        <w:t xml:space="preserve"> which are the same as those of </w:t>
      </w:r>
      <w:r w:rsidR="00B36DDB" w:rsidRPr="00967AC5">
        <w:t>Standalone</w:t>
      </w:r>
      <w:r w:rsidR="003D5938" w:rsidRPr="00967AC5">
        <w:t xml:space="preserve"> </w:t>
      </w:r>
      <w:r w:rsidR="00843134" w:rsidRPr="00967AC5">
        <w:t>NB-IoT</w:t>
      </w:r>
      <w:r w:rsidRPr="00967AC5">
        <w:t>.</w:t>
      </w:r>
    </w:p>
    <w:p w14:paraId="0550CEBF" w14:textId="4425161D" w:rsidR="00FB09BD" w:rsidRPr="00967AC5" w:rsidRDefault="006B2056" w:rsidP="002C7B09">
      <w:pPr>
        <w:pStyle w:val="ECCParagraph"/>
      </w:pPr>
      <w:r w:rsidRPr="00967AC5">
        <w:t xml:space="preserve">Regarding AAS WB systems, CEPT Report 72 </w:t>
      </w:r>
      <w:r w:rsidR="00BA70A7" w:rsidRPr="00967AC5">
        <w:fldChar w:fldCharType="begin"/>
      </w:r>
      <w:r w:rsidR="00BA70A7" w:rsidRPr="00967AC5">
        <w:instrText xml:space="preserve"> REF _Ref63839661 \r \h </w:instrText>
      </w:r>
      <w:r w:rsidR="00534766" w:rsidRPr="00967AC5">
        <w:instrText xml:space="preserve"> \* MERGEFORMAT </w:instrText>
      </w:r>
      <w:r w:rsidR="00BA70A7" w:rsidRPr="00967AC5">
        <w:fldChar w:fldCharType="separate"/>
      </w:r>
      <w:r w:rsidR="00680BB5" w:rsidRPr="00967AC5">
        <w:t>[1]</w:t>
      </w:r>
      <w:r w:rsidR="00BA70A7" w:rsidRPr="00967AC5">
        <w:fldChar w:fldCharType="end"/>
      </w:r>
      <w:r w:rsidRPr="00967AC5">
        <w:t xml:space="preserve"> concludes in its section 3.1.1 based on ECC Report 297 [x] that the in-band compatibility conclusions from CEPT Report 40 </w:t>
      </w:r>
      <w:r w:rsidR="00BA70A7" w:rsidRPr="00967AC5">
        <w:fldChar w:fldCharType="begin"/>
      </w:r>
      <w:r w:rsidR="00BA70A7" w:rsidRPr="00967AC5">
        <w:instrText xml:space="preserve"> REF _Ref63843359 \r \h </w:instrText>
      </w:r>
      <w:r w:rsidR="00534766" w:rsidRPr="00967AC5">
        <w:instrText xml:space="preserve"> \* MERGEFORMAT </w:instrText>
      </w:r>
      <w:r w:rsidR="00BA70A7" w:rsidRPr="00967AC5">
        <w:fldChar w:fldCharType="separate"/>
      </w:r>
      <w:r w:rsidR="00680BB5" w:rsidRPr="00967AC5">
        <w:t>[4]</w:t>
      </w:r>
      <w:r w:rsidR="00BA70A7" w:rsidRPr="00967AC5">
        <w:fldChar w:fldCharType="end"/>
      </w:r>
      <w:r w:rsidR="00BA70A7" w:rsidRPr="00967AC5">
        <w:t xml:space="preserve"> </w:t>
      </w:r>
      <w:r w:rsidRPr="00967AC5">
        <w:t>applicable to LTE non-AAS systems in 900/1800 MHz frequency bands are also applicable to both LTE/5G NR AAS systems in 1800 MHz frequency band and to 5G NR non-AAS systems in 900/1800 MHz frequency bands.</w:t>
      </w:r>
    </w:p>
    <w:p w14:paraId="0C5FD145" w14:textId="5CEBECD9" w:rsidR="005C05DA" w:rsidRPr="00967AC5" w:rsidRDefault="005C05DA" w:rsidP="001D7748">
      <w:pPr>
        <w:pStyle w:val="ECCParagraph"/>
      </w:pPr>
      <w:r w:rsidRPr="00967AC5">
        <w:t xml:space="preserve">CEPT </w:t>
      </w:r>
      <w:r w:rsidR="000B0265" w:rsidRPr="00967AC5">
        <w:t>R</w:t>
      </w:r>
      <w:r w:rsidRPr="00967AC5">
        <w:t xml:space="preserve">eport 72 concludes in its section 4.1 that, in order to ensure coexistence with </w:t>
      </w:r>
      <w:r w:rsidR="001D7748" w:rsidRPr="00967AC5">
        <w:t>GSM</w:t>
      </w:r>
      <w:r w:rsidRPr="00967AC5">
        <w:t xml:space="preserve"> in the 900/1800</w:t>
      </w:r>
      <w:r w:rsidR="00A4738B" w:rsidRPr="00967AC5">
        <w:t> </w:t>
      </w:r>
      <w:r w:rsidRPr="00967AC5">
        <w:t>MHz frequency bands, the following requirements apply to 5G NR (AAS or non-AAS) and for LTE</w:t>
      </w:r>
      <w:r w:rsidR="00A21779" w:rsidRPr="00967AC5">
        <w:t>(</w:t>
      </w:r>
      <w:r w:rsidRPr="00967AC5">
        <w:t>AAS</w:t>
      </w:r>
      <w:r w:rsidR="00A21779" w:rsidRPr="00967AC5">
        <w:t>)</w:t>
      </w:r>
      <w:r w:rsidRPr="00967AC5">
        <w:t>:</w:t>
      </w:r>
      <w:r w:rsidR="001D7748" w:rsidRPr="00967AC5">
        <w:t xml:space="preserve"> </w:t>
      </w:r>
    </w:p>
    <w:p w14:paraId="256CEB08" w14:textId="0E0794D2" w:rsidR="005C05DA" w:rsidRPr="00967AC5" w:rsidRDefault="005C05DA" w:rsidP="003E12E2">
      <w:pPr>
        <w:pStyle w:val="ECCBulletsLv1"/>
      </w:pPr>
      <w:r w:rsidRPr="00967AC5">
        <w:t xml:space="preserve">Frequency separation of 200 kHz or more between the 5G NR channel edge and the GSM carrier's channel edge when such networks are operated in an uncoordinated manner. This requirement is already covered by the ETSI standard due the channel characteristics of 5G NR (5 MHz or above channel bandwidth). The same applies to coexistence between </w:t>
      </w:r>
      <w:r w:rsidR="000A3A83" w:rsidRPr="00967AC5">
        <w:t xml:space="preserve">5G </w:t>
      </w:r>
      <w:r w:rsidRPr="00967AC5">
        <w:t>NR system and EC-GSM-IoT systems;</w:t>
      </w:r>
    </w:p>
    <w:p w14:paraId="13E9BF1A" w14:textId="1E61E15E" w:rsidR="001D7748" w:rsidRPr="00967AC5" w:rsidRDefault="001D7748" w:rsidP="002F7BB6">
      <w:pPr>
        <w:pStyle w:val="ECCParagraph"/>
        <w:spacing w:before="240"/>
      </w:pPr>
      <w:r w:rsidRPr="00967AC5">
        <w:t xml:space="preserve">The conclusions of this </w:t>
      </w:r>
      <w:r w:rsidR="008A3E84" w:rsidRPr="00967AC5">
        <w:t>R</w:t>
      </w:r>
      <w:r w:rsidRPr="00967AC5">
        <w:t>eport remain</w:t>
      </w:r>
      <w:r w:rsidR="004C6CEA" w:rsidRPr="00967AC5">
        <w:t>s</w:t>
      </w:r>
      <w:r w:rsidRPr="00967AC5">
        <w:t xml:space="preserve"> valid and GSM protection is ensured as the requirement above is maintained in the proposed technology neutral LRTCs</w:t>
      </w:r>
      <w:r w:rsidR="006F0CB1" w:rsidRPr="00967AC5">
        <w:t xml:space="preserve"> for </w:t>
      </w:r>
      <w:r w:rsidRPr="00967AC5">
        <w:t xml:space="preserve">AAS </w:t>
      </w:r>
      <w:r w:rsidR="006F0CB1" w:rsidRPr="00967AC5">
        <w:t>BS</w:t>
      </w:r>
      <w:r w:rsidRPr="00967AC5" w:rsidDel="009303D5">
        <w:t xml:space="preserve"> </w:t>
      </w:r>
      <w:r w:rsidRPr="00967AC5">
        <w:t xml:space="preserve">(see section </w:t>
      </w:r>
      <w:r w:rsidR="005E57D3" w:rsidRPr="00967AC5">
        <w:fldChar w:fldCharType="begin"/>
      </w:r>
      <w:r w:rsidR="005E57D3" w:rsidRPr="00967AC5">
        <w:instrText xml:space="preserve"> REF _Ref59201256 \r \h </w:instrText>
      </w:r>
      <w:r w:rsidR="007D30B1" w:rsidRPr="00967AC5">
        <w:instrText xml:space="preserve"> \* MERGEFORMAT </w:instrText>
      </w:r>
      <w:r w:rsidR="005E57D3" w:rsidRPr="00967AC5">
        <w:fldChar w:fldCharType="separate"/>
      </w:r>
      <w:r w:rsidR="00680BB5" w:rsidRPr="00967AC5">
        <w:t>3.4</w:t>
      </w:r>
      <w:r w:rsidR="005E57D3" w:rsidRPr="00967AC5">
        <w:fldChar w:fldCharType="end"/>
      </w:r>
      <w:r w:rsidRPr="00967AC5">
        <w:t>)</w:t>
      </w:r>
      <w:r w:rsidR="00843134" w:rsidRPr="00967AC5">
        <w:t xml:space="preserve"> which are the same as those </w:t>
      </w:r>
      <w:r w:rsidR="006F0CB1" w:rsidRPr="00967AC5">
        <w:t>for</w:t>
      </w:r>
      <w:r w:rsidR="00843134" w:rsidRPr="00967AC5">
        <w:t xml:space="preserve"> LTE AAS </w:t>
      </w:r>
      <w:r w:rsidR="006F0CB1" w:rsidRPr="00967AC5">
        <w:t>BS</w:t>
      </w:r>
      <w:r w:rsidRPr="00967AC5">
        <w:t>.</w:t>
      </w:r>
    </w:p>
    <w:p w14:paraId="1F57E750" w14:textId="370D2AED" w:rsidR="00F67850" w:rsidRPr="00967AC5" w:rsidRDefault="00F67850" w:rsidP="00F67850">
      <w:pPr>
        <w:pStyle w:val="ECCParagraph"/>
      </w:pPr>
      <w:r w:rsidRPr="00967AC5">
        <w:t xml:space="preserve">GSM protection has also been taken into consideration in ETSI </w:t>
      </w:r>
      <w:r w:rsidR="0027793A" w:rsidRPr="00967AC5">
        <w:t xml:space="preserve">standardisation </w:t>
      </w:r>
      <w:r w:rsidRPr="00967AC5">
        <w:t>when new systems have been introduced.</w:t>
      </w:r>
    </w:p>
    <w:p w14:paraId="6AE13822" w14:textId="6B16D502" w:rsidR="00E21A8D" w:rsidRPr="00967AC5" w:rsidRDefault="00F60BE9" w:rsidP="002C7B09">
      <w:pPr>
        <w:pStyle w:val="ECCParagraph"/>
      </w:pPr>
      <w:r w:rsidRPr="00967AC5">
        <w:t>T</w:t>
      </w:r>
      <w:r w:rsidR="00E21A8D" w:rsidRPr="00967AC5">
        <w:t xml:space="preserve">he proposed </w:t>
      </w:r>
      <w:r w:rsidRPr="00967AC5">
        <w:t xml:space="preserve">technology neutral </w:t>
      </w:r>
      <w:r w:rsidR="00E21A8D" w:rsidRPr="00967AC5">
        <w:t>LRTC</w:t>
      </w:r>
      <w:r w:rsidRPr="00967AC5">
        <w:t>s</w:t>
      </w:r>
      <w:r w:rsidR="00E21A8D" w:rsidRPr="00967AC5">
        <w:t xml:space="preserve"> </w:t>
      </w:r>
      <w:r w:rsidRPr="00967AC5">
        <w:t xml:space="preserve">for AAS </w:t>
      </w:r>
      <w:r w:rsidR="00E14483" w:rsidRPr="00967AC5">
        <w:t xml:space="preserve">BS </w:t>
      </w:r>
      <w:r w:rsidRPr="00967AC5">
        <w:t xml:space="preserve">and non-AAS </w:t>
      </w:r>
      <w:r w:rsidR="00E14483" w:rsidRPr="00967AC5">
        <w:t xml:space="preserve">BS </w:t>
      </w:r>
      <w:r w:rsidR="00E21A8D" w:rsidRPr="00967AC5">
        <w:t xml:space="preserve">(including implementation of required frequency separation) as described in this </w:t>
      </w:r>
      <w:r w:rsidR="008A3E84" w:rsidRPr="00967AC5">
        <w:t>R</w:t>
      </w:r>
      <w:r w:rsidR="00E21A8D" w:rsidRPr="00967AC5">
        <w:t>eport will ensure that GSM  remain</w:t>
      </w:r>
      <w:r w:rsidR="00A17436" w:rsidRPr="00967AC5">
        <w:t>s</w:t>
      </w:r>
      <w:r w:rsidR="00E21A8D" w:rsidRPr="00967AC5">
        <w:t xml:space="preserve"> protected</w:t>
      </w:r>
      <w:r w:rsidR="000F2293" w:rsidRPr="00967AC5">
        <w:t>.</w:t>
      </w:r>
      <w:r w:rsidR="009D08C5" w:rsidRPr="00967AC5">
        <w:t xml:space="preserve"> </w:t>
      </w:r>
    </w:p>
    <w:p w14:paraId="468DA8CB" w14:textId="65F6AE74" w:rsidR="009D08C5" w:rsidRPr="00967AC5" w:rsidRDefault="009D08C5" w:rsidP="00CD1665">
      <w:pPr>
        <w:pStyle w:val="ECCParagraph"/>
      </w:pPr>
      <w:r w:rsidRPr="00967AC5">
        <w:t xml:space="preserve">MFCN </w:t>
      </w:r>
      <w:r w:rsidR="00E21A8D" w:rsidRPr="00967AC5">
        <w:t xml:space="preserve">Systems </w:t>
      </w:r>
      <w:r w:rsidRPr="00967AC5">
        <w:t xml:space="preserve">(excluding GSM) </w:t>
      </w:r>
      <w:r w:rsidR="00E21A8D" w:rsidRPr="00967AC5">
        <w:t xml:space="preserve">already </w:t>
      </w:r>
      <w:r w:rsidRPr="00967AC5">
        <w:t xml:space="preserve">authorised under current EC/ECC framework in </w:t>
      </w:r>
      <w:r w:rsidR="00F17B8F" w:rsidRPr="00967AC5">
        <w:t>the</w:t>
      </w:r>
      <w:r w:rsidRPr="00967AC5">
        <w:t xml:space="preserve"> 900/1800</w:t>
      </w:r>
      <w:r w:rsidR="00AB737C" w:rsidRPr="00967AC5">
        <w:t xml:space="preserve"> </w:t>
      </w:r>
      <w:r w:rsidRPr="00967AC5">
        <w:t>MHz</w:t>
      </w:r>
      <w:r w:rsidR="00F17B8F" w:rsidRPr="00967AC5">
        <w:t xml:space="preserve"> bands</w:t>
      </w:r>
      <w:r w:rsidRPr="00967AC5">
        <w:t>, comply with the recommended technology neutral LRTC.</w:t>
      </w:r>
    </w:p>
    <w:p w14:paraId="7A344C92" w14:textId="58719411" w:rsidR="0082694C" w:rsidRPr="00967AC5" w:rsidRDefault="00F60BE9">
      <w:pPr>
        <w:pStyle w:val="ECCParagraph"/>
      </w:pPr>
      <w:r w:rsidRPr="00967AC5">
        <w:t xml:space="preserve">This </w:t>
      </w:r>
      <w:r w:rsidR="00AB737C" w:rsidRPr="00967AC5">
        <w:t>R</w:t>
      </w:r>
      <w:r w:rsidRPr="00967AC5">
        <w:t xml:space="preserve">eport </w:t>
      </w:r>
      <w:r w:rsidR="0082694C" w:rsidRPr="00967AC5">
        <w:t xml:space="preserve">also </w:t>
      </w:r>
      <w:r w:rsidRPr="00967AC5">
        <w:t>describe</w:t>
      </w:r>
      <w:r w:rsidR="0082694C" w:rsidRPr="00967AC5">
        <w:t>s</w:t>
      </w:r>
      <w:r w:rsidRPr="00967AC5">
        <w:t xml:space="preserve"> how the necessary frequency separation between GSM and NB</w:t>
      </w:r>
      <w:r w:rsidR="00B36DDB" w:rsidRPr="00967AC5">
        <w:t xml:space="preserve"> systems</w:t>
      </w:r>
      <w:r w:rsidR="00F1519B" w:rsidRPr="00967AC5">
        <w:t>/</w:t>
      </w:r>
      <w:r w:rsidRPr="00967AC5">
        <w:t>WB</w:t>
      </w:r>
      <w:r w:rsidR="00B36DDB" w:rsidRPr="00967AC5">
        <w:t xml:space="preserve"> </w:t>
      </w:r>
      <w:r w:rsidRPr="00967AC5">
        <w:t>systems could be managed at the edge of operators</w:t>
      </w:r>
      <w:r w:rsidR="00162933" w:rsidRPr="00967AC5">
        <w:t>’</w:t>
      </w:r>
      <w:r w:rsidRPr="00967AC5">
        <w:t xml:space="preserve"> blocks (see section </w:t>
      </w:r>
      <w:r w:rsidR="00DD2033" w:rsidRPr="00967AC5">
        <w:fldChar w:fldCharType="begin"/>
      </w:r>
      <w:r w:rsidR="00DD2033" w:rsidRPr="00967AC5">
        <w:instrText xml:space="preserve"> REF _Ref59205459 \r \h </w:instrText>
      </w:r>
      <w:r w:rsidR="001C7C80" w:rsidRPr="00967AC5">
        <w:instrText xml:space="preserve"> \* MERGEFORMAT </w:instrText>
      </w:r>
      <w:r w:rsidR="00DD2033" w:rsidRPr="00967AC5">
        <w:fldChar w:fldCharType="separate"/>
      </w:r>
      <w:r w:rsidR="00680BB5" w:rsidRPr="00967AC5">
        <w:t>3.4.5</w:t>
      </w:r>
      <w:r w:rsidR="00DD2033" w:rsidRPr="00967AC5">
        <w:fldChar w:fldCharType="end"/>
      </w:r>
      <w:r w:rsidRPr="00967AC5">
        <w:t>).</w:t>
      </w:r>
    </w:p>
    <w:p w14:paraId="53ABD2B1" w14:textId="6F85AC46" w:rsidR="00DD2033" w:rsidRPr="00967AC5" w:rsidRDefault="00D07C98" w:rsidP="00F91806">
      <w:pPr>
        <w:pStyle w:val="Heading3"/>
        <w:rPr>
          <w:lang w:val="en-GB"/>
        </w:rPr>
      </w:pPr>
      <w:bookmarkStart w:id="47" w:name="_Toc71037805"/>
      <w:r w:rsidRPr="00967AC5">
        <w:rPr>
          <w:lang w:val="en-GB"/>
        </w:rPr>
        <w:t>EC-GSM-IoT</w:t>
      </w:r>
      <w:bookmarkEnd w:id="47"/>
    </w:p>
    <w:p w14:paraId="01BEA87F" w14:textId="762EE732" w:rsidR="00DD2033" w:rsidRPr="00967AC5" w:rsidRDefault="00DD2033" w:rsidP="00DD2033">
      <w:pPr>
        <w:pStyle w:val="ECCParagraph"/>
      </w:pPr>
      <w:r w:rsidRPr="00967AC5">
        <w:t xml:space="preserve">GSM includes EC-GSM-IoT, which is therefore also not considered in the LRTC. </w:t>
      </w:r>
    </w:p>
    <w:p w14:paraId="0A52BB99" w14:textId="47002683" w:rsidR="00DD2033" w:rsidRPr="00967AC5" w:rsidRDefault="00DD2033" w:rsidP="00DD2033">
      <w:pPr>
        <w:pStyle w:val="ECCParagraph"/>
      </w:pPr>
      <w:r w:rsidRPr="00967AC5">
        <w:t xml:space="preserve">ECC </w:t>
      </w:r>
      <w:r w:rsidR="004A4A04" w:rsidRPr="00967AC5">
        <w:t>R</w:t>
      </w:r>
      <w:r w:rsidRPr="00967AC5">
        <w:t xml:space="preserve">eport 266 </w:t>
      </w:r>
      <w:r w:rsidR="00327F19" w:rsidRPr="00967AC5">
        <w:fldChar w:fldCharType="begin"/>
      </w:r>
      <w:r w:rsidR="00327F19" w:rsidRPr="00967AC5">
        <w:instrText xml:space="preserve"> REF _Ref63337447 \r \h </w:instrText>
      </w:r>
      <w:r w:rsidR="002505BC" w:rsidRPr="00967AC5">
        <w:instrText xml:space="preserve"> \* MERGEFORMAT </w:instrText>
      </w:r>
      <w:r w:rsidR="00327F19" w:rsidRPr="00967AC5">
        <w:fldChar w:fldCharType="separate"/>
      </w:r>
      <w:r w:rsidR="00680BB5" w:rsidRPr="00967AC5">
        <w:t>[5]</w:t>
      </w:r>
      <w:r w:rsidR="00327F19" w:rsidRPr="00967AC5">
        <w:fldChar w:fldCharType="end"/>
      </w:r>
      <w:r w:rsidR="00327F19" w:rsidRPr="00967AC5">
        <w:t xml:space="preserve"> </w:t>
      </w:r>
      <w:r w:rsidRPr="00967AC5">
        <w:t>mentions the following:</w:t>
      </w:r>
    </w:p>
    <w:p w14:paraId="7C6E7A4B" w14:textId="00686D6B" w:rsidR="00B0763F" w:rsidRPr="00967AC5" w:rsidRDefault="00D07C98" w:rsidP="00B0763F">
      <w:pPr>
        <w:pStyle w:val="ECCParagraph"/>
        <w:rPr>
          <w:i/>
          <w:iCs/>
        </w:rPr>
      </w:pPr>
      <w:r w:rsidRPr="00967AC5">
        <w:rPr>
          <w:i/>
          <w:iCs/>
        </w:rPr>
        <w:lastRenderedPageBreak/>
        <w:t>”</w:t>
      </w:r>
      <w:r w:rsidR="00DD2033" w:rsidRPr="00967AC5">
        <w:rPr>
          <w:i/>
          <w:iCs/>
        </w:rPr>
        <w:t>EC-GSM-IoT is an evolution of the existing GSM air interface with a channel bandwidth of 200 kHz.</w:t>
      </w:r>
      <w:r w:rsidR="00B0763F" w:rsidRPr="00967AC5">
        <w:rPr>
          <w:i/>
          <w:iCs/>
        </w:rPr>
        <w:t xml:space="preserve"> </w:t>
      </w:r>
      <w:r w:rsidR="00DD2033" w:rsidRPr="00967AC5">
        <w:rPr>
          <w:i/>
          <w:iCs/>
        </w:rPr>
        <w:t xml:space="preserve">EC-GSM-IoT is part of the GSM system for carrying IoT traffic. Since EC-GSM-IoT is part of the GSM system, the BS and UE spectrum masks are the same as a normal GSM </w:t>
      </w:r>
      <w:proofErr w:type="gramStart"/>
      <w:r w:rsidR="00DD2033" w:rsidRPr="00967AC5">
        <w:rPr>
          <w:i/>
          <w:iCs/>
        </w:rPr>
        <w:t>systems</w:t>
      </w:r>
      <w:proofErr w:type="gramEnd"/>
      <w:r w:rsidR="00DD2033" w:rsidRPr="00967AC5">
        <w:rPr>
          <w:i/>
          <w:iCs/>
        </w:rPr>
        <w:t xml:space="preserve">. </w:t>
      </w:r>
    </w:p>
    <w:p w14:paraId="5A1A92A2" w14:textId="0CBC0A88" w:rsidR="00B0763F" w:rsidRPr="00967AC5" w:rsidRDefault="00103E13" w:rsidP="00923C65">
      <w:pPr>
        <w:pStyle w:val="ECCParagraph"/>
        <w:rPr>
          <w:i/>
          <w:iCs/>
        </w:rPr>
      </w:pPr>
      <w:r w:rsidRPr="00967AC5">
        <w:rPr>
          <w:i/>
          <w:iCs/>
        </w:rPr>
        <w:t>…</w:t>
      </w:r>
    </w:p>
    <w:p w14:paraId="3FA09625" w14:textId="0E18CBD1" w:rsidR="00DD2033" w:rsidRPr="00967AC5" w:rsidRDefault="00DD2033" w:rsidP="00B0763F">
      <w:pPr>
        <w:pStyle w:val="ECCParagraph"/>
        <w:rPr>
          <w:i/>
          <w:iCs/>
        </w:rPr>
      </w:pPr>
      <w:r w:rsidRPr="00967AC5">
        <w:rPr>
          <w:i/>
          <w:iCs/>
        </w:rPr>
        <w:t>An EC-GSM-IoT system is deployed in a standalone mode and/or in-band mode in the 900 and 1800 MHz bands, EC-GSM-IoT uses the same frequency planning as GSM, e.g</w:t>
      </w:r>
      <w:r w:rsidR="003E12E2" w:rsidRPr="00967AC5">
        <w:rPr>
          <w:i/>
          <w:iCs/>
        </w:rPr>
        <w:t>.</w:t>
      </w:r>
      <w:r w:rsidRPr="00967AC5">
        <w:rPr>
          <w:i/>
          <w:iCs/>
        </w:rPr>
        <w:t xml:space="preserve"> either with fixed frequency reuse or with frequency hopping. Some of the GSM network’s radio resource (time slots) is dynamically allocated </w:t>
      </w:r>
      <w:r w:rsidR="00D07C98" w:rsidRPr="00967AC5">
        <w:rPr>
          <w:i/>
          <w:iCs/>
        </w:rPr>
        <w:t>IoT.”</w:t>
      </w:r>
    </w:p>
    <w:p w14:paraId="1BE1AAC7" w14:textId="684FC839" w:rsidR="00DD2033" w:rsidRPr="00967AC5" w:rsidRDefault="00DD2033" w:rsidP="00DD2033">
      <w:pPr>
        <w:pStyle w:val="ECCParagraph"/>
      </w:pPr>
      <w:r w:rsidRPr="00967AC5">
        <w:t>CEPT confirms that all the above analysis developed for GSM are also valid for EC</w:t>
      </w:r>
      <w:r w:rsidR="003F1A4D" w:rsidRPr="00967AC5">
        <w:t>-</w:t>
      </w:r>
      <w:r w:rsidRPr="00967AC5">
        <w:t>GSM</w:t>
      </w:r>
      <w:r w:rsidR="00EF2107" w:rsidRPr="00967AC5">
        <w:t>-I</w:t>
      </w:r>
      <w:r w:rsidRPr="00967AC5">
        <w:t>o</w:t>
      </w:r>
      <w:r w:rsidR="00EF2107" w:rsidRPr="00967AC5">
        <w:t>T.</w:t>
      </w:r>
    </w:p>
    <w:p w14:paraId="06454526" w14:textId="3475B7C8" w:rsidR="00DE242E" w:rsidRPr="00967AC5" w:rsidRDefault="00DE242E" w:rsidP="00E20BAC">
      <w:pPr>
        <w:pStyle w:val="Heading2"/>
        <w:rPr>
          <w:lang w:val="en-GB"/>
        </w:rPr>
      </w:pPr>
      <w:bookmarkStart w:id="48" w:name="_Toc18321625"/>
      <w:bookmarkStart w:id="49" w:name="_Toc18397848"/>
      <w:bookmarkStart w:id="50" w:name="_Ref62117241"/>
      <w:bookmarkStart w:id="51" w:name="_Toc71037806"/>
      <w:r w:rsidRPr="00967AC5">
        <w:rPr>
          <w:lang w:val="en-GB"/>
        </w:rPr>
        <w:t xml:space="preserve">Recommended </w:t>
      </w:r>
      <w:r w:rsidR="00AA165D" w:rsidRPr="00967AC5">
        <w:rPr>
          <w:lang w:val="en-GB"/>
        </w:rPr>
        <w:t>b</w:t>
      </w:r>
      <w:r w:rsidRPr="00967AC5">
        <w:rPr>
          <w:lang w:val="en-GB"/>
        </w:rPr>
        <w:t>and plan</w:t>
      </w:r>
      <w:bookmarkEnd w:id="48"/>
      <w:bookmarkEnd w:id="49"/>
      <w:bookmarkEnd w:id="50"/>
      <w:bookmarkEnd w:id="51"/>
    </w:p>
    <w:p w14:paraId="15808F76" w14:textId="77777777" w:rsidR="00C9295D" w:rsidRPr="00967AC5" w:rsidRDefault="00C9295D" w:rsidP="009A4C8F">
      <w:pPr>
        <w:pStyle w:val="ECCParagraph"/>
      </w:pPr>
      <w:r w:rsidRPr="00967AC5">
        <w:t>In total there are 2 x 35 MHz in 900</w:t>
      </w:r>
      <w:r w:rsidR="0028213E" w:rsidRPr="00967AC5">
        <w:t> </w:t>
      </w:r>
      <w:r w:rsidRPr="00967AC5">
        <w:t xml:space="preserve">MHz band and </w:t>
      </w:r>
      <w:smartTag w:uri="urn:schemas-microsoft-com:office:smarttags" w:element="date">
        <w:smartTagPr>
          <w:attr w:name="ls" w:val="trans"/>
          <w:attr w:name="Month" w:val="10"/>
          <w:attr w:name="Day" w:val="2"/>
          <w:attr w:name="Year" w:val="75"/>
        </w:smartTagPr>
        <w:r w:rsidRPr="00967AC5">
          <w:t>2 x 75</w:t>
        </w:r>
      </w:smartTag>
      <w:r w:rsidRPr="00967AC5">
        <w:t xml:space="preserve"> MHz in 1800 MHz frequency band: </w:t>
      </w:r>
    </w:p>
    <w:p w14:paraId="331D3214" w14:textId="22497EAD" w:rsidR="00704468" w:rsidRPr="00967AC5" w:rsidRDefault="00704468" w:rsidP="002505BC">
      <w:pPr>
        <w:jc w:val="center"/>
        <w:rPr>
          <w:lang w:val="en-GB"/>
        </w:rPr>
      </w:pPr>
      <w:r w:rsidRPr="00967AC5">
        <w:rPr>
          <w:noProof/>
          <w:lang w:val="en-GB" w:eastAsia="zh-CN"/>
        </w:rPr>
        <w:drawing>
          <wp:inline distT="0" distB="0" distL="0" distR="0" wp14:anchorId="788D69EB" wp14:editId="6425499D">
            <wp:extent cx="2457450" cy="742950"/>
            <wp:effectExtent l="0" t="0" r="0" b="0"/>
            <wp:docPr id="22"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457450" cy="742950"/>
                    </a:xfrm>
                    <a:prstGeom prst="rect">
                      <a:avLst/>
                    </a:prstGeom>
                  </pic:spPr>
                </pic:pic>
              </a:graphicData>
            </a:graphic>
          </wp:inline>
        </w:drawing>
      </w:r>
    </w:p>
    <w:p w14:paraId="73AD38A7" w14:textId="02DE551D" w:rsidR="00C9295D" w:rsidRPr="00967AC5" w:rsidRDefault="00C9295D" w:rsidP="004B399B">
      <w:pPr>
        <w:pStyle w:val="Caption"/>
        <w:rPr>
          <w:lang w:val="en-GB"/>
        </w:rPr>
      </w:pPr>
      <w:r w:rsidRPr="00967AC5">
        <w:rPr>
          <w:lang w:val="en-GB"/>
        </w:rPr>
        <w:t xml:space="preserve">Figure </w:t>
      </w:r>
      <w:r w:rsidRPr="00967AC5">
        <w:rPr>
          <w:lang w:val="en-GB"/>
        </w:rPr>
        <w:fldChar w:fldCharType="begin"/>
      </w:r>
      <w:r w:rsidRPr="00967AC5">
        <w:rPr>
          <w:lang w:val="en-GB"/>
        </w:rPr>
        <w:instrText xml:space="preserve"> SEQ Figure \* ARABIC </w:instrText>
      </w:r>
      <w:r w:rsidRPr="00967AC5">
        <w:rPr>
          <w:lang w:val="en-GB"/>
        </w:rPr>
        <w:fldChar w:fldCharType="separate"/>
      </w:r>
      <w:r w:rsidR="00680BB5" w:rsidRPr="00967AC5">
        <w:rPr>
          <w:noProof/>
          <w:lang w:val="en-GB"/>
        </w:rPr>
        <w:t>5</w:t>
      </w:r>
      <w:r w:rsidRPr="00967AC5">
        <w:rPr>
          <w:lang w:val="en-GB"/>
        </w:rPr>
        <w:fldChar w:fldCharType="end"/>
      </w:r>
      <w:r w:rsidRPr="00967AC5">
        <w:rPr>
          <w:lang w:val="en-GB"/>
        </w:rPr>
        <w:t>: 900 MHz band plan</w:t>
      </w:r>
    </w:p>
    <w:p w14:paraId="01BF4FA2" w14:textId="65A2F9C0" w:rsidR="00704468" w:rsidRPr="00967AC5" w:rsidRDefault="00704468" w:rsidP="002505BC">
      <w:pPr>
        <w:rPr>
          <w:lang w:val="en-GB"/>
        </w:rPr>
      </w:pPr>
      <w:r w:rsidRPr="00967AC5">
        <w:rPr>
          <w:noProof/>
          <w:lang w:val="en-GB" w:eastAsia="zh-CN"/>
        </w:rPr>
        <w:drawing>
          <wp:inline distT="0" distB="0" distL="0" distR="0" wp14:anchorId="38541809" wp14:editId="0D2AF095">
            <wp:extent cx="6096000" cy="742950"/>
            <wp:effectExtent l="0" t="0" r="0" b="0"/>
            <wp:docPr id="23"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6096000" cy="742950"/>
                    </a:xfrm>
                    <a:prstGeom prst="rect">
                      <a:avLst/>
                    </a:prstGeom>
                  </pic:spPr>
                </pic:pic>
              </a:graphicData>
            </a:graphic>
          </wp:inline>
        </w:drawing>
      </w:r>
    </w:p>
    <w:p w14:paraId="174322A4" w14:textId="2CB685EF" w:rsidR="00C9295D" w:rsidRPr="00967AC5" w:rsidRDefault="00C9295D" w:rsidP="004B399B">
      <w:pPr>
        <w:pStyle w:val="Caption"/>
        <w:rPr>
          <w:lang w:val="en-GB"/>
        </w:rPr>
      </w:pPr>
      <w:r w:rsidRPr="00967AC5">
        <w:rPr>
          <w:lang w:val="en-GB"/>
        </w:rPr>
        <w:t xml:space="preserve">Figure </w:t>
      </w:r>
      <w:r w:rsidRPr="00967AC5">
        <w:rPr>
          <w:lang w:val="en-GB"/>
        </w:rPr>
        <w:fldChar w:fldCharType="begin"/>
      </w:r>
      <w:r w:rsidRPr="00967AC5">
        <w:rPr>
          <w:lang w:val="en-GB"/>
        </w:rPr>
        <w:instrText xml:space="preserve"> SEQ Figure \* ARABIC </w:instrText>
      </w:r>
      <w:r w:rsidRPr="00967AC5">
        <w:rPr>
          <w:lang w:val="en-GB"/>
        </w:rPr>
        <w:fldChar w:fldCharType="separate"/>
      </w:r>
      <w:r w:rsidR="00680BB5" w:rsidRPr="00967AC5">
        <w:rPr>
          <w:noProof/>
          <w:lang w:val="en-GB"/>
        </w:rPr>
        <w:t>6</w:t>
      </w:r>
      <w:r w:rsidRPr="00967AC5">
        <w:rPr>
          <w:lang w:val="en-GB"/>
        </w:rPr>
        <w:fldChar w:fldCharType="end"/>
      </w:r>
      <w:r w:rsidRPr="00967AC5">
        <w:rPr>
          <w:lang w:val="en-GB"/>
        </w:rPr>
        <w:t>: 1800 MHz band plan</w:t>
      </w:r>
    </w:p>
    <w:p w14:paraId="57C62598" w14:textId="6A2B5978" w:rsidR="00C9295D" w:rsidRPr="00967AC5" w:rsidRDefault="00C9295D" w:rsidP="00F91806">
      <w:pPr>
        <w:pStyle w:val="Heading3"/>
        <w:rPr>
          <w:rStyle w:val="ECCHLbold"/>
          <w:b/>
          <w:lang w:val="en-GB"/>
        </w:rPr>
      </w:pPr>
      <w:bookmarkStart w:id="52" w:name="_Toc71037807"/>
      <w:r w:rsidRPr="00967AC5">
        <w:rPr>
          <w:rStyle w:val="ECCHLbold"/>
          <w:b/>
          <w:lang w:val="en-GB"/>
        </w:rPr>
        <w:t>GSM</w:t>
      </w:r>
      <w:r w:rsidR="00132525" w:rsidRPr="00967AC5">
        <w:rPr>
          <w:rStyle w:val="ECCHLbold"/>
          <w:b/>
          <w:lang w:val="en-GB"/>
        </w:rPr>
        <w:t xml:space="preserve"> </w:t>
      </w:r>
      <w:r w:rsidR="004B399B" w:rsidRPr="00967AC5">
        <w:rPr>
          <w:rStyle w:val="ECCHLbold"/>
          <w:b/>
          <w:lang w:val="en-GB"/>
        </w:rPr>
        <w:t xml:space="preserve">and </w:t>
      </w:r>
      <w:r w:rsidR="00680BB5" w:rsidRPr="00967AC5">
        <w:rPr>
          <w:rStyle w:val="ECCHLbold"/>
          <w:b/>
          <w:lang w:val="en-GB"/>
        </w:rPr>
        <w:t>s</w:t>
      </w:r>
      <w:r w:rsidR="005219BD" w:rsidRPr="00967AC5">
        <w:rPr>
          <w:rStyle w:val="ECCHLbold"/>
          <w:b/>
          <w:lang w:val="en-GB"/>
        </w:rPr>
        <w:t>tandalone</w:t>
      </w:r>
      <w:r w:rsidRPr="00967AC5">
        <w:rPr>
          <w:rStyle w:val="ECCHLbold"/>
          <w:b/>
          <w:lang w:val="en-GB"/>
        </w:rPr>
        <w:t xml:space="preserve"> </w:t>
      </w:r>
      <w:r w:rsidR="00D07C98" w:rsidRPr="00967AC5">
        <w:rPr>
          <w:rStyle w:val="ECCHLbold"/>
          <w:b/>
          <w:lang w:val="en-GB"/>
        </w:rPr>
        <w:t>NB-IoT</w:t>
      </w:r>
      <w:r w:rsidR="00C55250" w:rsidRPr="00967AC5">
        <w:rPr>
          <w:rStyle w:val="ECCHLbold"/>
          <w:b/>
          <w:lang w:val="en-GB"/>
        </w:rPr>
        <w:t xml:space="preserve"> </w:t>
      </w:r>
      <w:bookmarkEnd w:id="52"/>
    </w:p>
    <w:p w14:paraId="679D1B59" w14:textId="3FB26E0D" w:rsidR="00C9295D" w:rsidRPr="00967AC5" w:rsidRDefault="00C9295D" w:rsidP="00E20BAC">
      <w:pPr>
        <w:pStyle w:val="ECCParagraph"/>
      </w:pPr>
      <w:r w:rsidRPr="00967AC5">
        <w:t xml:space="preserve">When such bands are used </w:t>
      </w:r>
      <w:r w:rsidR="0028213E" w:rsidRPr="00967AC5">
        <w:t xml:space="preserve">for </w:t>
      </w:r>
      <w:r w:rsidRPr="00967AC5">
        <w:t xml:space="preserve">GSM including EC-GSM-IoT and/or </w:t>
      </w:r>
      <w:r w:rsidR="00680BB5" w:rsidRPr="00967AC5">
        <w:t>standalone</w:t>
      </w:r>
      <w:r w:rsidRPr="00967AC5">
        <w:t xml:space="preserve"> NB-IoT, there is a need for 200 kHz blocks. This is already harmonised in current ECC</w:t>
      </w:r>
      <w:r w:rsidR="0028213E" w:rsidRPr="00967AC5">
        <w:t xml:space="preserve"> Decision </w:t>
      </w:r>
      <w:r w:rsidRPr="00967AC5">
        <w:t xml:space="preserve">(06)13 </w:t>
      </w:r>
      <w:r w:rsidR="00327F19" w:rsidRPr="00967AC5">
        <w:fldChar w:fldCharType="begin"/>
      </w:r>
      <w:r w:rsidR="00327F19" w:rsidRPr="00967AC5">
        <w:instrText xml:space="preserve"> REF _Ref63427273 \r \h </w:instrText>
      </w:r>
      <w:r w:rsidR="002505BC" w:rsidRPr="00967AC5">
        <w:instrText xml:space="preserve"> \* MERGEFORMAT </w:instrText>
      </w:r>
      <w:r w:rsidR="00327F19" w:rsidRPr="00967AC5">
        <w:fldChar w:fldCharType="separate"/>
      </w:r>
      <w:r w:rsidR="00680BB5" w:rsidRPr="00967AC5">
        <w:t>[15]</w:t>
      </w:r>
      <w:r w:rsidR="00327F19" w:rsidRPr="00967AC5">
        <w:fldChar w:fldCharType="end"/>
      </w:r>
      <w:r w:rsidR="00327F19" w:rsidRPr="00967AC5">
        <w:t xml:space="preserve"> </w:t>
      </w:r>
      <w:r w:rsidRPr="00967AC5">
        <w:t xml:space="preserve">with related ETSI HS (see </w:t>
      </w:r>
      <w:r w:rsidR="00D3232A" w:rsidRPr="00967AC5">
        <w:t xml:space="preserve">Annex </w:t>
      </w:r>
      <w:r w:rsidRPr="00967AC5">
        <w:t>2 of the ECC</w:t>
      </w:r>
      <w:r w:rsidR="0028213E" w:rsidRPr="00967AC5">
        <w:t xml:space="preserve"> Decision </w:t>
      </w:r>
      <w:r w:rsidRPr="00967AC5">
        <w:t xml:space="preserve">(06)13). As mentioned in CEPT Report 72 </w:t>
      </w:r>
      <w:r w:rsidR="0027793A" w:rsidRPr="00967AC5">
        <w:fldChar w:fldCharType="begin"/>
      </w:r>
      <w:r w:rsidR="0027793A" w:rsidRPr="00967AC5">
        <w:instrText xml:space="preserve"> REF _Ref63839661 \r \h </w:instrText>
      </w:r>
      <w:r w:rsidR="002505BC" w:rsidRPr="00967AC5">
        <w:instrText xml:space="preserve"> \* MERGEFORMAT </w:instrText>
      </w:r>
      <w:r w:rsidR="0027793A" w:rsidRPr="00967AC5">
        <w:fldChar w:fldCharType="separate"/>
      </w:r>
      <w:r w:rsidR="00680BB5" w:rsidRPr="00967AC5">
        <w:t>[1]</w:t>
      </w:r>
      <w:r w:rsidR="0027793A" w:rsidRPr="00967AC5">
        <w:fldChar w:fldCharType="end"/>
      </w:r>
      <w:r w:rsidRPr="00967AC5">
        <w:t>, there is no visibility o</w:t>
      </w:r>
      <w:r w:rsidR="0028213E" w:rsidRPr="00967AC5">
        <w:t>f a</w:t>
      </w:r>
      <w:r w:rsidRPr="00967AC5">
        <w:t xml:space="preserve"> GSM switch off.</w:t>
      </w:r>
    </w:p>
    <w:p w14:paraId="112F0B16" w14:textId="346B4618" w:rsidR="00C9295D" w:rsidRPr="00967AC5" w:rsidRDefault="00C9295D" w:rsidP="004B399B">
      <w:pPr>
        <w:pStyle w:val="ECCParagraph"/>
      </w:pPr>
      <w:r w:rsidRPr="00967AC5">
        <w:t xml:space="preserve">In addition, </w:t>
      </w:r>
      <w:r w:rsidR="00162933" w:rsidRPr="00967AC5">
        <w:t xml:space="preserve">even </w:t>
      </w:r>
      <w:r w:rsidRPr="00967AC5">
        <w:t xml:space="preserve">in case of GSM switch off, </w:t>
      </w:r>
      <w:r w:rsidR="00680BB5" w:rsidRPr="00967AC5">
        <w:t>standalone</w:t>
      </w:r>
      <w:r w:rsidR="00716455" w:rsidRPr="00967AC5">
        <w:t xml:space="preserve"> </w:t>
      </w:r>
      <w:r w:rsidR="00D07C98" w:rsidRPr="00967AC5">
        <w:t>NB-IoT</w:t>
      </w:r>
      <w:r w:rsidR="00B36DDB" w:rsidRPr="00967AC5">
        <w:t xml:space="preserve"> </w:t>
      </w:r>
      <w:r w:rsidRPr="00967AC5">
        <w:t xml:space="preserve">may also continue to be developed in future including in </w:t>
      </w:r>
      <w:r w:rsidR="00F17B8F" w:rsidRPr="00967AC5">
        <w:t xml:space="preserve">the </w:t>
      </w:r>
      <w:r w:rsidRPr="00967AC5">
        <w:t>1800 MHz</w:t>
      </w:r>
      <w:r w:rsidR="00F17B8F" w:rsidRPr="00967AC5">
        <w:t xml:space="preserve"> band</w:t>
      </w:r>
      <w:r w:rsidRPr="00967AC5">
        <w:t xml:space="preserve">. NB-IoT in standalone mode is different from NB-IoT in-band </w:t>
      </w:r>
      <w:r w:rsidR="004B399B" w:rsidRPr="00967AC5">
        <w:t xml:space="preserve">mode </w:t>
      </w:r>
      <w:r w:rsidRPr="00967AC5">
        <w:t xml:space="preserve">or </w:t>
      </w:r>
      <w:r w:rsidR="004B399B" w:rsidRPr="00967AC5">
        <w:t xml:space="preserve">NB-IoT in </w:t>
      </w:r>
      <w:r w:rsidRPr="00967AC5">
        <w:t>guard</w:t>
      </w:r>
      <w:r w:rsidR="007C4912" w:rsidRPr="00967AC5">
        <w:t xml:space="preserve"> </w:t>
      </w:r>
      <w:r w:rsidRPr="00967AC5">
        <w:t>band mode in the sense that the IoT carrier is deployed independently, in its own narrowband spectrum.</w:t>
      </w:r>
    </w:p>
    <w:p w14:paraId="54C91818" w14:textId="051D0C9F" w:rsidR="00C9295D" w:rsidRPr="00967AC5" w:rsidRDefault="00C9295D" w:rsidP="00E20BAC">
      <w:pPr>
        <w:pStyle w:val="ECCParagraph"/>
      </w:pPr>
      <w:r w:rsidRPr="00967AC5">
        <w:t>It is noted that the UMTS channel raster is 200 kHz, which means that the centre frequency must be an integer multiple of 200 kHz. The channel raster for NB-IoT in standalone operation is 100 kHz. Both GSM900 and GSM1800 have channel raster of 200 kHz, as described in ETSI EN</w:t>
      </w:r>
      <w:r w:rsidR="00491D2A" w:rsidRPr="00967AC5">
        <w:t xml:space="preserve"> </w:t>
      </w:r>
      <w:r w:rsidRPr="00967AC5">
        <w:t>301 502</w:t>
      </w:r>
      <w:r w:rsidR="00327F19" w:rsidRPr="00967AC5">
        <w:t xml:space="preserve"> </w:t>
      </w:r>
      <w:r w:rsidR="00327F19" w:rsidRPr="00967AC5">
        <w:fldChar w:fldCharType="begin"/>
      </w:r>
      <w:r w:rsidR="00327F19" w:rsidRPr="00967AC5">
        <w:instrText xml:space="preserve"> REF _Ref63427693 \r \h </w:instrText>
      </w:r>
      <w:r w:rsidR="002505BC" w:rsidRPr="00967AC5">
        <w:instrText xml:space="preserve"> \* MERGEFORMAT </w:instrText>
      </w:r>
      <w:r w:rsidR="00327F19" w:rsidRPr="00967AC5">
        <w:fldChar w:fldCharType="separate"/>
      </w:r>
      <w:r w:rsidR="00680BB5" w:rsidRPr="00967AC5">
        <w:t>[25]</w:t>
      </w:r>
      <w:r w:rsidR="00327F19" w:rsidRPr="00967AC5">
        <w:fldChar w:fldCharType="end"/>
      </w:r>
      <w:r w:rsidRPr="00967AC5">
        <w:t>.</w:t>
      </w:r>
      <w:r w:rsidR="00FC33AB" w:rsidRPr="00967AC5">
        <w:t xml:space="preserve"> </w:t>
      </w:r>
      <w:r w:rsidRPr="00967AC5">
        <w:t>This is a relevant consideration for administrations.</w:t>
      </w:r>
    </w:p>
    <w:p w14:paraId="41AE2709" w14:textId="5C00EF0F" w:rsidR="00C9295D" w:rsidRPr="00967AC5" w:rsidRDefault="00962276" w:rsidP="00F91806">
      <w:pPr>
        <w:pStyle w:val="Heading3"/>
        <w:rPr>
          <w:rStyle w:val="ECCHLbold"/>
          <w:b/>
          <w:lang w:val="en-GB"/>
        </w:rPr>
      </w:pPr>
      <w:bookmarkStart w:id="53" w:name="_Toc71037808"/>
      <w:r w:rsidRPr="00967AC5">
        <w:rPr>
          <w:rStyle w:val="ECCHLbold"/>
          <w:b/>
          <w:lang w:val="en-GB"/>
        </w:rPr>
        <w:t>Wideband systems (such as 5G New Radio (NR))</w:t>
      </w:r>
      <w:r w:rsidR="00C9295D" w:rsidRPr="00967AC5">
        <w:rPr>
          <w:rStyle w:val="ECCHLbold"/>
          <w:b/>
          <w:lang w:val="en-GB"/>
        </w:rPr>
        <w:t>:</w:t>
      </w:r>
      <w:bookmarkEnd w:id="53"/>
    </w:p>
    <w:p w14:paraId="511C67B3" w14:textId="101540D8" w:rsidR="00C9295D" w:rsidRPr="00967AC5" w:rsidRDefault="00C9295D" w:rsidP="00507AE3">
      <w:pPr>
        <w:pStyle w:val="ECCParagraph"/>
      </w:pPr>
      <w:r w:rsidRPr="00967AC5">
        <w:t xml:space="preserve">For </w:t>
      </w:r>
      <w:r w:rsidR="00507AE3" w:rsidRPr="00967AC5">
        <w:t>wideband systems (such as 5G New Radio (NR))</w:t>
      </w:r>
      <w:r w:rsidR="00457370" w:rsidRPr="00967AC5">
        <w:t>,</w:t>
      </w:r>
      <w:r w:rsidRPr="00967AC5">
        <w:t xml:space="preserve"> a minimum block size of 5 MHz is recommended. This is consistent with the assumptions used in coexistence studies performed in ECC Report 297</w:t>
      </w:r>
      <w:r w:rsidR="00327F19" w:rsidRPr="00967AC5">
        <w:t xml:space="preserve"> </w:t>
      </w:r>
      <w:r w:rsidR="00327F19" w:rsidRPr="00967AC5">
        <w:fldChar w:fldCharType="begin"/>
      </w:r>
      <w:r w:rsidR="00327F19" w:rsidRPr="00967AC5">
        <w:instrText xml:space="preserve"> REF _Ref63337314 \r \h </w:instrText>
      </w:r>
      <w:r w:rsidR="002505BC" w:rsidRPr="00967AC5">
        <w:instrText xml:space="preserve"> \* MERGEFORMAT </w:instrText>
      </w:r>
      <w:r w:rsidR="00327F19" w:rsidRPr="00967AC5">
        <w:fldChar w:fldCharType="separate"/>
      </w:r>
      <w:r w:rsidR="00680BB5" w:rsidRPr="00967AC5">
        <w:t>[3]</w:t>
      </w:r>
      <w:r w:rsidR="00327F19" w:rsidRPr="00967AC5">
        <w:fldChar w:fldCharType="end"/>
      </w:r>
      <w:r w:rsidRPr="00967AC5">
        <w:t>, CEPT Report 40</w:t>
      </w:r>
      <w:r w:rsidR="00327F19" w:rsidRPr="00967AC5">
        <w:t xml:space="preserve"> </w:t>
      </w:r>
      <w:r w:rsidR="00327F19" w:rsidRPr="00967AC5">
        <w:fldChar w:fldCharType="begin"/>
      </w:r>
      <w:r w:rsidR="00327F19" w:rsidRPr="00967AC5">
        <w:instrText xml:space="preserve"> REF _Ref63337334 \r \h </w:instrText>
      </w:r>
      <w:r w:rsidR="002505BC" w:rsidRPr="00967AC5">
        <w:instrText xml:space="preserve"> \* MERGEFORMAT </w:instrText>
      </w:r>
      <w:r w:rsidR="00327F19" w:rsidRPr="00967AC5">
        <w:fldChar w:fldCharType="separate"/>
      </w:r>
      <w:r w:rsidR="00680BB5" w:rsidRPr="00967AC5">
        <w:t>[4]</w:t>
      </w:r>
      <w:r w:rsidR="00327F19" w:rsidRPr="00967AC5">
        <w:fldChar w:fldCharType="end"/>
      </w:r>
      <w:r w:rsidRPr="00967AC5">
        <w:t>, CEPT</w:t>
      </w:r>
      <w:r w:rsidR="00E20BAC" w:rsidRPr="00967AC5">
        <w:t xml:space="preserve"> </w:t>
      </w:r>
      <w:r w:rsidRPr="00967AC5">
        <w:t>Report 41</w:t>
      </w:r>
      <w:r w:rsidR="00327F19" w:rsidRPr="00967AC5">
        <w:t xml:space="preserve"> </w:t>
      </w:r>
      <w:r w:rsidR="00327F19" w:rsidRPr="00967AC5">
        <w:fldChar w:fldCharType="begin"/>
      </w:r>
      <w:r w:rsidR="00327F19" w:rsidRPr="00967AC5">
        <w:instrText xml:space="preserve"> REF _Ref63337493 \r \h </w:instrText>
      </w:r>
      <w:r w:rsidR="002505BC" w:rsidRPr="00967AC5">
        <w:instrText xml:space="preserve"> \* MERGEFORMAT </w:instrText>
      </w:r>
      <w:r w:rsidR="00327F19" w:rsidRPr="00967AC5">
        <w:fldChar w:fldCharType="separate"/>
      </w:r>
      <w:r w:rsidR="00680BB5" w:rsidRPr="00967AC5">
        <w:t>[12]</w:t>
      </w:r>
      <w:r w:rsidR="00327F19" w:rsidRPr="00967AC5">
        <w:fldChar w:fldCharType="end"/>
      </w:r>
      <w:r w:rsidRPr="00967AC5">
        <w:t>, CEPT Report 42</w:t>
      </w:r>
      <w:r w:rsidR="00327F19" w:rsidRPr="00967AC5">
        <w:t xml:space="preserve"> </w:t>
      </w:r>
      <w:r w:rsidR="00327F19" w:rsidRPr="00967AC5">
        <w:fldChar w:fldCharType="begin"/>
      </w:r>
      <w:r w:rsidR="00327F19" w:rsidRPr="00967AC5">
        <w:instrText xml:space="preserve"> REF _Ref63337486 \r \h </w:instrText>
      </w:r>
      <w:r w:rsidR="002505BC" w:rsidRPr="00967AC5">
        <w:instrText xml:space="preserve"> \* MERGEFORMAT </w:instrText>
      </w:r>
      <w:r w:rsidR="00327F19" w:rsidRPr="00967AC5">
        <w:fldChar w:fldCharType="separate"/>
      </w:r>
      <w:r w:rsidR="00680BB5" w:rsidRPr="00967AC5">
        <w:t>[11]</w:t>
      </w:r>
      <w:r w:rsidR="00327F19" w:rsidRPr="00967AC5">
        <w:fldChar w:fldCharType="end"/>
      </w:r>
      <w:r w:rsidRPr="00967AC5">
        <w:t xml:space="preserve">, </w:t>
      </w:r>
      <w:r w:rsidR="00327F19" w:rsidRPr="00967AC5">
        <w:t xml:space="preserve">ECC </w:t>
      </w:r>
      <w:r w:rsidRPr="00967AC5">
        <w:t>Report 82</w:t>
      </w:r>
      <w:r w:rsidR="00327F19" w:rsidRPr="00967AC5">
        <w:t xml:space="preserve"> </w:t>
      </w:r>
      <w:r w:rsidR="00327F19" w:rsidRPr="00967AC5">
        <w:fldChar w:fldCharType="begin"/>
      </w:r>
      <w:r w:rsidR="00327F19" w:rsidRPr="00967AC5">
        <w:instrText xml:space="preserve"> REF _Ref63337472 \r \h </w:instrText>
      </w:r>
      <w:r w:rsidR="00507AE3" w:rsidRPr="00967AC5">
        <w:instrText xml:space="preserve"> \* MERGEFORMAT </w:instrText>
      </w:r>
      <w:r w:rsidR="00327F19" w:rsidRPr="00967AC5">
        <w:fldChar w:fldCharType="separate"/>
      </w:r>
      <w:r w:rsidR="00680BB5" w:rsidRPr="00967AC5">
        <w:t>[8]</w:t>
      </w:r>
      <w:r w:rsidR="00327F19" w:rsidRPr="00967AC5">
        <w:fldChar w:fldCharType="end"/>
      </w:r>
      <w:r w:rsidRPr="00967AC5">
        <w:t xml:space="preserve"> and ECC Report 96 </w:t>
      </w:r>
      <w:r w:rsidR="00327F19" w:rsidRPr="00967AC5">
        <w:fldChar w:fldCharType="begin"/>
      </w:r>
      <w:r w:rsidR="00327F19" w:rsidRPr="00967AC5">
        <w:instrText xml:space="preserve"> REF _Ref63337476 \r \h </w:instrText>
      </w:r>
      <w:r w:rsidR="002505BC" w:rsidRPr="00967AC5">
        <w:instrText xml:space="preserve"> \* MERGEFORMAT </w:instrText>
      </w:r>
      <w:r w:rsidR="00327F19" w:rsidRPr="00967AC5">
        <w:fldChar w:fldCharType="separate"/>
      </w:r>
      <w:r w:rsidR="00680BB5" w:rsidRPr="00967AC5">
        <w:t>[9]</w:t>
      </w:r>
      <w:r w:rsidR="00327F19" w:rsidRPr="00967AC5">
        <w:fldChar w:fldCharType="end"/>
      </w:r>
      <w:r w:rsidR="00327F19" w:rsidRPr="00967AC5">
        <w:t xml:space="preserve"> </w:t>
      </w:r>
      <w:r w:rsidRPr="00967AC5">
        <w:t xml:space="preserve">for NR, LTE, WiMAX and UMTS coexistence. </w:t>
      </w:r>
    </w:p>
    <w:p w14:paraId="49C3194A" w14:textId="0DBFDF1B" w:rsidR="00C9295D" w:rsidRPr="00967AC5" w:rsidRDefault="00C9295D" w:rsidP="00F91806">
      <w:pPr>
        <w:pStyle w:val="Heading3"/>
        <w:rPr>
          <w:rStyle w:val="ECCHLbold"/>
          <w:b/>
          <w:lang w:val="en-GB"/>
        </w:rPr>
      </w:pPr>
      <w:bookmarkStart w:id="54" w:name="_Toc71037809"/>
      <w:r w:rsidRPr="00967AC5">
        <w:rPr>
          <w:rStyle w:val="ECCHLbold"/>
          <w:b/>
          <w:lang w:val="en-GB"/>
        </w:rPr>
        <w:lastRenderedPageBreak/>
        <w:t>IoT (non</w:t>
      </w:r>
      <w:r w:rsidR="009F65AF" w:rsidRPr="00967AC5">
        <w:rPr>
          <w:rStyle w:val="ECCHLbold"/>
          <w:b/>
          <w:lang w:val="en-GB"/>
        </w:rPr>
        <w:t>-</w:t>
      </w:r>
      <w:r w:rsidRPr="00967AC5">
        <w:rPr>
          <w:rStyle w:val="ECCHLbold"/>
          <w:b/>
          <w:lang w:val="en-GB"/>
        </w:rPr>
        <w:t>standalone) systems covered with the 5 MHz block size</w:t>
      </w:r>
      <w:bookmarkEnd w:id="54"/>
    </w:p>
    <w:p w14:paraId="5CAE0EDD" w14:textId="3EA54D6C" w:rsidR="00C9295D" w:rsidRPr="00967AC5" w:rsidRDefault="00C9295D" w:rsidP="00E20BAC">
      <w:pPr>
        <w:pStyle w:val="ECCParagraph"/>
      </w:pPr>
      <w:r w:rsidRPr="00967AC5">
        <w:t>Some IoT systems such as, LTE-MTC/eMTC and NB-IoT in in-band mode, are totally embedded inside the operator</w:t>
      </w:r>
      <w:r w:rsidR="00132525" w:rsidRPr="00967AC5">
        <w:t>’</w:t>
      </w:r>
      <w:r w:rsidRPr="00967AC5">
        <w:t>s LTE channel</w:t>
      </w:r>
      <w:r w:rsidR="005A0617" w:rsidRPr="00967AC5">
        <w:t>.</w:t>
      </w:r>
      <w:r w:rsidRPr="00967AC5">
        <w:t xml:space="preserve"> </w:t>
      </w:r>
      <w:r w:rsidR="005A0617" w:rsidRPr="00967AC5">
        <w:t>T</w:t>
      </w:r>
      <w:r w:rsidRPr="00967AC5">
        <w:t xml:space="preserve">herefore they can be covered with a 5 MHz block size. This is already harmonised through </w:t>
      </w:r>
      <w:r w:rsidR="0028213E" w:rsidRPr="00967AC5">
        <w:t xml:space="preserve">the </w:t>
      </w:r>
      <w:r w:rsidRPr="00967AC5">
        <w:t xml:space="preserve">existing ECC </w:t>
      </w:r>
      <w:r w:rsidR="0028213E" w:rsidRPr="00967AC5">
        <w:t xml:space="preserve">Decision </w:t>
      </w:r>
      <w:r w:rsidRPr="00967AC5">
        <w:t xml:space="preserve">(06)13 by reference to related ETSI HS (see </w:t>
      </w:r>
      <w:r w:rsidR="00767FCC" w:rsidRPr="00967AC5">
        <w:t>ECC Decision (06)13, Annex 2, Table 2</w:t>
      </w:r>
      <w:r w:rsidRPr="00967AC5">
        <w:t xml:space="preserve">). </w:t>
      </w:r>
    </w:p>
    <w:p w14:paraId="1C7D0C1B" w14:textId="5744CD53" w:rsidR="00C9295D" w:rsidRPr="00967AC5" w:rsidRDefault="00C9295D" w:rsidP="00E20BAC">
      <w:pPr>
        <w:pStyle w:val="ECCParagraph"/>
      </w:pPr>
      <w:r w:rsidRPr="00967AC5">
        <w:t>NB-IoT in guard</w:t>
      </w:r>
      <w:r w:rsidR="007C4912" w:rsidRPr="00967AC5">
        <w:t xml:space="preserve"> </w:t>
      </w:r>
      <w:r w:rsidRPr="00967AC5">
        <w:t>band mode can also be embedded inside the operator</w:t>
      </w:r>
      <w:r w:rsidR="00132525" w:rsidRPr="00967AC5">
        <w:t>’</w:t>
      </w:r>
      <w:r w:rsidRPr="00967AC5">
        <w:t xml:space="preserve">s blocks with the condition that a frequency separation of 200 kHz or more is maintained between the NB-IoT channel edge and the edge of the operator’s block, taking into account existing guard bands between operators’ block edges or the edge of the operating band (adjacent to other services). The usage of guard band NB-IoT within CEPT is foreseen only for LTE channel bandwidths of 10 MHz or higher. Operators may deploy guard band NB-IoT for smaller channel bandwidth in between their blocks, if agreed (see ECC </w:t>
      </w:r>
      <w:r w:rsidR="006303EC" w:rsidRPr="00967AC5">
        <w:t>R</w:t>
      </w:r>
      <w:r w:rsidRPr="00967AC5">
        <w:t>eport 266</w:t>
      </w:r>
      <w:r w:rsidR="00214752" w:rsidRPr="00967AC5">
        <w:t xml:space="preserve"> </w:t>
      </w:r>
      <w:r w:rsidR="00391E5A" w:rsidRPr="00967AC5">
        <w:fldChar w:fldCharType="begin"/>
      </w:r>
      <w:r w:rsidR="00391E5A" w:rsidRPr="00967AC5">
        <w:instrText xml:space="preserve"> REF _Ref63686712 \r \h </w:instrText>
      </w:r>
      <w:r w:rsidR="002505BC" w:rsidRPr="00967AC5">
        <w:instrText xml:space="preserve"> \* MERGEFORMAT </w:instrText>
      </w:r>
      <w:r w:rsidR="00391E5A" w:rsidRPr="00967AC5">
        <w:fldChar w:fldCharType="separate"/>
      </w:r>
      <w:r w:rsidR="00680BB5" w:rsidRPr="00967AC5">
        <w:t>[5]</w:t>
      </w:r>
      <w:r w:rsidR="00391E5A" w:rsidRPr="00967AC5">
        <w:fldChar w:fldCharType="end"/>
      </w:r>
      <w:r w:rsidRPr="00967AC5">
        <w:t>)</w:t>
      </w:r>
      <w:r w:rsidR="00C2698A" w:rsidRPr="00967AC5">
        <w:t>.</w:t>
      </w:r>
    </w:p>
    <w:p w14:paraId="044616CB" w14:textId="6698067E" w:rsidR="00C9295D" w:rsidRPr="00967AC5" w:rsidRDefault="00C9295D" w:rsidP="00F91806">
      <w:pPr>
        <w:pStyle w:val="Heading3"/>
        <w:rPr>
          <w:rStyle w:val="ECCHLbold"/>
          <w:b/>
          <w:lang w:val="en-GB"/>
        </w:rPr>
      </w:pPr>
      <w:bookmarkStart w:id="55" w:name="_Toc71037810"/>
      <w:r w:rsidRPr="00967AC5">
        <w:rPr>
          <w:rStyle w:val="ECCHLbold"/>
          <w:b/>
          <w:lang w:val="en-GB"/>
        </w:rPr>
        <w:t>Migration issues towards 5G (NR)</w:t>
      </w:r>
      <w:bookmarkEnd w:id="55"/>
    </w:p>
    <w:p w14:paraId="0FE518F4" w14:textId="713DFCF1" w:rsidR="00C9295D" w:rsidRPr="00967AC5" w:rsidRDefault="00C9295D" w:rsidP="00BC719D">
      <w:pPr>
        <w:pStyle w:val="ECCParagraph"/>
      </w:pPr>
      <w:r w:rsidRPr="00967AC5">
        <w:t xml:space="preserve">Current authorisations in force (see ECO </w:t>
      </w:r>
      <w:r w:rsidR="006303EC" w:rsidRPr="00967AC5">
        <w:t>R</w:t>
      </w:r>
      <w:r w:rsidRPr="00967AC5">
        <w:t>eport 03</w:t>
      </w:r>
      <w:r w:rsidR="00327F19" w:rsidRPr="00967AC5">
        <w:t xml:space="preserve"> </w:t>
      </w:r>
      <w:r w:rsidR="00327F19" w:rsidRPr="00967AC5">
        <w:fldChar w:fldCharType="begin"/>
      </w:r>
      <w:r w:rsidR="00327F19" w:rsidRPr="00967AC5">
        <w:instrText xml:space="preserve"> REF _Ref63427896 \r \h </w:instrText>
      </w:r>
      <w:r w:rsidR="002505BC" w:rsidRPr="00967AC5">
        <w:instrText xml:space="preserve"> \* MERGEFORMAT </w:instrText>
      </w:r>
      <w:r w:rsidR="00327F19" w:rsidRPr="00967AC5">
        <w:fldChar w:fldCharType="separate"/>
      </w:r>
      <w:r w:rsidR="00680BB5" w:rsidRPr="00967AC5">
        <w:t>[28]</w:t>
      </w:r>
      <w:r w:rsidR="00327F19" w:rsidRPr="00967AC5">
        <w:fldChar w:fldCharType="end"/>
      </w:r>
      <w:r w:rsidRPr="00967AC5">
        <w:t>) reveals that there are a number of authorisations that are not based on multiples of 5 MHz</w:t>
      </w:r>
      <w:r w:rsidR="0095200E" w:rsidRPr="00967AC5">
        <w:t xml:space="preserve"> blocks</w:t>
      </w:r>
      <w:r w:rsidRPr="00967AC5">
        <w:t xml:space="preserve">, while </w:t>
      </w:r>
      <w:r w:rsidR="0095200E" w:rsidRPr="00967AC5">
        <w:t xml:space="preserve">some </w:t>
      </w:r>
      <w:r w:rsidR="00A43D19" w:rsidRPr="00967AC5">
        <w:t>other</w:t>
      </w:r>
      <w:r w:rsidRPr="00967AC5">
        <w:t xml:space="preserve">  implement</w:t>
      </w:r>
      <w:r w:rsidR="00BC719D" w:rsidRPr="00967AC5">
        <w:t>ed</w:t>
      </w:r>
      <w:r w:rsidRPr="00967AC5">
        <w:t xml:space="preserve"> authorisations </w:t>
      </w:r>
      <w:r w:rsidR="00BC719D" w:rsidRPr="00967AC5">
        <w:t xml:space="preserve">are </w:t>
      </w:r>
      <w:r w:rsidRPr="00967AC5">
        <w:t>based on multiples of 5 MHz</w:t>
      </w:r>
      <w:r w:rsidR="0095200E" w:rsidRPr="00967AC5">
        <w:t xml:space="preserve"> blocks</w:t>
      </w:r>
      <w:r w:rsidRPr="00967AC5">
        <w:t>. Therefore, there is a need to maintain flexibility for implementation of technical conditions including the band plan.</w:t>
      </w:r>
    </w:p>
    <w:p w14:paraId="62FB0CC0" w14:textId="750399EE" w:rsidR="00C9295D" w:rsidRPr="00967AC5" w:rsidRDefault="00C9295D" w:rsidP="00F91806">
      <w:pPr>
        <w:pStyle w:val="Heading3"/>
        <w:rPr>
          <w:rStyle w:val="ECCHLbold"/>
          <w:b/>
          <w:lang w:val="en-GB"/>
        </w:rPr>
      </w:pPr>
      <w:bookmarkStart w:id="56" w:name="_Toc71037811"/>
      <w:r w:rsidRPr="00967AC5">
        <w:rPr>
          <w:rStyle w:val="ECCHLbold"/>
          <w:b/>
          <w:lang w:val="en-GB"/>
        </w:rPr>
        <w:t>Uplink</w:t>
      </w:r>
      <w:r w:rsidR="00BC719D" w:rsidRPr="00967AC5">
        <w:rPr>
          <w:rStyle w:val="ECCHLbold"/>
          <w:b/>
          <w:lang w:val="en-GB"/>
        </w:rPr>
        <w:t xml:space="preserve"> only or </w:t>
      </w:r>
      <w:r w:rsidRPr="00967AC5">
        <w:rPr>
          <w:rStyle w:val="ECCHLbold"/>
          <w:b/>
          <w:lang w:val="en-GB"/>
        </w:rPr>
        <w:t>Downlink</w:t>
      </w:r>
      <w:r w:rsidR="00BC719D" w:rsidRPr="00967AC5">
        <w:rPr>
          <w:rStyle w:val="ECCHLbold"/>
          <w:b/>
          <w:lang w:val="en-GB"/>
        </w:rPr>
        <w:t xml:space="preserve"> only</w:t>
      </w:r>
      <w:r w:rsidRPr="00967AC5">
        <w:rPr>
          <w:rStyle w:val="ECCHLbold"/>
          <w:b/>
          <w:lang w:val="en-GB"/>
        </w:rPr>
        <w:t xml:space="preserve"> operations</w:t>
      </w:r>
      <w:bookmarkEnd w:id="56"/>
    </w:p>
    <w:p w14:paraId="5424FFDC" w14:textId="62553804" w:rsidR="00C9295D" w:rsidRPr="00967AC5" w:rsidRDefault="009B05B4">
      <w:pPr>
        <w:pStyle w:val="ECCParagraph"/>
        <w:rPr>
          <w:rFonts w:cs="Arial"/>
          <w:szCs w:val="20"/>
        </w:rPr>
      </w:pPr>
      <w:r w:rsidRPr="00967AC5">
        <w:t xml:space="preserve">In addition to FDD mode of operation, as </w:t>
      </w:r>
      <w:r w:rsidR="00C9295D" w:rsidRPr="00967AC5">
        <w:t xml:space="preserve">long as the respective frequency usage complies with the harmonised technical conditions (compliance to relevant applicable </w:t>
      </w:r>
      <w:r w:rsidR="00C2698A" w:rsidRPr="00967AC5">
        <w:t>LRTC</w:t>
      </w:r>
      <w:r w:rsidR="0092593F" w:rsidRPr="00967AC5">
        <w:t>s</w:t>
      </w:r>
      <w:r w:rsidR="00C9295D" w:rsidRPr="00967AC5">
        <w:t xml:space="preserve">), uplink </w:t>
      </w:r>
      <w:r w:rsidRPr="00967AC5">
        <w:t xml:space="preserve">only or </w:t>
      </w:r>
      <w:r w:rsidR="00C9295D" w:rsidRPr="00967AC5">
        <w:t>downlink</w:t>
      </w:r>
      <w:r w:rsidRPr="00967AC5">
        <w:t xml:space="preserve"> only</w:t>
      </w:r>
      <w:r w:rsidR="00C9295D" w:rsidRPr="00967AC5">
        <w:t xml:space="preserve"> operation</w:t>
      </w:r>
      <w:r w:rsidRPr="00967AC5">
        <w:t>s</w:t>
      </w:r>
      <w:r w:rsidR="00C9295D" w:rsidRPr="00967AC5">
        <w:t xml:space="preserve"> are possible</w:t>
      </w:r>
      <w:r w:rsidR="003E20EB" w:rsidRPr="00967AC5">
        <w:rPr>
          <w:rStyle w:val="CommentReference"/>
        </w:rPr>
        <w:t>.</w:t>
      </w:r>
    </w:p>
    <w:p w14:paraId="2A787A28" w14:textId="7A52DA46" w:rsidR="00C9295D" w:rsidRPr="00967AC5" w:rsidRDefault="00C9295D" w:rsidP="00F91806">
      <w:pPr>
        <w:pStyle w:val="Heading3"/>
        <w:rPr>
          <w:rStyle w:val="ECCHLbold"/>
          <w:b/>
          <w:lang w:val="en-GB"/>
        </w:rPr>
      </w:pPr>
      <w:bookmarkStart w:id="57" w:name="_Toc71037812"/>
      <w:r w:rsidRPr="00967AC5">
        <w:rPr>
          <w:rStyle w:val="ECCHLbold"/>
          <w:b/>
          <w:lang w:val="en-GB"/>
        </w:rPr>
        <w:t>Guard band at the edge of 900/1800 MHz harmonised bands</w:t>
      </w:r>
      <w:bookmarkEnd w:id="57"/>
    </w:p>
    <w:p w14:paraId="6AF32533" w14:textId="7873EE9D" w:rsidR="00C9295D" w:rsidRPr="00967AC5" w:rsidRDefault="00C9295D" w:rsidP="003E20EB">
      <w:pPr>
        <w:pStyle w:val="ECCParagraph"/>
      </w:pPr>
      <w:r w:rsidRPr="00967AC5">
        <w:t xml:space="preserve">CEPT </w:t>
      </w:r>
      <w:r w:rsidR="0071562E" w:rsidRPr="00967AC5">
        <w:t xml:space="preserve">notes </w:t>
      </w:r>
      <w:r w:rsidRPr="00967AC5">
        <w:t xml:space="preserve">that different approaches are in place concerning implementation of </w:t>
      </w:r>
      <w:r w:rsidR="00132525" w:rsidRPr="00967AC5">
        <w:t xml:space="preserve">a </w:t>
      </w:r>
      <w:r w:rsidRPr="00967AC5">
        <w:t xml:space="preserve">100 kHz guard band at the edge of the harmonised bands. This is explicitly implemented or not depending on national authorisation approaches. This 100 kHz guard band refers to </w:t>
      </w:r>
      <w:r w:rsidR="00132525" w:rsidRPr="00967AC5">
        <w:t xml:space="preserve">the </w:t>
      </w:r>
      <w:r w:rsidRPr="00967AC5">
        <w:t xml:space="preserve">GSM specification and, in particular at 900 MHz, to the need for 200 kHz frequency separation between the nearest GSM-R channel edge and </w:t>
      </w:r>
      <w:r w:rsidR="00132525" w:rsidRPr="00967AC5">
        <w:t xml:space="preserve">a </w:t>
      </w:r>
      <w:r w:rsidRPr="00967AC5">
        <w:t>wideband system</w:t>
      </w:r>
      <w:r w:rsidR="00132525" w:rsidRPr="00967AC5">
        <w:t>’</w:t>
      </w:r>
      <w:r w:rsidRPr="00967AC5">
        <w:t>s channel edge (see ECC Report 297</w:t>
      </w:r>
      <w:r w:rsidR="00391E5A" w:rsidRPr="00967AC5">
        <w:t xml:space="preserve"> </w:t>
      </w:r>
      <w:r w:rsidR="00875DF0" w:rsidRPr="00967AC5">
        <w:fldChar w:fldCharType="begin"/>
      </w:r>
      <w:r w:rsidR="00875DF0" w:rsidRPr="00967AC5">
        <w:instrText xml:space="preserve"> REF _Ref63686742 \r \h </w:instrText>
      </w:r>
      <w:r w:rsidR="002505BC" w:rsidRPr="00967AC5">
        <w:instrText xml:space="preserve"> \* MERGEFORMAT </w:instrText>
      </w:r>
      <w:r w:rsidR="00875DF0" w:rsidRPr="00967AC5">
        <w:fldChar w:fldCharType="separate"/>
      </w:r>
      <w:r w:rsidR="00680BB5" w:rsidRPr="00967AC5">
        <w:t>[3]</w:t>
      </w:r>
      <w:r w:rsidR="00875DF0" w:rsidRPr="00967AC5">
        <w:fldChar w:fldCharType="end"/>
      </w:r>
      <w:r w:rsidRPr="00967AC5">
        <w:t>). These different national approaches are compatible with the implementation of the recommended band plan and the requirement to ensure coexistence with adjacent services, in particular at 900 MHz with GSM</w:t>
      </w:r>
      <w:r w:rsidR="00C2698A" w:rsidRPr="00967AC5">
        <w:t>-</w:t>
      </w:r>
      <w:r w:rsidRPr="00967AC5">
        <w:t xml:space="preserve">R. Such national flexibility to implement 100 kHz guard band/frequency offset at the edge of harmonised bands shall be preserved </w:t>
      </w:r>
      <w:r w:rsidR="00132525" w:rsidRPr="00967AC5">
        <w:t xml:space="preserve">in the </w:t>
      </w:r>
      <w:r w:rsidRPr="00967AC5">
        <w:t>long term</w:t>
      </w:r>
      <w:r w:rsidR="00C8775B" w:rsidRPr="00967AC5">
        <w:t xml:space="preserve"> where needed</w:t>
      </w:r>
      <w:r w:rsidRPr="00967AC5">
        <w:t>.</w:t>
      </w:r>
      <w:r w:rsidR="0088166D" w:rsidRPr="00967AC5">
        <w:t xml:space="preserve"> When both ECS and FRMCS</w:t>
      </w:r>
      <w:r w:rsidR="00C8775B" w:rsidRPr="00967AC5">
        <w:t xml:space="preserve"> operate WB systems such</w:t>
      </w:r>
      <w:r w:rsidR="003D3187" w:rsidRPr="00967AC5">
        <w:t xml:space="preserve"> guard band will </w:t>
      </w:r>
      <w:r w:rsidR="003E20EB" w:rsidRPr="00967AC5">
        <w:t xml:space="preserve">not </w:t>
      </w:r>
      <w:r w:rsidR="003D3187" w:rsidRPr="00967AC5">
        <w:t xml:space="preserve">be </w:t>
      </w:r>
      <w:r w:rsidR="003E20EB" w:rsidRPr="00967AC5">
        <w:t>needed</w:t>
      </w:r>
      <w:r w:rsidR="003D3187" w:rsidRPr="00967AC5">
        <w:t xml:space="preserve"> </w:t>
      </w:r>
      <w:r w:rsidR="003E20EB" w:rsidRPr="00967AC5">
        <w:t>any</w:t>
      </w:r>
      <w:r w:rsidR="003D3187" w:rsidRPr="00967AC5">
        <w:t>more.</w:t>
      </w:r>
      <w:r w:rsidRPr="00967AC5">
        <w:t xml:space="preserve"> </w:t>
      </w:r>
    </w:p>
    <w:p w14:paraId="67615DDE" w14:textId="1295F8F8" w:rsidR="008357AD" w:rsidRPr="00967AC5" w:rsidRDefault="008357AD" w:rsidP="00F91806">
      <w:pPr>
        <w:pStyle w:val="Heading3"/>
        <w:rPr>
          <w:rStyle w:val="ECCHLbold"/>
          <w:b/>
          <w:lang w:val="en-GB"/>
        </w:rPr>
      </w:pPr>
      <w:bookmarkStart w:id="58" w:name="_Toc71037813"/>
      <w:r w:rsidRPr="00967AC5">
        <w:rPr>
          <w:rStyle w:val="ECCHLbold"/>
          <w:b/>
          <w:lang w:val="en-GB"/>
        </w:rPr>
        <w:t>Options for administrations on how to implement frequency separation at national level</w:t>
      </w:r>
      <w:bookmarkEnd w:id="58"/>
    </w:p>
    <w:p w14:paraId="1D5AF188" w14:textId="0BCE2E86" w:rsidR="008357AD" w:rsidRPr="00967AC5" w:rsidRDefault="008357AD" w:rsidP="00B658AE">
      <w:pPr>
        <w:pStyle w:val="ECCParagraph"/>
      </w:pPr>
      <w:r w:rsidRPr="00967AC5">
        <w:t xml:space="preserve">In </w:t>
      </w:r>
      <w:r w:rsidR="00132525" w:rsidRPr="00967AC5">
        <w:t xml:space="preserve">the </w:t>
      </w:r>
      <w:r w:rsidRPr="00967AC5">
        <w:t xml:space="preserve">900/1800 MHz frequency bands, </w:t>
      </w:r>
      <w:r w:rsidR="004F115B" w:rsidRPr="00967AC5">
        <w:t>there is a need to implement a 200 kHz frequency separation between the nominal channel edge</w:t>
      </w:r>
      <w:r w:rsidR="004F115B" w:rsidRPr="00967AC5">
        <w:rPr>
          <w:rStyle w:val="FootnoteReference"/>
          <w:szCs w:val="20"/>
        </w:rPr>
        <w:footnoteReference w:id="5"/>
      </w:r>
      <w:r w:rsidR="004F115B" w:rsidRPr="00967AC5">
        <w:t xml:space="preserve"> of a NB system, including GSM, and the nominal channel edge of a WB system </w:t>
      </w:r>
      <w:r w:rsidR="00EC7681" w:rsidRPr="00967AC5">
        <w:t>for uncoordinated deployments</w:t>
      </w:r>
      <w:r w:rsidR="00CC4CE1" w:rsidRPr="00967AC5">
        <w:t xml:space="preserve"> implementing LRTC</w:t>
      </w:r>
      <w:r w:rsidR="00132525" w:rsidRPr="00967AC5">
        <w:t>s</w:t>
      </w:r>
      <w:r w:rsidR="00CC4CE1" w:rsidRPr="00967AC5">
        <w:t xml:space="preserve"> as described in this </w:t>
      </w:r>
      <w:r w:rsidR="00D25139" w:rsidRPr="00967AC5">
        <w:t>R</w:t>
      </w:r>
      <w:r w:rsidR="00CC4CE1" w:rsidRPr="00967AC5">
        <w:t>eport</w:t>
      </w:r>
      <w:r w:rsidR="00EC7681" w:rsidRPr="00967AC5">
        <w:t>,</w:t>
      </w:r>
      <w:r w:rsidRPr="00967AC5">
        <w:t xml:space="preserve"> </w:t>
      </w:r>
      <w:r w:rsidR="00132525" w:rsidRPr="00967AC5">
        <w:t xml:space="preserve">in order </w:t>
      </w:r>
      <w:r w:rsidRPr="00967AC5">
        <w:t xml:space="preserve">to avoid the blocking effect of the </w:t>
      </w:r>
      <w:r w:rsidR="00B658AE" w:rsidRPr="00967AC5">
        <w:t>wideband</w:t>
      </w:r>
      <w:r w:rsidR="00132525" w:rsidRPr="00967AC5">
        <w:t xml:space="preserve"> </w:t>
      </w:r>
      <w:r w:rsidRPr="00967AC5">
        <w:t>system</w:t>
      </w:r>
      <w:r w:rsidR="00132525" w:rsidRPr="00967AC5">
        <w:t>’s</w:t>
      </w:r>
      <w:r w:rsidRPr="00967AC5">
        <w:t xml:space="preserve"> receivers by the adjacent </w:t>
      </w:r>
      <w:r w:rsidR="00B658AE" w:rsidRPr="00967AC5">
        <w:t xml:space="preserve">narrowband </w:t>
      </w:r>
      <w:r w:rsidRPr="00967AC5">
        <w:t xml:space="preserve">systems. There is </w:t>
      </w:r>
      <w:r w:rsidR="00132525" w:rsidRPr="00967AC5">
        <w:t xml:space="preserve">also </w:t>
      </w:r>
      <w:r w:rsidRPr="00967AC5">
        <w:t xml:space="preserve">a need to implement </w:t>
      </w:r>
      <w:r w:rsidR="009B67F5" w:rsidRPr="00967AC5">
        <w:t>a</w:t>
      </w:r>
      <w:r w:rsidRPr="00967AC5">
        <w:t xml:space="preserve"> 200 kHz frequency separation between different NB systems</w:t>
      </w:r>
      <w:r w:rsidR="00EC7681" w:rsidRPr="00967AC5">
        <w:t xml:space="preserve"> when deployed in </w:t>
      </w:r>
      <w:r w:rsidR="00132525" w:rsidRPr="00967AC5">
        <w:t xml:space="preserve">an </w:t>
      </w:r>
      <w:r w:rsidR="00EC7681" w:rsidRPr="00967AC5">
        <w:t xml:space="preserve">uncoordinated </w:t>
      </w:r>
      <w:r w:rsidR="00132525" w:rsidRPr="00967AC5">
        <w:t>manner</w:t>
      </w:r>
      <w:r w:rsidRPr="00967AC5">
        <w:t xml:space="preserve">. </w:t>
      </w:r>
    </w:p>
    <w:p w14:paraId="77A33A35" w14:textId="4A495832" w:rsidR="00A437B7" w:rsidRPr="00967AC5" w:rsidRDefault="008357AD" w:rsidP="00A437B7">
      <w:pPr>
        <w:pStyle w:val="ECCParagraph"/>
      </w:pPr>
      <w:r w:rsidRPr="00967AC5">
        <w:t>Due to national situations (efficient usage of spectrum, competition</w:t>
      </w:r>
      <w:r w:rsidR="00EF08E6" w:rsidRPr="00967AC5">
        <w:t xml:space="preserve"> etc.</w:t>
      </w:r>
      <w:r w:rsidRPr="00967AC5">
        <w:t xml:space="preserve">), in order to implement the LRTC, various </w:t>
      </w:r>
      <w:r w:rsidR="003C1569" w:rsidRPr="00967AC5">
        <w:t>frequency separation</w:t>
      </w:r>
      <w:r w:rsidRPr="00967AC5">
        <w:t xml:space="preserve"> approaches could be </w:t>
      </w:r>
      <w:r w:rsidR="00132525" w:rsidRPr="00967AC5">
        <w:t xml:space="preserve">considered </w:t>
      </w:r>
      <w:r w:rsidRPr="00967AC5">
        <w:t xml:space="preserve">either separately or simultaneously depending </w:t>
      </w:r>
      <w:r w:rsidR="00EF08E6" w:rsidRPr="00967AC5">
        <w:t xml:space="preserve">on </w:t>
      </w:r>
      <w:r w:rsidR="00132525" w:rsidRPr="00967AC5">
        <w:t xml:space="preserve">the assigned channel </w:t>
      </w:r>
      <w:r w:rsidRPr="00967AC5">
        <w:t xml:space="preserve">edges of neighbouring authorised mobile </w:t>
      </w:r>
      <w:r w:rsidR="00712FB6" w:rsidRPr="00967AC5">
        <w:t>n</w:t>
      </w:r>
      <w:r w:rsidRPr="00967AC5">
        <w:t>et</w:t>
      </w:r>
      <w:r w:rsidR="00712FB6" w:rsidRPr="00967AC5">
        <w:t>w</w:t>
      </w:r>
      <w:r w:rsidRPr="00967AC5">
        <w:t>or</w:t>
      </w:r>
      <w:r w:rsidR="00712FB6" w:rsidRPr="00967AC5">
        <w:t>k</w:t>
      </w:r>
      <w:r w:rsidRPr="00967AC5">
        <w:t>s</w:t>
      </w:r>
      <w:r w:rsidR="00B62237" w:rsidRPr="00967AC5">
        <w:t xml:space="preserve">. </w:t>
      </w:r>
      <w:r w:rsidR="008D7072" w:rsidRPr="00967AC5">
        <w:rPr>
          <w:rFonts w:cs="Arial"/>
        </w:rPr>
        <w:t xml:space="preserve">Various </w:t>
      </w:r>
      <w:r w:rsidR="007A2679" w:rsidRPr="00967AC5">
        <w:t xml:space="preserve">examples for national implementation are listed in section </w:t>
      </w:r>
      <w:r w:rsidR="005709F9" w:rsidRPr="00967AC5">
        <w:fldChar w:fldCharType="begin"/>
      </w:r>
      <w:r w:rsidR="005709F9" w:rsidRPr="00967AC5">
        <w:instrText xml:space="preserve"> REF _Ref60764729 \r \h </w:instrText>
      </w:r>
      <w:r w:rsidR="001C7C80" w:rsidRPr="00967AC5">
        <w:instrText xml:space="preserve"> \* MERGEFORMAT </w:instrText>
      </w:r>
      <w:r w:rsidR="005709F9" w:rsidRPr="00967AC5">
        <w:fldChar w:fldCharType="separate"/>
      </w:r>
      <w:r w:rsidR="00680BB5" w:rsidRPr="00967AC5">
        <w:t>3.4.5.3</w:t>
      </w:r>
      <w:r w:rsidR="005709F9" w:rsidRPr="00967AC5">
        <w:fldChar w:fldCharType="end"/>
      </w:r>
      <w:r w:rsidR="007A2679" w:rsidRPr="00967AC5">
        <w:t xml:space="preserve"> of this </w:t>
      </w:r>
      <w:r w:rsidR="00D25139" w:rsidRPr="00967AC5">
        <w:t>R</w:t>
      </w:r>
      <w:r w:rsidR="007A2679" w:rsidRPr="00967AC5">
        <w:t>eport.</w:t>
      </w:r>
    </w:p>
    <w:p w14:paraId="4A39182F" w14:textId="160C7C7D" w:rsidR="00AD3B77" w:rsidRPr="00967AC5" w:rsidRDefault="00AD3B77">
      <w:pPr>
        <w:pStyle w:val="ECCParagraph"/>
        <w:rPr>
          <w:rFonts w:cs="Arial"/>
        </w:rPr>
      </w:pPr>
      <w:r w:rsidRPr="00967AC5">
        <w:rPr>
          <w:rFonts w:cs="Arial"/>
        </w:rPr>
        <w:t xml:space="preserve">In </w:t>
      </w:r>
      <w:r w:rsidR="00AC1E8A" w:rsidRPr="00967AC5">
        <w:rPr>
          <w:rFonts w:cs="Arial"/>
        </w:rPr>
        <w:t>one of the national implementation case</w:t>
      </w:r>
      <w:r w:rsidR="00B62237" w:rsidRPr="00967AC5">
        <w:rPr>
          <w:rFonts w:cs="Arial"/>
        </w:rPr>
        <w:t>s</w:t>
      </w:r>
      <w:r w:rsidRPr="00967AC5">
        <w:rPr>
          <w:rFonts w:cs="Arial"/>
        </w:rPr>
        <w:t>, th</w:t>
      </w:r>
      <w:r w:rsidR="00AC1E8A" w:rsidRPr="00967AC5">
        <w:rPr>
          <w:rFonts w:cs="Arial"/>
        </w:rPr>
        <w:t>e</w:t>
      </w:r>
      <w:r w:rsidRPr="00967AC5">
        <w:rPr>
          <w:rFonts w:cs="Arial"/>
        </w:rPr>
        <w:t xml:space="preserve"> required frequency separation could result in an </w:t>
      </w:r>
      <w:r w:rsidRPr="00967AC5">
        <w:t xml:space="preserve">unused </w:t>
      </w:r>
      <w:r w:rsidR="00D32FBA" w:rsidRPr="00967AC5">
        <w:rPr>
          <w:rFonts w:cs="Arial"/>
        </w:rPr>
        <w:t> </w:t>
      </w:r>
      <w:r w:rsidRPr="00967AC5">
        <w:t>100</w:t>
      </w:r>
      <w:r w:rsidR="00D32FBA" w:rsidRPr="00967AC5">
        <w:rPr>
          <w:rFonts w:cs="Arial"/>
        </w:rPr>
        <w:t> </w:t>
      </w:r>
      <w:r w:rsidRPr="00967AC5">
        <w:t>kHz block</w:t>
      </w:r>
      <w:r w:rsidRPr="00967AC5">
        <w:rPr>
          <w:rFonts w:cs="Arial"/>
        </w:rPr>
        <w:t xml:space="preserve"> at the edge of </w:t>
      </w:r>
      <w:r w:rsidRPr="00967AC5">
        <w:t>both</w:t>
      </w:r>
      <w:r w:rsidR="003962DB" w:rsidRPr="00967AC5">
        <w:rPr>
          <w:rFonts w:cs="Arial"/>
        </w:rPr>
        <w:t xml:space="preserve"> </w:t>
      </w:r>
      <w:r w:rsidRPr="00967AC5">
        <w:t xml:space="preserve">neighbouring </w:t>
      </w:r>
      <w:r w:rsidR="00F82918" w:rsidRPr="00967AC5">
        <w:rPr>
          <w:rFonts w:cs="Arial"/>
        </w:rPr>
        <w:t xml:space="preserve">authorised </w:t>
      </w:r>
      <w:r w:rsidRPr="00967AC5">
        <w:t xml:space="preserve">mobile </w:t>
      </w:r>
      <w:r w:rsidR="00F82918" w:rsidRPr="00967AC5">
        <w:rPr>
          <w:rFonts w:cs="Arial"/>
        </w:rPr>
        <w:t>networks’</w:t>
      </w:r>
      <w:r w:rsidR="003962DB" w:rsidRPr="00967AC5">
        <w:rPr>
          <w:rFonts w:cs="Arial"/>
        </w:rPr>
        <w:t>’,</w:t>
      </w:r>
      <w:r w:rsidRPr="00967AC5">
        <w:rPr>
          <w:rFonts w:cs="Arial"/>
        </w:rPr>
        <w:t xml:space="preserve"> leaving flexibility to operators to deploy, beyond this 100</w:t>
      </w:r>
      <w:r w:rsidR="001225F0" w:rsidRPr="00967AC5">
        <w:rPr>
          <w:rFonts w:cs="Arial"/>
        </w:rPr>
        <w:t xml:space="preserve"> </w:t>
      </w:r>
      <w:r w:rsidRPr="00967AC5">
        <w:rPr>
          <w:rFonts w:cs="Arial"/>
        </w:rPr>
        <w:t xml:space="preserve">kHz, either NB or WB systems at the edge of their assigned blocks. This may also </w:t>
      </w:r>
      <w:r w:rsidRPr="00967AC5">
        <w:t xml:space="preserve">result </w:t>
      </w:r>
      <w:r w:rsidR="003962DB" w:rsidRPr="00967AC5">
        <w:rPr>
          <w:rFonts w:cs="Arial"/>
        </w:rPr>
        <w:t>in</w:t>
      </w:r>
      <w:r w:rsidR="003962DB" w:rsidRPr="00967AC5">
        <w:t xml:space="preserve"> </w:t>
      </w:r>
      <w:r w:rsidRPr="00967AC5">
        <w:t>a</w:t>
      </w:r>
      <w:r w:rsidRPr="00967AC5">
        <w:rPr>
          <w:rFonts w:cs="Arial"/>
        </w:rPr>
        <w:t xml:space="preserve"> possible assignment of </w:t>
      </w:r>
      <w:r w:rsidR="00F77FE2" w:rsidRPr="00967AC5">
        <w:rPr>
          <w:rFonts w:cs="Arial"/>
        </w:rPr>
        <w:t xml:space="preserve">a </w:t>
      </w:r>
      <w:r w:rsidRPr="00967AC5">
        <w:rPr>
          <w:rFonts w:cs="Arial"/>
        </w:rPr>
        <w:t>non-multiple 200 kHz block</w:t>
      </w:r>
      <w:r w:rsidR="00F77FE2" w:rsidRPr="00967AC5">
        <w:rPr>
          <w:rFonts w:cs="Arial"/>
        </w:rPr>
        <w:t xml:space="preserve">, at the </w:t>
      </w:r>
      <w:r w:rsidR="00F609BE" w:rsidRPr="00967AC5">
        <w:rPr>
          <w:rFonts w:cs="Arial"/>
        </w:rPr>
        <w:t xml:space="preserve">assigned channel </w:t>
      </w:r>
      <w:r w:rsidR="00F77FE2" w:rsidRPr="00967AC5">
        <w:rPr>
          <w:rFonts w:cs="Arial"/>
        </w:rPr>
        <w:t xml:space="preserve">edge of </w:t>
      </w:r>
      <w:r w:rsidR="00F77FE2" w:rsidRPr="00967AC5">
        <w:rPr>
          <w:rFonts w:cs="Arial"/>
        </w:rPr>
        <w:lastRenderedPageBreak/>
        <w:t>both</w:t>
      </w:r>
      <w:r w:rsidR="003962DB" w:rsidRPr="00967AC5">
        <w:rPr>
          <w:rFonts w:cs="Arial"/>
        </w:rPr>
        <w:t xml:space="preserve"> </w:t>
      </w:r>
      <w:r w:rsidR="00F77FE2" w:rsidRPr="00967AC5">
        <w:t xml:space="preserve">neighbouring </w:t>
      </w:r>
      <w:r w:rsidR="00F82918" w:rsidRPr="00967AC5">
        <w:rPr>
          <w:rFonts w:cs="Arial"/>
        </w:rPr>
        <w:t xml:space="preserve">authorised </w:t>
      </w:r>
      <w:r w:rsidR="00F77FE2" w:rsidRPr="00967AC5">
        <w:t xml:space="preserve">mobile </w:t>
      </w:r>
      <w:proofErr w:type="gramStart"/>
      <w:r w:rsidR="00F82918" w:rsidRPr="00967AC5">
        <w:rPr>
          <w:rFonts w:cs="Arial"/>
        </w:rPr>
        <w:t>networks</w:t>
      </w:r>
      <w:r w:rsidR="00F77FE2" w:rsidRPr="00967AC5">
        <w:rPr>
          <w:rFonts w:cs="Arial"/>
        </w:rPr>
        <w:t>,.</w:t>
      </w:r>
      <w:proofErr w:type="gramEnd"/>
      <w:r w:rsidR="00F77FE2" w:rsidRPr="00967AC5">
        <w:t xml:space="preserve"> Such a national implementation case has no impact on cross-border coordination conditions</w:t>
      </w:r>
      <w:r w:rsidR="00AC1E8A" w:rsidRPr="00967AC5">
        <w:t>.</w:t>
      </w:r>
    </w:p>
    <w:p w14:paraId="13EF6A16" w14:textId="7810964E" w:rsidR="00C9295D" w:rsidRPr="00967AC5" w:rsidRDefault="00C9295D" w:rsidP="00F91806">
      <w:pPr>
        <w:pStyle w:val="Heading3"/>
        <w:rPr>
          <w:rStyle w:val="ECCHLbold"/>
          <w:b/>
          <w:lang w:val="en-GB"/>
        </w:rPr>
      </w:pPr>
      <w:bookmarkStart w:id="59" w:name="_Toc71037814"/>
      <w:r w:rsidRPr="00967AC5">
        <w:rPr>
          <w:rStyle w:val="ECCHLbold"/>
          <w:b/>
          <w:lang w:val="en-GB"/>
        </w:rPr>
        <w:t>Recommendations</w:t>
      </w:r>
      <w:bookmarkEnd w:id="59"/>
    </w:p>
    <w:p w14:paraId="62C58955" w14:textId="1AE6F91A" w:rsidR="00C9295D" w:rsidRPr="00967AC5" w:rsidRDefault="00C9295D" w:rsidP="007D422A">
      <w:pPr>
        <w:pStyle w:val="ECCParagraph"/>
      </w:pPr>
      <w:r w:rsidRPr="00967AC5">
        <w:t>In addition to the compliance to LRTC</w:t>
      </w:r>
      <w:r w:rsidR="007D422A" w:rsidRPr="00967AC5">
        <w:t>s</w:t>
      </w:r>
      <w:r w:rsidRPr="00967AC5">
        <w:t xml:space="preserve"> </w:t>
      </w:r>
      <w:r w:rsidR="007D422A" w:rsidRPr="00967AC5">
        <w:t>(</w:t>
      </w:r>
      <w:r w:rsidRPr="00967AC5">
        <w:t xml:space="preserve">BEM(s) </w:t>
      </w:r>
      <w:r w:rsidR="002C3CC1" w:rsidRPr="00967AC5">
        <w:t xml:space="preserve">and </w:t>
      </w:r>
      <w:r w:rsidRPr="00967AC5">
        <w:t>frequency separation</w:t>
      </w:r>
      <w:r w:rsidR="007D422A" w:rsidRPr="00967AC5">
        <w:t xml:space="preserve">), </w:t>
      </w:r>
      <w:r w:rsidRPr="00967AC5">
        <w:t xml:space="preserve">the harmonised band plan can be implemented with a combination of the following recommendations: </w:t>
      </w:r>
    </w:p>
    <w:p w14:paraId="4F327CB0" w14:textId="2F6338CE" w:rsidR="00C9295D" w:rsidRPr="00967AC5" w:rsidRDefault="003962DB" w:rsidP="008B600D">
      <w:pPr>
        <w:pStyle w:val="ECCNumbered-LetteredList"/>
        <w:numPr>
          <w:ilvl w:val="0"/>
          <w:numId w:val="18"/>
        </w:numPr>
        <w:spacing w:after="120"/>
        <w:rPr>
          <w:lang w:val="en-GB"/>
        </w:rPr>
      </w:pPr>
      <w:r w:rsidRPr="00967AC5">
        <w:rPr>
          <w:lang w:val="en-GB"/>
        </w:rPr>
        <w:t xml:space="preserve">The </w:t>
      </w:r>
      <w:r w:rsidR="00C9295D" w:rsidRPr="00967AC5">
        <w:rPr>
          <w:lang w:val="en-GB"/>
        </w:rPr>
        <w:t>900 MHz band follows a</w:t>
      </w:r>
      <w:r w:rsidRPr="00967AC5">
        <w:rPr>
          <w:lang w:val="en-GB"/>
        </w:rPr>
        <w:t>n</w:t>
      </w:r>
      <w:r w:rsidR="00C9295D" w:rsidRPr="00967AC5">
        <w:rPr>
          <w:lang w:val="en-GB"/>
        </w:rPr>
        <w:t xml:space="preserve"> FDD band plan with a block size multiple of 200 kHz. The duplex direction for the carriers in </w:t>
      </w:r>
      <w:r w:rsidRPr="00967AC5">
        <w:rPr>
          <w:lang w:val="en-GB"/>
        </w:rPr>
        <w:t xml:space="preserve">the </w:t>
      </w:r>
      <w:r w:rsidR="00C9295D" w:rsidRPr="00967AC5">
        <w:rPr>
          <w:lang w:val="en-GB"/>
        </w:rPr>
        <w:t>880-915 MHz/925-960 MHz</w:t>
      </w:r>
      <w:bookmarkStart w:id="60" w:name="_Ref41495465"/>
      <w:r w:rsidR="00C9295D" w:rsidRPr="00967AC5">
        <w:rPr>
          <w:rStyle w:val="FootnoteReference"/>
          <w:rFonts w:cs="Arial"/>
          <w:szCs w:val="20"/>
          <w:lang w:val="en-GB"/>
        </w:rPr>
        <w:footnoteReference w:id="6"/>
      </w:r>
      <w:bookmarkEnd w:id="60"/>
      <w:r w:rsidR="00C9295D" w:rsidRPr="00967AC5">
        <w:rPr>
          <w:lang w:val="en-GB"/>
        </w:rPr>
        <w:t xml:space="preserve"> frequency bands is mobile transmit within the lower band and base station transmit within the upper band. </w:t>
      </w:r>
    </w:p>
    <w:p w14:paraId="5EE63A9C" w14:textId="0C870417" w:rsidR="00C9295D" w:rsidRPr="00967AC5" w:rsidRDefault="003962DB" w:rsidP="008B600D">
      <w:pPr>
        <w:pStyle w:val="ECCNumbered-LetteredList"/>
        <w:numPr>
          <w:ilvl w:val="0"/>
          <w:numId w:val="18"/>
        </w:numPr>
        <w:spacing w:after="120"/>
        <w:rPr>
          <w:lang w:val="en-GB"/>
        </w:rPr>
      </w:pPr>
      <w:r w:rsidRPr="00967AC5">
        <w:rPr>
          <w:lang w:val="en-GB"/>
        </w:rPr>
        <w:t xml:space="preserve">The </w:t>
      </w:r>
      <w:r w:rsidR="00C9295D" w:rsidRPr="00967AC5">
        <w:rPr>
          <w:lang w:val="en-GB"/>
        </w:rPr>
        <w:t>1800 MHz band follows a</w:t>
      </w:r>
      <w:r w:rsidRPr="00967AC5">
        <w:rPr>
          <w:lang w:val="en-GB"/>
        </w:rPr>
        <w:t>n</w:t>
      </w:r>
      <w:r w:rsidR="00C9295D" w:rsidRPr="00967AC5">
        <w:rPr>
          <w:lang w:val="en-GB"/>
        </w:rPr>
        <w:t xml:space="preserve"> FDD band plan with a block size multiple of 200 kHz. The duplex direction for the carriers in </w:t>
      </w:r>
      <w:r w:rsidRPr="00967AC5">
        <w:rPr>
          <w:lang w:val="en-GB"/>
        </w:rPr>
        <w:t xml:space="preserve">the </w:t>
      </w:r>
      <w:r w:rsidR="00C9295D" w:rsidRPr="00967AC5">
        <w:rPr>
          <w:lang w:val="en-GB"/>
        </w:rPr>
        <w:t>1710-1785 MHz/1805-1880</w:t>
      </w:r>
      <w:bookmarkStart w:id="61" w:name="_Ref41495508"/>
      <w:r w:rsidR="00C9295D" w:rsidRPr="00967AC5">
        <w:rPr>
          <w:rStyle w:val="FootnoteReference"/>
          <w:rFonts w:cs="Arial"/>
          <w:szCs w:val="20"/>
          <w:lang w:val="en-GB"/>
        </w:rPr>
        <w:footnoteReference w:id="7"/>
      </w:r>
      <w:bookmarkEnd w:id="61"/>
      <w:r w:rsidR="00C9295D" w:rsidRPr="00967AC5">
        <w:rPr>
          <w:lang w:val="en-GB"/>
        </w:rPr>
        <w:t xml:space="preserve"> MHz frequency bands is mobile transmit within the lower band and base </w:t>
      </w:r>
      <w:r w:rsidR="004568D3" w:rsidRPr="00967AC5">
        <w:rPr>
          <w:lang w:val="en-GB"/>
        </w:rPr>
        <w:t xml:space="preserve">station </w:t>
      </w:r>
      <w:r w:rsidR="00C9295D" w:rsidRPr="00967AC5">
        <w:rPr>
          <w:lang w:val="en-GB"/>
        </w:rPr>
        <w:t xml:space="preserve">transmit within the upper band. </w:t>
      </w:r>
    </w:p>
    <w:p w14:paraId="4163683C" w14:textId="74784DB2" w:rsidR="00C9295D" w:rsidRPr="00967AC5" w:rsidRDefault="00C9295D" w:rsidP="008B600D">
      <w:pPr>
        <w:pStyle w:val="ECCNumbered-LetteredList"/>
        <w:numPr>
          <w:ilvl w:val="0"/>
          <w:numId w:val="18"/>
        </w:numPr>
        <w:spacing w:after="120"/>
        <w:rPr>
          <w:lang w:val="en-GB"/>
        </w:rPr>
      </w:pPr>
      <w:r w:rsidRPr="00967AC5">
        <w:rPr>
          <w:lang w:val="en-GB"/>
        </w:rPr>
        <w:t xml:space="preserve">To support wideband systems (such as 5G NR), </w:t>
      </w:r>
      <w:r w:rsidR="003962DB" w:rsidRPr="00967AC5">
        <w:rPr>
          <w:lang w:val="en-GB"/>
        </w:rPr>
        <w:t xml:space="preserve">the </w:t>
      </w:r>
      <w:r w:rsidRPr="00967AC5">
        <w:rPr>
          <w:lang w:val="en-GB"/>
        </w:rPr>
        <w:t xml:space="preserve">900 </w:t>
      </w:r>
      <w:r w:rsidR="0032104F" w:rsidRPr="00967AC5">
        <w:rPr>
          <w:lang w:val="en-GB"/>
        </w:rPr>
        <w:t>MHz</w:t>
      </w:r>
      <w:r w:rsidR="004F115B" w:rsidRPr="00967AC5">
        <w:rPr>
          <w:lang w:val="en-GB"/>
        </w:rPr>
        <w:fldChar w:fldCharType="begin"/>
      </w:r>
      <w:r w:rsidR="004F115B" w:rsidRPr="00967AC5">
        <w:rPr>
          <w:rStyle w:val="FootnoteReference"/>
          <w:lang w:val="en-GB"/>
        </w:rPr>
        <w:instrText xml:space="preserve"> NOTEREF _Ref41495465 \h </w:instrText>
      </w:r>
      <w:r w:rsidR="004F115B" w:rsidRPr="00967AC5">
        <w:rPr>
          <w:lang w:val="en-GB"/>
        </w:rPr>
        <w:instrText xml:space="preserve"> \* MERGEFORMAT </w:instrText>
      </w:r>
      <w:r w:rsidR="004F115B" w:rsidRPr="00967AC5">
        <w:rPr>
          <w:lang w:val="en-GB"/>
        </w:rPr>
      </w:r>
      <w:r w:rsidR="004F115B" w:rsidRPr="00967AC5">
        <w:rPr>
          <w:lang w:val="en-GB"/>
        </w:rPr>
        <w:fldChar w:fldCharType="separate"/>
      </w:r>
      <w:r w:rsidR="002E38F4">
        <w:rPr>
          <w:rStyle w:val="FootnoteReference"/>
          <w:lang w:val="en-GB"/>
        </w:rPr>
        <w:t>5</w:t>
      </w:r>
      <w:r w:rsidR="004F115B" w:rsidRPr="00967AC5">
        <w:rPr>
          <w:lang w:val="en-GB"/>
        </w:rPr>
        <w:fldChar w:fldCharType="end"/>
      </w:r>
      <w:r w:rsidRPr="00967AC5">
        <w:rPr>
          <w:rStyle w:val="FootnoteReference"/>
          <w:lang w:val="en-GB"/>
        </w:rPr>
        <w:t xml:space="preserve"> </w:t>
      </w:r>
      <w:r w:rsidRPr="00967AC5">
        <w:rPr>
          <w:lang w:val="en-GB"/>
        </w:rPr>
        <w:t xml:space="preserve">and 1800 </w:t>
      </w:r>
      <w:r w:rsidR="0032104F" w:rsidRPr="00967AC5">
        <w:rPr>
          <w:lang w:val="en-GB"/>
        </w:rPr>
        <w:t>MHz</w:t>
      </w:r>
      <w:r w:rsidR="004F115B" w:rsidRPr="00967AC5">
        <w:rPr>
          <w:lang w:val="en-GB"/>
        </w:rPr>
        <w:fldChar w:fldCharType="begin"/>
      </w:r>
      <w:r w:rsidR="004F115B" w:rsidRPr="00967AC5">
        <w:rPr>
          <w:rStyle w:val="FootnoteReference"/>
          <w:lang w:val="en-GB"/>
        </w:rPr>
        <w:instrText xml:space="preserve"> NOTEREF _Ref41495508 \h </w:instrText>
      </w:r>
      <w:r w:rsidR="004F115B" w:rsidRPr="00967AC5">
        <w:rPr>
          <w:lang w:val="en-GB"/>
        </w:rPr>
        <w:instrText xml:space="preserve"> \* MERGEFORMAT </w:instrText>
      </w:r>
      <w:r w:rsidR="004F115B" w:rsidRPr="00967AC5">
        <w:rPr>
          <w:lang w:val="en-GB"/>
        </w:rPr>
      </w:r>
      <w:r w:rsidR="004F115B" w:rsidRPr="00967AC5">
        <w:rPr>
          <w:lang w:val="en-GB"/>
        </w:rPr>
        <w:fldChar w:fldCharType="separate"/>
      </w:r>
      <w:r w:rsidR="002E38F4">
        <w:rPr>
          <w:rStyle w:val="FootnoteReference"/>
          <w:lang w:val="en-GB"/>
        </w:rPr>
        <w:t>6</w:t>
      </w:r>
      <w:r w:rsidR="004F115B" w:rsidRPr="00967AC5">
        <w:rPr>
          <w:lang w:val="en-GB"/>
        </w:rPr>
        <w:fldChar w:fldCharType="end"/>
      </w:r>
      <w:r w:rsidRPr="00967AC5">
        <w:rPr>
          <w:lang w:val="en-GB"/>
        </w:rPr>
        <w:t xml:space="preserve"> bands follow FDD band plans enabling 5 MHz or more of contiguous spectrum according to market demand.</w:t>
      </w:r>
    </w:p>
    <w:p w14:paraId="235AE647" w14:textId="7398F2E1" w:rsidR="00DE242E" w:rsidRPr="00967AC5" w:rsidRDefault="00DE242E" w:rsidP="00E20BAC">
      <w:pPr>
        <w:pStyle w:val="Heading2"/>
        <w:rPr>
          <w:lang w:val="en-GB"/>
        </w:rPr>
      </w:pPr>
      <w:bookmarkStart w:id="62" w:name="_Toc18397849"/>
      <w:bookmarkStart w:id="63" w:name="_Ref52282185"/>
      <w:bookmarkStart w:id="64" w:name="_Ref59201091"/>
      <w:bookmarkStart w:id="65" w:name="_Ref59201192"/>
      <w:bookmarkStart w:id="66" w:name="_Ref59201223"/>
      <w:bookmarkStart w:id="67" w:name="_Ref59201240"/>
      <w:bookmarkStart w:id="68" w:name="_Ref59201256"/>
      <w:bookmarkStart w:id="69" w:name="_Ref60755622"/>
      <w:bookmarkStart w:id="70" w:name="_Ref60765096"/>
      <w:bookmarkStart w:id="71" w:name="_Ref60765166"/>
      <w:bookmarkStart w:id="72" w:name="_Ref60765224"/>
      <w:bookmarkStart w:id="73" w:name="_Ref60765243"/>
      <w:bookmarkStart w:id="74" w:name="_Ref60765267"/>
      <w:bookmarkStart w:id="75" w:name="_Ref62053439"/>
      <w:bookmarkStart w:id="76" w:name="_Ref62117959"/>
      <w:bookmarkStart w:id="77" w:name="_Ref67489367"/>
      <w:bookmarkStart w:id="78" w:name="_Ref67490019"/>
      <w:bookmarkStart w:id="79" w:name="_Ref67490029"/>
      <w:bookmarkStart w:id="80" w:name="_Ref67490802"/>
      <w:bookmarkStart w:id="81" w:name="_Ref67491452"/>
      <w:bookmarkStart w:id="82" w:name="_Ref67492946"/>
      <w:bookmarkStart w:id="83" w:name="_Toc71037815"/>
      <w:r w:rsidRPr="00967AC5">
        <w:rPr>
          <w:lang w:val="en-GB"/>
        </w:rPr>
        <w:t>R</w:t>
      </w:r>
      <w:r w:rsidR="00816EDC" w:rsidRPr="00967AC5">
        <w:rPr>
          <w:lang w:val="en-GB"/>
        </w:rPr>
        <w:t>ecommended</w:t>
      </w:r>
      <w:r w:rsidRPr="00967AC5">
        <w:rPr>
          <w:lang w:val="en-GB"/>
        </w:rPr>
        <w:t xml:space="preserve"> </w:t>
      </w:r>
      <w:r w:rsidR="00AA165D" w:rsidRPr="00967AC5">
        <w:rPr>
          <w:lang w:val="en-GB"/>
        </w:rPr>
        <w:t>a</w:t>
      </w:r>
      <w:r w:rsidRPr="00967AC5">
        <w:rPr>
          <w:lang w:val="en-GB"/>
        </w:rPr>
        <w:t>pplicable LRTCs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2D2E504" w14:textId="0E145FA6" w:rsidR="008B171D" w:rsidRPr="00967AC5" w:rsidRDefault="008B171D" w:rsidP="00F91806">
      <w:pPr>
        <w:pStyle w:val="Heading3"/>
        <w:rPr>
          <w:rStyle w:val="ECCHLbold"/>
          <w:b/>
          <w:lang w:val="en-GB"/>
        </w:rPr>
      </w:pPr>
      <w:bookmarkStart w:id="84" w:name="_Toc71037816"/>
      <w:bookmarkStart w:id="85" w:name="_Toc489012254"/>
      <w:bookmarkStart w:id="86" w:name="_Toc507630552"/>
      <w:bookmarkStart w:id="87" w:name="_Toc18321627"/>
      <w:bookmarkStart w:id="88" w:name="_Toc18397850"/>
      <w:r w:rsidRPr="00967AC5">
        <w:rPr>
          <w:rStyle w:val="ECCHLbold"/>
          <w:b/>
          <w:lang w:val="en-GB"/>
        </w:rPr>
        <w:t>Introduction</w:t>
      </w:r>
      <w:bookmarkEnd w:id="84"/>
    </w:p>
    <w:p w14:paraId="4FA8BF44" w14:textId="58663342" w:rsidR="008B171D" w:rsidRPr="00967AC5" w:rsidRDefault="008B171D" w:rsidP="008B171D">
      <w:pPr>
        <w:pStyle w:val="ECCParagraph"/>
        <w:rPr>
          <w:rFonts w:eastAsia="Calibri"/>
        </w:rPr>
      </w:pPr>
      <w:r w:rsidRPr="00967AC5">
        <w:rPr>
          <w:rFonts w:eastAsia="Calibri"/>
        </w:rPr>
        <w:t>CEPT has analysed how to transpose the current harmonised technical conditions, based on a list of technologies identified by the EC regulatory framework</w:t>
      </w:r>
      <w:r w:rsidR="005E47BA" w:rsidRPr="00967AC5">
        <w:rPr>
          <w:rFonts w:eastAsia="Calibri"/>
        </w:rPr>
        <w:t xml:space="preserve"> - </w:t>
      </w:r>
      <w:r w:rsidRPr="00967AC5">
        <w:rPr>
          <w:rFonts w:eastAsia="Calibri"/>
        </w:rPr>
        <w:t xml:space="preserve">UMTS, WiMAX, </w:t>
      </w:r>
      <w:r w:rsidR="00C56E8E" w:rsidRPr="00967AC5">
        <w:rPr>
          <w:rFonts w:eastAsia="Calibri"/>
        </w:rPr>
        <w:t>LTE</w:t>
      </w:r>
      <w:r w:rsidRPr="00967AC5">
        <w:rPr>
          <w:rFonts w:eastAsia="Calibri"/>
        </w:rPr>
        <w:t xml:space="preserve">, NB-IoT and </w:t>
      </w:r>
      <w:r w:rsidR="00C56E8E" w:rsidRPr="00967AC5">
        <w:rPr>
          <w:rFonts w:eastAsia="Calibri"/>
        </w:rPr>
        <w:t>NR</w:t>
      </w:r>
      <w:r w:rsidRPr="00967AC5">
        <w:rPr>
          <w:rFonts w:eastAsia="Calibri"/>
        </w:rPr>
        <w:t>,</w:t>
      </w:r>
      <w:r w:rsidR="005E47BA" w:rsidRPr="00967AC5">
        <w:rPr>
          <w:rFonts w:eastAsia="Calibri"/>
        </w:rPr>
        <w:t xml:space="preserve"> - </w:t>
      </w:r>
      <w:r w:rsidRPr="00967AC5">
        <w:rPr>
          <w:rFonts w:eastAsia="Calibri"/>
        </w:rPr>
        <w:t>to a common set of Least Restrictive Technical Conditions (LRTC</w:t>
      </w:r>
      <w:r w:rsidR="003F15B5" w:rsidRPr="00967AC5">
        <w:rPr>
          <w:rFonts w:eastAsia="Calibri"/>
        </w:rPr>
        <w:t>s</w:t>
      </w:r>
      <w:r w:rsidRPr="00967AC5">
        <w:rPr>
          <w:rFonts w:eastAsia="Calibri"/>
        </w:rPr>
        <w:t>) which are compliant with the principl</w:t>
      </w:r>
      <w:r w:rsidR="003F15B5" w:rsidRPr="00967AC5">
        <w:rPr>
          <w:rFonts w:eastAsia="Calibri"/>
        </w:rPr>
        <w:t>e</w:t>
      </w:r>
      <w:r w:rsidRPr="00967AC5">
        <w:rPr>
          <w:rFonts w:eastAsia="Calibri"/>
        </w:rPr>
        <w:t xml:space="preserve"> of technology neutrality.</w:t>
      </w:r>
    </w:p>
    <w:p w14:paraId="17BE745D" w14:textId="431476C0" w:rsidR="008B171D" w:rsidRPr="00967AC5" w:rsidRDefault="008B171D">
      <w:pPr>
        <w:pStyle w:val="ECCParagraph"/>
        <w:rPr>
          <w:rFonts w:eastAsia="Calibri"/>
        </w:rPr>
      </w:pPr>
      <w:r w:rsidRPr="00967AC5">
        <w:rPr>
          <w:rFonts w:eastAsia="Calibri"/>
        </w:rPr>
        <w:t>As set out in the current EC Decision, there is a need for a frequency separation between adjacent NB</w:t>
      </w:r>
      <w:r w:rsidR="00B36DDB" w:rsidRPr="00967AC5">
        <w:rPr>
          <w:rFonts w:eastAsia="Calibri"/>
        </w:rPr>
        <w:t xml:space="preserve"> systems</w:t>
      </w:r>
      <w:r w:rsidRPr="00967AC5">
        <w:rPr>
          <w:rFonts w:eastAsia="Calibri"/>
        </w:rPr>
        <w:t xml:space="preserve"> and WB</w:t>
      </w:r>
      <w:r w:rsidR="00B36DDB" w:rsidRPr="00967AC5">
        <w:rPr>
          <w:rFonts w:eastAsia="Calibri"/>
        </w:rPr>
        <w:t xml:space="preserve"> </w:t>
      </w:r>
      <w:r w:rsidRPr="00967AC5">
        <w:rPr>
          <w:rFonts w:eastAsia="Calibri"/>
        </w:rPr>
        <w:t>systems, and between two different adjacent NB systems. To avoid challenging legal issues at the edge of a licensee’s spectrum, there is a need to consider this required frequency separation when generating the LRTCs.</w:t>
      </w:r>
    </w:p>
    <w:p w14:paraId="0082D367" w14:textId="27A411FF" w:rsidR="008B171D" w:rsidRPr="00967AC5" w:rsidRDefault="008B171D">
      <w:pPr>
        <w:pStyle w:val="ECCParagraph"/>
        <w:rPr>
          <w:rFonts w:eastAsia="Calibri"/>
          <w:iCs/>
        </w:rPr>
      </w:pPr>
      <w:r w:rsidRPr="00967AC5">
        <w:rPr>
          <w:rFonts w:eastAsia="Calibri"/>
          <w:iCs/>
        </w:rPr>
        <w:t xml:space="preserve">Although the systems listed in the current EC Decision, excluding GSM, could be covered by a common BEM there is still a need to differentiate between </w:t>
      </w:r>
      <w:r w:rsidRPr="00967AC5">
        <w:rPr>
          <w:rFonts w:eastAsia="Calibri"/>
        </w:rPr>
        <w:t>NB</w:t>
      </w:r>
      <w:r w:rsidR="00B36DDB" w:rsidRPr="00967AC5">
        <w:rPr>
          <w:rFonts w:eastAsia="Calibri"/>
        </w:rPr>
        <w:t xml:space="preserve"> systems </w:t>
      </w:r>
      <w:r w:rsidR="00A13948" w:rsidRPr="00967AC5">
        <w:rPr>
          <w:rFonts w:eastAsia="Calibri"/>
          <w:iCs/>
        </w:rPr>
        <w:t>and WB</w:t>
      </w:r>
      <w:r w:rsidR="00B36DDB" w:rsidRPr="00967AC5">
        <w:rPr>
          <w:rFonts w:eastAsia="Calibri"/>
          <w:iCs/>
        </w:rPr>
        <w:t xml:space="preserve"> </w:t>
      </w:r>
      <w:r w:rsidRPr="00967AC5">
        <w:rPr>
          <w:rFonts w:eastAsia="Calibri"/>
          <w:iCs/>
        </w:rPr>
        <w:t xml:space="preserve">systems in the </w:t>
      </w:r>
      <w:r w:rsidRPr="00967AC5">
        <w:rPr>
          <w:rFonts w:eastAsia="Calibri"/>
        </w:rPr>
        <w:t>LRTC</w:t>
      </w:r>
      <w:r w:rsidR="0092593F" w:rsidRPr="00967AC5">
        <w:rPr>
          <w:rFonts w:eastAsia="Calibri"/>
          <w:iCs/>
        </w:rPr>
        <w:t>s</w:t>
      </w:r>
      <w:r w:rsidRPr="00967AC5">
        <w:rPr>
          <w:rFonts w:eastAsia="Calibri"/>
        </w:rPr>
        <w:t xml:space="preserve"> </w:t>
      </w:r>
      <w:r w:rsidRPr="00967AC5">
        <w:rPr>
          <w:rFonts w:eastAsia="Calibri"/>
          <w:iCs/>
        </w:rPr>
        <w:t xml:space="preserve">for implementation of the frequency separation. CEPT agreed to consider in </w:t>
      </w:r>
      <w:r w:rsidRPr="00967AC5">
        <w:rPr>
          <w:rFonts w:eastAsia="Calibri"/>
        </w:rPr>
        <w:t xml:space="preserve">this </w:t>
      </w:r>
      <w:r w:rsidR="00D648E3" w:rsidRPr="00967AC5">
        <w:rPr>
          <w:rFonts w:eastAsia="Calibri"/>
          <w:iCs/>
        </w:rPr>
        <w:t>Report</w:t>
      </w:r>
      <w:r w:rsidR="00D648E3" w:rsidRPr="00967AC5">
        <w:rPr>
          <w:rFonts w:eastAsia="Calibri"/>
        </w:rPr>
        <w:t xml:space="preserve"> </w:t>
      </w:r>
      <w:r w:rsidRPr="00967AC5">
        <w:rPr>
          <w:rFonts w:eastAsia="Calibri"/>
        </w:rPr>
        <w:t>the</w:t>
      </w:r>
      <w:r w:rsidRPr="00967AC5">
        <w:rPr>
          <w:rFonts w:eastAsia="Calibri"/>
          <w:iCs/>
        </w:rPr>
        <w:t xml:space="preserve"> following definitions for </w:t>
      </w:r>
      <w:r w:rsidRPr="00967AC5">
        <w:rPr>
          <w:rFonts w:eastAsia="Calibri"/>
        </w:rPr>
        <w:t>NB</w:t>
      </w:r>
      <w:r w:rsidR="00A236C4" w:rsidRPr="00967AC5">
        <w:rPr>
          <w:rFonts w:eastAsia="Calibri"/>
        </w:rPr>
        <w:t xml:space="preserve"> systems</w:t>
      </w:r>
      <w:r w:rsidRPr="00967AC5">
        <w:rPr>
          <w:rFonts w:eastAsia="Calibri"/>
          <w:iCs/>
        </w:rPr>
        <w:t xml:space="preserve"> and WB</w:t>
      </w:r>
      <w:r w:rsidR="00BA047D">
        <w:rPr>
          <w:rFonts w:eastAsia="Calibri"/>
          <w:iCs/>
        </w:rPr>
        <w:t xml:space="preserve"> </w:t>
      </w:r>
      <w:r w:rsidRPr="00967AC5">
        <w:rPr>
          <w:rFonts w:eastAsia="Calibri"/>
          <w:iCs/>
        </w:rPr>
        <w:t>systems respectively:</w:t>
      </w:r>
    </w:p>
    <w:p w14:paraId="35F4D210" w14:textId="5565C421" w:rsidR="008B171D" w:rsidRPr="00967AC5" w:rsidRDefault="008B171D" w:rsidP="008B171D">
      <w:pPr>
        <w:pStyle w:val="ECCBulletsLv1"/>
      </w:pPr>
      <w:r w:rsidRPr="00967AC5">
        <w:t>NB systems as systems operating in 200 kHz channels, excluding GSM</w:t>
      </w:r>
      <w:r w:rsidR="00DB3366" w:rsidRPr="00DB3366">
        <w:rPr>
          <w:rFonts w:cs="Arial"/>
          <w:szCs w:val="20"/>
        </w:rPr>
        <w:t xml:space="preserve"> </w:t>
      </w:r>
      <w:r w:rsidR="00DB3366" w:rsidRPr="00967AC5">
        <w:rPr>
          <w:rFonts w:cs="Arial"/>
          <w:szCs w:val="20"/>
        </w:rPr>
        <w:t>and EC-GSM-IoT</w:t>
      </w:r>
      <w:r w:rsidR="00260BA2" w:rsidRPr="00967AC5">
        <w:t>;</w:t>
      </w:r>
      <w:r w:rsidRPr="00967AC5">
        <w:t xml:space="preserve"> </w:t>
      </w:r>
    </w:p>
    <w:p w14:paraId="0C2B79C5" w14:textId="1F53DED3" w:rsidR="008B171D" w:rsidRPr="00967AC5" w:rsidRDefault="008B171D" w:rsidP="008B171D">
      <w:pPr>
        <w:pStyle w:val="ECCBulletsLv1"/>
      </w:pPr>
      <w:r w:rsidRPr="00967AC5">
        <w:t>WB systems as systems operating in channels larger than 200 kHz</w:t>
      </w:r>
      <w:r w:rsidR="00260BA2" w:rsidRPr="00967AC5">
        <w:t>.</w:t>
      </w:r>
    </w:p>
    <w:p w14:paraId="2EA50764" w14:textId="510A5FA2" w:rsidR="008B171D" w:rsidRPr="00967AC5" w:rsidRDefault="008B171D">
      <w:pPr>
        <w:pStyle w:val="ECCParagraph"/>
        <w:spacing w:before="240"/>
        <w:rPr>
          <w:rFonts w:eastAsia="Calibri"/>
          <w:szCs w:val="22"/>
        </w:rPr>
      </w:pPr>
      <w:r w:rsidRPr="00967AC5">
        <w:rPr>
          <w:rFonts w:eastAsia="Calibri"/>
          <w:szCs w:val="22"/>
        </w:rPr>
        <w:t xml:space="preserve">Therefore, the </w:t>
      </w:r>
      <w:r w:rsidRPr="00967AC5">
        <w:rPr>
          <w:rFonts w:eastAsia="Calibri"/>
        </w:rPr>
        <w:t>LRTC</w:t>
      </w:r>
      <w:r w:rsidR="00116480" w:rsidRPr="00967AC5">
        <w:rPr>
          <w:rFonts w:eastAsia="Calibri"/>
          <w:szCs w:val="22"/>
        </w:rPr>
        <w:t>s</w:t>
      </w:r>
      <w:r w:rsidRPr="00967AC5">
        <w:rPr>
          <w:rFonts w:eastAsia="Calibri"/>
        </w:rPr>
        <w:t xml:space="preserve"> proposed</w:t>
      </w:r>
      <w:r w:rsidRPr="00967AC5">
        <w:rPr>
          <w:rFonts w:eastAsia="Calibri"/>
          <w:szCs w:val="22"/>
        </w:rPr>
        <w:t xml:space="preserve"> in this CEPT report includ</w:t>
      </w:r>
      <w:r w:rsidRPr="00967AC5">
        <w:rPr>
          <w:rFonts w:eastAsia="Calibri"/>
        </w:rPr>
        <w:t>e</w:t>
      </w:r>
      <w:r w:rsidRPr="00967AC5">
        <w:rPr>
          <w:rFonts w:eastAsia="Calibri"/>
          <w:szCs w:val="22"/>
        </w:rPr>
        <w:t xml:space="preserve"> various common components of a BEM (applicable for both </w:t>
      </w:r>
      <w:r w:rsidRPr="00967AC5">
        <w:rPr>
          <w:rFonts w:eastAsia="Calibri"/>
        </w:rPr>
        <w:t>NB</w:t>
      </w:r>
      <w:r w:rsidR="00B36DDB" w:rsidRPr="00967AC5">
        <w:rPr>
          <w:rFonts w:eastAsia="Calibri"/>
          <w:szCs w:val="22"/>
        </w:rPr>
        <w:t xml:space="preserve"> systems</w:t>
      </w:r>
      <w:r w:rsidR="00A13948" w:rsidRPr="00967AC5">
        <w:rPr>
          <w:rFonts w:eastAsia="Calibri"/>
        </w:rPr>
        <w:t xml:space="preserve"> and </w:t>
      </w:r>
      <w:r w:rsidR="00A13948" w:rsidRPr="00967AC5">
        <w:rPr>
          <w:rFonts w:eastAsia="Calibri"/>
          <w:szCs w:val="22"/>
        </w:rPr>
        <w:t>WB</w:t>
      </w:r>
      <w:r w:rsidR="00B36DDB" w:rsidRPr="00967AC5">
        <w:rPr>
          <w:rFonts w:eastAsia="Calibri"/>
        </w:rPr>
        <w:t xml:space="preserve"> </w:t>
      </w:r>
      <w:r w:rsidRPr="00967AC5">
        <w:rPr>
          <w:rFonts w:eastAsia="Calibri"/>
        </w:rPr>
        <w:t>systems</w:t>
      </w:r>
      <w:r w:rsidRPr="00967AC5">
        <w:rPr>
          <w:rFonts w:eastAsia="Calibri"/>
          <w:szCs w:val="22"/>
        </w:rPr>
        <w:t xml:space="preserve">) and, when appropriate, relevant frequency separation to be applied at the edge of the assigned block from where the </w:t>
      </w:r>
      <w:r w:rsidRPr="00967AC5">
        <w:rPr>
          <w:rFonts w:eastAsia="Calibri"/>
        </w:rPr>
        <w:t>LRTC</w:t>
      </w:r>
      <w:r w:rsidR="003D5596" w:rsidRPr="00967AC5">
        <w:rPr>
          <w:rFonts w:eastAsia="Calibri"/>
          <w:szCs w:val="22"/>
        </w:rPr>
        <w:t>s</w:t>
      </w:r>
      <w:r w:rsidRPr="00967AC5">
        <w:rPr>
          <w:rFonts w:eastAsia="Calibri"/>
          <w:szCs w:val="22"/>
        </w:rPr>
        <w:t xml:space="preserve"> then applies (see section </w:t>
      </w:r>
      <w:r w:rsidR="00E5527C" w:rsidRPr="00967AC5">
        <w:rPr>
          <w:rFonts w:eastAsia="Calibri"/>
          <w:szCs w:val="22"/>
        </w:rPr>
        <w:fldChar w:fldCharType="begin"/>
      </w:r>
      <w:r w:rsidR="00E5527C" w:rsidRPr="00967AC5">
        <w:rPr>
          <w:rFonts w:eastAsia="Calibri"/>
          <w:szCs w:val="22"/>
        </w:rPr>
        <w:instrText xml:space="preserve"> REF _Ref59205942 \r \h </w:instrText>
      </w:r>
      <w:r w:rsidR="001C7C80" w:rsidRPr="00967AC5">
        <w:rPr>
          <w:rFonts w:eastAsia="Calibri"/>
          <w:szCs w:val="22"/>
        </w:rPr>
        <w:instrText xml:space="preserve"> \* MERGEFORMAT </w:instrText>
      </w:r>
      <w:r w:rsidR="00E5527C" w:rsidRPr="00967AC5">
        <w:rPr>
          <w:rFonts w:eastAsia="Calibri"/>
          <w:szCs w:val="22"/>
        </w:rPr>
      </w:r>
      <w:r w:rsidR="00E5527C" w:rsidRPr="00967AC5">
        <w:rPr>
          <w:rFonts w:eastAsia="Calibri"/>
          <w:szCs w:val="22"/>
        </w:rPr>
        <w:fldChar w:fldCharType="separate"/>
      </w:r>
      <w:r w:rsidR="00680BB5" w:rsidRPr="00967AC5">
        <w:rPr>
          <w:rFonts w:eastAsia="Calibri"/>
          <w:szCs w:val="22"/>
        </w:rPr>
        <w:t>3.4.5</w:t>
      </w:r>
      <w:r w:rsidR="00E5527C" w:rsidRPr="00967AC5">
        <w:rPr>
          <w:rFonts w:eastAsia="Calibri"/>
          <w:szCs w:val="22"/>
        </w:rPr>
        <w:fldChar w:fldCharType="end"/>
      </w:r>
      <w:r w:rsidRPr="00967AC5">
        <w:rPr>
          <w:rFonts w:eastAsia="Calibri"/>
          <w:szCs w:val="22"/>
        </w:rPr>
        <w:t xml:space="preserve">). </w:t>
      </w:r>
    </w:p>
    <w:p w14:paraId="0C19424D" w14:textId="1B2FF1D0" w:rsidR="008B171D" w:rsidRPr="00967AC5" w:rsidRDefault="008B171D" w:rsidP="00E5527C">
      <w:pPr>
        <w:pStyle w:val="ECCParagraph"/>
        <w:rPr>
          <w:rFonts w:eastAsia="Calibri"/>
          <w:szCs w:val="22"/>
        </w:rPr>
      </w:pPr>
      <w:r w:rsidRPr="00967AC5">
        <w:rPr>
          <w:rFonts w:eastAsia="Calibri"/>
          <w:szCs w:val="22"/>
        </w:rPr>
        <w:t xml:space="preserve">GSM has not been considered when developing the common BEM. Section </w:t>
      </w:r>
      <w:r w:rsidR="00E5527C" w:rsidRPr="00967AC5">
        <w:rPr>
          <w:rFonts w:eastAsia="Calibri"/>
          <w:szCs w:val="22"/>
        </w:rPr>
        <w:fldChar w:fldCharType="begin"/>
      </w:r>
      <w:r w:rsidR="00E5527C" w:rsidRPr="00967AC5">
        <w:rPr>
          <w:rFonts w:eastAsia="Calibri"/>
          <w:szCs w:val="22"/>
        </w:rPr>
        <w:instrText xml:space="preserve"> REF _Ref59205982 \r \h </w:instrText>
      </w:r>
      <w:r w:rsidR="001C7C80" w:rsidRPr="00967AC5">
        <w:rPr>
          <w:rFonts w:eastAsia="Calibri"/>
          <w:szCs w:val="22"/>
        </w:rPr>
        <w:instrText xml:space="preserve"> \* MERGEFORMAT </w:instrText>
      </w:r>
      <w:r w:rsidR="00E5527C" w:rsidRPr="00967AC5">
        <w:rPr>
          <w:rFonts w:eastAsia="Calibri"/>
          <w:szCs w:val="22"/>
        </w:rPr>
      </w:r>
      <w:r w:rsidR="00E5527C" w:rsidRPr="00967AC5">
        <w:rPr>
          <w:rFonts w:eastAsia="Calibri"/>
          <w:szCs w:val="22"/>
        </w:rPr>
        <w:fldChar w:fldCharType="separate"/>
      </w:r>
      <w:r w:rsidR="00680BB5" w:rsidRPr="00967AC5">
        <w:rPr>
          <w:rFonts w:eastAsia="Calibri"/>
          <w:szCs w:val="22"/>
        </w:rPr>
        <w:t>3.2</w:t>
      </w:r>
      <w:r w:rsidR="00E5527C" w:rsidRPr="00967AC5">
        <w:rPr>
          <w:rFonts w:eastAsia="Calibri"/>
          <w:szCs w:val="22"/>
        </w:rPr>
        <w:fldChar w:fldCharType="end"/>
      </w:r>
      <w:r w:rsidR="00321D5F" w:rsidRPr="00967AC5">
        <w:rPr>
          <w:rFonts w:eastAsia="Calibri"/>
          <w:szCs w:val="22"/>
        </w:rPr>
        <w:t xml:space="preserve"> </w:t>
      </w:r>
      <w:r w:rsidRPr="00967AC5">
        <w:rPr>
          <w:rFonts w:eastAsia="Calibri"/>
          <w:szCs w:val="22"/>
        </w:rPr>
        <w:t xml:space="preserve">explains why the BEM could not be applied to GSM and how the protection of GSM is to be managed </w:t>
      </w:r>
      <w:r w:rsidR="00553ECD" w:rsidRPr="00967AC5">
        <w:rPr>
          <w:rFonts w:eastAsia="Calibri"/>
          <w:szCs w:val="22"/>
        </w:rPr>
        <w:t>regarding</w:t>
      </w:r>
      <w:r w:rsidRPr="00967AC5">
        <w:rPr>
          <w:rFonts w:eastAsia="Calibri"/>
          <w:szCs w:val="22"/>
        </w:rPr>
        <w:t xml:space="preserve"> the new BEM.</w:t>
      </w:r>
    </w:p>
    <w:p w14:paraId="6F412BAE" w14:textId="0CDFA852" w:rsidR="008B171D" w:rsidRPr="00967AC5" w:rsidRDefault="008B171D" w:rsidP="008B171D">
      <w:pPr>
        <w:pStyle w:val="ECCParagraph"/>
        <w:rPr>
          <w:rFonts w:eastAsia="Calibri"/>
        </w:rPr>
      </w:pPr>
      <w:r w:rsidRPr="00967AC5">
        <w:rPr>
          <w:rFonts w:eastAsia="Calibri"/>
        </w:rPr>
        <w:t>Under this technology neutral approach, when complying with the LRTC</w:t>
      </w:r>
      <w:r w:rsidR="000162CC" w:rsidRPr="00967AC5">
        <w:rPr>
          <w:rFonts w:eastAsia="Calibri"/>
        </w:rPr>
        <w:t>s</w:t>
      </w:r>
      <w:r w:rsidRPr="00967AC5">
        <w:rPr>
          <w:rFonts w:eastAsia="Calibri"/>
        </w:rPr>
        <w:t>, licensees should be free to deploy any MFCN technology in the assigned spectrum. This framework will give more flexibility to licens</w:t>
      </w:r>
      <w:r w:rsidR="00F84DB2" w:rsidRPr="00967AC5">
        <w:rPr>
          <w:rFonts w:eastAsia="Calibri"/>
        </w:rPr>
        <w:t>e</w:t>
      </w:r>
      <w:r w:rsidRPr="00967AC5">
        <w:rPr>
          <w:rFonts w:eastAsia="Calibri"/>
        </w:rPr>
        <w:t>es and thus increase infrastructure competition and stimulate/support 5G development. It will also maintain long term confidence with adjacent bands users.</w:t>
      </w:r>
    </w:p>
    <w:p w14:paraId="3235A5E7" w14:textId="7B490F74" w:rsidR="008B171D" w:rsidRPr="00967AC5" w:rsidRDefault="008B171D" w:rsidP="008B171D">
      <w:pPr>
        <w:pStyle w:val="ECCParagraph"/>
        <w:rPr>
          <w:rFonts w:eastAsia="Calibri"/>
        </w:rPr>
      </w:pPr>
      <w:r w:rsidRPr="00967AC5">
        <w:rPr>
          <w:rFonts w:eastAsia="Calibri"/>
        </w:rPr>
        <w:lastRenderedPageBreak/>
        <w:t>To generate LRTCs, CEPT has identified the relevant parameters to derive a BEM and the toolbox for implementation of the required frequency separation between systems (in a technology neutral approach) at national level in order to avoid new studies</w:t>
      </w:r>
      <w:r w:rsidR="007F3FCC" w:rsidRPr="00967AC5">
        <w:rPr>
          <w:rFonts w:eastAsia="Calibri"/>
        </w:rPr>
        <w:t>.</w:t>
      </w:r>
      <w:r w:rsidRPr="00967AC5">
        <w:rPr>
          <w:rFonts w:eastAsia="Calibri"/>
        </w:rPr>
        <w:t xml:space="preserve"> </w:t>
      </w:r>
    </w:p>
    <w:p w14:paraId="233235CF" w14:textId="71B931A9" w:rsidR="008B171D" w:rsidRPr="00967AC5" w:rsidRDefault="008B171D">
      <w:pPr>
        <w:pStyle w:val="ECCParagraph"/>
      </w:pPr>
      <w:r w:rsidRPr="00967AC5">
        <w:t>This section defines the components of the LRTC</w:t>
      </w:r>
      <w:r w:rsidR="00F318D0" w:rsidRPr="00967AC5">
        <w:t>s</w:t>
      </w:r>
      <w:r w:rsidRPr="00967AC5">
        <w:t xml:space="preserve"> for NB</w:t>
      </w:r>
      <w:r w:rsidR="00B36DDB" w:rsidRPr="00967AC5">
        <w:t xml:space="preserve"> systems</w:t>
      </w:r>
      <w:r w:rsidR="00A13948" w:rsidRPr="00967AC5">
        <w:t xml:space="preserve"> and WB</w:t>
      </w:r>
      <w:r w:rsidR="00B36DDB" w:rsidRPr="00967AC5">
        <w:t xml:space="preserve"> </w:t>
      </w:r>
      <w:r w:rsidRPr="00967AC5">
        <w:t>systems. The relevant LRTC</w:t>
      </w:r>
      <w:r w:rsidR="008F230A" w:rsidRPr="00967AC5">
        <w:t>s</w:t>
      </w:r>
      <w:r w:rsidRPr="00967AC5">
        <w:t xml:space="preserve"> include a common </w:t>
      </w:r>
      <w:r w:rsidR="008F230A" w:rsidRPr="00967AC5">
        <w:t xml:space="preserve">BS </w:t>
      </w:r>
      <w:r w:rsidRPr="00967AC5">
        <w:t>BEM</w:t>
      </w:r>
      <w:r w:rsidR="008F230A" w:rsidRPr="00967AC5">
        <w:t xml:space="preserve"> consisting</w:t>
      </w:r>
      <w:r w:rsidR="004E3BD3" w:rsidRPr="00967AC5">
        <w:t xml:space="preserve"> </w:t>
      </w:r>
      <w:proofErr w:type="gramStart"/>
      <w:r w:rsidR="004E3BD3" w:rsidRPr="00967AC5">
        <w:t>of</w:t>
      </w:r>
      <w:r w:rsidRPr="00967AC5">
        <w:t>:</w:t>
      </w:r>
      <w:proofErr w:type="gramEnd"/>
      <w:r w:rsidRPr="00967AC5">
        <w:t xml:space="preserve"> </w:t>
      </w:r>
      <w:r w:rsidR="007F3FCC" w:rsidRPr="00967AC5">
        <w:t>i</w:t>
      </w:r>
      <w:r w:rsidRPr="00967AC5">
        <w:t xml:space="preserve">n-block limits, </w:t>
      </w:r>
      <w:r w:rsidR="007F3FCC" w:rsidRPr="00967AC5">
        <w:t>o</w:t>
      </w:r>
      <w:r w:rsidRPr="00967AC5">
        <w:t>ut-of-block limits, baseline limits</w:t>
      </w:r>
      <w:r w:rsidR="00AF429C" w:rsidRPr="00967AC5">
        <w:t>,</w:t>
      </w:r>
      <w:r w:rsidRPr="00967AC5">
        <w:t xml:space="preserve"> additional baseline as an out-of-band limit to ensure coexistence with adjacent </w:t>
      </w:r>
      <w:r w:rsidR="00E36333" w:rsidRPr="00967AC5">
        <w:t>band</w:t>
      </w:r>
      <w:r w:rsidRPr="00967AC5">
        <w:t xml:space="preserve"> users where needed</w:t>
      </w:r>
      <w:r w:rsidR="00F318D0" w:rsidRPr="00967AC5">
        <w:t>.</w:t>
      </w:r>
      <w:r w:rsidR="00A1501B" w:rsidRPr="00967AC5">
        <w:t xml:space="preserve"> </w:t>
      </w:r>
      <w:r w:rsidR="00F318D0" w:rsidRPr="00967AC5">
        <w:t>LRTCs</w:t>
      </w:r>
      <w:r w:rsidR="00741A4A" w:rsidRPr="00967AC5">
        <w:t xml:space="preserve"> also include</w:t>
      </w:r>
      <w:r w:rsidRPr="00967AC5">
        <w:t xml:space="preserve"> the relevant frequency separation between adjacent </w:t>
      </w:r>
      <w:r w:rsidR="00E36333" w:rsidRPr="00967AC5">
        <w:t>band</w:t>
      </w:r>
      <w:r w:rsidRPr="00967AC5">
        <w:t xml:space="preserve">  NB</w:t>
      </w:r>
      <w:r w:rsidR="00B36DDB" w:rsidRPr="00967AC5">
        <w:t xml:space="preserve"> systems</w:t>
      </w:r>
      <w:r w:rsidR="00A13948" w:rsidRPr="00967AC5">
        <w:t xml:space="preserve"> and WB</w:t>
      </w:r>
      <w:r w:rsidR="00B36DDB" w:rsidRPr="00967AC5">
        <w:t xml:space="preserve"> </w:t>
      </w:r>
      <w:r w:rsidRPr="00967AC5">
        <w:t xml:space="preserve">systems, and between two different adjacent </w:t>
      </w:r>
      <w:r w:rsidR="00E36333" w:rsidRPr="00967AC5">
        <w:t>band</w:t>
      </w:r>
      <w:r w:rsidR="00F318D0" w:rsidRPr="00967AC5">
        <w:t>’s</w:t>
      </w:r>
      <w:r w:rsidRPr="00967AC5">
        <w:t xml:space="preserve"> NB systems, as described in section </w:t>
      </w:r>
      <w:r w:rsidR="00AF429C" w:rsidRPr="00967AC5">
        <w:fldChar w:fldCharType="begin"/>
      </w:r>
      <w:r w:rsidR="00AF429C" w:rsidRPr="00967AC5">
        <w:instrText xml:space="preserve"> REF _Ref59206142 \r \h </w:instrText>
      </w:r>
      <w:r w:rsidR="001C7C80" w:rsidRPr="00967AC5">
        <w:instrText xml:space="preserve"> \* MERGEFORMAT </w:instrText>
      </w:r>
      <w:r w:rsidR="00AF429C" w:rsidRPr="00967AC5">
        <w:fldChar w:fldCharType="separate"/>
      </w:r>
      <w:r w:rsidR="00680BB5" w:rsidRPr="00967AC5">
        <w:t>3.4.5</w:t>
      </w:r>
      <w:r w:rsidR="00AF429C" w:rsidRPr="00967AC5">
        <w:fldChar w:fldCharType="end"/>
      </w:r>
      <w:r w:rsidRPr="00967AC5">
        <w:t xml:space="preserve">. </w:t>
      </w:r>
    </w:p>
    <w:p w14:paraId="58471E9D" w14:textId="2D84A5F3" w:rsidR="008B171D" w:rsidRPr="00967AC5" w:rsidRDefault="008B171D" w:rsidP="008B171D">
      <w:pPr>
        <w:pStyle w:val="ECCParagraph"/>
        <w:rPr>
          <w:rFonts w:cstheme="minorBidi"/>
        </w:rPr>
      </w:pPr>
      <w:r w:rsidRPr="00967AC5">
        <w:t>A Block Edge Mask (BEM) is an essential component of the LRTC</w:t>
      </w:r>
      <w:r w:rsidR="0092593F" w:rsidRPr="00967AC5">
        <w:t>s</w:t>
      </w:r>
      <w:r w:rsidRPr="00967AC5">
        <w:t xml:space="preserve"> and provides conditions necessary to ensure co-existence between neighbo</w:t>
      </w:r>
      <w:r w:rsidRPr="00967AC5">
        <w:rPr>
          <w:rFonts w:eastAsia="Calibri"/>
        </w:rPr>
        <w:t>u</w:t>
      </w:r>
      <w:r w:rsidRPr="00967AC5">
        <w:t>ring networks, in the absence of bilateral or multilateral agreements between operators of such neighbo</w:t>
      </w:r>
      <w:r w:rsidRPr="00967AC5">
        <w:rPr>
          <w:rFonts w:eastAsia="Calibri"/>
        </w:rPr>
        <w:t>u</w:t>
      </w:r>
      <w:r w:rsidRPr="00967AC5">
        <w:t xml:space="preserve">ring networks. </w:t>
      </w:r>
    </w:p>
    <w:p w14:paraId="3B6E53C3" w14:textId="67BEFE25" w:rsidR="008B171D" w:rsidRPr="00967AC5" w:rsidRDefault="008B171D" w:rsidP="00F318D0">
      <w:pPr>
        <w:pStyle w:val="ECCParagraph"/>
        <w:rPr>
          <w:szCs w:val="16"/>
        </w:rPr>
      </w:pPr>
      <w:r w:rsidRPr="00967AC5">
        <w:t xml:space="preserve">There is a need to develop one BEM for Base Stations and one BEM </w:t>
      </w:r>
      <w:r w:rsidR="00C56285" w:rsidRPr="00967AC5">
        <w:t xml:space="preserve">for </w:t>
      </w:r>
      <w:r w:rsidRPr="00967AC5">
        <w:t xml:space="preserve">terminal stations including the following possible components, where appropriate (see </w:t>
      </w:r>
      <w:r w:rsidR="00AF429C" w:rsidRPr="00967AC5">
        <w:fldChar w:fldCharType="begin"/>
      </w:r>
      <w:r w:rsidR="00AF429C" w:rsidRPr="00967AC5">
        <w:instrText xml:space="preserve"> REF _Ref59206182 \h </w:instrText>
      </w:r>
      <w:r w:rsidR="001C7C80" w:rsidRPr="00967AC5">
        <w:instrText xml:space="preserve"> \* MERGEFORMAT </w:instrText>
      </w:r>
      <w:r w:rsidR="00AF429C" w:rsidRPr="00967AC5">
        <w:fldChar w:fldCharType="separate"/>
      </w:r>
      <w:r w:rsidR="00680BB5" w:rsidRPr="00967AC5" w:rsidDel="0017118A">
        <w:t xml:space="preserve">Figure </w:t>
      </w:r>
      <w:r w:rsidR="00680BB5" w:rsidRPr="00967AC5">
        <w:t>7</w:t>
      </w:r>
      <w:r w:rsidR="00680BB5" w:rsidRPr="00967AC5" w:rsidDel="0017118A">
        <w:t>:</w:t>
      </w:r>
      <w:r w:rsidR="00AF429C" w:rsidRPr="00967AC5">
        <w:fldChar w:fldCharType="end"/>
      </w:r>
      <w:r w:rsidRPr="00967AC5">
        <w:t>):</w:t>
      </w:r>
    </w:p>
    <w:p w14:paraId="422CB7F1" w14:textId="78B58E1B" w:rsidR="008B171D" w:rsidRPr="00967AC5" w:rsidRDefault="008B171D" w:rsidP="00DC7289">
      <w:pPr>
        <w:pStyle w:val="ECCParagraph"/>
      </w:pPr>
      <w:r w:rsidRPr="00967AC5">
        <w:t>Base stations</w:t>
      </w:r>
      <w:r w:rsidR="00CA46DE" w:rsidRPr="00967AC5">
        <w:t>:</w:t>
      </w:r>
    </w:p>
    <w:p w14:paraId="489980DA" w14:textId="2528C522" w:rsidR="008B171D" w:rsidRPr="00967AC5" w:rsidRDefault="008B171D" w:rsidP="002C7D44">
      <w:pPr>
        <w:pStyle w:val="ECCBulletsLv1"/>
      </w:pPr>
      <w:r w:rsidRPr="00967AC5">
        <w:t>In-block power limit (to be applied to an assigned block where needed)</w:t>
      </w:r>
      <w:r w:rsidR="00471D11" w:rsidRPr="00967AC5">
        <w:t>;</w:t>
      </w:r>
      <w:r w:rsidRPr="00967AC5">
        <w:t xml:space="preserve"> </w:t>
      </w:r>
    </w:p>
    <w:p w14:paraId="43F0FF0A" w14:textId="281F6E36" w:rsidR="008B171D" w:rsidRPr="00967AC5" w:rsidRDefault="008B171D" w:rsidP="002C7D44">
      <w:pPr>
        <w:pStyle w:val="ECCBulletsLv1"/>
      </w:pPr>
      <w:r w:rsidRPr="00967AC5">
        <w:t>Transitional regions (out-of-block limits)</w:t>
      </w:r>
      <w:r w:rsidR="00471D11" w:rsidRPr="00967AC5">
        <w:t>;</w:t>
      </w:r>
    </w:p>
    <w:p w14:paraId="0F75064A" w14:textId="58D3E4AF" w:rsidR="008B171D" w:rsidRPr="00967AC5" w:rsidRDefault="008B171D" w:rsidP="002C7D44">
      <w:pPr>
        <w:pStyle w:val="ECCBulletsLv1"/>
      </w:pPr>
      <w:r w:rsidRPr="00967AC5">
        <w:t>Baseline (out-of-block limits)</w:t>
      </w:r>
      <w:r w:rsidR="00471D11" w:rsidRPr="00967AC5">
        <w:t>;</w:t>
      </w:r>
    </w:p>
    <w:p w14:paraId="177F0EB1" w14:textId="53F8E9F6" w:rsidR="008B171D" w:rsidRPr="00967AC5" w:rsidRDefault="008B171D" w:rsidP="002C7D44">
      <w:pPr>
        <w:pStyle w:val="ECCBulletsLv1"/>
      </w:pPr>
      <w:r w:rsidRPr="00967AC5">
        <w:t>Restricted baseline (only if needed, for restricted out-of-block limits)</w:t>
      </w:r>
      <w:r w:rsidR="00471D11" w:rsidRPr="00967AC5">
        <w:t>.</w:t>
      </w:r>
    </w:p>
    <w:p w14:paraId="00634C8F" w14:textId="4283E16A" w:rsidR="008B171D" w:rsidRPr="00967AC5" w:rsidRDefault="008B171D" w:rsidP="002C7D44">
      <w:pPr>
        <w:pStyle w:val="ECCParagraph"/>
        <w:spacing w:before="240"/>
      </w:pPr>
      <w:bookmarkStart w:id="89" w:name="_Hlk43140681"/>
      <w:bookmarkStart w:id="90" w:name="_Hlk43140717"/>
      <w:r w:rsidRPr="00967AC5">
        <w:t>Ensure coexistence with adjacent systems</w:t>
      </w:r>
      <w:r w:rsidR="00CA46DE" w:rsidRPr="00967AC5">
        <w:t>:</w:t>
      </w:r>
    </w:p>
    <w:p w14:paraId="7C7CBC86" w14:textId="4EAB7B6A" w:rsidR="008B171D" w:rsidRPr="00967AC5" w:rsidRDefault="008B171D" w:rsidP="002C7D44">
      <w:pPr>
        <w:pStyle w:val="ECCBulletsLv1"/>
      </w:pPr>
      <w:bookmarkStart w:id="91" w:name="_Hlk43207523"/>
      <w:bookmarkEnd w:id="89"/>
      <w:bookmarkEnd w:id="90"/>
      <w:r w:rsidRPr="00967AC5">
        <w:t>Additional baseline</w:t>
      </w:r>
      <w:r w:rsidR="0056491C" w:rsidRPr="00967AC5">
        <w:t xml:space="preserve"> </w:t>
      </w:r>
      <w:r w:rsidRPr="00967AC5">
        <w:t>as an out-of-band limit (to ensure coexistence with adjacent users) where needed if it differs from out-of-block limits</w:t>
      </w:r>
      <w:r w:rsidR="00471D11" w:rsidRPr="00967AC5">
        <w:t>;</w:t>
      </w:r>
      <w:r w:rsidRPr="00967AC5">
        <w:t xml:space="preserve"> </w:t>
      </w:r>
      <w:bookmarkEnd w:id="91"/>
    </w:p>
    <w:p w14:paraId="585951D2" w14:textId="0F345AC9" w:rsidR="008B171D" w:rsidRPr="00967AC5" w:rsidRDefault="008B171D" w:rsidP="002C7D44">
      <w:pPr>
        <w:pStyle w:val="ECCParagraph"/>
        <w:spacing w:before="240"/>
      </w:pPr>
      <w:r w:rsidRPr="00967AC5">
        <w:t>Terminal Stations</w:t>
      </w:r>
      <w:r w:rsidR="009A5B40" w:rsidRPr="00967AC5">
        <w:t>:</w:t>
      </w:r>
      <w:r w:rsidRPr="00967AC5">
        <w:t xml:space="preserve"> </w:t>
      </w:r>
    </w:p>
    <w:p w14:paraId="75A4D827" w14:textId="668B9162" w:rsidR="008B171D" w:rsidRPr="00967AC5" w:rsidRDefault="008B171D" w:rsidP="002C7D44">
      <w:pPr>
        <w:pStyle w:val="ECCBulletsLv1"/>
      </w:pPr>
      <w:r w:rsidRPr="00967AC5">
        <w:t>In-block power limit (to be applied to an assigned block)</w:t>
      </w:r>
      <w:r w:rsidR="00471D11" w:rsidRPr="00967AC5">
        <w:t>;</w:t>
      </w:r>
    </w:p>
    <w:p w14:paraId="50053B77" w14:textId="39DAB380" w:rsidR="008B171D" w:rsidRPr="00967AC5" w:rsidRDefault="008B171D" w:rsidP="002C7D44">
      <w:pPr>
        <w:pStyle w:val="ECCBulletsLv1"/>
      </w:pPr>
      <w:r w:rsidRPr="00967AC5">
        <w:t>To assess if other limits are needed to ensure coexistence with adjacent users</w:t>
      </w:r>
      <w:r w:rsidR="00471D11" w:rsidRPr="00967AC5">
        <w:t>.</w:t>
      </w:r>
    </w:p>
    <w:p w14:paraId="73C72243" w14:textId="77777777" w:rsidR="008B171D" w:rsidRPr="00967AC5" w:rsidRDefault="008B171D" w:rsidP="00DF4CB4">
      <w:pPr>
        <w:pStyle w:val="ECCFiguregraphcentered"/>
        <w:rPr>
          <w:noProof w:val="0"/>
          <w:shd w:val="solid" w:color="FFC000" w:fill="auto"/>
          <w:lang w:val="en-GB"/>
        </w:rPr>
      </w:pPr>
      <w:r w:rsidRPr="00967AC5">
        <w:rPr>
          <w:lang w:val="en-GB"/>
        </w:rPr>
        <w:drawing>
          <wp:inline distT="0" distB="0" distL="0" distR="0" wp14:anchorId="56BAA000" wp14:editId="1BAFDA2A">
            <wp:extent cx="5331601" cy="2912400"/>
            <wp:effectExtent l="0" t="0" r="0" b="0"/>
            <wp:docPr id="107"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pic:nvPicPr>
                  <pic:blipFill>
                    <a:blip r:embed="rId22">
                      <a:extLst>
                        <a:ext uri="{28A0092B-C50C-407E-A947-70E740481C1C}">
                          <a14:useLocalDpi xmlns:a14="http://schemas.microsoft.com/office/drawing/2010/main" val="0"/>
                        </a:ext>
                      </a:extLst>
                    </a:blip>
                    <a:stretch>
                      <a:fillRect/>
                    </a:stretch>
                  </pic:blipFill>
                  <pic:spPr>
                    <a:xfrm>
                      <a:off x="0" y="0"/>
                      <a:ext cx="5331601" cy="2912400"/>
                    </a:xfrm>
                    <a:prstGeom prst="rect">
                      <a:avLst/>
                    </a:prstGeom>
                  </pic:spPr>
                </pic:pic>
              </a:graphicData>
            </a:graphic>
          </wp:inline>
        </w:drawing>
      </w:r>
    </w:p>
    <w:p w14:paraId="465AB58F" w14:textId="4E41B5A4" w:rsidR="00DF4CB4" w:rsidRPr="00967AC5" w:rsidRDefault="00DF4CB4" w:rsidP="00DF4CB4">
      <w:pPr>
        <w:pStyle w:val="Caption"/>
        <w:rPr>
          <w:lang w:val="en-GB"/>
        </w:rPr>
      </w:pPr>
      <w:bookmarkStart w:id="92" w:name="_Ref50624052"/>
      <w:bookmarkStart w:id="93" w:name="_Ref59206182"/>
      <w:r w:rsidRPr="00967AC5" w:rsidDel="0017118A">
        <w:rPr>
          <w:lang w:val="en-GB"/>
        </w:rPr>
        <w:t xml:space="preserve">Figure </w:t>
      </w:r>
      <w:r w:rsidRPr="00967AC5" w:rsidDel="0017118A">
        <w:rPr>
          <w:lang w:val="en-GB"/>
        </w:rPr>
        <w:fldChar w:fldCharType="begin"/>
      </w:r>
      <w:r w:rsidRPr="00967AC5" w:rsidDel="0017118A">
        <w:rPr>
          <w:lang w:val="en-GB"/>
        </w:rPr>
        <w:instrText xml:space="preserve"> SEQ Figure \* ARABIC </w:instrText>
      </w:r>
      <w:r w:rsidRPr="00967AC5" w:rsidDel="0017118A">
        <w:rPr>
          <w:lang w:val="en-GB"/>
        </w:rPr>
        <w:fldChar w:fldCharType="separate"/>
      </w:r>
      <w:r w:rsidR="00680BB5" w:rsidRPr="00967AC5">
        <w:rPr>
          <w:noProof/>
          <w:lang w:val="en-GB"/>
        </w:rPr>
        <w:t>7</w:t>
      </w:r>
      <w:r w:rsidRPr="00967AC5" w:rsidDel="0017118A">
        <w:rPr>
          <w:lang w:val="en-GB"/>
        </w:rPr>
        <w:fldChar w:fldCharType="end"/>
      </w:r>
      <w:bookmarkEnd w:id="92"/>
      <w:r w:rsidRPr="00967AC5" w:rsidDel="0017118A">
        <w:rPr>
          <w:lang w:val="en-GB"/>
        </w:rPr>
        <w:t>:</w:t>
      </w:r>
      <w:bookmarkEnd w:id="93"/>
      <w:r w:rsidRPr="00967AC5" w:rsidDel="0017118A">
        <w:rPr>
          <w:lang w:val="en-GB"/>
        </w:rPr>
        <w:t xml:space="preserve"> </w:t>
      </w:r>
      <w:r w:rsidR="00B123BC" w:rsidRPr="00967AC5">
        <w:rPr>
          <w:lang w:val="en-GB"/>
        </w:rPr>
        <w:t xml:space="preserve">Base Station </w:t>
      </w:r>
      <w:r w:rsidR="007C31ED" w:rsidRPr="00967AC5">
        <w:rPr>
          <w:lang w:val="en-GB"/>
        </w:rPr>
        <w:t>Block Edge Mask elements</w:t>
      </w:r>
    </w:p>
    <w:p w14:paraId="397A62F8" w14:textId="13553791" w:rsidR="008B171D" w:rsidRPr="00967AC5" w:rsidRDefault="008B171D" w:rsidP="008B171D">
      <w:pPr>
        <w:pStyle w:val="ECCParagraph"/>
        <w:rPr>
          <w:rFonts w:eastAsia="Calibri"/>
        </w:rPr>
      </w:pPr>
      <w:r w:rsidRPr="00967AC5">
        <w:t xml:space="preserve">The in-block power limit is applied to a block assigned to an operator. The baseline power limit, designed to protect the spectrum of other operators </w:t>
      </w:r>
      <w:r w:rsidRPr="00967AC5">
        <w:rPr>
          <w:rFonts w:eastAsia="Calibri"/>
        </w:rPr>
        <w:t>within the 900 and 1800</w:t>
      </w:r>
      <w:r w:rsidR="007C31ED" w:rsidRPr="00967AC5">
        <w:rPr>
          <w:rFonts w:eastAsia="Calibri"/>
        </w:rPr>
        <w:t xml:space="preserve"> </w:t>
      </w:r>
      <w:r w:rsidRPr="00967AC5">
        <w:rPr>
          <w:rFonts w:eastAsia="Calibri"/>
        </w:rPr>
        <w:t xml:space="preserve">MHz frequency bands, and the transitional </w:t>
      </w:r>
      <w:r w:rsidRPr="00967AC5">
        <w:rPr>
          <w:rFonts w:eastAsia="Calibri"/>
        </w:rPr>
        <w:lastRenderedPageBreak/>
        <w:t>region power limit, enabling filter roll-off from the in-block to the baseline power limit, represent out-of-block power elements.</w:t>
      </w:r>
      <w:r w:rsidRPr="00967AC5">
        <w:t xml:space="preserve"> </w:t>
      </w:r>
      <w:r w:rsidR="007F005E" w:rsidRPr="00967AC5">
        <w:t xml:space="preserve">An </w:t>
      </w:r>
      <w:r w:rsidR="007F005E" w:rsidRPr="00967AC5">
        <w:rPr>
          <w:rFonts w:eastAsia="Calibri"/>
        </w:rPr>
        <w:t xml:space="preserve">additional </w:t>
      </w:r>
      <w:r w:rsidRPr="00967AC5">
        <w:rPr>
          <w:rFonts w:eastAsia="Calibri"/>
        </w:rPr>
        <w:t>baseline as an out-of-band limit (to ensure coexistence with adjacent users) could be added where needed if it differs from out-of-block limits</w:t>
      </w:r>
      <w:r w:rsidR="00AF429C" w:rsidRPr="00967AC5">
        <w:rPr>
          <w:rFonts w:eastAsia="Calibri"/>
        </w:rPr>
        <w:t>.</w:t>
      </w:r>
    </w:p>
    <w:p w14:paraId="27339D09" w14:textId="77777777" w:rsidR="008B171D" w:rsidRPr="00967AC5" w:rsidRDefault="008B171D" w:rsidP="008B171D">
      <w:pPr>
        <w:pStyle w:val="ECCParagraph"/>
        <w:rPr>
          <w:rFonts w:cs="Arial"/>
        </w:rPr>
      </w:pPr>
      <w:r w:rsidRPr="00967AC5">
        <w:rPr>
          <w:rFonts w:cs="Arial"/>
        </w:rPr>
        <w:t>Systems may use only non-AAS BS in 900 MHz frequency band and may use either non-AAS BS or AAS BS in the 1800 MHz frequency band</w:t>
      </w:r>
      <w:r w:rsidRPr="00967AC5">
        <w:t>.</w:t>
      </w:r>
      <w:r w:rsidR="00535F87" w:rsidRPr="00967AC5">
        <w:t xml:space="preserve"> </w:t>
      </w:r>
      <w:r w:rsidR="00535F87" w:rsidRPr="00967AC5">
        <w:rPr>
          <w:rFonts w:cs="Arial"/>
        </w:rPr>
        <w:t>AAS does not apply to user terminals in the 900 MHz and 1800 MHz frequency bands.</w:t>
      </w:r>
    </w:p>
    <w:p w14:paraId="021C2D0D" w14:textId="365CECF5" w:rsidR="008B171D" w:rsidRPr="00967AC5" w:rsidRDefault="008B171D" w:rsidP="008B171D">
      <w:pPr>
        <w:pStyle w:val="ECCParagraph"/>
      </w:pPr>
      <w:r w:rsidRPr="00967AC5">
        <w:t xml:space="preserve">For AAS MFCN base stations in the 1800 MHz band, the BEM is expressed in terms of </w:t>
      </w:r>
      <w:r w:rsidR="0092227F" w:rsidRPr="00967AC5">
        <w:t xml:space="preserve">total radiated power </w:t>
      </w:r>
      <w:r w:rsidRPr="00967AC5">
        <w:t xml:space="preserve">(TRP). TRP is defined as the integral of the power radiated by an antenna array system in different directions over the entire radiation sphere. TRP is equal to the total conducted power input into the antenna array system </w:t>
      </w:r>
      <w:r w:rsidR="0056491C" w:rsidRPr="00967AC5">
        <w:t>minus</w:t>
      </w:r>
      <w:r w:rsidRPr="00967AC5">
        <w:t xml:space="preserve"> any losses in the antenna array system.</w:t>
      </w:r>
    </w:p>
    <w:p w14:paraId="0DF909D7" w14:textId="47064337" w:rsidR="008B171D" w:rsidRPr="00967AC5" w:rsidRDefault="008B171D">
      <w:pPr>
        <w:spacing w:after="240"/>
        <w:rPr>
          <w:rFonts w:eastAsia="Calibri"/>
          <w:lang w:val="en-GB"/>
        </w:rPr>
      </w:pPr>
      <w:r w:rsidRPr="00967AC5">
        <w:rPr>
          <w:rFonts w:eastAsia="Calibri"/>
          <w:lang w:val="en-GB"/>
        </w:rPr>
        <w:t>CEPT agreed to use the following source reference ETSI TS</w:t>
      </w:r>
      <w:r w:rsidR="00A542CA" w:rsidRPr="00967AC5">
        <w:rPr>
          <w:rFonts w:eastAsia="Calibri"/>
          <w:lang w:val="en-GB"/>
        </w:rPr>
        <w:t xml:space="preserve"> </w:t>
      </w:r>
      <w:r w:rsidR="006A61BB" w:rsidRPr="00967AC5">
        <w:rPr>
          <w:rFonts w:eastAsia="Calibri"/>
          <w:lang w:val="en-GB"/>
        </w:rPr>
        <w:t>(Technical Specification</w:t>
      </w:r>
      <w:r w:rsidR="007523D3" w:rsidRPr="00967AC5">
        <w:rPr>
          <w:rFonts w:eastAsia="Calibri"/>
          <w:lang w:val="en-GB"/>
        </w:rPr>
        <w:t xml:space="preserve"> of core requirements</w:t>
      </w:r>
      <w:r w:rsidR="006A61BB" w:rsidRPr="00967AC5">
        <w:rPr>
          <w:rFonts w:eastAsia="Calibri"/>
          <w:lang w:val="en-GB"/>
        </w:rPr>
        <w:t>)</w:t>
      </w:r>
      <w:r w:rsidRPr="00967AC5">
        <w:rPr>
          <w:rFonts w:eastAsia="Calibri"/>
          <w:lang w:val="en-GB"/>
        </w:rPr>
        <w:t xml:space="preserve"> to derive the BEM (</w:t>
      </w:r>
      <w:r w:rsidR="00CF354E" w:rsidRPr="00967AC5">
        <w:rPr>
          <w:rFonts w:eastAsia="Calibri"/>
          <w:lang w:val="en-GB"/>
        </w:rPr>
        <w:t>out</w:t>
      </w:r>
      <w:r w:rsidR="005155F6" w:rsidRPr="00967AC5">
        <w:rPr>
          <w:rFonts w:eastAsia="Calibri"/>
          <w:lang w:val="en-GB"/>
        </w:rPr>
        <w:t>-</w:t>
      </w:r>
      <w:r w:rsidR="00CF354E" w:rsidRPr="00967AC5">
        <w:rPr>
          <w:rFonts w:eastAsia="Calibri"/>
          <w:lang w:val="en-GB"/>
        </w:rPr>
        <w:t>of-block</w:t>
      </w:r>
      <w:r w:rsidRPr="00967AC5">
        <w:rPr>
          <w:rFonts w:eastAsia="Calibri"/>
          <w:lang w:val="en-GB"/>
        </w:rPr>
        <w:t xml:space="preserve"> limits): </w:t>
      </w:r>
    </w:p>
    <w:p w14:paraId="25FB46D7" w14:textId="1363D905" w:rsidR="008B171D" w:rsidRPr="00967AC5" w:rsidRDefault="008B171D" w:rsidP="008B171D">
      <w:pPr>
        <w:pStyle w:val="ECCParagraph"/>
        <w:rPr>
          <w:rStyle w:val="ECCHLbold"/>
          <w:rFonts w:eastAsia="Calibri"/>
        </w:rPr>
      </w:pPr>
      <w:r w:rsidRPr="00967AC5">
        <w:rPr>
          <w:rStyle w:val="ECCHLbold"/>
          <w:rFonts w:eastAsia="Calibri"/>
        </w:rPr>
        <w:t xml:space="preserve">For </w:t>
      </w:r>
      <w:r w:rsidR="00081DED" w:rsidRPr="00967AC5">
        <w:rPr>
          <w:rStyle w:val="ECCHLbold"/>
          <w:rFonts w:eastAsia="Calibri"/>
        </w:rPr>
        <w:t>non</w:t>
      </w:r>
      <w:r w:rsidRPr="00967AC5">
        <w:rPr>
          <w:rStyle w:val="ECCHLbold"/>
          <w:rFonts w:eastAsia="Calibri"/>
        </w:rPr>
        <w:t>-AAS</w:t>
      </w:r>
      <w:r w:rsidR="001B5901" w:rsidRPr="00967AC5">
        <w:rPr>
          <w:rStyle w:val="ECCHLbold"/>
          <w:rFonts w:eastAsia="Calibri"/>
        </w:rPr>
        <w:t xml:space="preserve"> BS</w:t>
      </w:r>
      <w:r w:rsidRPr="00967AC5">
        <w:rPr>
          <w:rStyle w:val="ECCHLbold"/>
          <w:rFonts w:eastAsia="Calibri"/>
        </w:rPr>
        <w:t>:</w:t>
      </w:r>
    </w:p>
    <w:p w14:paraId="7630479E" w14:textId="787292FF" w:rsidR="005931B9" w:rsidRPr="00967AC5" w:rsidRDefault="00A933F1" w:rsidP="005931B9">
      <w:pPr>
        <w:pStyle w:val="ECCBulletsLv1"/>
      </w:pPr>
      <w:r w:rsidRPr="00967AC5">
        <w:t>a</w:t>
      </w:r>
      <w:r w:rsidR="008B171D" w:rsidRPr="00967AC5">
        <w:t xml:space="preserve"> </w:t>
      </w:r>
      <w:r w:rsidR="001B5901" w:rsidRPr="00967AC5">
        <w:t xml:space="preserve">Single </w:t>
      </w:r>
      <w:r w:rsidR="008B171D" w:rsidRPr="00967AC5">
        <w:t xml:space="preserve">BEM </w:t>
      </w:r>
      <w:r w:rsidR="00A542CA" w:rsidRPr="00967AC5">
        <w:t xml:space="preserve">is derived </w:t>
      </w:r>
      <w:r w:rsidR="008B171D" w:rsidRPr="00967AC5">
        <w:t xml:space="preserve">based on non-AAS MSR BS unwanted emissions supporting UMTS, LTE (1.4 MHz and 3 MHz, 5 MHz), NR, </w:t>
      </w:r>
      <w:r w:rsidR="00680BB5" w:rsidRPr="00967AC5">
        <w:t>standalone</w:t>
      </w:r>
      <w:r w:rsidR="00B36DDB" w:rsidRPr="00967AC5">
        <w:t xml:space="preserve"> </w:t>
      </w:r>
      <w:r w:rsidR="003D5938" w:rsidRPr="00967AC5">
        <w:t xml:space="preserve">SA </w:t>
      </w:r>
      <w:r w:rsidR="008B171D" w:rsidRPr="00967AC5">
        <w:t>NB-IoT</w:t>
      </w:r>
      <w:r w:rsidR="00C55D8F" w:rsidRPr="00967AC5">
        <w:t>;</w:t>
      </w:r>
    </w:p>
    <w:p w14:paraId="737FBACE" w14:textId="228C032C" w:rsidR="005931B9" w:rsidRPr="00967AC5" w:rsidRDefault="008B171D" w:rsidP="005931B9">
      <w:pPr>
        <w:pStyle w:val="ECCBulletsLv1"/>
      </w:pPr>
      <w:r w:rsidRPr="00967AC5">
        <w:t>Source for MSR non-AAS BS</w:t>
      </w:r>
      <w:r w:rsidR="00A542CA" w:rsidRPr="00967AC5">
        <w:t xml:space="preserve"> BEM</w:t>
      </w:r>
      <w:r w:rsidR="009676B2" w:rsidRPr="00967AC5">
        <w:t>;</w:t>
      </w:r>
      <w:r w:rsidRPr="00967AC5">
        <w:t xml:space="preserve"> ETSI TS 137</w:t>
      </w:r>
      <w:r w:rsidR="007C31ED" w:rsidRPr="00967AC5">
        <w:t xml:space="preserve"> </w:t>
      </w:r>
      <w:r w:rsidRPr="00967AC5">
        <w:t xml:space="preserve">104 (version 15.10.0) </w:t>
      </w:r>
      <w:r w:rsidR="007C31ED" w:rsidRPr="00967AC5">
        <w:fldChar w:fldCharType="begin"/>
      </w:r>
      <w:r w:rsidR="007C31ED" w:rsidRPr="00967AC5">
        <w:instrText xml:space="preserve"> REF _Ref63427540 \r \h </w:instrText>
      </w:r>
      <w:r w:rsidR="00A542CA" w:rsidRPr="00967AC5">
        <w:instrText xml:space="preserve"> \* MERGEFORMAT </w:instrText>
      </w:r>
      <w:r w:rsidR="007C31ED" w:rsidRPr="00967AC5">
        <w:fldChar w:fldCharType="separate"/>
      </w:r>
      <w:r w:rsidR="00680BB5" w:rsidRPr="00967AC5">
        <w:t>[22]</w:t>
      </w:r>
      <w:r w:rsidR="007C31ED" w:rsidRPr="00967AC5">
        <w:fldChar w:fldCharType="end"/>
      </w:r>
      <w:r w:rsidR="001C6DAA" w:rsidRPr="00967AC5">
        <w:t xml:space="preserve"> Table 6.6.2.2-1 and 6.6.2.2-</w:t>
      </w:r>
      <w:r w:rsidR="00001EB9" w:rsidRPr="00967AC5">
        <w:t>2</w:t>
      </w:r>
    </w:p>
    <w:p w14:paraId="7D14DDA3" w14:textId="77777777" w:rsidR="00001EB9" w:rsidRPr="00967AC5" w:rsidRDefault="00001EB9" w:rsidP="005931B9">
      <w:pPr>
        <w:pStyle w:val="ECCBulletsLv1"/>
        <w:numPr>
          <w:ilvl w:val="0"/>
          <w:numId w:val="0"/>
        </w:numPr>
        <w:ind w:left="360" w:hanging="360"/>
      </w:pPr>
    </w:p>
    <w:p w14:paraId="2D30F62F" w14:textId="43F1C1C5" w:rsidR="008B171D" w:rsidRPr="00967AC5" w:rsidRDefault="008B171D" w:rsidP="008B171D">
      <w:pPr>
        <w:pStyle w:val="ECCParagraph"/>
        <w:rPr>
          <w:rStyle w:val="ECCHLbold"/>
          <w:rFonts w:eastAsia="Calibri"/>
        </w:rPr>
      </w:pPr>
      <w:r w:rsidRPr="00967AC5">
        <w:rPr>
          <w:rStyle w:val="ECCHLbold"/>
          <w:rFonts w:eastAsia="Calibri"/>
        </w:rPr>
        <w:t>For AAS</w:t>
      </w:r>
      <w:r w:rsidR="006972C2" w:rsidRPr="00967AC5">
        <w:rPr>
          <w:rStyle w:val="ECCHLbold"/>
          <w:rFonts w:eastAsia="Calibri"/>
        </w:rPr>
        <w:t xml:space="preserve"> BS</w:t>
      </w:r>
      <w:r w:rsidRPr="00967AC5">
        <w:rPr>
          <w:rStyle w:val="ECCHLbold"/>
          <w:rFonts w:eastAsia="Calibri"/>
        </w:rPr>
        <w:t>:</w:t>
      </w:r>
    </w:p>
    <w:p w14:paraId="4A614084" w14:textId="7321649F" w:rsidR="008B171D" w:rsidRPr="00967AC5" w:rsidRDefault="00A933F1" w:rsidP="008B171D">
      <w:pPr>
        <w:pStyle w:val="ECCBulletsLv1"/>
      </w:pPr>
      <w:r w:rsidRPr="00967AC5">
        <w:t>a</w:t>
      </w:r>
      <w:r w:rsidR="008B171D" w:rsidRPr="00967AC5">
        <w:t xml:space="preserve"> </w:t>
      </w:r>
      <w:r w:rsidR="001B5901" w:rsidRPr="00967AC5">
        <w:t xml:space="preserve">Single </w:t>
      </w:r>
      <w:r w:rsidR="008B171D" w:rsidRPr="00967AC5">
        <w:t xml:space="preserve">BEM </w:t>
      </w:r>
      <w:r w:rsidR="00A542CA" w:rsidRPr="00967AC5">
        <w:t xml:space="preserve">is derived </w:t>
      </w:r>
      <w:r w:rsidR="008B171D" w:rsidRPr="00967AC5">
        <w:t>based on AAS MSR BS unwanted emissions supporting UMTS, LTE (1.4 and 3 MHz, 5 MHz), NR</w:t>
      </w:r>
      <w:r w:rsidR="002C7D44" w:rsidRPr="00967AC5">
        <w:t>;</w:t>
      </w:r>
    </w:p>
    <w:p w14:paraId="40619C19" w14:textId="539187BA" w:rsidR="008B171D" w:rsidRPr="00967AC5" w:rsidRDefault="008B171D" w:rsidP="005931B9">
      <w:pPr>
        <w:pStyle w:val="ECCBulletsLv1"/>
      </w:pPr>
      <w:r w:rsidRPr="00967AC5">
        <w:t>Source for MSR AAS BS</w:t>
      </w:r>
      <w:r w:rsidR="007523D3" w:rsidRPr="00967AC5">
        <w:t xml:space="preserve"> BEM</w:t>
      </w:r>
      <w:r w:rsidR="00F82FBB" w:rsidRPr="00967AC5">
        <w:t>:</w:t>
      </w:r>
      <w:r w:rsidRPr="00967AC5">
        <w:t xml:space="preserve"> ETSI TS 137</w:t>
      </w:r>
      <w:r w:rsidR="007C31ED" w:rsidRPr="00967AC5">
        <w:t xml:space="preserve"> </w:t>
      </w:r>
      <w:r w:rsidRPr="00967AC5">
        <w:t xml:space="preserve">105 (version 15.8.0) </w:t>
      </w:r>
      <w:r w:rsidR="007C31ED" w:rsidRPr="00967AC5">
        <w:fldChar w:fldCharType="begin"/>
      </w:r>
      <w:r w:rsidR="007C31ED" w:rsidRPr="00967AC5">
        <w:instrText xml:space="preserve"> REF _Ref63427627 \r \h </w:instrText>
      </w:r>
      <w:r w:rsidR="007523D3" w:rsidRPr="00967AC5">
        <w:instrText xml:space="preserve"> \* MERGEFORMAT </w:instrText>
      </w:r>
      <w:r w:rsidR="007C31ED" w:rsidRPr="00967AC5">
        <w:fldChar w:fldCharType="separate"/>
      </w:r>
      <w:r w:rsidR="00680BB5" w:rsidRPr="00967AC5">
        <w:t>[24]</w:t>
      </w:r>
      <w:r w:rsidR="007C31ED" w:rsidRPr="00967AC5">
        <w:fldChar w:fldCharType="end"/>
      </w:r>
      <w:r w:rsidR="00B82BFD" w:rsidRPr="00967AC5">
        <w:rPr>
          <w:rFonts w:eastAsiaTheme="minorEastAsia"/>
          <w:bCs/>
        </w:rPr>
        <w:t xml:space="preserve"> Table 9.7.5.2.3-1 and 9.7.5.2.3-2</w:t>
      </w:r>
    </w:p>
    <w:p w14:paraId="7BAE53AE" w14:textId="4EEC380B" w:rsidR="008B171D" w:rsidRPr="00967AC5" w:rsidRDefault="008B171D" w:rsidP="00676A19">
      <w:pPr>
        <w:pStyle w:val="ECCParagraph"/>
        <w:spacing w:before="240"/>
        <w:rPr>
          <w:rFonts w:eastAsia="Calibri"/>
        </w:rPr>
      </w:pPr>
      <w:r w:rsidRPr="00967AC5">
        <w:rPr>
          <w:rFonts w:eastAsia="Calibri"/>
        </w:rPr>
        <w:t xml:space="preserve">CEPT </w:t>
      </w:r>
      <w:r w:rsidR="00C04619" w:rsidRPr="00967AC5">
        <w:rPr>
          <w:rFonts w:eastAsia="Calibri"/>
        </w:rPr>
        <w:t xml:space="preserve">recognises </w:t>
      </w:r>
      <w:r w:rsidRPr="00967AC5">
        <w:rPr>
          <w:rFonts w:eastAsia="Calibri"/>
        </w:rPr>
        <w:t xml:space="preserve">that ETSI HS that are referred to in the annex of ECC/EC </w:t>
      </w:r>
      <w:r w:rsidR="00F81234" w:rsidRPr="00967AC5">
        <w:rPr>
          <w:rFonts w:eastAsia="Calibri"/>
        </w:rPr>
        <w:t xml:space="preserve">Decisions </w:t>
      </w:r>
      <w:r w:rsidRPr="00967AC5">
        <w:rPr>
          <w:rFonts w:eastAsia="Calibri"/>
        </w:rPr>
        <w:t xml:space="preserve">today are based on conformance requirements (including test tolerance) and assumes that ETSI will continue using conformance requirements when developing ETSI HS in the future (including necessary test tolerance). </w:t>
      </w:r>
    </w:p>
    <w:p w14:paraId="69CD29ED" w14:textId="77777777" w:rsidR="008B171D" w:rsidRPr="00967AC5" w:rsidRDefault="008B171D" w:rsidP="008B171D">
      <w:pPr>
        <w:pStyle w:val="ECCParagraph"/>
        <w:rPr>
          <w:rFonts w:eastAsia="Calibri"/>
        </w:rPr>
      </w:pPr>
      <w:r w:rsidRPr="00967AC5">
        <w:rPr>
          <w:rFonts w:eastAsia="Calibri"/>
        </w:rPr>
        <w:t>CEPT coexistence studies have been developed based on ETSI TS/3GPP core requirements.</w:t>
      </w:r>
    </w:p>
    <w:p w14:paraId="7ECE62B4" w14:textId="0C05D33D" w:rsidR="008B171D" w:rsidRPr="00967AC5" w:rsidRDefault="008B171D" w:rsidP="003C7EE4">
      <w:pPr>
        <w:pStyle w:val="ECCParagraph"/>
        <w:rPr>
          <w:rFonts w:eastAsia="Calibri"/>
          <w:szCs w:val="22"/>
        </w:rPr>
      </w:pPr>
      <w:r w:rsidRPr="00967AC5">
        <w:rPr>
          <w:rFonts w:eastAsia="Calibri"/>
          <w:szCs w:val="22"/>
        </w:rPr>
        <w:t>The in-block and out-of-block non-</w:t>
      </w:r>
      <w:r w:rsidRPr="00967AC5">
        <w:rPr>
          <w:rFonts w:eastAsia="Calibri"/>
        </w:rPr>
        <w:t xml:space="preserve">AAS </w:t>
      </w:r>
      <w:r w:rsidR="00A8044C" w:rsidRPr="00967AC5">
        <w:rPr>
          <w:rFonts w:eastAsia="Calibri"/>
          <w:szCs w:val="22"/>
        </w:rPr>
        <w:t xml:space="preserve">BS </w:t>
      </w:r>
      <w:r w:rsidR="00BF6D4F" w:rsidRPr="00967AC5">
        <w:rPr>
          <w:rFonts w:cs="Arial"/>
          <w:color w:val="000000"/>
          <w:lang w:eastAsia="fr-FR"/>
        </w:rPr>
        <w:t>e.i.r.p.</w:t>
      </w:r>
      <w:r w:rsidRPr="00967AC5">
        <w:rPr>
          <w:rFonts w:eastAsia="Calibri"/>
          <w:szCs w:val="22"/>
        </w:rPr>
        <w:t xml:space="preserve"> limits per antenna have been developed under the basis of 18</w:t>
      </w:r>
      <w:r w:rsidR="00FC617F" w:rsidRPr="00967AC5">
        <w:rPr>
          <w:rFonts w:eastAsia="Calibri"/>
          <w:szCs w:val="22"/>
        </w:rPr>
        <w:t> </w:t>
      </w:r>
      <w:r w:rsidRPr="00967AC5">
        <w:rPr>
          <w:rFonts w:eastAsia="Calibri"/>
          <w:szCs w:val="22"/>
        </w:rPr>
        <w:t>dBi antenna gain and the conducted power limits from relevant ETSI TS core requirements</w:t>
      </w:r>
      <w:r w:rsidR="00897856" w:rsidRPr="00967AC5">
        <w:rPr>
          <w:rFonts w:eastAsia="Calibri"/>
          <w:szCs w:val="22"/>
        </w:rPr>
        <w:t xml:space="preserve"> </w:t>
      </w:r>
      <w:r w:rsidR="006479E5" w:rsidRPr="00967AC5">
        <w:rPr>
          <w:rFonts w:eastAsia="Calibri"/>
          <w:szCs w:val="22"/>
        </w:rPr>
        <w:t xml:space="preserve">as </w:t>
      </w:r>
      <w:r w:rsidR="00A87097" w:rsidRPr="00967AC5">
        <w:rPr>
          <w:rFonts w:eastAsia="Calibri"/>
          <w:szCs w:val="22"/>
        </w:rPr>
        <w:t xml:space="preserve">referenced </w:t>
      </w:r>
      <w:r w:rsidR="006479E5" w:rsidRPr="00967AC5">
        <w:rPr>
          <w:rFonts w:eastAsia="Calibri"/>
          <w:szCs w:val="22"/>
        </w:rPr>
        <w:t>above</w:t>
      </w:r>
      <w:r w:rsidRPr="00967AC5">
        <w:rPr>
          <w:rFonts w:eastAsia="Calibri"/>
          <w:szCs w:val="22"/>
        </w:rPr>
        <w:t>.</w:t>
      </w:r>
    </w:p>
    <w:p w14:paraId="4EAD8C06" w14:textId="77777777" w:rsidR="008B171D" w:rsidRPr="00967AC5" w:rsidRDefault="008B171D" w:rsidP="008B171D">
      <w:pPr>
        <w:pStyle w:val="ECCParagraph"/>
        <w:rPr>
          <w:rFonts w:eastAsia="Calibri"/>
          <w:szCs w:val="22"/>
        </w:rPr>
      </w:pPr>
      <w:r w:rsidRPr="00967AC5">
        <w:rPr>
          <w:rFonts w:eastAsia="Calibri"/>
          <w:szCs w:val="22"/>
        </w:rPr>
        <w:t>Provided that the applicable LR</w:t>
      </w:r>
      <w:r w:rsidRPr="00967AC5">
        <w:rPr>
          <w:rFonts w:eastAsia="Calibri"/>
        </w:rPr>
        <w:t>TCs</w:t>
      </w:r>
      <w:r w:rsidRPr="00967AC5">
        <w:rPr>
          <w:rFonts w:eastAsia="Calibri"/>
          <w:szCs w:val="22"/>
        </w:rPr>
        <w:t xml:space="preserve"> in this CEPT Report are complied with (i.e. in-block requirements, out-of-block power limits, etc.), a higher antenna gain may be used. An example of where this may apply is in the case of a lower conducted power compensated with a higher antenna gain while still fulfilling the L</w:t>
      </w:r>
      <w:r w:rsidRPr="00967AC5">
        <w:rPr>
          <w:rFonts w:eastAsia="Calibri"/>
        </w:rPr>
        <w:t>RTCs</w:t>
      </w:r>
      <w:r w:rsidRPr="00967AC5">
        <w:rPr>
          <w:rFonts w:eastAsia="Calibri"/>
          <w:szCs w:val="22"/>
        </w:rPr>
        <w:t>.</w:t>
      </w:r>
    </w:p>
    <w:p w14:paraId="72E1AD19" w14:textId="5685715F" w:rsidR="008B171D" w:rsidRPr="00967AC5" w:rsidRDefault="008B171D" w:rsidP="008B171D">
      <w:pPr>
        <w:pStyle w:val="ECCParagraph"/>
        <w:rPr>
          <w:rFonts w:eastAsia="Calibri"/>
          <w:szCs w:val="22"/>
        </w:rPr>
      </w:pPr>
      <w:r w:rsidRPr="00967AC5">
        <w:rPr>
          <w:rFonts w:eastAsia="Calibri"/>
          <w:szCs w:val="22"/>
        </w:rPr>
        <w:t xml:space="preserve">The non-AAS </w:t>
      </w:r>
      <w:r w:rsidR="00A8044C" w:rsidRPr="00967AC5">
        <w:rPr>
          <w:rFonts w:eastAsia="Calibri"/>
          <w:szCs w:val="22"/>
        </w:rPr>
        <w:t xml:space="preserve">BS </w:t>
      </w:r>
      <w:r w:rsidR="00BF6D4F" w:rsidRPr="00967AC5">
        <w:rPr>
          <w:rFonts w:cs="Arial"/>
          <w:color w:val="000000"/>
          <w:lang w:eastAsia="fr-FR"/>
        </w:rPr>
        <w:t>e.i.r.p.</w:t>
      </w:r>
      <w:r w:rsidRPr="00967AC5">
        <w:rPr>
          <w:rFonts w:eastAsia="Calibri"/>
          <w:szCs w:val="22"/>
        </w:rPr>
        <w:t xml:space="preserve"> limits could be relaxed (e.g. higher conducted power and/or antenna gain, which results in higher </w:t>
      </w:r>
      <w:r w:rsidR="00BF6D4F" w:rsidRPr="00967AC5">
        <w:rPr>
          <w:rFonts w:cs="Arial"/>
          <w:color w:val="000000"/>
          <w:lang w:eastAsia="fr-FR"/>
        </w:rPr>
        <w:t>e.i.r.p.</w:t>
      </w:r>
      <w:r w:rsidRPr="00967AC5">
        <w:rPr>
          <w:rFonts w:eastAsia="Calibri"/>
          <w:szCs w:val="22"/>
        </w:rPr>
        <w:t xml:space="preserve">, may also be used), either if agreed among all affected operators of such networks or in accordance with national implementation already in place, provided that these </w:t>
      </w:r>
      <w:r w:rsidR="008703E5" w:rsidRPr="00967AC5">
        <w:rPr>
          <w:rFonts w:eastAsia="Calibri"/>
          <w:szCs w:val="22"/>
        </w:rPr>
        <w:t>systems</w:t>
      </w:r>
      <w:r w:rsidRPr="00967AC5">
        <w:rPr>
          <w:rFonts w:eastAsia="Calibri"/>
          <w:szCs w:val="22"/>
        </w:rPr>
        <w:t xml:space="preserve"> continue to comply with the technical conditions applicable for the protection of adjacent services, applications or networks and with obligations resulting from cross-border coordination.</w:t>
      </w:r>
    </w:p>
    <w:p w14:paraId="647912D8" w14:textId="51EF5E76" w:rsidR="0022234B" w:rsidRPr="00967AC5" w:rsidRDefault="0022234B" w:rsidP="00F91806">
      <w:pPr>
        <w:pStyle w:val="Heading3"/>
        <w:rPr>
          <w:lang w:val="en-GB"/>
        </w:rPr>
      </w:pPr>
      <w:bookmarkStart w:id="94" w:name="_Toc71037817"/>
      <w:r w:rsidRPr="00967AC5">
        <w:rPr>
          <w:lang w:val="en-GB"/>
        </w:rPr>
        <w:t xml:space="preserve">Methodology for deriving </w:t>
      </w:r>
      <w:r w:rsidR="00CF354E" w:rsidRPr="00967AC5">
        <w:rPr>
          <w:lang w:val="en-GB"/>
        </w:rPr>
        <w:t>out-of-block</w:t>
      </w:r>
      <w:r w:rsidRPr="00967AC5">
        <w:rPr>
          <w:lang w:val="en-GB"/>
        </w:rPr>
        <w:t xml:space="preserve"> and </w:t>
      </w:r>
      <w:r w:rsidR="00CF354E" w:rsidRPr="00967AC5">
        <w:rPr>
          <w:lang w:val="en-GB"/>
        </w:rPr>
        <w:t>out-of-band</w:t>
      </w:r>
      <w:r w:rsidRPr="00967AC5">
        <w:rPr>
          <w:lang w:val="en-GB"/>
        </w:rPr>
        <w:t xml:space="preserve"> limits for non-AAS</w:t>
      </w:r>
      <w:r w:rsidR="00A8044C" w:rsidRPr="00967AC5">
        <w:rPr>
          <w:lang w:val="en-GB"/>
        </w:rPr>
        <w:t xml:space="preserve"> BS</w:t>
      </w:r>
      <w:bookmarkEnd w:id="94"/>
    </w:p>
    <w:p w14:paraId="2BE67294" w14:textId="08CC0ACB" w:rsidR="0022234B" w:rsidRPr="00967AC5" w:rsidRDefault="0022234B" w:rsidP="00891CD7">
      <w:pPr>
        <w:spacing w:after="120"/>
        <w:rPr>
          <w:lang w:val="en-GB"/>
        </w:rPr>
      </w:pPr>
      <w:r w:rsidRPr="00967AC5">
        <w:rPr>
          <w:lang w:val="en-GB"/>
        </w:rPr>
        <w:t xml:space="preserve">Annex </w:t>
      </w:r>
      <w:r w:rsidR="00022CFB" w:rsidRPr="00967AC5">
        <w:rPr>
          <w:lang w:val="en-GB"/>
        </w:rPr>
        <w:fldChar w:fldCharType="begin"/>
      </w:r>
      <w:r w:rsidR="00022CFB" w:rsidRPr="00967AC5">
        <w:rPr>
          <w:lang w:val="en-GB"/>
        </w:rPr>
        <w:instrText xml:space="preserve"> REF _Ref60763647 \n \h </w:instrText>
      </w:r>
      <w:r w:rsidR="001C7C80" w:rsidRPr="00967AC5">
        <w:rPr>
          <w:lang w:val="en-GB"/>
        </w:rPr>
        <w:instrText xml:space="preserve"> \* MERGEFORMAT </w:instrText>
      </w:r>
      <w:r w:rsidR="00022CFB" w:rsidRPr="00967AC5">
        <w:rPr>
          <w:lang w:val="en-GB"/>
        </w:rPr>
      </w:r>
      <w:r w:rsidR="00022CFB" w:rsidRPr="00967AC5">
        <w:rPr>
          <w:lang w:val="en-GB"/>
        </w:rPr>
        <w:fldChar w:fldCharType="separate"/>
      </w:r>
      <w:r w:rsidR="00680BB5" w:rsidRPr="00967AC5">
        <w:rPr>
          <w:lang w:val="en-GB"/>
        </w:rPr>
        <w:t>A3.2</w:t>
      </w:r>
      <w:r w:rsidR="00022CFB" w:rsidRPr="00967AC5">
        <w:rPr>
          <w:lang w:val="en-GB"/>
        </w:rPr>
        <w:fldChar w:fldCharType="end"/>
      </w:r>
      <w:r w:rsidRPr="00967AC5">
        <w:rPr>
          <w:lang w:val="en-GB"/>
        </w:rPr>
        <w:t xml:space="preserve"> describes in detail how to derive the non-AAS </w:t>
      </w:r>
      <w:r w:rsidR="00BF33F4" w:rsidRPr="00967AC5">
        <w:rPr>
          <w:lang w:val="en-GB"/>
        </w:rPr>
        <w:t xml:space="preserve">BS </w:t>
      </w:r>
      <w:r w:rsidR="00CF354E" w:rsidRPr="00967AC5">
        <w:rPr>
          <w:lang w:val="en-GB"/>
        </w:rPr>
        <w:t>out-of-block</w:t>
      </w:r>
      <w:r w:rsidRPr="00967AC5">
        <w:rPr>
          <w:lang w:val="en-GB"/>
        </w:rPr>
        <w:t xml:space="preserve"> and </w:t>
      </w:r>
      <w:r w:rsidR="00CF354E" w:rsidRPr="00967AC5">
        <w:rPr>
          <w:lang w:val="en-GB"/>
        </w:rPr>
        <w:t>out-of-band</w:t>
      </w:r>
      <w:r w:rsidRPr="00967AC5">
        <w:rPr>
          <w:lang w:val="en-GB"/>
        </w:rPr>
        <w:t xml:space="preserve"> transitional limits based on </w:t>
      </w:r>
      <w:r w:rsidR="00891CD7" w:rsidRPr="00967AC5">
        <w:rPr>
          <w:lang w:val="en-GB"/>
        </w:rPr>
        <w:t xml:space="preserve">the </w:t>
      </w:r>
      <w:r w:rsidRPr="00967AC5">
        <w:rPr>
          <w:lang w:val="en-GB"/>
        </w:rPr>
        <w:t xml:space="preserve">agreed </w:t>
      </w:r>
      <w:r w:rsidR="00891CD7" w:rsidRPr="00967AC5">
        <w:rPr>
          <w:lang w:val="en-GB"/>
        </w:rPr>
        <w:t>parameter ’X’</w:t>
      </w:r>
      <w:r w:rsidR="00891CD7" w:rsidRPr="00967AC5">
        <w:rPr>
          <w:rStyle w:val="FootnoteReference"/>
          <w:lang w:val="en-GB"/>
        </w:rPr>
        <w:footnoteReference w:id="8"/>
      </w:r>
      <w:r w:rsidRPr="00967AC5">
        <w:rPr>
          <w:lang w:val="en-GB"/>
        </w:rPr>
        <w:t xml:space="preserve"> and agreed antenna gain</w:t>
      </w:r>
      <w:r w:rsidR="007C2B17" w:rsidRPr="00967AC5">
        <w:rPr>
          <w:lang w:val="en-GB"/>
        </w:rPr>
        <w:t>.</w:t>
      </w:r>
      <w:r w:rsidRPr="00967AC5">
        <w:rPr>
          <w:lang w:val="en-GB"/>
        </w:rPr>
        <w:t xml:space="preserve"> </w:t>
      </w:r>
      <w:r w:rsidR="00A57320" w:rsidRPr="00967AC5">
        <w:rPr>
          <w:lang w:val="en-GB"/>
        </w:rPr>
        <w:t>. Furthermore</w:t>
      </w:r>
      <w:r w:rsidR="00933562" w:rsidRPr="00967AC5">
        <w:rPr>
          <w:lang w:val="en-GB"/>
        </w:rPr>
        <w:t>,</w:t>
      </w:r>
      <w:r w:rsidRPr="00967AC5">
        <w:rPr>
          <w:lang w:val="en-GB"/>
        </w:rPr>
        <w:t xml:space="preserve"> CEPT noted that:</w:t>
      </w:r>
    </w:p>
    <w:p w14:paraId="4F4C5826" w14:textId="28AA0CEC" w:rsidR="0022234B" w:rsidRPr="00967AC5" w:rsidRDefault="0022234B">
      <w:pPr>
        <w:pStyle w:val="ECCBulletsLv1"/>
      </w:pPr>
      <w:r w:rsidRPr="00967AC5">
        <w:t>According to the ETSI TS 137 104 specification</w:t>
      </w:r>
      <w:r w:rsidR="00B10A68" w:rsidRPr="00967AC5">
        <w:t xml:space="preserve"> </w:t>
      </w:r>
      <w:r w:rsidR="00B10A68" w:rsidRPr="00967AC5">
        <w:fldChar w:fldCharType="begin"/>
      </w:r>
      <w:r w:rsidR="00B10A68" w:rsidRPr="00967AC5">
        <w:instrText xml:space="preserve"> REF _Ref63427540 \r \h </w:instrText>
      </w:r>
      <w:r w:rsidR="00E764A1" w:rsidRPr="00967AC5">
        <w:instrText xml:space="preserve"> \* MERGEFORMAT </w:instrText>
      </w:r>
      <w:r w:rsidR="00B10A68" w:rsidRPr="00967AC5">
        <w:fldChar w:fldCharType="separate"/>
      </w:r>
      <w:r w:rsidR="00680BB5" w:rsidRPr="00967AC5">
        <w:t>[22]</w:t>
      </w:r>
      <w:r w:rsidR="00B10A68" w:rsidRPr="00967AC5">
        <w:fldChar w:fldCharType="end"/>
      </w:r>
      <w:r w:rsidRPr="00967AC5">
        <w:t xml:space="preserve">, the value of the parameter ‘X’ only applies </w:t>
      </w:r>
      <w:r w:rsidR="007F29FE" w:rsidRPr="00967AC5">
        <w:t>when a</w:t>
      </w:r>
      <w:r w:rsidRPr="00967AC5">
        <w:t xml:space="preserve"> NB carrier </w:t>
      </w:r>
      <w:r w:rsidR="005F602F" w:rsidRPr="00967AC5">
        <w:t>is</w:t>
      </w:r>
      <w:r w:rsidRPr="00967AC5">
        <w:t xml:space="preserve"> adjacent to the block edge, and </w:t>
      </w:r>
      <w:r w:rsidR="005F602F" w:rsidRPr="00967AC5">
        <w:t>in this case</w:t>
      </w:r>
      <w:r w:rsidRPr="00967AC5">
        <w:t xml:space="preserve"> the unwanted emissions scale with in-band power for </w:t>
      </w:r>
      <w:r w:rsidRPr="00967AC5">
        <w:rPr>
          <w:rFonts w:ascii="Symbol" w:hAnsi="Symbol"/>
        </w:rPr>
        <w:t></w:t>
      </w:r>
      <w:r w:rsidRPr="00967AC5">
        <w:t>f between 0 and 150 kHz.</w:t>
      </w:r>
    </w:p>
    <w:p w14:paraId="3EDE7EEC" w14:textId="1EBE86D7" w:rsidR="0022234B" w:rsidRPr="00967AC5" w:rsidRDefault="0022234B" w:rsidP="005308E3">
      <w:pPr>
        <w:pStyle w:val="ECCBulletsLv1"/>
      </w:pPr>
      <w:r w:rsidRPr="00967AC5">
        <w:t xml:space="preserve">ECC studies in relation with </w:t>
      </w:r>
      <w:r w:rsidR="00680BB5" w:rsidRPr="00967AC5">
        <w:t>standalone</w:t>
      </w:r>
      <w:r w:rsidR="005308E3" w:rsidRPr="00967AC5">
        <w:t xml:space="preserve"> </w:t>
      </w:r>
      <w:r w:rsidR="003D5938" w:rsidRPr="00967AC5">
        <w:t xml:space="preserve"> </w:t>
      </w:r>
      <w:r w:rsidRPr="00967AC5">
        <w:t>NB-IoT and GSM include the following elements:</w:t>
      </w:r>
    </w:p>
    <w:p w14:paraId="78B80AC2" w14:textId="0B15B0FC" w:rsidR="0022234B" w:rsidRPr="00967AC5" w:rsidRDefault="0022234B">
      <w:pPr>
        <w:pStyle w:val="ECCBulletsLv1"/>
        <w:numPr>
          <w:ilvl w:val="1"/>
          <w:numId w:val="15"/>
        </w:numPr>
        <w:ind w:left="709"/>
      </w:pPr>
      <w:r w:rsidRPr="00967AC5">
        <w:lastRenderedPageBreak/>
        <w:t xml:space="preserve">ECC </w:t>
      </w:r>
      <w:r w:rsidR="00D74198" w:rsidRPr="00967AC5">
        <w:t>R</w:t>
      </w:r>
      <w:r w:rsidRPr="00967AC5">
        <w:t xml:space="preserve">eport 266 </w:t>
      </w:r>
      <w:r w:rsidR="00B10A68" w:rsidRPr="00967AC5">
        <w:fldChar w:fldCharType="begin"/>
      </w:r>
      <w:r w:rsidR="00B10A68" w:rsidRPr="00967AC5">
        <w:instrText xml:space="preserve"> REF _Ref63337447 \r \h </w:instrText>
      </w:r>
      <w:r w:rsidR="002505BC" w:rsidRPr="00967AC5">
        <w:instrText xml:space="preserve"> \* MERGEFORMAT </w:instrText>
      </w:r>
      <w:r w:rsidR="00B10A68" w:rsidRPr="00967AC5">
        <w:fldChar w:fldCharType="separate"/>
      </w:r>
      <w:r w:rsidR="00680BB5" w:rsidRPr="00967AC5">
        <w:t>[5]</w:t>
      </w:r>
      <w:r w:rsidR="00B10A68" w:rsidRPr="00967AC5">
        <w:fldChar w:fldCharType="end"/>
      </w:r>
      <w:r w:rsidR="00B10A68" w:rsidRPr="00967AC5">
        <w:t xml:space="preserve"> </w:t>
      </w:r>
      <w:r w:rsidRPr="00967AC5">
        <w:t xml:space="preserve">referred in its section 5.2 on </w:t>
      </w:r>
      <w:r w:rsidR="00680BB5" w:rsidRPr="00967AC5">
        <w:t>standalone</w:t>
      </w:r>
      <w:r w:rsidR="005308E3" w:rsidRPr="00967AC5">
        <w:t xml:space="preserve"> </w:t>
      </w:r>
      <w:r w:rsidRPr="00967AC5">
        <w:t>NB-IoT in-band coexistence in 900</w:t>
      </w:r>
      <w:r w:rsidR="00E764A1" w:rsidRPr="00967AC5">
        <w:t xml:space="preserve"> MHz and </w:t>
      </w:r>
      <w:r w:rsidRPr="00967AC5">
        <w:t>1800</w:t>
      </w:r>
      <w:r w:rsidR="00B10A68" w:rsidRPr="00967AC5">
        <w:t xml:space="preserve"> </w:t>
      </w:r>
      <w:r w:rsidRPr="00967AC5">
        <w:t>MHz band</w:t>
      </w:r>
      <w:r w:rsidR="00422DF5" w:rsidRPr="00967AC5">
        <w:t>s</w:t>
      </w:r>
      <w:r w:rsidRPr="00967AC5">
        <w:t xml:space="preserve"> to the technical studies from 3GPP TR 36.802</w:t>
      </w:r>
      <w:r w:rsidR="00B10A68" w:rsidRPr="00967AC5">
        <w:t xml:space="preserve"> </w:t>
      </w:r>
      <w:r w:rsidR="00B10A68" w:rsidRPr="00967AC5">
        <w:fldChar w:fldCharType="begin"/>
      </w:r>
      <w:r w:rsidR="00B10A68" w:rsidRPr="00967AC5">
        <w:instrText xml:space="preserve"> REF _Ref63428132 \r \h </w:instrText>
      </w:r>
      <w:r w:rsidR="002505BC" w:rsidRPr="00967AC5">
        <w:instrText xml:space="preserve"> \* MERGEFORMAT </w:instrText>
      </w:r>
      <w:r w:rsidR="00B10A68" w:rsidRPr="00967AC5">
        <w:fldChar w:fldCharType="separate"/>
      </w:r>
      <w:r w:rsidR="00680BB5" w:rsidRPr="00967AC5">
        <w:t>[32]</w:t>
      </w:r>
      <w:r w:rsidR="00B10A68" w:rsidRPr="00967AC5">
        <w:fldChar w:fldCharType="end"/>
      </w:r>
      <w:r w:rsidRPr="00967AC5">
        <w:t>. Table 6.2-1 of this 3GPP TR, described simulation assumptions for coexistence studies between NB-IoT and other 3GPP systems. Those assumed parameters in terms of conducted power are: 43 dBm/</w:t>
      </w:r>
      <w:r w:rsidR="00422DF5" w:rsidRPr="00967AC5">
        <w:t>(</w:t>
      </w:r>
      <w:r w:rsidRPr="00967AC5">
        <w:t>200 kHz</w:t>
      </w:r>
      <w:r w:rsidR="00422DF5" w:rsidRPr="00967AC5">
        <w:t>)</w:t>
      </w:r>
      <w:r w:rsidRPr="00967AC5">
        <w:t xml:space="preserve"> for </w:t>
      </w:r>
      <w:r w:rsidR="00680BB5" w:rsidRPr="00967AC5">
        <w:t>standalone</w:t>
      </w:r>
      <w:r w:rsidR="005308E3" w:rsidRPr="00967AC5">
        <w:t xml:space="preserve"> </w:t>
      </w:r>
      <w:r w:rsidR="003D5938" w:rsidRPr="00967AC5">
        <w:t xml:space="preserve"> </w:t>
      </w:r>
      <w:r w:rsidRPr="00967AC5">
        <w:t>NB-IoT, 46 dBm for LTE and LTE</w:t>
      </w:r>
      <w:r w:rsidR="00644520" w:rsidRPr="00967AC5">
        <w:t xml:space="preserve"> plus </w:t>
      </w:r>
      <w:r w:rsidRPr="00967AC5">
        <w:t>NB-IoT guard band, and 43 dBm for UMTS. ECC Report 266 did not perform any additional in-band coexistence studies with higher conducted in-band power. Therefore</w:t>
      </w:r>
      <w:r w:rsidR="00F64CFF" w:rsidRPr="00967AC5">
        <w:t>,</w:t>
      </w:r>
      <w:r w:rsidRPr="00967AC5">
        <w:t xml:space="preserve"> it is understood that the values for parameter ‘X’ in existing in-band coexistence studies are X=0 and X=3.</w:t>
      </w:r>
    </w:p>
    <w:p w14:paraId="4781AB50" w14:textId="5A336872" w:rsidR="0022234B" w:rsidRPr="00967AC5" w:rsidRDefault="00B10A68" w:rsidP="0059372D">
      <w:pPr>
        <w:pStyle w:val="ECCBulletsLv1"/>
        <w:numPr>
          <w:ilvl w:val="1"/>
          <w:numId w:val="15"/>
        </w:numPr>
        <w:ind w:left="709"/>
      </w:pPr>
      <w:r w:rsidRPr="00967AC5">
        <w:t xml:space="preserve">ECC </w:t>
      </w:r>
      <w:r w:rsidR="0022234B" w:rsidRPr="00967AC5">
        <w:t>Report 266 concludes in its section 5.4 that “</w:t>
      </w:r>
      <w:r w:rsidR="0022234B" w:rsidRPr="00967AC5">
        <w:rPr>
          <w:i/>
          <w:iCs/>
        </w:rPr>
        <w:t xml:space="preserve">standalone NB-IoT equipment complying with the relevant technical conditions (maximum </w:t>
      </w:r>
      <w:r w:rsidR="0022234B" w:rsidRPr="00967AC5">
        <w:rPr>
          <w:i/>
        </w:rPr>
        <w:t xml:space="preserve">permitted </w:t>
      </w:r>
      <w:r w:rsidR="00D86905" w:rsidRPr="00967AC5">
        <w:rPr>
          <w:i/>
          <w:iCs/>
        </w:rPr>
        <w:t>e.i.r.p</w:t>
      </w:r>
      <w:r w:rsidR="0022234B" w:rsidRPr="00967AC5">
        <w:rPr>
          <w:i/>
        </w:rPr>
        <w:t xml:space="preserve"> and</w:t>
      </w:r>
      <w:r w:rsidR="0022234B" w:rsidRPr="00967AC5">
        <w:rPr>
          <w:i/>
          <w:iCs/>
        </w:rPr>
        <w:t xml:space="preserve"> minimum frequency separations from other adjacent services) which apply in the context of GSM, may be deployed in the 900/1800 MHz bands without any increase in the likelihood of harmful interference</w:t>
      </w:r>
      <w:r w:rsidR="0022234B" w:rsidRPr="00967AC5">
        <w:t xml:space="preserve">”. </w:t>
      </w:r>
    </w:p>
    <w:p w14:paraId="537F8E27" w14:textId="1449B10D" w:rsidR="00001EB9" w:rsidRPr="00967AC5" w:rsidRDefault="0022234B" w:rsidP="005931B9">
      <w:pPr>
        <w:pStyle w:val="ECCBulletsLv1"/>
        <w:numPr>
          <w:ilvl w:val="0"/>
          <w:numId w:val="0"/>
        </w:numPr>
        <w:ind w:left="709"/>
      </w:pPr>
      <w:r w:rsidRPr="00967AC5">
        <w:t xml:space="preserve">ECC Report 146 </w:t>
      </w:r>
      <w:r w:rsidR="00B10A68" w:rsidRPr="00967AC5">
        <w:fldChar w:fldCharType="begin"/>
      </w:r>
      <w:r w:rsidR="00B10A68" w:rsidRPr="00967AC5">
        <w:instrText xml:space="preserve"> REF _Ref63337465 \r \h </w:instrText>
      </w:r>
      <w:r w:rsidR="002505BC" w:rsidRPr="00967AC5">
        <w:instrText xml:space="preserve"> \* MERGEFORMAT </w:instrText>
      </w:r>
      <w:r w:rsidR="00B10A68" w:rsidRPr="00967AC5">
        <w:fldChar w:fldCharType="separate"/>
      </w:r>
      <w:r w:rsidR="00680BB5" w:rsidRPr="00967AC5">
        <w:t>[7]</w:t>
      </w:r>
      <w:r w:rsidR="00B10A68" w:rsidRPr="00967AC5">
        <w:fldChar w:fldCharType="end"/>
      </w:r>
      <w:r w:rsidR="00B10A68" w:rsidRPr="00967AC5">
        <w:t xml:space="preserve"> </w:t>
      </w:r>
      <w:r w:rsidR="00CF5C73" w:rsidRPr="00967AC5">
        <w:t xml:space="preserve">on compatibility </w:t>
      </w:r>
      <w:r w:rsidRPr="00967AC5">
        <w:t xml:space="preserve">between Multi-carrier GSM and adjacent systems at 900 and 1800 MHz assumes a maximum in-band conducted power of 43 dBm and </w:t>
      </w:r>
      <w:r w:rsidR="00CF5C73" w:rsidRPr="00967AC5">
        <w:t xml:space="preserve">15 dBi </w:t>
      </w:r>
      <w:r w:rsidRPr="00967AC5">
        <w:t xml:space="preserve">antenna gain </w:t>
      </w:r>
      <w:r w:rsidR="00F458D0" w:rsidRPr="00967AC5">
        <w:t xml:space="preserve">(including </w:t>
      </w:r>
      <w:r w:rsidRPr="00967AC5">
        <w:t>feeder loss</w:t>
      </w:r>
      <w:r w:rsidR="00F458D0" w:rsidRPr="00967AC5">
        <w:t>)</w:t>
      </w:r>
      <w:r w:rsidRPr="00967AC5">
        <w:t xml:space="preserve">. </w:t>
      </w:r>
      <w:r w:rsidR="00387F1A" w:rsidRPr="00967AC5">
        <w:t>C</w:t>
      </w:r>
      <w:r w:rsidRPr="00967AC5">
        <w:t>EPT administrations reported that some GSM base stations are deployed with higher conducted power up to 55</w:t>
      </w:r>
      <w:r w:rsidR="00AA55D5" w:rsidRPr="00967AC5">
        <w:t> </w:t>
      </w:r>
      <w:r w:rsidRPr="00967AC5">
        <w:t xml:space="preserve">dBm, which is compliant with the </w:t>
      </w:r>
      <w:r w:rsidR="008703E5" w:rsidRPr="00967AC5">
        <w:t xml:space="preserve">current </w:t>
      </w:r>
      <w:r w:rsidRPr="00967AC5">
        <w:t xml:space="preserve">EC framework and the ETSI HS for GSM. No coexistence issues with adjacent system </w:t>
      </w:r>
      <w:r w:rsidR="00655AD0" w:rsidRPr="00967AC5">
        <w:t xml:space="preserve">have been </w:t>
      </w:r>
      <w:r w:rsidRPr="00967AC5">
        <w:t xml:space="preserve">reported </w:t>
      </w:r>
      <w:r w:rsidR="00655AD0" w:rsidRPr="00967AC5">
        <w:t xml:space="preserve">in </w:t>
      </w:r>
      <w:r w:rsidRPr="00967AC5">
        <w:t xml:space="preserve">the field after </w:t>
      </w:r>
      <w:r w:rsidR="0026054C" w:rsidRPr="00967AC5">
        <w:t>several</w:t>
      </w:r>
      <w:r w:rsidRPr="00967AC5">
        <w:t xml:space="preserve"> years of GSM operation. </w:t>
      </w:r>
      <w:r w:rsidR="00680BB5" w:rsidRPr="00967AC5">
        <w:t>Standalone</w:t>
      </w:r>
      <w:r w:rsidR="005308E3" w:rsidRPr="00967AC5">
        <w:t xml:space="preserve"> </w:t>
      </w:r>
      <w:r w:rsidRPr="00967AC5">
        <w:t>NB-IoT can be deployed with similar power values in those countries.</w:t>
      </w:r>
    </w:p>
    <w:p w14:paraId="18947588" w14:textId="77777777" w:rsidR="00001EB9" w:rsidRPr="00967AC5" w:rsidRDefault="00001EB9" w:rsidP="005931B9">
      <w:pPr>
        <w:pStyle w:val="ECCBulletsLv1"/>
        <w:numPr>
          <w:ilvl w:val="0"/>
          <w:numId w:val="0"/>
        </w:numPr>
        <w:ind w:left="709"/>
      </w:pPr>
    </w:p>
    <w:p w14:paraId="42D7C29A" w14:textId="773F48B5" w:rsidR="0022234B" w:rsidRPr="00967AC5" w:rsidRDefault="0022234B">
      <w:pPr>
        <w:pStyle w:val="ECCParagraph"/>
        <w:rPr>
          <w:rFonts w:eastAsia="Calibri"/>
        </w:rPr>
      </w:pPr>
      <w:r w:rsidRPr="00967AC5">
        <w:t>CEPT concluded and agreed</w:t>
      </w:r>
      <w:r w:rsidR="00B6697F" w:rsidRPr="00967AC5">
        <w:t xml:space="preserve"> to </w:t>
      </w:r>
      <w:r w:rsidR="00891CD7" w:rsidRPr="00967AC5">
        <w:t xml:space="preserve">use </w:t>
      </w:r>
      <w:r w:rsidRPr="00967AC5">
        <w:t xml:space="preserve">a value </w:t>
      </w:r>
      <w:r w:rsidR="008703E5" w:rsidRPr="00967AC5">
        <w:t xml:space="preserve">for parameter ‘X’, </w:t>
      </w:r>
      <w:r w:rsidRPr="00967AC5">
        <w:t>of X=6</w:t>
      </w:r>
      <w:r w:rsidR="008703E5" w:rsidRPr="00967AC5">
        <w:t>,</w:t>
      </w:r>
      <w:r w:rsidRPr="00967AC5">
        <w:t xml:space="preserve"> to derive the </w:t>
      </w:r>
      <w:r w:rsidR="00CF354E" w:rsidRPr="00967AC5">
        <w:t>out-of-block</w:t>
      </w:r>
      <w:r w:rsidRPr="00967AC5">
        <w:t xml:space="preserve"> </w:t>
      </w:r>
      <w:r w:rsidR="00AF22C7" w:rsidRPr="00967AC5">
        <w:t xml:space="preserve">and </w:t>
      </w:r>
      <w:r w:rsidR="00CF354E" w:rsidRPr="00967AC5">
        <w:t>out-of-band</w:t>
      </w:r>
      <w:r w:rsidR="00AF22C7" w:rsidRPr="00967AC5">
        <w:t xml:space="preserve"> </w:t>
      </w:r>
      <w:r w:rsidRPr="00967AC5">
        <w:t xml:space="preserve">requirements combined with flexibility on a </w:t>
      </w:r>
      <w:r w:rsidR="00CF354E" w:rsidRPr="00967AC5">
        <w:t>case-by-case</w:t>
      </w:r>
      <w:r w:rsidRPr="00967AC5">
        <w:t xml:space="preserve"> basis at national level to allow higher values. </w:t>
      </w:r>
      <w:r w:rsidR="00AF22C7" w:rsidRPr="00967AC5">
        <w:t xml:space="preserve">The value of X=6 </w:t>
      </w:r>
      <w:r w:rsidRPr="00967AC5">
        <w:t xml:space="preserve">corresponds to a NB </w:t>
      </w:r>
      <w:r w:rsidR="00AF22C7" w:rsidRPr="00967AC5">
        <w:t xml:space="preserve">conducted transmit </w:t>
      </w:r>
      <w:r w:rsidRPr="00967AC5">
        <w:t xml:space="preserve">power </w:t>
      </w:r>
      <w:r w:rsidR="00AF22C7" w:rsidRPr="00967AC5">
        <w:t>of</w:t>
      </w:r>
      <w:r w:rsidRPr="00967AC5">
        <w:t xml:space="preserve"> 49 dBm (80 W), which CEPT has considered reasonable considering existing deployments in 900</w:t>
      </w:r>
      <w:r w:rsidR="00B6697F" w:rsidRPr="00967AC5">
        <w:t xml:space="preserve"> and </w:t>
      </w:r>
      <w:r w:rsidRPr="00967AC5">
        <w:t>1800 MHz bands.</w:t>
      </w:r>
    </w:p>
    <w:p w14:paraId="6A516679" w14:textId="77777777" w:rsidR="0022234B" w:rsidRPr="00967AC5" w:rsidRDefault="0022234B" w:rsidP="00AA55D5">
      <w:pPr>
        <w:pStyle w:val="ECCParagraph"/>
      </w:pPr>
      <w:r w:rsidRPr="00967AC5">
        <w:t>This means in detail:</w:t>
      </w:r>
    </w:p>
    <w:p w14:paraId="4FD50DEB" w14:textId="698FDB7F" w:rsidR="0022234B" w:rsidRPr="00967AC5" w:rsidRDefault="0022234B" w:rsidP="00AA55D5">
      <w:pPr>
        <w:pStyle w:val="ECCBulletsLv1"/>
      </w:pPr>
      <w:r w:rsidRPr="00967AC5">
        <w:t xml:space="preserve">To ensure that future non-AAS </w:t>
      </w:r>
      <w:r w:rsidR="00F9640C" w:rsidRPr="00967AC5">
        <w:t>BS</w:t>
      </w:r>
      <w:r w:rsidRPr="00967AC5">
        <w:t xml:space="preserve"> </w:t>
      </w:r>
      <w:r w:rsidR="00F9640C" w:rsidRPr="00967AC5">
        <w:t xml:space="preserve">NB </w:t>
      </w:r>
      <w:r w:rsidRPr="00967AC5">
        <w:t>carriers deployed at the block edge (which may use higher conducted power) shall not have significantly worse unwanted emissions than systems currently in use, the parameter ‘X’ has been limited to a maximum of 6. This enables non-AAS</w:t>
      </w:r>
      <w:r w:rsidR="002147ED" w:rsidRPr="00967AC5">
        <w:t xml:space="preserve"> BS</w:t>
      </w:r>
      <w:r w:rsidRPr="00967AC5">
        <w:t xml:space="preserve"> </w:t>
      </w:r>
      <w:r w:rsidR="002147ED" w:rsidRPr="00967AC5">
        <w:t>NB</w:t>
      </w:r>
      <w:r w:rsidRPr="00967AC5">
        <w:t xml:space="preserve"> carriers adjacent to band edge, complying with ETSI TS 137 104</w:t>
      </w:r>
      <w:r w:rsidR="009836D2" w:rsidRPr="00967AC5">
        <w:t xml:space="preserve"> </w:t>
      </w:r>
      <w:r w:rsidR="009836D2" w:rsidRPr="00967AC5">
        <w:fldChar w:fldCharType="begin"/>
      </w:r>
      <w:r w:rsidR="009836D2" w:rsidRPr="00967AC5">
        <w:instrText xml:space="preserve"> REF _Ref63427540 \r \h </w:instrText>
      </w:r>
      <w:r w:rsidR="002505BC" w:rsidRPr="00967AC5">
        <w:instrText xml:space="preserve"> \* MERGEFORMAT </w:instrText>
      </w:r>
      <w:r w:rsidR="009836D2" w:rsidRPr="00967AC5">
        <w:fldChar w:fldCharType="separate"/>
      </w:r>
      <w:r w:rsidR="00680BB5" w:rsidRPr="00967AC5">
        <w:t>[22]</w:t>
      </w:r>
      <w:r w:rsidR="009836D2" w:rsidRPr="00967AC5">
        <w:fldChar w:fldCharType="end"/>
      </w:r>
      <w:r w:rsidRPr="00967AC5">
        <w:t xml:space="preserve">, to use a conducted in-band power of up to 49 dBm (i.e. 80 W). Moreover, as there is no obligatory in-band power limit, higher in-band power is possible, provided the unwanted emissions are compliant with the </w:t>
      </w:r>
      <w:r w:rsidR="00CF354E" w:rsidRPr="00967AC5">
        <w:t>out-of-block</w:t>
      </w:r>
      <w:r w:rsidRPr="00967AC5">
        <w:t xml:space="preserve"> and out</w:t>
      </w:r>
      <w:r w:rsidR="00037F74" w:rsidRPr="00967AC5">
        <w:t>-</w:t>
      </w:r>
      <w:r w:rsidRPr="00967AC5">
        <w:t>of</w:t>
      </w:r>
      <w:r w:rsidR="00037F74" w:rsidRPr="00967AC5">
        <w:t>-</w:t>
      </w:r>
      <w:r w:rsidRPr="00967AC5">
        <w:t>band limits defined in this CEPT Report (see section</w:t>
      </w:r>
      <w:r w:rsidR="00AF22C7" w:rsidRPr="00967AC5">
        <w:t xml:space="preserve"> </w:t>
      </w:r>
      <w:r w:rsidR="00AF22C7" w:rsidRPr="00967AC5">
        <w:fldChar w:fldCharType="begin"/>
      </w:r>
      <w:r w:rsidR="00AF22C7" w:rsidRPr="00967AC5">
        <w:instrText xml:space="preserve"> REF _Ref59212907 \r \h  \* MERGEFORMAT </w:instrText>
      </w:r>
      <w:r w:rsidR="00AF22C7" w:rsidRPr="00967AC5">
        <w:fldChar w:fldCharType="separate"/>
      </w:r>
      <w:r w:rsidR="00680BB5" w:rsidRPr="00967AC5">
        <w:t>3.4.4</w:t>
      </w:r>
      <w:r w:rsidR="00AF22C7" w:rsidRPr="00967AC5">
        <w:fldChar w:fldCharType="end"/>
      </w:r>
      <w:r w:rsidRPr="00967AC5">
        <w:t>).</w:t>
      </w:r>
    </w:p>
    <w:p w14:paraId="3B83C1AB" w14:textId="4FB3215E" w:rsidR="0022234B" w:rsidRPr="00967AC5" w:rsidRDefault="00AF22C7" w:rsidP="00AA55D5">
      <w:pPr>
        <w:pStyle w:val="ECCBulletsLv1"/>
      </w:pPr>
      <w:r w:rsidRPr="00967AC5">
        <w:t xml:space="preserve">On a </w:t>
      </w:r>
      <w:r w:rsidR="00CF354E" w:rsidRPr="00967AC5">
        <w:t>case-by-case</w:t>
      </w:r>
      <w:r w:rsidRPr="00967AC5">
        <w:t xml:space="preserve"> basis, the </w:t>
      </w:r>
      <w:r w:rsidR="0022234B" w:rsidRPr="00967AC5">
        <w:t xml:space="preserve">non-AAS </w:t>
      </w:r>
      <w:r w:rsidR="002147ED" w:rsidRPr="00967AC5">
        <w:t>BS</w:t>
      </w:r>
      <w:r w:rsidR="0022234B" w:rsidRPr="00967AC5">
        <w:t xml:space="preserve"> </w:t>
      </w:r>
      <w:r w:rsidR="00CF354E" w:rsidRPr="00967AC5">
        <w:t>out-of-block</w:t>
      </w:r>
      <w:r w:rsidR="0022234B" w:rsidRPr="00967AC5">
        <w:t xml:space="preserve"> </w:t>
      </w:r>
      <w:r w:rsidR="004470B5" w:rsidRPr="00967AC5">
        <w:rPr>
          <w:color w:val="000000"/>
        </w:rPr>
        <w:t>e.i.r.p.</w:t>
      </w:r>
      <w:r w:rsidR="0022234B" w:rsidRPr="00967AC5">
        <w:t xml:space="preserve"> limits could be relaxed at national level (i.e. higher conducted power and/or antenna gain, resulting in higher </w:t>
      </w:r>
      <w:r w:rsidR="004470B5" w:rsidRPr="00967AC5">
        <w:rPr>
          <w:rFonts w:eastAsia="Times New Roman" w:cs="Arial"/>
          <w:color w:val="000000"/>
          <w:lang w:eastAsia="fr-FR"/>
        </w:rPr>
        <w:t>e.i.r.p.</w:t>
      </w:r>
      <w:r w:rsidR="0022234B" w:rsidRPr="00967AC5">
        <w:t xml:space="preserve">, may also be used), either if agreed among all affected operators of such networks or in accordance with national implementation already in place, provided that these </w:t>
      </w:r>
      <w:r w:rsidR="00A75525" w:rsidRPr="00967AC5">
        <w:t>systems</w:t>
      </w:r>
      <w:r w:rsidR="0022234B" w:rsidRPr="00967AC5">
        <w:t xml:space="preserve"> continue to comply with the technical conditions applicable for the protection of adjacent services, applications or networks and with obligations resulting from cross-border coordination.</w:t>
      </w:r>
    </w:p>
    <w:p w14:paraId="48A99A08" w14:textId="07891A83" w:rsidR="0022234B" w:rsidRPr="00967AC5" w:rsidRDefault="0022234B" w:rsidP="00AA55D5">
      <w:pPr>
        <w:pStyle w:val="ECCBulletsLv1"/>
      </w:pPr>
      <w:r w:rsidRPr="00967AC5">
        <w:t xml:space="preserve">That there is also a need to include flexibility, on a case-by-case basis at national level for </w:t>
      </w:r>
      <w:r w:rsidR="00CF354E" w:rsidRPr="00967AC5">
        <w:t>out-of-band</w:t>
      </w:r>
      <w:r w:rsidRPr="00967AC5">
        <w:t xml:space="preserve"> limits as follows:</w:t>
      </w:r>
    </w:p>
    <w:p w14:paraId="2D8707BD" w14:textId="4E0C88C6" w:rsidR="0022234B" w:rsidRPr="00967AC5" w:rsidRDefault="0022234B">
      <w:pPr>
        <w:pStyle w:val="ECCBulletsLv1"/>
        <w:numPr>
          <w:ilvl w:val="1"/>
          <w:numId w:val="15"/>
        </w:numPr>
        <w:ind w:left="709"/>
      </w:pPr>
      <w:r w:rsidRPr="00967AC5">
        <w:t>Above 960 MHz, below 1805 MHz and above 1880 MHz: On case</w:t>
      </w:r>
      <w:r w:rsidR="00103E2D" w:rsidRPr="00967AC5">
        <w:t>-</w:t>
      </w:r>
      <w:r w:rsidRPr="00967AC5">
        <w:t>by</w:t>
      </w:r>
      <w:r w:rsidR="00103E2D" w:rsidRPr="00967AC5">
        <w:t>-</w:t>
      </w:r>
      <w:r w:rsidRPr="00967AC5">
        <w:t xml:space="preserve">case basis, at national level, higher out-of-band limits may be applied </w:t>
      </w:r>
      <w:r w:rsidR="006B5324" w:rsidRPr="00967AC5">
        <w:t xml:space="preserve">(see notes in </w:t>
      </w:r>
      <w:r w:rsidR="006B5324" w:rsidRPr="00967AC5">
        <w:fldChar w:fldCharType="begin"/>
      </w:r>
      <w:r w:rsidR="006B5324" w:rsidRPr="00967AC5">
        <w:instrText xml:space="preserve"> REF _Ref59213599 \h  \* MERGEFORMAT </w:instrText>
      </w:r>
      <w:r w:rsidR="006B5324" w:rsidRPr="00967AC5">
        <w:fldChar w:fldCharType="separate"/>
      </w:r>
      <w:r w:rsidR="00680BB5" w:rsidRPr="00967AC5">
        <w:t xml:space="preserve">Table </w:t>
      </w:r>
      <w:r w:rsidR="00680BB5" w:rsidRPr="00967AC5">
        <w:rPr>
          <w:noProof/>
        </w:rPr>
        <w:t>6</w:t>
      </w:r>
      <w:r w:rsidR="006B5324" w:rsidRPr="00967AC5">
        <w:fldChar w:fldCharType="end"/>
      </w:r>
      <w:r w:rsidR="006B5324" w:rsidRPr="00967AC5">
        <w:t xml:space="preserve"> for details)</w:t>
      </w:r>
      <w:r w:rsidRPr="00967AC5">
        <w:t xml:space="preserve">. </w:t>
      </w:r>
    </w:p>
    <w:p w14:paraId="3040A78A" w14:textId="346FEBFA" w:rsidR="0022234B" w:rsidRPr="00967AC5" w:rsidRDefault="0022234B" w:rsidP="0059372D">
      <w:pPr>
        <w:pStyle w:val="ECCBulletsLv1"/>
        <w:numPr>
          <w:ilvl w:val="1"/>
          <w:numId w:val="15"/>
        </w:numPr>
        <w:ind w:left="709"/>
      </w:pPr>
      <w:r w:rsidRPr="00967AC5">
        <w:t>Below 925 MHz: On case</w:t>
      </w:r>
      <w:r w:rsidR="00A64153" w:rsidRPr="00967AC5">
        <w:t>-</w:t>
      </w:r>
      <w:r w:rsidRPr="00967AC5">
        <w:t>by</w:t>
      </w:r>
      <w:r w:rsidR="00A64153" w:rsidRPr="00967AC5">
        <w:t>-</w:t>
      </w:r>
      <w:r w:rsidRPr="00967AC5">
        <w:t xml:space="preserve">case basis, at national level, higher out-of-band limits may be applied. This is to align with railway technical conditions in CEPT </w:t>
      </w:r>
      <w:r w:rsidR="00D74198" w:rsidRPr="00967AC5">
        <w:t>R</w:t>
      </w:r>
      <w:r w:rsidRPr="00967AC5">
        <w:t xml:space="preserve">eport 76 </w:t>
      </w:r>
      <w:r w:rsidR="009836D2" w:rsidRPr="00967AC5">
        <w:fldChar w:fldCharType="begin"/>
      </w:r>
      <w:r w:rsidR="009836D2" w:rsidRPr="00967AC5">
        <w:instrText xml:space="preserve"> REF _Ref63428213 \r \h </w:instrText>
      </w:r>
      <w:r w:rsidR="002505BC" w:rsidRPr="00967AC5">
        <w:instrText xml:space="preserve"> \* MERGEFORMAT </w:instrText>
      </w:r>
      <w:r w:rsidR="009836D2" w:rsidRPr="00967AC5">
        <w:fldChar w:fldCharType="separate"/>
      </w:r>
      <w:r w:rsidR="00680BB5" w:rsidRPr="00967AC5">
        <w:t>[33]</w:t>
      </w:r>
      <w:r w:rsidR="009836D2" w:rsidRPr="00967AC5">
        <w:fldChar w:fldCharType="end"/>
      </w:r>
      <w:r w:rsidR="009836D2" w:rsidRPr="00967AC5">
        <w:t xml:space="preserve"> </w:t>
      </w:r>
      <w:r w:rsidRPr="00967AC5">
        <w:t>and ECC Dec</w:t>
      </w:r>
      <w:r w:rsidR="00A64153" w:rsidRPr="00967AC5">
        <w:t>ision</w:t>
      </w:r>
      <w:r w:rsidRPr="00967AC5">
        <w:t xml:space="preserve"> (20)02</w:t>
      </w:r>
      <w:r w:rsidR="00F114D1" w:rsidRPr="00967AC5">
        <w:t xml:space="preserve"> </w:t>
      </w:r>
      <w:r w:rsidR="009836D2" w:rsidRPr="00967AC5">
        <w:fldChar w:fldCharType="begin"/>
      </w:r>
      <w:r w:rsidR="009836D2" w:rsidRPr="00967AC5">
        <w:instrText xml:space="preserve"> REF _Ref63428217 \r \h </w:instrText>
      </w:r>
      <w:r w:rsidR="002505BC" w:rsidRPr="00967AC5">
        <w:instrText xml:space="preserve"> \* MERGEFORMAT </w:instrText>
      </w:r>
      <w:r w:rsidR="009836D2" w:rsidRPr="00967AC5">
        <w:fldChar w:fldCharType="separate"/>
      </w:r>
      <w:r w:rsidR="00680BB5" w:rsidRPr="00967AC5">
        <w:t>[34]</w:t>
      </w:r>
      <w:r w:rsidR="009836D2" w:rsidRPr="00967AC5">
        <w:fldChar w:fldCharType="end"/>
      </w:r>
      <w:r w:rsidRPr="00967AC5">
        <w:t xml:space="preserve">. </w:t>
      </w:r>
    </w:p>
    <w:p w14:paraId="280805AA" w14:textId="3E4A3A8D" w:rsidR="0022234B" w:rsidRPr="00967AC5" w:rsidRDefault="0022234B" w:rsidP="00D25139">
      <w:pPr>
        <w:pStyle w:val="ECCParagraph"/>
        <w:spacing w:before="240"/>
      </w:pPr>
      <w:r w:rsidRPr="00967AC5">
        <w:t xml:space="preserve">Based on the above points, CEPT agreed </w:t>
      </w:r>
      <w:r w:rsidR="00CF354E" w:rsidRPr="00967AC5">
        <w:t>out</w:t>
      </w:r>
      <w:r w:rsidR="00F65571" w:rsidRPr="00967AC5">
        <w:t>-</w:t>
      </w:r>
      <w:r w:rsidR="00CF354E" w:rsidRPr="00967AC5">
        <w:t>of-block</w:t>
      </w:r>
      <w:r w:rsidRPr="00967AC5">
        <w:t xml:space="preserve"> </w:t>
      </w:r>
      <w:r w:rsidR="00AF22C7" w:rsidRPr="00967AC5">
        <w:t xml:space="preserve">transitional limits </w:t>
      </w:r>
      <w:r w:rsidRPr="00967AC5">
        <w:t xml:space="preserve">and </w:t>
      </w:r>
      <w:r w:rsidR="00CF354E" w:rsidRPr="00967AC5">
        <w:t>out-of-band</w:t>
      </w:r>
      <w:r w:rsidRPr="00967AC5">
        <w:t xml:space="preserve"> limits defined in section </w:t>
      </w:r>
      <w:r w:rsidR="00AF22C7" w:rsidRPr="00967AC5">
        <w:fldChar w:fldCharType="begin"/>
      </w:r>
      <w:r w:rsidR="00AF22C7" w:rsidRPr="00967AC5">
        <w:instrText xml:space="preserve"> REF _Ref59213070 \r \h </w:instrText>
      </w:r>
      <w:r w:rsidR="00520A1F" w:rsidRPr="00967AC5">
        <w:instrText xml:space="preserve"> \* MERGEFORMAT </w:instrText>
      </w:r>
      <w:r w:rsidR="00AF22C7" w:rsidRPr="00967AC5">
        <w:fldChar w:fldCharType="separate"/>
      </w:r>
      <w:r w:rsidR="00680BB5" w:rsidRPr="00967AC5">
        <w:t>3.4.4</w:t>
      </w:r>
      <w:r w:rsidR="00AF22C7" w:rsidRPr="00967AC5">
        <w:fldChar w:fldCharType="end"/>
      </w:r>
      <w:r w:rsidR="00D74198" w:rsidRPr="00967AC5">
        <w:t xml:space="preserve"> </w:t>
      </w:r>
      <w:r w:rsidRPr="00967AC5">
        <w:t xml:space="preserve">of this </w:t>
      </w:r>
      <w:r w:rsidR="00D25139" w:rsidRPr="00967AC5">
        <w:t>R</w:t>
      </w:r>
      <w:r w:rsidRPr="00967AC5">
        <w:t>eport (</w:t>
      </w:r>
      <w:r w:rsidR="00AF22C7" w:rsidRPr="00967AC5">
        <w:fldChar w:fldCharType="begin"/>
      </w:r>
      <w:r w:rsidR="00AF22C7" w:rsidRPr="00967AC5">
        <w:instrText xml:space="preserve"> REF _Ref50623900 \h </w:instrText>
      </w:r>
      <w:r w:rsidR="00520A1F" w:rsidRPr="00967AC5">
        <w:instrText xml:space="preserve"> \* MERGEFORMAT </w:instrText>
      </w:r>
      <w:r w:rsidR="00AF22C7" w:rsidRPr="00967AC5">
        <w:fldChar w:fldCharType="separate"/>
      </w:r>
      <w:r w:rsidR="00680BB5" w:rsidRPr="00967AC5">
        <w:t>Table 5</w:t>
      </w:r>
      <w:r w:rsidR="00AF22C7" w:rsidRPr="00967AC5">
        <w:fldChar w:fldCharType="end"/>
      </w:r>
      <w:r w:rsidRPr="00967AC5">
        <w:t xml:space="preserve"> and </w:t>
      </w:r>
      <w:r w:rsidR="00C35E75" w:rsidRPr="00967AC5">
        <w:fldChar w:fldCharType="begin"/>
      </w:r>
      <w:r w:rsidR="00C35E75" w:rsidRPr="00967AC5">
        <w:instrText xml:space="preserve"> REF _Ref59213599 \h </w:instrText>
      </w:r>
      <w:r w:rsidR="001C7C80" w:rsidRPr="00967AC5">
        <w:instrText xml:space="preserve"> \* MERGEFORMAT </w:instrText>
      </w:r>
      <w:r w:rsidR="00C35E75" w:rsidRPr="00967AC5">
        <w:fldChar w:fldCharType="separate"/>
      </w:r>
      <w:r w:rsidR="00680BB5" w:rsidRPr="00967AC5">
        <w:t>Table 6</w:t>
      </w:r>
      <w:r w:rsidR="00C35E75" w:rsidRPr="00967AC5">
        <w:fldChar w:fldCharType="end"/>
      </w:r>
      <w:r w:rsidRPr="00967AC5">
        <w:t>).</w:t>
      </w:r>
    </w:p>
    <w:p w14:paraId="4A374466" w14:textId="77777777" w:rsidR="00507165" w:rsidRDefault="00507165">
      <w:pPr>
        <w:rPr>
          <w:rFonts w:eastAsia="Calibri" w:cs="Arial"/>
          <w:b/>
          <w:bCs/>
          <w:szCs w:val="26"/>
          <w:lang w:val="en-GB"/>
        </w:rPr>
      </w:pPr>
      <w:bookmarkStart w:id="95" w:name="_Toc71037818"/>
      <w:r>
        <w:rPr>
          <w:lang w:val="en-GB"/>
        </w:rPr>
        <w:br w:type="page"/>
      </w:r>
    </w:p>
    <w:p w14:paraId="50B0177C" w14:textId="0E0AAA63" w:rsidR="00DE242E" w:rsidRPr="00967AC5" w:rsidRDefault="00DE242E" w:rsidP="00F91806">
      <w:pPr>
        <w:pStyle w:val="Heading3"/>
        <w:rPr>
          <w:lang w:val="en-GB"/>
        </w:rPr>
      </w:pPr>
      <w:r w:rsidRPr="00967AC5">
        <w:rPr>
          <w:lang w:val="en-GB"/>
        </w:rPr>
        <w:lastRenderedPageBreak/>
        <w:t>In-block power limits</w:t>
      </w:r>
      <w:bookmarkEnd w:id="85"/>
      <w:bookmarkEnd w:id="86"/>
      <w:bookmarkEnd w:id="87"/>
      <w:bookmarkEnd w:id="88"/>
      <w:bookmarkEnd w:id="95"/>
    </w:p>
    <w:p w14:paraId="0E81D0C8" w14:textId="755416B7" w:rsidR="00DE242E" w:rsidRPr="00967AC5" w:rsidRDefault="00DE242E" w:rsidP="00DE242E">
      <w:pPr>
        <w:spacing w:before="240" w:after="60"/>
        <w:jc w:val="both"/>
        <w:rPr>
          <w:rStyle w:val="ECCHLbold"/>
          <w:rFonts w:eastAsia="Calibri"/>
          <w:lang w:val="en-GB"/>
        </w:rPr>
      </w:pPr>
      <w:r w:rsidRPr="00967AC5">
        <w:rPr>
          <w:rStyle w:val="ECCHLbold"/>
          <w:rFonts w:eastAsia="Calibri"/>
          <w:lang w:val="en-GB"/>
        </w:rPr>
        <w:t xml:space="preserve">BS </w:t>
      </w:r>
      <w:r w:rsidR="00EB3B70" w:rsidRPr="00967AC5">
        <w:rPr>
          <w:rStyle w:val="ECCHLbold"/>
          <w:rFonts w:eastAsia="Calibri"/>
          <w:lang w:val="en-GB"/>
        </w:rPr>
        <w:t>i</w:t>
      </w:r>
      <w:r w:rsidRPr="00967AC5">
        <w:rPr>
          <w:rStyle w:val="ECCHLbold"/>
          <w:rFonts w:eastAsia="Calibri"/>
          <w:lang w:val="en-GB"/>
        </w:rPr>
        <w:t>n-block requirement</w:t>
      </w:r>
    </w:p>
    <w:p w14:paraId="25334F3E" w14:textId="31AA1DB4" w:rsidR="00DE242E" w:rsidRPr="00967AC5" w:rsidRDefault="00DE242E">
      <w:pPr>
        <w:pStyle w:val="ECCParagraph"/>
        <w:rPr>
          <w:rFonts w:eastAsia="Calibri"/>
        </w:rPr>
      </w:pPr>
      <w:r w:rsidRPr="00967AC5">
        <w:rPr>
          <w:rFonts w:eastAsia="Calibri"/>
        </w:rPr>
        <w:t xml:space="preserve">No mandatory limit </w:t>
      </w:r>
      <w:r w:rsidR="00D40B3C" w:rsidRPr="00967AC5">
        <w:rPr>
          <w:rFonts w:eastAsia="Calibri"/>
        </w:rPr>
        <w:t xml:space="preserve">is </w:t>
      </w:r>
      <w:r w:rsidRPr="00967AC5">
        <w:rPr>
          <w:rFonts w:eastAsia="Calibri"/>
        </w:rPr>
        <w:t>defined</w:t>
      </w:r>
      <w:r w:rsidR="00D40B3C" w:rsidRPr="00967AC5">
        <w:rPr>
          <w:rFonts w:eastAsia="Calibri"/>
        </w:rPr>
        <w:t xml:space="preserve"> today</w:t>
      </w:r>
      <w:r w:rsidRPr="00967AC5">
        <w:rPr>
          <w:rFonts w:eastAsia="Calibri"/>
        </w:rPr>
        <w:t xml:space="preserve"> in the existing </w:t>
      </w:r>
      <w:r w:rsidR="00D40B3C" w:rsidRPr="00967AC5">
        <w:rPr>
          <w:rFonts w:eastAsia="Calibri"/>
        </w:rPr>
        <w:t xml:space="preserve">ECC/EC </w:t>
      </w:r>
      <w:r w:rsidRPr="00967AC5">
        <w:rPr>
          <w:rFonts w:eastAsia="Calibri"/>
        </w:rPr>
        <w:t xml:space="preserve">regulatory </w:t>
      </w:r>
      <w:r w:rsidR="00FF6DB0" w:rsidRPr="00967AC5">
        <w:rPr>
          <w:rFonts w:eastAsia="Calibri"/>
        </w:rPr>
        <w:t>framework</w:t>
      </w:r>
      <w:r w:rsidRPr="00967AC5">
        <w:rPr>
          <w:rFonts w:eastAsia="Calibri"/>
        </w:rPr>
        <w:t xml:space="preserve"> </w:t>
      </w:r>
      <w:r w:rsidR="00D40B3C" w:rsidRPr="00967AC5">
        <w:rPr>
          <w:rFonts w:eastAsia="Calibri"/>
        </w:rPr>
        <w:t>for 900</w:t>
      </w:r>
      <w:r w:rsidR="006B5324" w:rsidRPr="00967AC5">
        <w:rPr>
          <w:rFonts w:eastAsia="Calibri"/>
        </w:rPr>
        <w:t xml:space="preserve"> and </w:t>
      </w:r>
      <w:r w:rsidR="00D40B3C" w:rsidRPr="00967AC5">
        <w:rPr>
          <w:rFonts w:eastAsia="Calibri"/>
        </w:rPr>
        <w:t>1800</w:t>
      </w:r>
      <w:r w:rsidR="00AB737C" w:rsidRPr="00967AC5">
        <w:rPr>
          <w:rFonts w:eastAsia="Calibri"/>
        </w:rPr>
        <w:t xml:space="preserve"> </w:t>
      </w:r>
      <w:r w:rsidR="00D40B3C" w:rsidRPr="00967AC5">
        <w:rPr>
          <w:rFonts w:eastAsia="Calibri"/>
        </w:rPr>
        <w:t xml:space="preserve">MHz </w:t>
      </w:r>
      <w:proofErr w:type="spellStart"/>
      <w:r w:rsidR="00D40B3C" w:rsidRPr="00967AC5">
        <w:rPr>
          <w:rFonts w:eastAsia="Calibri"/>
        </w:rPr>
        <w:t>bands</w:t>
      </w:r>
      <w:r w:rsidRPr="00967AC5">
        <w:rPr>
          <w:rFonts w:eastAsia="Calibri"/>
        </w:rPr>
        <w:t>nor</w:t>
      </w:r>
      <w:proofErr w:type="spellEnd"/>
      <w:r w:rsidRPr="00967AC5">
        <w:rPr>
          <w:rFonts w:eastAsia="Calibri"/>
        </w:rPr>
        <w:t xml:space="preserve"> in ETSI HS </w:t>
      </w:r>
      <w:r w:rsidR="00D40B3C" w:rsidRPr="00967AC5">
        <w:rPr>
          <w:rFonts w:eastAsia="Calibri"/>
        </w:rPr>
        <w:t xml:space="preserve">relevant to </w:t>
      </w:r>
      <w:r w:rsidRPr="00967AC5">
        <w:rPr>
          <w:rFonts w:eastAsia="Calibri"/>
        </w:rPr>
        <w:t xml:space="preserve">systems authorised in the </w:t>
      </w:r>
      <w:r w:rsidR="00D40B3C" w:rsidRPr="00967AC5">
        <w:rPr>
          <w:rFonts w:eastAsia="Calibri"/>
        </w:rPr>
        <w:t>900/1800</w:t>
      </w:r>
      <w:r w:rsidR="00AB737C" w:rsidRPr="00967AC5">
        <w:rPr>
          <w:rFonts w:eastAsia="Calibri"/>
        </w:rPr>
        <w:t xml:space="preserve"> </w:t>
      </w:r>
      <w:r w:rsidR="00D40B3C" w:rsidRPr="00967AC5">
        <w:rPr>
          <w:rFonts w:eastAsia="Calibri"/>
        </w:rPr>
        <w:t xml:space="preserve">MHz </w:t>
      </w:r>
      <w:r w:rsidRPr="00967AC5">
        <w:rPr>
          <w:rFonts w:eastAsia="Calibri"/>
        </w:rPr>
        <w:t>band</w:t>
      </w:r>
      <w:r w:rsidR="008E02FA" w:rsidRPr="00967AC5">
        <w:rPr>
          <w:rFonts w:eastAsia="Calibri"/>
        </w:rPr>
        <w:t>s</w:t>
      </w:r>
      <w:r w:rsidRPr="00967AC5">
        <w:rPr>
          <w:rFonts w:eastAsia="Calibri"/>
        </w:rPr>
        <w:t xml:space="preserve"> namely </w:t>
      </w:r>
      <w:r w:rsidR="008E02FA" w:rsidRPr="00967AC5">
        <w:rPr>
          <w:rFonts w:eastAsia="Calibri"/>
        </w:rPr>
        <w:t xml:space="preserve">GSM (including EC-GSM-IoT), </w:t>
      </w:r>
      <w:r w:rsidRPr="00967AC5">
        <w:rPr>
          <w:rFonts w:eastAsia="Calibri"/>
        </w:rPr>
        <w:t>UMTS, LTE, Wi</w:t>
      </w:r>
      <w:r w:rsidR="00780B80" w:rsidRPr="00967AC5">
        <w:rPr>
          <w:rFonts w:eastAsia="Calibri"/>
        </w:rPr>
        <w:t>M</w:t>
      </w:r>
      <w:r w:rsidR="0054085F" w:rsidRPr="00967AC5">
        <w:rPr>
          <w:rFonts w:eastAsia="Calibri"/>
        </w:rPr>
        <w:t>AX</w:t>
      </w:r>
      <w:r w:rsidRPr="00967AC5">
        <w:rPr>
          <w:rFonts w:eastAsia="Calibri"/>
        </w:rPr>
        <w:t xml:space="preserve">, </w:t>
      </w:r>
      <w:r w:rsidR="008E02FA" w:rsidRPr="00967AC5">
        <w:rPr>
          <w:rFonts w:eastAsia="Calibri"/>
        </w:rPr>
        <w:t xml:space="preserve">IoT systems, </w:t>
      </w:r>
      <w:r w:rsidRPr="00967AC5">
        <w:rPr>
          <w:rFonts w:eastAsia="Calibri"/>
        </w:rPr>
        <w:t xml:space="preserve">NR. </w:t>
      </w:r>
    </w:p>
    <w:p w14:paraId="3C73B50C" w14:textId="6B92844A" w:rsidR="00DE242E" w:rsidRPr="00967AC5" w:rsidRDefault="00DE242E" w:rsidP="00520A1F">
      <w:pPr>
        <w:pStyle w:val="ECCParagraph"/>
        <w:rPr>
          <w:rFonts w:eastAsia="Calibri"/>
        </w:rPr>
      </w:pPr>
      <w:r w:rsidRPr="00967AC5">
        <w:rPr>
          <w:rFonts w:eastAsia="Calibri"/>
        </w:rPr>
        <w:t xml:space="preserve">The same approach </w:t>
      </w:r>
      <w:r w:rsidR="008E02FA" w:rsidRPr="00967AC5">
        <w:rPr>
          <w:rFonts w:eastAsia="Calibri"/>
        </w:rPr>
        <w:t xml:space="preserve">is proposed to be </w:t>
      </w:r>
      <w:r w:rsidR="007E2191" w:rsidRPr="00967AC5">
        <w:rPr>
          <w:rFonts w:eastAsia="Calibri"/>
        </w:rPr>
        <w:t xml:space="preserve">kept </w:t>
      </w:r>
      <w:r w:rsidRPr="00967AC5">
        <w:rPr>
          <w:rFonts w:eastAsia="Calibri"/>
        </w:rPr>
        <w:t>for the LRTC</w:t>
      </w:r>
      <w:r w:rsidR="00C11501" w:rsidRPr="00967AC5">
        <w:rPr>
          <w:rFonts w:eastAsia="Calibri"/>
        </w:rPr>
        <w:t>s</w:t>
      </w:r>
      <w:r w:rsidRPr="00967AC5">
        <w:rPr>
          <w:rFonts w:eastAsia="Calibri"/>
        </w:rPr>
        <w:t xml:space="preserve"> when updat</w:t>
      </w:r>
      <w:r w:rsidR="00520A1F" w:rsidRPr="00967AC5">
        <w:rPr>
          <w:rFonts w:eastAsia="Calibri"/>
        </w:rPr>
        <w:t>ing</w:t>
      </w:r>
      <w:r w:rsidRPr="00967AC5">
        <w:rPr>
          <w:rFonts w:eastAsia="Calibri"/>
        </w:rPr>
        <w:t xml:space="preserve"> </w:t>
      </w:r>
      <w:r w:rsidR="007E2191" w:rsidRPr="00967AC5">
        <w:rPr>
          <w:rFonts w:eastAsia="Calibri"/>
        </w:rPr>
        <w:t xml:space="preserve">ECC/EC </w:t>
      </w:r>
      <w:r w:rsidRPr="00967AC5">
        <w:rPr>
          <w:rFonts w:eastAsia="Calibri"/>
        </w:rPr>
        <w:t xml:space="preserve">regulatory framework. </w:t>
      </w:r>
      <w:r w:rsidR="007E2191" w:rsidRPr="00967AC5">
        <w:rPr>
          <w:rFonts w:eastAsia="Calibri"/>
        </w:rPr>
        <w:t>In-block limits for non-AAS BS and AAS BS are not necessary.</w:t>
      </w:r>
    </w:p>
    <w:p w14:paraId="3DF557B0" w14:textId="1863B299" w:rsidR="00DE242E" w:rsidRPr="00967AC5" w:rsidRDefault="00DE242E" w:rsidP="00520A1F">
      <w:pPr>
        <w:pStyle w:val="ECCParagraph"/>
        <w:rPr>
          <w:rFonts w:eastAsia="Calibri"/>
        </w:rPr>
      </w:pPr>
      <w:r w:rsidRPr="00967AC5">
        <w:rPr>
          <w:rFonts w:eastAsia="Calibri"/>
        </w:rPr>
        <w:t>However, administrations may choose to set an in-</w:t>
      </w:r>
      <w:r w:rsidR="009D45A8" w:rsidRPr="00967AC5">
        <w:rPr>
          <w:rFonts w:eastAsia="Calibri"/>
        </w:rPr>
        <w:t xml:space="preserve">block </w:t>
      </w:r>
      <w:r w:rsidRPr="00967AC5">
        <w:rPr>
          <w:rFonts w:eastAsia="Calibri"/>
        </w:rPr>
        <w:t>power limit for the BS if needed on a national or local basis</w:t>
      </w:r>
      <w:r w:rsidR="006B5324" w:rsidRPr="00967AC5">
        <w:rPr>
          <w:rFonts w:eastAsia="Calibri"/>
        </w:rPr>
        <w:t xml:space="preserve">. </w:t>
      </w:r>
      <w:r w:rsidR="00EC7DFE" w:rsidRPr="00967AC5">
        <w:rPr>
          <w:rFonts w:eastAsia="Calibri"/>
        </w:rPr>
        <w:t>O</w:t>
      </w:r>
      <w:r w:rsidR="007E2191" w:rsidRPr="00967AC5">
        <w:rPr>
          <w:rFonts w:eastAsia="Calibri"/>
        </w:rPr>
        <w:t>ptional</w:t>
      </w:r>
      <w:r w:rsidR="004D50CB" w:rsidRPr="00967AC5">
        <w:rPr>
          <w:rFonts w:eastAsia="Calibri"/>
        </w:rPr>
        <w:t xml:space="preserve"> </w:t>
      </w:r>
      <w:r w:rsidR="007E2191" w:rsidRPr="00967AC5">
        <w:rPr>
          <w:rFonts w:eastAsia="Calibri"/>
        </w:rPr>
        <w:t xml:space="preserve">limits are given below </w:t>
      </w:r>
      <w:r w:rsidR="00272080" w:rsidRPr="00967AC5">
        <w:rPr>
          <w:rFonts w:eastAsia="Calibri"/>
        </w:rPr>
        <w:t xml:space="preserve">in </w:t>
      </w:r>
      <w:r w:rsidR="00520A1F" w:rsidRPr="00967AC5">
        <w:rPr>
          <w:rFonts w:eastAsia="Calibri"/>
        </w:rPr>
        <w:fldChar w:fldCharType="begin"/>
      </w:r>
      <w:r w:rsidR="00520A1F" w:rsidRPr="00967AC5">
        <w:rPr>
          <w:rFonts w:eastAsia="Calibri"/>
        </w:rPr>
        <w:instrText xml:space="preserve"> REF _Ref50625558 \h </w:instrText>
      </w:r>
      <w:r w:rsidR="001C7C80" w:rsidRPr="00967AC5">
        <w:rPr>
          <w:rFonts w:eastAsia="Calibri"/>
        </w:rPr>
        <w:instrText xml:space="preserve"> \* MERGEFORMAT </w:instrText>
      </w:r>
      <w:r w:rsidR="00520A1F" w:rsidRPr="00967AC5">
        <w:rPr>
          <w:rFonts w:eastAsia="Calibri"/>
        </w:rPr>
      </w:r>
      <w:r w:rsidR="00520A1F" w:rsidRPr="00967AC5">
        <w:rPr>
          <w:rFonts w:eastAsia="Calibri"/>
        </w:rPr>
        <w:fldChar w:fldCharType="separate"/>
      </w:r>
      <w:r w:rsidR="00680BB5" w:rsidRPr="00967AC5">
        <w:t>Table 2</w:t>
      </w:r>
      <w:r w:rsidR="00520A1F" w:rsidRPr="00967AC5">
        <w:rPr>
          <w:rFonts w:eastAsia="Calibri"/>
        </w:rPr>
        <w:fldChar w:fldCharType="end"/>
      </w:r>
      <w:r w:rsidR="007E2191" w:rsidRPr="00967AC5">
        <w:rPr>
          <w:rFonts w:eastAsia="Calibri"/>
        </w:rPr>
        <w:t xml:space="preserve"> to guide administrations based on practical deployments today</w:t>
      </w:r>
      <w:r w:rsidRPr="00967AC5">
        <w:rPr>
          <w:rFonts w:eastAsia="Calibri"/>
        </w:rPr>
        <w:t>.</w:t>
      </w:r>
    </w:p>
    <w:p w14:paraId="0831DBF9" w14:textId="510A8BBD" w:rsidR="007E2191" w:rsidRPr="00967AC5" w:rsidRDefault="007E2191">
      <w:pPr>
        <w:pStyle w:val="ECCParagraph"/>
        <w:rPr>
          <w:rFonts w:eastAsia="Calibri"/>
        </w:rPr>
      </w:pPr>
      <w:r w:rsidRPr="00967AC5">
        <w:rPr>
          <w:rFonts w:eastAsia="Calibri"/>
        </w:rPr>
        <w:t>Practically, 900</w:t>
      </w:r>
      <w:r w:rsidR="002A07CC" w:rsidRPr="00967AC5">
        <w:rPr>
          <w:rFonts w:eastAsia="Calibri"/>
        </w:rPr>
        <w:t xml:space="preserve"> and </w:t>
      </w:r>
      <w:r w:rsidRPr="00967AC5">
        <w:rPr>
          <w:rFonts w:eastAsia="Calibri"/>
        </w:rPr>
        <w:t>1800</w:t>
      </w:r>
      <w:r w:rsidR="00DD5086" w:rsidRPr="00967AC5">
        <w:rPr>
          <w:rFonts w:eastAsia="Calibri"/>
        </w:rPr>
        <w:t> </w:t>
      </w:r>
      <w:r w:rsidRPr="00967AC5">
        <w:rPr>
          <w:rFonts w:eastAsia="Calibri"/>
        </w:rPr>
        <w:t xml:space="preserve">MHz bands have </w:t>
      </w:r>
      <w:r w:rsidR="0058163C" w:rsidRPr="00967AC5">
        <w:rPr>
          <w:rFonts w:eastAsia="Calibri"/>
        </w:rPr>
        <w:t>always</w:t>
      </w:r>
      <w:r w:rsidRPr="00967AC5">
        <w:rPr>
          <w:rFonts w:eastAsia="Calibri"/>
        </w:rPr>
        <w:t xml:space="preserve"> been used as coverage bands and because of that, the BS transmit power levels and antenna gains deployed in the field are relatively high. For non-AAS BS in 900</w:t>
      </w:r>
      <w:r w:rsidR="002A07CC" w:rsidRPr="00967AC5">
        <w:rPr>
          <w:rFonts w:eastAsia="Calibri"/>
        </w:rPr>
        <w:t xml:space="preserve"> and </w:t>
      </w:r>
      <w:r w:rsidRPr="00967AC5">
        <w:rPr>
          <w:rFonts w:eastAsia="Calibri"/>
        </w:rPr>
        <w:t>1800</w:t>
      </w:r>
      <w:r w:rsidR="00DD5086" w:rsidRPr="00967AC5">
        <w:rPr>
          <w:rFonts w:eastAsia="Calibri"/>
        </w:rPr>
        <w:t> </w:t>
      </w:r>
      <w:r w:rsidRPr="00967AC5">
        <w:rPr>
          <w:rFonts w:eastAsia="Calibri"/>
        </w:rPr>
        <w:t>MHz bands, the transmit power in areas requiring extended coverage (</w:t>
      </w:r>
      <w:r w:rsidR="00700875" w:rsidRPr="00967AC5">
        <w:rPr>
          <w:rFonts w:eastAsia="Calibri"/>
        </w:rPr>
        <w:t xml:space="preserve">rural </w:t>
      </w:r>
      <w:r w:rsidRPr="00967AC5">
        <w:rPr>
          <w:rFonts w:eastAsia="Calibri"/>
        </w:rPr>
        <w:t xml:space="preserve">or deep indoor e.g. </w:t>
      </w:r>
      <w:r w:rsidR="00700875" w:rsidRPr="00967AC5">
        <w:rPr>
          <w:rFonts w:eastAsia="Calibri"/>
        </w:rPr>
        <w:t xml:space="preserve">for </w:t>
      </w:r>
      <w:r w:rsidRPr="00967AC5">
        <w:rPr>
          <w:rFonts w:eastAsia="Calibri"/>
        </w:rPr>
        <w:t>IoT)can be in the order of the following levels:</w:t>
      </w:r>
    </w:p>
    <w:p w14:paraId="7BD09B8C" w14:textId="212B679E" w:rsidR="007E2191" w:rsidRPr="00967AC5" w:rsidRDefault="007E2191">
      <w:pPr>
        <w:pStyle w:val="ECCBulletsLv1"/>
      </w:pPr>
      <w:r w:rsidRPr="00967AC5">
        <w:t xml:space="preserve">GSM (including EC-GSM-IoT) and generally NB-IoT carrier: </w:t>
      </w:r>
      <w:r w:rsidR="004470B5" w:rsidRPr="00967AC5">
        <w:rPr>
          <w:rFonts w:eastAsia="Times New Roman" w:cs="Arial"/>
          <w:color w:val="000000"/>
          <w:lang w:eastAsia="fr-FR"/>
        </w:rPr>
        <w:t>e.i.r.p.</w:t>
      </w:r>
      <w:r w:rsidRPr="00967AC5">
        <w:t xml:space="preserve"> of </w:t>
      </w:r>
      <w:r w:rsidR="00EA3997" w:rsidRPr="00967AC5">
        <w:t>60</w:t>
      </w:r>
      <w:r w:rsidR="00424276" w:rsidRPr="00967AC5">
        <w:t>-</w:t>
      </w:r>
      <w:r w:rsidR="00EA3997" w:rsidRPr="00967AC5">
        <w:t xml:space="preserve">69 </w:t>
      </w:r>
      <w:r w:rsidRPr="00967AC5">
        <w:t>dBm/</w:t>
      </w:r>
      <w:r w:rsidR="00D565E2" w:rsidRPr="00967AC5">
        <w:t>(</w:t>
      </w:r>
      <w:r w:rsidRPr="00967AC5">
        <w:t>200</w:t>
      </w:r>
      <w:r w:rsidR="00DD5086" w:rsidRPr="00967AC5">
        <w:t> </w:t>
      </w:r>
      <w:r w:rsidR="00780B80" w:rsidRPr="00967AC5">
        <w:t>k</w:t>
      </w:r>
      <w:r w:rsidRPr="00967AC5">
        <w:t>Hz</w:t>
      </w:r>
      <w:r w:rsidR="00D565E2" w:rsidRPr="00967AC5">
        <w:t>)</w:t>
      </w:r>
      <w:r w:rsidRPr="00967AC5">
        <w:t xml:space="preserve">. This is based on conducted power of </w:t>
      </w:r>
      <w:r w:rsidR="00424276" w:rsidRPr="00967AC5">
        <w:t>42-</w:t>
      </w:r>
      <w:r w:rsidRPr="00967AC5">
        <w:t>51</w:t>
      </w:r>
      <w:r w:rsidR="00D565E2" w:rsidRPr="00967AC5">
        <w:t xml:space="preserve"> </w:t>
      </w:r>
      <w:r w:rsidRPr="00967AC5">
        <w:t>dBm/</w:t>
      </w:r>
      <w:r w:rsidR="00D565E2" w:rsidRPr="00967AC5">
        <w:t>(</w:t>
      </w:r>
      <w:r w:rsidRPr="00967AC5">
        <w:t>200</w:t>
      </w:r>
      <w:r w:rsidR="00DD5086" w:rsidRPr="00967AC5">
        <w:t> </w:t>
      </w:r>
      <w:r w:rsidR="00780B80" w:rsidRPr="00967AC5">
        <w:t>k</w:t>
      </w:r>
      <w:r w:rsidRPr="00967AC5">
        <w:t>Hz</w:t>
      </w:r>
      <w:r w:rsidR="00D565E2" w:rsidRPr="00967AC5">
        <w:t>)</w:t>
      </w:r>
      <w:r w:rsidRPr="00967AC5">
        <w:t>. Such high power is important to fulfil coverage requirements</w:t>
      </w:r>
      <w:r w:rsidR="00EC7DFE" w:rsidRPr="00967AC5">
        <w:t>.</w:t>
      </w:r>
    </w:p>
    <w:p w14:paraId="0CEC3DA1" w14:textId="51CB3B85" w:rsidR="007E2191" w:rsidRPr="00967AC5" w:rsidRDefault="007E2191">
      <w:pPr>
        <w:pStyle w:val="ECCBulletsLv1"/>
      </w:pPr>
      <w:r w:rsidRPr="00967AC5">
        <w:t xml:space="preserve">For UMTS, </w:t>
      </w:r>
      <w:proofErr w:type="spellStart"/>
      <w:r w:rsidRPr="00967AC5">
        <w:t>LTE</w:t>
      </w:r>
      <w:r w:rsidR="00E8762B" w:rsidRPr="00967AC5">
        <w:t>,</w:t>
      </w:r>
      <w:r w:rsidRPr="00967AC5">
        <w:t>and</w:t>
      </w:r>
      <w:proofErr w:type="spellEnd"/>
      <w:r w:rsidRPr="00967AC5">
        <w:t xml:space="preserve"> </w:t>
      </w:r>
      <w:proofErr w:type="spellStart"/>
      <w:r w:rsidRPr="00967AC5">
        <w:t>NRcarriers</w:t>
      </w:r>
      <w:proofErr w:type="spellEnd"/>
      <w:r w:rsidRPr="00967AC5">
        <w:t xml:space="preserve">: </w:t>
      </w:r>
      <w:r w:rsidR="00A75525" w:rsidRPr="00967AC5">
        <w:t>e.i.r.p.</w:t>
      </w:r>
      <w:r w:rsidRPr="00967AC5">
        <w:t xml:space="preserve"> of </w:t>
      </w:r>
      <w:r w:rsidR="00167351" w:rsidRPr="00967AC5">
        <w:t>63</w:t>
      </w:r>
      <w:r w:rsidR="00424276" w:rsidRPr="00967AC5">
        <w:t>-</w:t>
      </w:r>
      <w:r w:rsidR="00EA3997" w:rsidRPr="00967AC5">
        <w:t xml:space="preserve">67 </w:t>
      </w:r>
      <w:r w:rsidRPr="00967AC5">
        <w:t>dBm/</w:t>
      </w:r>
      <w:r w:rsidR="00D565E2" w:rsidRPr="00967AC5">
        <w:t>(</w:t>
      </w:r>
      <w:r w:rsidRPr="00967AC5">
        <w:t>5</w:t>
      </w:r>
      <w:r w:rsidR="00DD5086" w:rsidRPr="00967AC5">
        <w:t> </w:t>
      </w:r>
      <w:r w:rsidRPr="00967AC5">
        <w:t>MHz</w:t>
      </w:r>
      <w:r w:rsidR="00D565E2" w:rsidRPr="00967AC5">
        <w:t>)</w:t>
      </w:r>
      <w:r w:rsidRPr="00967AC5">
        <w:t xml:space="preserve">. This is based on conducted power of </w:t>
      </w:r>
      <w:r w:rsidR="00424276" w:rsidRPr="00967AC5">
        <w:t>45-</w:t>
      </w:r>
      <w:r w:rsidRPr="00967AC5">
        <w:t>49</w:t>
      </w:r>
      <w:r w:rsidR="00D565E2" w:rsidRPr="00967AC5">
        <w:t xml:space="preserve"> </w:t>
      </w:r>
      <w:r w:rsidRPr="00967AC5">
        <w:t>dBm/</w:t>
      </w:r>
      <w:r w:rsidR="00D565E2" w:rsidRPr="00967AC5">
        <w:t>(</w:t>
      </w:r>
      <w:r w:rsidRPr="00967AC5">
        <w:t>5</w:t>
      </w:r>
      <w:r w:rsidR="00DD5086" w:rsidRPr="00967AC5">
        <w:t> </w:t>
      </w:r>
      <w:r w:rsidRPr="00967AC5">
        <w:t>MHz</w:t>
      </w:r>
      <w:r w:rsidR="00D565E2" w:rsidRPr="00967AC5">
        <w:t>)</w:t>
      </w:r>
      <w:r w:rsidRPr="00967AC5">
        <w:t>.</w:t>
      </w:r>
    </w:p>
    <w:p w14:paraId="7E52B974" w14:textId="56DE3AA6" w:rsidR="007E2191" w:rsidRPr="00967AC5" w:rsidRDefault="007E2191">
      <w:pPr>
        <w:pStyle w:val="ECCParagraph"/>
        <w:spacing w:before="240"/>
        <w:rPr>
          <w:rFonts w:eastAsia="Calibri"/>
        </w:rPr>
      </w:pPr>
      <w:r w:rsidRPr="00967AC5">
        <w:rPr>
          <w:rFonts w:eastAsia="Calibri"/>
        </w:rPr>
        <w:t xml:space="preserve">Based on the above, </w:t>
      </w:r>
      <w:r w:rsidR="001D023E" w:rsidRPr="00967AC5">
        <w:rPr>
          <w:rFonts w:eastAsia="Calibri"/>
        </w:rPr>
        <w:t>two</w:t>
      </w:r>
      <w:r w:rsidRPr="00967AC5">
        <w:rPr>
          <w:rFonts w:eastAsia="Calibri"/>
        </w:rPr>
        <w:t xml:space="preserve"> optional limits for non-AAS BS</w:t>
      </w:r>
      <w:r w:rsidR="00EC7DFE" w:rsidRPr="00967AC5">
        <w:rPr>
          <w:rFonts w:eastAsia="Calibri"/>
        </w:rPr>
        <w:t xml:space="preserve"> are proposed</w:t>
      </w:r>
      <w:r w:rsidRPr="00967AC5">
        <w:rPr>
          <w:rFonts w:eastAsia="Calibri"/>
        </w:rPr>
        <w:t>, one for narrowband systems based on 200</w:t>
      </w:r>
      <w:r w:rsidR="00DD5086" w:rsidRPr="00967AC5">
        <w:rPr>
          <w:rFonts w:eastAsia="Calibri"/>
        </w:rPr>
        <w:t> </w:t>
      </w:r>
      <w:r w:rsidR="00C02ECF" w:rsidRPr="00967AC5">
        <w:rPr>
          <w:rFonts w:eastAsia="Calibri"/>
        </w:rPr>
        <w:t>k</w:t>
      </w:r>
      <w:r w:rsidRPr="00967AC5">
        <w:rPr>
          <w:rFonts w:eastAsia="Calibri"/>
        </w:rPr>
        <w:t>Hz block/carrier and one for wideband systems based on a 5</w:t>
      </w:r>
      <w:r w:rsidR="00DD5086" w:rsidRPr="00967AC5">
        <w:rPr>
          <w:rFonts w:eastAsia="Calibri"/>
        </w:rPr>
        <w:t> </w:t>
      </w:r>
      <w:r w:rsidRPr="00967AC5">
        <w:rPr>
          <w:rFonts w:eastAsia="Calibri"/>
        </w:rPr>
        <w:t>MHz block/carrier</w:t>
      </w:r>
    </w:p>
    <w:p w14:paraId="46A19625" w14:textId="7E037E30" w:rsidR="007E2191" w:rsidRPr="00967AC5" w:rsidRDefault="007E2191">
      <w:pPr>
        <w:pStyle w:val="ECCParagraph"/>
        <w:rPr>
          <w:rFonts w:eastAsia="Calibri"/>
        </w:rPr>
      </w:pPr>
      <w:r w:rsidRPr="00967AC5">
        <w:rPr>
          <w:rFonts w:eastAsia="Calibri"/>
        </w:rPr>
        <w:t xml:space="preserve">For AAS BS, 3GPP specification TS 37.105 </w:t>
      </w:r>
      <w:r w:rsidR="00280D01" w:rsidRPr="00967AC5">
        <w:rPr>
          <w:rFonts w:eastAsia="Calibri"/>
        </w:rPr>
        <w:fldChar w:fldCharType="begin"/>
      </w:r>
      <w:r w:rsidR="00280D01" w:rsidRPr="00967AC5">
        <w:rPr>
          <w:rFonts w:eastAsia="Calibri"/>
        </w:rPr>
        <w:instrText xml:space="preserve"> REF _Ref68702164 \r \h </w:instrText>
      </w:r>
      <w:r w:rsidR="00944312" w:rsidRPr="00967AC5">
        <w:rPr>
          <w:rFonts w:eastAsia="Calibri"/>
        </w:rPr>
        <w:instrText xml:space="preserve"> \* MERGEFORMAT </w:instrText>
      </w:r>
      <w:r w:rsidR="00280D01" w:rsidRPr="00967AC5">
        <w:rPr>
          <w:rFonts w:eastAsia="Calibri"/>
        </w:rPr>
      </w:r>
      <w:r w:rsidR="00280D01" w:rsidRPr="00967AC5">
        <w:rPr>
          <w:rFonts w:eastAsia="Calibri"/>
        </w:rPr>
        <w:fldChar w:fldCharType="separate"/>
      </w:r>
      <w:r w:rsidR="00680BB5" w:rsidRPr="00967AC5">
        <w:rPr>
          <w:rFonts w:eastAsia="Calibri"/>
        </w:rPr>
        <w:t>[24]</w:t>
      </w:r>
      <w:r w:rsidR="00280D01" w:rsidRPr="00967AC5">
        <w:rPr>
          <w:rFonts w:eastAsia="Calibri"/>
        </w:rPr>
        <w:fldChar w:fldCharType="end"/>
      </w:r>
      <w:r w:rsidR="00280D01" w:rsidRPr="00967AC5">
        <w:rPr>
          <w:rFonts w:eastAsia="Calibri"/>
        </w:rPr>
        <w:t xml:space="preserve"> </w:t>
      </w:r>
      <w:r w:rsidRPr="00967AC5">
        <w:rPr>
          <w:rFonts w:eastAsia="Calibri"/>
        </w:rPr>
        <w:t xml:space="preserve">clearly states that AAS BS does not support </w:t>
      </w:r>
      <w:r w:rsidR="00A864EA" w:rsidRPr="00967AC5">
        <w:rPr>
          <w:rFonts w:eastAsia="Calibri"/>
        </w:rPr>
        <w:t xml:space="preserve">either </w:t>
      </w:r>
      <w:r w:rsidRPr="00967AC5">
        <w:rPr>
          <w:rFonts w:eastAsia="Calibri"/>
        </w:rPr>
        <w:t xml:space="preserve">GSM operation or NB-IoT. For </w:t>
      </w:r>
      <w:r w:rsidR="008D515E" w:rsidRPr="00967AC5">
        <w:rPr>
          <w:rFonts w:eastAsia="Calibri"/>
        </w:rPr>
        <w:t xml:space="preserve">this case </w:t>
      </w:r>
      <w:r w:rsidRPr="00967AC5">
        <w:rPr>
          <w:rFonts w:eastAsia="Calibri"/>
        </w:rPr>
        <w:t>an optional limit based on 5</w:t>
      </w:r>
      <w:r w:rsidR="00DD5086" w:rsidRPr="00967AC5">
        <w:rPr>
          <w:rFonts w:eastAsia="Calibri"/>
        </w:rPr>
        <w:t> </w:t>
      </w:r>
      <w:r w:rsidRPr="00967AC5">
        <w:rPr>
          <w:rFonts w:eastAsia="Calibri"/>
        </w:rPr>
        <w:t xml:space="preserve">MHz </w:t>
      </w:r>
      <w:r w:rsidR="00F250E9" w:rsidRPr="00967AC5">
        <w:rPr>
          <w:rFonts w:eastAsia="Calibri"/>
        </w:rPr>
        <w:t>b</w:t>
      </w:r>
      <w:r w:rsidRPr="00967AC5">
        <w:rPr>
          <w:rFonts w:eastAsia="Calibri"/>
        </w:rPr>
        <w:t>lock/</w:t>
      </w:r>
      <w:r w:rsidR="00F250E9" w:rsidRPr="00967AC5">
        <w:rPr>
          <w:rFonts w:eastAsia="Calibri"/>
        </w:rPr>
        <w:t>c</w:t>
      </w:r>
      <w:r w:rsidRPr="00967AC5">
        <w:rPr>
          <w:rFonts w:eastAsia="Calibri"/>
        </w:rPr>
        <w:t>arrier</w:t>
      </w:r>
      <w:r w:rsidR="008D515E" w:rsidRPr="00967AC5">
        <w:rPr>
          <w:rFonts w:eastAsia="Calibri"/>
        </w:rPr>
        <w:t xml:space="preserve"> is proposed</w:t>
      </w:r>
      <w:r w:rsidRPr="00967AC5">
        <w:rPr>
          <w:rFonts w:eastAsia="Calibri"/>
        </w:rPr>
        <w:t>.</w:t>
      </w:r>
    </w:p>
    <w:p w14:paraId="0FB05604" w14:textId="5CF587CA" w:rsidR="00916CDF" w:rsidRPr="00967AC5" w:rsidRDefault="005233D5" w:rsidP="00B123BC">
      <w:pPr>
        <w:pStyle w:val="Caption"/>
        <w:keepNext/>
        <w:rPr>
          <w:lang w:val="en-GB"/>
        </w:rPr>
      </w:pPr>
      <w:bookmarkStart w:id="96" w:name="_Ref50625558"/>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2</w:t>
      </w:r>
      <w:r w:rsidRPr="00967AC5">
        <w:rPr>
          <w:lang w:val="en-GB"/>
        </w:rPr>
        <w:fldChar w:fldCharType="end"/>
      </w:r>
      <w:bookmarkEnd w:id="96"/>
      <w:r w:rsidRPr="00967AC5">
        <w:rPr>
          <w:lang w:val="en-GB"/>
        </w:rPr>
        <w:t xml:space="preserve">: </w:t>
      </w:r>
      <w:r w:rsidR="00B123BC" w:rsidRPr="00967AC5">
        <w:rPr>
          <w:lang w:val="en-GB"/>
        </w:rPr>
        <w:t xml:space="preserve">Base Station </w:t>
      </w:r>
      <w:r w:rsidR="00E736B9" w:rsidRPr="00967AC5">
        <w:rPr>
          <w:lang w:val="en-GB"/>
        </w:rPr>
        <w:t>i</w:t>
      </w:r>
      <w:r w:rsidRPr="00967AC5">
        <w:rPr>
          <w:lang w:val="en-GB"/>
        </w:rPr>
        <w:t xml:space="preserve">n-block </w:t>
      </w:r>
      <w:r w:rsidR="00111200" w:rsidRPr="00967AC5">
        <w:rPr>
          <w:lang w:val="en-GB"/>
        </w:rPr>
        <w:t xml:space="preserve">power </w:t>
      </w:r>
      <w:r w:rsidR="00B123BC" w:rsidRPr="00967AC5">
        <w:rPr>
          <w:lang w:val="en-GB"/>
        </w:rPr>
        <w:t>limits</w:t>
      </w:r>
      <w:r w:rsidR="00451227" w:rsidRPr="00967AC5">
        <w:rPr>
          <w:lang w:val="en-GB"/>
        </w:rPr>
        <w:t xml:space="preserve"> for </w:t>
      </w:r>
      <w:r w:rsidRPr="00967AC5">
        <w:rPr>
          <w:lang w:val="en-GB"/>
        </w:rPr>
        <w:t xml:space="preserve">non-AAS and AAS </w:t>
      </w:r>
    </w:p>
    <w:tbl>
      <w:tblPr>
        <w:tblStyle w:val="ECCTable-redheader"/>
        <w:tblW w:w="5000" w:type="pct"/>
        <w:tblInd w:w="0" w:type="dxa"/>
        <w:tblLook w:val="01E0" w:firstRow="1" w:lastRow="1" w:firstColumn="1" w:lastColumn="1" w:noHBand="0" w:noVBand="0"/>
      </w:tblPr>
      <w:tblGrid>
        <w:gridCol w:w="1554"/>
        <w:gridCol w:w="4678"/>
        <w:gridCol w:w="3397"/>
      </w:tblGrid>
      <w:tr w:rsidR="001C6532" w:rsidRPr="00967AC5" w14:paraId="34649047" w14:textId="77777777" w:rsidTr="001C6532">
        <w:trPr>
          <w:cnfStyle w:val="100000000000" w:firstRow="1" w:lastRow="0" w:firstColumn="0" w:lastColumn="0" w:oddVBand="0" w:evenVBand="0" w:oddHBand="0" w:evenHBand="0" w:firstRowFirstColumn="0" w:firstRowLastColumn="0" w:lastRowFirstColumn="0" w:lastRowLastColumn="0"/>
          <w:trHeight w:val="518"/>
        </w:trPr>
        <w:tc>
          <w:tcPr>
            <w:tcW w:w="807" w:type="pct"/>
            <w:tcBorders>
              <w:top w:val="single" w:sz="4" w:space="0" w:color="FFFFFF" w:themeColor="background1"/>
              <w:left w:val="single" w:sz="4" w:space="0" w:color="FFFFFF" w:themeColor="background1"/>
              <w:bottom w:val="single" w:sz="4" w:space="0" w:color="FFFFFF" w:themeColor="background1"/>
            </w:tcBorders>
          </w:tcPr>
          <w:p w14:paraId="55B49A96" w14:textId="77777777" w:rsidR="001C6532" w:rsidRPr="00967AC5" w:rsidRDefault="001C6532" w:rsidP="005233D5">
            <w:pPr>
              <w:pStyle w:val="ECCTableHeaderwhitefont"/>
              <w:rPr>
                <w:lang w:val="en-GB"/>
              </w:rPr>
            </w:pPr>
            <w:r w:rsidRPr="00967AC5">
              <w:rPr>
                <w:lang w:val="en-GB"/>
              </w:rPr>
              <w:t>BEM element</w:t>
            </w:r>
          </w:p>
        </w:tc>
        <w:tc>
          <w:tcPr>
            <w:tcW w:w="2429" w:type="pct"/>
            <w:tcBorders>
              <w:top w:val="single" w:sz="4" w:space="0" w:color="FFFFFF" w:themeColor="background1"/>
              <w:bottom w:val="single" w:sz="4" w:space="0" w:color="FFFFFF" w:themeColor="background1"/>
            </w:tcBorders>
          </w:tcPr>
          <w:p w14:paraId="3E641FD7" w14:textId="77777777" w:rsidR="001C6532" w:rsidRPr="00967AC5" w:rsidRDefault="001C6532" w:rsidP="005233D5">
            <w:pPr>
              <w:pStyle w:val="ECCTableHeaderwhitefont"/>
              <w:rPr>
                <w:lang w:val="en-GB"/>
              </w:rPr>
            </w:pPr>
            <w:r w:rsidRPr="00967AC5">
              <w:rPr>
                <w:lang w:val="en-GB"/>
              </w:rPr>
              <w:t>Non-AAS e.i.r.p.</w:t>
            </w:r>
          </w:p>
        </w:tc>
        <w:tc>
          <w:tcPr>
            <w:tcW w:w="1764" w:type="pct"/>
            <w:tcBorders>
              <w:top w:val="single" w:sz="4" w:space="0" w:color="FFFFFF" w:themeColor="background1"/>
              <w:bottom w:val="single" w:sz="4" w:space="0" w:color="FFFFFF" w:themeColor="background1"/>
              <w:right w:val="single" w:sz="4" w:space="0" w:color="FFFFFF" w:themeColor="background1"/>
            </w:tcBorders>
          </w:tcPr>
          <w:p w14:paraId="22265A57" w14:textId="77777777" w:rsidR="001C6532" w:rsidRPr="00967AC5" w:rsidRDefault="001C6532" w:rsidP="005233D5">
            <w:pPr>
              <w:pStyle w:val="ECCTableHeaderwhitefont"/>
              <w:rPr>
                <w:lang w:val="en-GB"/>
              </w:rPr>
            </w:pPr>
            <w:r w:rsidRPr="00967AC5">
              <w:rPr>
                <w:lang w:val="en-GB"/>
              </w:rPr>
              <w:t>AAS TRP power limit</w:t>
            </w:r>
            <w:r w:rsidRPr="00967AC5">
              <w:rPr>
                <w:lang w:val="en-GB"/>
              </w:rPr>
              <w:br/>
              <w:t>(for 1800 MHz band AAS)</w:t>
            </w:r>
          </w:p>
        </w:tc>
      </w:tr>
      <w:tr w:rsidR="001C6532" w:rsidRPr="00967AC5" w14:paraId="70150210" w14:textId="77777777" w:rsidTr="001C6532">
        <w:trPr>
          <w:trHeight w:val="1308"/>
        </w:trPr>
        <w:tc>
          <w:tcPr>
            <w:tcW w:w="807" w:type="pct"/>
            <w:tcBorders>
              <w:top w:val="single" w:sz="4" w:space="0" w:color="FFFFFF" w:themeColor="background1"/>
            </w:tcBorders>
          </w:tcPr>
          <w:p w14:paraId="10FFB103" w14:textId="77777777" w:rsidR="001C6532" w:rsidRPr="00967AC5" w:rsidRDefault="001C6532" w:rsidP="005233D5">
            <w:pPr>
              <w:pStyle w:val="ECCTabletext"/>
              <w:jc w:val="left"/>
            </w:pPr>
            <w:r w:rsidRPr="00967AC5">
              <w:t>In-block</w:t>
            </w:r>
          </w:p>
        </w:tc>
        <w:tc>
          <w:tcPr>
            <w:tcW w:w="2429" w:type="pct"/>
            <w:tcBorders>
              <w:top w:val="single" w:sz="4" w:space="0" w:color="FFFFFF" w:themeColor="background1"/>
            </w:tcBorders>
          </w:tcPr>
          <w:p w14:paraId="124998D7" w14:textId="77777777" w:rsidR="001C6532" w:rsidRPr="00967AC5" w:rsidRDefault="001C6532" w:rsidP="005233D5">
            <w:pPr>
              <w:pStyle w:val="ECCTabletext"/>
              <w:jc w:val="left"/>
            </w:pPr>
            <w:r w:rsidRPr="00967AC5">
              <w:t>Not obligatory.</w:t>
            </w:r>
          </w:p>
          <w:p w14:paraId="2C79224F" w14:textId="4A56A802" w:rsidR="001C6532" w:rsidRPr="00967AC5" w:rsidRDefault="001C6532" w:rsidP="00DD5086">
            <w:pPr>
              <w:pStyle w:val="ECCTabletext"/>
              <w:jc w:val="left"/>
            </w:pPr>
            <w:r w:rsidRPr="00967AC5">
              <w:t>In case an upper bound is desired by an administration, a value of 63-67 dBm/(5 MHz) per antenna may be applied for wideband systems and a value of 60-69 dBm/(200 kHz) per antenna may be applied for narrowband systems</w:t>
            </w:r>
          </w:p>
        </w:tc>
        <w:tc>
          <w:tcPr>
            <w:tcW w:w="1764" w:type="pct"/>
            <w:tcBorders>
              <w:top w:val="single" w:sz="4" w:space="0" w:color="FFFFFF" w:themeColor="background1"/>
            </w:tcBorders>
          </w:tcPr>
          <w:p w14:paraId="3E25FF00" w14:textId="77777777" w:rsidR="001C6532" w:rsidRPr="00967AC5" w:rsidRDefault="001C6532" w:rsidP="005233D5">
            <w:pPr>
              <w:pStyle w:val="ECCTabletext"/>
              <w:jc w:val="left"/>
            </w:pPr>
            <w:r w:rsidRPr="00967AC5">
              <w:t>Not obligatory.</w:t>
            </w:r>
          </w:p>
          <w:p w14:paraId="52B475B8" w14:textId="792DC5F4" w:rsidR="001C6532" w:rsidRPr="00967AC5" w:rsidRDefault="001C6532" w:rsidP="005233D5">
            <w:pPr>
              <w:pStyle w:val="ECCTabletext"/>
              <w:jc w:val="left"/>
            </w:pPr>
            <w:r w:rsidRPr="00967AC5">
              <w:t>In case an upper bound is desired by an administration, a value of 58 dBm/(5 MHz) per cell (note 1) may be applied.</w:t>
            </w:r>
          </w:p>
        </w:tc>
      </w:tr>
    </w:tbl>
    <w:p w14:paraId="69E04B96" w14:textId="77777777" w:rsidR="003D27FD" w:rsidRPr="00967AC5" w:rsidRDefault="003D27FD" w:rsidP="003D27FD">
      <w:pPr>
        <w:spacing w:before="240" w:after="60"/>
        <w:jc w:val="both"/>
        <w:rPr>
          <w:rStyle w:val="ECCHLbold"/>
          <w:rFonts w:eastAsia="Calibri"/>
          <w:lang w:val="en-GB"/>
        </w:rPr>
      </w:pPr>
      <w:r w:rsidRPr="00967AC5">
        <w:rPr>
          <w:rStyle w:val="ECCHLbold"/>
          <w:rFonts w:eastAsia="Calibri"/>
          <w:lang w:val="en-GB"/>
        </w:rPr>
        <w:t>Terminal Station in-block requirement</w:t>
      </w:r>
    </w:p>
    <w:p w14:paraId="7D6F9236" w14:textId="7A266F28" w:rsidR="002157FF" w:rsidRPr="00967AC5" w:rsidRDefault="007E2191" w:rsidP="00CF5D1B">
      <w:pPr>
        <w:pStyle w:val="ECCParagraph"/>
        <w:rPr>
          <w:rFonts w:eastAsia="Calibri"/>
        </w:rPr>
      </w:pPr>
      <w:r w:rsidRPr="00967AC5">
        <w:rPr>
          <w:rFonts w:eastAsia="Calibri"/>
        </w:rPr>
        <w:t xml:space="preserve">As for the technical condition for </w:t>
      </w:r>
      <w:r w:rsidR="009A5B40" w:rsidRPr="00967AC5">
        <w:rPr>
          <w:rFonts w:eastAsia="Calibri"/>
        </w:rPr>
        <w:t>terminal s</w:t>
      </w:r>
      <w:r w:rsidR="00BB6969" w:rsidRPr="00967AC5">
        <w:rPr>
          <w:rFonts w:eastAsia="Calibri"/>
        </w:rPr>
        <w:t xml:space="preserve">tations </w:t>
      </w:r>
      <w:r w:rsidRPr="00967AC5">
        <w:rPr>
          <w:rFonts w:eastAsia="Calibri"/>
        </w:rPr>
        <w:t xml:space="preserve">it is recommended that the in-block TRP for mobile </w:t>
      </w:r>
      <w:r w:rsidR="009A5B40" w:rsidRPr="00967AC5">
        <w:rPr>
          <w:rFonts w:eastAsia="Calibri"/>
        </w:rPr>
        <w:t>t</w:t>
      </w:r>
      <w:r w:rsidR="00BB6969" w:rsidRPr="00967AC5">
        <w:rPr>
          <w:rFonts w:eastAsia="Calibri"/>
        </w:rPr>
        <w:t xml:space="preserve">erminal </w:t>
      </w:r>
      <w:r w:rsidR="009A5B40" w:rsidRPr="00967AC5">
        <w:rPr>
          <w:rFonts w:eastAsia="Calibri"/>
        </w:rPr>
        <w:t>s</w:t>
      </w:r>
      <w:r w:rsidR="00BB6969" w:rsidRPr="00967AC5">
        <w:rPr>
          <w:rFonts w:eastAsia="Calibri"/>
        </w:rPr>
        <w:t xml:space="preserve">tations </w:t>
      </w:r>
      <w:r w:rsidRPr="00967AC5">
        <w:rPr>
          <w:rFonts w:eastAsia="Calibri"/>
        </w:rPr>
        <w:t xml:space="preserve">does not exceed </w:t>
      </w:r>
      <w:r w:rsidR="00E21A8D" w:rsidRPr="00967AC5">
        <w:rPr>
          <w:rFonts w:eastAsia="Calibri"/>
        </w:rPr>
        <w:t>25</w:t>
      </w:r>
      <w:r w:rsidRPr="00967AC5">
        <w:rPr>
          <w:rFonts w:eastAsia="Calibri"/>
        </w:rPr>
        <w:t xml:space="preserve"> dBm. </w:t>
      </w:r>
      <w:r w:rsidR="00160375" w:rsidRPr="00967AC5">
        <w:t xml:space="preserve">This is based on </w:t>
      </w:r>
      <w:r w:rsidR="00160375" w:rsidRPr="00967AC5">
        <w:rPr>
          <w:rFonts w:eastAsia="Calibri"/>
          <w:szCs w:val="22"/>
        </w:rPr>
        <w:t>relevant ETSI TS core requirements</w:t>
      </w:r>
      <w:r w:rsidR="00160375" w:rsidRPr="00967AC5">
        <w:t xml:space="preserve"> for terminal stations</w:t>
      </w:r>
      <w:r w:rsidR="00BA477E" w:rsidRPr="00967AC5">
        <w:rPr>
          <w:rStyle w:val="FootnoteReference"/>
        </w:rPr>
        <w:footnoteReference w:id="9"/>
      </w:r>
      <w:r w:rsidR="00160375" w:rsidRPr="00967AC5">
        <w:t>.</w:t>
      </w:r>
    </w:p>
    <w:p w14:paraId="5CC0A503" w14:textId="2F835149" w:rsidR="007E2191" w:rsidRPr="00967AC5" w:rsidRDefault="007E2191" w:rsidP="00CF5D1B">
      <w:pPr>
        <w:pStyle w:val="ECCParagraph"/>
        <w:rPr>
          <w:rFonts w:eastAsia="Calibri"/>
        </w:rPr>
      </w:pPr>
      <w:r w:rsidRPr="00967AC5">
        <w:rPr>
          <w:rFonts w:eastAsia="Calibri"/>
        </w:rPr>
        <w:t xml:space="preserve">The in-block radiated power limit for fixed/nomadic </w:t>
      </w:r>
      <w:r w:rsidR="009A5B40" w:rsidRPr="00967AC5">
        <w:rPr>
          <w:rFonts w:eastAsia="Calibri"/>
        </w:rPr>
        <w:t>t</w:t>
      </w:r>
      <w:r w:rsidR="00BB6969" w:rsidRPr="00967AC5">
        <w:rPr>
          <w:rFonts w:eastAsia="Calibri"/>
        </w:rPr>
        <w:t xml:space="preserve">erminal </w:t>
      </w:r>
      <w:r w:rsidR="009A5B40" w:rsidRPr="00967AC5">
        <w:rPr>
          <w:rFonts w:eastAsia="Calibri"/>
        </w:rPr>
        <w:t>s</w:t>
      </w:r>
      <w:r w:rsidR="00BB6969" w:rsidRPr="00967AC5">
        <w:rPr>
          <w:rFonts w:eastAsia="Calibri"/>
        </w:rPr>
        <w:t xml:space="preserve">tations </w:t>
      </w:r>
      <w:r w:rsidRPr="00967AC5">
        <w:rPr>
          <w:rFonts w:eastAsia="Calibri"/>
        </w:rPr>
        <w:t>may be agreed on a national basis.</w:t>
      </w:r>
    </w:p>
    <w:p w14:paraId="0E73741E" w14:textId="67F7F5FB" w:rsidR="00527AF5" w:rsidRPr="00967AC5" w:rsidRDefault="00527AF5" w:rsidP="00205129">
      <w:pPr>
        <w:pStyle w:val="Caption"/>
        <w:keepNext/>
        <w:rPr>
          <w:lang w:val="en-GB"/>
        </w:rPr>
      </w:pPr>
      <w:bookmarkStart w:id="97" w:name="_Ref50625584"/>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3</w:t>
      </w:r>
      <w:r w:rsidRPr="00967AC5">
        <w:rPr>
          <w:lang w:val="en-GB"/>
        </w:rPr>
        <w:fldChar w:fldCharType="end"/>
      </w:r>
      <w:bookmarkEnd w:id="97"/>
      <w:r w:rsidRPr="00967AC5">
        <w:rPr>
          <w:lang w:val="en-GB"/>
        </w:rPr>
        <w:t>: In-block power limits for Terminal Stations</w:t>
      </w:r>
    </w:p>
    <w:tbl>
      <w:tblPr>
        <w:tblW w:w="4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539"/>
        <w:gridCol w:w="5248"/>
      </w:tblGrid>
      <w:tr w:rsidR="002505BC" w:rsidRPr="00967AC5" w14:paraId="70A0A025" w14:textId="77777777" w:rsidTr="00BB6F57">
        <w:trPr>
          <w:tblHeader/>
          <w:jc w:val="center"/>
        </w:trPr>
        <w:tc>
          <w:tcPr>
            <w:tcW w:w="2014" w:type="pct"/>
            <w:tcBorders>
              <w:top w:val="single" w:sz="4" w:space="0" w:color="D2232A"/>
              <w:left w:val="single" w:sz="4" w:space="0" w:color="D2232A"/>
              <w:bottom w:val="single" w:sz="4" w:space="0" w:color="D2232A"/>
              <w:right w:val="single" w:sz="4" w:space="0" w:color="FFFFFF"/>
            </w:tcBorders>
            <w:shd w:val="clear" w:color="auto" w:fill="D2232A"/>
            <w:vAlign w:val="center"/>
          </w:tcPr>
          <w:p w14:paraId="7E3A552C" w14:textId="77777777" w:rsidR="00527AF5" w:rsidRPr="00967AC5" w:rsidRDefault="00527AF5" w:rsidP="002505BC">
            <w:pPr>
              <w:pStyle w:val="ECCTableHeaderwhitefont"/>
              <w:keepNext/>
              <w:rPr>
                <w:b/>
              </w:rPr>
            </w:pPr>
            <w:r w:rsidRPr="00967AC5">
              <w:rPr>
                <w:b/>
              </w:rPr>
              <w:t>BEM element</w:t>
            </w:r>
          </w:p>
        </w:tc>
        <w:tc>
          <w:tcPr>
            <w:tcW w:w="2986" w:type="pct"/>
            <w:tcBorders>
              <w:top w:val="single" w:sz="4" w:space="0" w:color="D2232A"/>
              <w:left w:val="single" w:sz="4" w:space="0" w:color="FFFFFF"/>
              <w:bottom w:val="single" w:sz="4" w:space="0" w:color="D2232A"/>
              <w:right w:val="single" w:sz="4" w:space="0" w:color="D2232A"/>
            </w:tcBorders>
            <w:shd w:val="clear" w:color="auto" w:fill="D2232A"/>
            <w:vAlign w:val="center"/>
          </w:tcPr>
          <w:p w14:paraId="1EE2749E" w14:textId="2EA48596" w:rsidR="00527AF5" w:rsidRPr="00967AC5" w:rsidRDefault="00527AF5" w:rsidP="002505BC">
            <w:pPr>
              <w:pStyle w:val="ECCTableHeaderwhitefont"/>
              <w:keepNext/>
              <w:rPr>
                <w:b/>
              </w:rPr>
            </w:pPr>
            <w:r w:rsidRPr="00967AC5">
              <w:rPr>
                <w:b/>
              </w:rPr>
              <w:t>Maximum mean power</w:t>
            </w:r>
            <w:r w:rsidR="00BC01B5" w:rsidRPr="00967AC5">
              <w:rPr>
                <w:b/>
              </w:rPr>
              <w:t xml:space="preserve"> </w:t>
            </w:r>
            <w:r w:rsidR="00BC01B5" w:rsidRPr="00967AC5">
              <w:rPr>
                <w:b/>
                <w:bCs w:val="0"/>
              </w:rPr>
              <w:t xml:space="preserve">(note </w:t>
            </w:r>
            <w:r w:rsidR="00BC01B5" w:rsidRPr="00967AC5">
              <w:rPr>
                <w:b/>
              </w:rPr>
              <w:t>1)</w:t>
            </w:r>
          </w:p>
        </w:tc>
      </w:tr>
      <w:tr w:rsidR="002505BC" w:rsidRPr="00967AC5" w14:paraId="26469D86" w14:textId="77777777" w:rsidTr="002505BC">
        <w:trPr>
          <w:jc w:val="center"/>
        </w:trPr>
        <w:tc>
          <w:tcPr>
            <w:tcW w:w="2014" w:type="pct"/>
            <w:tcBorders>
              <w:top w:val="single" w:sz="4" w:space="0" w:color="D2232A"/>
              <w:left w:val="single" w:sz="4" w:space="0" w:color="D2232A"/>
              <w:bottom w:val="single" w:sz="4" w:space="0" w:color="D2232A"/>
              <w:right w:val="single" w:sz="4" w:space="0" w:color="D2232A"/>
            </w:tcBorders>
            <w:vAlign w:val="center"/>
          </w:tcPr>
          <w:p w14:paraId="5D2CA7F9" w14:textId="77777777" w:rsidR="00527AF5" w:rsidRPr="00967AC5" w:rsidRDefault="00527AF5" w:rsidP="002505BC">
            <w:pPr>
              <w:pStyle w:val="ECCTabletext"/>
              <w:keepNext/>
            </w:pPr>
            <w:r w:rsidRPr="00967AC5">
              <w:t xml:space="preserve">In-block </w:t>
            </w:r>
          </w:p>
        </w:tc>
        <w:tc>
          <w:tcPr>
            <w:tcW w:w="2986" w:type="pct"/>
            <w:tcBorders>
              <w:top w:val="single" w:sz="4" w:space="0" w:color="D2232A"/>
              <w:left w:val="single" w:sz="4" w:space="0" w:color="D2232A"/>
              <w:bottom w:val="single" w:sz="4" w:space="0" w:color="D2232A"/>
              <w:right w:val="single" w:sz="4" w:space="0" w:color="D2232A"/>
            </w:tcBorders>
            <w:vAlign w:val="center"/>
          </w:tcPr>
          <w:p w14:paraId="1534D11A" w14:textId="6D69D83A" w:rsidR="00527AF5" w:rsidRPr="00967AC5" w:rsidRDefault="00E21A8D" w:rsidP="000D5630">
            <w:pPr>
              <w:pStyle w:val="ECCTabletext"/>
            </w:pPr>
            <w:r w:rsidRPr="00967AC5">
              <w:t>25</w:t>
            </w:r>
            <w:r w:rsidR="00527AF5" w:rsidRPr="00967AC5">
              <w:t> dBm</w:t>
            </w:r>
            <w:r w:rsidR="00571FD5" w:rsidRPr="00967AC5">
              <w:t xml:space="preserve"> (</w:t>
            </w:r>
            <w:r w:rsidR="00E40DEF" w:rsidRPr="00967AC5">
              <w:t xml:space="preserve">note </w:t>
            </w:r>
            <w:r w:rsidR="00571FD5" w:rsidRPr="00967AC5">
              <w:t>2)</w:t>
            </w:r>
          </w:p>
        </w:tc>
      </w:tr>
      <w:tr w:rsidR="00A42AE9" w:rsidRPr="00967AC5" w14:paraId="2BCB3ABB" w14:textId="77777777" w:rsidTr="002505BC">
        <w:trPr>
          <w:jc w:val="center"/>
        </w:trPr>
        <w:tc>
          <w:tcPr>
            <w:tcW w:w="5000" w:type="pct"/>
            <w:gridSpan w:val="2"/>
            <w:tcBorders>
              <w:top w:val="single" w:sz="4" w:space="0" w:color="D2232A"/>
              <w:left w:val="single" w:sz="4" w:space="0" w:color="D2232A"/>
              <w:bottom w:val="single" w:sz="4" w:space="0" w:color="D2232A"/>
              <w:right w:val="single" w:sz="4" w:space="0" w:color="D2232A"/>
            </w:tcBorders>
            <w:vAlign w:val="center"/>
          </w:tcPr>
          <w:p w14:paraId="464D703A" w14:textId="2462BB21" w:rsidR="00160375" w:rsidRPr="00967AC5" w:rsidRDefault="006178FC" w:rsidP="002505BC">
            <w:pPr>
              <w:pStyle w:val="ECCTablenote"/>
            </w:pPr>
            <w:r w:rsidRPr="00967AC5">
              <w:t>Note 1</w:t>
            </w:r>
            <w:r w:rsidR="00840B05" w:rsidRPr="00967AC5">
              <w:t>.</w:t>
            </w:r>
            <w:r w:rsidR="00527AF5" w:rsidRPr="00967AC5">
              <w:t xml:space="preserve"> The </w:t>
            </w:r>
            <w:r w:rsidR="007E2191" w:rsidRPr="00967AC5">
              <w:t xml:space="preserve">recommended </w:t>
            </w:r>
            <w:r w:rsidR="00527AF5" w:rsidRPr="00967AC5">
              <w:t xml:space="preserve">power limit </w:t>
            </w:r>
            <w:r w:rsidR="007E2191" w:rsidRPr="00967AC5">
              <w:t>above for mobile terminal</w:t>
            </w:r>
            <w:r w:rsidR="00BB6969" w:rsidRPr="00967AC5">
              <w:t xml:space="preserve"> </w:t>
            </w:r>
            <w:r w:rsidR="00E6462E" w:rsidRPr="00967AC5">
              <w:t>s</w:t>
            </w:r>
            <w:r w:rsidR="00BB6969" w:rsidRPr="00967AC5">
              <w:t>tation</w:t>
            </w:r>
            <w:r w:rsidR="007E2191" w:rsidRPr="00967AC5">
              <w:t xml:space="preserve">s is specified as TRP. The in-block radiated power limit for fixed/nomadic </w:t>
            </w:r>
            <w:r w:rsidR="00E6462E" w:rsidRPr="00967AC5">
              <w:t>t</w:t>
            </w:r>
            <w:r w:rsidR="00BB6969" w:rsidRPr="00967AC5">
              <w:t xml:space="preserve">erminal </w:t>
            </w:r>
            <w:r w:rsidR="00E6462E" w:rsidRPr="00967AC5">
              <w:t>s</w:t>
            </w:r>
            <w:r w:rsidR="00BB6969" w:rsidRPr="00967AC5">
              <w:t xml:space="preserve">tations </w:t>
            </w:r>
            <w:r w:rsidR="007E2191" w:rsidRPr="00967AC5">
              <w:t xml:space="preserve">may be agreed on a national basis provided that protection of other services, networks and applications is not </w:t>
            </w:r>
            <w:proofErr w:type="gramStart"/>
            <w:r w:rsidR="007E2191" w:rsidRPr="00967AC5">
              <w:t>compromised</w:t>
            </w:r>
            <w:proofErr w:type="gramEnd"/>
            <w:r w:rsidR="007E2191" w:rsidRPr="00967AC5">
              <w:t xml:space="preserve"> and cross-border obligations are fulfilled.</w:t>
            </w:r>
          </w:p>
          <w:p w14:paraId="7E15F7AA" w14:textId="06CED1B9" w:rsidR="00527AF5" w:rsidRPr="00967AC5" w:rsidRDefault="00E40DEF" w:rsidP="00BB6F57">
            <w:pPr>
              <w:pStyle w:val="ECCTablenote"/>
            </w:pPr>
            <w:r w:rsidRPr="00967AC5">
              <w:t>Note 2</w:t>
            </w:r>
            <w:r w:rsidR="00840B05" w:rsidRPr="00967AC5">
              <w:t xml:space="preserve">. </w:t>
            </w:r>
            <w:r w:rsidR="00160375" w:rsidRPr="00967AC5">
              <w:t xml:space="preserve">It is recognised </w:t>
            </w:r>
            <w:proofErr w:type="spellStart"/>
            <w:r w:rsidR="00160375" w:rsidRPr="00967AC5">
              <w:t>thata</w:t>
            </w:r>
            <w:proofErr w:type="spellEnd"/>
            <w:r w:rsidR="00160375" w:rsidRPr="00967AC5">
              <w:t xml:space="preserve"> possible tolerance of up to +2 </w:t>
            </w:r>
            <w:proofErr w:type="spellStart"/>
            <w:r w:rsidR="00160375" w:rsidRPr="00967AC5">
              <w:t>dB</w:t>
            </w:r>
            <w:r w:rsidR="00411909" w:rsidRPr="00967AC5">
              <w:t>is</w:t>
            </w:r>
            <w:proofErr w:type="spellEnd"/>
            <w:r w:rsidR="00160375" w:rsidRPr="00967AC5">
              <w:t xml:space="preserve"> included</w:t>
            </w:r>
            <w:r w:rsidR="00916CDF" w:rsidRPr="00967AC5">
              <w:t xml:space="preserve"> </w:t>
            </w:r>
            <w:r w:rsidR="00411909" w:rsidRPr="00967AC5">
              <w:t>in this value</w:t>
            </w:r>
            <w:r w:rsidR="00160375" w:rsidRPr="00967AC5">
              <w:t xml:space="preserve">, to take account of operation under extreme environmental conditions and production spread. </w:t>
            </w:r>
            <w:r w:rsidR="00EC6D0E" w:rsidRPr="00967AC5">
              <w:t>This value does not include test tolerance.</w:t>
            </w:r>
          </w:p>
        </w:tc>
      </w:tr>
    </w:tbl>
    <w:p w14:paraId="40B6E164" w14:textId="72A4F12A" w:rsidR="00160375" w:rsidRPr="00967AC5" w:rsidRDefault="00160375" w:rsidP="00A07F6B">
      <w:pPr>
        <w:pStyle w:val="ECCParagraph"/>
        <w:spacing w:before="240"/>
      </w:pPr>
      <w:r w:rsidRPr="00967AC5">
        <w:t xml:space="preserve">CEPT </w:t>
      </w:r>
      <w:r w:rsidR="00F114D1" w:rsidRPr="00967AC5">
        <w:t xml:space="preserve">recognises </w:t>
      </w:r>
      <w:r w:rsidRPr="00967AC5">
        <w:t>that ETSI HS that are referred to in the annex of ECC/EC decision today are based on conformance requirements (including test tolerance) and CEPT assumes that ETSI will continue using conformance requirements when developing ETSI HS in the future (including necessary test tolerance).</w:t>
      </w:r>
    </w:p>
    <w:p w14:paraId="3B32999B" w14:textId="47504F6B" w:rsidR="00527AF5" w:rsidRPr="00967AC5" w:rsidRDefault="00527AF5" w:rsidP="00D94FF6">
      <w:pPr>
        <w:pStyle w:val="ECCParagraph"/>
      </w:pPr>
      <w:r w:rsidRPr="00967AC5">
        <w:t xml:space="preserve">Member States may relax the limit set out in </w:t>
      </w:r>
      <w:r w:rsidR="007B0B34" w:rsidRPr="00967AC5">
        <w:fldChar w:fldCharType="begin"/>
      </w:r>
      <w:r w:rsidR="007B0B34" w:rsidRPr="00967AC5">
        <w:instrText xml:space="preserve"> REF _Ref50625584 \h </w:instrText>
      </w:r>
      <w:r w:rsidR="001C7C80" w:rsidRPr="00967AC5">
        <w:instrText xml:space="preserve"> \* MERGEFORMAT </w:instrText>
      </w:r>
      <w:r w:rsidR="007B0B34" w:rsidRPr="00967AC5">
        <w:fldChar w:fldCharType="separate"/>
      </w:r>
      <w:r w:rsidR="00680BB5" w:rsidRPr="00967AC5">
        <w:t>Table 3</w:t>
      </w:r>
      <w:r w:rsidR="007B0B34" w:rsidRPr="00967AC5">
        <w:fldChar w:fldCharType="end"/>
      </w:r>
      <w:r w:rsidRPr="00967AC5">
        <w:t xml:space="preserve"> for specific deployments, e.g. fixed terminal stations in rural areas provided that protection of other services, networks and applications is not </w:t>
      </w:r>
      <w:proofErr w:type="gramStart"/>
      <w:r w:rsidRPr="00967AC5">
        <w:t>compromised</w:t>
      </w:r>
      <w:proofErr w:type="gramEnd"/>
      <w:r w:rsidRPr="00967AC5">
        <w:t xml:space="preserve"> and cross-border obligations are fulfilled.</w:t>
      </w:r>
    </w:p>
    <w:p w14:paraId="1F3B9405" w14:textId="6F0391F6" w:rsidR="00DE242E" w:rsidRPr="00967AC5" w:rsidRDefault="00DE242E" w:rsidP="00F91806">
      <w:pPr>
        <w:pStyle w:val="Heading3"/>
        <w:rPr>
          <w:lang w:val="en-GB"/>
        </w:rPr>
      </w:pPr>
      <w:bookmarkStart w:id="98" w:name="_Toc507630553"/>
      <w:bookmarkStart w:id="99" w:name="_Toc18321628"/>
      <w:bookmarkStart w:id="100" w:name="_Toc18397851"/>
      <w:bookmarkStart w:id="101" w:name="_Ref59212907"/>
      <w:bookmarkStart w:id="102" w:name="_Ref59213070"/>
      <w:bookmarkStart w:id="103" w:name="_Toc71037819"/>
      <w:r w:rsidRPr="00967AC5">
        <w:rPr>
          <w:lang w:val="en-GB"/>
        </w:rPr>
        <w:t xml:space="preserve">Out-of-block </w:t>
      </w:r>
      <w:r w:rsidR="00520A1F" w:rsidRPr="00967AC5">
        <w:rPr>
          <w:lang w:val="en-GB"/>
        </w:rPr>
        <w:t xml:space="preserve">and </w:t>
      </w:r>
      <w:r w:rsidR="000F1F50" w:rsidRPr="00967AC5">
        <w:rPr>
          <w:lang w:val="en-GB"/>
        </w:rPr>
        <w:t>o</w:t>
      </w:r>
      <w:r w:rsidR="00520A1F" w:rsidRPr="00967AC5">
        <w:rPr>
          <w:lang w:val="en-GB"/>
        </w:rPr>
        <w:t xml:space="preserve">ut-of-band </w:t>
      </w:r>
      <w:r w:rsidRPr="00967AC5">
        <w:rPr>
          <w:lang w:val="en-GB"/>
        </w:rPr>
        <w:t>power limits</w:t>
      </w:r>
      <w:bookmarkEnd w:id="98"/>
      <w:bookmarkEnd w:id="99"/>
      <w:bookmarkEnd w:id="100"/>
      <w:bookmarkEnd w:id="101"/>
      <w:bookmarkEnd w:id="102"/>
      <w:bookmarkEnd w:id="103"/>
    </w:p>
    <w:p w14:paraId="5182C796" w14:textId="77037F41" w:rsidR="00D8132D" w:rsidRPr="00967AC5" w:rsidRDefault="00D8132D" w:rsidP="00001EB9">
      <w:pPr>
        <w:pStyle w:val="Heading4"/>
      </w:pPr>
      <w:bookmarkStart w:id="104" w:name="_Ref62053974"/>
      <w:bookmarkStart w:id="105" w:name="_Toc71037820"/>
      <w:r w:rsidRPr="00967AC5">
        <w:t xml:space="preserve">Recommended </w:t>
      </w:r>
      <w:r w:rsidR="000F1F50" w:rsidRPr="00967AC5">
        <w:t>o</w:t>
      </w:r>
      <w:r w:rsidRPr="00967AC5">
        <w:t>ut-of-block power limits</w:t>
      </w:r>
      <w:bookmarkEnd w:id="104"/>
      <w:bookmarkEnd w:id="105"/>
    </w:p>
    <w:p w14:paraId="1A10AD05" w14:textId="18E26866" w:rsidR="00BA13F3" w:rsidRPr="00967AC5" w:rsidRDefault="00BA13F3" w:rsidP="00B354BF">
      <w:pPr>
        <w:pStyle w:val="ECCParagraph"/>
        <w:rPr>
          <w:rFonts w:eastAsia="Calibri"/>
        </w:rPr>
      </w:pPr>
      <w:r w:rsidRPr="00967AC5">
        <w:rPr>
          <w:rFonts w:eastAsia="Calibri"/>
        </w:rPr>
        <w:t>The proposed technology neutral BEM</w:t>
      </w:r>
      <w:r w:rsidR="00A75525" w:rsidRPr="00967AC5">
        <w:rPr>
          <w:rFonts w:eastAsia="Calibri"/>
        </w:rPr>
        <w:t>s</w:t>
      </w:r>
      <w:r w:rsidRPr="00967AC5">
        <w:rPr>
          <w:rFonts w:eastAsia="Calibri"/>
        </w:rPr>
        <w:t xml:space="preserve"> in this </w:t>
      </w:r>
      <w:r w:rsidR="00F70F8F" w:rsidRPr="00967AC5">
        <w:rPr>
          <w:rFonts w:eastAsia="Calibri"/>
        </w:rPr>
        <w:t>R</w:t>
      </w:r>
      <w:r w:rsidRPr="00967AC5">
        <w:rPr>
          <w:rFonts w:eastAsia="Calibri"/>
        </w:rPr>
        <w:t>eport intends to have no impact on MSR non-AAS BS as defined in ETSI TS 137</w:t>
      </w:r>
      <w:r w:rsidR="00B20F57" w:rsidRPr="00967AC5">
        <w:rPr>
          <w:rFonts w:eastAsia="Calibri"/>
        </w:rPr>
        <w:t xml:space="preserve"> </w:t>
      </w:r>
      <w:r w:rsidRPr="00967AC5">
        <w:rPr>
          <w:rFonts w:eastAsia="Calibri"/>
        </w:rPr>
        <w:t xml:space="preserve">104 (version 15.10.0) </w:t>
      </w:r>
      <w:r w:rsidR="00B20F57" w:rsidRPr="00967AC5">
        <w:rPr>
          <w:rFonts w:eastAsia="Calibri"/>
        </w:rPr>
        <w:fldChar w:fldCharType="begin"/>
      </w:r>
      <w:r w:rsidR="00B20F57" w:rsidRPr="00967AC5">
        <w:rPr>
          <w:rFonts w:eastAsia="Calibri"/>
        </w:rPr>
        <w:instrText xml:space="preserve"> REF _Ref63427540 \r \h </w:instrText>
      </w:r>
      <w:r w:rsidR="00B123BC" w:rsidRPr="00967AC5">
        <w:rPr>
          <w:rFonts w:eastAsia="Calibri"/>
        </w:rPr>
        <w:instrText xml:space="preserve"> \* MERGEFORMAT </w:instrText>
      </w:r>
      <w:r w:rsidR="00B20F57" w:rsidRPr="00967AC5">
        <w:rPr>
          <w:rFonts w:eastAsia="Calibri"/>
        </w:rPr>
      </w:r>
      <w:r w:rsidR="00B20F57" w:rsidRPr="00967AC5">
        <w:rPr>
          <w:rFonts w:eastAsia="Calibri"/>
        </w:rPr>
        <w:fldChar w:fldCharType="separate"/>
      </w:r>
      <w:r w:rsidR="00680BB5" w:rsidRPr="00967AC5">
        <w:rPr>
          <w:rFonts w:eastAsia="Calibri"/>
        </w:rPr>
        <w:t>[22]</w:t>
      </w:r>
      <w:r w:rsidR="00B20F57" w:rsidRPr="00967AC5">
        <w:rPr>
          <w:rFonts w:eastAsia="Calibri"/>
        </w:rPr>
        <w:fldChar w:fldCharType="end"/>
      </w:r>
      <w:r w:rsidR="00B20F57" w:rsidRPr="00967AC5">
        <w:rPr>
          <w:rFonts w:eastAsia="Calibri"/>
        </w:rPr>
        <w:t xml:space="preserve"> </w:t>
      </w:r>
      <w:r w:rsidRPr="00967AC5">
        <w:rPr>
          <w:rFonts w:eastAsia="Calibri"/>
        </w:rPr>
        <w:t>(Table 6.6.2.2-1 and 6.6.2.2-2), and on MSR AAS BS as defined in ETSI TS 137</w:t>
      </w:r>
      <w:r w:rsidR="00B20F57" w:rsidRPr="00967AC5">
        <w:rPr>
          <w:rFonts w:eastAsia="Calibri"/>
        </w:rPr>
        <w:t xml:space="preserve"> </w:t>
      </w:r>
      <w:r w:rsidRPr="00967AC5">
        <w:rPr>
          <w:rFonts w:eastAsia="Calibri"/>
        </w:rPr>
        <w:t xml:space="preserve">105 (version 15.8.0) </w:t>
      </w:r>
      <w:r w:rsidR="00B20F57" w:rsidRPr="00967AC5">
        <w:rPr>
          <w:rFonts w:eastAsia="Calibri"/>
        </w:rPr>
        <w:fldChar w:fldCharType="begin"/>
      </w:r>
      <w:r w:rsidR="00B20F57" w:rsidRPr="00967AC5">
        <w:rPr>
          <w:rFonts w:eastAsia="Calibri"/>
        </w:rPr>
        <w:instrText xml:space="preserve"> REF _Ref63427627 \r \h </w:instrText>
      </w:r>
      <w:r w:rsidR="00B123BC" w:rsidRPr="00967AC5">
        <w:rPr>
          <w:rFonts w:eastAsia="Calibri"/>
        </w:rPr>
        <w:instrText xml:space="preserve"> \* MERGEFORMAT </w:instrText>
      </w:r>
      <w:r w:rsidR="00B20F57" w:rsidRPr="00967AC5">
        <w:rPr>
          <w:rFonts w:eastAsia="Calibri"/>
        </w:rPr>
      </w:r>
      <w:r w:rsidR="00B20F57" w:rsidRPr="00967AC5">
        <w:rPr>
          <w:rFonts w:eastAsia="Calibri"/>
        </w:rPr>
        <w:fldChar w:fldCharType="separate"/>
      </w:r>
      <w:r w:rsidR="00680BB5" w:rsidRPr="00967AC5">
        <w:rPr>
          <w:rFonts w:eastAsia="Calibri"/>
        </w:rPr>
        <w:t>[24]</w:t>
      </w:r>
      <w:r w:rsidR="00B20F57" w:rsidRPr="00967AC5">
        <w:rPr>
          <w:rFonts w:eastAsia="Calibri"/>
        </w:rPr>
        <w:fldChar w:fldCharType="end"/>
      </w:r>
      <w:r w:rsidR="00B20F57" w:rsidRPr="00967AC5">
        <w:rPr>
          <w:rFonts w:eastAsia="Calibri"/>
        </w:rPr>
        <w:t xml:space="preserve"> </w:t>
      </w:r>
      <w:r w:rsidRPr="00967AC5">
        <w:rPr>
          <w:rFonts w:eastAsia="Calibri"/>
        </w:rPr>
        <w:t xml:space="preserve">(Table 9.7.5.2.3-1 and 9.7.5.2.3-2) that were used to derive </w:t>
      </w:r>
      <w:r w:rsidR="00A75525" w:rsidRPr="00967AC5">
        <w:rPr>
          <w:rFonts w:eastAsia="Calibri"/>
        </w:rPr>
        <w:t>the BEMs</w:t>
      </w:r>
      <w:r w:rsidRPr="00967AC5">
        <w:rPr>
          <w:rFonts w:eastAsia="Calibri"/>
        </w:rPr>
        <w:t>.</w:t>
      </w:r>
    </w:p>
    <w:p w14:paraId="77B631F2" w14:textId="53A9C4CC" w:rsidR="003D27FD" w:rsidRPr="00967AC5" w:rsidRDefault="003D27FD" w:rsidP="00B123BC">
      <w:pPr>
        <w:pStyle w:val="Caption"/>
        <w:keepNext/>
        <w:rPr>
          <w:lang w:val="en-GB"/>
        </w:rPr>
      </w:pPr>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4</w:t>
      </w:r>
      <w:r w:rsidRPr="00967AC5">
        <w:rPr>
          <w:lang w:val="en-GB"/>
        </w:rPr>
        <w:fldChar w:fldCharType="end"/>
      </w:r>
      <w:r w:rsidRPr="00967AC5">
        <w:rPr>
          <w:lang w:val="en-GB"/>
        </w:rPr>
        <w:t xml:space="preserve">: </w:t>
      </w:r>
      <w:bookmarkStart w:id="106" w:name="_Hlk50622792"/>
      <w:r w:rsidR="00B123BC" w:rsidRPr="00967AC5">
        <w:rPr>
          <w:rFonts w:eastAsia="Batang"/>
          <w:lang w:val="en-GB"/>
        </w:rPr>
        <w:t xml:space="preserve">Base Station </w:t>
      </w:r>
      <w:r w:rsidRPr="00967AC5">
        <w:rPr>
          <w:rFonts w:eastAsia="Batang"/>
          <w:lang w:val="en-GB"/>
        </w:rPr>
        <w:t xml:space="preserve">Baseline </w:t>
      </w:r>
      <w:r w:rsidR="00F11245" w:rsidRPr="00967AC5">
        <w:rPr>
          <w:rFonts w:eastAsia="Batang"/>
          <w:lang w:val="en-GB"/>
        </w:rPr>
        <w:t xml:space="preserve">out-of-block </w:t>
      </w:r>
      <w:bookmarkEnd w:id="106"/>
      <w:r w:rsidR="00B123BC" w:rsidRPr="00967AC5">
        <w:rPr>
          <w:rFonts w:eastAsia="Batang"/>
          <w:lang w:val="en-GB"/>
        </w:rPr>
        <w:t xml:space="preserve">power limit </w:t>
      </w:r>
      <w:r w:rsidR="00451227" w:rsidRPr="00967AC5">
        <w:rPr>
          <w:rFonts w:eastAsia="Batang"/>
          <w:lang w:val="en-GB"/>
        </w:rPr>
        <w:t>for non-AAS and AAS</w:t>
      </w:r>
    </w:p>
    <w:tbl>
      <w:tblPr>
        <w:tblStyle w:val="ECCTable-redheader"/>
        <w:tblW w:w="5000" w:type="pct"/>
        <w:tblInd w:w="0" w:type="dxa"/>
        <w:tblLook w:val="01E0" w:firstRow="1" w:lastRow="1" w:firstColumn="1" w:lastColumn="1" w:noHBand="0" w:noVBand="0"/>
      </w:tblPr>
      <w:tblGrid>
        <w:gridCol w:w="1271"/>
        <w:gridCol w:w="3260"/>
        <w:gridCol w:w="2835"/>
        <w:gridCol w:w="2263"/>
      </w:tblGrid>
      <w:tr w:rsidR="002505BC" w:rsidRPr="00967AC5" w14:paraId="2359C594" w14:textId="77777777" w:rsidTr="00BB6F57">
        <w:trPr>
          <w:cnfStyle w:val="100000000000" w:firstRow="1" w:lastRow="0" w:firstColumn="0" w:lastColumn="0" w:oddVBand="0" w:evenVBand="0" w:oddHBand="0" w:evenHBand="0" w:firstRowFirstColumn="0" w:firstRowLastColumn="0" w:lastRowFirstColumn="0" w:lastRowLastColumn="0"/>
        </w:trPr>
        <w:tc>
          <w:tcPr>
            <w:tcW w:w="660" w:type="pct"/>
            <w:tcBorders>
              <w:top w:val="single" w:sz="4" w:space="0" w:color="FFFFFF" w:themeColor="background1"/>
              <w:left w:val="single" w:sz="4" w:space="0" w:color="FFFFFF" w:themeColor="background1"/>
              <w:bottom w:val="single" w:sz="4" w:space="0" w:color="FFFFFF" w:themeColor="background1"/>
            </w:tcBorders>
          </w:tcPr>
          <w:p w14:paraId="23A6F8FE" w14:textId="77777777" w:rsidR="005233D5" w:rsidRPr="00967AC5" w:rsidRDefault="005233D5" w:rsidP="002505BC">
            <w:pPr>
              <w:pStyle w:val="ECCTableHeaderwhitefont"/>
              <w:rPr>
                <w:lang w:val="en-GB"/>
              </w:rPr>
            </w:pPr>
            <w:r w:rsidRPr="00967AC5">
              <w:rPr>
                <w:lang w:val="en-GB"/>
              </w:rPr>
              <w:t>BEM element</w:t>
            </w:r>
          </w:p>
        </w:tc>
        <w:tc>
          <w:tcPr>
            <w:tcW w:w="1693" w:type="pct"/>
            <w:tcBorders>
              <w:top w:val="single" w:sz="4" w:space="0" w:color="FFFFFF" w:themeColor="background1"/>
              <w:bottom w:val="single" w:sz="4" w:space="0" w:color="FFFFFF" w:themeColor="background1"/>
            </w:tcBorders>
          </w:tcPr>
          <w:p w14:paraId="57AAE749" w14:textId="77777777" w:rsidR="005233D5" w:rsidRPr="00967AC5" w:rsidRDefault="005233D5" w:rsidP="002505BC">
            <w:pPr>
              <w:pStyle w:val="ECCTableHeaderwhitefont"/>
              <w:rPr>
                <w:lang w:val="en-GB"/>
              </w:rPr>
            </w:pPr>
            <w:r w:rsidRPr="00967AC5">
              <w:rPr>
                <w:lang w:val="en-GB"/>
              </w:rPr>
              <w:t>Frequency range</w:t>
            </w:r>
          </w:p>
        </w:tc>
        <w:tc>
          <w:tcPr>
            <w:tcW w:w="1472" w:type="pct"/>
            <w:tcBorders>
              <w:top w:val="single" w:sz="4" w:space="0" w:color="FFFFFF" w:themeColor="background1"/>
              <w:bottom w:val="single" w:sz="4" w:space="0" w:color="FFFFFF" w:themeColor="background1"/>
            </w:tcBorders>
          </w:tcPr>
          <w:p w14:paraId="5277D281" w14:textId="77777777" w:rsidR="005233D5" w:rsidRPr="00967AC5" w:rsidRDefault="005233D5" w:rsidP="002505BC">
            <w:pPr>
              <w:pStyle w:val="ECCTableHeaderwhitefont"/>
              <w:rPr>
                <w:lang w:val="en-GB"/>
              </w:rPr>
            </w:pPr>
            <w:r w:rsidRPr="00967AC5">
              <w:rPr>
                <w:lang w:val="en-GB"/>
              </w:rPr>
              <w:t>Non-AAS maximum mean e.i.r.p per antenna</w:t>
            </w:r>
            <w:r w:rsidR="00CC3CB8" w:rsidRPr="00967AC5">
              <w:rPr>
                <w:lang w:val="en-GB"/>
              </w:rPr>
              <w:t xml:space="preserve"> (for 900 MHz and 1800 MHz band)</w:t>
            </w:r>
          </w:p>
        </w:tc>
        <w:tc>
          <w:tcPr>
            <w:tcW w:w="1175" w:type="pct"/>
            <w:tcBorders>
              <w:top w:val="single" w:sz="4" w:space="0" w:color="FFFFFF" w:themeColor="background1"/>
              <w:bottom w:val="single" w:sz="4" w:space="0" w:color="FFFFFF" w:themeColor="background1"/>
              <w:right w:val="single" w:sz="4" w:space="0" w:color="FFFFFF" w:themeColor="background1"/>
            </w:tcBorders>
          </w:tcPr>
          <w:p w14:paraId="59D389C9" w14:textId="7D0AA5EF" w:rsidR="005233D5" w:rsidRPr="00967AC5" w:rsidRDefault="005233D5" w:rsidP="002505BC">
            <w:pPr>
              <w:pStyle w:val="ECCTableHeaderwhitefont"/>
              <w:rPr>
                <w:lang w:val="en-GB"/>
              </w:rPr>
            </w:pPr>
            <w:r w:rsidRPr="00967AC5">
              <w:rPr>
                <w:lang w:val="en-GB"/>
              </w:rPr>
              <w:t xml:space="preserve">AAS TRP power limit per cell </w:t>
            </w:r>
            <w:r w:rsidR="00E803DB" w:rsidRPr="00967AC5">
              <w:rPr>
                <w:lang w:val="en-GB"/>
              </w:rPr>
              <w:t>(note 1)</w:t>
            </w:r>
            <w:r w:rsidR="00602328" w:rsidRPr="00967AC5">
              <w:rPr>
                <w:lang w:val="en-GB"/>
              </w:rPr>
              <w:t xml:space="preserve"> </w:t>
            </w:r>
            <w:r w:rsidRPr="00967AC5">
              <w:rPr>
                <w:lang w:val="en-GB"/>
              </w:rPr>
              <w:t>(for 1800 MHz band)</w:t>
            </w:r>
          </w:p>
        </w:tc>
      </w:tr>
      <w:tr w:rsidR="002505BC" w:rsidRPr="00967AC5" w14:paraId="078B350B" w14:textId="77777777" w:rsidTr="002505BC">
        <w:tc>
          <w:tcPr>
            <w:tcW w:w="660" w:type="pct"/>
            <w:tcBorders>
              <w:top w:val="single" w:sz="4" w:space="0" w:color="FFFFFF" w:themeColor="background1"/>
            </w:tcBorders>
          </w:tcPr>
          <w:p w14:paraId="45FD8546" w14:textId="77777777" w:rsidR="005233D5" w:rsidRPr="00967AC5" w:rsidRDefault="005233D5" w:rsidP="000A0BC0">
            <w:pPr>
              <w:pStyle w:val="ECCTabletext"/>
            </w:pPr>
            <w:r w:rsidRPr="00967AC5">
              <w:t xml:space="preserve">Baseline </w:t>
            </w:r>
          </w:p>
        </w:tc>
        <w:tc>
          <w:tcPr>
            <w:tcW w:w="1693" w:type="pct"/>
            <w:tcBorders>
              <w:top w:val="single" w:sz="4" w:space="0" w:color="FFFFFF" w:themeColor="background1"/>
            </w:tcBorders>
          </w:tcPr>
          <w:p w14:paraId="29EEA559" w14:textId="77777777" w:rsidR="005233D5" w:rsidRPr="00967AC5" w:rsidRDefault="005233D5" w:rsidP="000A0BC0">
            <w:pPr>
              <w:pStyle w:val="ECCTabletext"/>
            </w:pPr>
            <w:r w:rsidRPr="00967AC5">
              <w:rPr>
                <w:rFonts w:cstheme="minorHAnsi"/>
                <w:color w:val="000000" w:themeColor="text1"/>
              </w:rPr>
              <w:t xml:space="preserve">FDD DL blocks </w:t>
            </w:r>
          </w:p>
        </w:tc>
        <w:tc>
          <w:tcPr>
            <w:tcW w:w="1472" w:type="pct"/>
            <w:tcBorders>
              <w:top w:val="single" w:sz="4" w:space="0" w:color="FFFFFF" w:themeColor="background1"/>
            </w:tcBorders>
          </w:tcPr>
          <w:p w14:paraId="434A15C8" w14:textId="3528B51D" w:rsidR="005233D5" w:rsidRPr="00967AC5" w:rsidRDefault="00917BB0" w:rsidP="000A0BC0">
            <w:pPr>
              <w:pStyle w:val="ECCTabletext"/>
            </w:pPr>
            <w:r w:rsidRPr="00967AC5">
              <w:t>3 </w:t>
            </w:r>
            <w:r w:rsidR="005233D5" w:rsidRPr="00967AC5">
              <w:t>dBm/MHz</w:t>
            </w:r>
          </w:p>
        </w:tc>
        <w:tc>
          <w:tcPr>
            <w:tcW w:w="1175" w:type="pct"/>
            <w:tcBorders>
              <w:top w:val="single" w:sz="4" w:space="0" w:color="FFFFFF" w:themeColor="background1"/>
            </w:tcBorders>
          </w:tcPr>
          <w:p w14:paraId="0C327A51" w14:textId="77777777" w:rsidR="005233D5" w:rsidRPr="00967AC5" w:rsidRDefault="005233D5" w:rsidP="000A0BC0">
            <w:pPr>
              <w:pStyle w:val="ECCTabletext"/>
            </w:pPr>
            <w:r w:rsidRPr="00967AC5">
              <w:t>-6 dBm/MHz</w:t>
            </w:r>
          </w:p>
        </w:tc>
      </w:tr>
      <w:tr w:rsidR="00527AF5" w:rsidRPr="00967AC5" w14:paraId="4F323788" w14:textId="77777777" w:rsidTr="00BB6F57">
        <w:tc>
          <w:tcPr>
            <w:tcW w:w="5000" w:type="pct"/>
            <w:gridSpan w:val="4"/>
          </w:tcPr>
          <w:p w14:paraId="027EA2A5" w14:textId="30A69E9E" w:rsidR="00527AF5" w:rsidRPr="00967AC5" w:rsidRDefault="00E803DB" w:rsidP="002505BC">
            <w:pPr>
              <w:pStyle w:val="ECCTablenote"/>
              <w:ind w:left="0"/>
            </w:pPr>
            <w:r w:rsidRPr="00967AC5">
              <w:t xml:space="preserve">Note 1: </w:t>
            </w:r>
            <w:r w:rsidR="00527AF5" w:rsidRPr="00967AC5">
              <w:t>In a multi-sector base station, the radiated power limit applies to each one of the individual sectors.</w:t>
            </w:r>
          </w:p>
        </w:tc>
      </w:tr>
    </w:tbl>
    <w:p w14:paraId="10F85FBB" w14:textId="031FF256" w:rsidR="00D8132D" w:rsidRPr="00967AC5" w:rsidRDefault="007B0B34" w:rsidP="000D7500">
      <w:pPr>
        <w:pStyle w:val="ECCParagraph"/>
        <w:spacing w:before="240"/>
      </w:pPr>
      <w:r w:rsidRPr="00967AC5">
        <w:fldChar w:fldCharType="begin"/>
      </w:r>
      <w:r w:rsidRPr="00967AC5">
        <w:instrText xml:space="preserve"> REF _Ref50623900 \h  \* MERGEFORMAT </w:instrText>
      </w:r>
      <w:r w:rsidRPr="00967AC5">
        <w:fldChar w:fldCharType="separate"/>
      </w:r>
      <w:r w:rsidR="00680BB5" w:rsidRPr="00967AC5">
        <w:t>Table 5</w:t>
      </w:r>
      <w:r w:rsidRPr="00967AC5">
        <w:fldChar w:fldCharType="end"/>
      </w:r>
      <w:r w:rsidR="00D44733" w:rsidRPr="00967AC5">
        <w:t xml:space="preserve"> gives the out-of-block BEM requirements for non-AAS and AAS BS</w:t>
      </w:r>
      <w:r w:rsidR="00761B4D" w:rsidRPr="00967AC5">
        <w:t>.</w:t>
      </w:r>
    </w:p>
    <w:p w14:paraId="72BA816E" w14:textId="5842FB56" w:rsidR="00D03FA1" w:rsidRPr="00967AC5" w:rsidRDefault="000F5D57" w:rsidP="00001EB9">
      <w:pPr>
        <w:pStyle w:val="Caption"/>
        <w:keepNext/>
        <w:rPr>
          <w:lang w:val="en-GB"/>
        </w:rPr>
      </w:pPr>
      <w:bookmarkStart w:id="107" w:name="_Ref50623900"/>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5</w:t>
      </w:r>
      <w:r w:rsidRPr="00967AC5">
        <w:rPr>
          <w:lang w:val="en-GB"/>
        </w:rPr>
        <w:fldChar w:fldCharType="end"/>
      </w:r>
      <w:bookmarkEnd w:id="107"/>
      <w:r w:rsidRPr="00967AC5">
        <w:rPr>
          <w:lang w:val="en-GB"/>
        </w:rPr>
        <w:t xml:space="preserve">: </w:t>
      </w:r>
      <w:r w:rsidR="00B123BC" w:rsidRPr="00967AC5">
        <w:rPr>
          <w:lang w:val="en-GB"/>
        </w:rPr>
        <w:t xml:space="preserve">Base Station </w:t>
      </w:r>
      <w:r w:rsidR="009502E6" w:rsidRPr="00967AC5">
        <w:rPr>
          <w:lang w:val="en-GB"/>
        </w:rPr>
        <w:t>t</w:t>
      </w:r>
      <w:r w:rsidR="00D03FA1" w:rsidRPr="00967AC5">
        <w:rPr>
          <w:lang w:val="en-GB"/>
        </w:rPr>
        <w:t>ransitional out-of-block power limits</w:t>
      </w:r>
      <w:r w:rsidR="00451227" w:rsidRPr="00967AC5">
        <w:rPr>
          <w:lang w:val="en-GB"/>
        </w:rPr>
        <w:t xml:space="preserve"> for non-AAS and AAS</w:t>
      </w:r>
    </w:p>
    <w:tbl>
      <w:tblPr>
        <w:tblStyle w:val="ECCTable-redheader"/>
        <w:tblW w:w="5000" w:type="pct"/>
        <w:tblInd w:w="0" w:type="dxa"/>
        <w:tblLook w:val="01E0" w:firstRow="1" w:lastRow="1" w:firstColumn="1" w:lastColumn="1" w:noHBand="0" w:noVBand="0"/>
      </w:tblPr>
      <w:tblGrid>
        <w:gridCol w:w="1250"/>
        <w:gridCol w:w="3281"/>
        <w:gridCol w:w="2835"/>
        <w:gridCol w:w="2263"/>
      </w:tblGrid>
      <w:tr w:rsidR="002505BC" w:rsidRPr="00967AC5" w14:paraId="51268725" w14:textId="77777777" w:rsidTr="00BB6F57">
        <w:trPr>
          <w:cnfStyle w:val="100000000000" w:firstRow="1" w:lastRow="0" w:firstColumn="0" w:lastColumn="0" w:oddVBand="0" w:evenVBand="0" w:oddHBand="0" w:evenHBand="0" w:firstRowFirstColumn="0" w:firstRowLastColumn="0" w:lastRowFirstColumn="0" w:lastRowLastColumn="0"/>
        </w:trPr>
        <w:tc>
          <w:tcPr>
            <w:tcW w:w="649" w:type="pct"/>
            <w:tcBorders>
              <w:top w:val="single" w:sz="4" w:space="0" w:color="FFFFFF" w:themeColor="background1"/>
              <w:left w:val="single" w:sz="4" w:space="0" w:color="FFFFFF" w:themeColor="background1"/>
              <w:bottom w:val="single" w:sz="4" w:space="0" w:color="FFFFFF" w:themeColor="background1"/>
            </w:tcBorders>
            <w:hideMark/>
          </w:tcPr>
          <w:p w14:paraId="74B4C4B3" w14:textId="77777777" w:rsidR="00D03FA1" w:rsidRPr="00967AC5" w:rsidRDefault="00D03FA1" w:rsidP="005931B9">
            <w:pPr>
              <w:pStyle w:val="ECCTableHeaderwhitefont"/>
              <w:keepNext/>
              <w:keepLines/>
              <w:rPr>
                <w:lang w:val="en-GB"/>
              </w:rPr>
            </w:pPr>
            <w:r w:rsidRPr="00967AC5">
              <w:rPr>
                <w:lang w:val="en-GB"/>
              </w:rPr>
              <w:t>BEM element</w:t>
            </w:r>
          </w:p>
        </w:tc>
        <w:tc>
          <w:tcPr>
            <w:tcW w:w="1704" w:type="pct"/>
            <w:tcBorders>
              <w:top w:val="single" w:sz="4" w:space="0" w:color="FFFFFF" w:themeColor="background1"/>
              <w:bottom w:val="single" w:sz="4" w:space="0" w:color="FFFFFF" w:themeColor="background1"/>
            </w:tcBorders>
            <w:hideMark/>
          </w:tcPr>
          <w:p w14:paraId="55EB0701" w14:textId="77777777" w:rsidR="00D03FA1" w:rsidRPr="00967AC5" w:rsidRDefault="00D03FA1" w:rsidP="005931B9">
            <w:pPr>
              <w:pStyle w:val="ECCTableHeaderwhitefont"/>
              <w:keepNext/>
              <w:keepLines/>
              <w:rPr>
                <w:lang w:val="en-GB"/>
              </w:rPr>
            </w:pPr>
            <w:r w:rsidRPr="00967AC5">
              <w:rPr>
                <w:lang w:val="en-GB"/>
              </w:rPr>
              <w:t>Frequency range</w:t>
            </w:r>
          </w:p>
        </w:tc>
        <w:tc>
          <w:tcPr>
            <w:tcW w:w="1472" w:type="pct"/>
            <w:tcBorders>
              <w:top w:val="single" w:sz="4" w:space="0" w:color="FFFFFF" w:themeColor="background1"/>
              <w:bottom w:val="single" w:sz="4" w:space="0" w:color="FFFFFF" w:themeColor="background1"/>
            </w:tcBorders>
            <w:hideMark/>
          </w:tcPr>
          <w:p w14:paraId="3478947F" w14:textId="1CB0EA96" w:rsidR="00D03FA1" w:rsidRPr="00967AC5" w:rsidRDefault="00D03FA1" w:rsidP="005931B9">
            <w:pPr>
              <w:pStyle w:val="ECCTableHeaderwhitefont"/>
              <w:keepNext/>
              <w:keepLines/>
              <w:rPr>
                <w:lang w:val="en-GB"/>
              </w:rPr>
            </w:pPr>
            <w:r w:rsidRPr="00967AC5">
              <w:rPr>
                <w:lang w:val="en-GB"/>
              </w:rPr>
              <w:t>Non-AAS maximum mean e.i.r.p per antenna (for 900 MHz and 1800 MHz band)</w:t>
            </w:r>
            <w:r w:rsidR="00E56EDD" w:rsidRPr="00967AC5">
              <w:rPr>
                <w:lang w:val="en-GB"/>
              </w:rPr>
              <w:t xml:space="preserve"> (note </w:t>
            </w:r>
            <w:r w:rsidR="003938EF" w:rsidRPr="00967AC5">
              <w:rPr>
                <w:lang w:val="en-GB"/>
              </w:rPr>
              <w:t>1</w:t>
            </w:r>
            <w:r w:rsidR="00E56EDD" w:rsidRPr="00967AC5">
              <w:rPr>
                <w:lang w:val="en-GB"/>
              </w:rPr>
              <w:t>)</w:t>
            </w:r>
            <w:r w:rsidRPr="00967AC5">
              <w:rPr>
                <w:lang w:val="en-GB"/>
              </w:rPr>
              <w:t xml:space="preserve"> </w:t>
            </w:r>
          </w:p>
        </w:tc>
        <w:tc>
          <w:tcPr>
            <w:tcW w:w="1175" w:type="pct"/>
            <w:tcBorders>
              <w:top w:val="single" w:sz="4" w:space="0" w:color="FFFFFF" w:themeColor="background1"/>
              <w:bottom w:val="single" w:sz="4" w:space="0" w:color="FFFFFF" w:themeColor="background1"/>
              <w:right w:val="single" w:sz="4" w:space="0" w:color="FFFFFF" w:themeColor="background1"/>
            </w:tcBorders>
            <w:hideMark/>
          </w:tcPr>
          <w:p w14:paraId="10E58B87" w14:textId="4A2435E3" w:rsidR="00D03FA1" w:rsidRPr="00967AC5" w:rsidRDefault="00D03FA1" w:rsidP="005931B9">
            <w:pPr>
              <w:pStyle w:val="ECCTableHeaderwhitefont"/>
              <w:keepNext/>
              <w:keepLines/>
              <w:rPr>
                <w:lang w:val="en-GB"/>
              </w:rPr>
            </w:pPr>
            <w:r w:rsidRPr="00967AC5">
              <w:rPr>
                <w:lang w:val="en-GB"/>
              </w:rPr>
              <w:t xml:space="preserve">AAS TRP power limit per cell </w:t>
            </w:r>
            <w:r w:rsidR="00E803DB" w:rsidRPr="00967AC5">
              <w:rPr>
                <w:lang w:val="en-GB"/>
              </w:rPr>
              <w:t xml:space="preserve">(note </w:t>
            </w:r>
            <w:r w:rsidR="003938EF" w:rsidRPr="00967AC5">
              <w:rPr>
                <w:lang w:val="en-GB"/>
              </w:rPr>
              <w:t>2</w:t>
            </w:r>
            <w:r w:rsidR="00E803DB" w:rsidRPr="00967AC5">
              <w:rPr>
                <w:lang w:val="en-GB"/>
              </w:rPr>
              <w:t>)</w:t>
            </w:r>
            <w:r w:rsidR="00E803DB" w:rsidRPr="00967AC5">
              <w:rPr>
                <w:vertAlign w:val="superscript"/>
                <w:lang w:val="en-GB"/>
              </w:rPr>
              <w:t xml:space="preserve"> </w:t>
            </w:r>
            <w:r w:rsidRPr="00967AC5">
              <w:rPr>
                <w:lang w:val="en-GB"/>
              </w:rPr>
              <w:t xml:space="preserve"> (for 1800 MHz band)</w:t>
            </w:r>
          </w:p>
        </w:tc>
      </w:tr>
      <w:tr w:rsidR="002505BC" w:rsidRPr="00967AC5" w14:paraId="24606723" w14:textId="77777777" w:rsidTr="002505BC">
        <w:tc>
          <w:tcPr>
            <w:tcW w:w="649" w:type="pct"/>
            <w:vMerge w:val="restart"/>
            <w:tcBorders>
              <w:top w:val="single" w:sz="4" w:space="0" w:color="FFFFFF" w:themeColor="background1"/>
              <w:left w:val="single" w:sz="4" w:space="0" w:color="D22A23"/>
              <w:bottom w:val="single" w:sz="4" w:space="0" w:color="D22A23"/>
              <w:right w:val="single" w:sz="4" w:space="0" w:color="D22A23"/>
            </w:tcBorders>
            <w:hideMark/>
          </w:tcPr>
          <w:p w14:paraId="4E1B6CC2" w14:textId="77777777" w:rsidR="00D03FA1" w:rsidRPr="00967AC5" w:rsidRDefault="00D03FA1" w:rsidP="005931B9">
            <w:pPr>
              <w:keepNext/>
              <w:keepLines/>
              <w:spacing w:before="0" w:after="0"/>
              <w:rPr>
                <w:lang w:val="en-GB" w:eastAsia="en-US"/>
              </w:rPr>
            </w:pPr>
            <w:r w:rsidRPr="00967AC5">
              <w:rPr>
                <w:lang w:val="en-GB"/>
              </w:rPr>
              <w:t>Transitional region</w:t>
            </w:r>
          </w:p>
        </w:tc>
        <w:tc>
          <w:tcPr>
            <w:tcW w:w="1704" w:type="pct"/>
            <w:tcBorders>
              <w:top w:val="single" w:sz="4" w:space="0" w:color="FFFFFF" w:themeColor="background1"/>
              <w:left w:val="single" w:sz="4" w:space="0" w:color="D22A23"/>
              <w:bottom w:val="single" w:sz="4" w:space="0" w:color="D22A23"/>
              <w:right w:val="single" w:sz="4" w:space="0" w:color="D22A23"/>
            </w:tcBorders>
            <w:hideMark/>
          </w:tcPr>
          <w:p w14:paraId="0D2831E9" w14:textId="77777777" w:rsidR="00D03FA1" w:rsidRPr="00967AC5" w:rsidRDefault="00D03FA1" w:rsidP="005931B9">
            <w:pPr>
              <w:pStyle w:val="ECCTabletext"/>
              <w:keepNext/>
              <w:keepLines/>
            </w:pPr>
            <w:r w:rsidRPr="00967AC5">
              <w:t>0 to 0.2 MHz offset from block edge</w:t>
            </w:r>
          </w:p>
        </w:tc>
        <w:tc>
          <w:tcPr>
            <w:tcW w:w="1472" w:type="pct"/>
            <w:tcBorders>
              <w:top w:val="single" w:sz="4" w:space="0" w:color="FFFFFF" w:themeColor="background1"/>
              <w:left w:val="single" w:sz="4" w:space="0" w:color="D22A23"/>
              <w:bottom w:val="single" w:sz="4" w:space="0" w:color="D22A23"/>
              <w:right w:val="single" w:sz="4" w:space="0" w:color="D22A23"/>
            </w:tcBorders>
            <w:hideMark/>
          </w:tcPr>
          <w:p w14:paraId="5A0F6C8B" w14:textId="2C2B21B0" w:rsidR="00D03FA1" w:rsidRPr="00967AC5" w:rsidRDefault="00D03FA1" w:rsidP="005931B9">
            <w:pPr>
              <w:pStyle w:val="ECCTabletext"/>
              <w:keepNext/>
              <w:keepLines/>
            </w:pPr>
            <w:r w:rsidRPr="00967AC5">
              <w:t>32.4 dBm/</w:t>
            </w:r>
            <w:r w:rsidR="00A52D8E" w:rsidRPr="00967AC5">
              <w:t>(</w:t>
            </w:r>
            <w:r w:rsidRPr="00967AC5">
              <w:t>0.2 MHz</w:t>
            </w:r>
            <w:r w:rsidR="00A52D8E" w:rsidRPr="00967AC5">
              <w:t>)</w:t>
            </w:r>
          </w:p>
        </w:tc>
        <w:tc>
          <w:tcPr>
            <w:tcW w:w="1175" w:type="pct"/>
            <w:tcBorders>
              <w:top w:val="single" w:sz="4" w:space="0" w:color="FFFFFF" w:themeColor="background1"/>
              <w:left w:val="single" w:sz="4" w:space="0" w:color="D22A23"/>
              <w:bottom w:val="single" w:sz="4" w:space="0" w:color="D22A23"/>
              <w:right w:val="single" w:sz="4" w:space="0" w:color="D22A23"/>
            </w:tcBorders>
            <w:hideMark/>
          </w:tcPr>
          <w:p w14:paraId="1CC3F37B" w14:textId="3244C570" w:rsidR="00D03FA1" w:rsidRPr="00967AC5" w:rsidRDefault="00D03FA1" w:rsidP="005931B9">
            <w:pPr>
              <w:pStyle w:val="ECCTabletext"/>
              <w:keepNext/>
              <w:keepLines/>
            </w:pPr>
            <w:r w:rsidRPr="00967AC5">
              <w:t>17.4 dBm/</w:t>
            </w:r>
            <w:r w:rsidR="00A52D8E" w:rsidRPr="00967AC5">
              <w:t>(</w:t>
            </w:r>
            <w:r w:rsidRPr="00967AC5">
              <w:t>0.2 MHz</w:t>
            </w:r>
            <w:r w:rsidR="00C12481" w:rsidRPr="00967AC5">
              <w:t>)</w:t>
            </w:r>
            <w:r w:rsidRPr="00967AC5">
              <w:t xml:space="preserve"> </w:t>
            </w:r>
          </w:p>
        </w:tc>
      </w:tr>
      <w:tr w:rsidR="002505BC" w:rsidRPr="00967AC5" w14:paraId="17EC5D7E" w14:textId="77777777" w:rsidTr="002505BC">
        <w:tc>
          <w:tcPr>
            <w:tcW w:w="649" w:type="pct"/>
            <w:vMerge/>
            <w:tcBorders>
              <w:top w:val="single" w:sz="4" w:space="0" w:color="D22A23"/>
              <w:left w:val="single" w:sz="4" w:space="0" w:color="D22A23"/>
              <w:bottom w:val="single" w:sz="4" w:space="0" w:color="D22A23"/>
              <w:right w:val="single" w:sz="4" w:space="0" w:color="D22A23"/>
            </w:tcBorders>
            <w:hideMark/>
          </w:tcPr>
          <w:p w14:paraId="21617F0F" w14:textId="77777777" w:rsidR="00D03FA1" w:rsidRPr="00967AC5" w:rsidRDefault="00D03FA1" w:rsidP="005931B9">
            <w:pPr>
              <w:keepNext/>
              <w:keepLines/>
              <w:spacing w:before="0" w:after="0"/>
              <w:rPr>
                <w:lang w:val="en-GB" w:eastAsia="en-US"/>
              </w:rPr>
            </w:pPr>
          </w:p>
        </w:tc>
        <w:tc>
          <w:tcPr>
            <w:tcW w:w="1704" w:type="pct"/>
            <w:tcBorders>
              <w:top w:val="single" w:sz="4" w:space="0" w:color="D22A23"/>
              <w:left w:val="single" w:sz="4" w:space="0" w:color="D22A23"/>
              <w:bottom w:val="single" w:sz="4" w:space="0" w:color="D22A23"/>
              <w:right w:val="single" w:sz="4" w:space="0" w:color="D22A23"/>
            </w:tcBorders>
            <w:hideMark/>
          </w:tcPr>
          <w:p w14:paraId="34543805" w14:textId="77777777" w:rsidR="00D03FA1" w:rsidRPr="00967AC5" w:rsidRDefault="00D03FA1" w:rsidP="005931B9">
            <w:pPr>
              <w:pStyle w:val="ECCTabletext"/>
              <w:keepNext/>
              <w:keepLines/>
            </w:pPr>
            <w:r w:rsidRPr="00967AC5">
              <w:t>0.2 to 1 MHz offset from block edge</w:t>
            </w:r>
          </w:p>
        </w:tc>
        <w:tc>
          <w:tcPr>
            <w:tcW w:w="1472" w:type="pct"/>
            <w:tcBorders>
              <w:top w:val="single" w:sz="4" w:space="0" w:color="D22A23"/>
              <w:left w:val="single" w:sz="4" w:space="0" w:color="D22A23"/>
              <w:bottom w:val="single" w:sz="4" w:space="0" w:color="D22A23"/>
              <w:right w:val="single" w:sz="4" w:space="0" w:color="D22A23"/>
            </w:tcBorders>
            <w:vAlign w:val="top"/>
            <w:hideMark/>
          </w:tcPr>
          <w:p w14:paraId="1DF5DBEE" w14:textId="104FD706" w:rsidR="00D03FA1" w:rsidRPr="00967AC5" w:rsidRDefault="00D03FA1" w:rsidP="005931B9">
            <w:pPr>
              <w:pStyle w:val="ECCTabletext"/>
              <w:keepNext/>
              <w:keepLines/>
              <w:rPr>
                <w:szCs w:val="20"/>
              </w:rPr>
            </w:pPr>
            <w:r w:rsidRPr="00967AC5">
              <w:t>13.8 dBm/</w:t>
            </w:r>
            <w:r w:rsidR="00C12481" w:rsidRPr="00967AC5">
              <w:t>(</w:t>
            </w:r>
            <w:r w:rsidRPr="00967AC5">
              <w:t>0.8 MHz</w:t>
            </w:r>
            <w:r w:rsidR="00C12481" w:rsidRPr="00967AC5">
              <w:t>)</w:t>
            </w:r>
          </w:p>
        </w:tc>
        <w:tc>
          <w:tcPr>
            <w:tcW w:w="1175" w:type="pct"/>
            <w:tcBorders>
              <w:top w:val="single" w:sz="4" w:space="0" w:color="D22A23"/>
              <w:left w:val="single" w:sz="4" w:space="0" w:color="D22A23"/>
              <w:bottom w:val="single" w:sz="4" w:space="0" w:color="D22A23"/>
              <w:right w:val="single" w:sz="4" w:space="0" w:color="D22A23"/>
            </w:tcBorders>
            <w:vAlign w:val="top"/>
            <w:hideMark/>
          </w:tcPr>
          <w:p w14:paraId="7C02F134" w14:textId="1F062DE2" w:rsidR="00D03FA1" w:rsidRPr="00967AC5" w:rsidRDefault="00D03FA1" w:rsidP="005931B9">
            <w:pPr>
              <w:pStyle w:val="ECCTabletext"/>
              <w:keepNext/>
              <w:keepLines/>
              <w:rPr>
                <w:szCs w:val="20"/>
              </w:rPr>
            </w:pPr>
            <w:r w:rsidRPr="00967AC5">
              <w:t>4.7 dBm/</w:t>
            </w:r>
            <w:r w:rsidR="00C12481" w:rsidRPr="00967AC5">
              <w:t>(</w:t>
            </w:r>
            <w:r w:rsidRPr="00967AC5">
              <w:t>0.8 MHz</w:t>
            </w:r>
            <w:r w:rsidR="00C12481" w:rsidRPr="00967AC5">
              <w:t>)</w:t>
            </w:r>
          </w:p>
        </w:tc>
      </w:tr>
      <w:tr w:rsidR="002505BC" w:rsidRPr="00967AC5" w14:paraId="6F8ECBDB" w14:textId="77777777" w:rsidTr="002505BC">
        <w:tc>
          <w:tcPr>
            <w:tcW w:w="649" w:type="pct"/>
            <w:vMerge/>
            <w:tcBorders>
              <w:top w:val="single" w:sz="4" w:space="0" w:color="D22A23"/>
              <w:left w:val="single" w:sz="4" w:space="0" w:color="D22A23"/>
              <w:bottom w:val="single" w:sz="4" w:space="0" w:color="D22A23"/>
              <w:right w:val="single" w:sz="4" w:space="0" w:color="D22A23"/>
            </w:tcBorders>
            <w:hideMark/>
          </w:tcPr>
          <w:p w14:paraId="61CB5927" w14:textId="77777777" w:rsidR="00D03FA1" w:rsidRPr="00967AC5" w:rsidRDefault="00D03FA1" w:rsidP="005931B9">
            <w:pPr>
              <w:keepNext/>
              <w:keepLines/>
              <w:spacing w:before="0" w:after="0"/>
              <w:rPr>
                <w:lang w:val="en-GB" w:eastAsia="en-US"/>
              </w:rPr>
            </w:pPr>
          </w:p>
        </w:tc>
        <w:tc>
          <w:tcPr>
            <w:tcW w:w="1704" w:type="pct"/>
            <w:tcBorders>
              <w:top w:val="single" w:sz="4" w:space="0" w:color="D22A23"/>
              <w:left w:val="single" w:sz="4" w:space="0" w:color="D22A23"/>
              <w:bottom w:val="single" w:sz="4" w:space="0" w:color="D22A23"/>
              <w:right w:val="single" w:sz="4" w:space="0" w:color="D22A23"/>
            </w:tcBorders>
            <w:hideMark/>
          </w:tcPr>
          <w:p w14:paraId="512817B7" w14:textId="77777777" w:rsidR="00D03FA1" w:rsidRPr="00967AC5" w:rsidRDefault="00D03FA1" w:rsidP="005931B9">
            <w:pPr>
              <w:pStyle w:val="ECCTabletext"/>
              <w:keepNext/>
              <w:keepLines/>
            </w:pPr>
            <w:r w:rsidRPr="00967AC5">
              <w:t>1 to 5 MHz offset from block edge</w:t>
            </w:r>
          </w:p>
        </w:tc>
        <w:tc>
          <w:tcPr>
            <w:tcW w:w="1472" w:type="pct"/>
            <w:tcBorders>
              <w:top w:val="single" w:sz="4" w:space="0" w:color="D22A23"/>
              <w:left w:val="single" w:sz="4" w:space="0" w:color="D22A23"/>
              <w:bottom w:val="single" w:sz="4" w:space="0" w:color="D22A23"/>
              <w:right w:val="single" w:sz="4" w:space="0" w:color="D22A23"/>
            </w:tcBorders>
            <w:hideMark/>
          </w:tcPr>
          <w:p w14:paraId="0A22AC90" w14:textId="77777777" w:rsidR="00D03FA1" w:rsidRPr="00967AC5" w:rsidRDefault="00D03FA1" w:rsidP="005931B9">
            <w:pPr>
              <w:pStyle w:val="ECCTabletext"/>
              <w:keepNext/>
              <w:keepLines/>
            </w:pPr>
            <w:r w:rsidRPr="00967AC5">
              <w:t>5 dBm/MHz</w:t>
            </w:r>
          </w:p>
        </w:tc>
        <w:tc>
          <w:tcPr>
            <w:tcW w:w="1175" w:type="pct"/>
            <w:tcBorders>
              <w:top w:val="single" w:sz="4" w:space="0" w:color="D22A23"/>
              <w:left w:val="single" w:sz="4" w:space="0" w:color="D22A23"/>
              <w:bottom w:val="single" w:sz="4" w:space="0" w:color="D22A23"/>
              <w:right w:val="single" w:sz="4" w:space="0" w:color="D22A23"/>
            </w:tcBorders>
            <w:hideMark/>
          </w:tcPr>
          <w:p w14:paraId="6F42C50F" w14:textId="77777777" w:rsidR="00D03FA1" w:rsidRPr="00967AC5" w:rsidRDefault="00D03FA1" w:rsidP="005931B9">
            <w:pPr>
              <w:pStyle w:val="ECCTabletext"/>
              <w:keepNext/>
              <w:keepLines/>
            </w:pPr>
            <w:r w:rsidRPr="00967AC5">
              <w:t>-4 dBm/MHz</w:t>
            </w:r>
          </w:p>
        </w:tc>
      </w:tr>
      <w:tr w:rsidR="002505BC" w:rsidRPr="00967AC5" w14:paraId="2EAC313F" w14:textId="77777777" w:rsidTr="002505BC">
        <w:tc>
          <w:tcPr>
            <w:tcW w:w="649" w:type="pct"/>
            <w:vMerge/>
            <w:tcBorders>
              <w:top w:val="single" w:sz="4" w:space="0" w:color="D22A23"/>
              <w:left w:val="single" w:sz="4" w:space="0" w:color="D22A23"/>
              <w:bottom w:val="single" w:sz="4" w:space="0" w:color="D22A23"/>
              <w:right w:val="single" w:sz="4" w:space="0" w:color="D22A23"/>
            </w:tcBorders>
            <w:hideMark/>
          </w:tcPr>
          <w:p w14:paraId="542F70B1" w14:textId="77777777" w:rsidR="00D03FA1" w:rsidRPr="00967AC5" w:rsidRDefault="00D03FA1" w:rsidP="005931B9">
            <w:pPr>
              <w:keepNext/>
              <w:keepLines/>
              <w:spacing w:before="0" w:after="0"/>
              <w:rPr>
                <w:lang w:val="en-GB" w:eastAsia="en-US"/>
              </w:rPr>
            </w:pPr>
          </w:p>
        </w:tc>
        <w:tc>
          <w:tcPr>
            <w:tcW w:w="1704" w:type="pct"/>
            <w:tcBorders>
              <w:top w:val="single" w:sz="4" w:space="0" w:color="D22A23"/>
              <w:left w:val="single" w:sz="4" w:space="0" w:color="D22A23"/>
              <w:bottom w:val="single" w:sz="4" w:space="0" w:color="D22A23"/>
              <w:right w:val="single" w:sz="4" w:space="0" w:color="D22A23"/>
            </w:tcBorders>
            <w:hideMark/>
          </w:tcPr>
          <w:p w14:paraId="3B0311F0" w14:textId="77777777" w:rsidR="00D03FA1" w:rsidRPr="00967AC5" w:rsidRDefault="00D03FA1" w:rsidP="005931B9">
            <w:pPr>
              <w:pStyle w:val="ECCTabletext"/>
              <w:keepNext/>
              <w:keepLines/>
            </w:pPr>
            <w:r w:rsidRPr="00967AC5">
              <w:t>5 to 10 MHz offset from block edge</w:t>
            </w:r>
          </w:p>
        </w:tc>
        <w:tc>
          <w:tcPr>
            <w:tcW w:w="1472" w:type="pct"/>
            <w:tcBorders>
              <w:top w:val="single" w:sz="4" w:space="0" w:color="D22A23"/>
              <w:left w:val="single" w:sz="4" w:space="0" w:color="D22A23"/>
              <w:bottom w:val="single" w:sz="4" w:space="0" w:color="D22A23"/>
              <w:right w:val="single" w:sz="4" w:space="0" w:color="D22A23"/>
            </w:tcBorders>
            <w:hideMark/>
          </w:tcPr>
          <w:p w14:paraId="7FD403A4" w14:textId="66A27386" w:rsidR="00D03FA1" w:rsidRPr="00967AC5" w:rsidRDefault="00D03FA1" w:rsidP="005931B9">
            <w:pPr>
              <w:pStyle w:val="ECCTabletext"/>
              <w:keepNext/>
              <w:keepLines/>
            </w:pPr>
            <w:r w:rsidRPr="00967AC5">
              <w:t>12 dBm/</w:t>
            </w:r>
            <w:r w:rsidR="00C12481" w:rsidRPr="00967AC5">
              <w:t>(</w:t>
            </w:r>
            <w:r w:rsidRPr="00967AC5">
              <w:t>5 MHz</w:t>
            </w:r>
            <w:r w:rsidR="00C12481" w:rsidRPr="00967AC5">
              <w:t>)</w:t>
            </w:r>
          </w:p>
        </w:tc>
        <w:tc>
          <w:tcPr>
            <w:tcW w:w="1175" w:type="pct"/>
            <w:tcBorders>
              <w:top w:val="single" w:sz="4" w:space="0" w:color="D22A23"/>
              <w:left w:val="single" w:sz="4" w:space="0" w:color="D22A23"/>
              <w:bottom w:val="single" w:sz="4" w:space="0" w:color="D22A23"/>
              <w:right w:val="single" w:sz="4" w:space="0" w:color="D22A23"/>
            </w:tcBorders>
            <w:hideMark/>
          </w:tcPr>
          <w:p w14:paraId="039CBA85" w14:textId="2FC6A879" w:rsidR="00D03FA1" w:rsidRPr="00967AC5" w:rsidRDefault="00D03FA1" w:rsidP="005931B9">
            <w:pPr>
              <w:pStyle w:val="ECCTabletext"/>
              <w:keepNext/>
              <w:keepLines/>
            </w:pPr>
            <w:r w:rsidRPr="00967AC5">
              <w:t>3 dBm/</w:t>
            </w:r>
            <w:r w:rsidR="00C12481" w:rsidRPr="00967AC5">
              <w:t>(</w:t>
            </w:r>
            <w:r w:rsidRPr="00967AC5">
              <w:t>5 MHz</w:t>
            </w:r>
            <w:r w:rsidR="00C12481" w:rsidRPr="00967AC5">
              <w:t>)</w:t>
            </w:r>
          </w:p>
        </w:tc>
      </w:tr>
      <w:tr w:rsidR="00D03FA1" w:rsidRPr="00967AC5" w14:paraId="0C2F2FAD" w14:textId="77777777" w:rsidTr="002505BC">
        <w:tc>
          <w:tcPr>
            <w:tcW w:w="5000" w:type="pct"/>
            <w:gridSpan w:val="4"/>
            <w:tcBorders>
              <w:top w:val="single" w:sz="4" w:space="0" w:color="D22A23"/>
              <w:left w:val="single" w:sz="4" w:space="0" w:color="D22A23"/>
              <w:bottom w:val="single" w:sz="4" w:space="0" w:color="D22A23"/>
              <w:right w:val="single" w:sz="4" w:space="0" w:color="D22A23"/>
            </w:tcBorders>
            <w:hideMark/>
          </w:tcPr>
          <w:p w14:paraId="68959C43" w14:textId="06C455E2" w:rsidR="003938EF" w:rsidRPr="00967AC5" w:rsidRDefault="003938EF" w:rsidP="005931B9">
            <w:pPr>
              <w:pStyle w:val="ECCTablenote"/>
              <w:keepNext/>
              <w:keepLines/>
            </w:pPr>
            <w:r w:rsidRPr="00967AC5">
              <w:t>Note 1: The non-AAS e.i.r.p. limits could be relaxed at national level, either if agreed among all affected operators of such networks or in accordance with national implementation already in place.</w:t>
            </w:r>
          </w:p>
          <w:p w14:paraId="136105FB" w14:textId="16777749" w:rsidR="00D03FA1" w:rsidRPr="00967AC5" w:rsidRDefault="009C217B" w:rsidP="005931B9">
            <w:pPr>
              <w:pStyle w:val="ECCTablenote"/>
              <w:keepNext/>
              <w:keepLines/>
            </w:pPr>
            <w:r w:rsidRPr="00967AC5">
              <w:t xml:space="preserve">Note </w:t>
            </w:r>
            <w:r w:rsidR="003938EF" w:rsidRPr="00967AC5">
              <w:t>2</w:t>
            </w:r>
            <w:r w:rsidRPr="00967AC5">
              <w:t xml:space="preserve">: </w:t>
            </w:r>
            <w:r w:rsidR="00D03FA1" w:rsidRPr="00967AC5">
              <w:t>In a multi-sector base station, the radiated power limit applies to each one of the individual sectors.</w:t>
            </w:r>
          </w:p>
        </w:tc>
      </w:tr>
    </w:tbl>
    <w:p w14:paraId="26885616" w14:textId="351F604C" w:rsidR="00520A1F" w:rsidRPr="00967AC5" w:rsidRDefault="00520A1F" w:rsidP="00001EB9">
      <w:pPr>
        <w:pStyle w:val="Heading4"/>
      </w:pPr>
      <w:bookmarkStart w:id="108" w:name="_Toc71037821"/>
      <w:r w:rsidRPr="00967AC5">
        <w:t xml:space="preserve">BS </w:t>
      </w:r>
      <w:r w:rsidR="000F1F50" w:rsidRPr="00967AC5">
        <w:t>o</w:t>
      </w:r>
      <w:r w:rsidRPr="00967AC5">
        <w:t>ut-of-band power limits</w:t>
      </w:r>
      <w:bookmarkEnd w:id="108"/>
    </w:p>
    <w:p w14:paraId="7220F116" w14:textId="2C8DA704" w:rsidR="00F8190E" w:rsidRPr="00967AC5" w:rsidRDefault="00F8190E" w:rsidP="00AA165D">
      <w:pPr>
        <w:pStyle w:val="ECCParagraph"/>
      </w:pPr>
      <w:r w:rsidRPr="00967AC5">
        <w:t xml:space="preserve">To protect the adjacent services, the additional baseline region limits for non-AAS BS provided in </w:t>
      </w:r>
      <w:r w:rsidR="00B20F57" w:rsidRPr="00967AC5">
        <w:fldChar w:fldCharType="begin"/>
      </w:r>
      <w:r w:rsidR="00B20F57" w:rsidRPr="00967AC5">
        <w:instrText xml:space="preserve"> REF _Ref59213599 \h </w:instrText>
      </w:r>
      <w:r w:rsidR="002505BC" w:rsidRPr="00967AC5">
        <w:instrText xml:space="preserve"> \* MERGEFORMAT </w:instrText>
      </w:r>
      <w:r w:rsidR="00B20F57" w:rsidRPr="00967AC5">
        <w:fldChar w:fldCharType="separate"/>
      </w:r>
      <w:r w:rsidR="00680BB5" w:rsidRPr="00967AC5">
        <w:t xml:space="preserve">Table </w:t>
      </w:r>
      <w:r w:rsidR="00680BB5" w:rsidRPr="00967AC5">
        <w:rPr>
          <w:noProof/>
        </w:rPr>
        <w:t>6</w:t>
      </w:r>
      <w:r w:rsidR="00B20F57" w:rsidRPr="00967AC5">
        <w:fldChar w:fldCharType="end"/>
      </w:r>
      <w:r w:rsidRPr="00967AC5">
        <w:t xml:space="preserve"> are defined</w:t>
      </w:r>
      <w:r w:rsidR="00AA165D" w:rsidRPr="00967AC5">
        <w:t>.</w:t>
      </w:r>
    </w:p>
    <w:p w14:paraId="575B603C" w14:textId="5CEF6E4F" w:rsidR="00520A1F" w:rsidRPr="00967AC5" w:rsidRDefault="00520A1F" w:rsidP="008F473D">
      <w:pPr>
        <w:pStyle w:val="Caption"/>
        <w:keepNext/>
        <w:rPr>
          <w:lang w:val="en-GB"/>
        </w:rPr>
      </w:pPr>
      <w:bookmarkStart w:id="109" w:name="_Ref59213599"/>
      <w:bookmarkStart w:id="110" w:name="_Ref60764074"/>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6</w:t>
      </w:r>
      <w:r w:rsidRPr="00967AC5">
        <w:rPr>
          <w:lang w:val="en-GB"/>
        </w:rPr>
        <w:fldChar w:fldCharType="end"/>
      </w:r>
      <w:bookmarkEnd w:id="109"/>
      <w:r w:rsidRPr="00967AC5">
        <w:rPr>
          <w:lang w:val="en-GB"/>
        </w:rPr>
        <w:t xml:space="preserve">: </w:t>
      </w:r>
      <w:r w:rsidR="00CE38F5" w:rsidRPr="00967AC5">
        <w:rPr>
          <w:lang w:val="en-GB"/>
        </w:rPr>
        <w:t>Base station a</w:t>
      </w:r>
      <w:r w:rsidR="008F473D" w:rsidRPr="00967AC5">
        <w:rPr>
          <w:lang w:val="en-GB"/>
        </w:rPr>
        <w:t>dditional baseline region limits  for non-AAS</w:t>
      </w:r>
      <w:bookmarkEnd w:id="110"/>
    </w:p>
    <w:tbl>
      <w:tblPr>
        <w:tblStyle w:val="ECCTable-redheader"/>
        <w:tblW w:w="4563" w:type="pct"/>
        <w:tblInd w:w="0" w:type="dxa"/>
        <w:tblLook w:val="01E0" w:firstRow="1" w:lastRow="1" w:firstColumn="1" w:lastColumn="1" w:noHBand="0" w:noVBand="0"/>
      </w:tblPr>
      <w:tblGrid>
        <w:gridCol w:w="3539"/>
        <w:gridCol w:w="5248"/>
      </w:tblGrid>
      <w:tr w:rsidR="002505BC" w:rsidRPr="00967AC5" w14:paraId="17348D08" w14:textId="77777777" w:rsidTr="002505BC">
        <w:trPr>
          <w:cnfStyle w:val="100000000000" w:firstRow="1" w:lastRow="0" w:firstColumn="0" w:lastColumn="0" w:oddVBand="0" w:evenVBand="0" w:oddHBand="0" w:evenHBand="0" w:firstRowFirstColumn="0" w:firstRowLastColumn="0" w:lastRowFirstColumn="0" w:lastRowLastColumn="0"/>
        </w:trPr>
        <w:tc>
          <w:tcPr>
            <w:tcW w:w="2014" w:type="pct"/>
            <w:tcBorders>
              <w:top w:val="single" w:sz="4" w:space="0" w:color="FFFFFF" w:themeColor="background1"/>
              <w:left w:val="single" w:sz="4" w:space="0" w:color="FFFFFF" w:themeColor="background1"/>
              <w:bottom w:val="single" w:sz="4" w:space="0" w:color="FFFFFF" w:themeColor="background1"/>
            </w:tcBorders>
            <w:hideMark/>
          </w:tcPr>
          <w:p w14:paraId="6787BA42" w14:textId="77777777" w:rsidR="00520A1F" w:rsidRPr="00967AC5" w:rsidRDefault="00520A1F" w:rsidP="002505BC">
            <w:pPr>
              <w:pStyle w:val="ECCTableHeaderwhitefont"/>
              <w:keepNext/>
              <w:keepLines/>
              <w:rPr>
                <w:lang w:val="en-GB"/>
              </w:rPr>
            </w:pPr>
            <w:r w:rsidRPr="00967AC5">
              <w:rPr>
                <w:lang w:val="en-GB"/>
              </w:rPr>
              <w:t>Frequency range</w:t>
            </w:r>
          </w:p>
        </w:tc>
        <w:tc>
          <w:tcPr>
            <w:tcW w:w="2986" w:type="pct"/>
            <w:tcBorders>
              <w:top w:val="single" w:sz="4" w:space="0" w:color="FFFFFF" w:themeColor="background1"/>
              <w:bottom w:val="single" w:sz="4" w:space="0" w:color="FFFFFF" w:themeColor="background1"/>
              <w:right w:val="single" w:sz="4" w:space="0" w:color="FFFFFF" w:themeColor="background1"/>
            </w:tcBorders>
            <w:hideMark/>
          </w:tcPr>
          <w:p w14:paraId="5D01555C" w14:textId="6867ACD4" w:rsidR="00520A1F" w:rsidRPr="00967AC5" w:rsidRDefault="00520A1F" w:rsidP="002505BC">
            <w:pPr>
              <w:pStyle w:val="ECCTableHeaderwhitefont"/>
              <w:keepNext/>
              <w:keepLines/>
              <w:rPr>
                <w:lang w:val="en-GB"/>
              </w:rPr>
            </w:pPr>
            <w:r w:rsidRPr="00967AC5">
              <w:rPr>
                <w:lang w:val="en-GB"/>
              </w:rPr>
              <w:t>Non-AAS maximum mean e.i.r.p per antenna (for 900 MHz and 1800 MHz band)</w:t>
            </w:r>
            <w:r w:rsidR="00F8190E" w:rsidRPr="00967AC5">
              <w:rPr>
                <w:lang w:val="en-GB"/>
              </w:rPr>
              <w:t xml:space="preserve"> (</w:t>
            </w:r>
            <w:r w:rsidR="001A2668" w:rsidRPr="00967AC5">
              <w:rPr>
                <w:lang w:val="en-GB"/>
              </w:rPr>
              <w:t>note 1</w:t>
            </w:r>
            <w:r w:rsidR="006C0B22" w:rsidRPr="00967AC5">
              <w:rPr>
                <w:lang w:val="en-GB"/>
              </w:rPr>
              <w:t>) and (note 2)</w:t>
            </w:r>
          </w:p>
        </w:tc>
      </w:tr>
      <w:tr w:rsidR="00367403" w:rsidRPr="00967AC5" w14:paraId="7AA1D0A1" w14:textId="77777777" w:rsidTr="002505BC">
        <w:tc>
          <w:tcPr>
            <w:tcW w:w="2014" w:type="pct"/>
            <w:tcBorders>
              <w:top w:val="single" w:sz="4" w:space="0" w:color="FFFFFF" w:themeColor="background1"/>
              <w:left w:val="single" w:sz="4" w:space="0" w:color="D22A23"/>
              <w:bottom w:val="single" w:sz="4" w:space="0" w:color="D22A23"/>
              <w:right w:val="single" w:sz="4" w:space="0" w:color="D22A23"/>
            </w:tcBorders>
            <w:hideMark/>
          </w:tcPr>
          <w:p w14:paraId="561320E1" w14:textId="77777777" w:rsidR="00520A1F" w:rsidRPr="00967AC5" w:rsidRDefault="00520A1F" w:rsidP="002505BC">
            <w:pPr>
              <w:pStyle w:val="ECCTabletext"/>
              <w:keepNext/>
              <w:keepLines/>
            </w:pPr>
            <w:r w:rsidRPr="00967AC5">
              <w:t>0 to 0.2 MHz offset from block edge</w:t>
            </w:r>
          </w:p>
        </w:tc>
        <w:tc>
          <w:tcPr>
            <w:tcW w:w="2986" w:type="pct"/>
            <w:tcBorders>
              <w:top w:val="single" w:sz="4" w:space="0" w:color="FFFFFF" w:themeColor="background1"/>
              <w:left w:val="single" w:sz="4" w:space="0" w:color="D22A23"/>
              <w:bottom w:val="single" w:sz="4" w:space="0" w:color="D22A23"/>
              <w:right w:val="single" w:sz="4" w:space="0" w:color="D22A23"/>
            </w:tcBorders>
            <w:hideMark/>
          </w:tcPr>
          <w:p w14:paraId="36E141B0" w14:textId="13F2A350" w:rsidR="00520A1F" w:rsidRPr="00967AC5" w:rsidRDefault="00520A1F" w:rsidP="002505BC">
            <w:pPr>
              <w:pStyle w:val="ECCTabletext"/>
              <w:keepNext/>
              <w:keepLines/>
            </w:pPr>
            <w:r w:rsidRPr="00967AC5">
              <w:t>32.4 dBm/</w:t>
            </w:r>
            <w:r w:rsidR="00C12481" w:rsidRPr="00967AC5">
              <w:t>(</w:t>
            </w:r>
            <w:r w:rsidRPr="00967AC5">
              <w:t>0.2 MHz</w:t>
            </w:r>
            <w:r w:rsidR="00C12481" w:rsidRPr="00967AC5">
              <w:t>)</w:t>
            </w:r>
          </w:p>
        </w:tc>
      </w:tr>
      <w:tr w:rsidR="00367403" w:rsidRPr="00967AC5" w14:paraId="76B534DB" w14:textId="77777777" w:rsidTr="002505BC">
        <w:tc>
          <w:tcPr>
            <w:tcW w:w="2014" w:type="pct"/>
            <w:tcBorders>
              <w:top w:val="single" w:sz="4" w:space="0" w:color="D22A23"/>
              <w:left w:val="single" w:sz="4" w:space="0" w:color="D22A23"/>
              <w:bottom w:val="single" w:sz="4" w:space="0" w:color="D22A23"/>
              <w:right w:val="single" w:sz="4" w:space="0" w:color="D22A23"/>
            </w:tcBorders>
            <w:hideMark/>
          </w:tcPr>
          <w:p w14:paraId="2CCDAC92" w14:textId="77777777" w:rsidR="00520A1F" w:rsidRPr="00967AC5" w:rsidRDefault="00520A1F" w:rsidP="002505BC">
            <w:pPr>
              <w:pStyle w:val="ECCTabletext"/>
              <w:keepNext/>
              <w:keepLines/>
            </w:pPr>
            <w:r w:rsidRPr="00967AC5">
              <w:t>0.2 to 1 MHz offset from block edge</w:t>
            </w:r>
          </w:p>
        </w:tc>
        <w:tc>
          <w:tcPr>
            <w:tcW w:w="2986" w:type="pct"/>
            <w:tcBorders>
              <w:top w:val="single" w:sz="4" w:space="0" w:color="D22A23"/>
              <w:left w:val="single" w:sz="4" w:space="0" w:color="D22A23"/>
              <w:bottom w:val="single" w:sz="4" w:space="0" w:color="D22A23"/>
              <w:right w:val="single" w:sz="4" w:space="0" w:color="D22A23"/>
            </w:tcBorders>
            <w:vAlign w:val="top"/>
            <w:hideMark/>
          </w:tcPr>
          <w:p w14:paraId="69622F15" w14:textId="0582B146" w:rsidR="00520A1F" w:rsidRPr="00967AC5" w:rsidRDefault="00520A1F" w:rsidP="002505BC">
            <w:pPr>
              <w:pStyle w:val="ECCTabletext"/>
              <w:keepNext/>
              <w:keepLines/>
              <w:rPr>
                <w:szCs w:val="20"/>
              </w:rPr>
            </w:pPr>
            <w:r w:rsidRPr="00967AC5">
              <w:t>13.8 dBm/</w:t>
            </w:r>
            <w:r w:rsidR="00C12481" w:rsidRPr="00967AC5">
              <w:t>(</w:t>
            </w:r>
            <w:r w:rsidRPr="00967AC5">
              <w:t>0.8 MHz</w:t>
            </w:r>
            <w:r w:rsidR="00C12481" w:rsidRPr="00967AC5">
              <w:t>)</w:t>
            </w:r>
          </w:p>
        </w:tc>
      </w:tr>
      <w:tr w:rsidR="00CA0817" w:rsidRPr="00967AC5" w14:paraId="60E304E2" w14:textId="77777777" w:rsidTr="002505BC">
        <w:tc>
          <w:tcPr>
            <w:tcW w:w="2014" w:type="pct"/>
            <w:tcBorders>
              <w:top w:val="single" w:sz="4" w:space="0" w:color="D22A23"/>
              <w:left w:val="single" w:sz="4" w:space="0" w:color="D22A23"/>
              <w:bottom w:val="single" w:sz="4" w:space="0" w:color="D22A23"/>
              <w:right w:val="single" w:sz="4" w:space="0" w:color="D22A23"/>
            </w:tcBorders>
            <w:hideMark/>
          </w:tcPr>
          <w:p w14:paraId="20B9BBE8" w14:textId="77777777" w:rsidR="00520A1F" w:rsidRPr="00967AC5" w:rsidRDefault="00520A1F" w:rsidP="002505BC">
            <w:pPr>
              <w:pStyle w:val="ECCTabletext"/>
              <w:keepNext/>
              <w:keepLines/>
            </w:pPr>
            <w:r w:rsidRPr="00967AC5">
              <w:t>1 to 5 MHz offset from block edge</w:t>
            </w:r>
          </w:p>
        </w:tc>
        <w:tc>
          <w:tcPr>
            <w:tcW w:w="2986" w:type="pct"/>
            <w:tcBorders>
              <w:top w:val="single" w:sz="4" w:space="0" w:color="D22A23"/>
              <w:left w:val="single" w:sz="4" w:space="0" w:color="D22A23"/>
              <w:bottom w:val="single" w:sz="4" w:space="0" w:color="D22A23"/>
              <w:right w:val="single" w:sz="4" w:space="0" w:color="D22A23"/>
            </w:tcBorders>
            <w:hideMark/>
          </w:tcPr>
          <w:p w14:paraId="106A80FC" w14:textId="77777777" w:rsidR="00520A1F" w:rsidRPr="00967AC5" w:rsidRDefault="00520A1F" w:rsidP="002505BC">
            <w:pPr>
              <w:pStyle w:val="ECCTabletext"/>
              <w:keepNext/>
              <w:keepLines/>
            </w:pPr>
            <w:r w:rsidRPr="00967AC5">
              <w:t>5 dBm/MHz</w:t>
            </w:r>
          </w:p>
        </w:tc>
      </w:tr>
      <w:tr w:rsidR="00CA0817" w:rsidRPr="00967AC5" w14:paraId="4FB0B43B" w14:textId="77777777" w:rsidTr="002505BC">
        <w:tc>
          <w:tcPr>
            <w:tcW w:w="2014" w:type="pct"/>
            <w:tcBorders>
              <w:top w:val="single" w:sz="4" w:space="0" w:color="D22A23"/>
              <w:left w:val="single" w:sz="4" w:space="0" w:color="D22A23"/>
              <w:bottom w:val="single" w:sz="4" w:space="0" w:color="D22A23"/>
              <w:right w:val="single" w:sz="4" w:space="0" w:color="D22A23"/>
            </w:tcBorders>
            <w:hideMark/>
          </w:tcPr>
          <w:p w14:paraId="003F3AEE" w14:textId="77777777" w:rsidR="00520A1F" w:rsidRPr="00967AC5" w:rsidRDefault="00520A1F" w:rsidP="002505BC">
            <w:pPr>
              <w:pStyle w:val="ECCTabletext"/>
              <w:keepNext/>
              <w:keepLines/>
            </w:pPr>
            <w:r w:rsidRPr="00967AC5">
              <w:t>5 to 10 MHz offset from block edge</w:t>
            </w:r>
          </w:p>
        </w:tc>
        <w:tc>
          <w:tcPr>
            <w:tcW w:w="2986" w:type="pct"/>
            <w:tcBorders>
              <w:top w:val="single" w:sz="4" w:space="0" w:color="D22A23"/>
              <w:left w:val="single" w:sz="4" w:space="0" w:color="D22A23"/>
              <w:bottom w:val="single" w:sz="4" w:space="0" w:color="D22A23"/>
              <w:right w:val="single" w:sz="4" w:space="0" w:color="D22A23"/>
            </w:tcBorders>
            <w:hideMark/>
          </w:tcPr>
          <w:p w14:paraId="14C4745C" w14:textId="7E339652" w:rsidR="00520A1F" w:rsidRPr="00967AC5" w:rsidRDefault="00520A1F" w:rsidP="00871046">
            <w:pPr>
              <w:pStyle w:val="ECCTabletext"/>
              <w:keepNext/>
            </w:pPr>
            <w:r w:rsidRPr="00967AC5">
              <w:t>12 dBm/</w:t>
            </w:r>
            <w:r w:rsidR="00C12481" w:rsidRPr="00967AC5">
              <w:t>(</w:t>
            </w:r>
            <w:r w:rsidRPr="00967AC5">
              <w:t>5 MHz</w:t>
            </w:r>
            <w:r w:rsidR="00C12481" w:rsidRPr="00967AC5">
              <w:t>)</w:t>
            </w:r>
          </w:p>
        </w:tc>
      </w:tr>
      <w:tr w:rsidR="00520A1F" w:rsidRPr="00967AC5" w14:paraId="0217EF1B" w14:textId="77777777" w:rsidTr="002505BC">
        <w:tc>
          <w:tcPr>
            <w:tcW w:w="5000" w:type="pct"/>
            <w:gridSpan w:val="2"/>
            <w:tcBorders>
              <w:top w:val="single" w:sz="4" w:space="0" w:color="D22A23"/>
              <w:left w:val="single" w:sz="4" w:space="0" w:color="D22A23"/>
              <w:bottom w:val="single" w:sz="4" w:space="0" w:color="D22A23"/>
              <w:right w:val="single" w:sz="4" w:space="0" w:color="D22A23"/>
            </w:tcBorders>
            <w:hideMark/>
          </w:tcPr>
          <w:p w14:paraId="57598EEC" w14:textId="5FC70E6D" w:rsidR="00E53324" w:rsidRPr="00967AC5" w:rsidRDefault="00871046" w:rsidP="002505BC">
            <w:pPr>
              <w:pStyle w:val="ECCTablenote"/>
            </w:pPr>
            <w:r w:rsidRPr="00967AC5">
              <w:t>N</w:t>
            </w:r>
            <w:r w:rsidR="006C0B22" w:rsidRPr="00967AC5">
              <w:t>ote 1</w:t>
            </w:r>
            <w:r w:rsidR="007D4BC8" w:rsidRPr="00967AC5">
              <w:t>:</w:t>
            </w:r>
            <w:r w:rsidR="006C0B22" w:rsidRPr="00967AC5">
              <w:t xml:space="preserve"> </w:t>
            </w:r>
            <w:r w:rsidR="00E53324" w:rsidRPr="00967AC5">
              <w:t>Provided that adjacent services, applications or networks remain protected above 960 MHz, below 1805 MHz and above 1880</w:t>
            </w:r>
            <w:r w:rsidR="009C0DBF" w:rsidRPr="00967AC5">
              <w:rPr>
                <w:rFonts w:eastAsia="Times New Roman" w:cs="Arial"/>
                <w:color w:val="000000"/>
                <w:lang w:eastAsia="fr-FR"/>
              </w:rPr>
              <w:t> </w:t>
            </w:r>
            <w:r w:rsidR="00E53324" w:rsidRPr="00967AC5">
              <w:t xml:space="preserve">MHz: On </w:t>
            </w:r>
            <w:r w:rsidR="00CF354E" w:rsidRPr="00967AC5">
              <w:t>case-by-case</w:t>
            </w:r>
            <w:r w:rsidR="00E53324" w:rsidRPr="00967AC5">
              <w:t xml:space="preserve"> basis, at national level, higher </w:t>
            </w:r>
            <w:r w:rsidR="004A317C" w:rsidRPr="00967AC5">
              <w:t>e.i.r.p.</w:t>
            </w:r>
            <w:r w:rsidR="00E53324" w:rsidRPr="00967AC5">
              <w:t xml:space="preserve"> limits may be applied </w:t>
            </w:r>
            <w:r w:rsidR="00686F41" w:rsidRPr="00967AC5">
              <w:t>for non-AAS BS</w:t>
            </w:r>
            <w:r w:rsidR="00A179E9" w:rsidRPr="00967AC5">
              <w:t xml:space="preserve">: </w:t>
            </w:r>
            <w:r w:rsidR="004A317C" w:rsidRPr="00967AC5">
              <w:t>e.i.r.p.</w:t>
            </w:r>
            <w:r w:rsidR="00A179E9" w:rsidRPr="00967AC5">
              <w:t xml:space="preserve"> limits up to 6</w:t>
            </w:r>
            <w:r w:rsidR="009C0DBF" w:rsidRPr="00967AC5">
              <w:rPr>
                <w:rFonts w:eastAsia="Times New Roman" w:cs="Arial"/>
                <w:color w:val="000000"/>
                <w:lang w:eastAsia="fr-FR"/>
              </w:rPr>
              <w:t> </w:t>
            </w:r>
            <w:r w:rsidR="00A179E9" w:rsidRPr="00967AC5">
              <w:t xml:space="preserve">dB higher are allowed in the 0-200 </w:t>
            </w:r>
            <w:r w:rsidR="00AA165D" w:rsidRPr="00967AC5">
              <w:t>k</w:t>
            </w:r>
            <w:r w:rsidR="00A179E9" w:rsidRPr="00967AC5">
              <w:t>Hz range to support higher NB in-band block conducted power than 49 dBm/</w:t>
            </w:r>
            <w:r w:rsidR="00C12481" w:rsidRPr="00967AC5">
              <w:t>(</w:t>
            </w:r>
            <w:r w:rsidR="00A179E9" w:rsidRPr="00967AC5">
              <w:t>200 kHz</w:t>
            </w:r>
            <w:r w:rsidR="00A179E9" w:rsidRPr="00967AC5">
              <w:rPr>
                <w:rFonts w:cs="Arial"/>
                <w:color w:val="000000"/>
                <w:lang w:eastAsia="fr-FR"/>
              </w:rPr>
              <w:t>(</w:t>
            </w:r>
            <w:r w:rsidR="000F1F50" w:rsidRPr="00967AC5">
              <w:rPr>
                <w:rFonts w:cs="Arial"/>
                <w:color w:val="000000"/>
                <w:lang w:eastAsia="fr-FR"/>
              </w:rPr>
              <w:t xml:space="preserve">i.e. </w:t>
            </w:r>
            <w:r w:rsidR="00C12481" w:rsidRPr="00967AC5">
              <w:rPr>
                <w:rFonts w:eastAsia="Times New Roman" w:cs="Arial"/>
                <w:color w:val="000000"/>
                <w:lang w:eastAsia="fr-FR"/>
              </w:rPr>
              <w:t>)</w:t>
            </w:r>
            <w:r w:rsidR="00A179E9" w:rsidRPr="00967AC5">
              <w:t>up to 55 dBm/</w:t>
            </w:r>
            <w:r w:rsidR="00C12481" w:rsidRPr="00967AC5">
              <w:t>(</w:t>
            </w:r>
            <w:r w:rsidR="00A179E9" w:rsidRPr="00967AC5">
              <w:t>200 kHz</w:t>
            </w:r>
            <w:r w:rsidR="00C12481" w:rsidRPr="00967AC5">
              <w:t>)</w:t>
            </w:r>
            <w:r w:rsidR="00A179E9" w:rsidRPr="00967AC5">
              <w:t>, i.e. X = 12</w:t>
            </w:r>
            <w:r w:rsidR="00A179E9" w:rsidRPr="00967AC5">
              <w:rPr>
                <w:rFonts w:eastAsia="Times New Roman" w:cs="Arial"/>
                <w:color w:val="000000"/>
                <w:lang w:eastAsia="fr-FR"/>
              </w:rPr>
              <w:t>;</w:t>
            </w:r>
            <w:r w:rsidR="00A179E9" w:rsidRPr="00967AC5">
              <w:t xml:space="preserve"> </w:t>
            </w:r>
            <w:r w:rsidR="004A317C" w:rsidRPr="00967AC5">
              <w:t>e.i.r.p.</w:t>
            </w:r>
            <w:r w:rsidR="00A179E9" w:rsidRPr="00967AC5">
              <w:t xml:space="preserve"> limits up to 11 dB higher is allowed in the 0-10 MHz range to support higher antenna gain than </w:t>
            </w:r>
            <w:r w:rsidR="00A179E9" w:rsidRPr="00967AC5">
              <w:rPr>
                <w:rFonts w:eastAsia="Times New Roman" w:cs="Arial"/>
                <w:color w:val="000000"/>
                <w:lang w:eastAsia="fr-FR"/>
              </w:rPr>
              <w:t>18</w:t>
            </w:r>
            <w:r w:rsidR="00634186" w:rsidRPr="00967AC5">
              <w:rPr>
                <w:rFonts w:eastAsia="Times New Roman" w:cs="Arial"/>
                <w:color w:val="000000"/>
                <w:lang w:eastAsia="fr-FR"/>
              </w:rPr>
              <w:t xml:space="preserve"> </w:t>
            </w:r>
            <w:r w:rsidR="00A179E9" w:rsidRPr="00967AC5">
              <w:rPr>
                <w:rFonts w:eastAsia="Times New Roman" w:cs="Arial"/>
                <w:color w:val="000000"/>
                <w:lang w:eastAsia="fr-FR"/>
              </w:rPr>
              <w:t>dBi</w:t>
            </w:r>
            <w:r w:rsidR="00A179E9" w:rsidRPr="00967AC5">
              <w:t xml:space="preserve"> (up to </w:t>
            </w:r>
            <w:r w:rsidR="00267EAC" w:rsidRPr="00967AC5">
              <w:t>29</w:t>
            </w:r>
            <w:r w:rsidR="00A179E9" w:rsidRPr="00967AC5">
              <w:t xml:space="preserve"> dBi</w:t>
            </w:r>
            <w:r w:rsidR="00A179E9" w:rsidRPr="00967AC5">
              <w:rPr>
                <w:rFonts w:cs="Arial"/>
                <w:color w:val="000000"/>
                <w:lang w:eastAsia="fr-FR"/>
              </w:rPr>
              <w:t>)</w:t>
            </w:r>
            <w:r w:rsidR="00EF2D84" w:rsidRPr="00967AC5">
              <w:rPr>
                <w:rFonts w:cs="Arial"/>
                <w:color w:val="000000"/>
                <w:lang w:eastAsia="fr-FR"/>
              </w:rPr>
              <w:t>.</w:t>
            </w:r>
            <w:r w:rsidR="00A179E9" w:rsidRPr="00967AC5">
              <w:rPr>
                <w:rFonts w:eastAsia="Times New Roman" w:cs="Arial"/>
                <w:color w:val="000000"/>
                <w:lang w:eastAsia="fr-FR"/>
              </w:rPr>
              <w:t>)</w:t>
            </w:r>
            <w:r w:rsidR="00634186" w:rsidRPr="00967AC5">
              <w:rPr>
                <w:rFonts w:eastAsia="Times New Roman" w:cs="Arial"/>
                <w:color w:val="000000"/>
                <w:lang w:eastAsia="fr-FR"/>
              </w:rPr>
              <w:t>.</w:t>
            </w:r>
          </w:p>
          <w:p w14:paraId="340D6CE9" w14:textId="2654E6D4" w:rsidR="00520A1F" w:rsidRPr="00967AC5" w:rsidRDefault="003938EF" w:rsidP="002505BC">
            <w:pPr>
              <w:pStyle w:val="ECCTablenote"/>
            </w:pPr>
            <w:r w:rsidRPr="00967AC5">
              <w:t>N</w:t>
            </w:r>
            <w:r w:rsidR="006C0B22" w:rsidRPr="00967AC5">
              <w:t>ote 2</w:t>
            </w:r>
            <w:r w:rsidRPr="00967AC5">
              <w:t>:</w:t>
            </w:r>
            <w:r w:rsidR="006C0B22" w:rsidRPr="00967AC5">
              <w:t xml:space="preserve"> </w:t>
            </w:r>
            <w:r w:rsidR="00E53324" w:rsidRPr="00967AC5">
              <w:t xml:space="preserve">Provided that adjacent services, applications or networks remain protected below 925 MHz: On </w:t>
            </w:r>
            <w:r w:rsidR="00D3438C" w:rsidRPr="00967AC5">
              <w:t xml:space="preserve">a </w:t>
            </w:r>
            <w:r w:rsidR="00CF354E" w:rsidRPr="00967AC5">
              <w:t>case-by-case</w:t>
            </w:r>
            <w:r w:rsidR="00E53324" w:rsidRPr="00967AC5">
              <w:t xml:space="preserve"> basis, at national level, higher </w:t>
            </w:r>
            <w:r w:rsidR="004A317C" w:rsidRPr="00967AC5">
              <w:t>e.i.r.p.</w:t>
            </w:r>
            <w:r w:rsidR="00E53324" w:rsidRPr="00967AC5">
              <w:t xml:space="preserve"> limits may be applied</w:t>
            </w:r>
            <w:r w:rsidR="00686F41" w:rsidRPr="00967AC5">
              <w:t xml:space="preserve"> for non-AAS BS</w:t>
            </w:r>
            <w:r w:rsidR="002F5E94" w:rsidRPr="00967AC5">
              <w:rPr>
                <w:rFonts w:cs="Arial"/>
              </w:rPr>
              <w:t>.</w:t>
            </w:r>
          </w:p>
        </w:tc>
      </w:tr>
    </w:tbl>
    <w:p w14:paraId="7581C816" w14:textId="77777777" w:rsidR="00067E4E" w:rsidRPr="00967AC5" w:rsidRDefault="00067E4E" w:rsidP="00F91806">
      <w:pPr>
        <w:pStyle w:val="Heading3"/>
        <w:rPr>
          <w:lang w:val="en-GB"/>
        </w:rPr>
      </w:pPr>
      <w:bookmarkStart w:id="111" w:name="_Ref59201639"/>
      <w:bookmarkStart w:id="112" w:name="_Ref59205459"/>
      <w:bookmarkStart w:id="113" w:name="_Ref59205942"/>
      <w:bookmarkStart w:id="114" w:name="_Ref59206142"/>
      <w:bookmarkStart w:id="115" w:name="_Toc71037822"/>
      <w:r w:rsidRPr="00967AC5">
        <w:rPr>
          <w:lang w:val="en-GB"/>
        </w:rPr>
        <w:t>Recommended frequency separations</w:t>
      </w:r>
      <w:bookmarkEnd w:id="111"/>
      <w:bookmarkEnd w:id="112"/>
      <w:bookmarkEnd w:id="113"/>
      <w:bookmarkEnd w:id="114"/>
      <w:bookmarkEnd w:id="115"/>
    </w:p>
    <w:p w14:paraId="1B798E19" w14:textId="2228090B" w:rsidR="006164C8" w:rsidRPr="00967AC5" w:rsidRDefault="00B71CAE" w:rsidP="00B71CAE">
      <w:pPr>
        <w:pStyle w:val="ECCParagraph"/>
      </w:pPr>
      <w:r w:rsidRPr="00967AC5">
        <w:t xml:space="preserve">In </w:t>
      </w:r>
      <w:r w:rsidR="00267EAC" w:rsidRPr="00967AC5">
        <w:t xml:space="preserve">the </w:t>
      </w:r>
      <w:r w:rsidRPr="00967AC5">
        <w:t>900 MHz</w:t>
      </w:r>
      <w:r w:rsidR="00267EAC" w:rsidRPr="00967AC5">
        <w:t xml:space="preserve"> and </w:t>
      </w:r>
      <w:r w:rsidRPr="00967AC5">
        <w:t xml:space="preserve">1800 MHz frequency bands, </w:t>
      </w:r>
      <w:r w:rsidR="00C66A96" w:rsidRPr="00967AC5">
        <w:t xml:space="preserve">when deployed in an uncoordinated approach, </w:t>
      </w:r>
      <w:r w:rsidR="007E6969" w:rsidRPr="00967AC5">
        <w:t>it is necessary</w:t>
      </w:r>
      <w:r w:rsidRPr="00967AC5">
        <w:t xml:space="preserve"> to implement a 200 kHz frequency separation </w:t>
      </w:r>
      <w:r w:rsidR="006164C8" w:rsidRPr="00967AC5">
        <w:t>between:</w:t>
      </w:r>
    </w:p>
    <w:p w14:paraId="63D76F92" w14:textId="3DD4921B" w:rsidR="002B441F" w:rsidRPr="00967AC5" w:rsidRDefault="002B441F" w:rsidP="002B441F">
      <w:pPr>
        <w:pStyle w:val="ECCBulletsLv1"/>
      </w:pPr>
      <w:r w:rsidRPr="00967AC5">
        <w:t xml:space="preserve">a </w:t>
      </w:r>
      <w:r w:rsidR="00B71CAE" w:rsidRPr="00967AC5">
        <w:t>NB system</w:t>
      </w:r>
      <w:r w:rsidR="008F7656" w:rsidRPr="00967AC5">
        <w:t xml:space="preserve"> complying with the BEM</w:t>
      </w:r>
      <w:r w:rsidR="00B71CAE" w:rsidRPr="00967AC5">
        <w:t xml:space="preserve"> and a WB system </w:t>
      </w:r>
      <w:r w:rsidR="008F7656" w:rsidRPr="00967AC5">
        <w:t>complying with the BEM</w:t>
      </w:r>
      <w:r w:rsidRPr="00967AC5">
        <w:t>;</w:t>
      </w:r>
    </w:p>
    <w:p w14:paraId="20498EA0" w14:textId="5AB59376" w:rsidR="002B441F" w:rsidRPr="00967AC5" w:rsidRDefault="00FB45CD" w:rsidP="002B441F">
      <w:pPr>
        <w:pStyle w:val="ECCBulletsLv1"/>
      </w:pPr>
      <w:r w:rsidRPr="00967AC5">
        <w:t>different NB systems</w:t>
      </w:r>
      <w:r w:rsidR="002B441F" w:rsidRPr="00967AC5">
        <w:t xml:space="preserve"> both</w:t>
      </w:r>
      <w:r w:rsidR="008F7656" w:rsidRPr="00967AC5">
        <w:t xml:space="preserve"> complying with the BEM</w:t>
      </w:r>
      <w:r w:rsidR="002B441F" w:rsidRPr="00967AC5">
        <w:t>; and,</w:t>
      </w:r>
    </w:p>
    <w:p w14:paraId="107DBF6D" w14:textId="449FB5FB" w:rsidR="00B71CAE" w:rsidRPr="00967AC5" w:rsidRDefault="006A50A3">
      <w:pPr>
        <w:pStyle w:val="ECCBulletsLv1"/>
      </w:pPr>
      <w:r w:rsidRPr="00967AC5">
        <w:t xml:space="preserve">GSM </w:t>
      </w:r>
      <w:r w:rsidR="00C0473E" w:rsidRPr="00967AC5">
        <w:t>(</w:t>
      </w:r>
      <w:r w:rsidR="00C0473E" w:rsidRPr="00967AC5">
        <w:rPr>
          <w:lang w:eastAsia="en-GB"/>
        </w:rPr>
        <w:t>including EC-GSM-IoT)</w:t>
      </w:r>
      <w:r w:rsidR="00C0473E" w:rsidRPr="00967AC5">
        <w:t xml:space="preserve"> </w:t>
      </w:r>
      <w:r w:rsidRPr="00967AC5">
        <w:t>and</w:t>
      </w:r>
      <w:r w:rsidR="002B441F" w:rsidRPr="00967AC5">
        <w:t xml:space="preserve"> either</w:t>
      </w:r>
      <w:r w:rsidRPr="00967AC5">
        <w:t xml:space="preserve"> a NB or WB system complying with the BEM.</w:t>
      </w:r>
    </w:p>
    <w:p w14:paraId="6C0F586F" w14:textId="77777777" w:rsidR="007E6969" w:rsidRPr="00967AC5" w:rsidRDefault="007E6969" w:rsidP="002505BC">
      <w:pPr>
        <w:pStyle w:val="ECCBulletsLv1"/>
        <w:numPr>
          <w:ilvl w:val="0"/>
          <w:numId w:val="0"/>
        </w:numPr>
        <w:ind w:left="360"/>
      </w:pPr>
    </w:p>
    <w:p w14:paraId="0C69A285" w14:textId="1F8030CB" w:rsidR="0032761C" w:rsidRPr="00967AC5" w:rsidRDefault="00EE11F6" w:rsidP="005931B9">
      <w:pPr>
        <w:autoSpaceDE w:val="0"/>
        <w:autoSpaceDN w:val="0"/>
        <w:rPr>
          <w:rFonts w:eastAsia="Calibri"/>
          <w:lang w:val="en-GB"/>
        </w:rPr>
      </w:pPr>
      <w:r w:rsidRPr="00967AC5">
        <w:rPr>
          <w:rFonts w:eastAsia="Calibri"/>
          <w:lang w:val="en-GB"/>
        </w:rPr>
        <w:t xml:space="preserve">This </w:t>
      </w:r>
      <w:r w:rsidRPr="00967AC5">
        <w:rPr>
          <w:rFonts w:eastAsia="Calibri"/>
          <w:szCs w:val="22"/>
          <w:lang w:val="en-GB"/>
        </w:rPr>
        <w:t>section</w:t>
      </w:r>
      <w:r w:rsidR="000604A6" w:rsidRPr="00967AC5">
        <w:rPr>
          <w:rFonts w:eastAsia="Calibri"/>
          <w:szCs w:val="22"/>
          <w:lang w:val="en-GB"/>
        </w:rPr>
        <w:t xml:space="preserve"> of the Report</w:t>
      </w:r>
      <w:r w:rsidRPr="00967AC5">
        <w:rPr>
          <w:rFonts w:eastAsia="Calibri"/>
          <w:szCs w:val="22"/>
          <w:lang w:val="en-GB"/>
        </w:rPr>
        <w:t xml:space="preserve"> details</w:t>
      </w:r>
      <w:r w:rsidR="00EF33BC" w:rsidRPr="00967AC5">
        <w:rPr>
          <w:rFonts w:eastAsia="Calibri"/>
          <w:szCs w:val="22"/>
          <w:lang w:val="en-GB"/>
        </w:rPr>
        <w:t xml:space="preserve"> the basis for this</w:t>
      </w:r>
      <w:r w:rsidR="000D41E0" w:rsidRPr="00967AC5">
        <w:rPr>
          <w:rFonts w:eastAsia="Calibri"/>
          <w:szCs w:val="22"/>
          <w:lang w:val="en-GB"/>
        </w:rPr>
        <w:t xml:space="preserve"> </w:t>
      </w:r>
      <w:r w:rsidR="0032761C" w:rsidRPr="00967AC5">
        <w:rPr>
          <w:rFonts w:eastAsia="Calibri"/>
          <w:lang w:val="en-GB"/>
        </w:rPr>
        <w:t>frequency separation</w:t>
      </w:r>
      <w:r w:rsidR="009C20FA" w:rsidRPr="00967AC5">
        <w:rPr>
          <w:rFonts w:eastAsia="Calibri"/>
          <w:lang w:val="en-GB"/>
        </w:rPr>
        <w:t xml:space="preserve"> </w:t>
      </w:r>
      <w:r w:rsidR="00267EAC" w:rsidRPr="00967AC5">
        <w:rPr>
          <w:rFonts w:eastAsia="Calibri"/>
          <w:lang w:val="en-GB"/>
        </w:rPr>
        <w:t>(</w:t>
      </w:r>
      <w:r w:rsidR="009C20FA" w:rsidRPr="00967AC5">
        <w:rPr>
          <w:rFonts w:eastAsia="Calibri"/>
          <w:lang w:val="en-GB"/>
        </w:rPr>
        <w:t xml:space="preserve">see </w:t>
      </w:r>
      <w:r w:rsidR="009C20FA" w:rsidRPr="00967AC5">
        <w:rPr>
          <w:rFonts w:eastAsia="Calibri"/>
          <w:lang w:val="en-GB"/>
        </w:rPr>
        <w:fldChar w:fldCharType="begin"/>
      </w:r>
      <w:r w:rsidR="009C20FA" w:rsidRPr="00967AC5">
        <w:rPr>
          <w:rFonts w:eastAsia="Calibri"/>
          <w:lang w:val="en-GB"/>
        </w:rPr>
        <w:instrText xml:space="preserve"> REF _Ref67478768 \r \h  \* MERGEFORMAT </w:instrText>
      </w:r>
      <w:r w:rsidR="009C20FA" w:rsidRPr="00967AC5">
        <w:rPr>
          <w:rFonts w:eastAsia="Calibri"/>
          <w:lang w:val="en-GB"/>
        </w:rPr>
      </w:r>
      <w:r w:rsidR="009C20FA" w:rsidRPr="00967AC5">
        <w:rPr>
          <w:rFonts w:eastAsia="Calibri"/>
          <w:lang w:val="en-GB"/>
        </w:rPr>
        <w:fldChar w:fldCharType="separate"/>
      </w:r>
      <w:r w:rsidR="00680BB5" w:rsidRPr="00967AC5">
        <w:rPr>
          <w:rFonts w:eastAsia="Calibri"/>
          <w:lang w:val="en-GB"/>
        </w:rPr>
        <w:t>3.4.5.1</w:t>
      </w:r>
      <w:r w:rsidR="009C20FA" w:rsidRPr="00967AC5">
        <w:rPr>
          <w:rFonts w:eastAsia="Calibri"/>
          <w:lang w:val="en-GB"/>
        </w:rPr>
        <w:fldChar w:fldCharType="end"/>
      </w:r>
      <w:r w:rsidR="0032761C" w:rsidRPr="00967AC5">
        <w:rPr>
          <w:rFonts w:eastAsia="Calibri"/>
          <w:lang w:val="en-GB"/>
        </w:rPr>
        <w:t xml:space="preserve">), how it could be transposed in a technology neutral approach </w:t>
      </w:r>
      <w:r w:rsidR="00267EAC" w:rsidRPr="00967AC5">
        <w:rPr>
          <w:rFonts w:eastAsia="Calibri"/>
          <w:lang w:val="en-GB"/>
        </w:rPr>
        <w:t>(</w:t>
      </w:r>
      <w:r w:rsidR="009C20FA" w:rsidRPr="00967AC5">
        <w:rPr>
          <w:rFonts w:eastAsia="Calibri"/>
          <w:lang w:val="en-GB"/>
        </w:rPr>
        <w:t xml:space="preserve">see </w:t>
      </w:r>
      <w:r w:rsidR="009C20FA" w:rsidRPr="00967AC5">
        <w:rPr>
          <w:rFonts w:eastAsia="Calibri"/>
          <w:lang w:val="en-GB"/>
        </w:rPr>
        <w:fldChar w:fldCharType="begin"/>
      </w:r>
      <w:r w:rsidR="009C20FA" w:rsidRPr="00967AC5">
        <w:rPr>
          <w:rFonts w:eastAsia="Calibri"/>
          <w:lang w:val="en-GB"/>
        </w:rPr>
        <w:instrText xml:space="preserve"> REF _Ref67478787 \r \h  \* MERGEFORMAT </w:instrText>
      </w:r>
      <w:r w:rsidR="009C20FA" w:rsidRPr="00967AC5">
        <w:rPr>
          <w:rFonts w:eastAsia="Calibri"/>
          <w:lang w:val="en-GB"/>
        </w:rPr>
      </w:r>
      <w:r w:rsidR="009C20FA" w:rsidRPr="00967AC5">
        <w:rPr>
          <w:rFonts w:eastAsia="Calibri"/>
          <w:lang w:val="en-GB"/>
        </w:rPr>
        <w:fldChar w:fldCharType="separate"/>
      </w:r>
      <w:r w:rsidR="00680BB5" w:rsidRPr="00967AC5">
        <w:rPr>
          <w:rFonts w:eastAsia="Calibri"/>
          <w:lang w:val="en-GB"/>
        </w:rPr>
        <w:t>3.4.5.2</w:t>
      </w:r>
      <w:r w:rsidR="009C20FA" w:rsidRPr="00967AC5">
        <w:rPr>
          <w:rFonts w:eastAsia="Calibri"/>
          <w:lang w:val="en-GB"/>
        </w:rPr>
        <w:fldChar w:fldCharType="end"/>
      </w:r>
      <w:r w:rsidR="00267EAC" w:rsidRPr="00967AC5">
        <w:rPr>
          <w:rFonts w:eastAsia="Calibri"/>
          <w:lang w:val="en-GB"/>
        </w:rPr>
        <w:t xml:space="preserve">) </w:t>
      </w:r>
      <w:r w:rsidR="0032761C" w:rsidRPr="00967AC5">
        <w:rPr>
          <w:rFonts w:eastAsia="Calibri"/>
          <w:lang w:val="en-GB"/>
        </w:rPr>
        <w:t xml:space="preserve">and how it could be implemented at national level  </w:t>
      </w:r>
      <w:r w:rsidR="00267EAC" w:rsidRPr="00967AC5">
        <w:rPr>
          <w:rFonts w:eastAsia="Calibri"/>
          <w:lang w:val="en-GB"/>
        </w:rPr>
        <w:t>(</w:t>
      </w:r>
      <w:r w:rsidR="009C20FA" w:rsidRPr="00967AC5">
        <w:rPr>
          <w:rFonts w:eastAsia="Calibri"/>
          <w:lang w:val="en-GB"/>
        </w:rPr>
        <w:t xml:space="preserve">see </w:t>
      </w:r>
      <w:r w:rsidR="009C20FA" w:rsidRPr="00967AC5">
        <w:rPr>
          <w:rFonts w:eastAsia="Calibri"/>
          <w:lang w:val="en-GB"/>
        </w:rPr>
        <w:fldChar w:fldCharType="begin"/>
      </w:r>
      <w:r w:rsidR="009C20FA" w:rsidRPr="00967AC5">
        <w:rPr>
          <w:rFonts w:eastAsia="Calibri"/>
          <w:lang w:val="en-GB"/>
        </w:rPr>
        <w:instrText xml:space="preserve"> REF _Ref60764729 \r \h  \* MERGEFORMAT </w:instrText>
      </w:r>
      <w:r w:rsidR="009C20FA" w:rsidRPr="00967AC5">
        <w:rPr>
          <w:rFonts w:eastAsia="Calibri"/>
          <w:lang w:val="en-GB"/>
        </w:rPr>
      </w:r>
      <w:r w:rsidR="009C20FA" w:rsidRPr="00967AC5">
        <w:rPr>
          <w:rFonts w:eastAsia="Calibri"/>
          <w:lang w:val="en-GB"/>
        </w:rPr>
        <w:fldChar w:fldCharType="separate"/>
      </w:r>
      <w:r w:rsidR="00680BB5" w:rsidRPr="00967AC5">
        <w:rPr>
          <w:rFonts w:eastAsia="Calibri"/>
          <w:lang w:val="en-GB"/>
        </w:rPr>
        <w:t>3.4.5.3</w:t>
      </w:r>
      <w:r w:rsidR="009C20FA" w:rsidRPr="00967AC5">
        <w:rPr>
          <w:rFonts w:eastAsia="Calibri"/>
          <w:lang w:val="en-GB"/>
        </w:rPr>
        <w:fldChar w:fldCharType="end"/>
      </w:r>
      <w:r w:rsidR="0032761C" w:rsidRPr="00967AC5">
        <w:rPr>
          <w:rFonts w:eastAsia="Calibri"/>
          <w:lang w:val="en-GB"/>
        </w:rPr>
        <w:t>).</w:t>
      </w:r>
      <w:r w:rsidR="007E6969" w:rsidRPr="00967AC5">
        <w:rPr>
          <w:rFonts w:eastAsia="Calibri"/>
          <w:lang w:val="en-GB"/>
        </w:rPr>
        <w:t xml:space="preserve"> </w:t>
      </w:r>
    </w:p>
    <w:p w14:paraId="66819769" w14:textId="79A10240" w:rsidR="0032761C" w:rsidRPr="00967AC5" w:rsidRDefault="0032761C" w:rsidP="00001EB9">
      <w:pPr>
        <w:pStyle w:val="Heading4"/>
      </w:pPr>
      <w:bookmarkStart w:id="116" w:name="_Ref67478768"/>
      <w:bookmarkStart w:id="117" w:name="_Toc71037823"/>
      <w:r w:rsidRPr="00967AC5">
        <w:lastRenderedPageBreak/>
        <w:t xml:space="preserve">Frequency separation between WB systems and NB systems and between </w:t>
      </w:r>
      <w:r w:rsidR="00326790" w:rsidRPr="00967AC5">
        <w:t>two</w:t>
      </w:r>
      <w:r w:rsidRPr="00967AC5">
        <w:t xml:space="preserve"> different NB systems</w:t>
      </w:r>
      <w:bookmarkEnd w:id="116"/>
      <w:bookmarkEnd w:id="117"/>
    </w:p>
    <w:p w14:paraId="149A758F" w14:textId="015751C7" w:rsidR="0032761C" w:rsidRPr="00967AC5" w:rsidRDefault="0032761C" w:rsidP="00B354BF">
      <w:pPr>
        <w:pStyle w:val="ECCParagraph"/>
        <w:rPr>
          <w:rFonts w:eastAsia="Calibri"/>
        </w:rPr>
      </w:pPr>
      <w:r w:rsidRPr="00967AC5">
        <w:rPr>
          <w:rFonts w:eastAsia="Calibri"/>
        </w:rPr>
        <w:t xml:space="preserve">According to </w:t>
      </w:r>
      <w:r w:rsidR="00D3438C" w:rsidRPr="00967AC5">
        <w:rPr>
          <w:rFonts w:eastAsia="Calibri"/>
        </w:rPr>
        <w:t xml:space="preserve">the </w:t>
      </w:r>
      <w:r w:rsidRPr="00967AC5">
        <w:rPr>
          <w:rFonts w:eastAsia="Calibri"/>
        </w:rPr>
        <w:t>current EC/ECC regulatory framework</w:t>
      </w:r>
      <w:r w:rsidR="003D3187" w:rsidRPr="00967AC5">
        <w:rPr>
          <w:rFonts w:eastAsia="Calibri"/>
        </w:rPr>
        <w:t>s</w:t>
      </w:r>
      <w:r w:rsidRPr="00967AC5">
        <w:rPr>
          <w:rFonts w:eastAsia="Calibri"/>
        </w:rPr>
        <w:t xml:space="preserve">, CEPT identified the required frequency separation between NB systems </w:t>
      </w:r>
      <w:r w:rsidR="001B7CCB" w:rsidRPr="00967AC5">
        <w:rPr>
          <w:rFonts w:eastAsia="Calibri"/>
        </w:rPr>
        <w:t>or</w:t>
      </w:r>
      <w:r w:rsidRPr="00967AC5">
        <w:rPr>
          <w:rFonts w:eastAsia="Calibri"/>
        </w:rPr>
        <w:t xml:space="preserve"> GSM operating in 200</w:t>
      </w:r>
      <w:r w:rsidR="008F5B4D" w:rsidRPr="00967AC5">
        <w:rPr>
          <w:rFonts w:eastAsia="Calibri"/>
        </w:rPr>
        <w:t> </w:t>
      </w:r>
      <w:r w:rsidRPr="00967AC5">
        <w:rPr>
          <w:rFonts w:eastAsia="Calibri"/>
        </w:rPr>
        <w:t>kHz blocks and WB systems operating in channel</w:t>
      </w:r>
      <w:r w:rsidR="00D8430D" w:rsidRPr="00967AC5">
        <w:rPr>
          <w:rFonts w:eastAsia="Calibri"/>
        </w:rPr>
        <w:t>s</w:t>
      </w:r>
      <w:r w:rsidRPr="00967AC5">
        <w:rPr>
          <w:rFonts w:eastAsia="Calibri"/>
        </w:rPr>
        <w:t xml:space="preserve"> larger than 200 kHz.</w:t>
      </w:r>
    </w:p>
    <w:p w14:paraId="049C9D55" w14:textId="13DC99A4" w:rsidR="0032761C" w:rsidRPr="00967AC5" w:rsidRDefault="0032761C" w:rsidP="00B354BF">
      <w:pPr>
        <w:pStyle w:val="ECCParagraph"/>
        <w:rPr>
          <w:rFonts w:eastAsia="Calibri"/>
        </w:rPr>
      </w:pPr>
      <w:r w:rsidRPr="00967AC5">
        <w:rPr>
          <w:rFonts w:eastAsia="Calibri"/>
        </w:rPr>
        <w:t xml:space="preserve">NB </w:t>
      </w:r>
      <w:r w:rsidR="00E431A4" w:rsidRPr="00967AC5">
        <w:rPr>
          <w:rFonts w:eastAsia="Calibri"/>
        </w:rPr>
        <w:t>s</w:t>
      </w:r>
      <w:r w:rsidRPr="00967AC5">
        <w:rPr>
          <w:rFonts w:eastAsia="Calibri"/>
        </w:rPr>
        <w:t xml:space="preserve">ystems refer to </w:t>
      </w:r>
      <w:r w:rsidR="001B7CCB" w:rsidRPr="00967AC5">
        <w:rPr>
          <w:rFonts w:eastAsia="Calibri"/>
        </w:rPr>
        <w:t>systems operating in 200 kHz channels, excluding GSM and complying to the BEM</w:t>
      </w:r>
      <w:r w:rsidRPr="00967AC5">
        <w:rPr>
          <w:rFonts w:eastAsia="Calibri"/>
        </w:rPr>
        <w:t>:</w:t>
      </w:r>
    </w:p>
    <w:p w14:paraId="074C8A11" w14:textId="2C0FAB9F" w:rsidR="0032761C" w:rsidRPr="00967AC5" w:rsidRDefault="0032761C" w:rsidP="00470CAF">
      <w:pPr>
        <w:pStyle w:val="ECCBulletsLv1"/>
      </w:pPr>
      <w:r w:rsidRPr="00967AC5">
        <w:t>These systems operate in 200 kHz blocks</w:t>
      </w:r>
      <w:r w:rsidR="009738DC" w:rsidRPr="00967AC5">
        <w:t>;</w:t>
      </w:r>
      <w:r w:rsidRPr="00967AC5">
        <w:t xml:space="preserve"> </w:t>
      </w:r>
    </w:p>
    <w:p w14:paraId="1E596CE5" w14:textId="10FEDD68" w:rsidR="0032761C" w:rsidRPr="00967AC5" w:rsidRDefault="0032761C" w:rsidP="00470CAF">
      <w:pPr>
        <w:pStyle w:val="ECCBulletsLv1"/>
      </w:pPr>
      <w:r w:rsidRPr="00967AC5">
        <w:t xml:space="preserve">There is no need for frequency separation between </w:t>
      </w:r>
      <w:r w:rsidR="00A75525" w:rsidRPr="00967AC5">
        <w:t>two</w:t>
      </w:r>
      <w:r w:rsidRPr="00967AC5">
        <w:t xml:space="preserve"> NB systems</w:t>
      </w:r>
      <w:r w:rsidR="00A75525" w:rsidRPr="00967AC5">
        <w:t xml:space="preserve"> </w:t>
      </w:r>
      <w:r w:rsidR="00C64834" w:rsidRPr="00967AC5">
        <w:t xml:space="preserve">of the </w:t>
      </w:r>
      <w:r w:rsidRPr="00967AC5">
        <w:t xml:space="preserve">same </w:t>
      </w:r>
      <w:r w:rsidR="00C64834" w:rsidRPr="00967AC5">
        <w:t>type</w:t>
      </w:r>
      <w:r w:rsidR="009738DC" w:rsidRPr="00967AC5">
        <w:t>;</w:t>
      </w:r>
    </w:p>
    <w:p w14:paraId="67B341F0" w14:textId="06040AA1" w:rsidR="0032761C" w:rsidRPr="00967AC5" w:rsidRDefault="001B7CCB" w:rsidP="00B354BF">
      <w:pPr>
        <w:pStyle w:val="ECCBulletsLv1"/>
      </w:pPr>
      <w:r w:rsidRPr="00967AC5">
        <w:t>T</w:t>
      </w:r>
      <w:r w:rsidR="0032761C" w:rsidRPr="00967AC5">
        <w:t xml:space="preserve">here is a need for a frequency separation of 200 kHz or more between </w:t>
      </w:r>
      <w:r w:rsidRPr="00967AC5">
        <w:t xml:space="preserve">NB systems </w:t>
      </w:r>
      <w:r w:rsidR="0032761C" w:rsidRPr="00967AC5">
        <w:t>channel edge of a network and the GSM channel edge of the neighbouring network in case of uncoordinated deployments.</w:t>
      </w:r>
    </w:p>
    <w:p w14:paraId="62F58F98" w14:textId="0BCB1BE7" w:rsidR="0032761C" w:rsidRPr="00967AC5" w:rsidRDefault="0032761C" w:rsidP="00633812">
      <w:pPr>
        <w:pStyle w:val="ECCParagraph"/>
        <w:spacing w:before="100" w:beforeAutospacing="1"/>
        <w:rPr>
          <w:rFonts w:eastAsia="Calibri"/>
        </w:rPr>
      </w:pPr>
      <w:r w:rsidRPr="00967AC5">
        <w:rPr>
          <w:rFonts w:eastAsia="Calibri"/>
        </w:rPr>
        <w:t xml:space="preserve">WB systems include the following systems: LTE including MTC, eMTC, and </w:t>
      </w:r>
      <w:r w:rsidR="00D07C98" w:rsidRPr="00967AC5">
        <w:rPr>
          <w:rFonts w:eastAsia="Calibri"/>
        </w:rPr>
        <w:t>NB-IoT</w:t>
      </w:r>
      <w:r w:rsidRPr="00967AC5">
        <w:rPr>
          <w:rFonts w:eastAsia="Calibri"/>
        </w:rPr>
        <w:t xml:space="preserve"> </w:t>
      </w:r>
      <w:r w:rsidR="007C2B17" w:rsidRPr="00967AC5">
        <w:rPr>
          <w:rFonts w:eastAsia="Calibri"/>
        </w:rPr>
        <w:t>i</w:t>
      </w:r>
      <w:r w:rsidRPr="00967AC5">
        <w:rPr>
          <w:rFonts w:eastAsia="Calibri"/>
        </w:rPr>
        <w:t>n</w:t>
      </w:r>
      <w:r w:rsidR="007C2B17" w:rsidRPr="00967AC5">
        <w:rPr>
          <w:rFonts w:eastAsia="Calibri"/>
        </w:rPr>
        <w:t>-</w:t>
      </w:r>
      <w:r w:rsidRPr="00967AC5">
        <w:rPr>
          <w:rFonts w:eastAsia="Calibri"/>
        </w:rPr>
        <w:t>band, guard band modes), UMTS, WiMA</w:t>
      </w:r>
      <w:r w:rsidR="008F5B4D" w:rsidRPr="00967AC5">
        <w:rPr>
          <w:rFonts w:eastAsia="Calibri"/>
        </w:rPr>
        <w:t>X</w:t>
      </w:r>
      <w:r w:rsidRPr="00967AC5">
        <w:rPr>
          <w:rFonts w:eastAsia="Calibri"/>
        </w:rPr>
        <w:t>, 5G NR</w:t>
      </w:r>
      <w:r w:rsidR="009738DC" w:rsidRPr="00967AC5">
        <w:rPr>
          <w:rFonts w:eastAsia="Calibri"/>
        </w:rPr>
        <w:t>:</w:t>
      </w:r>
      <w:r w:rsidRPr="00967AC5">
        <w:rPr>
          <w:rFonts w:eastAsia="Calibri"/>
        </w:rPr>
        <w:t xml:space="preserve"> </w:t>
      </w:r>
    </w:p>
    <w:p w14:paraId="01929A48" w14:textId="23CD62C6" w:rsidR="0032761C" w:rsidRPr="00967AC5" w:rsidRDefault="0032761C" w:rsidP="00470CAF">
      <w:pPr>
        <w:pStyle w:val="ECCBulletsLv1"/>
      </w:pPr>
      <w:r w:rsidRPr="00967AC5">
        <w:t>Those systems could operate with multiples of 5 MHz channel bandwidths, except LTE that can also operate in 1.4 MHz or 3 MHz according to national circumstances</w:t>
      </w:r>
      <w:r w:rsidR="009738DC" w:rsidRPr="00967AC5">
        <w:t>;</w:t>
      </w:r>
      <w:r w:rsidRPr="00967AC5">
        <w:t xml:space="preserve"> </w:t>
      </w:r>
    </w:p>
    <w:p w14:paraId="70356A62" w14:textId="11680177" w:rsidR="0032761C" w:rsidRPr="00967AC5" w:rsidRDefault="0032761C">
      <w:pPr>
        <w:pStyle w:val="ECCBulletsLv1"/>
      </w:pPr>
      <w:r w:rsidRPr="00967AC5">
        <w:t xml:space="preserve">A frequency separation of 200 kHz or more is required between 5G NR, LTE, </w:t>
      </w:r>
      <w:r w:rsidR="009738DC" w:rsidRPr="00967AC5">
        <w:t>WiMAX</w:t>
      </w:r>
      <w:r w:rsidRPr="00967AC5">
        <w:t xml:space="preserve"> and UMTS channel edge of one network and GSM channel edge (including EC-GSM</w:t>
      </w:r>
      <w:r w:rsidR="008F5B4D" w:rsidRPr="00967AC5">
        <w:t>-</w:t>
      </w:r>
      <w:r w:rsidRPr="00967AC5">
        <w:t xml:space="preserve">IoT) or the </w:t>
      </w:r>
      <w:r w:rsidR="00680BB5" w:rsidRPr="00967AC5">
        <w:t>s</w:t>
      </w:r>
      <w:r w:rsidRPr="00967AC5">
        <w:t>tandalone</w:t>
      </w:r>
      <w:r w:rsidR="00C513E9" w:rsidRPr="00967AC5">
        <w:t xml:space="preserve"> </w:t>
      </w:r>
      <w:r w:rsidR="00D07C98" w:rsidRPr="00967AC5">
        <w:t>NB-IoT</w:t>
      </w:r>
      <w:r w:rsidR="00D87217" w:rsidRPr="00967AC5">
        <w:t xml:space="preserve"> </w:t>
      </w:r>
      <w:r w:rsidR="00EF2D84" w:rsidRPr="00967AC5">
        <w:t>c</w:t>
      </w:r>
      <w:r w:rsidRPr="00967AC5">
        <w:t>hannel</w:t>
      </w:r>
      <w:r w:rsidR="007E6969" w:rsidRPr="00967AC5">
        <w:rPr>
          <w:rStyle w:val="CommentReference"/>
        </w:rPr>
        <w:t xml:space="preserve"> </w:t>
      </w:r>
      <w:r w:rsidRPr="00967AC5">
        <w:t xml:space="preserve">edge of </w:t>
      </w:r>
      <w:r w:rsidR="00DF4CB4" w:rsidRPr="00967AC5">
        <w:t>neighbouring</w:t>
      </w:r>
      <w:r w:rsidRPr="00967AC5">
        <w:t xml:space="preserve"> networks where </w:t>
      </w:r>
      <w:r w:rsidR="003F15B5" w:rsidRPr="00967AC5">
        <w:t xml:space="preserve">wideband </w:t>
      </w:r>
      <w:r w:rsidRPr="00967AC5">
        <w:t>and GSM, EC</w:t>
      </w:r>
      <w:r w:rsidR="008F5B4D" w:rsidRPr="00967AC5">
        <w:t>-</w:t>
      </w:r>
      <w:r w:rsidRPr="00967AC5">
        <w:t>GSM</w:t>
      </w:r>
      <w:r w:rsidR="008F5B4D" w:rsidRPr="00967AC5">
        <w:t>-</w:t>
      </w:r>
      <w:r w:rsidRPr="00967AC5">
        <w:t xml:space="preserve">IoT or </w:t>
      </w:r>
      <w:r w:rsidR="00680BB5" w:rsidRPr="00967AC5">
        <w:t>standalone</w:t>
      </w:r>
      <w:r w:rsidR="00D034DC" w:rsidRPr="00967AC5">
        <w:t xml:space="preserve"> </w:t>
      </w:r>
      <w:r w:rsidR="00D07C98" w:rsidRPr="00967AC5">
        <w:t>NB-IoT</w:t>
      </w:r>
      <w:r w:rsidRPr="00967AC5">
        <w:t xml:space="preserve"> systems are operating in </w:t>
      </w:r>
      <w:r w:rsidR="00C64834" w:rsidRPr="00967AC5">
        <w:t xml:space="preserve">an </w:t>
      </w:r>
      <w:r w:rsidRPr="00967AC5">
        <w:t>uncoordinated manner. No frequency separation is required for coordinated operation</w:t>
      </w:r>
      <w:r w:rsidR="009738DC" w:rsidRPr="00967AC5">
        <w:t>;</w:t>
      </w:r>
    </w:p>
    <w:p w14:paraId="4C3F3494" w14:textId="2F4B28A2" w:rsidR="0032761C" w:rsidRPr="00967AC5" w:rsidRDefault="0032761C" w:rsidP="00470CAF">
      <w:pPr>
        <w:pStyle w:val="ECCBulletsLv1"/>
      </w:pPr>
      <w:r w:rsidRPr="00967AC5">
        <w:t>The usage of guard band NB-IoT within CEPT is foreseen only for LTE channel bandwidths of 10 MHz or higher</w:t>
      </w:r>
      <w:r w:rsidRPr="00967AC5" w:rsidDel="000D3781">
        <w:t xml:space="preserve"> </w:t>
      </w:r>
      <w:r w:rsidRPr="00967AC5">
        <w:t xml:space="preserve">(Mobile Operators may deploy guard band NB-IoT for smaller channel bandwidth in between their blocks, if agreed. This is outside the scope of this analysis on frequency separation). IoT systems such as LTE-MTC/eMTC and </w:t>
      </w:r>
      <w:r w:rsidR="00EF2D84" w:rsidRPr="00967AC5">
        <w:t>i</w:t>
      </w:r>
      <w:r w:rsidRPr="00967AC5">
        <w:t>n-</w:t>
      </w:r>
      <w:r w:rsidR="00EF2D84" w:rsidRPr="00967AC5">
        <w:t>b</w:t>
      </w:r>
      <w:r w:rsidRPr="00967AC5">
        <w:t>and NB-IoT are totally embedded inside the operators LTE channel, therefore they can be covered with the same conditions as per LTE</w:t>
      </w:r>
      <w:r w:rsidR="009738DC" w:rsidRPr="00967AC5">
        <w:t>;</w:t>
      </w:r>
    </w:p>
    <w:p w14:paraId="2FD0E443" w14:textId="3CAFA1FD" w:rsidR="0032761C" w:rsidRPr="00967AC5" w:rsidRDefault="0032761C" w:rsidP="00470CAF">
      <w:pPr>
        <w:pStyle w:val="ECCBulletsLv1"/>
      </w:pPr>
      <w:r w:rsidRPr="00967AC5">
        <w:t>Concerning carrier separation between two neighbouring UMTS networks</w:t>
      </w:r>
      <w:r w:rsidR="003F15B5" w:rsidRPr="00967AC5">
        <w:t>,</w:t>
      </w:r>
      <w:r w:rsidRPr="00967AC5">
        <w:t xml:space="preserve"> and between neighbouring UMTS networks and GSM networks, a separation of 5 MHz between the </w:t>
      </w:r>
      <w:r w:rsidR="00DF4CB4" w:rsidRPr="00967AC5">
        <w:t>centre</w:t>
      </w:r>
      <w:r w:rsidRPr="00967AC5">
        <w:t xml:space="preserve"> frequencies of two adjacent UMTS networks, and a separation of 2</w:t>
      </w:r>
      <w:r w:rsidR="008F5B4D" w:rsidRPr="00967AC5">
        <w:t>.</w:t>
      </w:r>
      <w:r w:rsidRPr="00967AC5">
        <w:t xml:space="preserve">8 MHz between </w:t>
      </w:r>
      <w:r w:rsidR="003F15B5" w:rsidRPr="00967AC5">
        <w:t xml:space="preserve">a </w:t>
      </w:r>
      <w:r w:rsidRPr="00967AC5">
        <w:t xml:space="preserve">GSM network </w:t>
      </w:r>
      <w:r w:rsidR="00DF4CB4" w:rsidRPr="00967AC5">
        <w:t>centre</w:t>
      </w:r>
      <w:r w:rsidRPr="00967AC5">
        <w:t xml:space="preserve"> frequency and </w:t>
      </w:r>
      <w:r w:rsidR="003F15B5" w:rsidRPr="00967AC5">
        <w:t xml:space="preserve">a </w:t>
      </w:r>
      <w:r w:rsidRPr="00967AC5">
        <w:t xml:space="preserve">UMTS network </w:t>
      </w:r>
      <w:r w:rsidR="00F74250" w:rsidRPr="00967AC5">
        <w:t>centre</w:t>
      </w:r>
      <w:r w:rsidRPr="00967AC5">
        <w:t xml:space="preserve"> frequency is needed if they are operating in uncoordinated manner</w:t>
      </w:r>
      <w:r w:rsidR="009738DC" w:rsidRPr="00967AC5">
        <w:t>;</w:t>
      </w:r>
      <w:r w:rsidRPr="00967AC5">
        <w:t xml:space="preserve"> </w:t>
      </w:r>
    </w:p>
    <w:p w14:paraId="7BD1B7A7" w14:textId="71C31666" w:rsidR="0032761C" w:rsidRPr="00967AC5" w:rsidRDefault="0032761C" w:rsidP="00470CAF">
      <w:pPr>
        <w:pStyle w:val="ECCBulletsLv1"/>
      </w:pPr>
      <w:r w:rsidRPr="00967AC5">
        <w:t xml:space="preserve">No frequency separation is needed between </w:t>
      </w:r>
      <w:r w:rsidR="003F15B5" w:rsidRPr="00967AC5">
        <w:t xml:space="preserve">an </w:t>
      </w:r>
      <w:r w:rsidRPr="00967AC5">
        <w:t>NR/LTE/Wi</w:t>
      </w:r>
      <w:r w:rsidR="008F5B4D" w:rsidRPr="00967AC5">
        <w:t>MAX</w:t>
      </w:r>
      <w:r w:rsidRPr="00967AC5">
        <w:t xml:space="preserve"> channel edge and </w:t>
      </w:r>
      <w:r w:rsidR="003F15B5" w:rsidRPr="00967AC5">
        <w:t xml:space="preserve">a </w:t>
      </w:r>
      <w:r w:rsidRPr="00967AC5">
        <w:t>UMTS channel edge</w:t>
      </w:r>
      <w:r w:rsidR="009738DC" w:rsidRPr="00967AC5">
        <w:t>;</w:t>
      </w:r>
    </w:p>
    <w:p w14:paraId="377F6F4A" w14:textId="54E05F61" w:rsidR="0032761C" w:rsidRPr="00967AC5" w:rsidRDefault="0032761C" w:rsidP="00470CAF">
      <w:pPr>
        <w:pStyle w:val="ECCBulletsLv1"/>
      </w:pPr>
      <w:r w:rsidRPr="00967AC5">
        <w:t xml:space="preserve">No frequency separation is needed between </w:t>
      </w:r>
      <w:r w:rsidR="003F15B5" w:rsidRPr="00967AC5">
        <w:t>the</w:t>
      </w:r>
      <w:r w:rsidRPr="00967AC5">
        <w:t xml:space="preserve"> channel edges </w:t>
      </w:r>
      <w:r w:rsidR="003F15B5" w:rsidRPr="00967AC5">
        <w:t xml:space="preserve">of </w:t>
      </w:r>
      <w:r w:rsidRPr="00967AC5">
        <w:t>two neighbouring Wi</w:t>
      </w:r>
      <w:r w:rsidR="008F5B4D" w:rsidRPr="00967AC5">
        <w:t>MAX</w:t>
      </w:r>
      <w:r w:rsidRPr="00967AC5">
        <w:t xml:space="preserve"> networks</w:t>
      </w:r>
      <w:r w:rsidR="009738DC" w:rsidRPr="00967AC5">
        <w:t>;</w:t>
      </w:r>
    </w:p>
    <w:p w14:paraId="2EDD39D5" w14:textId="2ECBECE8" w:rsidR="0032761C" w:rsidRPr="00967AC5" w:rsidRDefault="0032761C" w:rsidP="00470CAF">
      <w:pPr>
        <w:pStyle w:val="ECCBulletsLv1"/>
      </w:pPr>
      <w:r w:rsidRPr="00967AC5">
        <w:t>No frequency separation is needed between</w:t>
      </w:r>
      <w:r w:rsidR="003F15B5" w:rsidRPr="00967AC5">
        <w:t xml:space="preserve"> the</w:t>
      </w:r>
      <w:r w:rsidRPr="00967AC5">
        <w:t xml:space="preserve"> channel edges </w:t>
      </w:r>
      <w:r w:rsidR="003F15B5" w:rsidRPr="00967AC5">
        <w:t xml:space="preserve">of </w:t>
      </w:r>
      <w:r w:rsidRPr="00967AC5">
        <w:t>two neighbouring LTE networks.</w:t>
      </w:r>
    </w:p>
    <w:p w14:paraId="4446B48F" w14:textId="69CE8417" w:rsidR="0032761C" w:rsidRPr="00967AC5" w:rsidRDefault="0032761C" w:rsidP="009F0604">
      <w:pPr>
        <w:pStyle w:val="ECCParagraph"/>
        <w:spacing w:before="240"/>
        <w:rPr>
          <w:rFonts w:eastAsia="Calibri"/>
        </w:rPr>
      </w:pPr>
      <w:r w:rsidRPr="00967AC5">
        <w:rPr>
          <w:rFonts w:eastAsia="Calibri"/>
        </w:rPr>
        <w:t>Following CEPT Report 72</w:t>
      </w:r>
      <w:r w:rsidR="00AB4AFB" w:rsidRPr="00967AC5">
        <w:rPr>
          <w:rFonts w:eastAsia="Calibri"/>
        </w:rPr>
        <w:t xml:space="preserve"> </w:t>
      </w:r>
      <w:r w:rsidR="00AB4AFB" w:rsidRPr="00967AC5">
        <w:rPr>
          <w:rFonts w:eastAsia="Calibri"/>
        </w:rPr>
        <w:fldChar w:fldCharType="begin"/>
      </w:r>
      <w:r w:rsidR="00AB4AFB" w:rsidRPr="00967AC5">
        <w:rPr>
          <w:rFonts w:eastAsia="Calibri"/>
        </w:rPr>
        <w:instrText xml:space="preserve"> REF _Ref49781524 \r \h </w:instrText>
      </w:r>
      <w:r w:rsidR="002505BC" w:rsidRPr="00967AC5">
        <w:rPr>
          <w:rFonts w:eastAsia="Calibri"/>
        </w:rPr>
        <w:instrText xml:space="preserve"> \* MERGEFORMAT </w:instrText>
      </w:r>
      <w:r w:rsidR="00AB4AFB" w:rsidRPr="00967AC5">
        <w:rPr>
          <w:rFonts w:eastAsia="Calibri"/>
        </w:rPr>
      </w:r>
      <w:r w:rsidR="00AB4AFB" w:rsidRPr="00967AC5">
        <w:rPr>
          <w:rFonts w:eastAsia="Calibri"/>
        </w:rPr>
        <w:fldChar w:fldCharType="separate"/>
      </w:r>
      <w:r w:rsidR="00680BB5" w:rsidRPr="00967AC5">
        <w:rPr>
          <w:rFonts w:eastAsia="Calibri"/>
        </w:rPr>
        <w:t>[1]</w:t>
      </w:r>
      <w:r w:rsidR="00AB4AFB" w:rsidRPr="00967AC5">
        <w:rPr>
          <w:rFonts w:eastAsia="Calibri"/>
        </w:rPr>
        <w:fldChar w:fldCharType="end"/>
      </w:r>
      <w:r w:rsidRPr="00967AC5">
        <w:rPr>
          <w:rFonts w:eastAsia="Calibri"/>
        </w:rPr>
        <w:t>, ECC Report 266</w:t>
      </w:r>
      <w:r w:rsidR="00AB4AFB" w:rsidRPr="00967AC5">
        <w:rPr>
          <w:rFonts w:eastAsia="Calibri"/>
        </w:rPr>
        <w:t xml:space="preserve"> </w:t>
      </w:r>
      <w:r w:rsidR="00AB4AFB" w:rsidRPr="00967AC5">
        <w:rPr>
          <w:rFonts w:eastAsia="Calibri"/>
        </w:rPr>
        <w:fldChar w:fldCharType="begin"/>
      </w:r>
      <w:r w:rsidR="00AB4AFB" w:rsidRPr="00967AC5">
        <w:rPr>
          <w:rFonts w:eastAsia="Calibri"/>
        </w:rPr>
        <w:instrText xml:space="preserve"> REF _Ref63337447 \r \h </w:instrText>
      </w:r>
      <w:r w:rsidR="002505BC" w:rsidRPr="00967AC5">
        <w:rPr>
          <w:rFonts w:eastAsia="Calibri"/>
        </w:rPr>
        <w:instrText xml:space="preserve"> \* MERGEFORMAT </w:instrText>
      </w:r>
      <w:r w:rsidR="00AB4AFB" w:rsidRPr="00967AC5">
        <w:rPr>
          <w:rFonts w:eastAsia="Calibri"/>
        </w:rPr>
      </w:r>
      <w:r w:rsidR="00AB4AFB" w:rsidRPr="00967AC5">
        <w:rPr>
          <w:rFonts w:eastAsia="Calibri"/>
        </w:rPr>
        <w:fldChar w:fldCharType="separate"/>
      </w:r>
      <w:r w:rsidR="00680BB5" w:rsidRPr="00967AC5">
        <w:rPr>
          <w:rFonts w:eastAsia="Calibri"/>
        </w:rPr>
        <w:t>[5]</w:t>
      </w:r>
      <w:r w:rsidR="00AB4AFB" w:rsidRPr="00967AC5">
        <w:rPr>
          <w:rFonts w:eastAsia="Calibri"/>
        </w:rPr>
        <w:fldChar w:fldCharType="end"/>
      </w:r>
      <w:r w:rsidRPr="00967AC5">
        <w:rPr>
          <w:rFonts w:eastAsia="Calibri"/>
        </w:rPr>
        <w:t>, ECC Report 297</w:t>
      </w:r>
      <w:r w:rsidR="00AB4AFB" w:rsidRPr="00967AC5">
        <w:rPr>
          <w:rFonts w:eastAsia="Calibri"/>
        </w:rPr>
        <w:t xml:space="preserve"> </w:t>
      </w:r>
      <w:r w:rsidR="00AB4AFB" w:rsidRPr="00967AC5">
        <w:rPr>
          <w:rFonts w:eastAsia="Calibri"/>
        </w:rPr>
        <w:fldChar w:fldCharType="begin"/>
      </w:r>
      <w:r w:rsidR="00AB4AFB" w:rsidRPr="00967AC5">
        <w:rPr>
          <w:rFonts w:eastAsia="Calibri"/>
        </w:rPr>
        <w:instrText xml:space="preserve"> REF _Ref63337314 \r \h </w:instrText>
      </w:r>
      <w:r w:rsidR="002505BC" w:rsidRPr="00967AC5">
        <w:rPr>
          <w:rFonts w:eastAsia="Calibri"/>
        </w:rPr>
        <w:instrText xml:space="preserve"> \* MERGEFORMAT </w:instrText>
      </w:r>
      <w:r w:rsidR="00AB4AFB" w:rsidRPr="00967AC5">
        <w:rPr>
          <w:rFonts w:eastAsia="Calibri"/>
        </w:rPr>
      </w:r>
      <w:r w:rsidR="00AB4AFB" w:rsidRPr="00967AC5">
        <w:rPr>
          <w:rFonts w:eastAsia="Calibri"/>
        </w:rPr>
        <w:fldChar w:fldCharType="separate"/>
      </w:r>
      <w:r w:rsidR="00680BB5" w:rsidRPr="00967AC5">
        <w:rPr>
          <w:rFonts w:eastAsia="Calibri"/>
        </w:rPr>
        <w:t>[3]</w:t>
      </w:r>
      <w:r w:rsidR="00AB4AFB" w:rsidRPr="00967AC5">
        <w:rPr>
          <w:rFonts w:eastAsia="Calibri"/>
        </w:rPr>
        <w:fldChar w:fldCharType="end"/>
      </w:r>
      <w:r w:rsidRPr="00967AC5">
        <w:rPr>
          <w:rFonts w:eastAsia="Calibri"/>
        </w:rPr>
        <w:t xml:space="preserve"> on </w:t>
      </w:r>
      <w:r w:rsidR="003F15B5" w:rsidRPr="00967AC5">
        <w:rPr>
          <w:rFonts w:eastAsia="Calibri"/>
        </w:rPr>
        <w:t xml:space="preserve">the </w:t>
      </w:r>
      <w:r w:rsidRPr="00967AC5">
        <w:rPr>
          <w:rFonts w:eastAsia="Calibri"/>
        </w:rPr>
        <w:t>suitability for 5G</w:t>
      </w:r>
      <w:r w:rsidR="003F15B5" w:rsidRPr="00967AC5">
        <w:rPr>
          <w:rFonts w:eastAsia="Calibri"/>
        </w:rPr>
        <w:t>,</w:t>
      </w:r>
      <w:r w:rsidRPr="00967AC5">
        <w:rPr>
          <w:rFonts w:eastAsia="Calibri"/>
        </w:rPr>
        <w:t xml:space="preserve"> and</w:t>
      </w:r>
      <w:r w:rsidR="003F15B5" w:rsidRPr="00967AC5">
        <w:rPr>
          <w:rFonts w:eastAsia="Calibri"/>
        </w:rPr>
        <w:t xml:space="preserve"> the</w:t>
      </w:r>
      <w:r w:rsidRPr="00967AC5">
        <w:rPr>
          <w:rFonts w:eastAsia="Calibri"/>
        </w:rPr>
        <w:t xml:space="preserve"> current EC regulatory framework including the latest amendments of 2009/766/EC</w:t>
      </w:r>
      <w:r w:rsidR="003D1E06" w:rsidRPr="00967AC5">
        <w:rPr>
          <w:rFonts w:eastAsia="Calibri"/>
        </w:rPr>
        <w:t xml:space="preserve"> </w:t>
      </w:r>
      <w:r w:rsidR="003D1E06" w:rsidRPr="00967AC5">
        <w:rPr>
          <w:rFonts w:eastAsia="Calibri"/>
        </w:rPr>
        <w:fldChar w:fldCharType="begin"/>
      </w:r>
      <w:r w:rsidR="003D1E06" w:rsidRPr="00967AC5">
        <w:rPr>
          <w:rFonts w:eastAsia="Calibri"/>
        </w:rPr>
        <w:instrText xml:space="preserve"> REF _Ref63337216 \r \h </w:instrText>
      </w:r>
      <w:r w:rsidR="002505BC" w:rsidRPr="00967AC5">
        <w:rPr>
          <w:rFonts w:eastAsia="Calibri"/>
        </w:rPr>
        <w:instrText xml:space="preserve"> \* MERGEFORMAT </w:instrText>
      </w:r>
      <w:r w:rsidR="003D1E06" w:rsidRPr="00967AC5">
        <w:rPr>
          <w:rFonts w:eastAsia="Calibri"/>
        </w:rPr>
      </w:r>
      <w:r w:rsidR="003D1E06" w:rsidRPr="00967AC5">
        <w:rPr>
          <w:rFonts w:eastAsia="Calibri"/>
        </w:rPr>
        <w:fldChar w:fldCharType="separate"/>
      </w:r>
      <w:r w:rsidR="00680BB5" w:rsidRPr="00967AC5">
        <w:rPr>
          <w:rFonts w:eastAsia="Calibri"/>
        </w:rPr>
        <w:t>[2]</w:t>
      </w:r>
      <w:r w:rsidR="003D1E06" w:rsidRPr="00967AC5">
        <w:rPr>
          <w:rFonts w:eastAsia="Calibri"/>
        </w:rPr>
        <w:fldChar w:fldCharType="end"/>
      </w:r>
      <w:r w:rsidRPr="00967AC5">
        <w:rPr>
          <w:rFonts w:eastAsia="Calibri"/>
        </w:rPr>
        <w:t xml:space="preserve">, the above frequency separations shall be applied as an essential component of the conditions necessary to ensure coexistence in the absence of bilateral or multilateral agreements between neighbouring networks, without precluding less stringent technical parameters if agreed among the operators of such networks. This is </w:t>
      </w:r>
      <w:r w:rsidR="00AB4AFB" w:rsidRPr="00967AC5">
        <w:rPr>
          <w:rFonts w:eastAsia="Calibri"/>
        </w:rPr>
        <w:t xml:space="preserve">summarised </w:t>
      </w:r>
      <w:r w:rsidRPr="00967AC5">
        <w:rPr>
          <w:rFonts w:eastAsia="Calibri"/>
        </w:rPr>
        <w:t xml:space="preserve">in </w:t>
      </w:r>
      <w:r w:rsidR="00DF4CB4" w:rsidRPr="00967AC5">
        <w:rPr>
          <w:rFonts w:eastAsia="Calibri"/>
        </w:rPr>
        <w:fldChar w:fldCharType="begin"/>
      </w:r>
      <w:r w:rsidR="00DF4CB4" w:rsidRPr="00967AC5">
        <w:rPr>
          <w:rFonts w:eastAsia="Calibri"/>
        </w:rPr>
        <w:instrText xml:space="preserve"> REF _Ref50623268 \h  \* MERGEFORMAT </w:instrText>
      </w:r>
      <w:r w:rsidR="00DF4CB4" w:rsidRPr="00967AC5">
        <w:rPr>
          <w:rFonts w:eastAsia="Calibri"/>
        </w:rPr>
      </w:r>
      <w:r w:rsidR="00DF4CB4" w:rsidRPr="00967AC5">
        <w:rPr>
          <w:rFonts w:eastAsia="Calibri"/>
        </w:rPr>
        <w:fldChar w:fldCharType="separate"/>
      </w:r>
      <w:r w:rsidR="00680BB5" w:rsidRPr="00967AC5">
        <w:t>Table 7</w:t>
      </w:r>
      <w:r w:rsidR="00DF4CB4" w:rsidRPr="00967AC5">
        <w:rPr>
          <w:rFonts w:eastAsia="Calibri"/>
        </w:rPr>
        <w:fldChar w:fldCharType="end"/>
      </w:r>
      <w:r w:rsidRPr="00967AC5">
        <w:rPr>
          <w:rFonts w:eastAsia="Calibri"/>
        </w:rPr>
        <w:t xml:space="preserve"> hereafter.</w:t>
      </w:r>
    </w:p>
    <w:p w14:paraId="7E2DD3E6" w14:textId="32AE552D" w:rsidR="00DF4CB4" w:rsidRPr="00967AC5" w:rsidRDefault="00DF4CB4" w:rsidP="00001EB9">
      <w:pPr>
        <w:pStyle w:val="Caption"/>
        <w:keepNext/>
        <w:rPr>
          <w:lang w:val="en-GB"/>
        </w:rPr>
      </w:pPr>
      <w:bookmarkStart w:id="118" w:name="_Ref50623268"/>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7</w:t>
      </w:r>
      <w:r w:rsidRPr="00967AC5">
        <w:rPr>
          <w:lang w:val="en-GB"/>
        </w:rPr>
        <w:fldChar w:fldCharType="end"/>
      </w:r>
      <w:bookmarkEnd w:id="118"/>
      <w:r w:rsidRPr="00967AC5">
        <w:rPr>
          <w:lang w:val="en-GB"/>
        </w:rPr>
        <w:t xml:space="preserve">: The required frequency separation between the channel edge of two adjacent systems according to ECC Report 266 </w:t>
      </w:r>
      <w:r w:rsidR="00A30E83" w:rsidRPr="00967AC5">
        <w:rPr>
          <w:rFonts w:eastAsia="Calibri"/>
          <w:lang w:val="en-GB"/>
        </w:rPr>
        <w:fldChar w:fldCharType="begin"/>
      </w:r>
      <w:r w:rsidR="00A30E83" w:rsidRPr="00967AC5">
        <w:rPr>
          <w:lang w:val="en-GB"/>
        </w:rPr>
        <w:instrText xml:space="preserve"> REF _Ref63686712 \r \h </w:instrText>
      </w:r>
      <w:r w:rsidR="002505BC" w:rsidRPr="00967AC5">
        <w:rPr>
          <w:rFonts w:eastAsia="Calibri"/>
          <w:lang w:val="en-GB"/>
        </w:rPr>
        <w:instrText xml:space="preserve"> \* MERGEFORMAT </w:instrText>
      </w:r>
      <w:r w:rsidR="00A30E83" w:rsidRPr="00967AC5">
        <w:rPr>
          <w:rFonts w:eastAsia="Calibri"/>
          <w:lang w:val="en-GB"/>
        </w:rPr>
      </w:r>
      <w:r w:rsidR="00A30E83" w:rsidRPr="00967AC5">
        <w:rPr>
          <w:rFonts w:eastAsia="Calibri"/>
          <w:lang w:val="en-GB"/>
        </w:rPr>
        <w:fldChar w:fldCharType="separate"/>
      </w:r>
      <w:r w:rsidR="00680BB5" w:rsidRPr="00967AC5">
        <w:rPr>
          <w:lang w:val="en-GB"/>
        </w:rPr>
        <w:t>[5]</w:t>
      </w:r>
      <w:r w:rsidR="00A30E83" w:rsidRPr="00967AC5">
        <w:rPr>
          <w:rFonts w:eastAsia="Calibri"/>
          <w:lang w:val="en-GB"/>
        </w:rPr>
        <w:fldChar w:fldCharType="end"/>
      </w:r>
      <w:r w:rsidR="009A20D3" w:rsidRPr="00967AC5">
        <w:rPr>
          <w:rFonts w:eastAsia="Calibri"/>
          <w:lang w:val="en-GB"/>
        </w:rPr>
        <w:t xml:space="preserve"> </w:t>
      </w:r>
      <w:r w:rsidRPr="00967AC5">
        <w:rPr>
          <w:lang w:val="en-GB"/>
        </w:rPr>
        <w:t xml:space="preserve">and 297 </w:t>
      </w:r>
      <w:r w:rsidR="009A20D3" w:rsidRPr="00967AC5">
        <w:rPr>
          <w:rFonts w:eastAsia="Calibri"/>
          <w:lang w:val="en-GB"/>
        </w:rPr>
        <w:fldChar w:fldCharType="begin"/>
      </w:r>
      <w:r w:rsidR="009A20D3" w:rsidRPr="00967AC5">
        <w:rPr>
          <w:rFonts w:eastAsia="Calibri"/>
          <w:lang w:val="en-GB"/>
        </w:rPr>
        <w:instrText xml:space="preserve"> REF _Ref63337314 \r \h </w:instrText>
      </w:r>
      <w:r w:rsidR="002505BC" w:rsidRPr="00967AC5">
        <w:rPr>
          <w:rFonts w:eastAsia="Calibri"/>
          <w:lang w:val="en-GB"/>
        </w:rPr>
        <w:instrText xml:space="preserve"> \* MERGEFORMAT </w:instrText>
      </w:r>
      <w:r w:rsidR="009A20D3" w:rsidRPr="00967AC5">
        <w:rPr>
          <w:rFonts w:eastAsia="Calibri"/>
          <w:lang w:val="en-GB"/>
        </w:rPr>
      </w:r>
      <w:r w:rsidR="009A20D3" w:rsidRPr="00967AC5">
        <w:rPr>
          <w:rFonts w:eastAsia="Calibri"/>
          <w:lang w:val="en-GB"/>
        </w:rPr>
        <w:fldChar w:fldCharType="separate"/>
      </w:r>
      <w:r w:rsidR="00680BB5" w:rsidRPr="00967AC5">
        <w:rPr>
          <w:rFonts w:eastAsia="Calibri"/>
          <w:lang w:val="en-GB"/>
        </w:rPr>
        <w:t>[3]</w:t>
      </w:r>
      <w:r w:rsidR="009A20D3" w:rsidRPr="00967AC5">
        <w:rPr>
          <w:rFonts w:eastAsia="Calibri"/>
          <w:lang w:val="en-GB"/>
        </w:rPr>
        <w:fldChar w:fldCharType="end"/>
      </w:r>
      <w:r w:rsidR="009A20D3" w:rsidRPr="00967AC5">
        <w:rPr>
          <w:rFonts w:eastAsia="Calibri"/>
          <w:lang w:val="en-GB"/>
        </w:rPr>
        <w:t xml:space="preserve"> </w:t>
      </w:r>
      <w:r w:rsidRPr="00967AC5">
        <w:rPr>
          <w:lang w:val="en-GB"/>
        </w:rPr>
        <w:t>and CEPT Report 40</w:t>
      </w:r>
      <w:r w:rsidR="009A20D3" w:rsidRPr="00967AC5">
        <w:rPr>
          <w:lang w:val="en-GB"/>
        </w:rPr>
        <w:t xml:space="preserve"> </w:t>
      </w:r>
      <w:r w:rsidR="009A20D3" w:rsidRPr="00967AC5">
        <w:rPr>
          <w:lang w:val="en-GB"/>
        </w:rPr>
        <w:fldChar w:fldCharType="begin"/>
      </w:r>
      <w:r w:rsidR="009A20D3" w:rsidRPr="00967AC5">
        <w:rPr>
          <w:lang w:val="en-GB"/>
        </w:rPr>
        <w:instrText xml:space="preserve"> REF _Ref63843359 \r \h </w:instrText>
      </w:r>
      <w:r w:rsidR="002505BC" w:rsidRPr="00967AC5">
        <w:rPr>
          <w:lang w:val="en-GB"/>
        </w:rPr>
        <w:instrText xml:space="preserve"> \* MERGEFORMAT </w:instrText>
      </w:r>
      <w:r w:rsidR="009A20D3" w:rsidRPr="00967AC5">
        <w:rPr>
          <w:lang w:val="en-GB"/>
        </w:rPr>
      </w:r>
      <w:r w:rsidR="009A20D3" w:rsidRPr="00967AC5">
        <w:rPr>
          <w:lang w:val="en-GB"/>
        </w:rPr>
        <w:fldChar w:fldCharType="separate"/>
      </w:r>
      <w:r w:rsidR="00680BB5" w:rsidRPr="00967AC5">
        <w:rPr>
          <w:lang w:val="en-GB"/>
        </w:rPr>
        <w:t>[4]</w:t>
      </w:r>
      <w:r w:rsidR="009A20D3" w:rsidRPr="00967AC5">
        <w:rPr>
          <w:lang w:val="en-GB"/>
        </w:rPr>
        <w:fldChar w:fldCharType="end"/>
      </w:r>
      <w:r w:rsidRPr="00967AC5">
        <w:rPr>
          <w:lang w:val="en-GB"/>
        </w:rPr>
        <w:t xml:space="preserve"> and implemented in EC/ECC Decision</w:t>
      </w:r>
      <w:r w:rsidR="009A20D3" w:rsidRPr="00967AC5">
        <w:rPr>
          <w:lang w:val="en-GB"/>
        </w:rPr>
        <w:t>s</w:t>
      </w:r>
    </w:p>
    <w:tbl>
      <w:tblPr>
        <w:tblStyle w:val="ECCTable-redheader"/>
        <w:tblW w:w="5000" w:type="pct"/>
        <w:tblInd w:w="0" w:type="dxa"/>
        <w:tblLook w:val="04A0" w:firstRow="1" w:lastRow="0" w:firstColumn="1" w:lastColumn="0" w:noHBand="0" w:noVBand="1"/>
      </w:tblPr>
      <w:tblGrid>
        <w:gridCol w:w="2531"/>
        <w:gridCol w:w="1288"/>
        <w:gridCol w:w="1452"/>
        <w:gridCol w:w="1452"/>
        <w:gridCol w:w="1452"/>
        <w:gridCol w:w="1454"/>
      </w:tblGrid>
      <w:tr w:rsidR="00680BB5" w:rsidRPr="00967AC5" w14:paraId="6000C001" w14:textId="77777777" w:rsidTr="00A650FC">
        <w:trPr>
          <w:cnfStyle w:val="100000000000" w:firstRow="1" w:lastRow="0" w:firstColumn="0" w:lastColumn="0" w:oddVBand="0" w:evenVBand="0" w:oddHBand="0" w:evenHBand="0" w:firstRowFirstColumn="0" w:firstRowLastColumn="0" w:lastRowFirstColumn="0" w:lastRowLastColumn="0"/>
          <w:trHeight w:val="826"/>
        </w:trPr>
        <w:tc>
          <w:tcPr>
            <w:tcW w:w="1314" w:type="pct"/>
          </w:tcPr>
          <w:p w14:paraId="58396D83" w14:textId="77777777" w:rsidR="0032761C" w:rsidRPr="00967AC5" w:rsidRDefault="0032761C" w:rsidP="005931B9">
            <w:pPr>
              <w:pStyle w:val="ECCTableHeaderwhitefont"/>
              <w:keepNext/>
              <w:keepLines/>
              <w:rPr>
                <w:lang w:val="en-GB"/>
              </w:rPr>
            </w:pPr>
          </w:p>
        </w:tc>
        <w:tc>
          <w:tcPr>
            <w:tcW w:w="669" w:type="pct"/>
            <w:hideMark/>
          </w:tcPr>
          <w:p w14:paraId="2E2B3121" w14:textId="77777777" w:rsidR="0032761C" w:rsidRPr="00967AC5" w:rsidRDefault="0032761C" w:rsidP="005931B9">
            <w:pPr>
              <w:pStyle w:val="ECCTableHeaderwhitefont"/>
              <w:keepNext/>
              <w:keepLines/>
              <w:rPr>
                <w:lang w:val="en-GB"/>
              </w:rPr>
            </w:pPr>
            <w:r w:rsidRPr="00967AC5">
              <w:rPr>
                <w:lang w:val="en-GB"/>
              </w:rPr>
              <w:t>LTE (channel edge)</w:t>
            </w:r>
          </w:p>
        </w:tc>
        <w:tc>
          <w:tcPr>
            <w:tcW w:w="754" w:type="pct"/>
            <w:hideMark/>
          </w:tcPr>
          <w:p w14:paraId="4A08801A" w14:textId="77777777" w:rsidR="0032761C" w:rsidRPr="00967AC5" w:rsidRDefault="0032761C" w:rsidP="005931B9">
            <w:pPr>
              <w:pStyle w:val="ECCTableHeaderwhitefont"/>
              <w:keepNext/>
              <w:keepLines/>
              <w:rPr>
                <w:lang w:val="en-GB"/>
              </w:rPr>
            </w:pPr>
            <w:r w:rsidRPr="00967AC5">
              <w:rPr>
                <w:lang w:val="en-GB"/>
              </w:rPr>
              <w:t>WIMAX (channel edge)</w:t>
            </w:r>
          </w:p>
        </w:tc>
        <w:tc>
          <w:tcPr>
            <w:tcW w:w="754" w:type="pct"/>
            <w:hideMark/>
          </w:tcPr>
          <w:p w14:paraId="4327395D" w14:textId="77777777" w:rsidR="0032761C" w:rsidRPr="00967AC5" w:rsidRDefault="0032761C" w:rsidP="005931B9">
            <w:pPr>
              <w:pStyle w:val="ECCTableHeaderwhitefont"/>
              <w:keepNext/>
              <w:keepLines/>
              <w:rPr>
                <w:lang w:val="en-GB"/>
              </w:rPr>
            </w:pPr>
            <w:r w:rsidRPr="00967AC5">
              <w:rPr>
                <w:lang w:val="en-GB"/>
              </w:rPr>
              <w:t xml:space="preserve">UMTS (channel edge) </w:t>
            </w:r>
            <w:r w:rsidRPr="00967AC5">
              <w:rPr>
                <w:rStyle w:val="FootnoteReference"/>
                <w:rFonts w:ascii="TimesNewRomanPSMT" w:hAnsi="TimesNewRomanPSMT"/>
                <w:sz w:val="19"/>
                <w:szCs w:val="19"/>
                <w:lang w:val="en-GB"/>
              </w:rPr>
              <w:footnoteReference w:id="10"/>
            </w:r>
          </w:p>
        </w:tc>
        <w:tc>
          <w:tcPr>
            <w:tcW w:w="754" w:type="pct"/>
            <w:hideMark/>
          </w:tcPr>
          <w:p w14:paraId="52D08F68" w14:textId="77777777" w:rsidR="0032761C" w:rsidRPr="00967AC5" w:rsidRDefault="0032761C" w:rsidP="005931B9">
            <w:pPr>
              <w:pStyle w:val="ECCTableHeaderwhitefont"/>
              <w:keepNext/>
              <w:keepLines/>
              <w:rPr>
                <w:lang w:val="en-GB"/>
              </w:rPr>
            </w:pPr>
            <w:r w:rsidRPr="00967AC5">
              <w:rPr>
                <w:lang w:val="en-GB"/>
              </w:rPr>
              <w:t>Standalone NB-IoT (channel edge)</w:t>
            </w:r>
          </w:p>
        </w:tc>
        <w:tc>
          <w:tcPr>
            <w:tcW w:w="755" w:type="pct"/>
            <w:hideMark/>
          </w:tcPr>
          <w:p w14:paraId="261A74D4" w14:textId="77777777" w:rsidR="0032761C" w:rsidRPr="00967AC5" w:rsidRDefault="0032761C" w:rsidP="005931B9">
            <w:pPr>
              <w:pStyle w:val="ECCTableHeaderwhitefont"/>
              <w:keepNext/>
              <w:keepLines/>
              <w:rPr>
                <w:lang w:val="en-GB"/>
              </w:rPr>
            </w:pPr>
            <w:r w:rsidRPr="00967AC5">
              <w:rPr>
                <w:lang w:val="en-GB"/>
              </w:rPr>
              <w:t>5G NR (channel edge)</w:t>
            </w:r>
          </w:p>
        </w:tc>
      </w:tr>
      <w:tr w:rsidR="002505BC" w:rsidRPr="00967AC5" w14:paraId="524E134B" w14:textId="77777777" w:rsidTr="002505BC">
        <w:trPr>
          <w:trHeight w:val="275"/>
        </w:trPr>
        <w:tc>
          <w:tcPr>
            <w:tcW w:w="0" w:type="pct"/>
            <w:hideMark/>
          </w:tcPr>
          <w:p w14:paraId="17D2E226" w14:textId="77777777" w:rsidR="0032761C" w:rsidRPr="00967AC5" w:rsidRDefault="0032761C" w:rsidP="005931B9">
            <w:pPr>
              <w:pStyle w:val="ECCTabletext"/>
              <w:keepNext/>
              <w:keepLines/>
            </w:pPr>
            <w:r w:rsidRPr="00967AC5">
              <w:t>GSM (channel edge)</w:t>
            </w:r>
          </w:p>
        </w:tc>
        <w:tc>
          <w:tcPr>
            <w:tcW w:w="0" w:type="pct"/>
            <w:hideMark/>
          </w:tcPr>
          <w:p w14:paraId="103A81FB" w14:textId="77777777" w:rsidR="0032761C" w:rsidRPr="00967AC5" w:rsidRDefault="0032761C" w:rsidP="005931B9">
            <w:pPr>
              <w:pStyle w:val="ECCTabletext"/>
              <w:keepNext/>
              <w:keepLines/>
              <w:jc w:val="right"/>
            </w:pPr>
            <w:r w:rsidRPr="00967AC5">
              <w:t>200 kHz</w:t>
            </w:r>
          </w:p>
        </w:tc>
        <w:tc>
          <w:tcPr>
            <w:tcW w:w="0" w:type="pct"/>
            <w:hideMark/>
          </w:tcPr>
          <w:p w14:paraId="2F993A2C" w14:textId="77777777" w:rsidR="0032761C" w:rsidRPr="00967AC5" w:rsidRDefault="0032761C" w:rsidP="005931B9">
            <w:pPr>
              <w:pStyle w:val="ECCTabletext"/>
              <w:keepNext/>
              <w:keepLines/>
              <w:jc w:val="right"/>
            </w:pPr>
            <w:r w:rsidRPr="00967AC5">
              <w:t>200 kHz</w:t>
            </w:r>
          </w:p>
        </w:tc>
        <w:tc>
          <w:tcPr>
            <w:tcW w:w="0" w:type="pct"/>
            <w:hideMark/>
          </w:tcPr>
          <w:p w14:paraId="24598879" w14:textId="77777777" w:rsidR="0032761C" w:rsidRPr="00967AC5" w:rsidRDefault="0032761C" w:rsidP="005931B9">
            <w:pPr>
              <w:pStyle w:val="ECCTabletext"/>
              <w:keepNext/>
              <w:keepLines/>
              <w:jc w:val="right"/>
            </w:pPr>
            <w:r w:rsidRPr="00967AC5">
              <w:t>200 kHz</w:t>
            </w:r>
          </w:p>
        </w:tc>
        <w:tc>
          <w:tcPr>
            <w:tcW w:w="0" w:type="pct"/>
            <w:hideMark/>
          </w:tcPr>
          <w:p w14:paraId="19D53F4F" w14:textId="77777777" w:rsidR="0032761C" w:rsidRPr="00967AC5" w:rsidRDefault="0032761C" w:rsidP="005931B9">
            <w:pPr>
              <w:pStyle w:val="ECCTabletext"/>
              <w:keepNext/>
              <w:keepLines/>
              <w:jc w:val="right"/>
            </w:pPr>
            <w:r w:rsidRPr="00967AC5">
              <w:t>200 kHz</w:t>
            </w:r>
          </w:p>
        </w:tc>
        <w:tc>
          <w:tcPr>
            <w:tcW w:w="0" w:type="pct"/>
            <w:hideMark/>
          </w:tcPr>
          <w:p w14:paraId="24EA79C4" w14:textId="77777777" w:rsidR="0032761C" w:rsidRPr="00967AC5" w:rsidRDefault="0032761C" w:rsidP="005931B9">
            <w:pPr>
              <w:pStyle w:val="ECCTabletext"/>
              <w:keepNext/>
              <w:keepLines/>
              <w:jc w:val="right"/>
            </w:pPr>
            <w:r w:rsidRPr="00967AC5">
              <w:t>200 kHz</w:t>
            </w:r>
          </w:p>
        </w:tc>
      </w:tr>
      <w:tr w:rsidR="002505BC" w:rsidRPr="00967AC5" w14:paraId="597F83F6" w14:textId="77777777" w:rsidTr="002505BC">
        <w:trPr>
          <w:trHeight w:val="551"/>
        </w:trPr>
        <w:tc>
          <w:tcPr>
            <w:tcW w:w="0" w:type="pct"/>
            <w:hideMark/>
          </w:tcPr>
          <w:p w14:paraId="1846FBD7" w14:textId="038300B2" w:rsidR="0032761C" w:rsidRPr="00967AC5" w:rsidRDefault="0032761C" w:rsidP="005931B9">
            <w:pPr>
              <w:pStyle w:val="ECCTabletext"/>
              <w:keepNext/>
              <w:keepLines/>
              <w:jc w:val="left"/>
            </w:pPr>
            <w:r w:rsidRPr="00967AC5">
              <w:t>Standalone NB-IoT (channel edge)</w:t>
            </w:r>
          </w:p>
        </w:tc>
        <w:tc>
          <w:tcPr>
            <w:tcW w:w="0" w:type="pct"/>
            <w:hideMark/>
          </w:tcPr>
          <w:p w14:paraId="7638278A" w14:textId="77777777" w:rsidR="0032761C" w:rsidRPr="00967AC5" w:rsidRDefault="0032761C" w:rsidP="005931B9">
            <w:pPr>
              <w:pStyle w:val="ECCTabletext"/>
              <w:keepNext/>
              <w:keepLines/>
              <w:jc w:val="right"/>
            </w:pPr>
            <w:r w:rsidRPr="00967AC5">
              <w:t>200 kHz</w:t>
            </w:r>
          </w:p>
        </w:tc>
        <w:tc>
          <w:tcPr>
            <w:tcW w:w="0" w:type="pct"/>
            <w:hideMark/>
          </w:tcPr>
          <w:p w14:paraId="6351E16D" w14:textId="77777777" w:rsidR="0032761C" w:rsidRPr="00967AC5" w:rsidRDefault="0032761C" w:rsidP="005931B9">
            <w:pPr>
              <w:pStyle w:val="ECCTabletext"/>
              <w:keepNext/>
              <w:keepLines/>
              <w:jc w:val="right"/>
            </w:pPr>
            <w:r w:rsidRPr="00967AC5">
              <w:t>200 kHz</w:t>
            </w:r>
          </w:p>
        </w:tc>
        <w:tc>
          <w:tcPr>
            <w:tcW w:w="0" w:type="pct"/>
            <w:hideMark/>
          </w:tcPr>
          <w:p w14:paraId="5741FC05" w14:textId="14D915BF" w:rsidR="0032761C" w:rsidRPr="00967AC5" w:rsidRDefault="0032761C" w:rsidP="005931B9">
            <w:pPr>
              <w:pStyle w:val="ECCTabletext"/>
              <w:keepNext/>
              <w:keepLines/>
              <w:jc w:val="right"/>
            </w:pPr>
            <w:r w:rsidRPr="00967AC5">
              <w:t>200 kHz</w:t>
            </w:r>
          </w:p>
        </w:tc>
        <w:tc>
          <w:tcPr>
            <w:tcW w:w="0" w:type="pct"/>
            <w:hideMark/>
          </w:tcPr>
          <w:p w14:paraId="196E3B76" w14:textId="77777777" w:rsidR="0032761C" w:rsidRPr="00967AC5" w:rsidRDefault="0032761C" w:rsidP="005931B9">
            <w:pPr>
              <w:pStyle w:val="ECCTabletext"/>
              <w:keepNext/>
              <w:keepLines/>
              <w:jc w:val="right"/>
            </w:pPr>
            <w:r w:rsidRPr="00967AC5">
              <w:t>0 kHz</w:t>
            </w:r>
          </w:p>
        </w:tc>
        <w:tc>
          <w:tcPr>
            <w:tcW w:w="0" w:type="pct"/>
            <w:hideMark/>
          </w:tcPr>
          <w:p w14:paraId="34EBEA12" w14:textId="77777777" w:rsidR="0032761C" w:rsidRPr="00967AC5" w:rsidRDefault="0032761C" w:rsidP="005931B9">
            <w:pPr>
              <w:pStyle w:val="ECCTabletext"/>
              <w:keepNext/>
              <w:keepLines/>
              <w:jc w:val="right"/>
            </w:pPr>
            <w:r w:rsidRPr="00967AC5">
              <w:t>200 kHz</w:t>
            </w:r>
          </w:p>
        </w:tc>
      </w:tr>
      <w:tr w:rsidR="002505BC" w:rsidRPr="00967AC5" w14:paraId="0656C600" w14:textId="77777777" w:rsidTr="002505BC">
        <w:trPr>
          <w:trHeight w:val="275"/>
        </w:trPr>
        <w:tc>
          <w:tcPr>
            <w:tcW w:w="0" w:type="pct"/>
          </w:tcPr>
          <w:p w14:paraId="0BF662E4" w14:textId="77777777" w:rsidR="0032761C" w:rsidRPr="00967AC5" w:rsidRDefault="0032761C" w:rsidP="005931B9">
            <w:pPr>
              <w:pStyle w:val="ECCTabletext"/>
              <w:keepNext/>
              <w:keepLines/>
            </w:pPr>
            <w:r w:rsidRPr="00967AC5">
              <w:t>WiMAX (channel edge)</w:t>
            </w:r>
          </w:p>
        </w:tc>
        <w:tc>
          <w:tcPr>
            <w:tcW w:w="0" w:type="pct"/>
          </w:tcPr>
          <w:p w14:paraId="063C753C" w14:textId="0E627DD1" w:rsidR="0032761C" w:rsidRPr="00967AC5" w:rsidRDefault="0032761C" w:rsidP="005931B9">
            <w:pPr>
              <w:pStyle w:val="ECCTabletext"/>
              <w:keepNext/>
              <w:keepLines/>
              <w:jc w:val="right"/>
            </w:pPr>
            <w:r w:rsidRPr="00967AC5">
              <w:t>0 kHz</w:t>
            </w:r>
          </w:p>
        </w:tc>
        <w:tc>
          <w:tcPr>
            <w:tcW w:w="0" w:type="pct"/>
          </w:tcPr>
          <w:p w14:paraId="586A3F4F" w14:textId="77777777" w:rsidR="0032761C" w:rsidRPr="00967AC5" w:rsidRDefault="0032761C" w:rsidP="005931B9">
            <w:pPr>
              <w:pStyle w:val="ECCTabletext"/>
              <w:keepNext/>
              <w:keepLines/>
              <w:jc w:val="right"/>
            </w:pPr>
            <w:r w:rsidRPr="00967AC5">
              <w:t>0 kHz</w:t>
            </w:r>
          </w:p>
        </w:tc>
        <w:tc>
          <w:tcPr>
            <w:tcW w:w="0" w:type="pct"/>
          </w:tcPr>
          <w:p w14:paraId="7F0BA298" w14:textId="4DC7FC88" w:rsidR="0032761C" w:rsidRPr="00967AC5" w:rsidRDefault="0032761C" w:rsidP="005931B9">
            <w:pPr>
              <w:pStyle w:val="ECCTabletext"/>
              <w:keepNext/>
              <w:keepLines/>
              <w:jc w:val="right"/>
            </w:pPr>
            <w:r w:rsidRPr="00967AC5">
              <w:t>0</w:t>
            </w:r>
            <w:r w:rsidR="000066FD" w:rsidRPr="00967AC5">
              <w:t xml:space="preserve"> </w:t>
            </w:r>
            <w:r w:rsidRPr="00967AC5">
              <w:t>kHz</w:t>
            </w:r>
          </w:p>
        </w:tc>
        <w:tc>
          <w:tcPr>
            <w:tcW w:w="0" w:type="pct"/>
          </w:tcPr>
          <w:p w14:paraId="7C69ACCF" w14:textId="77777777" w:rsidR="0032761C" w:rsidRPr="00967AC5" w:rsidRDefault="0032761C" w:rsidP="005931B9">
            <w:pPr>
              <w:pStyle w:val="ECCTabletext"/>
              <w:keepNext/>
              <w:keepLines/>
              <w:jc w:val="right"/>
            </w:pPr>
            <w:r w:rsidRPr="00967AC5">
              <w:t>200 kHz</w:t>
            </w:r>
          </w:p>
        </w:tc>
        <w:tc>
          <w:tcPr>
            <w:tcW w:w="0" w:type="pct"/>
          </w:tcPr>
          <w:p w14:paraId="7D176A52" w14:textId="0C2FB950" w:rsidR="0032761C" w:rsidRPr="00967AC5" w:rsidRDefault="0032761C" w:rsidP="005931B9">
            <w:pPr>
              <w:pStyle w:val="ECCTabletext"/>
              <w:keepNext/>
              <w:keepLines/>
              <w:jc w:val="right"/>
            </w:pPr>
            <w:r w:rsidRPr="00967AC5">
              <w:t>0</w:t>
            </w:r>
            <w:r w:rsidR="000066FD" w:rsidRPr="00967AC5">
              <w:t xml:space="preserve"> </w:t>
            </w:r>
            <w:r w:rsidRPr="00967AC5">
              <w:t>kHz</w:t>
            </w:r>
          </w:p>
        </w:tc>
      </w:tr>
      <w:tr w:rsidR="002505BC" w:rsidRPr="00967AC5" w14:paraId="5B33E16B" w14:textId="77777777" w:rsidTr="002505BC">
        <w:trPr>
          <w:trHeight w:val="275"/>
        </w:trPr>
        <w:tc>
          <w:tcPr>
            <w:tcW w:w="0" w:type="pct"/>
            <w:hideMark/>
          </w:tcPr>
          <w:p w14:paraId="49F6AB5E" w14:textId="77777777" w:rsidR="0032761C" w:rsidRPr="00967AC5" w:rsidRDefault="0032761C" w:rsidP="005931B9">
            <w:pPr>
              <w:pStyle w:val="ECCTabletext"/>
              <w:keepNext/>
              <w:keepLines/>
            </w:pPr>
            <w:r w:rsidRPr="00967AC5">
              <w:t>UMTS (channel edge)</w:t>
            </w:r>
          </w:p>
        </w:tc>
        <w:tc>
          <w:tcPr>
            <w:tcW w:w="0" w:type="pct"/>
            <w:hideMark/>
          </w:tcPr>
          <w:p w14:paraId="171905ED" w14:textId="77777777" w:rsidR="0032761C" w:rsidRPr="00967AC5" w:rsidRDefault="0032761C" w:rsidP="005931B9">
            <w:pPr>
              <w:pStyle w:val="ECCTabletext"/>
              <w:keepNext/>
              <w:keepLines/>
              <w:jc w:val="right"/>
            </w:pPr>
            <w:r w:rsidRPr="00967AC5">
              <w:t>0 kHz</w:t>
            </w:r>
          </w:p>
        </w:tc>
        <w:tc>
          <w:tcPr>
            <w:tcW w:w="0" w:type="pct"/>
            <w:hideMark/>
          </w:tcPr>
          <w:p w14:paraId="3605013B" w14:textId="77777777" w:rsidR="0032761C" w:rsidRPr="00967AC5" w:rsidRDefault="0032761C" w:rsidP="005931B9">
            <w:pPr>
              <w:pStyle w:val="ECCTabletext"/>
              <w:keepNext/>
              <w:keepLines/>
              <w:jc w:val="right"/>
            </w:pPr>
            <w:r w:rsidRPr="00967AC5">
              <w:t>0 kHz</w:t>
            </w:r>
          </w:p>
        </w:tc>
        <w:tc>
          <w:tcPr>
            <w:tcW w:w="0" w:type="pct"/>
            <w:hideMark/>
          </w:tcPr>
          <w:p w14:paraId="790D0DBF" w14:textId="77777777" w:rsidR="0032761C" w:rsidRPr="00967AC5" w:rsidRDefault="0032761C" w:rsidP="005931B9">
            <w:pPr>
              <w:pStyle w:val="ECCTabletext"/>
              <w:keepNext/>
              <w:keepLines/>
              <w:jc w:val="right"/>
            </w:pPr>
            <w:r w:rsidRPr="00967AC5">
              <w:t>0 kHz</w:t>
            </w:r>
          </w:p>
        </w:tc>
        <w:tc>
          <w:tcPr>
            <w:tcW w:w="0" w:type="pct"/>
            <w:hideMark/>
          </w:tcPr>
          <w:p w14:paraId="04D54603" w14:textId="77777777" w:rsidR="0032761C" w:rsidRPr="00967AC5" w:rsidRDefault="0032761C" w:rsidP="005931B9">
            <w:pPr>
              <w:pStyle w:val="ECCTabletext"/>
              <w:keepNext/>
              <w:keepLines/>
              <w:jc w:val="right"/>
            </w:pPr>
            <w:r w:rsidRPr="00967AC5">
              <w:t>200 kHz</w:t>
            </w:r>
          </w:p>
        </w:tc>
        <w:tc>
          <w:tcPr>
            <w:tcW w:w="0" w:type="pct"/>
            <w:hideMark/>
          </w:tcPr>
          <w:p w14:paraId="04EB8AAE" w14:textId="77777777" w:rsidR="0032761C" w:rsidRPr="00967AC5" w:rsidRDefault="0032761C" w:rsidP="005931B9">
            <w:pPr>
              <w:pStyle w:val="ECCTabletext"/>
              <w:keepNext/>
              <w:keepLines/>
              <w:jc w:val="right"/>
            </w:pPr>
            <w:r w:rsidRPr="00967AC5">
              <w:t>0 kHz</w:t>
            </w:r>
          </w:p>
        </w:tc>
      </w:tr>
      <w:tr w:rsidR="002505BC" w:rsidRPr="00967AC5" w14:paraId="4D9CE215" w14:textId="77777777" w:rsidTr="002505BC">
        <w:trPr>
          <w:trHeight w:val="275"/>
        </w:trPr>
        <w:tc>
          <w:tcPr>
            <w:tcW w:w="0" w:type="pct"/>
            <w:hideMark/>
          </w:tcPr>
          <w:p w14:paraId="705BA627" w14:textId="77777777" w:rsidR="0032761C" w:rsidRPr="00967AC5" w:rsidRDefault="0032761C" w:rsidP="005931B9">
            <w:pPr>
              <w:pStyle w:val="ECCTabletext"/>
              <w:keepNext/>
              <w:keepLines/>
            </w:pPr>
            <w:r w:rsidRPr="00967AC5">
              <w:t>LTE (channel edge)</w:t>
            </w:r>
          </w:p>
        </w:tc>
        <w:tc>
          <w:tcPr>
            <w:tcW w:w="0" w:type="pct"/>
            <w:hideMark/>
          </w:tcPr>
          <w:p w14:paraId="07020FAC" w14:textId="77777777" w:rsidR="0032761C" w:rsidRPr="00967AC5" w:rsidRDefault="0032761C" w:rsidP="005931B9">
            <w:pPr>
              <w:pStyle w:val="ECCTabletext"/>
              <w:keepNext/>
              <w:keepLines/>
              <w:jc w:val="right"/>
            </w:pPr>
            <w:r w:rsidRPr="00967AC5">
              <w:t>0 kHz</w:t>
            </w:r>
          </w:p>
        </w:tc>
        <w:tc>
          <w:tcPr>
            <w:tcW w:w="0" w:type="pct"/>
            <w:hideMark/>
          </w:tcPr>
          <w:p w14:paraId="751FE35E" w14:textId="77777777" w:rsidR="0032761C" w:rsidRPr="00967AC5" w:rsidRDefault="0032761C" w:rsidP="005931B9">
            <w:pPr>
              <w:pStyle w:val="ECCTabletext"/>
              <w:keepNext/>
              <w:keepLines/>
              <w:jc w:val="right"/>
            </w:pPr>
            <w:r w:rsidRPr="00967AC5">
              <w:t>0 kHz</w:t>
            </w:r>
          </w:p>
        </w:tc>
        <w:tc>
          <w:tcPr>
            <w:tcW w:w="0" w:type="pct"/>
            <w:hideMark/>
          </w:tcPr>
          <w:p w14:paraId="63627B97" w14:textId="77777777" w:rsidR="0032761C" w:rsidRPr="00967AC5" w:rsidRDefault="0032761C" w:rsidP="005931B9">
            <w:pPr>
              <w:pStyle w:val="ECCTabletext"/>
              <w:keepNext/>
              <w:keepLines/>
              <w:jc w:val="right"/>
            </w:pPr>
            <w:r w:rsidRPr="00967AC5">
              <w:t>0 kHz</w:t>
            </w:r>
          </w:p>
        </w:tc>
        <w:tc>
          <w:tcPr>
            <w:tcW w:w="0" w:type="pct"/>
            <w:hideMark/>
          </w:tcPr>
          <w:p w14:paraId="542C462B" w14:textId="77777777" w:rsidR="0032761C" w:rsidRPr="00967AC5" w:rsidRDefault="0032761C" w:rsidP="005931B9">
            <w:pPr>
              <w:pStyle w:val="ECCTabletext"/>
              <w:keepNext/>
              <w:keepLines/>
              <w:jc w:val="right"/>
            </w:pPr>
            <w:r w:rsidRPr="00967AC5">
              <w:t>200 kHz</w:t>
            </w:r>
          </w:p>
        </w:tc>
        <w:tc>
          <w:tcPr>
            <w:tcW w:w="0" w:type="pct"/>
            <w:hideMark/>
          </w:tcPr>
          <w:p w14:paraId="418CB231" w14:textId="77777777" w:rsidR="0032761C" w:rsidRPr="00967AC5" w:rsidRDefault="0032761C" w:rsidP="005931B9">
            <w:pPr>
              <w:pStyle w:val="ECCTabletext"/>
              <w:keepNext/>
              <w:keepLines/>
              <w:jc w:val="right"/>
            </w:pPr>
            <w:r w:rsidRPr="00967AC5">
              <w:t>0 kHz</w:t>
            </w:r>
          </w:p>
        </w:tc>
      </w:tr>
    </w:tbl>
    <w:p w14:paraId="25707D93" w14:textId="77777777" w:rsidR="00001EB9" w:rsidRPr="00967AC5" w:rsidRDefault="00001EB9" w:rsidP="005931B9">
      <w:pPr>
        <w:pStyle w:val="ECCParagraph"/>
      </w:pPr>
      <w:bookmarkStart w:id="119" w:name="_Ref67478787"/>
      <w:bookmarkStart w:id="120" w:name="_Toc71037824"/>
    </w:p>
    <w:p w14:paraId="3328A73D" w14:textId="4988F01E" w:rsidR="0032761C" w:rsidRPr="00967AC5" w:rsidRDefault="00BC5740" w:rsidP="00001EB9">
      <w:pPr>
        <w:pStyle w:val="Heading4"/>
      </w:pPr>
      <w:r w:rsidRPr="00967AC5">
        <w:t xml:space="preserve">Technology </w:t>
      </w:r>
      <w:r w:rsidR="0032761C" w:rsidRPr="00967AC5">
        <w:t>neutral approach to frequency separation</w:t>
      </w:r>
      <w:bookmarkEnd w:id="119"/>
      <w:bookmarkEnd w:id="120"/>
    </w:p>
    <w:p w14:paraId="45CF3E99" w14:textId="7C3001F9" w:rsidR="00001EB9" w:rsidRPr="00967AC5" w:rsidRDefault="0032761C" w:rsidP="00001EB9">
      <w:pPr>
        <w:pStyle w:val="ECCBulletsLv1"/>
        <w:numPr>
          <w:ilvl w:val="0"/>
          <w:numId w:val="0"/>
        </w:numPr>
        <w:ind w:left="360" w:hanging="360"/>
        <w:rPr>
          <w:rStyle w:val="Emphasis"/>
          <w:i w:val="0"/>
        </w:rPr>
      </w:pPr>
      <w:r w:rsidRPr="00967AC5">
        <w:rPr>
          <w:rStyle w:val="Emphasis"/>
          <w:i w:val="0"/>
        </w:rPr>
        <w:t xml:space="preserve">According to the analysis developed </w:t>
      </w:r>
      <w:r w:rsidR="00C64834" w:rsidRPr="00967AC5">
        <w:rPr>
          <w:rStyle w:val="Emphasis"/>
          <w:i w:val="0"/>
        </w:rPr>
        <w:t>i</w:t>
      </w:r>
      <w:r w:rsidRPr="00967AC5">
        <w:rPr>
          <w:rStyle w:val="Emphasis"/>
          <w:i w:val="0"/>
        </w:rPr>
        <w:t>n this CEPT Report three different system types could be deployed in</w:t>
      </w:r>
      <w:r w:rsidR="00001EB9" w:rsidRPr="00967AC5">
        <w:rPr>
          <w:rStyle w:val="Emphasis"/>
          <w:i w:val="0"/>
        </w:rPr>
        <w:t xml:space="preserve"> </w:t>
      </w:r>
      <w:r w:rsidRPr="00967AC5">
        <w:rPr>
          <w:rStyle w:val="Emphasis"/>
          <w:i w:val="0"/>
        </w:rPr>
        <w:t>the 900 MHz/1800 MHz band</w:t>
      </w:r>
      <w:r w:rsidR="00D5221F" w:rsidRPr="00967AC5">
        <w:rPr>
          <w:rStyle w:val="Emphasis"/>
          <w:i w:val="0"/>
        </w:rPr>
        <w:t xml:space="preserve">; </w:t>
      </w:r>
      <w:r w:rsidR="00D5221F" w:rsidRPr="00967AC5">
        <w:t>two under a technology neutral approach and GSM as a third one</w:t>
      </w:r>
      <w:r w:rsidRPr="00967AC5">
        <w:rPr>
          <w:rStyle w:val="Emphasis"/>
          <w:i w:val="0"/>
        </w:rPr>
        <w:t>:</w:t>
      </w:r>
    </w:p>
    <w:p w14:paraId="16216DD6" w14:textId="77777777" w:rsidR="00001EB9" w:rsidRPr="00967AC5" w:rsidRDefault="00001EB9" w:rsidP="005931B9">
      <w:pPr>
        <w:pStyle w:val="ECCBulletsLv1"/>
        <w:numPr>
          <w:ilvl w:val="0"/>
          <w:numId w:val="0"/>
        </w:numPr>
        <w:ind w:left="360" w:hanging="360"/>
        <w:rPr>
          <w:rStyle w:val="Emphasis"/>
          <w:i w:val="0"/>
        </w:rPr>
      </w:pPr>
    </w:p>
    <w:p w14:paraId="7A4AF552" w14:textId="6DBB4EE9" w:rsidR="0032761C" w:rsidRPr="00967AC5" w:rsidRDefault="0032761C" w:rsidP="00470CAF">
      <w:pPr>
        <w:pStyle w:val="ECCBulletsLv1"/>
        <w:rPr>
          <w:rStyle w:val="Emphasis"/>
          <w:i w:val="0"/>
        </w:rPr>
      </w:pPr>
      <w:r w:rsidRPr="00967AC5">
        <w:rPr>
          <w:rStyle w:val="Emphasis"/>
          <w:i w:val="0"/>
        </w:rPr>
        <w:t>WB systems (operating in channels larger than 200 kHz);</w:t>
      </w:r>
    </w:p>
    <w:p w14:paraId="28B235CA" w14:textId="77777777" w:rsidR="0032761C" w:rsidRPr="00967AC5" w:rsidRDefault="0032761C" w:rsidP="00470CAF">
      <w:pPr>
        <w:pStyle w:val="ECCBulletsLv1"/>
        <w:rPr>
          <w:rStyle w:val="Emphasis"/>
          <w:i w:val="0"/>
        </w:rPr>
      </w:pPr>
      <w:r w:rsidRPr="00967AC5">
        <w:rPr>
          <w:rStyle w:val="Emphasis"/>
          <w:i w:val="0"/>
        </w:rPr>
        <w:t>NB systems (operating in 200 kHz channels), excluding GSM; and,</w:t>
      </w:r>
    </w:p>
    <w:p w14:paraId="57C6488B" w14:textId="1DE4E59E" w:rsidR="0032761C" w:rsidRPr="00967AC5" w:rsidRDefault="0032761C" w:rsidP="00470CAF">
      <w:pPr>
        <w:pStyle w:val="ECCBulletsLv1"/>
      </w:pPr>
      <w:r w:rsidRPr="00967AC5">
        <w:rPr>
          <w:rStyle w:val="Emphasis"/>
          <w:i w:val="0"/>
        </w:rPr>
        <w:t>GSM, also as a narrowband system</w:t>
      </w:r>
      <w:r w:rsidR="000066FD" w:rsidRPr="00967AC5">
        <w:rPr>
          <w:rStyle w:val="Emphasis"/>
          <w:i w:val="0"/>
        </w:rPr>
        <w:t>.</w:t>
      </w:r>
    </w:p>
    <w:p w14:paraId="6CD9E53E" w14:textId="6D210B82" w:rsidR="0032761C" w:rsidRPr="00967AC5" w:rsidRDefault="0032761C">
      <w:pPr>
        <w:pStyle w:val="ECCParagraph"/>
        <w:spacing w:before="240"/>
        <w:rPr>
          <w:rFonts w:eastAsia="Calibri"/>
        </w:rPr>
      </w:pPr>
      <w:r w:rsidRPr="00967AC5">
        <w:rPr>
          <w:rFonts w:eastAsia="Calibri"/>
        </w:rPr>
        <w:t>The following technology neutral approach is recommended to express the required frequency separation between NB</w:t>
      </w:r>
      <w:r w:rsidR="00D034DC" w:rsidRPr="00967AC5">
        <w:rPr>
          <w:rFonts w:eastAsia="Calibri"/>
        </w:rPr>
        <w:t xml:space="preserve"> systems</w:t>
      </w:r>
      <w:r w:rsidRPr="00967AC5">
        <w:rPr>
          <w:rFonts w:eastAsia="Calibri"/>
        </w:rPr>
        <w:t xml:space="preserve"> and WB</w:t>
      </w:r>
      <w:r w:rsidR="00BA047D">
        <w:rPr>
          <w:rFonts w:eastAsia="Calibri"/>
        </w:rPr>
        <w:t xml:space="preserve"> </w:t>
      </w:r>
      <w:r w:rsidRPr="00967AC5">
        <w:rPr>
          <w:rFonts w:eastAsia="Calibri"/>
        </w:rPr>
        <w:t>systems and GSM</w:t>
      </w:r>
      <w:r w:rsidR="000066FD" w:rsidRPr="00967AC5">
        <w:rPr>
          <w:rFonts w:eastAsia="Calibri"/>
        </w:rPr>
        <w:t>:</w:t>
      </w:r>
    </w:p>
    <w:p w14:paraId="5341C6D8" w14:textId="6ADA7910" w:rsidR="0032761C" w:rsidRPr="00967AC5" w:rsidRDefault="0032761C" w:rsidP="00470CAF">
      <w:pPr>
        <w:pStyle w:val="ECCBulletsLv1"/>
      </w:pPr>
      <w:r w:rsidRPr="00967AC5">
        <w:t xml:space="preserve">To avoid the narrowband blocking effect of the wideband system receivers by the adjacent NB systems, a 200 kHz frequency separation is required between </w:t>
      </w:r>
      <w:r w:rsidR="008A49F8" w:rsidRPr="00967AC5">
        <w:t>the nominal channel edge</w:t>
      </w:r>
      <w:r w:rsidR="008A49F8" w:rsidRPr="00967AC5">
        <w:rPr>
          <w:vertAlign w:val="superscript"/>
        </w:rPr>
        <w:footnoteReference w:id="11"/>
      </w:r>
      <w:r w:rsidR="008A49F8" w:rsidRPr="00967AC5">
        <w:t xml:space="preserve"> of </w:t>
      </w:r>
      <w:r w:rsidR="00FA6510" w:rsidRPr="00967AC5">
        <w:t xml:space="preserve">an </w:t>
      </w:r>
      <w:r w:rsidRPr="00967AC5">
        <w:t>NB system</w:t>
      </w:r>
      <w:r w:rsidR="00573F56" w:rsidRPr="00967AC5">
        <w:t xml:space="preserve"> or </w:t>
      </w:r>
      <w:r w:rsidR="00FA6510" w:rsidRPr="00967AC5">
        <w:t xml:space="preserve">a </w:t>
      </w:r>
      <w:r w:rsidR="00573F56" w:rsidRPr="00967AC5">
        <w:t>GSM system</w:t>
      </w:r>
      <w:r w:rsidRPr="00967AC5">
        <w:t xml:space="preserve"> and </w:t>
      </w:r>
      <w:r w:rsidR="008A49F8" w:rsidRPr="00967AC5">
        <w:t xml:space="preserve">the nominal channel edge of </w:t>
      </w:r>
      <w:r w:rsidR="00FA6510" w:rsidRPr="00967AC5">
        <w:t xml:space="preserve">a </w:t>
      </w:r>
      <w:r w:rsidRPr="00967AC5">
        <w:t>WB system</w:t>
      </w:r>
      <w:r w:rsidR="00FA6510" w:rsidRPr="00967AC5">
        <w:rPr>
          <w:rStyle w:val="FootnoteReference"/>
        </w:rPr>
        <w:footnoteReference w:id="12"/>
      </w:r>
      <w:r w:rsidRPr="00967AC5">
        <w:t xml:space="preserve"> where these systems are operating in uncoordinated manner. No frequency separation is required for coordinated operation</w:t>
      </w:r>
      <w:r w:rsidR="000066FD" w:rsidRPr="00967AC5">
        <w:t>;</w:t>
      </w:r>
    </w:p>
    <w:p w14:paraId="1D7622A4" w14:textId="642CCE24" w:rsidR="0032761C" w:rsidRPr="00967AC5" w:rsidRDefault="0032761C" w:rsidP="00470CAF">
      <w:pPr>
        <w:pStyle w:val="ECCBulletsLv1"/>
      </w:pPr>
      <w:r w:rsidRPr="00967AC5">
        <w:t>A frequency separation of 200 kHz or more is required between a NB system and GSM</w:t>
      </w:r>
      <w:r w:rsidR="000066FD" w:rsidRPr="00967AC5">
        <w:t>;</w:t>
      </w:r>
    </w:p>
    <w:p w14:paraId="581B9CB5" w14:textId="5A6350D3" w:rsidR="0032761C" w:rsidRPr="00967AC5" w:rsidRDefault="00285220" w:rsidP="00470CAF">
      <w:pPr>
        <w:pStyle w:val="ECCBulletsLv1"/>
      </w:pPr>
      <w:r w:rsidRPr="00967AC5">
        <w:t xml:space="preserve">For the relevant NB system operating in a </w:t>
      </w:r>
      <w:r w:rsidR="007C4912" w:rsidRPr="00967AC5">
        <w:t xml:space="preserve">guard </w:t>
      </w:r>
      <w:r w:rsidRPr="00967AC5">
        <w:t xml:space="preserve">band mode of a relevant WB system, a frequency separation of 200 kHz or more is necessary, between the channel edge of this NB system and the edge of the operator's block, taking into account existing guard bands between operators' block edges or the edge of the operating band (adjacent to other services). </w:t>
      </w:r>
      <w:r w:rsidR="0032761C" w:rsidRPr="00967AC5">
        <w:t xml:space="preserve">For </w:t>
      </w:r>
      <w:r w:rsidR="007D2E15" w:rsidRPr="00967AC5">
        <w:t xml:space="preserve">an </w:t>
      </w:r>
      <w:r w:rsidR="0032761C" w:rsidRPr="00967AC5">
        <w:t xml:space="preserve">NB system operating in a </w:t>
      </w:r>
      <w:r w:rsidR="007C4912" w:rsidRPr="00967AC5">
        <w:t xml:space="preserve">guard </w:t>
      </w:r>
      <w:r w:rsidR="0032761C" w:rsidRPr="00967AC5">
        <w:t xml:space="preserve">band mode of a WB system, a frequency separation of 200 kHz or more is necessary, between the channel edge of this NB system and the edge of the operator's block, taking into account existing guard bands between operators' block edges or the edge of the operating band (adjacent to other services). This NB system operates only </w:t>
      </w:r>
      <w:r w:rsidR="00B02B6E" w:rsidRPr="00967AC5">
        <w:t>w</w:t>
      </w:r>
      <w:r w:rsidR="0032761C" w:rsidRPr="00967AC5">
        <w:t>i</w:t>
      </w:r>
      <w:r w:rsidR="00B02B6E" w:rsidRPr="00967AC5">
        <w:t>th</w:t>
      </w:r>
      <w:r w:rsidR="0032761C" w:rsidRPr="00967AC5">
        <w:t>in channel bandwidths of 10 MHz or higher</w:t>
      </w:r>
      <w:r w:rsidR="009D4AE3" w:rsidRPr="00967AC5">
        <w:t>.</w:t>
      </w:r>
    </w:p>
    <w:p w14:paraId="5CEB5935" w14:textId="2F208BCA" w:rsidR="0032761C" w:rsidRPr="00967AC5" w:rsidRDefault="0032761C" w:rsidP="00961EE4">
      <w:pPr>
        <w:pStyle w:val="ECCParagraph"/>
        <w:spacing w:before="240"/>
      </w:pPr>
      <w:r w:rsidRPr="00967AC5">
        <w:t>The above frequency separations are required to ensure coexistence in the absence of bilateral or multilateral agreements between neighbouring networks, without precluding less stringent technical parameters if agreed among the operators of such networks</w:t>
      </w:r>
      <w:r w:rsidR="007D2E15" w:rsidRPr="00967AC5">
        <w:t>.</w:t>
      </w:r>
    </w:p>
    <w:p w14:paraId="578F2E64" w14:textId="6AABA8E4" w:rsidR="0032761C" w:rsidRPr="00967AC5" w:rsidRDefault="0032761C" w:rsidP="00001EB9">
      <w:pPr>
        <w:pStyle w:val="Heading4"/>
      </w:pPr>
      <w:bookmarkStart w:id="121" w:name="_Ref60764729"/>
      <w:bookmarkStart w:id="122" w:name="_Ref60765122"/>
      <w:bookmarkStart w:id="123" w:name="_Ref60765196"/>
      <w:bookmarkStart w:id="124" w:name="_Toc71037825"/>
      <w:r w:rsidRPr="00967AC5">
        <w:lastRenderedPageBreak/>
        <w:t xml:space="preserve">Toolbox for </w:t>
      </w:r>
      <w:r w:rsidR="00BC5740" w:rsidRPr="00967AC5">
        <w:t xml:space="preserve">implementing </w:t>
      </w:r>
      <w:r w:rsidRPr="00967AC5">
        <w:t>BEM and the required frequency separation at national level (LRTC</w:t>
      </w:r>
      <w:r w:rsidR="003D5596" w:rsidRPr="00967AC5">
        <w:t>s</w:t>
      </w:r>
      <w:r w:rsidRPr="00967AC5">
        <w:t xml:space="preserve"> approach)</w:t>
      </w:r>
      <w:bookmarkEnd w:id="121"/>
      <w:bookmarkEnd w:id="122"/>
      <w:bookmarkEnd w:id="123"/>
      <w:bookmarkEnd w:id="124"/>
    </w:p>
    <w:p w14:paraId="2AF399A8" w14:textId="256A1EFC" w:rsidR="0032761C" w:rsidRPr="00967AC5" w:rsidRDefault="0032761C" w:rsidP="00825C1A">
      <w:pPr>
        <w:pStyle w:val="ECCParagraph"/>
      </w:pPr>
      <w:r w:rsidRPr="00967AC5">
        <w:t>The implementation of the frequency separation needs to be further addressed by regulatory measures at national level in order to maintain spectrum efficiency. This chapter provides explanation on how the LRTC</w:t>
      </w:r>
      <w:r w:rsidR="007D2E15" w:rsidRPr="00967AC5">
        <w:t>s</w:t>
      </w:r>
      <w:r w:rsidRPr="00967AC5">
        <w:t xml:space="preserve"> could be implemented at national level with regard to frequency separations between adjacent MFCN systems complying </w:t>
      </w:r>
      <w:r w:rsidR="00BC6C77" w:rsidRPr="00967AC5">
        <w:t>with</w:t>
      </w:r>
      <w:r w:rsidRPr="00967AC5">
        <w:t xml:space="preserve"> the BEM as defined in section </w:t>
      </w:r>
      <w:r w:rsidR="00B624D9" w:rsidRPr="00967AC5">
        <w:t>.</w:t>
      </w:r>
    </w:p>
    <w:p w14:paraId="5220CDF4" w14:textId="2DEDC37F" w:rsidR="0032761C" w:rsidRPr="00967AC5" w:rsidRDefault="0032761C" w:rsidP="00330BFE">
      <w:pPr>
        <w:pStyle w:val="ECCParagraph"/>
      </w:pPr>
      <w:r w:rsidRPr="00967AC5">
        <w:t>According to the national situation (</w:t>
      </w:r>
      <w:proofErr w:type="spellStart"/>
      <w:r w:rsidR="007D2E15" w:rsidRPr="00967AC5">
        <w:t>e.g.</w:t>
      </w:r>
      <w:r w:rsidRPr="00967AC5">
        <w:t>efficient</w:t>
      </w:r>
      <w:proofErr w:type="spellEnd"/>
      <w:r w:rsidRPr="00967AC5">
        <w:t xml:space="preserve"> usage of spectrum, competition</w:t>
      </w:r>
      <w:r w:rsidR="00D13F3C" w:rsidRPr="00967AC5">
        <w:t xml:space="preserve"> e</w:t>
      </w:r>
      <w:r w:rsidR="00BC6C77" w:rsidRPr="00967AC5">
        <w:t>tc</w:t>
      </w:r>
      <w:r w:rsidR="00D13F3C" w:rsidRPr="00967AC5">
        <w:t>.</w:t>
      </w:r>
      <w:r w:rsidRPr="00967AC5">
        <w:t xml:space="preserve">) and in order to transpose required frequency separation while implementing the BEM, various </w:t>
      </w:r>
      <w:r w:rsidR="0074669C" w:rsidRPr="00967AC5">
        <w:t>frequency separation</w:t>
      </w:r>
      <w:r w:rsidRPr="00967AC5">
        <w:t xml:space="preserve"> approaches could be implemented either separately or simultaneously depending </w:t>
      </w:r>
      <w:r w:rsidR="006678F9" w:rsidRPr="00967AC5">
        <w:t xml:space="preserve">on the </w:t>
      </w:r>
      <w:r w:rsidRPr="00967AC5">
        <w:t>edges of neighbo</w:t>
      </w:r>
      <w:r w:rsidR="00EB3B70" w:rsidRPr="00967AC5">
        <w:t>u</w:t>
      </w:r>
      <w:r w:rsidRPr="00967AC5">
        <w:t xml:space="preserve">ring MFCN </w:t>
      </w:r>
      <w:r w:rsidR="006678F9" w:rsidRPr="00967AC5">
        <w:t>spectrum assignments</w:t>
      </w:r>
      <w:r w:rsidRPr="00967AC5">
        <w:t xml:space="preserve">. </w:t>
      </w:r>
    </w:p>
    <w:p w14:paraId="7A867938" w14:textId="1BAFBE06" w:rsidR="0032761C" w:rsidRPr="00967AC5" w:rsidRDefault="0032761C" w:rsidP="00330BFE">
      <w:pPr>
        <w:pStyle w:val="ECCParagraph"/>
      </w:pPr>
      <w:r w:rsidRPr="00967AC5">
        <w:t xml:space="preserve">Several separation schemes can be considered according to national contexts: </w:t>
      </w:r>
      <w:r w:rsidR="007F35D4" w:rsidRPr="00967AC5">
        <w:t>recent or plann</w:t>
      </w:r>
      <w:r w:rsidR="004A13C0" w:rsidRPr="00967AC5">
        <w:t>e</w:t>
      </w:r>
      <w:r w:rsidR="007F35D4" w:rsidRPr="00967AC5">
        <w:t xml:space="preserve">d </w:t>
      </w:r>
      <w:r w:rsidR="009A20D3" w:rsidRPr="00967AC5">
        <w:t>authorisations</w:t>
      </w:r>
      <w:r w:rsidRPr="00967AC5">
        <w:t xml:space="preserve">, national competitive context, operator investments, etc. It is up to each administration to implement the relevant LRTC (BEM </w:t>
      </w:r>
      <w:r w:rsidR="00E1325E">
        <w:t>plus</w:t>
      </w:r>
      <w:r w:rsidR="00E1325E" w:rsidRPr="00967AC5">
        <w:t xml:space="preserve"> </w:t>
      </w:r>
      <w:r w:rsidRPr="00967AC5">
        <w:t xml:space="preserve">required frequency separation where needed) between </w:t>
      </w:r>
      <w:r w:rsidR="00BC6C77" w:rsidRPr="00967AC5">
        <w:t xml:space="preserve">two </w:t>
      </w:r>
      <w:r w:rsidRPr="00967AC5">
        <w:t>neighbo</w:t>
      </w:r>
      <w:r w:rsidR="00E8760E" w:rsidRPr="00967AC5">
        <w:t>u</w:t>
      </w:r>
      <w:r w:rsidRPr="00967AC5">
        <w:t xml:space="preserve">ring MFCN </w:t>
      </w:r>
      <w:r w:rsidR="006E68E5" w:rsidRPr="00967AC5">
        <w:t xml:space="preserve">operators </w:t>
      </w:r>
      <w:r w:rsidRPr="00967AC5">
        <w:t>according to</w:t>
      </w:r>
      <w:r w:rsidR="006E68E5" w:rsidRPr="00967AC5">
        <w:t xml:space="preserve"> the</w:t>
      </w:r>
      <w:r w:rsidRPr="00967AC5">
        <w:t xml:space="preserve"> national situation</w:t>
      </w:r>
      <w:r w:rsidR="00227896" w:rsidRPr="00967AC5">
        <w:t>.</w:t>
      </w:r>
    </w:p>
    <w:p w14:paraId="5D4B9ADB" w14:textId="77777777" w:rsidR="0032761C" w:rsidRPr="00967AC5" w:rsidRDefault="0032761C" w:rsidP="00330BFE">
      <w:pPr>
        <w:pStyle w:val="ECCParagraph"/>
      </w:pPr>
      <w:r w:rsidRPr="00967AC5">
        <w:t>To implement the required frequency separation, the BEM is applied from the MFCN operator assigned blocks edge, taking into account this frequency separation where needed. The approaches that could be used to implement the required frequency separation are described as follows according to the national situation:</w:t>
      </w:r>
    </w:p>
    <w:p w14:paraId="3C78DD51" w14:textId="195A959A" w:rsidR="0032761C" w:rsidRPr="00967AC5" w:rsidRDefault="0032761C" w:rsidP="00470CAF">
      <w:pPr>
        <w:pStyle w:val="ECCBulletsLv1"/>
        <w:rPr>
          <w:rStyle w:val="tlid-translation"/>
        </w:rPr>
      </w:pPr>
      <w:r w:rsidRPr="00967AC5">
        <w:rPr>
          <w:rStyle w:val="tlid-translation"/>
        </w:rPr>
        <w:t>In case</w:t>
      </w:r>
      <w:r w:rsidR="005F1B8A" w:rsidRPr="00967AC5">
        <w:rPr>
          <w:rStyle w:val="tlid-translation"/>
        </w:rPr>
        <w:t>s</w:t>
      </w:r>
      <w:r w:rsidRPr="00967AC5">
        <w:rPr>
          <w:rStyle w:val="tlid-translation"/>
        </w:rPr>
        <w:t xml:space="preserve"> where a</w:t>
      </w:r>
      <w:r w:rsidR="00584688">
        <w:rPr>
          <w:rStyle w:val="tlid-translation"/>
        </w:rPr>
        <w:t>n</w:t>
      </w:r>
      <w:r w:rsidRPr="00967AC5">
        <w:rPr>
          <w:rStyle w:val="tlid-translation"/>
        </w:rPr>
        <w:t xml:space="preserve"> NB</w:t>
      </w:r>
      <w:r w:rsidRPr="00967AC5">
        <w:rPr>
          <w:rStyle w:val="FootnoteReference"/>
        </w:rPr>
        <w:footnoteReference w:id="13"/>
      </w:r>
      <w:r w:rsidRPr="00967AC5">
        <w:rPr>
          <w:rStyle w:val="tlid-translation"/>
        </w:rPr>
        <w:t xml:space="preserve"> system is adjacent to a WB system</w:t>
      </w:r>
      <w:r w:rsidR="005F1B8A" w:rsidRPr="00967AC5">
        <w:rPr>
          <w:rStyle w:val="tlid-translation"/>
        </w:rPr>
        <w:t>:</w:t>
      </w:r>
    </w:p>
    <w:p w14:paraId="03CF497E" w14:textId="75F4C79A" w:rsidR="0032761C" w:rsidRPr="00967AC5" w:rsidRDefault="00065A28" w:rsidP="002505BC">
      <w:pPr>
        <w:pStyle w:val="ECCNumbered-LetteredList"/>
        <w:rPr>
          <w:lang w:val="en-GB"/>
        </w:rPr>
      </w:pPr>
      <w:r w:rsidRPr="00967AC5">
        <w:rPr>
          <w:lang w:val="en-GB"/>
        </w:rPr>
        <w:t>Case </w:t>
      </w:r>
      <w:r w:rsidR="0032761C" w:rsidRPr="00967AC5">
        <w:rPr>
          <w:lang w:val="en-GB"/>
        </w:rPr>
        <w:t xml:space="preserve">1: a shared approach between the two systems, where the 200 kHz </w:t>
      </w:r>
      <w:r w:rsidR="00E8760E" w:rsidRPr="00967AC5">
        <w:rPr>
          <w:lang w:val="en-GB"/>
        </w:rPr>
        <w:t xml:space="preserve">separation </w:t>
      </w:r>
      <w:r w:rsidR="0032761C" w:rsidRPr="00967AC5">
        <w:rPr>
          <w:lang w:val="en-GB"/>
        </w:rPr>
        <w:t>is shared on the side of both</w:t>
      </w:r>
      <w:r w:rsidR="00A35E10" w:rsidRPr="00967AC5">
        <w:rPr>
          <w:lang w:val="en-GB"/>
        </w:rPr>
        <w:t xml:space="preserve"> the </w:t>
      </w:r>
      <w:r w:rsidR="0032761C" w:rsidRPr="00967AC5">
        <w:rPr>
          <w:lang w:val="en-GB"/>
        </w:rPr>
        <w:t xml:space="preserve">NB systems </w:t>
      </w:r>
      <w:r w:rsidR="00A35E10" w:rsidRPr="00967AC5">
        <w:rPr>
          <w:lang w:val="en-GB"/>
        </w:rPr>
        <w:t xml:space="preserve">and </w:t>
      </w:r>
      <w:r w:rsidR="0032761C" w:rsidRPr="00967AC5">
        <w:rPr>
          <w:lang w:val="en-GB"/>
        </w:rPr>
        <w:t xml:space="preserve">WB system. The channel edge of any of the NB system carriers must be </w:t>
      </w:r>
      <w:r w:rsidR="00A35E10" w:rsidRPr="00967AC5">
        <w:rPr>
          <w:lang w:val="en-GB"/>
        </w:rPr>
        <w:t xml:space="preserve">at least </w:t>
      </w:r>
      <w:r w:rsidR="0032761C" w:rsidRPr="00967AC5">
        <w:rPr>
          <w:lang w:val="en-GB"/>
        </w:rPr>
        <w:t>100 kHz inside the edge of their permitted frequency block where the neighbo</w:t>
      </w:r>
      <w:r w:rsidR="00E8760E" w:rsidRPr="00967AC5">
        <w:rPr>
          <w:lang w:val="en-GB"/>
        </w:rPr>
        <w:t>u</w:t>
      </w:r>
      <w:r w:rsidR="0032761C" w:rsidRPr="00967AC5">
        <w:rPr>
          <w:lang w:val="en-GB"/>
        </w:rPr>
        <w:t>ring licensee has deployed</w:t>
      </w:r>
      <w:r w:rsidR="002A1DB5" w:rsidRPr="00967AC5">
        <w:rPr>
          <w:lang w:val="en-GB"/>
        </w:rPr>
        <w:t xml:space="preserve"> or</w:t>
      </w:r>
      <w:r w:rsidR="004A13C0" w:rsidRPr="00967AC5">
        <w:rPr>
          <w:lang w:val="en-GB"/>
        </w:rPr>
        <w:t xml:space="preserve"> </w:t>
      </w:r>
      <w:r w:rsidR="008303B9" w:rsidRPr="00967AC5">
        <w:rPr>
          <w:lang w:val="en-GB"/>
        </w:rPr>
        <w:t xml:space="preserve">could deploy </w:t>
      </w:r>
      <w:r w:rsidR="0032761C" w:rsidRPr="00967AC5">
        <w:rPr>
          <w:lang w:val="en-GB"/>
        </w:rPr>
        <w:t xml:space="preserve">a WB system, and the channel edge of any of the WB system carriers must </w:t>
      </w:r>
      <w:r w:rsidR="00F203D3" w:rsidRPr="00967AC5">
        <w:rPr>
          <w:lang w:val="en-GB"/>
        </w:rPr>
        <w:t>be at least</w:t>
      </w:r>
      <w:r w:rsidR="004A13C0" w:rsidRPr="00967AC5">
        <w:rPr>
          <w:lang w:val="en-GB"/>
        </w:rPr>
        <w:t xml:space="preserve"> </w:t>
      </w:r>
      <w:r w:rsidR="0032761C" w:rsidRPr="00967AC5">
        <w:rPr>
          <w:lang w:val="en-GB"/>
        </w:rPr>
        <w:t>100 kHz inside the edge of their permitted frequency block where the neighbo</w:t>
      </w:r>
      <w:r w:rsidR="00E8760E" w:rsidRPr="00967AC5">
        <w:rPr>
          <w:lang w:val="en-GB"/>
        </w:rPr>
        <w:t>u</w:t>
      </w:r>
      <w:r w:rsidR="0032761C" w:rsidRPr="00967AC5">
        <w:rPr>
          <w:lang w:val="en-GB"/>
        </w:rPr>
        <w:t>ring licensee has</w:t>
      </w:r>
      <w:r w:rsidR="00F203D3" w:rsidRPr="00967AC5">
        <w:rPr>
          <w:lang w:val="en-GB"/>
        </w:rPr>
        <w:t xml:space="preserve"> deployed</w:t>
      </w:r>
      <w:r w:rsidR="002A1DB5" w:rsidRPr="00967AC5">
        <w:rPr>
          <w:lang w:val="en-GB"/>
        </w:rPr>
        <w:t xml:space="preserve"> or </w:t>
      </w:r>
      <w:r w:rsidR="0032761C" w:rsidRPr="00967AC5">
        <w:rPr>
          <w:lang w:val="en-GB"/>
        </w:rPr>
        <w:t>could deploy a</w:t>
      </w:r>
      <w:r w:rsidR="002A1DB5" w:rsidRPr="00967AC5">
        <w:rPr>
          <w:lang w:val="en-GB"/>
        </w:rPr>
        <w:t>n</w:t>
      </w:r>
      <w:r w:rsidR="0032761C" w:rsidRPr="00967AC5">
        <w:rPr>
          <w:lang w:val="en-GB"/>
        </w:rPr>
        <w:t xml:space="preserve"> NB system</w:t>
      </w:r>
      <w:r w:rsidR="00B624D9" w:rsidRPr="00967AC5">
        <w:rPr>
          <w:lang w:val="en-GB"/>
        </w:rPr>
        <w:t>;</w:t>
      </w:r>
    </w:p>
    <w:p w14:paraId="42430AD0" w14:textId="21FE1CC9" w:rsidR="0032761C" w:rsidRPr="00967AC5" w:rsidRDefault="00065A28" w:rsidP="002505BC">
      <w:pPr>
        <w:pStyle w:val="ECCNumbered-LetteredList"/>
        <w:rPr>
          <w:lang w:val="en-GB"/>
        </w:rPr>
      </w:pPr>
      <w:r w:rsidRPr="00967AC5">
        <w:rPr>
          <w:lang w:val="en-GB"/>
        </w:rPr>
        <w:t>Case </w:t>
      </w:r>
      <w:r w:rsidR="0032761C" w:rsidRPr="00967AC5">
        <w:rPr>
          <w:lang w:val="en-GB"/>
        </w:rPr>
        <w:t>2:</w:t>
      </w:r>
      <w:r w:rsidR="00E71A3B" w:rsidRPr="00967AC5">
        <w:rPr>
          <w:lang w:val="en-GB"/>
        </w:rPr>
        <w:t xml:space="preserve">the </w:t>
      </w:r>
      <w:r w:rsidR="0032761C" w:rsidRPr="00967AC5">
        <w:rPr>
          <w:lang w:val="en-GB"/>
        </w:rPr>
        <w:t>200 kHz separation is</w:t>
      </w:r>
      <w:r w:rsidR="00E71A3B" w:rsidRPr="00967AC5">
        <w:rPr>
          <w:lang w:val="en-GB"/>
        </w:rPr>
        <w:t xml:space="preserve"> imposed</w:t>
      </w:r>
      <w:r w:rsidR="009424EB" w:rsidRPr="00967AC5">
        <w:rPr>
          <w:lang w:val="en-GB"/>
        </w:rPr>
        <w:t xml:space="preserve"> only</w:t>
      </w:r>
      <w:r w:rsidR="0032761C" w:rsidRPr="00967AC5">
        <w:rPr>
          <w:lang w:val="en-GB"/>
        </w:rPr>
        <w:t xml:space="preserve"> on the NB </w:t>
      </w:r>
      <w:r w:rsidR="00E8760E" w:rsidRPr="00967AC5">
        <w:rPr>
          <w:lang w:val="en-GB"/>
        </w:rPr>
        <w:t>system</w:t>
      </w:r>
      <w:r w:rsidR="0032761C" w:rsidRPr="00967AC5">
        <w:rPr>
          <w:lang w:val="en-GB"/>
        </w:rPr>
        <w:t xml:space="preserve">. The channel edge of any of the NB system carriers must be </w:t>
      </w:r>
      <w:r w:rsidR="00E71A3B" w:rsidRPr="00967AC5">
        <w:rPr>
          <w:lang w:val="en-GB"/>
        </w:rPr>
        <w:t xml:space="preserve">at least </w:t>
      </w:r>
      <w:r w:rsidR="0032761C" w:rsidRPr="00967AC5">
        <w:rPr>
          <w:lang w:val="en-GB"/>
        </w:rPr>
        <w:t>200 kHz inside the edge of their permitted frequency block where the neighbo</w:t>
      </w:r>
      <w:r w:rsidR="00E8760E" w:rsidRPr="00967AC5">
        <w:rPr>
          <w:lang w:val="en-GB"/>
        </w:rPr>
        <w:t>u</w:t>
      </w:r>
      <w:r w:rsidR="0032761C" w:rsidRPr="00967AC5">
        <w:rPr>
          <w:lang w:val="en-GB"/>
        </w:rPr>
        <w:t>ring licensee has</w:t>
      </w:r>
      <w:r w:rsidR="00E71A3B" w:rsidRPr="00967AC5">
        <w:rPr>
          <w:lang w:val="en-GB"/>
        </w:rPr>
        <w:t xml:space="preserve"> deployed or </w:t>
      </w:r>
      <w:r w:rsidR="0032761C" w:rsidRPr="00967AC5">
        <w:rPr>
          <w:lang w:val="en-GB"/>
        </w:rPr>
        <w:t>could deploy</w:t>
      </w:r>
      <w:r w:rsidR="00A6275E" w:rsidRPr="00967AC5">
        <w:rPr>
          <w:lang w:val="en-GB"/>
        </w:rPr>
        <w:t xml:space="preserve"> </w:t>
      </w:r>
      <w:r w:rsidR="0032761C" w:rsidRPr="00967AC5">
        <w:rPr>
          <w:lang w:val="en-GB"/>
        </w:rPr>
        <w:t>a WB system</w:t>
      </w:r>
      <w:r w:rsidR="00B624D9" w:rsidRPr="00967AC5">
        <w:rPr>
          <w:lang w:val="en-GB"/>
        </w:rPr>
        <w:t>;</w:t>
      </w:r>
    </w:p>
    <w:p w14:paraId="2102B591" w14:textId="46994FD0" w:rsidR="0032761C" w:rsidRPr="00967AC5" w:rsidRDefault="00065A28" w:rsidP="002505BC">
      <w:pPr>
        <w:pStyle w:val="ECCNumbered-LetteredList"/>
        <w:rPr>
          <w:lang w:val="en-GB"/>
        </w:rPr>
      </w:pPr>
      <w:r w:rsidRPr="00967AC5">
        <w:rPr>
          <w:lang w:val="en-GB"/>
        </w:rPr>
        <w:t>Case </w:t>
      </w:r>
      <w:r w:rsidR="0032761C" w:rsidRPr="00967AC5">
        <w:rPr>
          <w:lang w:val="en-GB"/>
        </w:rPr>
        <w:t xml:space="preserve">3: </w:t>
      </w:r>
      <w:proofErr w:type="gramStart"/>
      <w:r w:rsidR="00E71A3B" w:rsidRPr="00967AC5">
        <w:rPr>
          <w:lang w:val="en-GB"/>
        </w:rPr>
        <w:t xml:space="preserve">an </w:t>
      </w:r>
      <w:r w:rsidR="0032761C" w:rsidRPr="00967AC5">
        <w:rPr>
          <w:lang w:val="en-GB"/>
        </w:rPr>
        <w:t>the</w:t>
      </w:r>
      <w:proofErr w:type="gramEnd"/>
      <w:r w:rsidR="0032761C" w:rsidRPr="00967AC5">
        <w:rPr>
          <w:lang w:val="en-GB"/>
        </w:rPr>
        <w:t xml:space="preserve"> 200 kHz separation is </w:t>
      </w:r>
      <w:r w:rsidR="009424EB" w:rsidRPr="00967AC5">
        <w:rPr>
          <w:lang w:val="en-GB"/>
        </w:rPr>
        <w:t xml:space="preserve">imposed only </w:t>
      </w:r>
      <w:r w:rsidR="0032761C" w:rsidRPr="00967AC5">
        <w:rPr>
          <w:lang w:val="en-GB"/>
        </w:rPr>
        <w:t>on the WB system. This could mean</w:t>
      </w:r>
      <w:r w:rsidR="009424EB" w:rsidRPr="00967AC5">
        <w:rPr>
          <w:lang w:val="en-GB"/>
        </w:rPr>
        <w:t xml:space="preserve"> the </w:t>
      </w:r>
      <w:r w:rsidR="0032761C" w:rsidRPr="00967AC5">
        <w:rPr>
          <w:lang w:val="en-GB"/>
        </w:rPr>
        <w:t>channel edge of any of the WB system carriers must be 200 kHz or more inside the edge of their permitted frequency block where the neighbo</w:t>
      </w:r>
      <w:r w:rsidR="00E8760E" w:rsidRPr="00967AC5">
        <w:rPr>
          <w:lang w:val="en-GB"/>
        </w:rPr>
        <w:t>u</w:t>
      </w:r>
      <w:r w:rsidR="0032761C" w:rsidRPr="00967AC5">
        <w:rPr>
          <w:lang w:val="en-GB"/>
        </w:rPr>
        <w:t>ring licensee has</w:t>
      </w:r>
      <w:r w:rsidR="00BA3AB1" w:rsidRPr="00967AC5">
        <w:rPr>
          <w:lang w:val="en-GB"/>
        </w:rPr>
        <w:t xml:space="preserve"> </w:t>
      </w:r>
      <w:r w:rsidR="00A6275E" w:rsidRPr="00967AC5">
        <w:rPr>
          <w:lang w:val="en-GB"/>
        </w:rPr>
        <w:t xml:space="preserve">deployed </w:t>
      </w:r>
      <w:r w:rsidR="00BA3AB1" w:rsidRPr="00967AC5">
        <w:rPr>
          <w:lang w:val="en-GB"/>
        </w:rPr>
        <w:t xml:space="preserve">or </w:t>
      </w:r>
      <w:r w:rsidR="0032761C" w:rsidRPr="00967AC5">
        <w:rPr>
          <w:lang w:val="en-GB"/>
        </w:rPr>
        <w:t>could deploy a</w:t>
      </w:r>
      <w:r w:rsidR="00BA3AB1" w:rsidRPr="00967AC5">
        <w:rPr>
          <w:lang w:val="en-GB"/>
        </w:rPr>
        <w:t>n</w:t>
      </w:r>
      <w:r w:rsidR="0032761C" w:rsidRPr="00967AC5">
        <w:rPr>
          <w:lang w:val="en-GB"/>
        </w:rPr>
        <w:t xml:space="preserve"> NB system</w:t>
      </w:r>
      <w:r w:rsidR="00227896" w:rsidRPr="00967AC5">
        <w:rPr>
          <w:lang w:val="en-GB"/>
        </w:rPr>
        <w:t>.</w:t>
      </w:r>
    </w:p>
    <w:p w14:paraId="7FFC33A5" w14:textId="0297BC60" w:rsidR="0032761C" w:rsidRPr="00967AC5" w:rsidRDefault="0032761C" w:rsidP="0059372D">
      <w:pPr>
        <w:pStyle w:val="ECCBulletsLv1"/>
      </w:pPr>
      <w:r w:rsidRPr="00967AC5">
        <w:t>In case</w:t>
      </w:r>
      <w:r w:rsidR="005F1B8A" w:rsidRPr="00967AC5">
        <w:t>s</w:t>
      </w:r>
      <w:r w:rsidRPr="00967AC5">
        <w:t xml:space="preserve"> where a</w:t>
      </w:r>
      <w:r w:rsidR="00BA3AB1" w:rsidRPr="00967AC5">
        <w:t>n</w:t>
      </w:r>
      <w:r w:rsidRPr="00967AC5">
        <w:t xml:space="preserve"> NB </w:t>
      </w:r>
      <w:r w:rsidR="00977759" w:rsidRPr="00967AC5">
        <w:t xml:space="preserve"> </w:t>
      </w:r>
      <w:r w:rsidRPr="00967AC5">
        <w:t>system is adjacent to GSM</w:t>
      </w:r>
      <w:r w:rsidR="00B624D9" w:rsidRPr="00967AC5">
        <w:t>:</w:t>
      </w:r>
    </w:p>
    <w:p w14:paraId="09563515" w14:textId="362A7B68" w:rsidR="0032761C" w:rsidRPr="00967AC5" w:rsidRDefault="00065A28" w:rsidP="002505BC">
      <w:pPr>
        <w:pStyle w:val="ECCNumbered-LetteredList"/>
        <w:rPr>
          <w:lang w:val="en-GB"/>
        </w:rPr>
      </w:pPr>
      <w:r w:rsidRPr="00967AC5">
        <w:rPr>
          <w:lang w:val="en-GB"/>
        </w:rPr>
        <w:t>Case </w:t>
      </w:r>
      <w:r w:rsidR="0032761C" w:rsidRPr="00967AC5">
        <w:rPr>
          <w:lang w:val="en-GB"/>
        </w:rPr>
        <w:t xml:space="preserve">4: a shared approach between these two systems where the 200 kHz is shared on the side of both the NB </w:t>
      </w:r>
      <w:r w:rsidR="00977759" w:rsidRPr="00967AC5">
        <w:rPr>
          <w:lang w:val="en-GB"/>
        </w:rPr>
        <w:t xml:space="preserve"> </w:t>
      </w:r>
      <w:r w:rsidR="0032761C" w:rsidRPr="00967AC5">
        <w:rPr>
          <w:lang w:val="en-GB"/>
        </w:rPr>
        <w:t xml:space="preserve">system and the GSM system. The channel edge of the NB system carrier must be </w:t>
      </w:r>
      <w:r w:rsidR="00BF1559" w:rsidRPr="00967AC5">
        <w:rPr>
          <w:lang w:val="en-GB"/>
        </w:rPr>
        <w:t xml:space="preserve">at least </w:t>
      </w:r>
      <w:r w:rsidR="0032761C" w:rsidRPr="00967AC5">
        <w:rPr>
          <w:lang w:val="en-GB"/>
        </w:rPr>
        <w:t>100 kHz inside the edge of their permitted frequency block where the neighbo</w:t>
      </w:r>
      <w:r w:rsidR="00E8760E" w:rsidRPr="00967AC5">
        <w:rPr>
          <w:lang w:val="en-GB"/>
        </w:rPr>
        <w:t>u</w:t>
      </w:r>
      <w:r w:rsidR="0032761C" w:rsidRPr="00967AC5">
        <w:rPr>
          <w:lang w:val="en-GB"/>
        </w:rPr>
        <w:t>ring licensee has</w:t>
      </w:r>
      <w:r w:rsidR="00A45359" w:rsidRPr="00967AC5">
        <w:rPr>
          <w:lang w:val="en-GB"/>
        </w:rPr>
        <w:t xml:space="preserve"> deployed or </w:t>
      </w:r>
      <w:r w:rsidR="0032761C" w:rsidRPr="00967AC5">
        <w:rPr>
          <w:lang w:val="en-GB"/>
        </w:rPr>
        <w:t>could deploy</w:t>
      </w:r>
      <w:r w:rsidR="00A6275E" w:rsidRPr="00967AC5">
        <w:rPr>
          <w:lang w:val="en-GB"/>
        </w:rPr>
        <w:t xml:space="preserve"> </w:t>
      </w:r>
      <w:r w:rsidR="0032761C" w:rsidRPr="00967AC5">
        <w:rPr>
          <w:lang w:val="en-GB"/>
        </w:rPr>
        <w:t xml:space="preserve">a GSM system, and the channel edge of any of the GSM system carriers must </w:t>
      </w:r>
      <w:r w:rsidR="00667A9E" w:rsidRPr="00967AC5">
        <w:rPr>
          <w:lang w:val="en-GB"/>
        </w:rPr>
        <w:t xml:space="preserve">be at least </w:t>
      </w:r>
      <w:r w:rsidR="0032761C" w:rsidRPr="00967AC5">
        <w:rPr>
          <w:lang w:val="en-GB"/>
        </w:rPr>
        <w:t>100 kHz inside the edge of their permitted frequency block where the neighbo</w:t>
      </w:r>
      <w:r w:rsidR="00E8760E" w:rsidRPr="00967AC5">
        <w:rPr>
          <w:lang w:val="en-GB"/>
        </w:rPr>
        <w:t>u</w:t>
      </w:r>
      <w:r w:rsidR="0032761C" w:rsidRPr="00967AC5">
        <w:rPr>
          <w:lang w:val="en-GB"/>
        </w:rPr>
        <w:t>ring licensee has</w:t>
      </w:r>
      <w:r w:rsidR="00A6275E" w:rsidRPr="00967AC5">
        <w:rPr>
          <w:lang w:val="en-GB"/>
        </w:rPr>
        <w:t xml:space="preserve"> deployed or </w:t>
      </w:r>
      <w:r w:rsidR="003E6B69" w:rsidRPr="00967AC5">
        <w:rPr>
          <w:lang w:val="en-GB"/>
        </w:rPr>
        <w:t>could</w:t>
      </w:r>
      <w:r w:rsidR="0032761C" w:rsidRPr="00967AC5">
        <w:rPr>
          <w:lang w:val="en-GB"/>
        </w:rPr>
        <w:t xml:space="preserve"> deploy a</w:t>
      </w:r>
      <w:r w:rsidR="00A45359" w:rsidRPr="00967AC5">
        <w:rPr>
          <w:lang w:val="en-GB"/>
        </w:rPr>
        <w:t>n</w:t>
      </w:r>
      <w:r w:rsidR="0032761C" w:rsidRPr="00967AC5">
        <w:rPr>
          <w:lang w:val="en-GB"/>
        </w:rPr>
        <w:t xml:space="preserve"> NB system</w:t>
      </w:r>
      <w:r w:rsidR="00B624D9" w:rsidRPr="00967AC5">
        <w:rPr>
          <w:lang w:val="en-GB"/>
        </w:rPr>
        <w:t>;</w:t>
      </w:r>
    </w:p>
    <w:p w14:paraId="4B3F2F16" w14:textId="569DE59D" w:rsidR="0032761C" w:rsidRPr="00967AC5" w:rsidRDefault="00065A28" w:rsidP="002505BC">
      <w:pPr>
        <w:pStyle w:val="ECCNumbered-LetteredList"/>
        <w:rPr>
          <w:lang w:val="en-GB"/>
        </w:rPr>
      </w:pPr>
      <w:r w:rsidRPr="00967AC5">
        <w:rPr>
          <w:lang w:val="en-GB"/>
        </w:rPr>
        <w:t>Case </w:t>
      </w:r>
      <w:r w:rsidR="0032761C" w:rsidRPr="00967AC5">
        <w:rPr>
          <w:lang w:val="en-GB"/>
        </w:rPr>
        <w:t xml:space="preserve">5: The 200 kHz separation is </w:t>
      </w:r>
      <w:r w:rsidR="007A536A" w:rsidRPr="00967AC5">
        <w:rPr>
          <w:lang w:val="en-GB"/>
        </w:rPr>
        <w:t xml:space="preserve">imposed only </w:t>
      </w:r>
      <w:r w:rsidR="0032761C" w:rsidRPr="00967AC5">
        <w:rPr>
          <w:lang w:val="en-GB"/>
        </w:rPr>
        <w:t xml:space="preserve">on the GSM system. The channel edge of any of the </w:t>
      </w:r>
      <w:r w:rsidR="00CD4698" w:rsidRPr="00967AC5">
        <w:rPr>
          <w:lang w:val="en-GB"/>
        </w:rPr>
        <w:t xml:space="preserve">GSM </w:t>
      </w:r>
      <w:r w:rsidR="0032761C" w:rsidRPr="00967AC5">
        <w:rPr>
          <w:lang w:val="en-GB"/>
        </w:rPr>
        <w:t xml:space="preserve">system carriers must be </w:t>
      </w:r>
      <w:r w:rsidR="007A536A" w:rsidRPr="00967AC5">
        <w:rPr>
          <w:lang w:val="en-GB"/>
        </w:rPr>
        <w:t xml:space="preserve">at least </w:t>
      </w:r>
      <w:r w:rsidR="0032761C" w:rsidRPr="00967AC5">
        <w:rPr>
          <w:lang w:val="en-GB"/>
        </w:rPr>
        <w:t>200 kHz inside the edge of their permitted frequency block where the neighbo</w:t>
      </w:r>
      <w:r w:rsidR="00E8760E" w:rsidRPr="00967AC5">
        <w:rPr>
          <w:lang w:val="en-GB"/>
        </w:rPr>
        <w:t>u</w:t>
      </w:r>
      <w:r w:rsidR="0032761C" w:rsidRPr="00967AC5">
        <w:rPr>
          <w:lang w:val="en-GB"/>
        </w:rPr>
        <w:t>ring licensee has</w:t>
      </w:r>
      <w:r w:rsidR="007A536A" w:rsidRPr="00967AC5">
        <w:rPr>
          <w:lang w:val="en-GB"/>
        </w:rPr>
        <w:t xml:space="preserve"> deployed or </w:t>
      </w:r>
      <w:r w:rsidR="0032761C" w:rsidRPr="00967AC5">
        <w:rPr>
          <w:lang w:val="en-GB"/>
        </w:rPr>
        <w:t>could deploy</w:t>
      </w:r>
      <w:r w:rsidR="007A536A" w:rsidRPr="00967AC5">
        <w:rPr>
          <w:lang w:val="en-GB"/>
        </w:rPr>
        <w:t xml:space="preserve"> </w:t>
      </w:r>
      <w:r w:rsidR="0032761C" w:rsidRPr="00967AC5">
        <w:rPr>
          <w:lang w:val="en-GB"/>
        </w:rPr>
        <w:t>a</w:t>
      </w:r>
      <w:r w:rsidR="00A05EEA">
        <w:rPr>
          <w:lang w:val="en-GB"/>
        </w:rPr>
        <w:t>n</w:t>
      </w:r>
      <w:r w:rsidR="0032761C" w:rsidRPr="00967AC5">
        <w:rPr>
          <w:lang w:val="en-GB"/>
        </w:rPr>
        <w:t xml:space="preserve"> </w:t>
      </w:r>
      <w:r w:rsidR="00CD4698" w:rsidRPr="00967AC5">
        <w:rPr>
          <w:lang w:val="en-GB"/>
        </w:rPr>
        <w:t xml:space="preserve">NB </w:t>
      </w:r>
      <w:r w:rsidR="0032761C" w:rsidRPr="00967AC5">
        <w:rPr>
          <w:lang w:val="en-GB"/>
        </w:rPr>
        <w:t>system</w:t>
      </w:r>
      <w:r w:rsidR="00B624D9" w:rsidRPr="00967AC5">
        <w:rPr>
          <w:lang w:val="en-GB"/>
        </w:rPr>
        <w:t>;</w:t>
      </w:r>
    </w:p>
    <w:p w14:paraId="51FE2B45" w14:textId="67F918A5" w:rsidR="0032761C" w:rsidRPr="00967AC5" w:rsidRDefault="00065A28" w:rsidP="002505BC">
      <w:pPr>
        <w:pStyle w:val="ECCNumbered-LetteredList"/>
        <w:rPr>
          <w:lang w:val="en-GB"/>
        </w:rPr>
      </w:pPr>
      <w:r w:rsidRPr="00967AC5">
        <w:rPr>
          <w:lang w:val="en-GB"/>
        </w:rPr>
        <w:t>Case </w:t>
      </w:r>
      <w:r w:rsidR="0032761C" w:rsidRPr="00967AC5">
        <w:rPr>
          <w:lang w:val="en-GB"/>
        </w:rPr>
        <w:t xml:space="preserve">6: The 200 kHz separation is </w:t>
      </w:r>
      <w:r w:rsidR="007A536A" w:rsidRPr="00967AC5">
        <w:rPr>
          <w:lang w:val="en-GB"/>
        </w:rPr>
        <w:t xml:space="preserve">imposed only </w:t>
      </w:r>
      <w:r w:rsidR="0032761C" w:rsidRPr="00967AC5">
        <w:rPr>
          <w:lang w:val="en-GB"/>
        </w:rPr>
        <w:t xml:space="preserve">on the NB system. The channel edge of any of the </w:t>
      </w:r>
      <w:r w:rsidR="00CD4698" w:rsidRPr="00967AC5">
        <w:rPr>
          <w:lang w:val="en-GB"/>
        </w:rPr>
        <w:t xml:space="preserve">NB </w:t>
      </w:r>
      <w:r w:rsidR="0032761C" w:rsidRPr="00967AC5">
        <w:rPr>
          <w:lang w:val="en-GB"/>
        </w:rPr>
        <w:t xml:space="preserve">system carriers must be </w:t>
      </w:r>
      <w:r w:rsidR="007A536A" w:rsidRPr="00967AC5">
        <w:rPr>
          <w:lang w:val="en-GB"/>
        </w:rPr>
        <w:t xml:space="preserve">at least </w:t>
      </w:r>
      <w:r w:rsidR="0032761C" w:rsidRPr="00967AC5">
        <w:rPr>
          <w:lang w:val="en-GB"/>
        </w:rPr>
        <w:t>200 kHz or more inside the edge of their permitted frequency block where the neighbo</w:t>
      </w:r>
      <w:r w:rsidR="00865022" w:rsidRPr="00967AC5">
        <w:rPr>
          <w:lang w:val="en-GB"/>
        </w:rPr>
        <w:t>u</w:t>
      </w:r>
      <w:r w:rsidR="0032761C" w:rsidRPr="00967AC5">
        <w:rPr>
          <w:lang w:val="en-GB"/>
        </w:rPr>
        <w:t>ring licensee has</w:t>
      </w:r>
      <w:r w:rsidR="00A6275E" w:rsidRPr="00967AC5">
        <w:rPr>
          <w:lang w:val="en-GB"/>
        </w:rPr>
        <w:t xml:space="preserve"> deployed or </w:t>
      </w:r>
      <w:r w:rsidR="0032761C" w:rsidRPr="00967AC5">
        <w:rPr>
          <w:lang w:val="en-GB"/>
        </w:rPr>
        <w:t>could deploy</w:t>
      </w:r>
      <w:r w:rsidR="00A6275E" w:rsidRPr="00967AC5">
        <w:rPr>
          <w:lang w:val="en-GB"/>
        </w:rPr>
        <w:t xml:space="preserve"> </w:t>
      </w:r>
      <w:r w:rsidR="0032761C" w:rsidRPr="00967AC5">
        <w:rPr>
          <w:lang w:val="en-GB"/>
        </w:rPr>
        <w:t xml:space="preserve"> a </w:t>
      </w:r>
      <w:r w:rsidR="00CD4698" w:rsidRPr="00967AC5">
        <w:rPr>
          <w:lang w:val="en-GB"/>
        </w:rPr>
        <w:t xml:space="preserve">GSM </w:t>
      </w:r>
      <w:r w:rsidR="0032761C" w:rsidRPr="00967AC5">
        <w:rPr>
          <w:lang w:val="en-GB"/>
        </w:rPr>
        <w:t>system</w:t>
      </w:r>
      <w:r w:rsidR="00B624D9" w:rsidRPr="00967AC5">
        <w:rPr>
          <w:lang w:val="en-GB"/>
        </w:rPr>
        <w:t>;</w:t>
      </w:r>
    </w:p>
    <w:p w14:paraId="011D4A9E" w14:textId="2480AC88" w:rsidR="002A3A41" w:rsidRPr="00967AC5" w:rsidRDefault="0032761C" w:rsidP="002505BC">
      <w:pPr>
        <w:pStyle w:val="ECCBulletsLv1"/>
      </w:pPr>
      <w:r w:rsidRPr="00967AC5">
        <w:t xml:space="preserve">In the case of </w:t>
      </w:r>
      <w:r w:rsidR="00A053BC" w:rsidRPr="00967AC5">
        <w:t xml:space="preserve">system adjacent to those of the same type (i.e. </w:t>
      </w:r>
      <w:r w:rsidRPr="00967AC5">
        <w:t>a</w:t>
      </w:r>
      <w:r w:rsidR="00A053BC" w:rsidRPr="00967AC5">
        <w:t>n</w:t>
      </w:r>
      <w:r w:rsidRPr="00967AC5">
        <w:t xml:space="preserve"> NB system adjacent to a</w:t>
      </w:r>
      <w:r w:rsidR="00A053BC" w:rsidRPr="00967AC5">
        <w:t>n</w:t>
      </w:r>
      <w:r w:rsidRPr="00967AC5">
        <w:t xml:space="preserve"> NB system, a WB system adjacent to a WB system</w:t>
      </w:r>
      <w:r w:rsidR="00A053BC" w:rsidRPr="00967AC5">
        <w:t>)</w:t>
      </w:r>
      <w:r w:rsidR="002A3A41" w:rsidRPr="00967AC5">
        <w:t xml:space="preserve"> there </w:t>
      </w:r>
      <w:r w:rsidRPr="00967AC5">
        <w:t>is no need for frequency separation. The channel edge of the system carriers can be at the edge of their permitted frequency block</w:t>
      </w:r>
      <w:r w:rsidR="00B624D9" w:rsidRPr="00967AC5">
        <w:t>;</w:t>
      </w:r>
    </w:p>
    <w:p w14:paraId="61AC8EC0" w14:textId="77777777" w:rsidR="000C3BC4" w:rsidRPr="00967AC5" w:rsidRDefault="000C3BC4" w:rsidP="00470CAF">
      <w:pPr>
        <w:pStyle w:val="ECCParagraph"/>
      </w:pPr>
    </w:p>
    <w:p w14:paraId="7CEE8FFF" w14:textId="01931795" w:rsidR="0032761C" w:rsidRPr="00967AC5" w:rsidRDefault="0032761C" w:rsidP="00470CAF">
      <w:pPr>
        <w:pStyle w:val="ECCParagraph"/>
      </w:pPr>
      <w:r w:rsidRPr="00967AC5">
        <w:t>The above frequency separations are required to ensure coexistence in the absence of bilateral or multilateral agreements between neighbouring networks, without precluding less stringent technical parameters if agreed among the operators of such networks</w:t>
      </w:r>
      <w:r w:rsidR="00E8760E" w:rsidRPr="00967AC5">
        <w:t>.</w:t>
      </w:r>
      <w:r w:rsidRPr="00967AC5">
        <w:t xml:space="preserve"> </w:t>
      </w:r>
      <w:r w:rsidR="0091105E" w:rsidRPr="00967AC5">
        <w:t>¨</w:t>
      </w:r>
    </w:p>
    <w:p w14:paraId="2856DADD" w14:textId="77777777" w:rsidR="004A13C0" w:rsidRPr="00967AC5" w:rsidRDefault="004A13C0" w:rsidP="004A13C0">
      <w:pPr>
        <w:pStyle w:val="ECCParagraph"/>
      </w:pPr>
      <w:r w:rsidRPr="00967AC5">
        <w:lastRenderedPageBreak/>
        <w:t>The following table summarises these cases:</w:t>
      </w:r>
    </w:p>
    <w:p w14:paraId="271705AC" w14:textId="5CE45F47" w:rsidR="004A13C0" w:rsidRPr="00967AC5" w:rsidRDefault="004A13C0" w:rsidP="00001EB9">
      <w:pPr>
        <w:pStyle w:val="Caption"/>
        <w:keepNext/>
        <w:rPr>
          <w:lang w:val="en-GB"/>
        </w:rPr>
      </w:pPr>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8</w:t>
      </w:r>
      <w:r w:rsidRPr="00967AC5">
        <w:rPr>
          <w:lang w:val="en-GB"/>
        </w:rPr>
        <w:fldChar w:fldCharType="end"/>
      </w:r>
      <w:r w:rsidRPr="00967AC5">
        <w:rPr>
          <w:lang w:val="en-GB"/>
        </w:rPr>
        <w:t xml:space="preserve">: Required minimum frequency separation </w:t>
      </w:r>
      <w:proofErr w:type="spellStart"/>
      <w:r w:rsidRPr="00967AC5">
        <w:rPr>
          <w:rFonts w:cs="Arial"/>
          <w:lang w:val="en-GB"/>
        </w:rPr>
        <w:t>Δf</w:t>
      </w:r>
      <w:proofErr w:type="spellEnd"/>
      <w:r w:rsidRPr="00967AC5">
        <w:rPr>
          <w:rFonts w:cs="Arial"/>
          <w:lang w:val="en-GB"/>
        </w:rPr>
        <w:t xml:space="preserve"> from edge of a system’s permitted frequency block</w:t>
      </w:r>
    </w:p>
    <w:tbl>
      <w:tblPr>
        <w:tblStyle w:val="ECCTable-redheader"/>
        <w:tblW w:w="0" w:type="auto"/>
        <w:tblInd w:w="0" w:type="dxa"/>
        <w:tblLook w:val="04A0" w:firstRow="1" w:lastRow="0" w:firstColumn="1" w:lastColumn="0" w:noHBand="0" w:noVBand="1"/>
      </w:tblPr>
      <w:tblGrid>
        <w:gridCol w:w="1555"/>
        <w:gridCol w:w="3118"/>
        <w:gridCol w:w="1276"/>
        <w:gridCol w:w="1417"/>
        <w:gridCol w:w="1276"/>
      </w:tblGrid>
      <w:tr w:rsidR="004A13C0" w:rsidRPr="00967AC5" w14:paraId="36B895D9" w14:textId="77777777" w:rsidTr="001C6532">
        <w:trPr>
          <w:cnfStyle w:val="100000000000" w:firstRow="1" w:lastRow="0" w:firstColumn="0" w:lastColumn="0" w:oddVBand="0" w:evenVBand="0" w:oddHBand="0" w:evenHBand="0" w:firstRowFirstColumn="0" w:firstRowLastColumn="0" w:lastRowFirstColumn="0" w:lastRowLastColumn="0"/>
        </w:trPr>
        <w:tc>
          <w:tcPr>
            <w:tcW w:w="1555" w:type="dxa"/>
          </w:tcPr>
          <w:p w14:paraId="39415736" w14:textId="77777777" w:rsidR="004A13C0" w:rsidRPr="00967AC5" w:rsidRDefault="004A13C0" w:rsidP="005931B9">
            <w:pPr>
              <w:pStyle w:val="ECCTableHeaderwhitefont"/>
              <w:keepNext/>
              <w:keepLines/>
              <w:rPr>
                <w:lang w:val="en-GB"/>
              </w:rPr>
            </w:pPr>
            <w:r w:rsidRPr="00967AC5">
              <w:rPr>
                <w:lang w:val="en-GB"/>
              </w:rPr>
              <w:t>Case</w:t>
            </w:r>
          </w:p>
        </w:tc>
        <w:tc>
          <w:tcPr>
            <w:tcW w:w="3118" w:type="dxa"/>
          </w:tcPr>
          <w:p w14:paraId="1ABB8BE6" w14:textId="77777777" w:rsidR="004A13C0" w:rsidRPr="00967AC5" w:rsidRDefault="004A13C0" w:rsidP="005931B9">
            <w:pPr>
              <w:pStyle w:val="ECCTableHeaderwhitefont"/>
              <w:keepNext/>
              <w:keepLines/>
              <w:rPr>
                <w:lang w:val="en-GB"/>
              </w:rPr>
            </w:pPr>
            <w:r w:rsidRPr="00967AC5">
              <w:rPr>
                <w:lang w:val="en-GB"/>
              </w:rPr>
              <w:t>System A</w:t>
            </w:r>
          </w:p>
        </w:tc>
        <w:tc>
          <w:tcPr>
            <w:tcW w:w="1276" w:type="dxa"/>
          </w:tcPr>
          <w:p w14:paraId="27F2A71C" w14:textId="77777777" w:rsidR="004A13C0" w:rsidRPr="00967AC5" w:rsidRDefault="004A13C0" w:rsidP="005931B9">
            <w:pPr>
              <w:pStyle w:val="ECCTableHeaderwhitefont"/>
              <w:keepNext/>
              <w:keepLines/>
              <w:rPr>
                <w:lang w:val="en-GB"/>
              </w:rPr>
            </w:pPr>
            <w:r w:rsidRPr="00967AC5">
              <w:rPr>
                <w:lang w:val="en-GB"/>
              </w:rPr>
              <w:t>System B</w:t>
            </w:r>
          </w:p>
        </w:tc>
        <w:tc>
          <w:tcPr>
            <w:tcW w:w="1417" w:type="dxa"/>
          </w:tcPr>
          <w:p w14:paraId="2301ABA0" w14:textId="77777777" w:rsidR="004A13C0" w:rsidRPr="00967AC5" w:rsidRDefault="004A13C0" w:rsidP="005931B9">
            <w:pPr>
              <w:pStyle w:val="ECCTableHeaderwhitefont"/>
              <w:keepNext/>
              <w:keepLines/>
              <w:rPr>
                <w:lang w:val="en-GB"/>
              </w:rPr>
            </w:pPr>
            <w:r w:rsidRPr="00967AC5">
              <w:rPr>
                <w:lang w:val="en-GB"/>
              </w:rPr>
              <w:t>System A</w:t>
            </w:r>
            <w:r w:rsidRPr="00967AC5">
              <w:rPr>
                <w:rFonts w:cs="Arial"/>
                <w:lang w:val="en-GB"/>
              </w:rPr>
              <w:t xml:space="preserve"> </w:t>
            </w:r>
            <w:proofErr w:type="spellStart"/>
            <w:r w:rsidRPr="00967AC5">
              <w:rPr>
                <w:rFonts w:cs="Arial"/>
                <w:lang w:val="en-GB"/>
              </w:rPr>
              <w:t>Δf</w:t>
            </w:r>
            <w:proofErr w:type="spellEnd"/>
            <w:r w:rsidRPr="00967AC5">
              <w:rPr>
                <w:lang w:val="en-GB"/>
              </w:rPr>
              <w:t xml:space="preserve"> </w:t>
            </w:r>
          </w:p>
        </w:tc>
        <w:tc>
          <w:tcPr>
            <w:tcW w:w="1276" w:type="dxa"/>
          </w:tcPr>
          <w:p w14:paraId="1221D36C" w14:textId="77777777" w:rsidR="004A13C0" w:rsidRPr="00967AC5" w:rsidRDefault="004A13C0" w:rsidP="005931B9">
            <w:pPr>
              <w:pStyle w:val="ECCTableHeaderwhitefont"/>
              <w:keepNext/>
              <w:keepLines/>
              <w:rPr>
                <w:lang w:val="en-GB"/>
              </w:rPr>
            </w:pPr>
            <w:r w:rsidRPr="00967AC5">
              <w:rPr>
                <w:lang w:val="en-GB"/>
              </w:rPr>
              <w:t>System B</w:t>
            </w:r>
            <w:r w:rsidRPr="00967AC5">
              <w:rPr>
                <w:rFonts w:cs="Arial"/>
                <w:lang w:val="en-GB"/>
              </w:rPr>
              <w:t xml:space="preserve"> </w:t>
            </w:r>
            <w:proofErr w:type="spellStart"/>
            <w:r w:rsidRPr="00967AC5">
              <w:rPr>
                <w:rFonts w:cs="Arial"/>
                <w:lang w:val="en-GB"/>
              </w:rPr>
              <w:t>Δf</w:t>
            </w:r>
            <w:proofErr w:type="spellEnd"/>
          </w:p>
        </w:tc>
      </w:tr>
      <w:tr w:rsidR="004A13C0" w:rsidRPr="00967AC5" w14:paraId="6A6BF40A" w14:textId="77777777" w:rsidTr="001C6532">
        <w:tc>
          <w:tcPr>
            <w:tcW w:w="1555" w:type="dxa"/>
          </w:tcPr>
          <w:p w14:paraId="625987D6" w14:textId="77777777" w:rsidR="004A13C0" w:rsidRPr="00967AC5" w:rsidRDefault="004A13C0" w:rsidP="005931B9">
            <w:pPr>
              <w:pStyle w:val="ECCTabletext"/>
              <w:keepNext/>
              <w:keepLines/>
            </w:pPr>
            <w:r w:rsidRPr="00967AC5">
              <w:t>1</w:t>
            </w:r>
          </w:p>
        </w:tc>
        <w:tc>
          <w:tcPr>
            <w:tcW w:w="3118" w:type="dxa"/>
            <w:vMerge w:val="restart"/>
          </w:tcPr>
          <w:p w14:paraId="1FBD0D10" w14:textId="4A2625D9" w:rsidR="004A13C0" w:rsidRPr="00967AC5" w:rsidRDefault="004A13C0" w:rsidP="005931B9">
            <w:pPr>
              <w:pStyle w:val="ECCTabletext"/>
              <w:keepNext/>
              <w:keepLines/>
            </w:pPr>
            <w:r w:rsidRPr="00967AC5">
              <w:t>NB</w:t>
            </w:r>
            <w:r w:rsidR="00531D45" w:rsidRPr="00967AC5">
              <w:t xml:space="preserve"> or </w:t>
            </w:r>
            <w:r w:rsidRPr="00967AC5">
              <w:t>GSM</w:t>
            </w:r>
          </w:p>
        </w:tc>
        <w:tc>
          <w:tcPr>
            <w:tcW w:w="1276" w:type="dxa"/>
            <w:vMerge w:val="restart"/>
          </w:tcPr>
          <w:p w14:paraId="32AADD01" w14:textId="77777777" w:rsidR="004A13C0" w:rsidRPr="00967AC5" w:rsidRDefault="004A13C0" w:rsidP="005931B9">
            <w:pPr>
              <w:pStyle w:val="ECCTabletext"/>
              <w:keepNext/>
              <w:keepLines/>
            </w:pPr>
            <w:r w:rsidRPr="00967AC5">
              <w:t>WB</w:t>
            </w:r>
          </w:p>
        </w:tc>
        <w:tc>
          <w:tcPr>
            <w:tcW w:w="1417" w:type="dxa"/>
          </w:tcPr>
          <w:p w14:paraId="5FED400F" w14:textId="77777777" w:rsidR="004A13C0" w:rsidRPr="00967AC5" w:rsidRDefault="004A13C0" w:rsidP="005931B9">
            <w:pPr>
              <w:pStyle w:val="ECCTabletext"/>
              <w:keepNext/>
              <w:keepLines/>
            </w:pPr>
            <w:r w:rsidRPr="00967AC5">
              <w:t>100 kHz</w:t>
            </w:r>
          </w:p>
        </w:tc>
        <w:tc>
          <w:tcPr>
            <w:tcW w:w="1276" w:type="dxa"/>
          </w:tcPr>
          <w:p w14:paraId="2BBF7157" w14:textId="77777777" w:rsidR="004A13C0" w:rsidRPr="00967AC5" w:rsidRDefault="004A13C0" w:rsidP="005931B9">
            <w:pPr>
              <w:pStyle w:val="ECCTabletext"/>
              <w:keepNext/>
              <w:keepLines/>
            </w:pPr>
            <w:r w:rsidRPr="00967AC5">
              <w:t>100 kHz</w:t>
            </w:r>
          </w:p>
        </w:tc>
      </w:tr>
      <w:tr w:rsidR="004A13C0" w:rsidRPr="00967AC5" w14:paraId="1AD82ACB" w14:textId="77777777" w:rsidTr="001C6532">
        <w:tc>
          <w:tcPr>
            <w:tcW w:w="1555" w:type="dxa"/>
          </w:tcPr>
          <w:p w14:paraId="4A7E10E1" w14:textId="77777777" w:rsidR="004A13C0" w:rsidRPr="00967AC5" w:rsidRDefault="004A13C0" w:rsidP="005931B9">
            <w:pPr>
              <w:pStyle w:val="ECCTabletext"/>
              <w:keepNext/>
              <w:keepLines/>
            </w:pPr>
            <w:r w:rsidRPr="00967AC5">
              <w:t>2</w:t>
            </w:r>
          </w:p>
        </w:tc>
        <w:tc>
          <w:tcPr>
            <w:tcW w:w="3118" w:type="dxa"/>
            <w:vMerge/>
          </w:tcPr>
          <w:p w14:paraId="615A5B22" w14:textId="77777777" w:rsidR="004A13C0" w:rsidRPr="00967AC5" w:rsidRDefault="004A13C0" w:rsidP="005931B9">
            <w:pPr>
              <w:pStyle w:val="ECCTabletext"/>
              <w:keepNext/>
              <w:keepLines/>
            </w:pPr>
          </w:p>
        </w:tc>
        <w:tc>
          <w:tcPr>
            <w:tcW w:w="1276" w:type="dxa"/>
            <w:vMerge/>
          </w:tcPr>
          <w:p w14:paraId="6267078F" w14:textId="77777777" w:rsidR="004A13C0" w:rsidRPr="00967AC5" w:rsidRDefault="004A13C0" w:rsidP="005931B9">
            <w:pPr>
              <w:pStyle w:val="ECCTabletext"/>
              <w:keepNext/>
              <w:keepLines/>
            </w:pPr>
          </w:p>
        </w:tc>
        <w:tc>
          <w:tcPr>
            <w:tcW w:w="1417" w:type="dxa"/>
          </w:tcPr>
          <w:p w14:paraId="2599DB7B" w14:textId="77777777" w:rsidR="004A13C0" w:rsidRPr="00967AC5" w:rsidRDefault="004A13C0" w:rsidP="005931B9">
            <w:pPr>
              <w:pStyle w:val="ECCTabletext"/>
              <w:keepNext/>
              <w:keepLines/>
            </w:pPr>
            <w:r w:rsidRPr="00967AC5">
              <w:t>200 kHz</w:t>
            </w:r>
          </w:p>
        </w:tc>
        <w:tc>
          <w:tcPr>
            <w:tcW w:w="1276" w:type="dxa"/>
          </w:tcPr>
          <w:p w14:paraId="1A85D20E" w14:textId="77777777" w:rsidR="004A13C0" w:rsidRPr="00967AC5" w:rsidRDefault="004A13C0" w:rsidP="005931B9">
            <w:pPr>
              <w:pStyle w:val="ECCTabletext"/>
              <w:keepNext/>
              <w:keepLines/>
            </w:pPr>
            <w:r w:rsidRPr="00967AC5">
              <w:t>0</w:t>
            </w:r>
          </w:p>
        </w:tc>
      </w:tr>
      <w:tr w:rsidR="004A13C0" w:rsidRPr="00967AC5" w14:paraId="294141B8" w14:textId="77777777" w:rsidTr="001C6532">
        <w:tc>
          <w:tcPr>
            <w:tcW w:w="1555" w:type="dxa"/>
          </w:tcPr>
          <w:p w14:paraId="71EE8110" w14:textId="77777777" w:rsidR="004A13C0" w:rsidRPr="00967AC5" w:rsidRDefault="004A13C0" w:rsidP="005931B9">
            <w:pPr>
              <w:pStyle w:val="ECCTabletext"/>
              <w:keepNext/>
              <w:keepLines/>
            </w:pPr>
            <w:r w:rsidRPr="00967AC5">
              <w:t>3</w:t>
            </w:r>
          </w:p>
        </w:tc>
        <w:tc>
          <w:tcPr>
            <w:tcW w:w="3118" w:type="dxa"/>
            <w:vMerge/>
          </w:tcPr>
          <w:p w14:paraId="65DA426A" w14:textId="77777777" w:rsidR="004A13C0" w:rsidRPr="00967AC5" w:rsidRDefault="004A13C0" w:rsidP="005931B9">
            <w:pPr>
              <w:pStyle w:val="ECCTabletext"/>
              <w:keepNext/>
              <w:keepLines/>
            </w:pPr>
          </w:p>
        </w:tc>
        <w:tc>
          <w:tcPr>
            <w:tcW w:w="1276" w:type="dxa"/>
            <w:vMerge/>
          </w:tcPr>
          <w:p w14:paraId="0132C33D" w14:textId="77777777" w:rsidR="004A13C0" w:rsidRPr="00967AC5" w:rsidRDefault="004A13C0" w:rsidP="005931B9">
            <w:pPr>
              <w:pStyle w:val="ECCTabletext"/>
              <w:keepNext/>
              <w:keepLines/>
            </w:pPr>
          </w:p>
        </w:tc>
        <w:tc>
          <w:tcPr>
            <w:tcW w:w="1417" w:type="dxa"/>
          </w:tcPr>
          <w:p w14:paraId="1378AFC3" w14:textId="77777777" w:rsidR="004A13C0" w:rsidRPr="00967AC5" w:rsidRDefault="004A13C0" w:rsidP="005931B9">
            <w:pPr>
              <w:pStyle w:val="ECCTabletext"/>
              <w:keepNext/>
              <w:keepLines/>
            </w:pPr>
            <w:r w:rsidRPr="00967AC5">
              <w:t>0</w:t>
            </w:r>
          </w:p>
        </w:tc>
        <w:tc>
          <w:tcPr>
            <w:tcW w:w="1276" w:type="dxa"/>
          </w:tcPr>
          <w:p w14:paraId="17FB92F3" w14:textId="77777777" w:rsidR="004A13C0" w:rsidRPr="00967AC5" w:rsidRDefault="004A13C0" w:rsidP="005931B9">
            <w:pPr>
              <w:pStyle w:val="ECCTabletext"/>
              <w:keepNext/>
              <w:keepLines/>
            </w:pPr>
            <w:r w:rsidRPr="00967AC5">
              <w:t>200 kHz</w:t>
            </w:r>
          </w:p>
        </w:tc>
      </w:tr>
      <w:tr w:rsidR="004A13C0" w:rsidRPr="00967AC5" w14:paraId="6CB1A7A9" w14:textId="77777777" w:rsidTr="001C6532">
        <w:tc>
          <w:tcPr>
            <w:tcW w:w="1555" w:type="dxa"/>
          </w:tcPr>
          <w:p w14:paraId="4782EBF9" w14:textId="77777777" w:rsidR="004A13C0" w:rsidRPr="00967AC5" w:rsidRDefault="004A13C0" w:rsidP="005931B9">
            <w:pPr>
              <w:pStyle w:val="ECCTabletext"/>
              <w:keepNext/>
              <w:keepLines/>
            </w:pPr>
            <w:r w:rsidRPr="00967AC5">
              <w:t>4</w:t>
            </w:r>
          </w:p>
        </w:tc>
        <w:tc>
          <w:tcPr>
            <w:tcW w:w="3118" w:type="dxa"/>
            <w:vMerge w:val="restart"/>
          </w:tcPr>
          <w:p w14:paraId="04A39387" w14:textId="77777777" w:rsidR="004A13C0" w:rsidRPr="00967AC5" w:rsidRDefault="004A13C0" w:rsidP="005931B9">
            <w:pPr>
              <w:pStyle w:val="ECCTabletext"/>
              <w:keepNext/>
              <w:keepLines/>
            </w:pPr>
            <w:r w:rsidRPr="00967AC5">
              <w:t>GSM</w:t>
            </w:r>
          </w:p>
        </w:tc>
        <w:tc>
          <w:tcPr>
            <w:tcW w:w="1276" w:type="dxa"/>
            <w:vMerge w:val="restart"/>
          </w:tcPr>
          <w:p w14:paraId="125F5898" w14:textId="77777777" w:rsidR="004A13C0" w:rsidRPr="00967AC5" w:rsidRDefault="004A13C0" w:rsidP="005931B9">
            <w:pPr>
              <w:pStyle w:val="ECCTabletext"/>
              <w:keepNext/>
              <w:keepLines/>
            </w:pPr>
            <w:r w:rsidRPr="00967AC5">
              <w:t>NB</w:t>
            </w:r>
          </w:p>
        </w:tc>
        <w:tc>
          <w:tcPr>
            <w:tcW w:w="1417" w:type="dxa"/>
          </w:tcPr>
          <w:p w14:paraId="6ED67BAF" w14:textId="77777777" w:rsidR="004A13C0" w:rsidRPr="00967AC5" w:rsidRDefault="004A13C0" w:rsidP="005931B9">
            <w:pPr>
              <w:pStyle w:val="ECCTabletext"/>
              <w:keepNext/>
              <w:keepLines/>
            </w:pPr>
            <w:r w:rsidRPr="00967AC5">
              <w:t>100 kHz</w:t>
            </w:r>
          </w:p>
        </w:tc>
        <w:tc>
          <w:tcPr>
            <w:tcW w:w="1276" w:type="dxa"/>
          </w:tcPr>
          <w:p w14:paraId="3553D8D1" w14:textId="77777777" w:rsidR="004A13C0" w:rsidRPr="00967AC5" w:rsidRDefault="004A13C0" w:rsidP="005931B9">
            <w:pPr>
              <w:pStyle w:val="ECCTabletext"/>
              <w:keepNext/>
              <w:keepLines/>
            </w:pPr>
            <w:r w:rsidRPr="00967AC5">
              <w:t>100 kHz</w:t>
            </w:r>
          </w:p>
        </w:tc>
      </w:tr>
      <w:tr w:rsidR="004A13C0" w:rsidRPr="00967AC5" w14:paraId="73D44D5B" w14:textId="77777777" w:rsidTr="001C6532">
        <w:tc>
          <w:tcPr>
            <w:tcW w:w="1555" w:type="dxa"/>
          </w:tcPr>
          <w:p w14:paraId="7679E126" w14:textId="77777777" w:rsidR="004A13C0" w:rsidRPr="00967AC5" w:rsidRDefault="004A13C0" w:rsidP="005931B9">
            <w:pPr>
              <w:pStyle w:val="ECCTabletext"/>
              <w:keepNext/>
              <w:keepLines/>
            </w:pPr>
            <w:r w:rsidRPr="00967AC5">
              <w:t>5</w:t>
            </w:r>
          </w:p>
        </w:tc>
        <w:tc>
          <w:tcPr>
            <w:tcW w:w="3118" w:type="dxa"/>
            <w:vMerge/>
          </w:tcPr>
          <w:p w14:paraId="3CBF583B" w14:textId="77777777" w:rsidR="004A13C0" w:rsidRPr="00967AC5" w:rsidRDefault="004A13C0" w:rsidP="005931B9">
            <w:pPr>
              <w:pStyle w:val="ECCTabletext"/>
              <w:keepNext/>
              <w:keepLines/>
            </w:pPr>
          </w:p>
        </w:tc>
        <w:tc>
          <w:tcPr>
            <w:tcW w:w="1276" w:type="dxa"/>
            <w:vMerge/>
          </w:tcPr>
          <w:p w14:paraId="13A898CB" w14:textId="77777777" w:rsidR="004A13C0" w:rsidRPr="00967AC5" w:rsidRDefault="004A13C0" w:rsidP="005931B9">
            <w:pPr>
              <w:pStyle w:val="ECCTabletext"/>
              <w:keepNext/>
              <w:keepLines/>
            </w:pPr>
          </w:p>
        </w:tc>
        <w:tc>
          <w:tcPr>
            <w:tcW w:w="1417" w:type="dxa"/>
          </w:tcPr>
          <w:p w14:paraId="45FA508E" w14:textId="77777777" w:rsidR="004A13C0" w:rsidRPr="00967AC5" w:rsidRDefault="004A13C0" w:rsidP="005931B9">
            <w:pPr>
              <w:pStyle w:val="ECCTabletext"/>
              <w:keepNext/>
              <w:keepLines/>
            </w:pPr>
            <w:r w:rsidRPr="00967AC5">
              <w:t>200 kHz</w:t>
            </w:r>
          </w:p>
        </w:tc>
        <w:tc>
          <w:tcPr>
            <w:tcW w:w="1276" w:type="dxa"/>
          </w:tcPr>
          <w:p w14:paraId="2EF122E4" w14:textId="77777777" w:rsidR="004A13C0" w:rsidRPr="00967AC5" w:rsidRDefault="004A13C0" w:rsidP="005931B9">
            <w:pPr>
              <w:pStyle w:val="ECCTabletext"/>
              <w:keepNext/>
              <w:keepLines/>
            </w:pPr>
            <w:r w:rsidRPr="00967AC5">
              <w:t>0</w:t>
            </w:r>
          </w:p>
        </w:tc>
      </w:tr>
      <w:tr w:rsidR="004A13C0" w:rsidRPr="00967AC5" w14:paraId="7239AAA2" w14:textId="77777777" w:rsidTr="001C6532">
        <w:tc>
          <w:tcPr>
            <w:tcW w:w="1555" w:type="dxa"/>
          </w:tcPr>
          <w:p w14:paraId="32A895AB" w14:textId="77777777" w:rsidR="004A13C0" w:rsidRPr="00967AC5" w:rsidRDefault="004A13C0" w:rsidP="005931B9">
            <w:pPr>
              <w:pStyle w:val="ECCTabletext"/>
              <w:keepNext/>
              <w:keepLines/>
            </w:pPr>
            <w:r w:rsidRPr="00967AC5">
              <w:t>6</w:t>
            </w:r>
          </w:p>
        </w:tc>
        <w:tc>
          <w:tcPr>
            <w:tcW w:w="3118" w:type="dxa"/>
            <w:vMerge/>
          </w:tcPr>
          <w:p w14:paraId="08829379" w14:textId="77777777" w:rsidR="004A13C0" w:rsidRPr="00967AC5" w:rsidRDefault="004A13C0" w:rsidP="005931B9">
            <w:pPr>
              <w:pStyle w:val="ECCTabletext"/>
              <w:keepNext/>
              <w:keepLines/>
            </w:pPr>
          </w:p>
        </w:tc>
        <w:tc>
          <w:tcPr>
            <w:tcW w:w="1276" w:type="dxa"/>
            <w:vMerge/>
          </w:tcPr>
          <w:p w14:paraId="14602DF9" w14:textId="77777777" w:rsidR="004A13C0" w:rsidRPr="00967AC5" w:rsidRDefault="004A13C0" w:rsidP="005931B9">
            <w:pPr>
              <w:pStyle w:val="ECCTabletext"/>
              <w:keepNext/>
              <w:keepLines/>
            </w:pPr>
          </w:p>
        </w:tc>
        <w:tc>
          <w:tcPr>
            <w:tcW w:w="1417" w:type="dxa"/>
          </w:tcPr>
          <w:p w14:paraId="48D078F5" w14:textId="77777777" w:rsidR="004A13C0" w:rsidRPr="00967AC5" w:rsidRDefault="004A13C0" w:rsidP="005931B9">
            <w:pPr>
              <w:pStyle w:val="ECCTabletext"/>
              <w:keepNext/>
              <w:keepLines/>
            </w:pPr>
            <w:r w:rsidRPr="00967AC5">
              <w:t>0</w:t>
            </w:r>
          </w:p>
        </w:tc>
        <w:tc>
          <w:tcPr>
            <w:tcW w:w="1276" w:type="dxa"/>
          </w:tcPr>
          <w:p w14:paraId="00BD1E22" w14:textId="77777777" w:rsidR="004A13C0" w:rsidRPr="00967AC5" w:rsidRDefault="004A13C0" w:rsidP="005931B9">
            <w:pPr>
              <w:pStyle w:val="ECCTabletext"/>
              <w:keepNext/>
              <w:keepLines/>
            </w:pPr>
            <w:r w:rsidRPr="00967AC5">
              <w:t>200 kHz</w:t>
            </w:r>
          </w:p>
        </w:tc>
      </w:tr>
      <w:tr w:rsidR="004A13C0" w:rsidRPr="00967AC5" w14:paraId="03046E8F" w14:textId="77777777" w:rsidTr="001C6532">
        <w:tc>
          <w:tcPr>
            <w:tcW w:w="1555" w:type="dxa"/>
          </w:tcPr>
          <w:p w14:paraId="2953F01B" w14:textId="77777777" w:rsidR="004A13C0" w:rsidRPr="00967AC5" w:rsidRDefault="004A13C0" w:rsidP="005931B9">
            <w:pPr>
              <w:pStyle w:val="ECCTabletext"/>
              <w:keepNext/>
              <w:keepLines/>
            </w:pPr>
            <w:r w:rsidRPr="00967AC5">
              <w:t>Other cases</w:t>
            </w:r>
          </w:p>
        </w:tc>
        <w:tc>
          <w:tcPr>
            <w:tcW w:w="4394" w:type="dxa"/>
            <w:gridSpan w:val="2"/>
          </w:tcPr>
          <w:p w14:paraId="142F065E" w14:textId="4686D35A" w:rsidR="004A13C0" w:rsidRPr="00967AC5" w:rsidRDefault="004A13C0" w:rsidP="005931B9">
            <w:pPr>
              <w:pStyle w:val="ECCTabletext"/>
              <w:keepNext/>
              <w:keepLines/>
            </w:pPr>
            <w:r w:rsidRPr="00967AC5">
              <w:t>Same system type</w:t>
            </w:r>
            <w:r w:rsidR="00033311" w:rsidRPr="00967AC5">
              <w:t xml:space="preserve"> (</w:t>
            </w:r>
            <w:r w:rsidR="00737815" w:rsidRPr="00967AC5">
              <w:t xml:space="preserve">NB </w:t>
            </w:r>
            <w:r w:rsidR="00FD12CB" w:rsidRPr="00967AC5">
              <w:t xml:space="preserve">vs. NB </w:t>
            </w:r>
            <w:r w:rsidR="00737815" w:rsidRPr="00967AC5">
              <w:t>and WB</w:t>
            </w:r>
            <w:r w:rsidR="00FD12CB" w:rsidRPr="00967AC5">
              <w:t xml:space="preserve"> vs. WB</w:t>
            </w:r>
            <w:r w:rsidR="00033311" w:rsidRPr="00967AC5">
              <w:t>)</w:t>
            </w:r>
          </w:p>
        </w:tc>
        <w:tc>
          <w:tcPr>
            <w:tcW w:w="1417" w:type="dxa"/>
          </w:tcPr>
          <w:p w14:paraId="6B13ED5B" w14:textId="77777777" w:rsidR="004A13C0" w:rsidRPr="00967AC5" w:rsidRDefault="004A13C0" w:rsidP="005931B9">
            <w:pPr>
              <w:pStyle w:val="ECCTabletext"/>
              <w:keepNext/>
              <w:keepLines/>
            </w:pPr>
            <w:r w:rsidRPr="00967AC5">
              <w:t>0</w:t>
            </w:r>
          </w:p>
        </w:tc>
        <w:tc>
          <w:tcPr>
            <w:tcW w:w="1276" w:type="dxa"/>
          </w:tcPr>
          <w:p w14:paraId="7685B883" w14:textId="77777777" w:rsidR="004A13C0" w:rsidRPr="00967AC5" w:rsidRDefault="004A13C0" w:rsidP="005931B9">
            <w:pPr>
              <w:pStyle w:val="ECCTabletext"/>
              <w:keepNext/>
              <w:keepLines/>
              <w:rPr>
                <w:rFonts w:cs="Arial"/>
              </w:rPr>
            </w:pPr>
            <w:r w:rsidRPr="00967AC5">
              <w:rPr>
                <w:rFonts w:cs="Arial"/>
              </w:rPr>
              <w:t>0</w:t>
            </w:r>
          </w:p>
        </w:tc>
      </w:tr>
    </w:tbl>
    <w:p w14:paraId="5C1205E4" w14:textId="77777777" w:rsidR="004A13C0" w:rsidRPr="00967AC5" w:rsidRDefault="004A13C0" w:rsidP="004A13C0">
      <w:pPr>
        <w:pStyle w:val="ECCParagraph"/>
      </w:pPr>
    </w:p>
    <w:p w14:paraId="31AD3194" w14:textId="19BBA166" w:rsidR="0032761C" w:rsidRPr="00967AC5" w:rsidRDefault="00171195" w:rsidP="007306E7">
      <w:pPr>
        <w:pStyle w:val="ECCParagraph"/>
      </w:pPr>
      <w:r w:rsidRPr="00967AC5">
        <w:fldChar w:fldCharType="begin"/>
      </w:r>
      <w:r w:rsidRPr="00967AC5">
        <w:rPr>
          <w:rFonts w:eastAsia="Calibri"/>
        </w:rPr>
        <w:instrText xml:space="preserve"> REF _Ref70356720 \h </w:instrText>
      </w:r>
      <w:r w:rsidR="002505BC" w:rsidRPr="00967AC5">
        <w:instrText xml:space="preserve"> \* MERGEFORMAT </w:instrText>
      </w:r>
      <w:r w:rsidRPr="00967AC5">
        <w:fldChar w:fldCharType="separate"/>
      </w:r>
      <w:r w:rsidR="00680BB5" w:rsidRPr="00967AC5" w:rsidDel="0017118A">
        <w:t xml:space="preserve">Figure </w:t>
      </w:r>
      <w:r w:rsidR="00680BB5" w:rsidRPr="00967AC5">
        <w:rPr>
          <w:noProof/>
        </w:rPr>
        <w:t>8</w:t>
      </w:r>
      <w:r w:rsidRPr="00967AC5">
        <w:fldChar w:fldCharType="end"/>
      </w:r>
      <w:r w:rsidR="00F160B5" w:rsidRPr="00967AC5">
        <w:t xml:space="preserve"> </w:t>
      </w:r>
      <w:r w:rsidR="00FA0412" w:rsidRPr="00967AC5">
        <w:t>illustrates the different approaches described above</w:t>
      </w:r>
      <w:r w:rsidR="004D34D7" w:rsidRPr="00967AC5">
        <w:t>.</w:t>
      </w:r>
    </w:p>
    <w:p w14:paraId="4E2B916F" w14:textId="5608AC16" w:rsidR="00491247" w:rsidRPr="00967AC5" w:rsidRDefault="00491247" w:rsidP="007306E7">
      <w:pPr>
        <w:pStyle w:val="ECCParagraph"/>
        <w:rPr>
          <w:rStyle w:val="tlid-translation"/>
        </w:rPr>
      </w:pPr>
    </w:p>
    <w:p w14:paraId="32A4B278" w14:textId="557209B2" w:rsidR="00010CFA" w:rsidRPr="00967AC5" w:rsidRDefault="00010CFA" w:rsidP="007306E7">
      <w:pPr>
        <w:pStyle w:val="ECCParagraph"/>
        <w:rPr>
          <w:rStyle w:val="tlid-translation"/>
        </w:rPr>
      </w:pPr>
      <w:r w:rsidRPr="00967AC5">
        <w:rPr>
          <w:noProof/>
        </w:rPr>
        <w:drawing>
          <wp:inline distT="0" distB="0" distL="0" distR="0" wp14:anchorId="71C2890F" wp14:editId="3390D358">
            <wp:extent cx="6120130" cy="4538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538980"/>
                    </a:xfrm>
                    <a:prstGeom prst="rect">
                      <a:avLst/>
                    </a:prstGeom>
                    <a:noFill/>
                    <a:ln>
                      <a:noFill/>
                    </a:ln>
                  </pic:spPr>
                </pic:pic>
              </a:graphicData>
            </a:graphic>
          </wp:inline>
        </w:drawing>
      </w:r>
    </w:p>
    <w:p w14:paraId="11E59670" w14:textId="6425CC6C" w:rsidR="0032761C" w:rsidRPr="00967AC5" w:rsidRDefault="00F21852" w:rsidP="008A3172">
      <w:pPr>
        <w:pStyle w:val="Caption"/>
        <w:rPr>
          <w:rFonts w:eastAsia="Calibri"/>
          <w:lang w:val="en-GB" w:eastAsia="de-DE"/>
        </w:rPr>
      </w:pPr>
      <w:bookmarkStart w:id="125" w:name="_Ref70356720"/>
      <w:r w:rsidRPr="00967AC5" w:rsidDel="0017118A">
        <w:rPr>
          <w:lang w:val="en-GB"/>
        </w:rPr>
        <w:t xml:space="preserve">Figure </w:t>
      </w:r>
      <w:r w:rsidRPr="00967AC5" w:rsidDel="0017118A">
        <w:rPr>
          <w:lang w:val="en-GB"/>
        </w:rPr>
        <w:fldChar w:fldCharType="begin"/>
      </w:r>
      <w:r w:rsidRPr="00967AC5" w:rsidDel="0017118A">
        <w:rPr>
          <w:lang w:val="en-GB"/>
        </w:rPr>
        <w:instrText xml:space="preserve"> SEQ Figure \* ARABIC </w:instrText>
      </w:r>
      <w:r w:rsidRPr="00967AC5" w:rsidDel="0017118A">
        <w:rPr>
          <w:lang w:val="en-GB"/>
        </w:rPr>
        <w:fldChar w:fldCharType="separate"/>
      </w:r>
      <w:r w:rsidR="00680BB5" w:rsidRPr="00967AC5">
        <w:rPr>
          <w:noProof/>
          <w:lang w:val="en-GB"/>
        </w:rPr>
        <w:t>8</w:t>
      </w:r>
      <w:r w:rsidRPr="00967AC5" w:rsidDel="0017118A">
        <w:rPr>
          <w:lang w:val="en-GB"/>
        </w:rPr>
        <w:fldChar w:fldCharType="end"/>
      </w:r>
      <w:bookmarkEnd w:id="125"/>
      <w:r w:rsidRPr="00967AC5" w:rsidDel="0017118A">
        <w:rPr>
          <w:lang w:val="en-GB"/>
        </w:rPr>
        <w:t xml:space="preserve">: </w:t>
      </w:r>
      <w:r w:rsidR="00EC6F86" w:rsidRPr="00967AC5">
        <w:rPr>
          <w:lang w:val="en-GB"/>
        </w:rPr>
        <w:t>Different approaches for frequency separation</w:t>
      </w:r>
    </w:p>
    <w:p w14:paraId="4E0CB069" w14:textId="369FC3F7" w:rsidR="00A11386" w:rsidRPr="00967AC5" w:rsidRDefault="00A11386" w:rsidP="00F91806">
      <w:pPr>
        <w:pStyle w:val="Heading3"/>
        <w:rPr>
          <w:lang w:val="en-GB"/>
        </w:rPr>
      </w:pPr>
      <w:bookmarkStart w:id="126" w:name="_Toc71037826"/>
      <w:r w:rsidRPr="00967AC5">
        <w:rPr>
          <w:lang w:val="en-GB"/>
        </w:rPr>
        <w:lastRenderedPageBreak/>
        <w:t>Other conditions</w:t>
      </w:r>
      <w:bookmarkEnd w:id="126"/>
    </w:p>
    <w:p w14:paraId="57D893EB" w14:textId="0D6F889A" w:rsidR="00A11386" w:rsidRPr="00967AC5" w:rsidRDefault="00A11386" w:rsidP="000F5D57">
      <w:pPr>
        <w:pStyle w:val="ECCParagraph"/>
        <w:rPr>
          <w:rFonts w:eastAsia="Calibri"/>
        </w:rPr>
      </w:pPr>
      <w:r w:rsidRPr="00967AC5">
        <w:rPr>
          <w:rFonts w:eastAsia="Calibri"/>
        </w:rPr>
        <w:t>The spurious emission domain for base station</w:t>
      </w:r>
      <w:r w:rsidR="00903446" w:rsidRPr="00967AC5">
        <w:rPr>
          <w:rFonts w:eastAsia="Calibri"/>
        </w:rPr>
        <w:t>s</w:t>
      </w:r>
      <w:r w:rsidRPr="00967AC5">
        <w:rPr>
          <w:rFonts w:eastAsia="Calibri"/>
        </w:rPr>
        <w:t xml:space="preserve"> in these frequency bands start 10 MHz from the band edge and the corresponding limits are defined in current ERC Recommendation 74-01 </w:t>
      </w:r>
      <w:r w:rsidR="00AB4AFB" w:rsidRPr="00967AC5">
        <w:rPr>
          <w:rFonts w:eastAsia="Calibri"/>
        </w:rPr>
        <w:fldChar w:fldCharType="begin"/>
      </w:r>
      <w:r w:rsidR="00AB4AFB" w:rsidRPr="00967AC5">
        <w:rPr>
          <w:rFonts w:eastAsia="Calibri"/>
        </w:rPr>
        <w:instrText xml:space="preserve"> REF _Ref63428405 \r \h </w:instrText>
      </w:r>
      <w:r w:rsidR="002505BC" w:rsidRPr="00967AC5">
        <w:rPr>
          <w:rFonts w:eastAsia="Calibri"/>
        </w:rPr>
        <w:instrText xml:space="preserve"> \* MERGEFORMAT </w:instrText>
      </w:r>
      <w:r w:rsidR="00AB4AFB" w:rsidRPr="00967AC5">
        <w:rPr>
          <w:rFonts w:eastAsia="Calibri"/>
        </w:rPr>
      </w:r>
      <w:r w:rsidR="00AB4AFB" w:rsidRPr="00967AC5">
        <w:rPr>
          <w:rFonts w:eastAsia="Calibri"/>
        </w:rPr>
        <w:fldChar w:fldCharType="separate"/>
      </w:r>
      <w:r w:rsidR="00680BB5" w:rsidRPr="00967AC5">
        <w:rPr>
          <w:rFonts w:eastAsia="Calibri"/>
        </w:rPr>
        <w:t>[35]</w:t>
      </w:r>
      <w:r w:rsidR="00AB4AFB" w:rsidRPr="00967AC5">
        <w:rPr>
          <w:rFonts w:eastAsia="Calibri"/>
        </w:rPr>
        <w:fldChar w:fldCharType="end"/>
      </w:r>
      <w:r w:rsidRPr="00967AC5">
        <w:rPr>
          <w:rFonts w:eastAsia="Calibri"/>
        </w:rPr>
        <w:t>.</w:t>
      </w:r>
    </w:p>
    <w:p w14:paraId="2AAF8E2A" w14:textId="26B9136A" w:rsidR="00A11386" w:rsidRPr="00967AC5" w:rsidRDefault="00A11386" w:rsidP="000F5D57">
      <w:pPr>
        <w:pStyle w:val="ECCParagraph"/>
        <w:rPr>
          <w:rFonts w:eastAsia="Calibri"/>
        </w:rPr>
      </w:pPr>
      <w:r w:rsidRPr="00967AC5">
        <w:rPr>
          <w:rFonts w:eastAsia="Calibri"/>
        </w:rPr>
        <w:t>In addition, MFCN networks making use of AAS systems shall not be granted more protection from systems in adjacent and neighbouring bands than experienced with non-AAS systems.</w:t>
      </w:r>
    </w:p>
    <w:p w14:paraId="479C08CE" w14:textId="5099ADAC" w:rsidR="00E93429" w:rsidRPr="00967AC5" w:rsidRDefault="00E93429" w:rsidP="00E93429">
      <w:pPr>
        <w:pStyle w:val="Heading2"/>
        <w:rPr>
          <w:lang w:val="en-GB"/>
        </w:rPr>
      </w:pPr>
      <w:bookmarkStart w:id="127" w:name="_Toc71037827"/>
      <w:r w:rsidRPr="00967AC5">
        <w:rPr>
          <w:lang w:val="en-GB"/>
        </w:rPr>
        <w:t>Coexistence with services in adjacent bands</w:t>
      </w:r>
      <w:bookmarkEnd w:id="127"/>
    </w:p>
    <w:p w14:paraId="116B9C44" w14:textId="2CC552D8" w:rsidR="006326D2" w:rsidRPr="00967AC5" w:rsidRDefault="006326D2" w:rsidP="007B17C4">
      <w:pPr>
        <w:pStyle w:val="ECCParagraph"/>
      </w:pPr>
      <w:r w:rsidRPr="00967AC5">
        <w:t xml:space="preserve">The objective of this section is to address the coexistence issues with services in the adjacent bands, in particular below 925 MHz, above 960 MHz, below 1805 MHz and above 1880 MHz, confirming which adjacent services (if any) require additional coexistence conditions (beyond the LRTCs already derived for in-band coexistence) based on existing ECC/CEPT </w:t>
      </w:r>
      <w:r w:rsidR="00B07BD3" w:rsidRPr="00967AC5">
        <w:t>R</w:t>
      </w:r>
      <w:r w:rsidRPr="00967AC5">
        <w:t xml:space="preserve">eports. </w:t>
      </w:r>
    </w:p>
    <w:p w14:paraId="58B95AF4" w14:textId="0AD83DD0" w:rsidR="00E010A8" w:rsidRPr="00967AC5" w:rsidRDefault="00F51B23" w:rsidP="00F91806">
      <w:pPr>
        <w:pStyle w:val="Heading3"/>
        <w:rPr>
          <w:lang w:val="en-GB"/>
        </w:rPr>
      </w:pPr>
      <w:bookmarkStart w:id="128" w:name="_Toc71037828"/>
      <w:r w:rsidRPr="00967AC5">
        <w:rPr>
          <w:lang w:val="en-GB"/>
        </w:rPr>
        <w:t>Approach for the coexistence with services in adjacent bands</w:t>
      </w:r>
      <w:bookmarkEnd w:id="128"/>
    </w:p>
    <w:p w14:paraId="1DBA4FF8" w14:textId="24C80972" w:rsidR="0033143C" w:rsidRPr="00967AC5" w:rsidRDefault="00D66985" w:rsidP="007B17C4">
      <w:pPr>
        <w:pStyle w:val="ECCParagraph"/>
      </w:pPr>
      <w:r w:rsidRPr="00967AC5">
        <w:t xml:space="preserve">CEPT agreed to avoid new additional studies in order to derive the LRTCs, including the coexistence with all adjacent services. CEPT also agreed to avoid additional constraints to systems deployed under the current regulatory framework. Therefore, </w:t>
      </w:r>
      <w:r w:rsidR="0033143C" w:rsidRPr="00967AC5">
        <w:t xml:space="preserve">the proposed approach to be followed to ensure coexistence with the relevant adjacent </w:t>
      </w:r>
      <w:r w:rsidR="002B6B31" w:rsidRPr="00967AC5">
        <w:t xml:space="preserve">band </w:t>
      </w:r>
      <w:r w:rsidR="0033143C" w:rsidRPr="00967AC5">
        <w:t xml:space="preserve">systems while avoiding additional studies </w:t>
      </w:r>
      <w:r w:rsidR="00F95D32" w:rsidRPr="00967AC5">
        <w:t>is as follows</w:t>
      </w:r>
      <w:r w:rsidR="0033143C" w:rsidRPr="00967AC5">
        <w:t>:</w:t>
      </w:r>
    </w:p>
    <w:p w14:paraId="0F9AA301" w14:textId="291F1EE2" w:rsidR="0033143C" w:rsidRPr="00967AC5" w:rsidRDefault="0033143C" w:rsidP="007B17C4">
      <w:pPr>
        <w:pStyle w:val="ECCBulletsLv1"/>
      </w:pPr>
      <w:r w:rsidRPr="00967AC5">
        <w:t xml:space="preserve">Identify the appropriate ECC/CEPT </w:t>
      </w:r>
      <w:r w:rsidR="00B07BD3" w:rsidRPr="00967AC5">
        <w:t>R</w:t>
      </w:r>
      <w:r w:rsidRPr="00967AC5">
        <w:t>eports which were used to confirm coexistence between existing MFCN technologies in the 900/1800 MHz bands and the relevant adjacent services</w:t>
      </w:r>
      <w:r w:rsidR="00FE505F" w:rsidRPr="00967AC5">
        <w:t>;</w:t>
      </w:r>
    </w:p>
    <w:p w14:paraId="3A6C22E6" w14:textId="70F84580" w:rsidR="0033143C" w:rsidRPr="00967AC5" w:rsidRDefault="0033143C">
      <w:pPr>
        <w:pStyle w:val="ECCBulletsLv1"/>
      </w:pPr>
      <w:r w:rsidRPr="00967AC5">
        <w:t>Demonstrate how the new technology</w:t>
      </w:r>
      <w:r w:rsidR="00F91806" w:rsidRPr="00967AC5">
        <w:t xml:space="preserve"> </w:t>
      </w:r>
      <w:r w:rsidRPr="00967AC5">
        <w:t>neutral LRTCs (including new technologies) can ensure that this coexistence remains for all systems that comply with these technology</w:t>
      </w:r>
      <w:r w:rsidR="00F91806" w:rsidRPr="00967AC5">
        <w:t xml:space="preserve"> </w:t>
      </w:r>
      <w:r w:rsidRPr="00967AC5">
        <w:t>neutral LRTCs</w:t>
      </w:r>
      <w:r w:rsidR="002B6B31" w:rsidRPr="00967AC5">
        <w:t>;</w:t>
      </w:r>
    </w:p>
    <w:p w14:paraId="61839A9C" w14:textId="272E10CC" w:rsidR="0033143C" w:rsidRPr="00967AC5" w:rsidRDefault="0033143C" w:rsidP="009B1566">
      <w:pPr>
        <w:pStyle w:val="ECCBulletsLv1"/>
        <w:numPr>
          <w:ilvl w:val="1"/>
          <w:numId w:val="15"/>
        </w:numPr>
        <w:ind w:left="709"/>
      </w:pPr>
      <w:r w:rsidRPr="00967AC5">
        <w:t>Recalling that the technology</w:t>
      </w:r>
      <w:r w:rsidR="00F91806" w:rsidRPr="00967AC5">
        <w:t xml:space="preserve"> </w:t>
      </w:r>
      <w:r w:rsidRPr="00967AC5">
        <w:t xml:space="preserve">neutral out-of-block limits (baseline and transitional) have been derived from ETSI TS unwanted emissions of an existing MFCN technology (see Section </w:t>
      </w:r>
      <w:r w:rsidR="009B1566" w:rsidRPr="00967AC5">
        <w:fldChar w:fldCharType="begin"/>
      </w:r>
      <w:r w:rsidR="009B1566" w:rsidRPr="00967AC5">
        <w:instrText xml:space="preserve"> REF _Ref62053974 \r \h  \* MERGEFORMAT </w:instrText>
      </w:r>
      <w:r w:rsidR="009B1566" w:rsidRPr="00967AC5">
        <w:fldChar w:fldCharType="separate"/>
      </w:r>
      <w:r w:rsidR="00680BB5" w:rsidRPr="00967AC5">
        <w:t>3.4.4.1</w:t>
      </w:r>
      <w:r w:rsidR="009B1566" w:rsidRPr="00967AC5">
        <w:fldChar w:fldCharType="end"/>
      </w:r>
      <w:r w:rsidRPr="00967AC5">
        <w:t>). Unless an additional baseline limit is defined, these out-of-block limits also apply out-of-band</w:t>
      </w:r>
      <w:r w:rsidR="00FE505F" w:rsidRPr="00967AC5">
        <w:t>;</w:t>
      </w:r>
    </w:p>
    <w:p w14:paraId="10CF3056" w14:textId="20AB6CC3" w:rsidR="0033143C" w:rsidRPr="00967AC5" w:rsidRDefault="0033143C" w:rsidP="007B17C4">
      <w:pPr>
        <w:pStyle w:val="ECCBulletsLv1"/>
        <w:numPr>
          <w:ilvl w:val="1"/>
          <w:numId w:val="15"/>
        </w:numPr>
        <w:ind w:left="709"/>
      </w:pPr>
      <w:r w:rsidRPr="00967AC5">
        <w:t>Recalling that the new technology</w:t>
      </w:r>
      <w:r w:rsidR="00F91806" w:rsidRPr="00967AC5">
        <w:t xml:space="preserve"> </w:t>
      </w:r>
      <w:r w:rsidRPr="00967AC5">
        <w:t xml:space="preserve">neutral LRTCs are compatible with all existing MFCN technologies (UMTS, WiMAX, LTE, </w:t>
      </w:r>
      <w:r w:rsidR="0048527D" w:rsidRPr="00967AC5">
        <w:t xml:space="preserve">and </w:t>
      </w:r>
      <w:r w:rsidR="00D07C98" w:rsidRPr="00967AC5">
        <w:t>NB-IoT</w:t>
      </w:r>
      <w:r w:rsidRPr="00967AC5">
        <w:t>), which have already been studied to ensure coexistence with the relevant adjacent band systems</w:t>
      </w:r>
      <w:r w:rsidR="00FE505F" w:rsidRPr="00967AC5">
        <w:t>;</w:t>
      </w:r>
    </w:p>
    <w:p w14:paraId="6FE0C9BD" w14:textId="6B783B32" w:rsidR="0033143C" w:rsidRPr="00967AC5" w:rsidRDefault="0033143C" w:rsidP="007B17C4">
      <w:pPr>
        <w:pStyle w:val="ECCBulletsLv1"/>
        <w:numPr>
          <w:ilvl w:val="1"/>
          <w:numId w:val="15"/>
        </w:numPr>
        <w:ind w:left="709"/>
      </w:pPr>
      <w:r w:rsidRPr="00967AC5">
        <w:t>Using these facts to demonstrate that coexistence remains for all systems that comply with the new technology</w:t>
      </w:r>
      <w:r w:rsidR="00F91806" w:rsidRPr="00967AC5">
        <w:t xml:space="preserve"> </w:t>
      </w:r>
      <w:r w:rsidRPr="00967AC5">
        <w:t>neutral LRTCs (including new technologies)</w:t>
      </w:r>
      <w:r w:rsidR="00FE505F" w:rsidRPr="00967AC5">
        <w:t>;</w:t>
      </w:r>
    </w:p>
    <w:p w14:paraId="391F4F27" w14:textId="6AC7F831" w:rsidR="0033143C" w:rsidRPr="00967AC5" w:rsidRDefault="00E83209" w:rsidP="007B17C4">
      <w:pPr>
        <w:pStyle w:val="ECCBulletsLv1"/>
      </w:pPr>
      <w:r w:rsidRPr="00967AC5">
        <w:t>R</w:t>
      </w:r>
      <w:r w:rsidR="0033143C" w:rsidRPr="00967AC5">
        <w:t xml:space="preserve">ecall the various coexistence conditions resulting from the ECC/CEPT </w:t>
      </w:r>
      <w:r w:rsidR="00B07BD3" w:rsidRPr="00967AC5">
        <w:t>R</w:t>
      </w:r>
      <w:r w:rsidR="0033143C" w:rsidRPr="00967AC5">
        <w:t>eports to confirm coexistence between MFCN systems complying with the proposed technology neutral LRTCs and all relevant adjacent services.</w:t>
      </w:r>
    </w:p>
    <w:p w14:paraId="012C6C81" w14:textId="77777777" w:rsidR="0033143C" w:rsidRPr="00967AC5" w:rsidRDefault="0033143C" w:rsidP="0033143C">
      <w:pPr>
        <w:rPr>
          <w:rFonts w:cs="Arial"/>
          <w:lang w:val="en-GB"/>
        </w:rPr>
      </w:pPr>
    </w:p>
    <w:p w14:paraId="7CABB2F8" w14:textId="63298477" w:rsidR="006E75C2" w:rsidRPr="00967AC5" w:rsidRDefault="006E75C2" w:rsidP="009B1566">
      <w:pPr>
        <w:pStyle w:val="ECCParagraph"/>
      </w:pPr>
      <w:r w:rsidRPr="00967AC5">
        <w:t xml:space="preserve">This is the same approach that was used in this </w:t>
      </w:r>
      <w:r w:rsidR="008A3E84" w:rsidRPr="00967AC5">
        <w:t>R</w:t>
      </w:r>
      <w:r w:rsidRPr="00967AC5">
        <w:t>eport to ensure coexistence between the technology neutral LRTCs and GSM in-band</w:t>
      </w:r>
      <w:r w:rsidR="00AE6713" w:rsidRPr="00967AC5">
        <w:t xml:space="preserve"> (section</w:t>
      </w:r>
      <w:r w:rsidR="009B1566" w:rsidRPr="00967AC5">
        <w:fldChar w:fldCharType="begin"/>
      </w:r>
      <w:r w:rsidR="009B1566" w:rsidRPr="00967AC5">
        <w:instrText xml:space="preserve"> REF _Ref59205982 \r \h  \* MERGEFORMAT </w:instrText>
      </w:r>
      <w:r w:rsidR="009B1566" w:rsidRPr="00967AC5">
        <w:fldChar w:fldCharType="separate"/>
      </w:r>
      <w:r w:rsidR="00680BB5" w:rsidRPr="00967AC5">
        <w:t>3.2</w:t>
      </w:r>
      <w:r w:rsidR="009B1566" w:rsidRPr="00967AC5">
        <w:fldChar w:fldCharType="end"/>
      </w:r>
      <w:r w:rsidR="00AE6713" w:rsidRPr="00967AC5">
        <w:t>)</w:t>
      </w:r>
      <w:r w:rsidRPr="00967AC5">
        <w:t>.</w:t>
      </w:r>
    </w:p>
    <w:p w14:paraId="01F4EEC1" w14:textId="73CB6FA2" w:rsidR="008F4622" w:rsidRPr="00967AC5" w:rsidRDefault="008F4622" w:rsidP="008F4622">
      <w:pPr>
        <w:pStyle w:val="Heading3"/>
        <w:rPr>
          <w:lang w:val="en-GB"/>
        </w:rPr>
      </w:pPr>
      <w:bookmarkStart w:id="129" w:name="_Toc71037829"/>
      <w:bookmarkStart w:id="130" w:name="_Ref59214971"/>
      <w:r w:rsidRPr="00967AC5">
        <w:rPr>
          <w:lang w:val="en-GB"/>
        </w:rPr>
        <w:t xml:space="preserve"> Adjacent systems coexistence with NB systems and WB systems complying with proposed LRTCs</w:t>
      </w:r>
      <w:bookmarkEnd w:id="129"/>
    </w:p>
    <w:p w14:paraId="2C7820AE" w14:textId="6407D896" w:rsidR="008F4622" w:rsidRPr="00967AC5" w:rsidRDefault="008F4622" w:rsidP="008F4622">
      <w:pPr>
        <w:pStyle w:val="ECCParagraph"/>
      </w:pPr>
      <w:r w:rsidRPr="00967AC5">
        <w:t xml:space="preserve">The technology neutral LRTCs/BEM recommended in this Report (see section </w:t>
      </w:r>
      <w:r w:rsidRPr="00967AC5">
        <w:rPr>
          <w:rFonts w:eastAsia="Calibri"/>
        </w:rPr>
        <w:fldChar w:fldCharType="begin"/>
      </w:r>
      <w:r w:rsidRPr="00967AC5">
        <w:rPr>
          <w:rFonts w:eastAsia="Calibri"/>
          <w:bCs/>
        </w:rPr>
        <w:instrText xml:space="preserve"> REF _Ref52282185 \r \h  \* MERGEFORMAT </w:instrText>
      </w:r>
      <w:r w:rsidRPr="00967AC5">
        <w:rPr>
          <w:rFonts w:eastAsia="Calibri"/>
        </w:rPr>
      </w:r>
      <w:r w:rsidRPr="00967AC5">
        <w:rPr>
          <w:rFonts w:eastAsia="Calibri"/>
        </w:rPr>
        <w:fldChar w:fldCharType="separate"/>
      </w:r>
      <w:r w:rsidRPr="00967AC5">
        <w:rPr>
          <w:rFonts w:eastAsia="Calibri"/>
          <w:bCs/>
        </w:rPr>
        <w:t>3.4</w:t>
      </w:r>
      <w:r w:rsidRPr="00967AC5">
        <w:rPr>
          <w:rFonts w:eastAsia="Calibri"/>
        </w:rPr>
        <w:fldChar w:fldCharType="end"/>
      </w:r>
      <w:r w:rsidRPr="00967AC5">
        <w:t>) was derived on the basis of ETSI Technical Specifications (core requirements). As mentioned previously, this results in a single non-AAS BEM and a single AAS BEM excluding GSM.</w:t>
      </w:r>
    </w:p>
    <w:p w14:paraId="178A8064" w14:textId="10767041" w:rsidR="008F4622" w:rsidRPr="00967AC5" w:rsidRDefault="008F4622" w:rsidP="008F4622">
      <w:pPr>
        <w:pStyle w:val="ECCParagraph"/>
        <w:rPr>
          <w:i/>
        </w:rPr>
      </w:pPr>
      <w:r w:rsidRPr="00967AC5">
        <w:t xml:space="preserve">Coexistence between standalone NB-IoT and services in adjacent bands have been studied and proven to be feasible in CEPT Report 66, ECC Report 266 </w:t>
      </w:r>
      <w:r w:rsidRPr="00967AC5">
        <w:fldChar w:fldCharType="begin"/>
      </w:r>
      <w:r w:rsidRPr="00967AC5">
        <w:instrText xml:space="preserve"> REF _Ref63337447 \r \h  \* MERGEFORMAT </w:instrText>
      </w:r>
      <w:r w:rsidRPr="00967AC5">
        <w:fldChar w:fldCharType="separate"/>
      </w:r>
      <w:r w:rsidRPr="00967AC5">
        <w:t>[5]</w:t>
      </w:r>
      <w:r w:rsidRPr="00967AC5">
        <w:fldChar w:fldCharType="end"/>
      </w:r>
      <w:r w:rsidRPr="00967AC5">
        <w:t xml:space="preserve">. CEPT report 66 has been the basis to update EC Decision 2018/637 (amending Decision 2009/766/EC) </w:t>
      </w:r>
      <w:r w:rsidRPr="00967AC5">
        <w:fldChar w:fldCharType="begin"/>
      </w:r>
      <w:r w:rsidRPr="00967AC5">
        <w:instrText xml:space="preserve"> REF _Ref63427421 \r \h  \* MERGEFORMAT </w:instrText>
      </w:r>
      <w:r w:rsidRPr="00967AC5">
        <w:fldChar w:fldCharType="separate"/>
      </w:r>
      <w:r w:rsidRPr="00967AC5">
        <w:t>[20]</w:t>
      </w:r>
      <w:r w:rsidRPr="00967AC5">
        <w:fldChar w:fldCharType="end"/>
      </w:r>
      <w:r w:rsidRPr="00967AC5">
        <w:t>. In particular, ECC Report 266 concludes in its section 5.4 that “</w:t>
      </w:r>
      <w:r w:rsidRPr="00967AC5">
        <w:rPr>
          <w:i/>
        </w:rPr>
        <w:t>standalone NB-IoT equipment complying with the relevant technical conditions (maximum permitted EIRPs and minimum frequency separations from other adjacent services) which apply in the context of GSM, may be deployed in the 900/1800 MHz bands without any increase in the likelihood of harmful interference.”</w:t>
      </w:r>
    </w:p>
    <w:p w14:paraId="376C4A41" w14:textId="7AC2231C" w:rsidR="008F4622" w:rsidRPr="00967AC5" w:rsidRDefault="008F4622" w:rsidP="008F4622">
      <w:pPr>
        <w:pStyle w:val="ECCParagraph"/>
      </w:pPr>
      <w:r w:rsidRPr="00967AC5">
        <w:t xml:space="preserve">The conclusions of this Report remain valid and coexistence with adjacent systems is ensured as the requirement above is being maintained in the proposed technology neutral non-AAS LRTCs (see section </w:t>
      </w:r>
      <w:r w:rsidRPr="00967AC5">
        <w:rPr>
          <w:rFonts w:eastAsia="Calibri"/>
          <w:bCs/>
        </w:rPr>
        <w:fldChar w:fldCharType="begin"/>
      </w:r>
      <w:r w:rsidRPr="00967AC5">
        <w:rPr>
          <w:rFonts w:eastAsia="Calibri"/>
          <w:bCs/>
        </w:rPr>
        <w:instrText xml:space="preserve"> REF _Ref52282185 \r \h  \* MERGEFORMAT </w:instrText>
      </w:r>
      <w:r w:rsidRPr="00967AC5">
        <w:rPr>
          <w:rFonts w:eastAsia="Calibri"/>
          <w:bCs/>
        </w:rPr>
      </w:r>
      <w:r w:rsidRPr="00967AC5">
        <w:rPr>
          <w:rFonts w:eastAsia="Calibri"/>
          <w:bCs/>
        </w:rPr>
        <w:fldChar w:fldCharType="separate"/>
      </w:r>
      <w:r w:rsidRPr="00967AC5">
        <w:rPr>
          <w:rFonts w:eastAsia="Calibri"/>
          <w:bCs/>
        </w:rPr>
        <w:t>3.4</w:t>
      </w:r>
      <w:r w:rsidRPr="00967AC5">
        <w:rPr>
          <w:rFonts w:eastAsia="Calibri"/>
          <w:bCs/>
        </w:rPr>
        <w:fldChar w:fldCharType="end"/>
      </w:r>
      <w:r w:rsidRPr="00967AC5">
        <w:t>)</w:t>
      </w:r>
      <w:r w:rsidR="001C6532">
        <w:t>,</w:t>
      </w:r>
      <w:r w:rsidRPr="00967AC5">
        <w:t xml:space="preserve"> which are the same as those of standalone NB-IoT.</w:t>
      </w:r>
    </w:p>
    <w:p w14:paraId="78DB2F04" w14:textId="4CF101C0" w:rsidR="008F4622" w:rsidRPr="00967AC5" w:rsidRDefault="008F4622" w:rsidP="0008765E">
      <w:pPr>
        <w:spacing w:after="240"/>
        <w:jc w:val="both"/>
        <w:rPr>
          <w:lang w:val="en-GB"/>
        </w:rPr>
      </w:pPr>
      <w:r w:rsidRPr="00967AC5">
        <w:rPr>
          <w:lang w:val="en-GB"/>
        </w:rPr>
        <w:lastRenderedPageBreak/>
        <w:t>Based on the above assumptions, CEPT identified the relevant additional ECC deliverables to be reused in order to recall the various coexistence conditions resulting from those deliverables as appropriate and to confirm coexistence between MFCN non-AAS systems complying with the proposed technology neutral LRTCs and all adjacent services identified hereafter.</w:t>
      </w:r>
    </w:p>
    <w:p w14:paraId="40A8A08F" w14:textId="640E2F62" w:rsidR="008F4622" w:rsidRPr="00967AC5" w:rsidRDefault="008F4622" w:rsidP="008F4622">
      <w:pPr>
        <w:pStyle w:val="ECCParagraph"/>
      </w:pPr>
      <w:r w:rsidRPr="00967AC5">
        <w:t xml:space="preserve">Regarding AAS WB systems, CEPT Report 72 concludes in its section 3.1.1 based on ECC Report 297 </w:t>
      </w:r>
      <w:r w:rsidRPr="00967AC5">
        <w:fldChar w:fldCharType="begin"/>
      </w:r>
      <w:r w:rsidRPr="00967AC5">
        <w:instrText xml:space="preserve"> REF _Ref63337314 \r \h  \* MERGEFORMAT </w:instrText>
      </w:r>
      <w:r w:rsidRPr="00967AC5">
        <w:fldChar w:fldCharType="separate"/>
      </w:r>
      <w:r w:rsidRPr="00967AC5">
        <w:t>[3]</w:t>
      </w:r>
      <w:r w:rsidRPr="00967AC5">
        <w:fldChar w:fldCharType="end"/>
      </w:r>
      <w:r w:rsidRPr="00967AC5">
        <w:t xml:space="preserve"> that the adjacent bands compatibility conclusions from CEPT Report 41 </w:t>
      </w:r>
      <w:r w:rsidRPr="00967AC5">
        <w:fldChar w:fldCharType="begin"/>
      </w:r>
      <w:r w:rsidRPr="00967AC5">
        <w:instrText xml:space="preserve"> REF _Ref63337493 \r \h  \* MERGEFORMAT </w:instrText>
      </w:r>
      <w:r w:rsidRPr="00967AC5">
        <w:fldChar w:fldCharType="separate"/>
      </w:r>
      <w:r w:rsidRPr="00967AC5">
        <w:t>[12]</w:t>
      </w:r>
      <w:r w:rsidRPr="00967AC5">
        <w:fldChar w:fldCharType="end"/>
      </w:r>
      <w:r w:rsidRPr="00967AC5">
        <w:t xml:space="preserve"> and CEPT Report 42 </w:t>
      </w:r>
      <w:r w:rsidRPr="00967AC5">
        <w:fldChar w:fldCharType="begin"/>
      </w:r>
      <w:r w:rsidRPr="00967AC5">
        <w:instrText xml:space="preserve"> REF _Ref63337486 \r \h  \* MERGEFORMAT </w:instrText>
      </w:r>
      <w:r w:rsidRPr="00967AC5">
        <w:fldChar w:fldCharType="separate"/>
      </w:r>
      <w:r w:rsidRPr="00967AC5">
        <w:t>[11]</w:t>
      </w:r>
      <w:r w:rsidRPr="00967AC5">
        <w:fldChar w:fldCharType="end"/>
      </w:r>
      <w:r w:rsidRPr="00967AC5">
        <w:t xml:space="preserve"> applicable to LTE non-AAS systems in 900/1800 MHz frequency band are also applicable to both 5G NR non-AAS 900/1800 MHz systems and to LTE/5G NR AAS 1800 MHz systems.</w:t>
      </w:r>
    </w:p>
    <w:p w14:paraId="202473C7" w14:textId="2E2236DA" w:rsidR="008F4622" w:rsidRPr="00967AC5" w:rsidRDefault="008F4622" w:rsidP="008F4622">
      <w:pPr>
        <w:pStyle w:val="ECCParagraph"/>
      </w:pPr>
      <w:r w:rsidRPr="00967AC5">
        <w:t xml:space="preserve">The conclusions of this Report remain valid and coexistence with adjacent systems is ensured as the requirements above are being maintained in the proposed technology neutral AAS LRTCs (see section </w:t>
      </w:r>
      <w:r w:rsidRPr="00967AC5">
        <w:rPr>
          <w:rFonts w:eastAsia="Calibri"/>
          <w:bCs/>
        </w:rPr>
        <w:fldChar w:fldCharType="begin"/>
      </w:r>
      <w:r w:rsidRPr="00967AC5">
        <w:rPr>
          <w:rFonts w:eastAsia="Calibri"/>
          <w:bCs/>
        </w:rPr>
        <w:instrText xml:space="preserve"> REF _Ref52282185 \r \h  \* MERGEFORMAT </w:instrText>
      </w:r>
      <w:r w:rsidRPr="00967AC5">
        <w:rPr>
          <w:rFonts w:eastAsia="Calibri"/>
          <w:bCs/>
        </w:rPr>
      </w:r>
      <w:r w:rsidRPr="00967AC5">
        <w:rPr>
          <w:rFonts w:eastAsia="Calibri"/>
          <w:bCs/>
        </w:rPr>
        <w:fldChar w:fldCharType="separate"/>
      </w:r>
      <w:r w:rsidRPr="00967AC5">
        <w:rPr>
          <w:rFonts w:eastAsia="Calibri"/>
          <w:bCs/>
        </w:rPr>
        <w:t>3.4</w:t>
      </w:r>
      <w:r w:rsidRPr="00967AC5">
        <w:rPr>
          <w:rFonts w:eastAsia="Calibri"/>
          <w:bCs/>
        </w:rPr>
        <w:fldChar w:fldCharType="end"/>
      </w:r>
      <w:r w:rsidRPr="00967AC5">
        <w:t>)</w:t>
      </w:r>
      <w:r w:rsidRPr="002473A9">
        <w:t>,</w:t>
      </w:r>
      <w:r w:rsidRPr="00967AC5">
        <w:t xml:space="preserve"> which are the same as those of AAS LTE.</w:t>
      </w:r>
    </w:p>
    <w:p w14:paraId="317A6D5D" w14:textId="77777777" w:rsidR="008F4622" w:rsidRPr="00967AC5" w:rsidRDefault="008F4622" w:rsidP="008F4622">
      <w:pPr>
        <w:spacing w:after="240"/>
        <w:jc w:val="both"/>
        <w:rPr>
          <w:lang w:val="en-GB"/>
        </w:rPr>
      </w:pPr>
      <w:r w:rsidRPr="00967AC5">
        <w:rPr>
          <w:lang w:val="en-GB"/>
        </w:rPr>
        <w:t xml:space="preserve">Based on the above assumptions, CEPT identified the relevant additional ECC deliverables to be reused in order to recall the various coexistence conditions resulting from those deliverables as appropriate and to confirm coexistence between MFCN AAS systems complying with the proposed technology neutral LRTCs and all adjacent services identified hereafter.  </w:t>
      </w:r>
    </w:p>
    <w:p w14:paraId="40C25AFB" w14:textId="2C1CC4F9" w:rsidR="008F4622" w:rsidRPr="00967AC5" w:rsidRDefault="008F4622" w:rsidP="008F4622">
      <w:pPr>
        <w:pStyle w:val="ECCParagraph"/>
      </w:pPr>
      <w:r w:rsidRPr="00967AC5">
        <w:t xml:space="preserve">ECC Decision (06)13 </w:t>
      </w:r>
      <w:r w:rsidRPr="00967AC5">
        <w:fldChar w:fldCharType="begin"/>
      </w:r>
      <w:r w:rsidRPr="00967AC5">
        <w:instrText xml:space="preserve"> REF _Ref63427273 \r \h  \* MERGEFORMAT </w:instrText>
      </w:r>
      <w:r w:rsidRPr="00967AC5">
        <w:fldChar w:fldCharType="separate"/>
      </w:r>
      <w:r w:rsidRPr="00967AC5">
        <w:t>[15]</w:t>
      </w:r>
      <w:r w:rsidRPr="00967AC5">
        <w:fldChar w:fldCharType="end"/>
      </w:r>
      <w:r w:rsidRPr="00967AC5">
        <w:t xml:space="preserve"> refers in its introduction and considering parts to the ECC Reports which have been the relevant basis for the update of this deliverable. Most of these CEPT reports are also referred to in relevant recitals of the EC Decision and its amendments. References to CEPT Report 72 and this CEPT Report, which is also considered as the basis for the update of this ECC Decision, need to be added in the next revision of the EC Decision.</w:t>
      </w:r>
    </w:p>
    <w:p w14:paraId="7B2932FC" w14:textId="071CDAB6" w:rsidR="008F4622" w:rsidRPr="00967AC5" w:rsidRDefault="008F4622" w:rsidP="008F4622">
      <w:pPr>
        <w:pStyle w:val="ECCParagraph"/>
      </w:pPr>
      <w:r w:rsidRPr="00967AC5">
        <w:t>The proposed technology neutral LRTCs for AAS and non-AAS (including implementation of required frequency separation) as described in this Report will ensure coexistence with relevant systems in adjacent bands.</w:t>
      </w:r>
    </w:p>
    <w:p w14:paraId="707E341E" w14:textId="3B46D34A" w:rsidR="008F4622" w:rsidRPr="00967AC5" w:rsidRDefault="008F4622" w:rsidP="008F4622">
      <w:pPr>
        <w:pStyle w:val="ECCParagraph"/>
      </w:pPr>
      <w:r w:rsidRPr="00967AC5">
        <w:t xml:space="preserve">MFCN Systems (excluding GSM) already authorised under current EC/ECC framework in 900/1800 MHz bands, comply with the recommended technology neutral </w:t>
      </w:r>
      <w:proofErr w:type="spellStart"/>
      <w:r w:rsidRPr="00967AC5">
        <w:t>LRTCs.Coexistence</w:t>
      </w:r>
      <w:proofErr w:type="spellEnd"/>
      <w:r w:rsidRPr="00967AC5">
        <w:t xml:space="preserve"> between MFCN systems in 900/1800 MHz bands and the following services from adjacent bands was studied and confirmed in different CEPT/ECC Reports which have been reused as appropriate in this CEPT Report when considering coexistence with adjacent services listed below:</w:t>
      </w:r>
    </w:p>
    <w:p w14:paraId="34A243A2" w14:textId="77777777" w:rsidR="008F4622" w:rsidRPr="00967AC5" w:rsidRDefault="008F4622" w:rsidP="008F4622">
      <w:pPr>
        <w:pStyle w:val="ECCBulletsLv1"/>
        <w:rPr>
          <w:rFonts w:asciiTheme="minorBidi" w:hAnsiTheme="minorBidi" w:cstheme="minorBidi"/>
          <w:szCs w:val="20"/>
        </w:rPr>
      </w:pPr>
      <w:r w:rsidRPr="00967AC5">
        <w:rPr>
          <w:rFonts w:asciiTheme="minorBidi" w:hAnsiTheme="minorBidi" w:cstheme="minorBidi"/>
          <w:szCs w:val="20"/>
        </w:rPr>
        <w:t>900 MHz adjacent systems: GSM-R/E-GSM-R, FRMCS, PMR/PAMR, aeronautical radio navigation (DME/L-DACS), aeronautical mobile service communication systems and MIDS (Military NATO);</w:t>
      </w:r>
    </w:p>
    <w:p w14:paraId="1361B415" w14:textId="1071AD86" w:rsidR="008F4622" w:rsidRPr="00967AC5" w:rsidRDefault="008F4622" w:rsidP="008F4622">
      <w:pPr>
        <w:pStyle w:val="ECCBulletsLv1"/>
        <w:rPr>
          <w:rFonts w:asciiTheme="minorBidi" w:hAnsiTheme="minorBidi"/>
        </w:rPr>
      </w:pPr>
      <w:r w:rsidRPr="00967AC5">
        <w:rPr>
          <w:rFonts w:asciiTheme="minorBidi" w:hAnsiTheme="minorBidi"/>
        </w:rPr>
        <w:t>1800 MHz adjacent systems: DECT, MetSat</w:t>
      </w:r>
      <w:r w:rsidR="00EE0D36">
        <w:rPr>
          <w:rFonts w:asciiTheme="minorBidi" w:hAnsiTheme="minorBidi"/>
        </w:rPr>
        <w:t xml:space="preserve"> </w:t>
      </w:r>
      <w:r w:rsidR="00EE0D36" w:rsidRPr="00967AC5">
        <w:rPr>
          <w:rFonts w:asciiTheme="minorBidi" w:hAnsiTheme="minorBidi"/>
        </w:rPr>
        <w:t>(weather satellite</w:t>
      </w:r>
      <w:r w:rsidR="00EE0D36">
        <w:rPr>
          <w:rFonts w:asciiTheme="minorBidi" w:hAnsiTheme="minorBidi"/>
        </w:rPr>
        <w:t>)</w:t>
      </w:r>
      <w:r w:rsidR="0021629D">
        <w:rPr>
          <w:rFonts w:asciiTheme="minorBidi" w:hAnsiTheme="minorBidi"/>
        </w:rPr>
        <w:t xml:space="preserve">, </w:t>
      </w:r>
      <w:r w:rsidRPr="00967AC5">
        <w:rPr>
          <w:rFonts w:asciiTheme="minorBidi" w:hAnsiTheme="minorBidi"/>
        </w:rPr>
        <w:t>fixed</w:t>
      </w:r>
      <w:r w:rsidR="0021629D">
        <w:rPr>
          <w:rFonts w:asciiTheme="minorBidi" w:hAnsiTheme="minorBidi"/>
        </w:rPr>
        <w:t xml:space="preserve"> </w:t>
      </w:r>
      <w:r w:rsidRPr="00967AC5">
        <w:rPr>
          <w:rFonts w:asciiTheme="minorBidi" w:hAnsiTheme="minorBidi"/>
        </w:rPr>
        <w:t xml:space="preserve">telemetry, </w:t>
      </w:r>
      <w:r w:rsidR="00EE0D36">
        <w:rPr>
          <w:rFonts w:asciiTheme="minorBidi" w:hAnsiTheme="minorBidi"/>
        </w:rPr>
        <w:t>(</w:t>
      </w:r>
      <w:r w:rsidRPr="00967AC5">
        <w:rPr>
          <w:rFonts w:asciiTheme="minorBidi" w:hAnsiTheme="minorBidi"/>
        </w:rPr>
        <w:t>defence), radio microphones and fixed service.</w:t>
      </w:r>
    </w:p>
    <w:p w14:paraId="26464FD7" w14:textId="281B01B9" w:rsidR="008F4622" w:rsidRPr="00967AC5" w:rsidRDefault="008F4622" w:rsidP="008F4622">
      <w:pPr>
        <w:pStyle w:val="ECCParagraph"/>
        <w:spacing w:before="240"/>
      </w:pPr>
      <w:r w:rsidRPr="00967AC5">
        <w:t xml:space="preserve">Relevant coexistence conclusions for these systems are extracted and summarised in sections </w:t>
      </w:r>
      <w:r w:rsidRPr="00967AC5">
        <w:fldChar w:fldCharType="begin"/>
      </w:r>
      <w:r w:rsidRPr="00967AC5">
        <w:instrText xml:space="preserve"> REF _Ref59214516 \r \h  \* MERGEFORMAT </w:instrText>
      </w:r>
      <w:r w:rsidRPr="00967AC5">
        <w:fldChar w:fldCharType="separate"/>
      </w:r>
      <w:r w:rsidRPr="00967AC5">
        <w:t>3.5.3</w:t>
      </w:r>
      <w:r w:rsidRPr="00967AC5">
        <w:fldChar w:fldCharType="end"/>
      </w:r>
      <w:r w:rsidRPr="00967AC5">
        <w:t xml:space="preserve"> and </w:t>
      </w:r>
      <w:r w:rsidRPr="00967AC5">
        <w:fldChar w:fldCharType="begin"/>
      </w:r>
      <w:r w:rsidRPr="00967AC5">
        <w:instrText xml:space="preserve"> REF _Ref59214530 \r \h  \* MERGEFORMAT </w:instrText>
      </w:r>
      <w:r w:rsidRPr="00967AC5">
        <w:fldChar w:fldCharType="separate"/>
      </w:r>
      <w:r w:rsidRPr="00967AC5">
        <w:t>3.5.4</w:t>
      </w:r>
      <w:r w:rsidRPr="00967AC5">
        <w:fldChar w:fldCharType="end"/>
      </w:r>
      <w:r w:rsidRPr="00967AC5">
        <w:t xml:space="preserve"> based on existing ECC/CEPT Reports. </w:t>
      </w:r>
    </w:p>
    <w:p w14:paraId="7271A625" w14:textId="3056A687" w:rsidR="008F4622" w:rsidRPr="00967AC5" w:rsidRDefault="008F4622" w:rsidP="00967AC5">
      <w:pPr>
        <w:pStyle w:val="ECCParagraph"/>
        <w:spacing w:before="240"/>
      </w:pPr>
      <w:r w:rsidRPr="00967AC5">
        <w:fldChar w:fldCharType="begin"/>
      </w:r>
      <w:r w:rsidRPr="00967AC5">
        <w:instrText xml:space="preserve"> REF _Ref59214971 \h  \* MERGEFORMAT </w:instrText>
      </w:r>
      <w:r w:rsidRPr="00967AC5">
        <w:fldChar w:fldCharType="separate"/>
      </w:r>
      <w:r w:rsidRPr="00967AC5">
        <w:t>Table 9</w:t>
      </w:r>
      <w:r w:rsidRPr="00967AC5">
        <w:fldChar w:fldCharType="end"/>
      </w:r>
      <w:r w:rsidRPr="00967AC5">
        <w:t xml:space="preserve"> and </w:t>
      </w:r>
      <w:r w:rsidRPr="00967AC5">
        <w:fldChar w:fldCharType="begin"/>
      </w:r>
      <w:r w:rsidRPr="00967AC5">
        <w:instrText xml:space="preserve"> REF _Ref59214979 \h  \* MERGEFORMAT </w:instrText>
      </w:r>
      <w:r w:rsidRPr="00967AC5">
        <w:fldChar w:fldCharType="separate"/>
      </w:r>
      <w:r w:rsidRPr="00967AC5">
        <w:t>Table 10</w:t>
      </w:r>
      <w:r w:rsidRPr="00967AC5">
        <w:fldChar w:fldCharType="end"/>
      </w:r>
      <w:r w:rsidRPr="00967AC5">
        <w:t xml:space="preserve"> provide information on allocations and applications for 900/1800 MHz and adjacent bands.</w:t>
      </w:r>
    </w:p>
    <w:p w14:paraId="4536FFEF" w14:textId="7211C841" w:rsidR="005A247B" w:rsidRPr="00967AC5" w:rsidRDefault="005A247B" w:rsidP="005A247B">
      <w:pPr>
        <w:pStyle w:val="Caption"/>
        <w:keepNext/>
        <w:rPr>
          <w:lang w:val="en-GB"/>
        </w:rPr>
      </w:pPr>
      <w:bookmarkStart w:id="131" w:name="_Ref59214516"/>
      <w:bookmarkStart w:id="132" w:name="_Toc71037830"/>
      <w:bookmarkEnd w:id="130"/>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Pr="00967AC5">
        <w:rPr>
          <w:noProof/>
          <w:lang w:val="en-GB"/>
        </w:rPr>
        <w:t>9</w:t>
      </w:r>
      <w:r w:rsidRPr="00967AC5">
        <w:rPr>
          <w:lang w:val="en-GB"/>
        </w:rPr>
        <w:fldChar w:fldCharType="end"/>
      </w:r>
      <w:r w:rsidRPr="00967AC5">
        <w:rPr>
          <w:lang w:val="en-GB"/>
        </w:rPr>
        <w:t>: Systems operating in adjacent bands at 900 MHz (extract from EFIS</w:t>
      </w:r>
      <w:r w:rsidRPr="00967AC5">
        <w:rPr>
          <w:rStyle w:val="FootnoteReference"/>
          <w:lang w:val="en-GB"/>
        </w:rPr>
        <w:footnoteReference w:id="14"/>
      </w:r>
      <w:r w:rsidRPr="00967AC5">
        <w:rPr>
          <w:lang w:val="en-GB"/>
        </w:rPr>
        <w:t xml:space="preserve">/ECA Table </w:t>
      </w:r>
      <w:r w:rsidRPr="00967AC5">
        <w:rPr>
          <w:lang w:val="en-GB"/>
        </w:rPr>
        <w:fldChar w:fldCharType="begin"/>
      </w:r>
      <w:r w:rsidRPr="00967AC5">
        <w:rPr>
          <w:lang w:val="en-GB"/>
        </w:rPr>
        <w:instrText xml:space="preserve"> REF _Ref68875183 \r \h  \* MERGEFORMAT </w:instrText>
      </w:r>
      <w:r w:rsidRPr="00967AC5">
        <w:rPr>
          <w:lang w:val="en-GB"/>
        </w:rPr>
      </w:r>
      <w:r w:rsidRPr="00967AC5">
        <w:rPr>
          <w:lang w:val="en-GB"/>
        </w:rPr>
        <w:fldChar w:fldCharType="separate"/>
      </w:r>
      <w:r w:rsidRPr="00967AC5">
        <w:rPr>
          <w:lang w:val="en-GB"/>
        </w:rPr>
        <w:t>[36]</w:t>
      </w:r>
      <w:r w:rsidRPr="00967AC5">
        <w:rPr>
          <w:lang w:val="en-GB"/>
        </w:rPr>
        <w:fldChar w:fldCharType="end"/>
      </w:r>
      <w:r w:rsidRPr="00967AC5">
        <w:rPr>
          <w:lang w:val="en-GB"/>
        </w:rPr>
        <w:t>)</w:t>
      </w:r>
    </w:p>
    <w:tbl>
      <w:tblPr>
        <w:tblStyle w:val="ECCTable-redheader"/>
        <w:tblW w:w="5000" w:type="pct"/>
        <w:tblInd w:w="0" w:type="dxa"/>
        <w:tblLook w:val="04A0" w:firstRow="1" w:lastRow="0" w:firstColumn="1" w:lastColumn="0" w:noHBand="0" w:noVBand="1"/>
      </w:tblPr>
      <w:tblGrid>
        <w:gridCol w:w="1228"/>
        <w:gridCol w:w="2084"/>
        <w:gridCol w:w="6317"/>
      </w:tblGrid>
      <w:tr w:rsidR="00F4424B" w:rsidRPr="00967AC5" w14:paraId="19052042" w14:textId="77777777" w:rsidTr="002473A9">
        <w:trPr>
          <w:cnfStyle w:val="100000000000" w:firstRow="1" w:lastRow="0" w:firstColumn="0" w:lastColumn="0" w:oddVBand="0" w:evenVBand="0" w:oddHBand="0" w:evenHBand="0" w:firstRowFirstColumn="0" w:firstRowLastColumn="0" w:lastRowFirstColumn="0" w:lastRowLastColumn="0"/>
        </w:trPr>
        <w:tc>
          <w:tcPr>
            <w:tcW w:w="638" w:type="pct"/>
            <w:tcBorders>
              <w:top w:val="single" w:sz="4" w:space="0" w:color="FFFFFF" w:themeColor="background1"/>
              <w:left w:val="single" w:sz="4" w:space="0" w:color="FFFFFF" w:themeColor="background1"/>
              <w:bottom w:val="single" w:sz="4" w:space="0" w:color="FFFFFF" w:themeColor="background1"/>
            </w:tcBorders>
            <w:vAlign w:val="top"/>
          </w:tcPr>
          <w:p w14:paraId="6A055F7E" w14:textId="77777777" w:rsidR="005A247B" w:rsidRPr="00967AC5" w:rsidRDefault="005A247B" w:rsidP="00967AC5">
            <w:pPr>
              <w:pStyle w:val="ECCTableHeaderwhitefont"/>
              <w:keepNext/>
              <w:rPr>
                <w:rStyle w:val="ECCHLgreen"/>
                <w:shd w:val="clear" w:color="auto" w:fill="auto"/>
              </w:rPr>
            </w:pPr>
            <w:r w:rsidRPr="00967AC5">
              <w:rPr>
                <w:rStyle w:val="ECCHLgreen"/>
                <w:shd w:val="clear" w:color="auto" w:fill="auto"/>
              </w:rPr>
              <w:t>Frequency band (MHz)</w:t>
            </w:r>
          </w:p>
        </w:tc>
        <w:tc>
          <w:tcPr>
            <w:tcW w:w="1082" w:type="pct"/>
            <w:tcBorders>
              <w:top w:val="single" w:sz="4" w:space="0" w:color="FFFFFF" w:themeColor="background1"/>
              <w:bottom w:val="single" w:sz="4" w:space="0" w:color="FFFFFF" w:themeColor="background1"/>
            </w:tcBorders>
            <w:vAlign w:val="top"/>
          </w:tcPr>
          <w:p w14:paraId="6B2D65A6" w14:textId="77777777" w:rsidR="005A247B" w:rsidRPr="00967AC5" w:rsidRDefault="005A247B" w:rsidP="00967AC5">
            <w:pPr>
              <w:pStyle w:val="ECCTableHeaderwhitefont"/>
              <w:keepNext/>
              <w:rPr>
                <w:rStyle w:val="ECCHLgreen"/>
                <w:shd w:val="clear" w:color="auto" w:fill="auto"/>
              </w:rPr>
            </w:pPr>
            <w:r w:rsidRPr="00967AC5">
              <w:rPr>
                <w:rStyle w:val="ECCHLgreen"/>
                <w:shd w:val="clear" w:color="auto" w:fill="auto"/>
              </w:rPr>
              <w:t>Allocation</w:t>
            </w:r>
          </w:p>
        </w:tc>
        <w:tc>
          <w:tcPr>
            <w:tcW w:w="3281" w:type="pct"/>
            <w:tcBorders>
              <w:top w:val="single" w:sz="4" w:space="0" w:color="FFFFFF" w:themeColor="background1"/>
              <w:bottom w:val="single" w:sz="4" w:space="0" w:color="FFFFFF" w:themeColor="background1"/>
              <w:right w:val="single" w:sz="4" w:space="0" w:color="FFFFFF" w:themeColor="background1"/>
            </w:tcBorders>
            <w:vAlign w:val="top"/>
          </w:tcPr>
          <w:p w14:paraId="47A17B54" w14:textId="77777777" w:rsidR="005A247B" w:rsidRPr="00967AC5" w:rsidRDefault="005A247B" w:rsidP="00967AC5">
            <w:pPr>
              <w:pStyle w:val="ECCTableHeaderwhitefont"/>
              <w:keepNext/>
              <w:rPr>
                <w:rStyle w:val="ECCHLgreen"/>
                <w:shd w:val="clear" w:color="auto" w:fill="auto"/>
              </w:rPr>
            </w:pPr>
            <w:r w:rsidRPr="00967AC5">
              <w:rPr>
                <w:rStyle w:val="ECCHLgreen"/>
                <w:shd w:val="clear" w:color="auto" w:fill="auto"/>
              </w:rPr>
              <w:t>Application</w:t>
            </w:r>
          </w:p>
        </w:tc>
      </w:tr>
      <w:tr w:rsidR="00F4424B" w:rsidRPr="00967AC5" w14:paraId="5D595A30" w14:textId="77777777" w:rsidTr="002473A9">
        <w:trPr>
          <w:trHeight w:val="265"/>
        </w:trPr>
        <w:tc>
          <w:tcPr>
            <w:tcW w:w="638" w:type="pct"/>
            <w:tcBorders>
              <w:top w:val="single" w:sz="4" w:space="0" w:color="FFFFFF" w:themeColor="background1"/>
            </w:tcBorders>
            <w:shd w:val="clear" w:color="auto" w:fill="auto"/>
            <w:vAlign w:val="top"/>
          </w:tcPr>
          <w:p w14:paraId="74B3362D"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876-880</w:t>
            </w:r>
          </w:p>
        </w:tc>
        <w:tc>
          <w:tcPr>
            <w:tcW w:w="1082" w:type="pct"/>
            <w:tcBorders>
              <w:top w:val="single" w:sz="4" w:space="0" w:color="FFFFFF" w:themeColor="background1"/>
            </w:tcBorders>
            <w:shd w:val="clear" w:color="auto" w:fill="auto"/>
            <w:vAlign w:val="top"/>
          </w:tcPr>
          <w:p w14:paraId="1A325103"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MOBILE</w:t>
            </w:r>
          </w:p>
        </w:tc>
        <w:tc>
          <w:tcPr>
            <w:tcW w:w="3281" w:type="pct"/>
            <w:tcBorders>
              <w:top w:val="single" w:sz="4" w:space="0" w:color="FFFFFF" w:themeColor="background1"/>
            </w:tcBorders>
            <w:shd w:val="clear" w:color="auto" w:fill="auto"/>
            <w:vAlign w:val="top"/>
          </w:tcPr>
          <w:p w14:paraId="175AB2E3"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GSM-R (within the band paired with 921-925 MHz)</w:t>
            </w:r>
          </w:p>
          <w:p w14:paraId="0D8D7D4B"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FRMCS (within the band 874.4-880.0 MHz paired with 919.4-925.0 MHz)</w:t>
            </w:r>
          </w:p>
          <w:p w14:paraId="080C5D06"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Military systems (land and maritime)</w:t>
            </w:r>
          </w:p>
        </w:tc>
      </w:tr>
      <w:tr w:rsidR="00101CAE" w:rsidRPr="00967AC5" w14:paraId="36D55933" w14:textId="77777777" w:rsidTr="00101CAE">
        <w:trPr>
          <w:trHeight w:val="265"/>
        </w:trPr>
        <w:tc>
          <w:tcPr>
            <w:tcW w:w="638" w:type="pct"/>
            <w:vAlign w:val="top"/>
          </w:tcPr>
          <w:p w14:paraId="47E5C751"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880-890</w:t>
            </w:r>
          </w:p>
        </w:tc>
        <w:tc>
          <w:tcPr>
            <w:tcW w:w="1082" w:type="pct"/>
            <w:vAlign w:val="top"/>
          </w:tcPr>
          <w:p w14:paraId="551C4D22"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MOBILE</w:t>
            </w:r>
          </w:p>
        </w:tc>
        <w:tc>
          <w:tcPr>
            <w:tcW w:w="3281" w:type="pct"/>
            <w:vAlign w:val="top"/>
          </w:tcPr>
          <w:p w14:paraId="39C801F8"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GSM (within the band 880-890 MHz paired with 925-935 MHz)</w:t>
            </w:r>
          </w:p>
          <w:p w14:paraId="49006128"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IMT</w:t>
            </w:r>
          </w:p>
          <w:p w14:paraId="2E9C221C"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MCV</w:t>
            </w:r>
          </w:p>
        </w:tc>
      </w:tr>
      <w:tr w:rsidR="00101CAE" w:rsidRPr="00967AC5" w14:paraId="0CF0CC41" w14:textId="77777777" w:rsidTr="00101CAE">
        <w:trPr>
          <w:trHeight w:val="265"/>
        </w:trPr>
        <w:tc>
          <w:tcPr>
            <w:tcW w:w="638" w:type="pct"/>
            <w:vAlign w:val="top"/>
          </w:tcPr>
          <w:p w14:paraId="31CBC8E1"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890-915</w:t>
            </w:r>
          </w:p>
        </w:tc>
        <w:tc>
          <w:tcPr>
            <w:tcW w:w="1082" w:type="pct"/>
            <w:vAlign w:val="top"/>
          </w:tcPr>
          <w:p w14:paraId="71E620EC"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MOBILE</w:t>
            </w:r>
          </w:p>
          <w:p w14:paraId="2489FEFD"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Radiolocation</w:t>
            </w:r>
          </w:p>
        </w:tc>
        <w:tc>
          <w:tcPr>
            <w:tcW w:w="3281" w:type="pct"/>
            <w:vAlign w:val="top"/>
          </w:tcPr>
          <w:p w14:paraId="5D07F01F"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GSM (within the band 890-915 MHz paired with 935-960 MHz)</w:t>
            </w:r>
          </w:p>
          <w:p w14:paraId="1493C8A7"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IMT</w:t>
            </w:r>
          </w:p>
          <w:p w14:paraId="04857E05"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Military systems (land and maritime)</w:t>
            </w:r>
          </w:p>
          <w:p w14:paraId="10404702"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MCV</w:t>
            </w:r>
          </w:p>
        </w:tc>
      </w:tr>
      <w:tr w:rsidR="00101CAE" w:rsidRPr="00967AC5" w14:paraId="105B8FE9" w14:textId="77777777" w:rsidTr="00101CAE">
        <w:trPr>
          <w:trHeight w:val="265"/>
        </w:trPr>
        <w:tc>
          <w:tcPr>
            <w:tcW w:w="638" w:type="pct"/>
            <w:vAlign w:val="top"/>
          </w:tcPr>
          <w:p w14:paraId="0CD899C1"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915-921</w:t>
            </w:r>
          </w:p>
        </w:tc>
        <w:tc>
          <w:tcPr>
            <w:tcW w:w="1082" w:type="pct"/>
            <w:vAlign w:val="top"/>
          </w:tcPr>
          <w:p w14:paraId="6C8F472B"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MOBILE</w:t>
            </w:r>
          </w:p>
          <w:p w14:paraId="4FAA3674"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Radiolocation</w:t>
            </w:r>
          </w:p>
        </w:tc>
        <w:tc>
          <w:tcPr>
            <w:tcW w:w="3281" w:type="pct"/>
            <w:vAlign w:val="top"/>
          </w:tcPr>
          <w:p w14:paraId="4FF7E777"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Military systems (land and maritime)</w:t>
            </w:r>
          </w:p>
          <w:p w14:paraId="7477AC93"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Non-specific SRDs</w:t>
            </w:r>
          </w:p>
          <w:p w14:paraId="2E247645"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RFID</w:t>
            </w:r>
          </w:p>
          <w:p w14:paraId="47D9FA13"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FRMCS (within the band 874.4-880.0 MHz paired with 919.4-925.0 MHz)</w:t>
            </w:r>
          </w:p>
        </w:tc>
      </w:tr>
      <w:tr w:rsidR="00101CAE" w:rsidRPr="00967AC5" w14:paraId="6C8B3867" w14:textId="77777777" w:rsidTr="00101CAE">
        <w:trPr>
          <w:trHeight w:val="265"/>
        </w:trPr>
        <w:tc>
          <w:tcPr>
            <w:tcW w:w="638" w:type="pct"/>
            <w:vAlign w:val="top"/>
          </w:tcPr>
          <w:p w14:paraId="23AC8B6E"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921-925</w:t>
            </w:r>
          </w:p>
        </w:tc>
        <w:tc>
          <w:tcPr>
            <w:tcW w:w="1082" w:type="pct"/>
            <w:vAlign w:val="top"/>
          </w:tcPr>
          <w:p w14:paraId="2D6DADC4"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MOBILE</w:t>
            </w:r>
          </w:p>
          <w:p w14:paraId="63AFF185"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Radiolocation</w:t>
            </w:r>
          </w:p>
        </w:tc>
        <w:tc>
          <w:tcPr>
            <w:tcW w:w="3281" w:type="pct"/>
            <w:vAlign w:val="top"/>
          </w:tcPr>
          <w:p w14:paraId="6FD179CB"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GSM-R (within in the bands 876-880 MHz paired with 921-925 MHz)</w:t>
            </w:r>
          </w:p>
          <w:p w14:paraId="523A51F6"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FRMCS (within the band 874.4-880.0 MHz paired with 919.4-925.0 MHz)</w:t>
            </w:r>
          </w:p>
          <w:p w14:paraId="226735E4"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Military systems (land and maritime)</w:t>
            </w:r>
          </w:p>
        </w:tc>
      </w:tr>
      <w:tr w:rsidR="00101CAE" w:rsidRPr="00967AC5" w14:paraId="48030B1C" w14:textId="77777777" w:rsidTr="00101CAE">
        <w:trPr>
          <w:trHeight w:val="265"/>
        </w:trPr>
        <w:tc>
          <w:tcPr>
            <w:tcW w:w="638" w:type="pct"/>
            <w:vAlign w:val="top"/>
          </w:tcPr>
          <w:p w14:paraId="33FFB9AF"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 xml:space="preserve">925-942 </w:t>
            </w:r>
          </w:p>
        </w:tc>
        <w:tc>
          <w:tcPr>
            <w:tcW w:w="1082" w:type="pct"/>
            <w:vAlign w:val="top"/>
          </w:tcPr>
          <w:p w14:paraId="7483488F"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MOBILE</w:t>
            </w:r>
          </w:p>
          <w:p w14:paraId="6B839BEB"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Radiolocation</w:t>
            </w:r>
          </w:p>
        </w:tc>
        <w:tc>
          <w:tcPr>
            <w:tcW w:w="3281" w:type="pct"/>
            <w:vAlign w:val="top"/>
          </w:tcPr>
          <w:p w14:paraId="33017DE2"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GSM (within the band 935-960 MHz paired with 890-915 MHz)</w:t>
            </w:r>
          </w:p>
          <w:p w14:paraId="5B471626"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IMT</w:t>
            </w:r>
          </w:p>
          <w:p w14:paraId="5129A1D8"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Military systems (land and maritime)</w:t>
            </w:r>
          </w:p>
          <w:p w14:paraId="4532C6D7"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MCV</w:t>
            </w:r>
          </w:p>
        </w:tc>
      </w:tr>
      <w:tr w:rsidR="00101CAE" w:rsidRPr="00967AC5" w14:paraId="0626E7C9" w14:textId="77777777" w:rsidTr="00101CAE">
        <w:trPr>
          <w:trHeight w:val="265"/>
        </w:trPr>
        <w:tc>
          <w:tcPr>
            <w:tcW w:w="638" w:type="pct"/>
            <w:vAlign w:val="top"/>
          </w:tcPr>
          <w:p w14:paraId="37CE0551"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942-960</w:t>
            </w:r>
          </w:p>
        </w:tc>
        <w:tc>
          <w:tcPr>
            <w:tcW w:w="1082" w:type="pct"/>
            <w:vAlign w:val="top"/>
          </w:tcPr>
          <w:p w14:paraId="75AECD96"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MOBILE</w:t>
            </w:r>
          </w:p>
        </w:tc>
        <w:tc>
          <w:tcPr>
            <w:tcW w:w="3281" w:type="pct"/>
            <w:vAlign w:val="top"/>
          </w:tcPr>
          <w:p w14:paraId="4E11F98A"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GSM (base station transmits paired with 897-915 MHz)</w:t>
            </w:r>
          </w:p>
          <w:p w14:paraId="229EFB53"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IMT</w:t>
            </w:r>
          </w:p>
          <w:p w14:paraId="481C70F9" w14:textId="77777777" w:rsidR="005A247B" w:rsidRPr="00967AC5" w:rsidRDefault="005A247B" w:rsidP="00967AC5">
            <w:pPr>
              <w:pStyle w:val="ECCTabletext"/>
              <w:keepNext/>
              <w:rPr>
                <w:rStyle w:val="ECCHLgreen"/>
                <w:shd w:val="clear" w:color="auto" w:fill="auto"/>
              </w:rPr>
            </w:pPr>
            <w:r w:rsidRPr="00967AC5">
              <w:rPr>
                <w:rStyle w:val="ECCHLgreen"/>
                <w:shd w:val="clear" w:color="auto" w:fill="auto"/>
              </w:rPr>
              <w:t>MCV</w:t>
            </w:r>
          </w:p>
        </w:tc>
      </w:tr>
      <w:tr w:rsidR="00101CAE" w:rsidRPr="00967AC5" w14:paraId="71832B4C" w14:textId="77777777" w:rsidTr="00101CAE">
        <w:trPr>
          <w:trHeight w:val="265"/>
        </w:trPr>
        <w:tc>
          <w:tcPr>
            <w:tcW w:w="638" w:type="pct"/>
            <w:vAlign w:val="top"/>
          </w:tcPr>
          <w:p w14:paraId="1D96D001" w14:textId="77777777" w:rsidR="005A247B" w:rsidRPr="00967AC5" w:rsidRDefault="005A247B" w:rsidP="00967AC5">
            <w:pPr>
              <w:pStyle w:val="ECCTabletext"/>
              <w:rPr>
                <w:rStyle w:val="ECCHLgreen"/>
                <w:shd w:val="clear" w:color="auto" w:fill="auto"/>
              </w:rPr>
            </w:pPr>
            <w:r w:rsidRPr="00967AC5">
              <w:rPr>
                <w:rStyle w:val="ECCHLgreen"/>
                <w:shd w:val="clear" w:color="auto" w:fill="auto"/>
              </w:rPr>
              <w:t>960-1164</w:t>
            </w:r>
          </w:p>
        </w:tc>
        <w:tc>
          <w:tcPr>
            <w:tcW w:w="1082" w:type="pct"/>
            <w:vAlign w:val="top"/>
          </w:tcPr>
          <w:p w14:paraId="3DB682DE" w14:textId="77777777" w:rsidR="005A247B" w:rsidRPr="00967AC5" w:rsidRDefault="005A247B" w:rsidP="00967AC5">
            <w:pPr>
              <w:pStyle w:val="ECCTabletext"/>
              <w:rPr>
                <w:rStyle w:val="ECCHLgreen"/>
                <w:shd w:val="clear" w:color="auto" w:fill="auto"/>
              </w:rPr>
            </w:pPr>
            <w:r w:rsidRPr="00967AC5">
              <w:rPr>
                <w:rStyle w:val="ECCHLgreen"/>
                <w:shd w:val="clear" w:color="auto" w:fill="auto"/>
              </w:rPr>
              <w:t>AERONAUTICAL MOBILE</w:t>
            </w:r>
          </w:p>
          <w:p w14:paraId="1DC74396" w14:textId="77777777" w:rsidR="005A247B" w:rsidRPr="00967AC5" w:rsidRDefault="005A247B" w:rsidP="00967AC5">
            <w:pPr>
              <w:pStyle w:val="ECCTabletext"/>
              <w:rPr>
                <w:rStyle w:val="ECCHLgreen"/>
                <w:shd w:val="clear" w:color="auto" w:fill="auto"/>
              </w:rPr>
            </w:pPr>
            <w:r w:rsidRPr="00967AC5">
              <w:rPr>
                <w:rStyle w:val="ECCHLgreen"/>
                <w:shd w:val="clear" w:color="auto" w:fill="auto"/>
              </w:rPr>
              <w:t>AERONAUTICAL MOBILE-SATELLITE</w:t>
            </w:r>
          </w:p>
          <w:p w14:paraId="0078892B" w14:textId="77777777" w:rsidR="005A247B" w:rsidRPr="00967AC5" w:rsidRDefault="005A247B" w:rsidP="00967AC5">
            <w:pPr>
              <w:pStyle w:val="ECCTabletext"/>
              <w:rPr>
                <w:rStyle w:val="ECCHLgreen"/>
                <w:shd w:val="clear" w:color="auto" w:fill="auto"/>
              </w:rPr>
            </w:pPr>
            <w:r w:rsidRPr="00967AC5">
              <w:rPr>
                <w:rStyle w:val="ECCHLgreen"/>
                <w:shd w:val="clear" w:color="auto" w:fill="auto"/>
              </w:rPr>
              <w:t>AERONAUTICAL RADIONAVIGATION</w:t>
            </w:r>
          </w:p>
        </w:tc>
        <w:tc>
          <w:tcPr>
            <w:tcW w:w="3281" w:type="pct"/>
            <w:vAlign w:val="top"/>
          </w:tcPr>
          <w:p w14:paraId="2B32E886" w14:textId="77777777" w:rsidR="005A247B" w:rsidRPr="00967AC5" w:rsidRDefault="005A247B" w:rsidP="00967AC5">
            <w:pPr>
              <w:pStyle w:val="ECCTabletext"/>
              <w:rPr>
                <w:rStyle w:val="ECCHLgreen"/>
                <w:shd w:val="clear" w:color="auto" w:fill="auto"/>
              </w:rPr>
            </w:pPr>
            <w:r w:rsidRPr="00967AC5">
              <w:rPr>
                <w:rStyle w:val="ECCHLgreen"/>
                <w:shd w:val="clear" w:color="auto" w:fill="auto"/>
              </w:rPr>
              <w:t>Aeronautical (including DME and SSR)</w:t>
            </w:r>
          </w:p>
          <w:p w14:paraId="5B0F3578" w14:textId="77777777" w:rsidR="005A247B" w:rsidRPr="00967AC5" w:rsidRDefault="005A247B" w:rsidP="00967AC5">
            <w:pPr>
              <w:pStyle w:val="ECCTabletext"/>
              <w:rPr>
                <w:rStyle w:val="ECCHLgreen"/>
                <w:shd w:val="clear" w:color="auto" w:fill="auto"/>
              </w:rPr>
            </w:pPr>
            <w:r w:rsidRPr="00967AC5">
              <w:rPr>
                <w:rStyle w:val="ECCHLgreen"/>
                <w:shd w:val="clear" w:color="auto" w:fill="auto"/>
              </w:rPr>
              <w:t>Aeronautical military systems (includes JTIDS/MIDS and TACAN within 1087.7-1092.3 MHz)</w:t>
            </w:r>
          </w:p>
        </w:tc>
      </w:tr>
    </w:tbl>
    <w:p w14:paraId="5020FDF1" w14:textId="77777777" w:rsidR="005A247B" w:rsidRPr="00967AC5" w:rsidRDefault="005A247B" w:rsidP="005A247B">
      <w:pPr>
        <w:rPr>
          <w:lang w:val="en-GB"/>
        </w:rPr>
      </w:pPr>
      <w:bookmarkStart w:id="133" w:name="_Ref59214979"/>
    </w:p>
    <w:p w14:paraId="1CBADFCB" w14:textId="634BE1BE" w:rsidR="005A247B" w:rsidRPr="00967AC5" w:rsidRDefault="005A247B" w:rsidP="005A247B">
      <w:pPr>
        <w:pStyle w:val="Caption"/>
        <w:keepNext/>
        <w:rPr>
          <w:lang w:val="en-GB"/>
        </w:rPr>
      </w:pPr>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Pr="00967AC5">
        <w:rPr>
          <w:noProof/>
          <w:lang w:val="en-GB"/>
        </w:rPr>
        <w:t>10</w:t>
      </w:r>
      <w:r w:rsidRPr="00967AC5">
        <w:rPr>
          <w:lang w:val="en-GB"/>
        </w:rPr>
        <w:fldChar w:fldCharType="end"/>
      </w:r>
      <w:bookmarkEnd w:id="133"/>
      <w:r w:rsidRPr="00967AC5">
        <w:rPr>
          <w:lang w:val="en-GB"/>
        </w:rPr>
        <w:t xml:space="preserve">: Systems operating in adjacent bands at 1800 MHz (extract from EFIS/ECA Table </w:t>
      </w:r>
      <w:r w:rsidRPr="00967AC5">
        <w:rPr>
          <w:lang w:val="en-GB"/>
        </w:rPr>
        <w:fldChar w:fldCharType="begin"/>
      </w:r>
      <w:r w:rsidRPr="00967AC5">
        <w:rPr>
          <w:lang w:val="en-GB"/>
        </w:rPr>
        <w:instrText xml:space="preserve"> REF _Ref68875183 \r \h  \* MERGEFORMAT </w:instrText>
      </w:r>
      <w:r w:rsidRPr="00967AC5">
        <w:rPr>
          <w:lang w:val="en-GB"/>
        </w:rPr>
      </w:r>
      <w:r w:rsidRPr="00967AC5">
        <w:rPr>
          <w:lang w:val="en-GB"/>
        </w:rPr>
        <w:fldChar w:fldCharType="separate"/>
      </w:r>
      <w:r w:rsidRPr="00967AC5">
        <w:rPr>
          <w:lang w:val="en-GB"/>
        </w:rPr>
        <w:t>[36]</w:t>
      </w:r>
      <w:r w:rsidRPr="00967AC5">
        <w:rPr>
          <w:lang w:val="en-GB"/>
        </w:rPr>
        <w:fldChar w:fldCharType="end"/>
      </w:r>
      <w:r w:rsidRPr="00967AC5">
        <w:rPr>
          <w:lang w:val="en-GB"/>
        </w:rPr>
        <w:t>)</w:t>
      </w:r>
    </w:p>
    <w:tbl>
      <w:tblPr>
        <w:tblStyle w:val="ECCTable-redheader"/>
        <w:tblW w:w="5000" w:type="pct"/>
        <w:tblInd w:w="0" w:type="dxa"/>
        <w:tblLook w:val="04A0" w:firstRow="1" w:lastRow="0" w:firstColumn="1" w:lastColumn="0" w:noHBand="0" w:noVBand="1"/>
      </w:tblPr>
      <w:tblGrid>
        <w:gridCol w:w="1414"/>
        <w:gridCol w:w="2245"/>
        <w:gridCol w:w="5970"/>
      </w:tblGrid>
      <w:tr w:rsidR="005A247B" w:rsidRPr="00967AC5" w14:paraId="2EA70163" w14:textId="77777777" w:rsidTr="00966C6B">
        <w:trPr>
          <w:cnfStyle w:val="100000000000" w:firstRow="1" w:lastRow="0" w:firstColumn="0" w:lastColumn="0" w:oddVBand="0" w:evenVBand="0" w:oddHBand="0" w:evenHBand="0" w:firstRowFirstColumn="0" w:firstRowLastColumn="0" w:lastRowFirstColumn="0" w:lastRowLastColumn="0"/>
        </w:trPr>
        <w:tc>
          <w:tcPr>
            <w:tcW w:w="734" w:type="pct"/>
            <w:tcBorders>
              <w:top w:val="single" w:sz="4" w:space="0" w:color="FFFFFF" w:themeColor="background1"/>
              <w:left w:val="single" w:sz="4" w:space="0" w:color="FFFFFF" w:themeColor="background1"/>
              <w:bottom w:val="single" w:sz="4" w:space="0" w:color="FFFFFF" w:themeColor="background1"/>
            </w:tcBorders>
            <w:vAlign w:val="top"/>
          </w:tcPr>
          <w:p w14:paraId="48282F09" w14:textId="77777777" w:rsidR="005A247B" w:rsidRPr="00967AC5" w:rsidRDefault="005A247B" w:rsidP="00967AC5">
            <w:pPr>
              <w:pStyle w:val="ECCTableHeaderwhitefont"/>
              <w:keepNext/>
              <w:rPr>
                <w:rStyle w:val="ECCHLgreen"/>
                <w:shd w:val="clear" w:color="auto" w:fill="auto"/>
              </w:rPr>
            </w:pPr>
            <w:r w:rsidRPr="00967AC5">
              <w:rPr>
                <w:rStyle w:val="ECCHLgreen"/>
                <w:shd w:val="clear" w:color="auto" w:fill="auto"/>
              </w:rPr>
              <w:t>Frequency band (MHz)</w:t>
            </w:r>
          </w:p>
        </w:tc>
        <w:tc>
          <w:tcPr>
            <w:tcW w:w="1166" w:type="pct"/>
            <w:tcBorders>
              <w:top w:val="single" w:sz="4" w:space="0" w:color="FFFFFF" w:themeColor="background1"/>
              <w:bottom w:val="single" w:sz="4" w:space="0" w:color="FFFFFF" w:themeColor="background1"/>
            </w:tcBorders>
            <w:vAlign w:val="top"/>
          </w:tcPr>
          <w:p w14:paraId="48A14044" w14:textId="77777777" w:rsidR="005A247B" w:rsidRPr="00967AC5" w:rsidRDefault="005A247B" w:rsidP="00967AC5">
            <w:pPr>
              <w:pStyle w:val="ECCTableHeaderwhitefont"/>
              <w:keepNext/>
              <w:rPr>
                <w:rStyle w:val="ECCHLgreen"/>
                <w:shd w:val="clear" w:color="auto" w:fill="auto"/>
              </w:rPr>
            </w:pPr>
            <w:r w:rsidRPr="00967AC5">
              <w:rPr>
                <w:rStyle w:val="ECCHLgreen"/>
                <w:shd w:val="clear" w:color="auto" w:fill="auto"/>
              </w:rPr>
              <w:t>Allocation</w:t>
            </w:r>
          </w:p>
        </w:tc>
        <w:tc>
          <w:tcPr>
            <w:tcW w:w="3100" w:type="pct"/>
            <w:tcBorders>
              <w:top w:val="single" w:sz="4" w:space="0" w:color="FFFFFF" w:themeColor="background1"/>
              <w:bottom w:val="single" w:sz="4" w:space="0" w:color="FFFFFF" w:themeColor="background1"/>
              <w:right w:val="single" w:sz="4" w:space="0" w:color="FFFFFF" w:themeColor="background1"/>
            </w:tcBorders>
            <w:vAlign w:val="top"/>
          </w:tcPr>
          <w:p w14:paraId="6D2B3BEE" w14:textId="77777777" w:rsidR="005A247B" w:rsidRPr="00967AC5" w:rsidRDefault="005A247B" w:rsidP="00967AC5">
            <w:pPr>
              <w:pStyle w:val="ECCTableHeaderwhitefont"/>
              <w:keepNext/>
              <w:rPr>
                <w:rStyle w:val="ECCHLgreen"/>
                <w:shd w:val="clear" w:color="auto" w:fill="auto"/>
              </w:rPr>
            </w:pPr>
            <w:r w:rsidRPr="00967AC5">
              <w:rPr>
                <w:rStyle w:val="ECCHLgreen"/>
                <w:shd w:val="clear" w:color="auto" w:fill="auto"/>
              </w:rPr>
              <w:t>Application</w:t>
            </w:r>
          </w:p>
        </w:tc>
      </w:tr>
      <w:tr w:rsidR="005A247B" w:rsidRPr="00967AC5" w14:paraId="3A602EC4" w14:textId="77777777" w:rsidTr="00966C6B">
        <w:trPr>
          <w:trHeight w:val="265"/>
        </w:trPr>
        <w:tc>
          <w:tcPr>
            <w:tcW w:w="734" w:type="pct"/>
            <w:tcBorders>
              <w:top w:val="single" w:sz="4" w:space="0" w:color="FFFFFF" w:themeColor="background1"/>
            </w:tcBorders>
            <w:vAlign w:val="top"/>
          </w:tcPr>
          <w:p w14:paraId="57ED0A68" w14:textId="77777777" w:rsidR="005A247B" w:rsidRPr="00967AC5" w:rsidRDefault="005A247B" w:rsidP="002473A9">
            <w:pPr>
              <w:pStyle w:val="ECCTabletext"/>
              <w:keepNext/>
              <w:jc w:val="left"/>
              <w:rPr>
                <w:rStyle w:val="ECCHLgreen"/>
                <w:szCs w:val="24"/>
                <w:shd w:val="clear" w:color="auto" w:fill="auto"/>
                <w:lang w:eastAsia="en-US"/>
              </w:rPr>
            </w:pPr>
            <w:r w:rsidRPr="00967AC5">
              <w:rPr>
                <w:rStyle w:val="ECCHLgreen"/>
                <w:shd w:val="clear" w:color="auto" w:fill="auto"/>
              </w:rPr>
              <w:t>1700-1710</w:t>
            </w:r>
          </w:p>
        </w:tc>
        <w:tc>
          <w:tcPr>
            <w:tcW w:w="1166" w:type="pct"/>
            <w:tcBorders>
              <w:top w:val="single" w:sz="4" w:space="0" w:color="FFFFFF" w:themeColor="background1"/>
            </w:tcBorders>
            <w:vAlign w:val="top"/>
          </w:tcPr>
          <w:p w14:paraId="3BB510A6"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FIXED</w:t>
            </w:r>
          </w:p>
          <w:p w14:paraId="2C4C741E"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METEOROLOGICAL-SATELLITE (SPACE-TO-EARTH)</w:t>
            </w:r>
          </w:p>
          <w:p w14:paraId="0C0F6523"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Mobile except aeronautical mobile</w:t>
            </w:r>
          </w:p>
        </w:tc>
        <w:tc>
          <w:tcPr>
            <w:tcW w:w="3100" w:type="pct"/>
            <w:tcBorders>
              <w:top w:val="single" w:sz="4" w:space="0" w:color="FFFFFF" w:themeColor="background1"/>
            </w:tcBorders>
            <w:vAlign w:val="top"/>
          </w:tcPr>
          <w:p w14:paraId="45A7B912"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Military systems (land and maritime)</w:t>
            </w:r>
          </w:p>
          <w:p w14:paraId="4E73BAB5"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Meteorological aids (military)</w:t>
            </w:r>
          </w:p>
          <w:p w14:paraId="48CEA36B"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Weather satellites</w:t>
            </w:r>
          </w:p>
        </w:tc>
      </w:tr>
      <w:tr w:rsidR="005A247B" w:rsidRPr="00967AC5" w14:paraId="03E74402" w14:textId="77777777" w:rsidTr="00966C6B">
        <w:trPr>
          <w:trHeight w:val="265"/>
        </w:trPr>
        <w:tc>
          <w:tcPr>
            <w:tcW w:w="734" w:type="pct"/>
            <w:vAlign w:val="top"/>
          </w:tcPr>
          <w:p w14:paraId="16EEE874" w14:textId="77777777" w:rsidR="005A247B" w:rsidRPr="00967AC5" w:rsidRDefault="005A247B" w:rsidP="002473A9">
            <w:pPr>
              <w:pStyle w:val="ECCTabletext"/>
              <w:keepNext/>
              <w:jc w:val="left"/>
              <w:rPr>
                <w:rStyle w:val="ECCHLgreen"/>
                <w:szCs w:val="24"/>
                <w:shd w:val="clear" w:color="auto" w:fill="auto"/>
                <w:lang w:eastAsia="en-US"/>
              </w:rPr>
            </w:pPr>
            <w:r w:rsidRPr="00967AC5">
              <w:rPr>
                <w:rStyle w:val="ECCHLgreen"/>
                <w:shd w:val="clear" w:color="auto" w:fill="auto"/>
              </w:rPr>
              <w:t>1710-1785</w:t>
            </w:r>
          </w:p>
        </w:tc>
        <w:tc>
          <w:tcPr>
            <w:tcW w:w="1166" w:type="pct"/>
            <w:vAlign w:val="top"/>
          </w:tcPr>
          <w:p w14:paraId="6658560C"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FIXED</w:t>
            </w:r>
          </w:p>
          <w:p w14:paraId="65E9F521"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MOBILE</w:t>
            </w:r>
          </w:p>
        </w:tc>
        <w:tc>
          <w:tcPr>
            <w:tcW w:w="3100" w:type="pct"/>
            <w:vAlign w:val="top"/>
          </w:tcPr>
          <w:p w14:paraId="5B6DECF8"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GSM</w:t>
            </w:r>
          </w:p>
          <w:p w14:paraId="2328DB35"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IMT</w:t>
            </w:r>
          </w:p>
          <w:p w14:paraId="716E566B"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MCA</w:t>
            </w:r>
          </w:p>
          <w:p w14:paraId="30F642BB"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MCV</w:t>
            </w:r>
          </w:p>
          <w:p w14:paraId="726ABD26"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Radio astronomy (Spectral line observations (e.g. hydroxyl line), VLBI)</w:t>
            </w:r>
          </w:p>
        </w:tc>
      </w:tr>
      <w:tr w:rsidR="005A247B" w:rsidRPr="00967AC5" w14:paraId="6033E353" w14:textId="77777777" w:rsidTr="00966C6B">
        <w:trPr>
          <w:trHeight w:val="265"/>
        </w:trPr>
        <w:tc>
          <w:tcPr>
            <w:tcW w:w="734" w:type="pct"/>
            <w:vAlign w:val="top"/>
          </w:tcPr>
          <w:p w14:paraId="5A28B51A" w14:textId="77777777" w:rsidR="005A247B" w:rsidRPr="00967AC5" w:rsidRDefault="005A247B" w:rsidP="002473A9">
            <w:pPr>
              <w:pStyle w:val="ECCTabletext"/>
              <w:keepNext/>
              <w:jc w:val="left"/>
              <w:rPr>
                <w:rStyle w:val="ECCHLgreen"/>
                <w:szCs w:val="24"/>
                <w:shd w:val="clear" w:color="auto" w:fill="auto"/>
                <w:lang w:eastAsia="en-US"/>
              </w:rPr>
            </w:pPr>
            <w:r w:rsidRPr="00967AC5">
              <w:rPr>
                <w:rStyle w:val="ECCHLgreen"/>
                <w:shd w:val="clear" w:color="auto" w:fill="auto"/>
              </w:rPr>
              <w:t>1785-1800</w:t>
            </w:r>
          </w:p>
        </w:tc>
        <w:tc>
          <w:tcPr>
            <w:tcW w:w="1166" w:type="pct"/>
            <w:vAlign w:val="top"/>
          </w:tcPr>
          <w:p w14:paraId="66B87F02"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FIXED</w:t>
            </w:r>
          </w:p>
          <w:p w14:paraId="4EED6464"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MOBILE</w:t>
            </w:r>
          </w:p>
        </w:tc>
        <w:tc>
          <w:tcPr>
            <w:tcW w:w="3100" w:type="pct"/>
            <w:vAlign w:val="top"/>
          </w:tcPr>
          <w:p w14:paraId="0431230E"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Military systems (land)</w:t>
            </w:r>
          </w:p>
          <w:p w14:paraId="6C1A7194"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Land mobile</w:t>
            </w:r>
          </w:p>
          <w:p w14:paraId="4D841C06"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Radio microphones and ALD (within the band 1785-1804.8 MHz)</w:t>
            </w:r>
          </w:p>
        </w:tc>
      </w:tr>
      <w:tr w:rsidR="005A247B" w:rsidRPr="00967AC5" w14:paraId="15DB12D2" w14:textId="77777777" w:rsidTr="00966C6B">
        <w:trPr>
          <w:trHeight w:val="265"/>
        </w:trPr>
        <w:tc>
          <w:tcPr>
            <w:tcW w:w="734" w:type="pct"/>
            <w:vAlign w:val="top"/>
          </w:tcPr>
          <w:p w14:paraId="41A4DC7E" w14:textId="77777777" w:rsidR="005A247B" w:rsidRPr="00967AC5" w:rsidRDefault="005A247B" w:rsidP="002473A9">
            <w:pPr>
              <w:pStyle w:val="ECCTabletext"/>
              <w:keepNext/>
              <w:jc w:val="left"/>
              <w:rPr>
                <w:rStyle w:val="ECCHLgreen"/>
                <w:szCs w:val="24"/>
                <w:shd w:val="clear" w:color="auto" w:fill="auto"/>
                <w:lang w:eastAsia="en-US"/>
              </w:rPr>
            </w:pPr>
            <w:r w:rsidRPr="00967AC5">
              <w:rPr>
                <w:rStyle w:val="ECCHLgreen"/>
                <w:shd w:val="clear" w:color="auto" w:fill="auto"/>
              </w:rPr>
              <w:t>1800-1805</w:t>
            </w:r>
          </w:p>
        </w:tc>
        <w:tc>
          <w:tcPr>
            <w:tcW w:w="1166" w:type="pct"/>
            <w:vAlign w:val="top"/>
          </w:tcPr>
          <w:p w14:paraId="6CAB927B"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MOBILE</w:t>
            </w:r>
          </w:p>
          <w:p w14:paraId="0D1F682E"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Fixed</w:t>
            </w:r>
          </w:p>
        </w:tc>
        <w:tc>
          <w:tcPr>
            <w:tcW w:w="3100" w:type="pct"/>
            <w:vAlign w:val="top"/>
          </w:tcPr>
          <w:p w14:paraId="08EC6AFB"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Military systems (land)</w:t>
            </w:r>
          </w:p>
          <w:p w14:paraId="70D0D07C"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Radio microphones and ALD (within the band 1785-1804.8 MHz)</w:t>
            </w:r>
          </w:p>
        </w:tc>
      </w:tr>
      <w:tr w:rsidR="005A247B" w:rsidRPr="00967AC5" w14:paraId="2FEEACBD" w14:textId="77777777" w:rsidTr="00966C6B">
        <w:trPr>
          <w:trHeight w:val="265"/>
        </w:trPr>
        <w:tc>
          <w:tcPr>
            <w:tcW w:w="734" w:type="pct"/>
            <w:vAlign w:val="top"/>
          </w:tcPr>
          <w:p w14:paraId="106DB9D0" w14:textId="77777777" w:rsidR="005A247B" w:rsidRPr="00967AC5" w:rsidRDefault="005A247B" w:rsidP="002473A9">
            <w:pPr>
              <w:pStyle w:val="ECCTabletext"/>
              <w:keepNext/>
              <w:jc w:val="left"/>
              <w:rPr>
                <w:rStyle w:val="ECCHLgreen"/>
                <w:szCs w:val="24"/>
                <w:shd w:val="clear" w:color="auto" w:fill="auto"/>
                <w:lang w:eastAsia="en-US"/>
              </w:rPr>
            </w:pPr>
            <w:r w:rsidRPr="00967AC5">
              <w:rPr>
                <w:rStyle w:val="ECCHLgreen"/>
                <w:shd w:val="clear" w:color="auto" w:fill="auto"/>
              </w:rPr>
              <w:t>1805-1880</w:t>
            </w:r>
          </w:p>
        </w:tc>
        <w:tc>
          <w:tcPr>
            <w:tcW w:w="1166" w:type="pct"/>
            <w:vAlign w:val="top"/>
          </w:tcPr>
          <w:p w14:paraId="5C7E2AE4"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FIXED</w:t>
            </w:r>
          </w:p>
          <w:p w14:paraId="6F404DDC"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MOBILE</w:t>
            </w:r>
          </w:p>
        </w:tc>
        <w:tc>
          <w:tcPr>
            <w:tcW w:w="3100" w:type="pct"/>
            <w:vAlign w:val="top"/>
          </w:tcPr>
          <w:p w14:paraId="10F7D362"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GSM</w:t>
            </w:r>
          </w:p>
          <w:p w14:paraId="0E74FDCB"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IMT</w:t>
            </w:r>
          </w:p>
          <w:p w14:paraId="39390826"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MCA</w:t>
            </w:r>
          </w:p>
          <w:p w14:paraId="5BFA6482" w14:textId="77777777" w:rsidR="005A247B" w:rsidRPr="00967AC5" w:rsidRDefault="005A247B" w:rsidP="002473A9">
            <w:pPr>
              <w:pStyle w:val="ECCTabletext"/>
              <w:keepNext/>
              <w:jc w:val="left"/>
              <w:rPr>
                <w:rStyle w:val="ECCHLgreen"/>
                <w:shd w:val="clear" w:color="auto" w:fill="auto"/>
                <w:lang w:eastAsia="en-US"/>
              </w:rPr>
            </w:pPr>
            <w:r w:rsidRPr="00967AC5">
              <w:rPr>
                <w:rStyle w:val="ECCHLgreen"/>
                <w:shd w:val="clear" w:color="auto" w:fill="auto"/>
              </w:rPr>
              <w:t>MCV</w:t>
            </w:r>
          </w:p>
        </w:tc>
      </w:tr>
      <w:tr w:rsidR="005A247B" w:rsidRPr="00967AC5" w14:paraId="742497F0" w14:textId="77777777" w:rsidTr="00966C6B">
        <w:trPr>
          <w:trHeight w:val="265"/>
        </w:trPr>
        <w:tc>
          <w:tcPr>
            <w:tcW w:w="734" w:type="pct"/>
            <w:vAlign w:val="top"/>
          </w:tcPr>
          <w:p w14:paraId="72659C82" w14:textId="77777777" w:rsidR="005A247B" w:rsidRPr="00967AC5" w:rsidRDefault="005A247B" w:rsidP="002473A9">
            <w:pPr>
              <w:pStyle w:val="ECCTabletext"/>
              <w:jc w:val="left"/>
              <w:rPr>
                <w:rStyle w:val="ECCHLgreen"/>
                <w:szCs w:val="24"/>
                <w:shd w:val="clear" w:color="auto" w:fill="auto"/>
                <w:lang w:eastAsia="en-US"/>
              </w:rPr>
            </w:pPr>
            <w:r w:rsidRPr="00967AC5">
              <w:rPr>
                <w:rStyle w:val="ECCHLgreen"/>
                <w:shd w:val="clear" w:color="auto" w:fill="auto"/>
              </w:rPr>
              <w:t>1880-1900</w:t>
            </w:r>
          </w:p>
        </w:tc>
        <w:tc>
          <w:tcPr>
            <w:tcW w:w="1166" w:type="pct"/>
            <w:vAlign w:val="top"/>
          </w:tcPr>
          <w:p w14:paraId="3F321CDD" w14:textId="77777777" w:rsidR="005A247B" w:rsidRPr="00967AC5" w:rsidRDefault="005A247B" w:rsidP="002473A9">
            <w:pPr>
              <w:pStyle w:val="ECCTabletext"/>
              <w:jc w:val="left"/>
              <w:rPr>
                <w:rStyle w:val="ECCHLgreen"/>
                <w:shd w:val="clear" w:color="auto" w:fill="auto"/>
                <w:lang w:eastAsia="en-US"/>
              </w:rPr>
            </w:pPr>
            <w:r w:rsidRPr="00967AC5">
              <w:rPr>
                <w:rStyle w:val="ECCHLgreen"/>
                <w:shd w:val="clear" w:color="auto" w:fill="auto"/>
              </w:rPr>
              <w:t>MOBILE</w:t>
            </w:r>
          </w:p>
          <w:p w14:paraId="008A2B06" w14:textId="77777777" w:rsidR="005A247B" w:rsidRPr="00967AC5" w:rsidRDefault="005A247B" w:rsidP="002473A9">
            <w:pPr>
              <w:pStyle w:val="ECCTabletext"/>
              <w:jc w:val="left"/>
              <w:rPr>
                <w:rStyle w:val="ECCHLgreen"/>
                <w:shd w:val="clear" w:color="auto" w:fill="auto"/>
                <w:lang w:eastAsia="en-US"/>
              </w:rPr>
            </w:pPr>
            <w:r w:rsidRPr="00967AC5">
              <w:rPr>
                <w:rStyle w:val="ECCHLgreen"/>
                <w:shd w:val="clear" w:color="auto" w:fill="auto"/>
              </w:rPr>
              <w:t>Fixed</w:t>
            </w:r>
          </w:p>
        </w:tc>
        <w:tc>
          <w:tcPr>
            <w:tcW w:w="3100" w:type="pct"/>
            <w:vAlign w:val="top"/>
          </w:tcPr>
          <w:p w14:paraId="4FA12566" w14:textId="77777777" w:rsidR="005A247B" w:rsidRPr="00967AC5" w:rsidRDefault="005A247B" w:rsidP="002473A9">
            <w:pPr>
              <w:pStyle w:val="ECCTabletext"/>
              <w:jc w:val="left"/>
              <w:rPr>
                <w:rStyle w:val="ECCHLgreen"/>
                <w:shd w:val="clear" w:color="auto" w:fill="auto"/>
                <w:lang w:eastAsia="en-US"/>
              </w:rPr>
            </w:pPr>
            <w:r w:rsidRPr="00967AC5">
              <w:rPr>
                <w:rStyle w:val="ECCHLgreen"/>
                <w:shd w:val="clear" w:color="auto" w:fill="auto"/>
              </w:rPr>
              <w:t>DECT</w:t>
            </w:r>
          </w:p>
        </w:tc>
      </w:tr>
    </w:tbl>
    <w:p w14:paraId="153D7623" w14:textId="23F144DF" w:rsidR="00A526DA" w:rsidRPr="00967AC5" w:rsidRDefault="00A526DA" w:rsidP="00F91806">
      <w:pPr>
        <w:pStyle w:val="Heading3"/>
        <w:rPr>
          <w:lang w:val="en-GB"/>
        </w:rPr>
      </w:pPr>
      <w:r w:rsidRPr="00967AC5">
        <w:rPr>
          <w:lang w:val="en-GB"/>
        </w:rPr>
        <w:t>Adjacent band coexistence issues in 900 MHz frequency bands (non</w:t>
      </w:r>
      <w:r w:rsidR="00AA165D" w:rsidRPr="00967AC5">
        <w:rPr>
          <w:lang w:val="en-GB"/>
        </w:rPr>
        <w:t>-</w:t>
      </w:r>
      <w:r w:rsidRPr="00967AC5">
        <w:rPr>
          <w:lang w:val="en-GB"/>
        </w:rPr>
        <w:t>AAS)</w:t>
      </w:r>
      <w:bookmarkEnd w:id="131"/>
      <w:bookmarkEnd w:id="132"/>
    </w:p>
    <w:p w14:paraId="51E49AC6" w14:textId="71201C4C" w:rsidR="006568C5" w:rsidRPr="00967AC5" w:rsidRDefault="006568C5" w:rsidP="00001EB9">
      <w:pPr>
        <w:pStyle w:val="Heading4"/>
      </w:pPr>
      <w:bookmarkStart w:id="134" w:name="_Toc71037831"/>
      <w:r w:rsidRPr="00967AC5">
        <w:t>RMR (GSM-R</w:t>
      </w:r>
      <w:r w:rsidRPr="00967AC5">
        <w:rPr>
          <w:szCs w:val="20"/>
        </w:rPr>
        <w:t>/</w:t>
      </w:r>
      <w:r w:rsidRPr="00967AC5">
        <w:t>E-GSM-R</w:t>
      </w:r>
      <w:r w:rsidRPr="00967AC5">
        <w:rPr>
          <w:szCs w:val="20"/>
        </w:rPr>
        <w:t>/</w:t>
      </w:r>
      <w:r w:rsidRPr="00967AC5">
        <w:t>FRMCS)</w:t>
      </w:r>
      <w:bookmarkEnd w:id="134"/>
    </w:p>
    <w:p w14:paraId="4B749235" w14:textId="71601F3B" w:rsidR="006568C5" w:rsidRPr="00967AC5" w:rsidRDefault="006568C5" w:rsidP="006568C5">
      <w:pPr>
        <w:pStyle w:val="Heading5"/>
        <w:rPr>
          <w:szCs w:val="20"/>
          <w:lang w:val="en-GB"/>
        </w:rPr>
      </w:pPr>
      <w:r w:rsidRPr="00967AC5">
        <w:rPr>
          <w:szCs w:val="20"/>
          <w:lang w:val="en-GB"/>
        </w:rPr>
        <w:t>GSM</w:t>
      </w:r>
      <w:r w:rsidRPr="00967AC5">
        <w:rPr>
          <w:lang w:val="en-GB"/>
        </w:rPr>
        <w:t>-R</w:t>
      </w:r>
      <w:r w:rsidRPr="00967AC5">
        <w:rPr>
          <w:szCs w:val="20"/>
          <w:lang w:val="en-GB"/>
        </w:rPr>
        <w:t xml:space="preserve"> /</w:t>
      </w:r>
      <w:r w:rsidRPr="00967AC5">
        <w:rPr>
          <w:lang w:val="en-GB"/>
        </w:rPr>
        <w:t>E-GSM</w:t>
      </w:r>
      <w:r w:rsidRPr="00967AC5">
        <w:rPr>
          <w:szCs w:val="20"/>
          <w:lang w:val="en-GB"/>
        </w:rPr>
        <w:t xml:space="preserve">-R </w:t>
      </w:r>
    </w:p>
    <w:p w14:paraId="6D292F82" w14:textId="4AF167AB" w:rsidR="006568C5" w:rsidRPr="00967AC5" w:rsidRDefault="006568C5" w:rsidP="00534EB0">
      <w:pPr>
        <w:pStyle w:val="ECCParagraph"/>
        <w:rPr>
          <w:szCs w:val="20"/>
        </w:rPr>
      </w:pPr>
      <w:r w:rsidRPr="00967AC5">
        <w:rPr>
          <w:szCs w:val="20"/>
        </w:rPr>
        <w:t xml:space="preserve">In order to avoid any new studies CEPT reused existing relevant CEPT/ECC deliverables, which are briefly </w:t>
      </w:r>
      <w:r w:rsidR="00E66959" w:rsidRPr="00967AC5">
        <w:rPr>
          <w:szCs w:val="20"/>
        </w:rPr>
        <w:t xml:space="preserve">summarised </w:t>
      </w:r>
      <w:r w:rsidRPr="00967AC5">
        <w:rPr>
          <w:szCs w:val="20"/>
        </w:rPr>
        <w:t>hereafter:</w:t>
      </w:r>
    </w:p>
    <w:p w14:paraId="73A58131" w14:textId="64C02559" w:rsidR="006568C5" w:rsidRPr="00967AC5" w:rsidRDefault="006568C5" w:rsidP="00212BDA">
      <w:pPr>
        <w:pStyle w:val="ECCParagraph"/>
        <w:rPr>
          <w:rStyle w:val="ECCHLbold"/>
          <w:b w:val="0"/>
          <w:u w:val="single"/>
        </w:rPr>
      </w:pPr>
      <w:r w:rsidRPr="00967AC5">
        <w:rPr>
          <w:rStyle w:val="ECCHLbold"/>
          <w:b w:val="0"/>
          <w:u w:val="single"/>
        </w:rPr>
        <w:t xml:space="preserve">CEPT </w:t>
      </w:r>
      <w:r w:rsidR="00B07BD3" w:rsidRPr="00967AC5">
        <w:rPr>
          <w:rStyle w:val="ECCHLbold"/>
          <w:b w:val="0"/>
          <w:u w:val="single"/>
        </w:rPr>
        <w:t>R</w:t>
      </w:r>
      <w:r w:rsidRPr="00967AC5">
        <w:rPr>
          <w:rStyle w:val="ECCHLbold"/>
          <w:b w:val="0"/>
          <w:u w:val="single"/>
        </w:rPr>
        <w:t>eport 41 for LTE non-AAS</w:t>
      </w:r>
      <w:r w:rsidR="00E66959" w:rsidRPr="00967AC5">
        <w:rPr>
          <w:rStyle w:val="ECCHLbold"/>
          <w:b w:val="0"/>
          <w:u w:val="single"/>
        </w:rPr>
        <w:t xml:space="preserve"> </w:t>
      </w:r>
      <w:r w:rsidR="00E66959" w:rsidRPr="00967AC5">
        <w:rPr>
          <w:rStyle w:val="ECCHLbold"/>
          <w:b w:val="0"/>
          <w:u w:val="single"/>
        </w:rPr>
        <w:fldChar w:fldCharType="begin"/>
      </w:r>
      <w:r w:rsidR="00E66959" w:rsidRPr="00967AC5">
        <w:rPr>
          <w:rStyle w:val="ECCHLbold"/>
          <w:b w:val="0"/>
          <w:u w:val="single"/>
        </w:rPr>
        <w:instrText xml:space="preserve"> REF _Ref63337493 \r \h</w:instrText>
      </w:r>
      <w:r w:rsidR="00E66959" w:rsidRPr="00967AC5">
        <w:rPr>
          <w:rStyle w:val="ECCHLbold"/>
          <w:b w:val="0"/>
          <w:bCs/>
          <w:u w:val="single"/>
        </w:rPr>
        <w:instrText xml:space="preserve"> </w:instrText>
      </w:r>
      <w:r w:rsidR="00C5337E" w:rsidRPr="00967AC5">
        <w:rPr>
          <w:rStyle w:val="ECCHLbold"/>
          <w:b w:val="0"/>
          <w:bCs/>
          <w:u w:val="single"/>
        </w:rPr>
        <w:instrText xml:space="preserve"> \* MERGEFORMAT</w:instrText>
      </w:r>
      <w:r w:rsidR="00C5337E" w:rsidRPr="00967AC5">
        <w:rPr>
          <w:rStyle w:val="ECCHLbold"/>
          <w:b w:val="0"/>
          <w:u w:val="single"/>
        </w:rPr>
        <w:instrText xml:space="preserve"> </w:instrText>
      </w:r>
      <w:r w:rsidR="00E66959" w:rsidRPr="00967AC5">
        <w:rPr>
          <w:rStyle w:val="ECCHLbold"/>
          <w:b w:val="0"/>
          <w:u w:val="single"/>
        </w:rPr>
      </w:r>
      <w:r w:rsidR="00E66959" w:rsidRPr="00967AC5">
        <w:rPr>
          <w:rStyle w:val="ECCHLbold"/>
          <w:b w:val="0"/>
          <w:u w:val="single"/>
        </w:rPr>
        <w:fldChar w:fldCharType="separate"/>
      </w:r>
      <w:r w:rsidR="00680BB5" w:rsidRPr="00967AC5">
        <w:rPr>
          <w:rStyle w:val="ECCHLbold"/>
          <w:b w:val="0"/>
          <w:u w:val="single"/>
        </w:rPr>
        <w:t>[12]</w:t>
      </w:r>
      <w:r w:rsidR="00E66959" w:rsidRPr="00967AC5">
        <w:rPr>
          <w:rStyle w:val="ECCHLbold"/>
          <w:b w:val="0"/>
          <w:u w:val="single"/>
        </w:rPr>
        <w:fldChar w:fldCharType="end"/>
      </w:r>
      <w:r w:rsidRPr="00967AC5">
        <w:rPr>
          <w:rStyle w:val="ECCHLbold"/>
          <w:b w:val="0"/>
          <w:u w:val="single"/>
        </w:rPr>
        <w:t>:</w:t>
      </w:r>
    </w:p>
    <w:p w14:paraId="2F5A280B" w14:textId="77EA8D7C" w:rsidR="006568C5" w:rsidRPr="00967AC5" w:rsidRDefault="006568C5" w:rsidP="00534EB0">
      <w:pPr>
        <w:pStyle w:val="ECCParagraph"/>
        <w:rPr>
          <w:szCs w:val="20"/>
        </w:rPr>
      </w:pPr>
      <w:r w:rsidRPr="00967AC5">
        <w:rPr>
          <w:szCs w:val="20"/>
        </w:rPr>
        <w:t xml:space="preserve">CEPT </w:t>
      </w:r>
      <w:r w:rsidR="00B07BD3" w:rsidRPr="00967AC5">
        <w:rPr>
          <w:szCs w:val="20"/>
        </w:rPr>
        <w:t>R</w:t>
      </w:r>
      <w:r w:rsidRPr="00967AC5">
        <w:rPr>
          <w:szCs w:val="20"/>
        </w:rPr>
        <w:t xml:space="preserve">eport 41 concludes in its executive summary that </w:t>
      </w:r>
      <w:r w:rsidR="00B248C2" w:rsidRPr="00967AC5">
        <w:rPr>
          <w:szCs w:val="20"/>
        </w:rPr>
        <w:t>"</w:t>
      </w:r>
      <w:r w:rsidRPr="00967AC5">
        <w:rPr>
          <w:rFonts w:eastAsiaTheme="minorEastAsia"/>
          <w:i/>
        </w:rPr>
        <w:t>i</w:t>
      </w:r>
      <w:r w:rsidRPr="00967AC5">
        <w:rPr>
          <w:rFonts w:eastAsiaTheme="minorEastAsia"/>
          <w:i/>
          <w:iCs/>
          <w:szCs w:val="20"/>
          <w:lang w:eastAsia="zh-CN"/>
        </w:rPr>
        <w:t>ntroducing LTE and WiMAX into the 900 and 1800 MHz bands should not cause any additional impact on adjacent services</w:t>
      </w:r>
      <w:r w:rsidRPr="00967AC5">
        <w:rPr>
          <w:szCs w:val="20"/>
        </w:rPr>
        <w:t>.</w:t>
      </w:r>
      <w:r w:rsidR="009A41C2" w:rsidRPr="00967AC5">
        <w:rPr>
          <w:szCs w:val="20"/>
        </w:rPr>
        <w:t>”</w:t>
      </w:r>
      <w:r w:rsidRPr="00967AC5">
        <w:rPr>
          <w:szCs w:val="20"/>
        </w:rPr>
        <w:t xml:space="preserve"> </w:t>
      </w:r>
    </w:p>
    <w:p w14:paraId="30BEEF8F" w14:textId="68D98B80" w:rsidR="006568C5" w:rsidRPr="00967AC5" w:rsidRDefault="006568C5" w:rsidP="00534EB0">
      <w:pPr>
        <w:pStyle w:val="ECCParagraph"/>
        <w:rPr>
          <w:i/>
          <w:iCs/>
          <w:szCs w:val="20"/>
        </w:rPr>
      </w:pPr>
      <w:r w:rsidRPr="00967AC5">
        <w:rPr>
          <w:szCs w:val="20"/>
        </w:rPr>
        <w:t>CEPT Report 41</w:t>
      </w:r>
      <w:r w:rsidR="00B07BD3" w:rsidRPr="00967AC5">
        <w:rPr>
          <w:szCs w:val="20"/>
        </w:rPr>
        <w:t xml:space="preserve"> </w:t>
      </w:r>
      <w:r w:rsidRPr="00967AC5">
        <w:rPr>
          <w:szCs w:val="20"/>
        </w:rPr>
        <w:t xml:space="preserve">also highlighted that for </w:t>
      </w:r>
      <w:r w:rsidR="004C1A2C" w:rsidRPr="00967AC5">
        <w:rPr>
          <w:szCs w:val="20"/>
        </w:rPr>
        <w:t>“</w:t>
      </w:r>
      <w:r w:rsidRPr="00967AC5">
        <w:rPr>
          <w:i/>
          <w:iCs/>
          <w:szCs w:val="20"/>
        </w:rPr>
        <w:t xml:space="preserve">For LTE/WiMAX 900, the frequency separation between the nearest GSM-R channel </w:t>
      </w:r>
      <w:proofErr w:type="spellStart"/>
      <w:r w:rsidRPr="00967AC5">
        <w:rPr>
          <w:i/>
          <w:iCs/>
          <w:szCs w:val="20"/>
        </w:rPr>
        <w:t>center</w:t>
      </w:r>
      <w:proofErr w:type="spellEnd"/>
      <w:r w:rsidRPr="00967AC5">
        <w:rPr>
          <w:i/>
          <w:iCs/>
          <w:szCs w:val="20"/>
        </w:rPr>
        <w:t xml:space="preserve"> frequency and LTE/WiMAX channel edge should be at least 300 kHz (at least 200 kHz between channel edges)</w:t>
      </w:r>
      <w:r w:rsidR="009A41C2" w:rsidRPr="00967AC5">
        <w:rPr>
          <w:i/>
          <w:iCs/>
          <w:szCs w:val="20"/>
        </w:rPr>
        <w:t>.</w:t>
      </w:r>
      <w:r w:rsidRPr="00967AC5">
        <w:rPr>
          <w:i/>
          <w:iCs/>
          <w:szCs w:val="20"/>
        </w:rPr>
        <w:t>”</w:t>
      </w:r>
    </w:p>
    <w:p w14:paraId="27F91851" w14:textId="2675AC79" w:rsidR="006568C5" w:rsidRPr="00967AC5" w:rsidRDefault="006568C5" w:rsidP="00534EB0">
      <w:pPr>
        <w:pStyle w:val="ECCParagraph"/>
        <w:rPr>
          <w:szCs w:val="20"/>
        </w:rPr>
      </w:pPr>
      <w:r w:rsidRPr="00967AC5">
        <w:rPr>
          <w:szCs w:val="20"/>
        </w:rPr>
        <w:t xml:space="preserve">Conclusions regarding GSM-R/E-GSM-R and LTE are further detailed in the summary table included in the executive summary of CEPT </w:t>
      </w:r>
      <w:r w:rsidR="00B07BD3" w:rsidRPr="00967AC5">
        <w:rPr>
          <w:szCs w:val="20"/>
        </w:rPr>
        <w:t>R</w:t>
      </w:r>
      <w:r w:rsidRPr="00967AC5">
        <w:rPr>
          <w:szCs w:val="20"/>
        </w:rPr>
        <w:t>eport 41. For some critical cases recommendations on coordination are proposed.</w:t>
      </w:r>
    </w:p>
    <w:p w14:paraId="7A197CA9" w14:textId="2AD534A7" w:rsidR="00F23F65" w:rsidRPr="00967AC5" w:rsidRDefault="006568C5" w:rsidP="00F23F65">
      <w:pPr>
        <w:pStyle w:val="ECCParagraph"/>
        <w:rPr>
          <w:b/>
          <w:u w:val="single"/>
        </w:rPr>
      </w:pPr>
      <w:r w:rsidRPr="00967AC5">
        <w:rPr>
          <w:rStyle w:val="ECCHLbold"/>
          <w:b w:val="0"/>
          <w:u w:val="single"/>
        </w:rPr>
        <w:lastRenderedPageBreak/>
        <w:t xml:space="preserve">CEPT </w:t>
      </w:r>
      <w:r w:rsidR="00B07BD3" w:rsidRPr="00967AC5">
        <w:rPr>
          <w:rStyle w:val="ECCHLbold"/>
          <w:b w:val="0"/>
          <w:u w:val="single"/>
        </w:rPr>
        <w:t>R</w:t>
      </w:r>
      <w:r w:rsidRPr="00967AC5">
        <w:rPr>
          <w:rStyle w:val="ECCHLbold"/>
          <w:b w:val="0"/>
          <w:u w:val="single"/>
        </w:rPr>
        <w:t>eport 66</w:t>
      </w:r>
      <w:r w:rsidR="00E66959" w:rsidRPr="00967AC5">
        <w:rPr>
          <w:rStyle w:val="ECCHLbold"/>
          <w:b w:val="0"/>
          <w:u w:val="single"/>
        </w:rPr>
        <w:t xml:space="preserve"> </w:t>
      </w:r>
      <w:r w:rsidR="00E66959" w:rsidRPr="00967AC5">
        <w:rPr>
          <w:rStyle w:val="ECCHLbold"/>
          <w:b w:val="0"/>
          <w:bCs/>
          <w:u w:val="single"/>
        </w:rPr>
        <w:fldChar w:fldCharType="begin"/>
      </w:r>
      <w:r w:rsidR="00E66959" w:rsidRPr="00967AC5">
        <w:rPr>
          <w:rStyle w:val="ECCHLbold"/>
          <w:b w:val="0"/>
          <w:bCs/>
          <w:u w:val="single"/>
        </w:rPr>
        <w:instrText xml:space="preserve"> REF _Ref63337482 \r \h </w:instrText>
      </w:r>
      <w:r w:rsidR="00C5337E" w:rsidRPr="00967AC5">
        <w:rPr>
          <w:rStyle w:val="ECCHLbold"/>
          <w:b w:val="0"/>
          <w:bCs/>
          <w:u w:val="single"/>
        </w:rPr>
        <w:instrText xml:space="preserve"> \* MERGEFORMAT </w:instrText>
      </w:r>
      <w:r w:rsidR="00E66959" w:rsidRPr="00967AC5">
        <w:rPr>
          <w:rStyle w:val="ECCHLbold"/>
          <w:b w:val="0"/>
          <w:bCs/>
          <w:u w:val="single"/>
        </w:rPr>
      </w:r>
      <w:r w:rsidR="00E66959" w:rsidRPr="00967AC5">
        <w:rPr>
          <w:rStyle w:val="ECCHLbold"/>
          <w:b w:val="0"/>
          <w:bCs/>
          <w:u w:val="single"/>
        </w:rPr>
        <w:fldChar w:fldCharType="separate"/>
      </w:r>
      <w:r w:rsidR="00680BB5" w:rsidRPr="00967AC5">
        <w:rPr>
          <w:rStyle w:val="ECCHLbold"/>
          <w:b w:val="0"/>
          <w:bCs/>
          <w:u w:val="single"/>
        </w:rPr>
        <w:t>[10]</w:t>
      </w:r>
      <w:r w:rsidR="00E66959" w:rsidRPr="00967AC5">
        <w:rPr>
          <w:rStyle w:val="ECCHLbold"/>
          <w:b w:val="0"/>
          <w:bCs/>
          <w:u w:val="single"/>
        </w:rPr>
        <w:fldChar w:fldCharType="end"/>
      </w:r>
      <w:r w:rsidRPr="00967AC5">
        <w:rPr>
          <w:rStyle w:val="ECCHLbold"/>
          <w:b w:val="0"/>
          <w:u w:val="single"/>
        </w:rPr>
        <w:t xml:space="preserve">/ECC </w:t>
      </w:r>
      <w:r w:rsidR="00B07BD3" w:rsidRPr="00967AC5">
        <w:rPr>
          <w:rStyle w:val="ECCHLbold"/>
          <w:b w:val="0"/>
          <w:u w:val="single"/>
        </w:rPr>
        <w:t>R</w:t>
      </w:r>
      <w:r w:rsidRPr="00967AC5">
        <w:rPr>
          <w:rStyle w:val="ECCHLbold"/>
          <w:b w:val="0"/>
          <w:u w:val="single"/>
        </w:rPr>
        <w:t xml:space="preserve">eport 266 </w:t>
      </w:r>
      <w:r w:rsidR="00E66959" w:rsidRPr="00967AC5">
        <w:rPr>
          <w:rStyle w:val="ECCHLbold"/>
          <w:b w:val="0"/>
          <w:bCs/>
          <w:u w:val="single"/>
        </w:rPr>
        <w:fldChar w:fldCharType="begin"/>
      </w:r>
      <w:r w:rsidR="00E66959" w:rsidRPr="00967AC5">
        <w:rPr>
          <w:rStyle w:val="ECCHLbold"/>
          <w:b w:val="0"/>
          <w:bCs/>
          <w:u w:val="single"/>
        </w:rPr>
        <w:instrText xml:space="preserve"> REF _Ref63337447 \r \h </w:instrText>
      </w:r>
      <w:r w:rsidR="00C5337E" w:rsidRPr="00967AC5">
        <w:rPr>
          <w:rStyle w:val="ECCHLbold"/>
          <w:b w:val="0"/>
          <w:bCs/>
          <w:u w:val="single"/>
        </w:rPr>
        <w:instrText xml:space="preserve"> \* MERGEFORMAT </w:instrText>
      </w:r>
      <w:r w:rsidR="00E66959" w:rsidRPr="00967AC5">
        <w:rPr>
          <w:rStyle w:val="ECCHLbold"/>
          <w:b w:val="0"/>
          <w:bCs/>
          <w:u w:val="single"/>
        </w:rPr>
      </w:r>
      <w:r w:rsidR="00E66959" w:rsidRPr="00967AC5">
        <w:rPr>
          <w:rStyle w:val="ECCHLbold"/>
          <w:b w:val="0"/>
          <w:bCs/>
          <w:u w:val="single"/>
        </w:rPr>
        <w:fldChar w:fldCharType="separate"/>
      </w:r>
      <w:r w:rsidR="00680BB5" w:rsidRPr="00967AC5">
        <w:rPr>
          <w:rStyle w:val="ECCHLbold"/>
          <w:b w:val="0"/>
          <w:bCs/>
          <w:u w:val="single"/>
        </w:rPr>
        <w:t>[5]</w:t>
      </w:r>
      <w:r w:rsidR="00E66959" w:rsidRPr="00967AC5">
        <w:rPr>
          <w:rStyle w:val="ECCHLbold"/>
          <w:b w:val="0"/>
          <w:bCs/>
          <w:u w:val="single"/>
        </w:rPr>
        <w:fldChar w:fldCharType="end"/>
      </w:r>
      <w:r w:rsidR="00E66959" w:rsidRPr="00967AC5">
        <w:rPr>
          <w:rStyle w:val="ECCHLbold"/>
          <w:b w:val="0"/>
          <w:u w:val="single"/>
        </w:rPr>
        <w:t xml:space="preserve"> </w:t>
      </w:r>
      <w:r w:rsidRPr="00967AC5">
        <w:rPr>
          <w:rStyle w:val="ECCHLbold"/>
          <w:b w:val="0"/>
          <w:u w:val="single"/>
        </w:rPr>
        <w:t>for NB-IoT:</w:t>
      </w:r>
    </w:p>
    <w:p w14:paraId="58D41115" w14:textId="0F4779CA" w:rsidR="006568C5" w:rsidRPr="00967AC5" w:rsidRDefault="006568C5" w:rsidP="00F23F65">
      <w:pPr>
        <w:pStyle w:val="ECCParagraph"/>
        <w:rPr>
          <w:szCs w:val="20"/>
        </w:rPr>
      </w:pPr>
      <w:r w:rsidRPr="00967AC5">
        <w:rPr>
          <w:szCs w:val="20"/>
        </w:rPr>
        <w:t xml:space="preserve">ECC </w:t>
      </w:r>
      <w:r w:rsidR="00776B92" w:rsidRPr="00967AC5">
        <w:rPr>
          <w:szCs w:val="20"/>
        </w:rPr>
        <w:t>R</w:t>
      </w:r>
      <w:r w:rsidRPr="00967AC5">
        <w:rPr>
          <w:szCs w:val="20"/>
        </w:rPr>
        <w:t xml:space="preserve">eport 266 in its section 5.4 concluded that </w:t>
      </w:r>
      <w:r w:rsidR="001E68B7" w:rsidRPr="00967AC5">
        <w:rPr>
          <w:szCs w:val="20"/>
        </w:rPr>
        <w:t>“</w:t>
      </w:r>
      <w:r w:rsidRPr="00967AC5">
        <w:rPr>
          <w:i/>
        </w:rPr>
        <w:t xml:space="preserve">standalone NB-IoT equipment complying with the relevant technical conditions (maximum permitted </w:t>
      </w:r>
      <w:proofErr w:type="spellStart"/>
      <w:r w:rsidR="007C6F2C" w:rsidRPr="00967AC5">
        <w:rPr>
          <w:i/>
          <w:color w:val="000000"/>
        </w:rPr>
        <w:t>e.i.r.p.s</w:t>
      </w:r>
      <w:proofErr w:type="spellEnd"/>
      <w:r w:rsidRPr="00967AC5">
        <w:rPr>
          <w:i/>
        </w:rPr>
        <w:t xml:space="preserve"> and minimum frequency separations from other adjacent services) which apply in the context of GSM, may be deployed in the 900/1800 MHz bands without any increase in the likelihood of harmful </w:t>
      </w:r>
      <w:r w:rsidR="001E68B7" w:rsidRPr="00967AC5">
        <w:rPr>
          <w:i/>
        </w:rPr>
        <w:t>interference</w:t>
      </w:r>
      <w:r w:rsidRPr="00967AC5">
        <w:rPr>
          <w:i/>
        </w:rPr>
        <w:t>.</w:t>
      </w:r>
      <w:r w:rsidR="008B1D57" w:rsidRPr="00967AC5">
        <w:rPr>
          <w:szCs w:val="20"/>
        </w:rPr>
        <w:t>”</w:t>
      </w:r>
    </w:p>
    <w:p w14:paraId="78C37A19" w14:textId="70E3B7B7" w:rsidR="006568C5" w:rsidRPr="00967AC5" w:rsidRDefault="006568C5" w:rsidP="00212BDA">
      <w:pPr>
        <w:pStyle w:val="ECCParagraph"/>
        <w:rPr>
          <w:u w:val="single"/>
        </w:rPr>
      </w:pPr>
      <w:r w:rsidRPr="00967AC5">
        <w:rPr>
          <w:u w:val="single"/>
        </w:rPr>
        <w:t xml:space="preserve">ECC </w:t>
      </w:r>
      <w:r w:rsidR="00E81719" w:rsidRPr="00967AC5">
        <w:rPr>
          <w:u w:val="single"/>
        </w:rPr>
        <w:t>R</w:t>
      </w:r>
      <w:r w:rsidRPr="00967AC5">
        <w:rPr>
          <w:u w:val="single"/>
        </w:rPr>
        <w:t>eport 297 for NR non-AAS</w:t>
      </w:r>
      <w:r w:rsidR="00E479BC" w:rsidRPr="00967AC5">
        <w:rPr>
          <w:u w:val="single"/>
        </w:rPr>
        <w:t xml:space="preserve"> </w:t>
      </w:r>
      <w:r w:rsidR="00E479BC" w:rsidRPr="00967AC5">
        <w:rPr>
          <w:u w:val="single"/>
        </w:rPr>
        <w:fldChar w:fldCharType="begin"/>
      </w:r>
      <w:r w:rsidR="00E479BC" w:rsidRPr="00967AC5">
        <w:rPr>
          <w:u w:val="single"/>
        </w:rPr>
        <w:instrText xml:space="preserve"> REF _Ref63337314 \r \h </w:instrText>
      </w:r>
      <w:r w:rsidR="00C5337E" w:rsidRPr="00967AC5">
        <w:rPr>
          <w:u w:val="single"/>
        </w:rPr>
        <w:instrText xml:space="preserve"> \* MERGEFORMAT </w:instrText>
      </w:r>
      <w:r w:rsidR="00E479BC" w:rsidRPr="00967AC5">
        <w:rPr>
          <w:u w:val="single"/>
        </w:rPr>
      </w:r>
      <w:r w:rsidR="00E479BC" w:rsidRPr="00967AC5">
        <w:rPr>
          <w:u w:val="single"/>
        </w:rPr>
        <w:fldChar w:fldCharType="separate"/>
      </w:r>
      <w:r w:rsidR="00680BB5" w:rsidRPr="00967AC5">
        <w:rPr>
          <w:u w:val="single"/>
        </w:rPr>
        <w:t>[3]</w:t>
      </w:r>
      <w:r w:rsidR="00E479BC" w:rsidRPr="00967AC5">
        <w:rPr>
          <w:u w:val="single"/>
        </w:rPr>
        <w:fldChar w:fldCharType="end"/>
      </w:r>
      <w:r w:rsidRPr="00967AC5">
        <w:rPr>
          <w:u w:val="single"/>
        </w:rPr>
        <w:t>:</w:t>
      </w:r>
    </w:p>
    <w:p w14:paraId="7E3000DF" w14:textId="5051B452" w:rsidR="006568C5" w:rsidRPr="00967AC5" w:rsidRDefault="006E439C" w:rsidP="00F23F65">
      <w:pPr>
        <w:pStyle w:val="ECCParagraph"/>
        <w:rPr>
          <w:szCs w:val="20"/>
        </w:rPr>
      </w:pPr>
      <w:r w:rsidRPr="00967AC5">
        <w:t xml:space="preserve">ECC </w:t>
      </w:r>
      <w:r w:rsidR="00AE2BDD" w:rsidRPr="00967AC5">
        <w:t>R</w:t>
      </w:r>
      <w:r w:rsidR="006568C5" w:rsidRPr="00967AC5">
        <w:t xml:space="preserve">eport </w:t>
      </w:r>
      <w:r w:rsidRPr="00967AC5">
        <w:t>297</w:t>
      </w:r>
      <w:r w:rsidRPr="00967AC5">
        <w:rPr>
          <w:szCs w:val="20"/>
        </w:rPr>
        <w:t xml:space="preserve"> </w:t>
      </w:r>
      <w:r w:rsidR="006568C5" w:rsidRPr="00967AC5">
        <w:t>mentions in</w:t>
      </w:r>
      <w:r w:rsidRPr="00967AC5">
        <w:t xml:space="preserve"> </w:t>
      </w:r>
      <w:r w:rsidRPr="00967AC5">
        <w:rPr>
          <w:szCs w:val="20"/>
        </w:rPr>
        <w:t>its</w:t>
      </w:r>
      <w:r w:rsidR="006568C5" w:rsidRPr="00967AC5">
        <w:rPr>
          <w:szCs w:val="20"/>
        </w:rPr>
        <w:t xml:space="preserve"> </w:t>
      </w:r>
      <w:r w:rsidR="006568C5" w:rsidRPr="00967AC5">
        <w:t>sections 4.2.1.1</w:t>
      </w:r>
      <w:r w:rsidR="006568C5" w:rsidRPr="00967AC5">
        <w:rPr>
          <w:szCs w:val="20"/>
        </w:rPr>
        <w:t xml:space="preserve"> and 4.2.1.2 that</w:t>
      </w:r>
      <w:r w:rsidR="00705318" w:rsidRPr="00967AC5">
        <w:t>:</w:t>
      </w:r>
    </w:p>
    <w:p w14:paraId="129E6B84" w14:textId="697F9CD5" w:rsidR="006568C5" w:rsidRPr="00967AC5" w:rsidRDefault="006935E2" w:rsidP="00F23F65">
      <w:pPr>
        <w:pStyle w:val="ECCBulletsLv1"/>
      </w:pPr>
      <w:r w:rsidRPr="00967AC5">
        <w:rPr>
          <w:szCs w:val="20"/>
        </w:rPr>
        <w:t>“</w:t>
      </w:r>
      <w:r w:rsidR="006568C5" w:rsidRPr="00967AC5">
        <w:rPr>
          <w:i/>
        </w:rPr>
        <w:t>The results of CEPT Report 41 and ECC Report 266 for compatibility between LTE and LTE + Guard Band IoT and adjacent systems can be extended to the NR system operation in 900/1800 MHz MFCN bands</w:t>
      </w:r>
      <w:r w:rsidR="006568C5" w:rsidRPr="00967AC5">
        <w:rPr>
          <w:szCs w:val="20"/>
        </w:rPr>
        <w:t>.</w:t>
      </w:r>
      <w:r w:rsidRPr="00967AC5">
        <w:rPr>
          <w:szCs w:val="20"/>
        </w:rPr>
        <w:t>”</w:t>
      </w:r>
    </w:p>
    <w:p w14:paraId="628F6E35" w14:textId="5FB0788F" w:rsidR="006568C5" w:rsidRPr="00967AC5" w:rsidRDefault="006935E2" w:rsidP="00F23F65">
      <w:pPr>
        <w:pStyle w:val="ECCBulletsLv1"/>
      </w:pPr>
      <w:r w:rsidRPr="00967AC5">
        <w:rPr>
          <w:szCs w:val="20"/>
        </w:rPr>
        <w:t>“</w:t>
      </w:r>
      <w:r w:rsidR="006568C5" w:rsidRPr="00967AC5">
        <w:rPr>
          <w:i/>
        </w:rPr>
        <w:t>The co-existence between LTE 900 and GSM-R at 925 MHz was described in CEPT Report 41. CEPT Report 41 concludes that there is no need for additional guard band between LTE 900 and GSM-R, whatever the channelisation or bandwidth considered for LTE 900. Therefore, a frequency separation of 200 kHz between channel edges was considered to be sufficient for the compatibility between LTE 900 and GSM-R</w:t>
      </w:r>
      <w:r w:rsidR="006568C5" w:rsidRPr="00967AC5">
        <w:rPr>
          <w:i/>
          <w:iCs/>
          <w:szCs w:val="20"/>
        </w:rPr>
        <w:t>.</w:t>
      </w:r>
      <w:r w:rsidRPr="00967AC5">
        <w:rPr>
          <w:i/>
          <w:iCs/>
          <w:szCs w:val="20"/>
        </w:rPr>
        <w:t>”</w:t>
      </w:r>
    </w:p>
    <w:p w14:paraId="3383DD7E" w14:textId="100DF658" w:rsidR="006568C5" w:rsidRPr="00967AC5" w:rsidRDefault="006935E2" w:rsidP="00F23F65">
      <w:pPr>
        <w:pStyle w:val="ECCBulletsLv1"/>
      </w:pPr>
      <w:r w:rsidRPr="00967AC5">
        <w:rPr>
          <w:szCs w:val="20"/>
        </w:rPr>
        <w:t>“</w:t>
      </w:r>
      <w:r w:rsidR="006568C5" w:rsidRPr="00967AC5">
        <w:rPr>
          <w:i/>
        </w:rPr>
        <w:t>Given that the receiver characteristics of NR are similar to those of regular LTE receivers, it is expected that the behaviour of both receivers is the same. Therefore, the conditions of operation of NR are expected to be similar to those of LTE</w:t>
      </w:r>
      <w:r w:rsidR="006568C5" w:rsidRPr="00967AC5">
        <w:rPr>
          <w:i/>
          <w:iCs/>
          <w:szCs w:val="20"/>
        </w:rPr>
        <w:t>.</w:t>
      </w:r>
      <w:r w:rsidRPr="00967AC5">
        <w:rPr>
          <w:szCs w:val="20"/>
        </w:rPr>
        <w:t>”</w:t>
      </w:r>
    </w:p>
    <w:p w14:paraId="64D4F660" w14:textId="3FB2D635" w:rsidR="006568C5" w:rsidRPr="00967AC5" w:rsidRDefault="006568C5" w:rsidP="00F23F65">
      <w:pPr>
        <w:pStyle w:val="ECCParagraph"/>
        <w:rPr>
          <w:szCs w:val="20"/>
        </w:rPr>
      </w:pPr>
    </w:p>
    <w:p w14:paraId="58FCA547" w14:textId="5FD55F9C" w:rsidR="006568C5" w:rsidRPr="00967AC5" w:rsidRDefault="006568C5" w:rsidP="00F23F65">
      <w:pPr>
        <w:pStyle w:val="ECCParagraph"/>
        <w:rPr>
          <w:szCs w:val="20"/>
        </w:rPr>
      </w:pPr>
      <w:r w:rsidRPr="00967AC5">
        <w:rPr>
          <w:szCs w:val="20"/>
        </w:rPr>
        <w:t xml:space="preserve">ECC </w:t>
      </w:r>
      <w:r w:rsidR="00C92975" w:rsidRPr="00967AC5">
        <w:rPr>
          <w:szCs w:val="20"/>
        </w:rPr>
        <w:t>R</w:t>
      </w:r>
      <w:r w:rsidRPr="00967AC5">
        <w:rPr>
          <w:szCs w:val="20"/>
        </w:rPr>
        <w:t>eport 297 for 5G NR concluded that “</w:t>
      </w:r>
      <w:r w:rsidRPr="00967AC5">
        <w:rPr>
          <w:i/>
          <w:iCs/>
          <w:szCs w:val="20"/>
        </w:rPr>
        <w:t>no specific emission limits but recommendations on coordination, with the GSM-R in 876-880 / 921-925 MHz, are available in various ECC/CEPT Reports</w:t>
      </w:r>
      <w:r w:rsidRPr="00967AC5">
        <w:rPr>
          <w:szCs w:val="20"/>
        </w:rPr>
        <w:t xml:space="preserve">”. The above conclusion of CEPT </w:t>
      </w:r>
      <w:r w:rsidR="00533014" w:rsidRPr="00967AC5">
        <w:rPr>
          <w:szCs w:val="20"/>
        </w:rPr>
        <w:t>R</w:t>
      </w:r>
      <w:r w:rsidRPr="00967AC5">
        <w:rPr>
          <w:szCs w:val="20"/>
        </w:rPr>
        <w:t xml:space="preserve">eport 41 has been extended to 5G NR. </w:t>
      </w:r>
    </w:p>
    <w:p w14:paraId="6F5D7DEA" w14:textId="5FC927AF" w:rsidR="006568C5" w:rsidRPr="00967AC5" w:rsidRDefault="006568C5" w:rsidP="00F23F65">
      <w:pPr>
        <w:pStyle w:val="ECCParagraph"/>
        <w:rPr>
          <w:szCs w:val="20"/>
        </w:rPr>
      </w:pPr>
      <w:r w:rsidRPr="00967AC5">
        <w:rPr>
          <w:szCs w:val="20"/>
        </w:rPr>
        <w:t xml:space="preserve">ECC Report 297 </w:t>
      </w:r>
      <w:r w:rsidR="00C900B1" w:rsidRPr="00967AC5">
        <w:rPr>
          <w:szCs w:val="20"/>
        </w:rPr>
        <w:t xml:space="preserve">does </w:t>
      </w:r>
      <w:r w:rsidRPr="00967AC5">
        <w:rPr>
          <w:szCs w:val="20"/>
        </w:rPr>
        <w:t xml:space="preserve">not address FRMCS. </w:t>
      </w:r>
    </w:p>
    <w:p w14:paraId="69CA9DF1" w14:textId="3EA505B6" w:rsidR="006568C5" w:rsidRPr="00967AC5" w:rsidRDefault="006568C5" w:rsidP="00BB6D59">
      <w:pPr>
        <w:pStyle w:val="ECCParagraph"/>
        <w:rPr>
          <w:rStyle w:val="ECCHLbold"/>
          <w:b w:val="0"/>
          <w:u w:val="single"/>
        </w:rPr>
      </w:pPr>
      <w:r w:rsidRPr="00967AC5">
        <w:rPr>
          <w:rStyle w:val="ECCHLbold"/>
          <w:b w:val="0"/>
          <w:u w:val="single"/>
        </w:rPr>
        <w:t xml:space="preserve">ECC </w:t>
      </w:r>
      <w:r w:rsidR="00C92975" w:rsidRPr="00967AC5">
        <w:rPr>
          <w:rStyle w:val="ECCHLbold"/>
          <w:b w:val="0"/>
          <w:u w:val="single"/>
        </w:rPr>
        <w:t>R</w:t>
      </w:r>
      <w:r w:rsidRPr="00967AC5">
        <w:rPr>
          <w:rStyle w:val="ECCHLbold"/>
          <w:b w:val="0"/>
          <w:u w:val="single"/>
        </w:rPr>
        <w:t>eport 229 on GSM-R cab-radio receiver characteristics</w:t>
      </w:r>
      <w:r w:rsidR="00E479BC" w:rsidRPr="00967AC5">
        <w:rPr>
          <w:rStyle w:val="ECCHLbold"/>
          <w:b w:val="0"/>
          <w:u w:val="single"/>
        </w:rPr>
        <w:t xml:space="preserve"> </w:t>
      </w:r>
      <w:r w:rsidR="00E479BC" w:rsidRPr="00967AC5">
        <w:rPr>
          <w:rStyle w:val="ECCHLbold"/>
          <w:b w:val="0"/>
          <w:u w:val="single"/>
        </w:rPr>
        <w:fldChar w:fldCharType="begin"/>
      </w:r>
      <w:r w:rsidR="00E479BC" w:rsidRPr="00967AC5">
        <w:rPr>
          <w:rStyle w:val="ECCHLbold"/>
          <w:b w:val="0"/>
          <w:u w:val="single"/>
        </w:rPr>
        <w:instrText xml:space="preserve"> REF _Ref63337460 \r \h</w:instrText>
      </w:r>
      <w:r w:rsidR="00E479BC" w:rsidRPr="00967AC5">
        <w:rPr>
          <w:rStyle w:val="ECCHLbold"/>
          <w:b w:val="0"/>
          <w:bCs/>
          <w:szCs w:val="20"/>
          <w:u w:val="single"/>
        </w:rPr>
        <w:instrText xml:space="preserve"> </w:instrText>
      </w:r>
      <w:r w:rsidR="00C5337E" w:rsidRPr="00967AC5">
        <w:rPr>
          <w:rStyle w:val="ECCHLbold"/>
          <w:b w:val="0"/>
          <w:bCs/>
          <w:szCs w:val="20"/>
          <w:u w:val="single"/>
        </w:rPr>
        <w:instrText xml:space="preserve"> \* MERGEFORMAT</w:instrText>
      </w:r>
      <w:r w:rsidR="00C5337E" w:rsidRPr="00967AC5">
        <w:rPr>
          <w:rStyle w:val="ECCHLbold"/>
          <w:b w:val="0"/>
          <w:u w:val="single"/>
        </w:rPr>
        <w:instrText xml:space="preserve"> </w:instrText>
      </w:r>
      <w:r w:rsidR="00E479BC" w:rsidRPr="00967AC5">
        <w:rPr>
          <w:rStyle w:val="ECCHLbold"/>
          <w:b w:val="0"/>
          <w:u w:val="single"/>
        </w:rPr>
      </w:r>
      <w:r w:rsidR="00E479BC" w:rsidRPr="00967AC5">
        <w:rPr>
          <w:rStyle w:val="ECCHLbold"/>
          <w:b w:val="0"/>
          <w:u w:val="single"/>
        </w:rPr>
        <w:fldChar w:fldCharType="separate"/>
      </w:r>
      <w:r w:rsidR="00680BB5" w:rsidRPr="00967AC5">
        <w:rPr>
          <w:rStyle w:val="ECCHLbold"/>
          <w:b w:val="0"/>
          <w:u w:val="single"/>
        </w:rPr>
        <w:t>[6]</w:t>
      </w:r>
      <w:r w:rsidR="00E479BC" w:rsidRPr="00967AC5">
        <w:rPr>
          <w:rStyle w:val="ECCHLbold"/>
          <w:b w:val="0"/>
          <w:u w:val="single"/>
        </w:rPr>
        <w:fldChar w:fldCharType="end"/>
      </w:r>
      <w:r w:rsidR="00776B92" w:rsidRPr="00967AC5">
        <w:rPr>
          <w:rStyle w:val="ECCHLbold"/>
          <w:b w:val="0"/>
          <w:u w:val="single"/>
        </w:rPr>
        <w:t>:</w:t>
      </w:r>
    </w:p>
    <w:p w14:paraId="1D1A21E3" w14:textId="4980B795" w:rsidR="006568C5" w:rsidRPr="00967AC5" w:rsidRDefault="006568C5" w:rsidP="00BB6D59">
      <w:pPr>
        <w:pStyle w:val="ECCParagraph"/>
        <w:rPr>
          <w:szCs w:val="20"/>
        </w:rPr>
      </w:pPr>
      <w:r w:rsidRPr="00967AC5">
        <w:rPr>
          <w:szCs w:val="20"/>
        </w:rPr>
        <w:t xml:space="preserve">ECC </w:t>
      </w:r>
      <w:r w:rsidR="00C92975" w:rsidRPr="00967AC5">
        <w:rPr>
          <w:szCs w:val="20"/>
        </w:rPr>
        <w:t>R</w:t>
      </w:r>
      <w:r w:rsidRPr="00967AC5">
        <w:rPr>
          <w:szCs w:val="20"/>
        </w:rPr>
        <w:t>eport 229 mentions in its Executive Summary section that “</w:t>
      </w:r>
      <w:r w:rsidRPr="00967AC5">
        <w:rPr>
          <w:i/>
          <w:iCs/>
          <w:szCs w:val="20"/>
        </w:rPr>
        <w:t xml:space="preserve">Measurement campaigns performed during 2013-2014 concluded that current GSM-R receivers are affected by intermodulation products generated from a wideband signal such as UMTS/LTE, two narrowband signals such as GSM, or a combination of wideband and narrowband signals. Wideband signals can impact the whole GSM-R downlink frequency range. UMTS, LTE/5MHz and LTE/10MHz have similar interference potential. In order to sustainably mitigate interferences due to blocking and intermodulation, the standard for GSM-R radios has been improved with respect to the receiver characteristics and published in June 2014 as ETSI TS 102 933-1 v1.3.1 </w:t>
      </w:r>
      <w:r w:rsidR="00ED3F2A" w:rsidRPr="00967AC5">
        <w:rPr>
          <w:i/>
          <w:iCs/>
          <w:szCs w:val="20"/>
        </w:rPr>
        <w:fldChar w:fldCharType="begin"/>
      </w:r>
      <w:r w:rsidR="00ED3F2A" w:rsidRPr="00967AC5">
        <w:rPr>
          <w:i/>
          <w:iCs/>
          <w:szCs w:val="20"/>
        </w:rPr>
        <w:instrText xml:space="preserve"> REF _Ref63428628 \r \h </w:instrText>
      </w:r>
      <w:r w:rsidR="00D34BA1" w:rsidRPr="00967AC5">
        <w:rPr>
          <w:i/>
          <w:iCs/>
          <w:szCs w:val="20"/>
        </w:rPr>
        <w:instrText xml:space="preserve"> \* MERGEFORMAT </w:instrText>
      </w:r>
      <w:r w:rsidR="00ED3F2A" w:rsidRPr="00967AC5">
        <w:rPr>
          <w:i/>
          <w:iCs/>
          <w:szCs w:val="20"/>
        </w:rPr>
      </w:r>
      <w:r w:rsidR="00ED3F2A" w:rsidRPr="00967AC5">
        <w:rPr>
          <w:i/>
          <w:iCs/>
          <w:szCs w:val="20"/>
        </w:rPr>
        <w:fldChar w:fldCharType="separate"/>
      </w:r>
      <w:r w:rsidR="00680BB5" w:rsidRPr="00967AC5">
        <w:rPr>
          <w:i/>
          <w:iCs/>
          <w:szCs w:val="20"/>
        </w:rPr>
        <w:t>[37]</w:t>
      </w:r>
      <w:r w:rsidR="00ED3F2A" w:rsidRPr="00967AC5">
        <w:rPr>
          <w:i/>
          <w:iCs/>
          <w:szCs w:val="20"/>
        </w:rPr>
        <w:fldChar w:fldCharType="end"/>
      </w:r>
      <w:r w:rsidRPr="00967AC5">
        <w:rPr>
          <w:i/>
          <w:iCs/>
          <w:szCs w:val="20"/>
        </w:rPr>
        <w:t>. GSM-R radios compliant with this new specification are robust against MFCN emissions in the E-GSM band</w:t>
      </w:r>
      <w:r w:rsidRPr="00967AC5">
        <w:rPr>
          <w:szCs w:val="20"/>
        </w:rPr>
        <w:t>.</w:t>
      </w:r>
      <w:r w:rsidR="00D34BA1" w:rsidRPr="00967AC5">
        <w:rPr>
          <w:szCs w:val="20"/>
        </w:rPr>
        <w:t>”</w:t>
      </w:r>
    </w:p>
    <w:p w14:paraId="40A7A928" w14:textId="7E27E93C" w:rsidR="001526BB" w:rsidRPr="00967AC5" w:rsidRDefault="006568C5" w:rsidP="00B354BF">
      <w:pPr>
        <w:pStyle w:val="ECCParagraph"/>
        <w:rPr>
          <w:iCs/>
          <w:szCs w:val="20"/>
        </w:rPr>
      </w:pPr>
      <w:r w:rsidRPr="00967AC5">
        <w:rPr>
          <w:iCs/>
          <w:szCs w:val="20"/>
        </w:rPr>
        <w:t xml:space="preserve">ECC </w:t>
      </w:r>
      <w:r w:rsidR="00C92975" w:rsidRPr="00967AC5">
        <w:rPr>
          <w:iCs/>
          <w:szCs w:val="20"/>
        </w:rPr>
        <w:t>R</w:t>
      </w:r>
      <w:r w:rsidRPr="00967AC5">
        <w:rPr>
          <w:iCs/>
          <w:szCs w:val="20"/>
        </w:rPr>
        <w:t>eport 229 also mentions in the same section that:</w:t>
      </w:r>
      <w:r w:rsidR="00E30151" w:rsidRPr="00967AC5">
        <w:rPr>
          <w:iCs/>
          <w:szCs w:val="20"/>
        </w:rPr>
        <w:t xml:space="preserve"> </w:t>
      </w:r>
      <w:r w:rsidR="00E30151" w:rsidRPr="00967AC5">
        <w:rPr>
          <w:szCs w:val="20"/>
        </w:rPr>
        <w:t>“</w:t>
      </w:r>
      <w:r w:rsidR="001526BB" w:rsidRPr="00967AC5">
        <w:rPr>
          <w:i/>
          <w:szCs w:val="20"/>
        </w:rPr>
        <w:t xml:space="preserve">Before and during the transition period, the coordination/cooperation process is intended to avoid/mitigate issues related to intermodulation or blocking. Nevertheless, improved receivers may still be impacted by MFCN out-of-band emissions falling into the receiving band of the GSM-R radio. Thus the process is also intended to prevent interference from MFCN </w:t>
      </w:r>
      <w:r w:rsidR="00964332" w:rsidRPr="00967AC5">
        <w:rPr>
          <w:i/>
          <w:szCs w:val="20"/>
        </w:rPr>
        <w:t xml:space="preserve">out-of-band </w:t>
      </w:r>
      <w:r w:rsidR="001526BB" w:rsidRPr="00967AC5">
        <w:rPr>
          <w:i/>
          <w:szCs w:val="20"/>
        </w:rPr>
        <w:t>emissions before, during and after the transition period. Visibility and exchange of information between the stakeholders shall remain after the transition period to prevent any further issues.</w:t>
      </w:r>
      <w:r w:rsidR="00D34BA1" w:rsidRPr="00967AC5">
        <w:rPr>
          <w:szCs w:val="20"/>
        </w:rPr>
        <w:t>”</w:t>
      </w:r>
    </w:p>
    <w:p w14:paraId="7CA96830" w14:textId="5C2B9523" w:rsidR="006568C5" w:rsidRPr="00967AC5" w:rsidRDefault="006568C5" w:rsidP="00BB6D59">
      <w:pPr>
        <w:pStyle w:val="ECCParagraph"/>
        <w:rPr>
          <w:rStyle w:val="ECCHLbold"/>
          <w:szCs w:val="20"/>
        </w:rPr>
      </w:pPr>
      <w:r w:rsidRPr="00967AC5">
        <w:rPr>
          <w:rStyle w:val="ECCHLbold"/>
          <w:b w:val="0"/>
          <w:u w:val="single"/>
        </w:rPr>
        <w:t>Conclusion</w:t>
      </w:r>
      <w:r w:rsidRPr="00967AC5">
        <w:rPr>
          <w:rStyle w:val="ECCHLbold"/>
          <w:szCs w:val="20"/>
        </w:rPr>
        <w:t>:</w:t>
      </w:r>
    </w:p>
    <w:p w14:paraId="21D97567" w14:textId="68155F27" w:rsidR="006568C5" w:rsidRPr="00967AC5" w:rsidRDefault="006568C5" w:rsidP="00BB6D59">
      <w:pPr>
        <w:pStyle w:val="ECCParagraph"/>
        <w:rPr>
          <w:szCs w:val="20"/>
        </w:rPr>
      </w:pPr>
      <w:r w:rsidRPr="00967AC5">
        <w:rPr>
          <w:szCs w:val="20"/>
        </w:rPr>
        <w:t xml:space="preserve">The conclusions of the above reports (CEPT </w:t>
      </w:r>
      <w:r w:rsidR="00C92975" w:rsidRPr="00967AC5">
        <w:rPr>
          <w:szCs w:val="20"/>
        </w:rPr>
        <w:t>R</w:t>
      </w:r>
      <w:r w:rsidRPr="00967AC5">
        <w:rPr>
          <w:szCs w:val="20"/>
        </w:rPr>
        <w:t xml:space="preserve">eport 41, ECC </w:t>
      </w:r>
      <w:r w:rsidR="00C92975" w:rsidRPr="00967AC5">
        <w:rPr>
          <w:szCs w:val="20"/>
        </w:rPr>
        <w:t>R</w:t>
      </w:r>
      <w:r w:rsidRPr="00967AC5">
        <w:rPr>
          <w:szCs w:val="20"/>
        </w:rPr>
        <w:t xml:space="preserve">eport 266/CEPT </w:t>
      </w:r>
      <w:r w:rsidR="00C92975" w:rsidRPr="00967AC5">
        <w:rPr>
          <w:szCs w:val="20"/>
        </w:rPr>
        <w:t>R</w:t>
      </w:r>
      <w:r w:rsidRPr="00967AC5">
        <w:rPr>
          <w:szCs w:val="20"/>
        </w:rPr>
        <w:t xml:space="preserve">eport 66, ECC </w:t>
      </w:r>
      <w:r w:rsidR="00C92975" w:rsidRPr="00967AC5">
        <w:rPr>
          <w:szCs w:val="20"/>
        </w:rPr>
        <w:t>R</w:t>
      </w:r>
      <w:r w:rsidRPr="00967AC5">
        <w:rPr>
          <w:szCs w:val="20"/>
        </w:rPr>
        <w:t xml:space="preserve">eport 297 and ECC </w:t>
      </w:r>
      <w:r w:rsidR="00C92975" w:rsidRPr="00967AC5">
        <w:rPr>
          <w:szCs w:val="20"/>
        </w:rPr>
        <w:t>R</w:t>
      </w:r>
      <w:r w:rsidRPr="00967AC5">
        <w:rPr>
          <w:szCs w:val="20"/>
        </w:rPr>
        <w:t xml:space="preserve">eport 229) remain valid and coexistence between </w:t>
      </w:r>
      <w:r w:rsidRPr="00967AC5">
        <w:t>GSM-R/E-</w:t>
      </w:r>
      <w:r w:rsidRPr="00967AC5">
        <w:rPr>
          <w:szCs w:val="20"/>
        </w:rPr>
        <w:t>GSM</w:t>
      </w:r>
      <w:r w:rsidR="00F02E1F" w:rsidRPr="00967AC5">
        <w:rPr>
          <w:szCs w:val="20"/>
        </w:rPr>
        <w:t>-</w:t>
      </w:r>
      <w:r w:rsidRPr="00967AC5">
        <w:rPr>
          <w:szCs w:val="20"/>
        </w:rPr>
        <w:t xml:space="preserve">R and MFCN </w:t>
      </w:r>
      <w:r w:rsidRPr="00967AC5">
        <w:rPr>
          <w:rFonts w:cs="Arial"/>
          <w:bCs/>
          <w:szCs w:val="20"/>
        </w:rPr>
        <w:t>(NB and WB) non-AAS systems complying with the technology</w:t>
      </w:r>
      <w:r w:rsidR="00F91806" w:rsidRPr="00967AC5">
        <w:rPr>
          <w:rFonts w:cs="Arial"/>
          <w:bCs/>
          <w:szCs w:val="20"/>
        </w:rPr>
        <w:t xml:space="preserve"> </w:t>
      </w:r>
      <w:r w:rsidRPr="00967AC5">
        <w:rPr>
          <w:rFonts w:cs="Arial"/>
          <w:bCs/>
          <w:szCs w:val="20"/>
        </w:rPr>
        <w:t xml:space="preserve">neutral </w:t>
      </w:r>
      <w:r w:rsidRPr="00967AC5">
        <w:t xml:space="preserve">LRTCs (defined in section </w:t>
      </w:r>
      <w:r w:rsidR="006949F2" w:rsidRPr="00967AC5">
        <w:fldChar w:fldCharType="begin"/>
      </w:r>
      <w:r w:rsidR="006949F2" w:rsidRPr="00967AC5">
        <w:rPr>
          <w:rFonts w:cs="Arial"/>
          <w:bCs/>
          <w:szCs w:val="20"/>
        </w:rPr>
        <w:instrText xml:space="preserve"> REF _Ref60765096 \r \h </w:instrText>
      </w:r>
      <w:r w:rsidR="001C7C80" w:rsidRPr="00967AC5">
        <w:rPr>
          <w:rFonts w:cs="Arial"/>
          <w:bCs/>
          <w:szCs w:val="20"/>
        </w:rPr>
        <w:instrText xml:space="preserve"> \* MERGEFORMAT </w:instrText>
      </w:r>
      <w:r w:rsidR="006949F2" w:rsidRPr="00967AC5">
        <w:fldChar w:fldCharType="separate"/>
      </w:r>
      <w:r w:rsidR="00680BB5" w:rsidRPr="00967AC5">
        <w:rPr>
          <w:rFonts w:cs="Arial"/>
          <w:bCs/>
          <w:szCs w:val="20"/>
        </w:rPr>
        <w:t>3.4</w:t>
      </w:r>
      <w:r w:rsidR="006949F2" w:rsidRPr="00967AC5">
        <w:fldChar w:fldCharType="end"/>
      </w:r>
      <w:r w:rsidRPr="00967AC5">
        <w:t>) is</w:t>
      </w:r>
      <w:r w:rsidRPr="00967AC5">
        <w:rPr>
          <w:szCs w:val="20"/>
        </w:rPr>
        <w:t xml:space="preserve"> ensured as long as:</w:t>
      </w:r>
    </w:p>
    <w:p w14:paraId="10C9FDBB" w14:textId="26100DA5" w:rsidR="006568C5" w:rsidRPr="00967AC5" w:rsidRDefault="006568C5" w:rsidP="00BB6D59">
      <w:pPr>
        <w:pStyle w:val="ECCBulletsLv1"/>
        <w:rPr>
          <w:b/>
          <w:bCs/>
          <w:szCs w:val="20"/>
        </w:rPr>
      </w:pPr>
      <w:r w:rsidRPr="00967AC5">
        <w:rPr>
          <w:szCs w:val="20"/>
        </w:rPr>
        <w:t>Frequency separation between the nearest GSM-R channel edge and MFCN (WB or NB) channel edge is at least 200 kHz</w:t>
      </w:r>
      <w:r w:rsidR="008663A1" w:rsidRPr="00967AC5">
        <w:rPr>
          <w:szCs w:val="20"/>
        </w:rPr>
        <w:t>;</w:t>
      </w:r>
      <w:r w:rsidRPr="00967AC5">
        <w:rPr>
          <w:szCs w:val="20"/>
        </w:rPr>
        <w:t xml:space="preserve"> </w:t>
      </w:r>
    </w:p>
    <w:p w14:paraId="3017A3D6" w14:textId="183F3929" w:rsidR="006568C5" w:rsidRPr="00967AC5" w:rsidRDefault="006568C5" w:rsidP="00BB6D59">
      <w:pPr>
        <w:pStyle w:val="ECCBulletsLv1"/>
        <w:rPr>
          <w:b/>
          <w:bCs/>
          <w:szCs w:val="20"/>
        </w:rPr>
      </w:pPr>
      <w:r w:rsidRPr="00967AC5">
        <w:rPr>
          <w:szCs w:val="20"/>
        </w:rPr>
        <w:t xml:space="preserve">This frequency separation should be managed at national level. For example, the same toolbox approach as for MFCN/MFCN frequency separation implementation at national level could be reused (see section </w:t>
      </w:r>
      <w:r w:rsidR="00F75F2A" w:rsidRPr="00967AC5">
        <w:fldChar w:fldCharType="begin"/>
      </w:r>
      <w:r w:rsidR="00F75F2A" w:rsidRPr="00967AC5">
        <w:rPr>
          <w:szCs w:val="20"/>
        </w:rPr>
        <w:instrText xml:space="preserve"> REF _Ref60765122 \r \h </w:instrText>
      </w:r>
      <w:r w:rsidR="001C7C80" w:rsidRPr="00967AC5">
        <w:rPr>
          <w:szCs w:val="20"/>
        </w:rPr>
        <w:instrText xml:space="preserve"> \* MERGEFORMAT </w:instrText>
      </w:r>
      <w:r w:rsidR="00F75F2A" w:rsidRPr="00967AC5">
        <w:fldChar w:fldCharType="separate"/>
      </w:r>
      <w:r w:rsidR="00680BB5" w:rsidRPr="00967AC5">
        <w:rPr>
          <w:szCs w:val="20"/>
        </w:rPr>
        <w:t>3.4.5.3</w:t>
      </w:r>
      <w:r w:rsidR="00F75F2A" w:rsidRPr="00967AC5">
        <w:fldChar w:fldCharType="end"/>
      </w:r>
      <w:r w:rsidRPr="00967AC5">
        <w:rPr>
          <w:szCs w:val="20"/>
        </w:rPr>
        <w:t>) for implementation at national level of frequency separation between RMR and MFCN</w:t>
      </w:r>
      <w:r w:rsidR="008663A1" w:rsidRPr="00967AC5">
        <w:rPr>
          <w:szCs w:val="20"/>
        </w:rPr>
        <w:t>;</w:t>
      </w:r>
    </w:p>
    <w:p w14:paraId="15F5055D" w14:textId="086F73E7" w:rsidR="006568C5" w:rsidRPr="00967AC5" w:rsidRDefault="006568C5" w:rsidP="00BB6D59">
      <w:pPr>
        <w:pStyle w:val="ECCBulletsLv1"/>
        <w:rPr>
          <w:b/>
          <w:bCs/>
          <w:szCs w:val="20"/>
        </w:rPr>
      </w:pPr>
      <w:r w:rsidRPr="00967AC5">
        <w:rPr>
          <w:szCs w:val="20"/>
        </w:rPr>
        <w:lastRenderedPageBreak/>
        <w:t xml:space="preserve">Before and during the transition period until GSM-R receivers are compliant with ETSI TS 102 933-1 v1.3.1, a coordination/cooperation process is intended to avoid/mitigate issues related to intermodulation or blocking (see ECC </w:t>
      </w:r>
      <w:r w:rsidR="00C92975" w:rsidRPr="00967AC5">
        <w:rPr>
          <w:szCs w:val="20"/>
        </w:rPr>
        <w:t>R</w:t>
      </w:r>
      <w:r w:rsidRPr="00967AC5">
        <w:rPr>
          <w:szCs w:val="20"/>
        </w:rPr>
        <w:t>eport 229)</w:t>
      </w:r>
      <w:r w:rsidR="00F75F2A" w:rsidRPr="00967AC5">
        <w:rPr>
          <w:szCs w:val="20"/>
        </w:rPr>
        <w:t>.</w:t>
      </w:r>
    </w:p>
    <w:p w14:paraId="73DB723C" w14:textId="7D0C6C8A" w:rsidR="006568C5" w:rsidRPr="00967AC5" w:rsidRDefault="006568C5" w:rsidP="00C6101E">
      <w:pPr>
        <w:pStyle w:val="ECCParagraph"/>
        <w:spacing w:before="240"/>
        <w:rPr>
          <w:szCs w:val="20"/>
        </w:rPr>
      </w:pPr>
      <w:r w:rsidRPr="00967AC5">
        <w:rPr>
          <w:szCs w:val="20"/>
        </w:rPr>
        <w:t>The proposed coexistence measures above to be implemented at national level do not impact the MFCN LRTC</w:t>
      </w:r>
      <w:r w:rsidRPr="00967AC5">
        <w:t>s, ETS</w:t>
      </w:r>
      <w:r w:rsidRPr="00967AC5">
        <w:rPr>
          <w:szCs w:val="20"/>
        </w:rPr>
        <w:t>I standards or the single market objective.</w:t>
      </w:r>
    </w:p>
    <w:p w14:paraId="2A7A434E" w14:textId="7E52DA91" w:rsidR="006568C5" w:rsidRPr="00967AC5" w:rsidRDefault="002C37EB" w:rsidP="00BB6D59">
      <w:pPr>
        <w:pStyle w:val="ECCParagraph"/>
        <w:rPr>
          <w:color w:val="000000"/>
          <w:szCs w:val="20"/>
          <w:lang w:eastAsia="fr-FR"/>
        </w:rPr>
      </w:pPr>
      <w:r w:rsidRPr="00967AC5">
        <w:rPr>
          <w:color w:val="000000"/>
          <w:szCs w:val="20"/>
          <w:lang w:eastAsia="fr-FR"/>
        </w:rPr>
        <w:t>Below 925 MHz: On case</w:t>
      </w:r>
      <w:r w:rsidR="0059212D" w:rsidRPr="00967AC5">
        <w:rPr>
          <w:color w:val="000000"/>
          <w:szCs w:val="20"/>
          <w:lang w:eastAsia="fr-FR"/>
        </w:rPr>
        <w:t>-</w:t>
      </w:r>
      <w:r w:rsidRPr="00967AC5">
        <w:rPr>
          <w:color w:val="000000"/>
          <w:szCs w:val="20"/>
          <w:lang w:eastAsia="fr-FR"/>
        </w:rPr>
        <w:t>by</w:t>
      </w:r>
      <w:r w:rsidR="0059212D" w:rsidRPr="00967AC5">
        <w:rPr>
          <w:color w:val="000000"/>
          <w:szCs w:val="20"/>
          <w:lang w:eastAsia="fr-FR"/>
        </w:rPr>
        <w:t>-</w:t>
      </w:r>
      <w:r w:rsidRPr="00967AC5">
        <w:rPr>
          <w:color w:val="000000"/>
          <w:szCs w:val="20"/>
          <w:lang w:eastAsia="fr-FR"/>
        </w:rPr>
        <w:t xml:space="preserve">case basis, at national level, higher out-of-band limits may be applied. This is to align with railway technical conditions in CEPT </w:t>
      </w:r>
      <w:r w:rsidR="00C92975" w:rsidRPr="00967AC5">
        <w:rPr>
          <w:color w:val="000000"/>
          <w:szCs w:val="20"/>
          <w:lang w:eastAsia="fr-FR"/>
        </w:rPr>
        <w:t>R</w:t>
      </w:r>
      <w:r w:rsidRPr="00967AC5">
        <w:rPr>
          <w:color w:val="000000"/>
          <w:szCs w:val="20"/>
          <w:lang w:eastAsia="fr-FR"/>
        </w:rPr>
        <w:t>eport 76 and ECC Dec</w:t>
      </w:r>
      <w:r w:rsidR="00BE1F3C" w:rsidRPr="00967AC5">
        <w:rPr>
          <w:color w:val="000000"/>
          <w:szCs w:val="20"/>
          <w:lang w:eastAsia="fr-FR"/>
        </w:rPr>
        <w:t>ision</w:t>
      </w:r>
      <w:r w:rsidRPr="00967AC5">
        <w:rPr>
          <w:color w:val="000000"/>
          <w:szCs w:val="20"/>
          <w:lang w:eastAsia="fr-FR"/>
        </w:rPr>
        <w:t xml:space="preserve"> (20)02</w:t>
      </w:r>
      <w:r w:rsidR="00BE1F3C" w:rsidRPr="00967AC5">
        <w:rPr>
          <w:color w:val="000000"/>
          <w:szCs w:val="20"/>
          <w:lang w:eastAsia="fr-FR"/>
        </w:rPr>
        <w:t xml:space="preserve"> </w:t>
      </w:r>
      <w:r w:rsidR="00BE1F3C" w:rsidRPr="00967AC5">
        <w:rPr>
          <w:color w:val="000000"/>
          <w:szCs w:val="20"/>
          <w:lang w:eastAsia="fr-FR"/>
        </w:rPr>
        <w:fldChar w:fldCharType="begin"/>
      </w:r>
      <w:r w:rsidR="00BE1F3C" w:rsidRPr="00967AC5">
        <w:rPr>
          <w:color w:val="000000"/>
          <w:szCs w:val="20"/>
          <w:lang w:eastAsia="fr-FR"/>
        </w:rPr>
        <w:instrText xml:space="preserve"> REF _Ref63428217 \r \h </w:instrText>
      </w:r>
      <w:r w:rsidR="002505BC" w:rsidRPr="00967AC5">
        <w:rPr>
          <w:color w:val="000000"/>
          <w:szCs w:val="20"/>
          <w:lang w:eastAsia="fr-FR"/>
        </w:rPr>
        <w:instrText xml:space="preserve"> \* MERGEFORMAT </w:instrText>
      </w:r>
      <w:r w:rsidR="00BE1F3C" w:rsidRPr="00967AC5">
        <w:rPr>
          <w:color w:val="000000"/>
          <w:szCs w:val="20"/>
          <w:lang w:eastAsia="fr-FR"/>
        </w:rPr>
      </w:r>
      <w:r w:rsidR="00BE1F3C" w:rsidRPr="00967AC5">
        <w:rPr>
          <w:color w:val="000000"/>
          <w:szCs w:val="20"/>
          <w:lang w:eastAsia="fr-FR"/>
        </w:rPr>
        <w:fldChar w:fldCharType="separate"/>
      </w:r>
      <w:r w:rsidR="00680BB5" w:rsidRPr="00967AC5">
        <w:rPr>
          <w:color w:val="000000"/>
          <w:szCs w:val="20"/>
          <w:lang w:eastAsia="fr-FR"/>
        </w:rPr>
        <w:t>[34]</w:t>
      </w:r>
      <w:r w:rsidR="00BE1F3C" w:rsidRPr="00967AC5">
        <w:rPr>
          <w:color w:val="000000"/>
          <w:szCs w:val="20"/>
          <w:lang w:eastAsia="fr-FR"/>
        </w:rPr>
        <w:fldChar w:fldCharType="end"/>
      </w:r>
      <w:r w:rsidRPr="00967AC5">
        <w:rPr>
          <w:color w:val="000000"/>
          <w:szCs w:val="20"/>
          <w:lang w:eastAsia="fr-FR"/>
        </w:rPr>
        <w:t>.</w:t>
      </w:r>
    </w:p>
    <w:p w14:paraId="31A2E2F2" w14:textId="77777777" w:rsidR="006568C5" w:rsidRPr="00967AC5" w:rsidRDefault="006568C5" w:rsidP="006568C5">
      <w:pPr>
        <w:pStyle w:val="Heading5"/>
        <w:rPr>
          <w:i w:val="0"/>
          <w:lang w:val="en-GB"/>
        </w:rPr>
      </w:pPr>
      <w:r w:rsidRPr="00967AC5">
        <w:rPr>
          <w:lang w:val="en-GB"/>
        </w:rPr>
        <w:t>FRMCS</w:t>
      </w:r>
    </w:p>
    <w:p w14:paraId="71700F4E" w14:textId="28108740" w:rsidR="006568C5" w:rsidRPr="00967AC5" w:rsidRDefault="006568C5" w:rsidP="00BB6D59">
      <w:pPr>
        <w:pStyle w:val="ECCParagraph"/>
        <w:rPr>
          <w:rFonts w:cs="Arial"/>
          <w:szCs w:val="20"/>
        </w:rPr>
      </w:pPr>
      <w:r w:rsidRPr="00967AC5">
        <w:rPr>
          <w:rFonts w:cs="Arial"/>
          <w:szCs w:val="20"/>
        </w:rPr>
        <w:t xml:space="preserve">In order to avoid any new studies CEPT reused existing relevant CEPT/ECC deliverables, which are briefly </w:t>
      </w:r>
      <w:r w:rsidR="00BE1F3C" w:rsidRPr="00967AC5">
        <w:rPr>
          <w:rFonts w:cs="Arial"/>
          <w:szCs w:val="20"/>
        </w:rPr>
        <w:t xml:space="preserve">summarised </w:t>
      </w:r>
      <w:r w:rsidRPr="00967AC5">
        <w:rPr>
          <w:rFonts w:cs="Arial"/>
          <w:szCs w:val="20"/>
        </w:rPr>
        <w:t>hereafter:</w:t>
      </w:r>
    </w:p>
    <w:p w14:paraId="5E25C383" w14:textId="0C5A026F" w:rsidR="006568C5" w:rsidRPr="00967AC5" w:rsidRDefault="006568C5" w:rsidP="00BB6D59">
      <w:pPr>
        <w:pStyle w:val="ECCParagraph"/>
        <w:rPr>
          <w:rFonts w:cs="Arial"/>
          <w:i/>
          <w:iCs/>
          <w:szCs w:val="20"/>
        </w:rPr>
      </w:pPr>
      <w:r w:rsidRPr="00967AC5">
        <w:rPr>
          <w:rFonts w:cs="Arial"/>
          <w:szCs w:val="20"/>
        </w:rPr>
        <w:t xml:space="preserve">CEPT </w:t>
      </w:r>
      <w:r w:rsidR="00C92975" w:rsidRPr="00967AC5">
        <w:rPr>
          <w:rFonts w:cs="Arial"/>
          <w:szCs w:val="20"/>
        </w:rPr>
        <w:t>R</w:t>
      </w:r>
      <w:r w:rsidRPr="00967AC5">
        <w:rPr>
          <w:rFonts w:cs="Arial"/>
          <w:szCs w:val="20"/>
        </w:rPr>
        <w:t>eport 74</w:t>
      </w:r>
      <w:r w:rsidR="00BE1F3C" w:rsidRPr="00967AC5">
        <w:rPr>
          <w:rFonts w:cs="Arial"/>
          <w:szCs w:val="20"/>
        </w:rPr>
        <w:t xml:space="preserve"> </w:t>
      </w:r>
      <w:r w:rsidR="00BE1F3C" w:rsidRPr="00967AC5">
        <w:rPr>
          <w:rFonts w:cs="Arial"/>
          <w:szCs w:val="20"/>
        </w:rPr>
        <w:fldChar w:fldCharType="begin"/>
      </w:r>
      <w:r w:rsidR="00BE1F3C" w:rsidRPr="00967AC5">
        <w:rPr>
          <w:rFonts w:cs="Arial"/>
          <w:szCs w:val="20"/>
        </w:rPr>
        <w:instrText xml:space="preserve"> REF _Ref63428739 \r \h </w:instrText>
      </w:r>
      <w:r w:rsidR="002505BC" w:rsidRPr="00967AC5">
        <w:rPr>
          <w:rFonts w:cs="Arial"/>
          <w:szCs w:val="20"/>
        </w:rPr>
        <w:instrText xml:space="preserve"> \* MERGEFORMAT </w:instrText>
      </w:r>
      <w:r w:rsidR="00BE1F3C" w:rsidRPr="00967AC5">
        <w:rPr>
          <w:rFonts w:cs="Arial"/>
          <w:szCs w:val="20"/>
        </w:rPr>
      </w:r>
      <w:r w:rsidR="00BE1F3C" w:rsidRPr="00967AC5">
        <w:rPr>
          <w:rFonts w:cs="Arial"/>
          <w:szCs w:val="20"/>
        </w:rPr>
        <w:fldChar w:fldCharType="separate"/>
      </w:r>
      <w:r w:rsidR="00680BB5" w:rsidRPr="00967AC5">
        <w:rPr>
          <w:rFonts w:cs="Arial"/>
          <w:szCs w:val="20"/>
        </w:rPr>
        <w:t>[37]</w:t>
      </w:r>
      <w:r w:rsidR="00BE1F3C" w:rsidRPr="00967AC5">
        <w:rPr>
          <w:rFonts w:cs="Arial"/>
          <w:szCs w:val="20"/>
        </w:rPr>
        <w:fldChar w:fldCharType="end"/>
      </w:r>
      <w:r w:rsidRPr="00967AC5">
        <w:rPr>
          <w:rFonts w:cs="Arial"/>
          <w:szCs w:val="20"/>
        </w:rPr>
        <w:t xml:space="preserve">, concluded in its section 4.2.1.1, that </w:t>
      </w:r>
      <w:r w:rsidR="00EB3965" w:rsidRPr="00967AC5">
        <w:rPr>
          <w:rFonts w:cs="Arial"/>
          <w:szCs w:val="20"/>
        </w:rPr>
        <w:t>“</w:t>
      </w:r>
      <w:r w:rsidRPr="00967AC5">
        <w:rPr>
          <w:rFonts w:cs="Arial"/>
          <w:i/>
          <w:iCs/>
          <w:szCs w:val="20"/>
        </w:rPr>
        <w:t xml:space="preserve">CEPT noted that a 200 kHz frequency separation is required between networks adjacent in frequency in the following cases: GSM vs. WB (i.e. UMTS, LTE or NR), NB-IoT vs. WB and GSM vs. NB-IoT. This issue needs to be further addressed by regulatory measures at national level, consistently with the relevant RMR and MFCN harmonised technical </w:t>
      </w:r>
      <w:r w:rsidR="00D34BA1" w:rsidRPr="00967AC5">
        <w:rPr>
          <w:rFonts w:cs="Arial"/>
          <w:i/>
          <w:iCs/>
          <w:szCs w:val="20"/>
        </w:rPr>
        <w:t>conditions</w:t>
      </w:r>
      <w:r w:rsidR="009A41C2" w:rsidRPr="00967AC5">
        <w:rPr>
          <w:rFonts w:cs="Arial"/>
          <w:i/>
          <w:iCs/>
          <w:szCs w:val="20"/>
        </w:rPr>
        <w:t>.</w:t>
      </w:r>
      <w:r w:rsidR="00D34BA1" w:rsidRPr="00967AC5">
        <w:rPr>
          <w:rFonts w:cs="Arial"/>
          <w:i/>
          <w:iCs/>
          <w:szCs w:val="20"/>
        </w:rPr>
        <w:t xml:space="preserve">” </w:t>
      </w:r>
    </w:p>
    <w:p w14:paraId="69CA57BF" w14:textId="352D1D89" w:rsidR="006568C5" w:rsidRPr="00967AC5" w:rsidRDefault="006568C5" w:rsidP="00BB6D59">
      <w:pPr>
        <w:pStyle w:val="ECCParagraph"/>
        <w:rPr>
          <w:rFonts w:cs="Arial"/>
          <w:i/>
          <w:iCs/>
          <w:szCs w:val="20"/>
        </w:rPr>
      </w:pPr>
      <w:r w:rsidRPr="00967AC5">
        <w:rPr>
          <w:rFonts w:cs="Arial"/>
          <w:szCs w:val="20"/>
        </w:rPr>
        <w:t xml:space="preserve">This </w:t>
      </w:r>
      <w:r w:rsidR="00C92975" w:rsidRPr="00967AC5">
        <w:rPr>
          <w:rFonts w:cs="Arial"/>
          <w:szCs w:val="20"/>
        </w:rPr>
        <w:t>R</w:t>
      </w:r>
      <w:r w:rsidRPr="00967AC5">
        <w:rPr>
          <w:rFonts w:cs="Arial"/>
          <w:szCs w:val="20"/>
        </w:rPr>
        <w:t xml:space="preserve">eport also highlighted in its introduction that </w:t>
      </w:r>
      <w:r w:rsidR="00EB3965" w:rsidRPr="00967AC5">
        <w:rPr>
          <w:rFonts w:cs="Arial"/>
          <w:szCs w:val="20"/>
        </w:rPr>
        <w:t>“</w:t>
      </w:r>
      <w:r w:rsidRPr="00967AC5">
        <w:rPr>
          <w:rFonts w:cs="Arial"/>
          <w:i/>
          <w:iCs/>
          <w:szCs w:val="20"/>
        </w:rPr>
        <w:t>only non-AAS FRMCS and ECS have been considered. Additional studies should be performed in case AAS are considered for FRMCS deployments.</w:t>
      </w:r>
      <w:r w:rsidR="00EB3965" w:rsidRPr="00967AC5">
        <w:rPr>
          <w:rFonts w:cs="Arial"/>
          <w:i/>
          <w:iCs/>
          <w:szCs w:val="20"/>
        </w:rPr>
        <w:t>”</w:t>
      </w:r>
    </w:p>
    <w:p w14:paraId="12952E74" w14:textId="086D343D" w:rsidR="006568C5" w:rsidRPr="00967AC5" w:rsidRDefault="006568C5" w:rsidP="00BB6D59">
      <w:pPr>
        <w:pStyle w:val="ECCParagraph"/>
        <w:rPr>
          <w:rFonts w:cs="Arial"/>
          <w:i/>
          <w:iCs/>
          <w:szCs w:val="20"/>
        </w:rPr>
      </w:pPr>
      <w:r w:rsidRPr="00967AC5">
        <w:rPr>
          <w:rFonts w:cs="Arial"/>
          <w:szCs w:val="20"/>
        </w:rPr>
        <w:t xml:space="preserve">CEPT </w:t>
      </w:r>
      <w:r w:rsidR="00C92975" w:rsidRPr="00967AC5">
        <w:rPr>
          <w:rFonts w:cs="Arial"/>
          <w:szCs w:val="20"/>
        </w:rPr>
        <w:t>R</w:t>
      </w:r>
      <w:r w:rsidRPr="00967AC5">
        <w:rPr>
          <w:rFonts w:cs="Arial"/>
          <w:szCs w:val="20"/>
        </w:rPr>
        <w:t xml:space="preserve">eport 76 </w:t>
      </w:r>
      <w:r w:rsidR="00BE1F3C" w:rsidRPr="00967AC5">
        <w:rPr>
          <w:rFonts w:cs="Arial"/>
          <w:szCs w:val="20"/>
        </w:rPr>
        <w:fldChar w:fldCharType="begin"/>
      </w:r>
      <w:r w:rsidR="00BE1F3C" w:rsidRPr="00967AC5">
        <w:rPr>
          <w:rFonts w:cs="Arial"/>
          <w:szCs w:val="20"/>
        </w:rPr>
        <w:instrText xml:space="preserve"> REF _Ref63428213 \r \h </w:instrText>
      </w:r>
      <w:r w:rsidR="002505BC" w:rsidRPr="00967AC5">
        <w:rPr>
          <w:rFonts w:cs="Arial"/>
          <w:szCs w:val="20"/>
        </w:rPr>
        <w:instrText xml:space="preserve"> \* MERGEFORMAT </w:instrText>
      </w:r>
      <w:r w:rsidR="00BE1F3C" w:rsidRPr="00967AC5">
        <w:rPr>
          <w:rFonts w:cs="Arial"/>
          <w:szCs w:val="20"/>
        </w:rPr>
      </w:r>
      <w:r w:rsidR="00BE1F3C" w:rsidRPr="00967AC5">
        <w:rPr>
          <w:rFonts w:cs="Arial"/>
          <w:szCs w:val="20"/>
        </w:rPr>
        <w:fldChar w:fldCharType="separate"/>
      </w:r>
      <w:r w:rsidR="00680BB5" w:rsidRPr="00967AC5">
        <w:rPr>
          <w:rFonts w:cs="Arial"/>
          <w:szCs w:val="20"/>
        </w:rPr>
        <w:t>[33]</w:t>
      </w:r>
      <w:r w:rsidR="00BE1F3C" w:rsidRPr="00967AC5">
        <w:rPr>
          <w:rFonts w:cs="Arial"/>
          <w:szCs w:val="20"/>
        </w:rPr>
        <w:fldChar w:fldCharType="end"/>
      </w:r>
      <w:r w:rsidR="00BE1F3C" w:rsidRPr="00967AC5">
        <w:rPr>
          <w:rFonts w:cs="Arial"/>
          <w:szCs w:val="20"/>
        </w:rPr>
        <w:t xml:space="preserve"> </w:t>
      </w:r>
      <w:r w:rsidRPr="00967AC5">
        <w:rPr>
          <w:rFonts w:cs="Arial"/>
          <w:szCs w:val="20"/>
        </w:rPr>
        <w:t xml:space="preserve">concluded in its section 3.2.1 that </w:t>
      </w:r>
      <w:r w:rsidR="00D34BA1" w:rsidRPr="00967AC5">
        <w:rPr>
          <w:rFonts w:cs="Arial"/>
          <w:szCs w:val="20"/>
        </w:rPr>
        <w:t>“</w:t>
      </w:r>
      <w:r w:rsidRPr="00967AC5">
        <w:rPr>
          <w:rFonts w:cs="Arial"/>
          <w:i/>
          <w:iCs/>
          <w:szCs w:val="20"/>
        </w:rPr>
        <w:t>To avoid blocking of the mobile terminal by a narrowband interferer adjacent in frequency, a 200 kHz frequency separation may be required between RMR and MFCN. This issue can be addressed at national level.</w:t>
      </w:r>
      <w:r w:rsidR="00D34BA1" w:rsidRPr="00967AC5">
        <w:rPr>
          <w:rFonts w:cs="Arial"/>
          <w:i/>
          <w:iCs/>
          <w:szCs w:val="20"/>
        </w:rPr>
        <w:t>”</w:t>
      </w:r>
    </w:p>
    <w:p w14:paraId="7A5B0624" w14:textId="76C3CBBC" w:rsidR="006568C5" w:rsidRPr="00967AC5" w:rsidRDefault="006568C5" w:rsidP="00BB6D59">
      <w:pPr>
        <w:pStyle w:val="ECCParagraph"/>
        <w:rPr>
          <w:rFonts w:cs="Arial"/>
          <w:szCs w:val="20"/>
        </w:rPr>
      </w:pPr>
      <w:r w:rsidRPr="00967AC5">
        <w:rPr>
          <w:rFonts w:cs="Arial"/>
          <w:szCs w:val="20"/>
        </w:rPr>
        <w:t xml:space="preserve">ECC Report 313 </w:t>
      </w:r>
      <w:r w:rsidR="00BE1F3C" w:rsidRPr="00967AC5">
        <w:rPr>
          <w:rFonts w:cs="Arial"/>
          <w:szCs w:val="20"/>
        </w:rPr>
        <w:fldChar w:fldCharType="begin"/>
      </w:r>
      <w:r w:rsidR="00BE1F3C" w:rsidRPr="00967AC5">
        <w:rPr>
          <w:rFonts w:cs="Arial"/>
          <w:szCs w:val="20"/>
        </w:rPr>
        <w:instrText xml:space="preserve"> REF _Ref63428768 \r \h </w:instrText>
      </w:r>
      <w:r w:rsidR="002505BC" w:rsidRPr="00967AC5">
        <w:rPr>
          <w:rFonts w:cs="Arial"/>
          <w:szCs w:val="20"/>
        </w:rPr>
        <w:instrText xml:space="preserve"> \* MERGEFORMAT </w:instrText>
      </w:r>
      <w:r w:rsidR="00BE1F3C" w:rsidRPr="00967AC5">
        <w:rPr>
          <w:rFonts w:cs="Arial"/>
          <w:szCs w:val="20"/>
        </w:rPr>
      </w:r>
      <w:r w:rsidR="00BE1F3C" w:rsidRPr="00967AC5">
        <w:rPr>
          <w:rFonts w:cs="Arial"/>
          <w:szCs w:val="20"/>
        </w:rPr>
        <w:fldChar w:fldCharType="separate"/>
      </w:r>
      <w:r w:rsidR="00680BB5" w:rsidRPr="00967AC5">
        <w:rPr>
          <w:rFonts w:cs="Arial"/>
          <w:szCs w:val="20"/>
        </w:rPr>
        <w:t>[39]</w:t>
      </w:r>
      <w:r w:rsidR="00BE1F3C" w:rsidRPr="00967AC5">
        <w:rPr>
          <w:rFonts w:cs="Arial"/>
          <w:szCs w:val="20"/>
        </w:rPr>
        <w:fldChar w:fldCharType="end"/>
      </w:r>
      <w:r w:rsidR="00BE1F3C" w:rsidRPr="00967AC5">
        <w:rPr>
          <w:rFonts w:cs="Arial"/>
          <w:szCs w:val="20"/>
        </w:rPr>
        <w:t xml:space="preserve"> </w:t>
      </w:r>
      <w:r w:rsidRPr="00967AC5">
        <w:rPr>
          <w:rFonts w:cs="Arial"/>
          <w:szCs w:val="20"/>
        </w:rPr>
        <w:t>mentions that “</w:t>
      </w:r>
      <w:r w:rsidRPr="00967AC5">
        <w:rPr>
          <w:rFonts w:cs="Arial"/>
          <w:i/>
          <w:szCs w:val="20"/>
        </w:rPr>
        <w:t>When in close vicinity to railway tracks, MFCN BS out-of-band emissions may cause interference to FRMCS cab-radio. In practice, to solve these cases, technical and/or operational measures could be used to ensure the coexistence of both MFCN and FRMCS in parallel.</w:t>
      </w:r>
      <w:r w:rsidRPr="00967AC5">
        <w:rPr>
          <w:rFonts w:cs="Arial"/>
          <w:szCs w:val="20"/>
        </w:rPr>
        <w:t>”</w:t>
      </w:r>
    </w:p>
    <w:p w14:paraId="71F033A7" w14:textId="506BF012" w:rsidR="006568C5" w:rsidRPr="00967AC5" w:rsidRDefault="006568C5" w:rsidP="00BB6D59">
      <w:pPr>
        <w:pStyle w:val="ECCParagraph"/>
        <w:rPr>
          <w:rStyle w:val="ECCHLbold"/>
        </w:rPr>
      </w:pPr>
      <w:r w:rsidRPr="00967AC5">
        <w:rPr>
          <w:rStyle w:val="ECCHLbold"/>
          <w:b w:val="0"/>
          <w:u w:val="single"/>
        </w:rPr>
        <w:t>Conclusion</w:t>
      </w:r>
      <w:r w:rsidRPr="00967AC5">
        <w:rPr>
          <w:rStyle w:val="ECCHLbold"/>
        </w:rPr>
        <w:t>:</w:t>
      </w:r>
    </w:p>
    <w:p w14:paraId="570F104D" w14:textId="1BF3F179" w:rsidR="006568C5" w:rsidRPr="00967AC5" w:rsidRDefault="006568C5" w:rsidP="00BB6D59">
      <w:pPr>
        <w:pStyle w:val="ECCParagraph"/>
        <w:rPr>
          <w:rFonts w:asciiTheme="minorBidi" w:hAnsiTheme="minorBidi" w:cstheme="minorBidi"/>
        </w:rPr>
      </w:pPr>
      <w:r w:rsidRPr="00967AC5">
        <w:rPr>
          <w:rFonts w:asciiTheme="minorBidi" w:hAnsiTheme="minorBidi" w:cstheme="minorBidi"/>
        </w:rPr>
        <w:t xml:space="preserve">The conclusions of the above reports (CEPT </w:t>
      </w:r>
      <w:r w:rsidR="00C92975" w:rsidRPr="00967AC5">
        <w:rPr>
          <w:rFonts w:asciiTheme="minorBidi" w:hAnsiTheme="minorBidi" w:cstheme="minorBidi"/>
        </w:rPr>
        <w:t>R</w:t>
      </w:r>
      <w:r w:rsidRPr="00967AC5">
        <w:rPr>
          <w:rFonts w:asciiTheme="minorBidi" w:hAnsiTheme="minorBidi" w:cstheme="minorBidi"/>
        </w:rPr>
        <w:t xml:space="preserve">eport 74, CEPT </w:t>
      </w:r>
      <w:r w:rsidR="00C92975" w:rsidRPr="00967AC5">
        <w:rPr>
          <w:rFonts w:asciiTheme="minorBidi" w:hAnsiTheme="minorBidi" w:cstheme="minorBidi"/>
        </w:rPr>
        <w:t>R</w:t>
      </w:r>
      <w:r w:rsidRPr="00967AC5">
        <w:rPr>
          <w:rFonts w:asciiTheme="minorBidi" w:hAnsiTheme="minorBidi" w:cstheme="minorBidi"/>
        </w:rPr>
        <w:t xml:space="preserve">eport 076, ECC </w:t>
      </w:r>
      <w:r w:rsidR="00C92975" w:rsidRPr="00967AC5">
        <w:rPr>
          <w:rFonts w:asciiTheme="minorBidi" w:hAnsiTheme="minorBidi" w:cstheme="minorBidi"/>
        </w:rPr>
        <w:t>R</w:t>
      </w:r>
      <w:r w:rsidRPr="00967AC5">
        <w:rPr>
          <w:rFonts w:asciiTheme="minorBidi" w:hAnsiTheme="minorBidi" w:cstheme="minorBidi"/>
        </w:rPr>
        <w:t>eport 313) remain valid and coexistence between FRMCS (WB and NB) and MFCN (WB and NB) non-AAS systems complying with the technology</w:t>
      </w:r>
      <w:r w:rsidR="00F91806" w:rsidRPr="00967AC5">
        <w:rPr>
          <w:rFonts w:asciiTheme="minorBidi" w:hAnsiTheme="minorBidi" w:cstheme="minorBidi"/>
        </w:rPr>
        <w:t xml:space="preserve"> </w:t>
      </w:r>
      <w:r w:rsidRPr="00967AC5">
        <w:rPr>
          <w:rFonts w:asciiTheme="minorBidi" w:hAnsiTheme="minorBidi" w:cstheme="minorBidi"/>
        </w:rPr>
        <w:t xml:space="preserve">neutral </w:t>
      </w:r>
      <w:r w:rsidRPr="00967AC5">
        <w:rPr>
          <w:rFonts w:asciiTheme="minorBidi" w:hAnsiTheme="minorBidi"/>
        </w:rPr>
        <w:t xml:space="preserve">LRTCs (defined in section </w:t>
      </w:r>
      <w:r w:rsidR="00F75F2A" w:rsidRPr="00967AC5">
        <w:rPr>
          <w:rFonts w:asciiTheme="minorBidi" w:hAnsiTheme="minorBidi"/>
        </w:rPr>
        <w:fldChar w:fldCharType="begin"/>
      </w:r>
      <w:r w:rsidR="00F75F2A" w:rsidRPr="00967AC5">
        <w:rPr>
          <w:rFonts w:asciiTheme="minorBidi" w:hAnsiTheme="minorBidi" w:cstheme="minorBidi"/>
        </w:rPr>
        <w:instrText xml:space="preserve"> REF _Ref60765166 \r \h </w:instrText>
      </w:r>
      <w:r w:rsidR="00751015" w:rsidRPr="00967AC5">
        <w:rPr>
          <w:rFonts w:asciiTheme="minorBidi" w:hAnsiTheme="minorBidi" w:cstheme="minorBidi"/>
        </w:rPr>
        <w:instrText xml:space="preserve"> \* MERGEFORMAT </w:instrText>
      </w:r>
      <w:r w:rsidR="00F75F2A" w:rsidRPr="00967AC5">
        <w:rPr>
          <w:rFonts w:asciiTheme="minorBidi" w:hAnsiTheme="minorBidi"/>
        </w:rPr>
      </w:r>
      <w:r w:rsidR="00F75F2A" w:rsidRPr="00967AC5">
        <w:rPr>
          <w:rFonts w:asciiTheme="minorBidi" w:hAnsiTheme="minorBidi"/>
        </w:rPr>
        <w:fldChar w:fldCharType="separate"/>
      </w:r>
      <w:r w:rsidR="00680BB5" w:rsidRPr="00967AC5">
        <w:rPr>
          <w:rFonts w:asciiTheme="minorBidi" w:hAnsiTheme="minorBidi" w:cstheme="minorBidi"/>
        </w:rPr>
        <w:t>3.4</w:t>
      </w:r>
      <w:r w:rsidR="00F75F2A" w:rsidRPr="00967AC5">
        <w:rPr>
          <w:rFonts w:asciiTheme="minorBidi" w:hAnsiTheme="minorBidi"/>
        </w:rPr>
        <w:fldChar w:fldCharType="end"/>
      </w:r>
      <w:r w:rsidRPr="00967AC5">
        <w:rPr>
          <w:rFonts w:asciiTheme="minorBidi" w:hAnsiTheme="minorBidi" w:cstheme="minorBidi"/>
        </w:rPr>
        <w:t>) is ensured as long as:</w:t>
      </w:r>
    </w:p>
    <w:p w14:paraId="77F12D5D" w14:textId="6E539C7B" w:rsidR="006568C5" w:rsidRPr="00967AC5" w:rsidRDefault="006568C5" w:rsidP="00BB6D59">
      <w:pPr>
        <w:pStyle w:val="ECCBulletsLv1"/>
        <w:rPr>
          <w:rFonts w:asciiTheme="minorBidi" w:eastAsia="Times New Roman" w:hAnsiTheme="minorBidi" w:cstheme="minorBidi"/>
          <w:szCs w:val="24"/>
        </w:rPr>
      </w:pPr>
      <w:r w:rsidRPr="00967AC5">
        <w:rPr>
          <w:rFonts w:asciiTheme="minorBidi" w:eastAsia="Times New Roman" w:hAnsiTheme="minorBidi" w:cstheme="minorBidi"/>
          <w:szCs w:val="24"/>
        </w:rPr>
        <w:t>A 200 kHz frequency separation is implemented between channel edges of networks adjacent in frequency in the following cases: FRMCS NB vs. MFCN WB and FRMCS WB vs MFCN NB</w:t>
      </w:r>
      <w:r w:rsidR="00FD67EA" w:rsidRPr="00967AC5">
        <w:rPr>
          <w:rFonts w:asciiTheme="minorBidi" w:eastAsia="Times New Roman" w:hAnsiTheme="minorBidi" w:cstheme="minorBidi"/>
          <w:szCs w:val="24"/>
        </w:rPr>
        <w:t>;</w:t>
      </w:r>
      <w:r w:rsidRPr="00967AC5">
        <w:rPr>
          <w:rFonts w:asciiTheme="minorBidi" w:eastAsia="Times New Roman" w:hAnsiTheme="minorBidi" w:cstheme="minorBidi"/>
          <w:szCs w:val="24"/>
        </w:rPr>
        <w:t xml:space="preserve"> </w:t>
      </w:r>
    </w:p>
    <w:p w14:paraId="7A664F5A" w14:textId="6326D13E" w:rsidR="006568C5" w:rsidRPr="00967AC5" w:rsidRDefault="006568C5" w:rsidP="00BB6D59">
      <w:pPr>
        <w:pStyle w:val="ECCBulletsLv1"/>
      </w:pPr>
      <w:r w:rsidRPr="00967AC5">
        <w:rPr>
          <w:rFonts w:asciiTheme="minorBidi" w:eastAsia="Times New Roman" w:hAnsiTheme="minorBidi" w:cstheme="minorBidi"/>
          <w:szCs w:val="24"/>
        </w:rPr>
        <w:t>This frequency separation should be managed at national level. For example, the same toolbox approach as for MFCN/MFCN frequency separation implementation at national level</w:t>
      </w:r>
      <w:r w:rsidRPr="00967AC5">
        <w:t xml:space="preserve"> could be reused (see section </w:t>
      </w:r>
      <w:r w:rsidR="00CE2935" w:rsidRPr="00967AC5">
        <w:fldChar w:fldCharType="begin"/>
      </w:r>
      <w:r w:rsidR="00CE2935" w:rsidRPr="00967AC5">
        <w:instrText xml:space="preserve"> REF _Ref60765196 \r \h </w:instrText>
      </w:r>
      <w:r w:rsidR="001C7C80" w:rsidRPr="00967AC5">
        <w:instrText xml:space="preserve"> \* MERGEFORMAT </w:instrText>
      </w:r>
      <w:r w:rsidR="00CE2935" w:rsidRPr="00967AC5">
        <w:fldChar w:fldCharType="separate"/>
      </w:r>
      <w:r w:rsidR="00680BB5" w:rsidRPr="00967AC5">
        <w:t>3.4.5.3</w:t>
      </w:r>
      <w:r w:rsidR="00CE2935" w:rsidRPr="00967AC5">
        <w:fldChar w:fldCharType="end"/>
      </w:r>
      <w:r w:rsidRPr="00967AC5">
        <w:t>) for implementation at national level of frequency separation between RMR and MFCN</w:t>
      </w:r>
      <w:r w:rsidR="00FD67EA" w:rsidRPr="00967AC5">
        <w:t>;</w:t>
      </w:r>
    </w:p>
    <w:p w14:paraId="41FF3897" w14:textId="4534B528" w:rsidR="006568C5" w:rsidRPr="00967AC5" w:rsidRDefault="006568C5" w:rsidP="00223F4E">
      <w:pPr>
        <w:pStyle w:val="ECCBulletsLv1"/>
      </w:pPr>
      <w:r w:rsidRPr="00967AC5" w:rsidDel="00A22E90">
        <w:t xml:space="preserve"> </w:t>
      </w:r>
      <w:r w:rsidRPr="00967AC5">
        <w:t>No frequency separation is required between FRMCS WB and MFCN WB systems</w:t>
      </w:r>
      <w:r w:rsidR="00FD67EA" w:rsidRPr="00967AC5">
        <w:t>.</w:t>
      </w:r>
    </w:p>
    <w:p w14:paraId="60FB7F02" w14:textId="53D05B61" w:rsidR="00861558" w:rsidRPr="00967AC5" w:rsidRDefault="006568C5" w:rsidP="00C6101E">
      <w:pPr>
        <w:pStyle w:val="ECCParagraph"/>
        <w:spacing w:before="240"/>
      </w:pPr>
      <w:r w:rsidRPr="00967AC5">
        <w:t xml:space="preserve">The proposed coexistence measures above to be implemented at national level do not impact the MFCN </w:t>
      </w:r>
      <w:proofErr w:type="spellStart"/>
      <w:r w:rsidRPr="00967AC5">
        <w:t>LRTCs,ETSI</w:t>
      </w:r>
      <w:proofErr w:type="spellEnd"/>
      <w:r w:rsidRPr="00967AC5">
        <w:t xml:space="preserve"> standards or the single market objective.</w:t>
      </w:r>
      <w:r w:rsidR="00861558" w:rsidRPr="00967AC5">
        <w:t xml:space="preserve"> It </w:t>
      </w:r>
      <w:proofErr w:type="gramStart"/>
      <w:r w:rsidR="00861558" w:rsidRPr="00967AC5">
        <w:t>leaves also</w:t>
      </w:r>
      <w:proofErr w:type="gramEnd"/>
      <w:r w:rsidR="00861558" w:rsidRPr="00967AC5">
        <w:t xml:space="preserve"> flexibility for administrations to manage GSM</w:t>
      </w:r>
      <w:r w:rsidR="003F4C04" w:rsidRPr="00967AC5">
        <w:t>-</w:t>
      </w:r>
      <w:r w:rsidR="00861558" w:rsidRPr="00967AC5">
        <w:t xml:space="preserve">R – FRMCS migration according to national demands or other policies without impacting </w:t>
      </w:r>
      <w:r w:rsidR="00254503" w:rsidRPr="00967AC5">
        <w:t xml:space="preserve">the </w:t>
      </w:r>
      <w:r w:rsidR="00861558" w:rsidRPr="00967AC5">
        <w:t>MFCN technology neutral approach</w:t>
      </w:r>
      <w:r w:rsidR="00BB6D59" w:rsidRPr="00967AC5">
        <w:t>.</w:t>
      </w:r>
    </w:p>
    <w:p w14:paraId="75B5D21F" w14:textId="74F86DBD" w:rsidR="00861558" w:rsidRPr="00967AC5" w:rsidRDefault="00861558" w:rsidP="00BB6D59">
      <w:pPr>
        <w:pStyle w:val="ECCParagraph"/>
        <w:rPr>
          <w:color w:val="000000"/>
          <w:lang w:eastAsia="fr-FR"/>
        </w:rPr>
      </w:pPr>
      <w:r w:rsidRPr="00967AC5">
        <w:rPr>
          <w:color w:val="000000"/>
        </w:rPr>
        <w:t>Below 925 MHz higher out-of-band limits may be applied</w:t>
      </w:r>
      <w:r w:rsidR="002E1A51" w:rsidRPr="00967AC5">
        <w:rPr>
          <w:color w:val="000000"/>
          <w:lang w:eastAsia="fr-FR"/>
        </w:rPr>
        <w:t xml:space="preserve"> for MFCN</w:t>
      </w:r>
      <w:r w:rsidR="006A4A77" w:rsidRPr="00967AC5">
        <w:rPr>
          <w:color w:val="000000"/>
          <w:lang w:eastAsia="fr-FR"/>
        </w:rPr>
        <w:t xml:space="preserve"> on a case-by-case basis at a national level</w:t>
      </w:r>
      <w:r w:rsidRPr="00967AC5">
        <w:rPr>
          <w:color w:val="000000"/>
          <w:lang w:eastAsia="fr-FR"/>
        </w:rPr>
        <w:t>.</w:t>
      </w:r>
      <w:r w:rsidRPr="00967AC5">
        <w:rPr>
          <w:color w:val="000000"/>
        </w:rPr>
        <w:t xml:space="preserve"> This</w:t>
      </w:r>
      <w:r w:rsidRPr="00967AC5">
        <w:rPr>
          <w:color w:val="000000"/>
          <w:lang w:eastAsia="fr-FR"/>
        </w:rPr>
        <w:t xml:space="preserve"> is to align with railway technical conditions in CEPT </w:t>
      </w:r>
      <w:r w:rsidR="00C92975" w:rsidRPr="00967AC5">
        <w:rPr>
          <w:color w:val="000000"/>
          <w:lang w:eastAsia="fr-FR"/>
        </w:rPr>
        <w:t>R</w:t>
      </w:r>
      <w:r w:rsidRPr="00967AC5">
        <w:rPr>
          <w:color w:val="000000"/>
          <w:lang w:eastAsia="fr-FR"/>
        </w:rPr>
        <w:t xml:space="preserve">eport 76 and ECC </w:t>
      </w:r>
      <w:r w:rsidR="00BE1F3C" w:rsidRPr="00967AC5">
        <w:rPr>
          <w:color w:val="000000"/>
          <w:lang w:eastAsia="fr-FR"/>
        </w:rPr>
        <w:t>Decision</w:t>
      </w:r>
      <w:r w:rsidRPr="00967AC5">
        <w:rPr>
          <w:color w:val="000000"/>
          <w:lang w:eastAsia="fr-FR"/>
        </w:rPr>
        <w:t xml:space="preserve"> (20)02</w:t>
      </w:r>
      <w:r w:rsidR="00BE1F3C" w:rsidRPr="00967AC5">
        <w:rPr>
          <w:color w:val="000000"/>
          <w:lang w:eastAsia="fr-FR"/>
        </w:rPr>
        <w:t xml:space="preserve"> </w:t>
      </w:r>
      <w:r w:rsidR="00BE1F3C" w:rsidRPr="00967AC5">
        <w:rPr>
          <w:color w:val="000000"/>
          <w:lang w:eastAsia="fr-FR"/>
        </w:rPr>
        <w:fldChar w:fldCharType="begin"/>
      </w:r>
      <w:r w:rsidR="00BE1F3C" w:rsidRPr="00967AC5">
        <w:rPr>
          <w:color w:val="000000"/>
          <w:lang w:eastAsia="fr-FR"/>
        </w:rPr>
        <w:instrText xml:space="preserve"> REF _Ref63428217 \r \h </w:instrText>
      </w:r>
      <w:r w:rsidR="002505BC" w:rsidRPr="00967AC5">
        <w:rPr>
          <w:color w:val="000000"/>
          <w:lang w:eastAsia="fr-FR"/>
        </w:rPr>
        <w:instrText xml:space="preserve"> \* MERGEFORMAT </w:instrText>
      </w:r>
      <w:r w:rsidR="00BE1F3C" w:rsidRPr="00967AC5">
        <w:rPr>
          <w:color w:val="000000"/>
          <w:lang w:eastAsia="fr-FR"/>
        </w:rPr>
      </w:r>
      <w:r w:rsidR="00BE1F3C" w:rsidRPr="00967AC5">
        <w:rPr>
          <w:color w:val="000000"/>
          <w:lang w:eastAsia="fr-FR"/>
        </w:rPr>
        <w:fldChar w:fldCharType="separate"/>
      </w:r>
      <w:r w:rsidR="00680BB5" w:rsidRPr="00967AC5">
        <w:rPr>
          <w:color w:val="000000"/>
          <w:lang w:eastAsia="fr-FR"/>
        </w:rPr>
        <w:t>[34]</w:t>
      </w:r>
      <w:r w:rsidR="00BE1F3C" w:rsidRPr="00967AC5">
        <w:rPr>
          <w:color w:val="000000"/>
          <w:lang w:eastAsia="fr-FR"/>
        </w:rPr>
        <w:fldChar w:fldCharType="end"/>
      </w:r>
      <w:r w:rsidRPr="00967AC5">
        <w:rPr>
          <w:color w:val="000000"/>
          <w:lang w:eastAsia="fr-FR"/>
        </w:rPr>
        <w:t>.</w:t>
      </w:r>
    </w:p>
    <w:p w14:paraId="075C6DF1" w14:textId="614F6B15" w:rsidR="00AD30FA" w:rsidRPr="00967AC5" w:rsidRDefault="00AD30FA" w:rsidP="005931B9">
      <w:pPr>
        <w:pStyle w:val="Heading4"/>
      </w:pPr>
      <w:bookmarkStart w:id="135" w:name="_Toc71037832"/>
      <w:r w:rsidRPr="00967AC5">
        <w:t>PMR/PAMR (above 915 MHz)</w:t>
      </w:r>
      <w:bookmarkEnd w:id="135"/>
    </w:p>
    <w:p w14:paraId="7FF258CA" w14:textId="636F0682" w:rsidR="00AD30FA" w:rsidRPr="00967AC5" w:rsidRDefault="00AD30FA" w:rsidP="00146B61">
      <w:pPr>
        <w:pStyle w:val="ECCParagraph"/>
      </w:pPr>
      <w:r w:rsidRPr="00967AC5">
        <w:t xml:space="preserve">CEPT noted that ECC Report 297 </w:t>
      </w:r>
      <w:r w:rsidR="00BE1F3C" w:rsidRPr="00967AC5">
        <w:fldChar w:fldCharType="begin"/>
      </w:r>
      <w:r w:rsidR="00BE1F3C" w:rsidRPr="00967AC5">
        <w:instrText xml:space="preserve"> REF _Ref63337314 \r \h </w:instrText>
      </w:r>
      <w:r w:rsidR="002505BC" w:rsidRPr="00967AC5">
        <w:instrText xml:space="preserve"> \* MERGEFORMAT </w:instrText>
      </w:r>
      <w:r w:rsidR="00BE1F3C" w:rsidRPr="00967AC5">
        <w:fldChar w:fldCharType="separate"/>
      </w:r>
      <w:r w:rsidR="00680BB5" w:rsidRPr="00967AC5">
        <w:t>[3]</w:t>
      </w:r>
      <w:r w:rsidR="00BE1F3C" w:rsidRPr="00967AC5">
        <w:fldChar w:fldCharType="end"/>
      </w:r>
      <w:r w:rsidR="00BE1F3C" w:rsidRPr="00967AC5">
        <w:t xml:space="preserve"> </w:t>
      </w:r>
      <w:r w:rsidRPr="00967AC5">
        <w:t xml:space="preserve">for 5G NR concluded no specific emission limits but </w:t>
      </w:r>
      <w:r w:rsidR="004C0187" w:rsidRPr="00967AC5">
        <w:t xml:space="preserve">provided </w:t>
      </w:r>
      <w:r w:rsidRPr="00967AC5">
        <w:t xml:space="preserve">recommendations on coordination with PMR/PAMR above 915 MHz. </w:t>
      </w:r>
      <w:r w:rsidR="00CC470A" w:rsidRPr="00967AC5">
        <w:t>Conclusions for coexistence with PMR/PAMR</w:t>
      </w:r>
      <w:r w:rsidRPr="00967AC5">
        <w:t xml:space="preserve"> are available in various ECC/CEPT Reports</w:t>
      </w:r>
      <w:r w:rsidR="004C0187" w:rsidRPr="00967AC5">
        <w:t>:</w:t>
      </w:r>
    </w:p>
    <w:p w14:paraId="702010B3" w14:textId="7D388551" w:rsidR="00AD30FA" w:rsidRPr="00967AC5" w:rsidRDefault="00AD30FA" w:rsidP="00146B61">
      <w:pPr>
        <w:pStyle w:val="ECCBulletsLv1"/>
        <w:rPr>
          <w:color w:val="000000"/>
        </w:rPr>
      </w:pPr>
      <w:r w:rsidRPr="00967AC5">
        <w:t xml:space="preserve">CEPT Report 41 </w:t>
      </w:r>
      <w:r w:rsidR="00BE1F3C" w:rsidRPr="00967AC5">
        <w:fldChar w:fldCharType="begin"/>
      </w:r>
      <w:r w:rsidR="00BE1F3C" w:rsidRPr="00967AC5">
        <w:instrText xml:space="preserve"> REF _Ref63337493 \r \h </w:instrText>
      </w:r>
      <w:r w:rsidR="002505BC" w:rsidRPr="00967AC5">
        <w:instrText xml:space="preserve"> \* MERGEFORMAT </w:instrText>
      </w:r>
      <w:r w:rsidR="00BE1F3C" w:rsidRPr="00967AC5">
        <w:fldChar w:fldCharType="separate"/>
      </w:r>
      <w:r w:rsidR="00680BB5" w:rsidRPr="00967AC5">
        <w:t>[12]</w:t>
      </w:r>
      <w:r w:rsidR="00BE1F3C" w:rsidRPr="00967AC5">
        <w:fldChar w:fldCharType="end"/>
      </w:r>
      <w:r w:rsidR="00BE1F3C" w:rsidRPr="00967AC5">
        <w:t xml:space="preserve"> </w:t>
      </w:r>
      <w:r w:rsidRPr="00967AC5">
        <w:t xml:space="preserve">includes the studies between LTE (non-AAS) and PMR/PAMR. It concluded in the summary table of its executive summary (entry in row 5.2) that </w:t>
      </w:r>
      <w:r w:rsidR="007926F4" w:rsidRPr="00967AC5">
        <w:t>“</w:t>
      </w:r>
      <w:r w:rsidRPr="00967AC5">
        <w:rPr>
          <w:i/>
          <w:iCs/>
          <w:color w:val="000000"/>
          <w:lang w:eastAsia="zh-CN"/>
        </w:rPr>
        <w:t xml:space="preserve">The worst interference case is the </w:t>
      </w:r>
      <w:r w:rsidRPr="00967AC5">
        <w:rPr>
          <w:i/>
          <w:iCs/>
          <w:color w:val="000000"/>
          <w:lang w:eastAsia="zh-CN"/>
        </w:rPr>
        <w:lastRenderedPageBreak/>
        <w:t>interference from PMR/PAMR BS to LTE/WiMAX BS</w:t>
      </w:r>
      <w:r w:rsidRPr="00967AC5">
        <w:rPr>
          <w:color w:val="000000"/>
        </w:rPr>
        <w:t>.</w:t>
      </w:r>
      <w:r w:rsidR="007926F4" w:rsidRPr="00967AC5">
        <w:rPr>
          <w:color w:val="000000"/>
        </w:rPr>
        <w:t>”</w:t>
      </w:r>
      <w:r w:rsidRPr="00967AC5">
        <w:rPr>
          <w:color w:val="000000"/>
        </w:rPr>
        <w:t xml:space="preserve"> It also listed a number of possible coordination and interference mitigation techniques to ensure such compatibility</w:t>
      </w:r>
      <w:r w:rsidR="00FD67EA" w:rsidRPr="00967AC5">
        <w:rPr>
          <w:color w:val="000000"/>
        </w:rPr>
        <w:t>;</w:t>
      </w:r>
    </w:p>
    <w:p w14:paraId="192DA541" w14:textId="72D0EFD7" w:rsidR="00AD30FA" w:rsidRPr="00967AC5" w:rsidRDefault="00AD30FA" w:rsidP="00146B61">
      <w:pPr>
        <w:pStyle w:val="ECCBulletsLv1"/>
        <w:rPr>
          <w:i/>
          <w:iCs/>
        </w:rPr>
      </w:pPr>
      <w:r w:rsidRPr="00967AC5">
        <w:t xml:space="preserve">ECC Report 297 </w:t>
      </w:r>
      <w:r w:rsidR="00BE1F3C" w:rsidRPr="00967AC5">
        <w:fldChar w:fldCharType="begin"/>
      </w:r>
      <w:r w:rsidR="00BE1F3C" w:rsidRPr="00967AC5">
        <w:instrText xml:space="preserve"> REF _Ref63337314 \r \h </w:instrText>
      </w:r>
      <w:r w:rsidR="002505BC" w:rsidRPr="00967AC5">
        <w:instrText xml:space="preserve"> \* MERGEFORMAT </w:instrText>
      </w:r>
      <w:r w:rsidR="00BE1F3C" w:rsidRPr="00967AC5">
        <w:fldChar w:fldCharType="separate"/>
      </w:r>
      <w:r w:rsidR="00680BB5" w:rsidRPr="00967AC5">
        <w:t>[3]</w:t>
      </w:r>
      <w:r w:rsidR="00BE1F3C" w:rsidRPr="00967AC5">
        <w:fldChar w:fldCharType="end"/>
      </w:r>
      <w:r w:rsidR="00BE1F3C" w:rsidRPr="00967AC5">
        <w:t xml:space="preserve"> </w:t>
      </w:r>
      <w:r w:rsidRPr="00967AC5">
        <w:t xml:space="preserve">concluded in its section 4.2.1.1 that </w:t>
      </w:r>
      <w:r w:rsidR="00AB6F1C" w:rsidRPr="00967AC5">
        <w:t>“</w:t>
      </w:r>
      <w:r w:rsidRPr="00967AC5">
        <w:rPr>
          <w:i/>
          <w:iCs/>
        </w:rPr>
        <w:t>The results of CEPT Report 41 and ECC Report 266 for compatibility between LTE and LTE + Guard Band IoT and adjacent systems in 1800/900 MHz bands can be extended to the NR non-AAS systems and the same technical regulatory conditions applicable to LTE should apply to ensure compatibility with NR non-AAS.</w:t>
      </w:r>
      <w:r w:rsidR="009B6F23" w:rsidRPr="00967AC5">
        <w:rPr>
          <w:i/>
          <w:iCs/>
        </w:rPr>
        <w:t>”</w:t>
      </w:r>
    </w:p>
    <w:p w14:paraId="7ED1CD01" w14:textId="4A8980DC" w:rsidR="00AD30FA" w:rsidRPr="00967AC5" w:rsidRDefault="00AD30FA" w:rsidP="00C6101E">
      <w:pPr>
        <w:pStyle w:val="ECCParagraph"/>
        <w:spacing w:before="240"/>
      </w:pPr>
      <w:r w:rsidRPr="00967AC5">
        <w:t xml:space="preserve">In consequence, recommendations on coordination with PMR/PAMR as described in CEPT </w:t>
      </w:r>
      <w:r w:rsidR="00E23EA9" w:rsidRPr="00967AC5">
        <w:t>R</w:t>
      </w:r>
      <w:r w:rsidRPr="00967AC5">
        <w:t>eport 41 remain applicable to NB/WB systems (</w:t>
      </w:r>
      <w:r w:rsidR="00807B63" w:rsidRPr="00967AC5">
        <w:t>non-</w:t>
      </w:r>
      <w:r w:rsidRPr="00967AC5">
        <w:t xml:space="preserve">AAS) complying </w:t>
      </w:r>
      <w:r w:rsidR="00807B63" w:rsidRPr="00967AC5">
        <w:t xml:space="preserve">with </w:t>
      </w:r>
      <w:r w:rsidRPr="00967AC5">
        <w:t>technology neutral LRTC</w:t>
      </w:r>
      <w:r w:rsidR="00807B63" w:rsidRPr="00967AC5">
        <w:t>s</w:t>
      </w:r>
      <w:r w:rsidRPr="00967AC5">
        <w:t xml:space="preserve"> as proposed in this report </w:t>
      </w:r>
    </w:p>
    <w:p w14:paraId="4DA023D6" w14:textId="01AAF518" w:rsidR="00AD30FA" w:rsidRPr="00967AC5" w:rsidRDefault="00AD30FA" w:rsidP="00001EB9">
      <w:pPr>
        <w:pStyle w:val="Heading4"/>
      </w:pPr>
      <w:bookmarkStart w:id="136" w:name="_Toc71037833"/>
      <w:r w:rsidRPr="00967AC5">
        <w:t>Aeronautical Radio navigation (DME/L-DACS)</w:t>
      </w:r>
      <w:bookmarkEnd w:id="136"/>
    </w:p>
    <w:p w14:paraId="715E837A" w14:textId="77777777" w:rsidR="00AD30FA" w:rsidRPr="00967AC5" w:rsidRDefault="00AD30FA" w:rsidP="00AD30FA">
      <w:pPr>
        <w:pStyle w:val="ECCParagraph"/>
      </w:pPr>
      <w:r w:rsidRPr="00967AC5">
        <w:t>In order to avoid any new studies CEPT reused existing relevant CEPT/ECC deliverables, which are briefly summarised hereafter.</w:t>
      </w:r>
    </w:p>
    <w:p w14:paraId="1E036CEB" w14:textId="18214A45" w:rsidR="00AD30FA" w:rsidRPr="00967AC5" w:rsidRDefault="00AD30FA" w:rsidP="00AD30FA">
      <w:pPr>
        <w:jc w:val="both"/>
        <w:rPr>
          <w:rFonts w:asciiTheme="minorBidi" w:hAnsiTheme="minorBidi" w:cstheme="minorBidi"/>
          <w:i/>
          <w:iCs/>
          <w:szCs w:val="20"/>
          <w:lang w:val="en-GB"/>
        </w:rPr>
      </w:pPr>
      <w:r w:rsidRPr="00967AC5">
        <w:rPr>
          <w:rFonts w:asciiTheme="minorBidi" w:hAnsiTheme="minorBidi" w:cstheme="minorBidi"/>
          <w:szCs w:val="20"/>
          <w:lang w:val="en-GB"/>
        </w:rPr>
        <w:t xml:space="preserve">CEPT </w:t>
      </w:r>
      <w:r w:rsidR="00146B61" w:rsidRPr="00967AC5">
        <w:rPr>
          <w:rFonts w:asciiTheme="minorBidi" w:hAnsiTheme="minorBidi" w:cstheme="minorBidi"/>
          <w:szCs w:val="20"/>
          <w:lang w:val="en-GB"/>
        </w:rPr>
        <w:t>R</w:t>
      </w:r>
      <w:r w:rsidRPr="00967AC5">
        <w:rPr>
          <w:rFonts w:asciiTheme="minorBidi" w:hAnsiTheme="minorBidi" w:cstheme="minorBidi"/>
          <w:szCs w:val="20"/>
          <w:lang w:val="en-GB"/>
        </w:rPr>
        <w:t xml:space="preserve">eport 41 </w:t>
      </w:r>
      <w:r w:rsidR="00BE1F3C" w:rsidRPr="00967AC5">
        <w:rPr>
          <w:rFonts w:asciiTheme="minorBidi" w:hAnsiTheme="minorBidi" w:cstheme="minorBidi"/>
          <w:szCs w:val="20"/>
          <w:lang w:val="en-GB"/>
        </w:rPr>
        <w:fldChar w:fldCharType="begin"/>
      </w:r>
      <w:r w:rsidR="00BE1F3C" w:rsidRPr="00967AC5">
        <w:rPr>
          <w:rFonts w:asciiTheme="minorBidi" w:hAnsiTheme="minorBidi" w:cstheme="minorBidi"/>
          <w:szCs w:val="20"/>
          <w:lang w:val="en-GB"/>
        </w:rPr>
        <w:instrText xml:space="preserve"> REF _Ref63337493 \r \h </w:instrText>
      </w:r>
      <w:r w:rsidR="002505BC" w:rsidRPr="00967AC5">
        <w:rPr>
          <w:rFonts w:asciiTheme="minorBidi" w:hAnsiTheme="minorBidi" w:cstheme="minorBidi"/>
          <w:szCs w:val="20"/>
          <w:lang w:val="en-GB"/>
        </w:rPr>
        <w:instrText xml:space="preserve"> \* MERGEFORMAT </w:instrText>
      </w:r>
      <w:r w:rsidR="00BE1F3C" w:rsidRPr="00967AC5">
        <w:rPr>
          <w:rFonts w:asciiTheme="minorBidi" w:hAnsiTheme="minorBidi" w:cstheme="minorBidi"/>
          <w:szCs w:val="20"/>
          <w:lang w:val="en-GB"/>
        </w:rPr>
      </w:r>
      <w:r w:rsidR="00BE1F3C" w:rsidRPr="00967AC5">
        <w:rPr>
          <w:rFonts w:asciiTheme="minorBidi" w:hAnsiTheme="minorBidi" w:cstheme="minorBidi"/>
          <w:szCs w:val="20"/>
          <w:lang w:val="en-GB"/>
        </w:rPr>
        <w:fldChar w:fldCharType="separate"/>
      </w:r>
      <w:r w:rsidR="00680BB5" w:rsidRPr="00967AC5">
        <w:rPr>
          <w:rFonts w:asciiTheme="minorBidi" w:hAnsiTheme="minorBidi" w:cstheme="minorBidi"/>
          <w:szCs w:val="20"/>
          <w:lang w:val="en-GB"/>
        </w:rPr>
        <w:t>[12]</w:t>
      </w:r>
      <w:r w:rsidR="00BE1F3C" w:rsidRPr="00967AC5">
        <w:rPr>
          <w:rFonts w:asciiTheme="minorBidi" w:hAnsiTheme="minorBidi" w:cstheme="minorBidi"/>
          <w:szCs w:val="20"/>
          <w:lang w:val="en-GB"/>
        </w:rPr>
        <w:fldChar w:fldCharType="end"/>
      </w:r>
      <w:r w:rsidR="00BE1F3C" w:rsidRPr="00967AC5">
        <w:rPr>
          <w:rFonts w:asciiTheme="minorBidi" w:hAnsiTheme="minorBidi" w:cstheme="minorBidi"/>
          <w:szCs w:val="20"/>
          <w:lang w:val="en-GB"/>
        </w:rPr>
        <w:t xml:space="preserve"> </w:t>
      </w:r>
      <w:r w:rsidRPr="00967AC5">
        <w:rPr>
          <w:rFonts w:asciiTheme="minorBidi" w:hAnsiTheme="minorBidi" w:cstheme="minorBidi"/>
          <w:szCs w:val="20"/>
          <w:lang w:val="en-GB"/>
        </w:rPr>
        <w:t xml:space="preserve">stated that </w:t>
      </w:r>
      <w:r w:rsidR="009B6F23" w:rsidRPr="00967AC5">
        <w:rPr>
          <w:rFonts w:asciiTheme="minorBidi" w:hAnsiTheme="minorBidi" w:cstheme="minorBidi"/>
          <w:szCs w:val="20"/>
          <w:lang w:val="en-GB"/>
        </w:rPr>
        <w:t>“</w:t>
      </w:r>
      <w:r w:rsidRPr="00967AC5">
        <w:rPr>
          <w:rFonts w:asciiTheme="minorBidi" w:hAnsiTheme="minorBidi" w:cstheme="minorBidi"/>
          <w:i/>
          <w:iCs/>
          <w:szCs w:val="20"/>
          <w:lang w:val="en-GB"/>
        </w:rPr>
        <w:t xml:space="preserve">CEPT Report 42 </w:t>
      </w:r>
      <w:r w:rsidR="007B6ACF" w:rsidRPr="00967AC5">
        <w:rPr>
          <w:rFonts w:asciiTheme="minorBidi" w:hAnsiTheme="minorBidi" w:cstheme="minorBidi"/>
          <w:i/>
          <w:iCs/>
          <w:szCs w:val="20"/>
          <w:lang w:val="en-GB"/>
        </w:rPr>
        <w:fldChar w:fldCharType="begin"/>
      </w:r>
      <w:r w:rsidR="007B6ACF" w:rsidRPr="00967AC5">
        <w:rPr>
          <w:rFonts w:asciiTheme="minorBidi" w:hAnsiTheme="minorBidi" w:cstheme="minorBidi"/>
          <w:i/>
          <w:iCs/>
          <w:szCs w:val="20"/>
          <w:lang w:val="en-GB"/>
        </w:rPr>
        <w:instrText xml:space="preserve"> REF _Ref63337486 \r \h </w:instrText>
      </w:r>
      <w:r w:rsidR="002505BC" w:rsidRPr="00967AC5">
        <w:rPr>
          <w:rFonts w:asciiTheme="minorBidi" w:hAnsiTheme="minorBidi" w:cstheme="minorBidi"/>
          <w:i/>
          <w:iCs/>
          <w:szCs w:val="20"/>
          <w:lang w:val="en-GB"/>
        </w:rPr>
        <w:instrText xml:space="preserve"> \* MERGEFORMAT </w:instrText>
      </w:r>
      <w:r w:rsidR="007B6ACF" w:rsidRPr="00967AC5">
        <w:rPr>
          <w:rFonts w:asciiTheme="minorBidi" w:hAnsiTheme="minorBidi" w:cstheme="minorBidi"/>
          <w:i/>
          <w:iCs/>
          <w:szCs w:val="20"/>
          <w:lang w:val="en-GB"/>
        </w:rPr>
      </w:r>
      <w:r w:rsidR="007B6ACF" w:rsidRPr="00967AC5">
        <w:rPr>
          <w:rFonts w:asciiTheme="minorBidi" w:hAnsiTheme="minorBidi" w:cstheme="minorBidi"/>
          <w:i/>
          <w:iCs/>
          <w:szCs w:val="20"/>
          <w:lang w:val="en-GB"/>
        </w:rPr>
        <w:fldChar w:fldCharType="separate"/>
      </w:r>
      <w:r w:rsidR="00680BB5" w:rsidRPr="00967AC5">
        <w:rPr>
          <w:rFonts w:asciiTheme="minorBidi" w:hAnsiTheme="minorBidi" w:cstheme="minorBidi"/>
          <w:i/>
          <w:iCs/>
          <w:szCs w:val="20"/>
          <w:lang w:val="en-GB"/>
        </w:rPr>
        <w:t>[11]</w:t>
      </w:r>
      <w:r w:rsidR="007B6ACF" w:rsidRPr="00967AC5">
        <w:rPr>
          <w:rFonts w:asciiTheme="minorBidi" w:hAnsiTheme="minorBidi" w:cstheme="minorBidi"/>
          <w:i/>
          <w:iCs/>
          <w:szCs w:val="20"/>
          <w:lang w:val="en-GB"/>
        </w:rPr>
        <w:fldChar w:fldCharType="end"/>
      </w:r>
      <w:r w:rsidR="007B6ACF" w:rsidRPr="00967AC5">
        <w:rPr>
          <w:rFonts w:asciiTheme="minorBidi" w:hAnsiTheme="minorBidi" w:cstheme="minorBidi"/>
          <w:i/>
          <w:iCs/>
          <w:szCs w:val="20"/>
          <w:lang w:val="en-GB"/>
        </w:rPr>
        <w:t xml:space="preserve"> </w:t>
      </w:r>
      <w:r w:rsidRPr="00967AC5">
        <w:rPr>
          <w:rFonts w:asciiTheme="minorBidi" w:hAnsiTheme="minorBidi" w:cstheme="minorBidi"/>
          <w:i/>
          <w:iCs/>
          <w:szCs w:val="20"/>
          <w:lang w:val="en-GB"/>
        </w:rPr>
        <w:t xml:space="preserve">gives results on the compatibility between UMTS and </w:t>
      </w:r>
      <w:smartTag w:uri="urn:schemas-microsoft-com:office:smarttags" w:element="stockticker">
        <w:r w:rsidRPr="00967AC5">
          <w:rPr>
            <w:rFonts w:asciiTheme="minorBidi" w:hAnsiTheme="minorBidi" w:cstheme="minorBidi"/>
            <w:i/>
            <w:iCs/>
            <w:szCs w:val="20"/>
            <w:lang w:val="en-GB"/>
          </w:rPr>
          <w:t>DME</w:t>
        </w:r>
      </w:smartTag>
      <w:r w:rsidRPr="00967AC5">
        <w:rPr>
          <w:rFonts w:asciiTheme="minorBidi" w:hAnsiTheme="minorBidi" w:cstheme="minorBidi"/>
          <w:i/>
          <w:iCs/>
          <w:szCs w:val="20"/>
          <w:lang w:val="en-GB"/>
        </w:rPr>
        <w:t xml:space="preserve">/L-DACS-2. Those results have been extended to the compatibility between LTE/WiMAX and </w:t>
      </w:r>
      <w:smartTag w:uri="urn:schemas-microsoft-com:office:smarttags" w:element="stockticker">
        <w:r w:rsidRPr="00967AC5">
          <w:rPr>
            <w:rFonts w:asciiTheme="minorBidi" w:hAnsiTheme="minorBidi" w:cstheme="minorBidi"/>
            <w:i/>
            <w:iCs/>
            <w:szCs w:val="20"/>
            <w:lang w:val="en-GB"/>
          </w:rPr>
          <w:t>DME</w:t>
        </w:r>
      </w:smartTag>
      <w:r w:rsidRPr="00967AC5">
        <w:rPr>
          <w:rFonts w:asciiTheme="minorBidi" w:hAnsiTheme="minorBidi" w:cstheme="minorBidi"/>
          <w:i/>
          <w:iCs/>
          <w:szCs w:val="20"/>
          <w:lang w:val="en-GB"/>
        </w:rPr>
        <w:t>/L-DACS, based on the similarities between UMTS on one side and LTE/WiMAX on the other side.</w:t>
      </w:r>
      <w:r w:rsidR="009B6F23" w:rsidRPr="00967AC5">
        <w:rPr>
          <w:rFonts w:asciiTheme="minorBidi" w:hAnsiTheme="minorBidi" w:cstheme="minorBidi"/>
          <w:i/>
          <w:iCs/>
          <w:szCs w:val="20"/>
          <w:lang w:val="en-GB"/>
        </w:rPr>
        <w:t>”</w:t>
      </w:r>
      <w:r w:rsidRPr="00967AC5">
        <w:rPr>
          <w:rFonts w:asciiTheme="minorBidi" w:hAnsiTheme="minorBidi" w:cstheme="minorBidi"/>
          <w:i/>
          <w:iCs/>
          <w:szCs w:val="20"/>
          <w:lang w:val="en-GB"/>
        </w:rPr>
        <w:t xml:space="preserve"> </w:t>
      </w:r>
      <w:r w:rsidR="00FE7541" w:rsidRPr="00967AC5">
        <w:rPr>
          <w:rFonts w:cs="Arial"/>
          <w:iCs/>
          <w:szCs w:val="20"/>
          <w:lang w:val="en-GB"/>
        </w:rPr>
        <w:t xml:space="preserve">These </w:t>
      </w:r>
      <w:r w:rsidRPr="00967AC5">
        <w:rPr>
          <w:rFonts w:cs="Arial"/>
          <w:iCs/>
          <w:szCs w:val="20"/>
          <w:lang w:val="en-GB"/>
        </w:rPr>
        <w:t>results are recalled hereafter</w:t>
      </w:r>
      <w:r w:rsidR="00557CF2" w:rsidRPr="00967AC5">
        <w:rPr>
          <w:rFonts w:cs="Arial"/>
          <w:iCs/>
          <w:szCs w:val="20"/>
          <w:lang w:val="en-GB"/>
        </w:rPr>
        <w:t>:</w:t>
      </w:r>
    </w:p>
    <w:p w14:paraId="04763B28" w14:textId="79D7B7E2" w:rsidR="00AD30FA" w:rsidRPr="00967AC5" w:rsidRDefault="00AD30FA" w:rsidP="00ED4D15">
      <w:pPr>
        <w:pStyle w:val="ECCBulletsLv1"/>
        <w:rPr>
          <w:rStyle w:val="Emphasis"/>
          <w:i w:val="0"/>
        </w:rPr>
      </w:pPr>
      <w:r w:rsidRPr="00967AC5">
        <w:rPr>
          <w:rStyle w:val="Emphasis"/>
          <w:i w:val="0"/>
        </w:rPr>
        <w:t>L-DACS</w:t>
      </w:r>
      <w:r w:rsidR="003F4C04" w:rsidRPr="00967AC5">
        <w:rPr>
          <w:rStyle w:val="Emphasis"/>
          <w:i w:val="0"/>
          <w:iCs/>
        </w:rPr>
        <w:t>-</w:t>
      </w:r>
      <w:r w:rsidRPr="00967AC5">
        <w:rPr>
          <w:rStyle w:val="Emphasis"/>
          <w:i w:val="0"/>
        </w:rPr>
        <w:t>2 airborne transmitters will not cause any interference to UMTS terminals, when the distance between the aircraft and an outdoor UMTS terminal is greater than 8.6 km, with a L-DACS</w:t>
      </w:r>
      <w:r w:rsidR="003F4C04" w:rsidRPr="00967AC5">
        <w:rPr>
          <w:rStyle w:val="Emphasis"/>
          <w:i w:val="0"/>
          <w:iCs/>
        </w:rPr>
        <w:t>-</w:t>
      </w:r>
      <w:r w:rsidRPr="00967AC5">
        <w:rPr>
          <w:rStyle w:val="Emphasis"/>
          <w:i w:val="0"/>
        </w:rPr>
        <w:t>2 transmitting frequency of 960</w:t>
      </w:r>
      <w:r w:rsidR="007B6ACF" w:rsidRPr="00967AC5">
        <w:rPr>
          <w:rStyle w:val="Emphasis"/>
          <w:i w:val="0"/>
        </w:rPr>
        <w:t>.</w:t>
      </w:r>
      <w:r w:rsidRPr="00967AC5">
        <w:rPr>
          <w:rStyle w:val="Emphasis"/>
          <w:i w:val="0"/>
        </w:rPr>
        <w:t>1 MHz. For a L-DACS</w:t>
      </w:r>
      <w:r w:rsidR="003F4C04" w:rsidRPr="00967AC5">
        <w:rPr>
          <w:rStyle w:val="Emphasis"/>
          <w:i w:val="0"/>
          <w:iCs/>
        </w:rPr>
        <w:t>-</w:t>
      </w:r>
      <w:r w:rsidRPr="00967AC5">
        <w:rPr>
          <w:rStyle w:val="Emphasis"/>
          <w:i w:val="0"/>
        </w:rPr>
        <w:t>2 transmitting frequency of 962</w:t>
      </w:r>
      <w:r w:rsidR="007B6ACF" w:rsidRPr="00967AC5">
        <w:rPr>
          <w:rStyle w:val="Emphasis"/>
          <w:i w:val="0"/>
        </w:rPr>
        <w:t>.</w:t>
      </w:r>
      <w:r w:rsidRPr="00967AC5">
        <w:rPr>
          <w:rStyle w:val="Emphasis"/>
          <w:i w:val="0"/>
        </w:rPr>
        <w:t>6 MHz, this distance becomes 6.5</w:t>
      </w:r>
      <w:r w:rsidR="00AD497A" w:rsidRPr="00967AC5">
        <w:rPr>
          <w:rStyle w:val="Emphasis"/>
          <w:i w:val="0"/>
          <w:iCs/>
        </w:rPr>
        <w:t> </w:t>
      </w:r>
      <w:r w:rsidRPr="00967AC5">
        <w:rPr>
          <w:rStyle w:val="Emphasis"/>
          <w:i w:val="0"/>
        </w:rPr>
        <w:t xml:space="preserve">km. The limiting factor is currently the selectivity of the UMTS </w:t>
      </w:r>
      <w:r w:rsidR="003F4C04" w:rsidRPr="00967AC5">
        <w:rPr>
          <w:rStyle w:val="Emphasis"/>
          <w:i w:val="0"/>
          <w:iCs/>
        </w:rPr>
        <w:t>terminal</w:t>
      </w:r>
      <w:r w:rsidR="00323A81" w:rsidRPr="00967AC5">
        <w:rPr>
          <w:rStyle w:val="Emphasis"/>
          <w:i w:val="0"/>
          <w:iCs/>
        </w:rPr>
        <w:t xml:space="preserve"> station</w:t>
      </w:r>
      <w:r w:rsidRPr="00967AC5">
        <w:rPr>
          <w:rStyle w:val="Emphasis"/>
          <w:i w:val="0"/>
        </w:rPr>
        <w:t>.</w:t>
      </w:r>
    </w:p>
    <w:p w14:paraId="46C82175" w14:textId="71842CE5" w:rsidR="00AD30FA" w:rsidRPr="00967AC5" w:rsidRDefault="00AD30FA" w:rsidP="00ED4D15">
      <w:pPr>
        <w:pStyle w:val="ECCBulletsLv1"/>
        <w:rPr>
          <w:rStyle w:val="Emphasis"/>
          <w:i w:val="0"/>
        </w:rPr>
      </w:pPr>
      <w:r w:rsidRPr="00967AC5">
        <w:rPr>
          <w:rStyle w:val="Emphasis"/>
          <w:i w:val="0"/>
        </w:rPr>
        <w:t>L-DACS</w:t>
      </w:r>
      <w:r w:rsidR="003F4C04" w:rsidRPr="00967AC5">
        <w:rPr>
          <w:rStyle w:val="Emphasis"/>
          <w:i w:val="0"/>
          <w:iCs/>
        </w:rPr>
        <w:t>-</w:t>
      </w:r>
      <w:r w:rsidRPr="00967AC5">
        <w:rPr>
          <w:rStyle w:val="Emphasis"/>
          <w:i w:val="0"/>
        </w:rPr>
        <w:t xml:space="preserve">2 ground stations could cause </w:t>
      </w:r>
      <w:r w:rsidR="00FE7541" w:rsidRPr="00967AC5">
        <w:rPr>
          <w:rStyle w:val="Emphasis"/>
          <w:i w:val="0"/>
        </w:rPr>
        <w:t>desensiti</w:t>
      </w:r>
      <w:r w:rsidR="00FE7541" w:rsidRPr="00967AC5">
        <w:rPr>
          <w:rStyle w:val="Emphasis"/>
          <w:i w:val="0"/>
          <w:iCs/>
        </w:rPr>
        <w:t>s</w:t>
      </w:r>
      <w:r w:rsidR="00FE7541" w:rsidRPr="00967AC5">
        <w:rPr>
          <w:rStyle w:val="Emphasis"/>
          <w:i w:val="0"/>
        </w:rPr>
        <w:t xml:space="preserve">ation </w:t>
      </w:r>
      <w:r w:rsidRPr="00967AC5">
        <w:rPr>
          <w:rStyle w:val="Emphasis"/>
          <w:i w:val="0"/>
        </w:rPr>
        <w:t xml:space="preserve">to UMTS terminals at a distance up to 17.5 km, depending on the propagation characteristics in the area considered and </w:t>
      </w:r>
      <w:r w:rsidR="00FE7541" w:rsidRPr="00967AC5">
        <w:rPr>
          <w:rStyle w:val="Emphasis"/>
          <w:i w:val="0"/>
          <w:iCs/>
        </w:rPr>
        <w:t xml:space="preserve">the </w:t>
      </w:r>
      <w:r w:rsidRPr="00967AC5">
        <w:rPr>
          <w:rStyle w:val="Emphasis"/>
          <w:i w:val="0"/>
        </w:rPr>
        <w:t xml:space="preserve">L-DACS 2 ground station antenna height, with </w:t>
      </w:r>
      <w:r w:rsidRPr="00967AC5">
        <w:rPr>
          <w:rStyle w:val="Emphasis"/>
          <w:i w:val="0"/>
          <w:iCs/>
        </w:rPr>
        <w:t>a</w:t>
      </w:r>
      <w:r w:rsidR="00FE7541" w:rsidRPr="00967AC5">
        <w:rPr>
          <w:rStyle w:val="Emphasis"/>
          <w:i w:val="0"/>
          <w:iCs/>
        </w:rPr>
        <w:t>n</w:t>
      </w:r>
      <w:r w:rsidRPr="00967AC5">
        <w:rPr>
          <w:rStyle w:val="Emphasis"/>
          <w:i w:val="0"/>
        </w:rPr>
        <w:t xml:space="preserve"> L-DACS</w:t>
      </w:r>
      <w:r w:rsidR="003F4C04" w:rsidRPr="00967AC5">
        <w:rPr>
          <w:rStyle w:val="Emphasis"/>
          <w:i w:val="0"/>
          <w:iCs/>
        </w:rPr>
        <w:t>-</w:t>
      </w:r>
      <w:r w:rsidRPr="00967AC5">
        <w:rPr>
          <w:rStyle w:val="Emphasis"/>
          <w:i w:val="0"/>
        </w:rPr>
        <w:t>2 transmitting frequency of 960</w:t>
      </w:r>
      <w:r w:rsidR="0083081D" w:rsidRPr="00967AC5">
        <w:rPr>
          <w:rStyle w:val="Emphasis"/>
          <w:i w:val="0"/>
        </w:rPr>
        <w:t>.</w:t>
      </w:r>
      <w:r w:rsidRPr="00967AC5">
        <w:rPr>
          <w:rStyle w:val="Emphasis"/>
          <w:i w:val="0"/>
        </w:rPr>
        <w:t xml:space="preserve">1 MHz. For </w:t>
      </w:r>
      <w:r w:rsidRPr="00967AC5">
        <w:rPr>
          <w:rStyle w:val="Emphasis"/>
          <w:i w:val="0"/>
          <w:iCs/>
        </w:rPr>
        <w:t>a</w:t>
      </w:r>
      <w:r w:rsidR="00FE7541" w:rsidRPr="00967AC5">
        <w:rPr>
          <w:rStyle w:val="Emphasis"/>
          <w:i w:val="0"/>
          <w:iCs/>
        </w:rPr>
        <w:t>n</w:t>
      </w:r>
      <w:r w:rsidRPr="00967AC5">
        <w:rPr>
          <w:rStyle w:val="Emphasis"/>
          <w:i w:val="0"/>
        </w:rPr>
        <w:t xml:space="preserve"> L-DACS</w:t>
      </w:r>
      <w:r w:rsidR="003F4C04" w:rsidRPr="00967AC5">
        <w:rPr>
          <w:rStyle w:val="Emphasis"/>
          <w:i w:val="0"/>
          <w:iCs/>
        </w:rPr>
        <w:t>-</w:t>
      </w:r>
      <w:r w:rsidRPr="00967AC5">
        <w:rPr>
          <w:rStyle w:val="Emphasis"/>
          <w:i w:val="0"/>
        </w:rPr>
        <w:t xml:space="preserve">2 transmitting frequency of </w:t>
      </w:r>
      <w:r w:rsidR="004608E1" w:rsidRPr="00967AC5">
        <w:rPr>
          <w:rStyle w:val="Emphasis"/>
          <w:i w:val="0"/>
        </w:rPr>
        <w:t xml:space="preserve">962.6 </w:t>
      </w:r>
      <w:r w:rsidRPr="00967AC5">
        <w:rPr>
          <w:rStyle w:val="Emphasis"/>
          <w:i w:val="0"/>
        </w:rPr>
        <w:t xml:space="preserve">MHz, this distance becomes 14.7 km. The limiting factor is currently the selectivity of the UMTS </w:t>
      </w:r>
      <w:r w:rsidR="003F4C04" w:rsidRPr="00967AC5">
        <w:rPr>
          <w:rStyle w:val="Emphasis"/>
          <w:i w:val="0"/>
          <w:iCs/>
        </w:rPr>
        <w:t>terminal</w:t>
      </w:r>
      <w:r w:rsidR="00323A81" w:rsidRPr="00967AC5">
        <w:rPr>
          <w:rStyle w:val="Emphasis"/>
          <w:i w:val="0"/>
          <w:iCs/>
        </w:rPr>
        <w:t xml:space="preserve"> station</w:t>
      </w:r>
      <w:r w:rsidRPr="00967AC5">
        <w:rPr>
          <w:rStyle w:val="Emphasis"/>
          <w:i w:val="0"/>
        </w:rPr>
        <w:t>.</w:t>
      </w:r>
    </w:p>
    <w:p w14:paraId="06B85AA0" w14:textId="76BB48BF" w:rsidR="00AD30FA" w:rsidRPr="00967AC5" w:rsidRDefault="00AD30FA" w:rsidP="00ED4D15">
      <w:pPr>
        <w:pStyle w:val="ECCBulletsLv1"/>
        <w:rPr>
          <w:rStyle w:val="Emphasis"/>
          <w:i w:val="0"/>
          <w:iCs/>
        </w:rPr>
      </w:pPr>
      <w:r w:rsidRPr="00967AC5">
        <w:rPr>
          <w:rStyle w:val="Emphasis"/>
          <w:i w:val="0"/>
          <w:iCs/>
        </w:rPr>
        <w:t xml:space="preserve">No interference from UMTS base stations to DME airborne receivers is expected above 972 MHz. </w:t>
      </w:r>
      <w:r w:rsidR="007D0D59" w:rsidRPr="00967AC5">
        <w:rPr>
          <w:rStyle w:val="Emphasis"/>
          <w:i w:val="0"/>
        </w:rPr>
        <w:t>B</w:t>
      </w:r>
      <w:r w:rsidR="007D0D59" w:rsidRPr="00967AC5">
        <w:rPr>
          <w:rStyle w:val="Emphasis"/>
          <w:i w:val="0"/>
          <w:iCs/>
        </w:rPr>
        <w:t>elow</w:t>
      </w:r>
      <w:r w:rsidR="007D0D59" w:rsidRPr="00967AC5">
        <w:rPr>
          <w:rStyle w:val="Emphasis"/>
          <w:i w:val="0"/>
        </w:rPr>
        <w:t xml:space="preserve"> </w:t>
      </w:r>
      <w:r w:rsidRPr="00967AC5">
        <w:rPr>
          <w:rStyle w:val="Emphasis"/>
          <w:i w:val="0"/>
        </w:rPr>
        <w:t>9</w:t>
      </w:r>
      <w:r w:rsidRPr="00967AC5">
        <w:rPr>
          <w:rStyle w:val="Emphasis"/>
          <w:i w:val="0"/>
          <w:iCs/>
        </w:rPr>
        <w:t xml:space="preserve">72 MHz some interference, in the order of 3 to 4 dB, may occur at low altitudes for the mixed-urban case. </w:t>
      </w:r>
    </w:p>
    <w:p w14:paraId="69796CC9" w14:textId="77777777" w:rsidR="00AD30FA" w:rsidRPr="00967AC5" w:rsidRDefault="00AD30FA" w:rsidP="00ED4D15">
      <w:pPr>
        <w:pStyle w:val="ECCBulletsLv1"/>
        <w:rPr>
          <w:rStyle w:val="Emphasis"/>
          <w:i w:val="0"/>
          <w:iCs/>
        </w:rPr>
      </w:pPr>
      <w:r w:rsidRPr="00967AC5">
        <w:rPr>
          <w:rStyle w:val="Emphasis"/>
          <w:i w:val="0"/>
          <w:iCs/>
        </w:rPr>
        <w:t xml:space="preserve">L-DACS airborne receivers are no more sensitive to interference than DME. </w:t>
      </w:r>
    </w:p>
    <w:p w14:paraId="724F51DA" w14:textId="59581CE6" w:rsidR="00AD30FA" w:rsidRPr="00967AC5" w:rsidRDefault="00AD30FA" w:rsidP="00ED4D15">
      <w:pPr>
        <w:pStyle w:val="ECCBulletsLv1"/>
        <w:rPr>
          <w:rStyle w:val="Emphasis"/>
          <w:i w:val="0"/>
          <w:iCs/>
        </w:rPr>
      </w:pPr>
      <w:r w:rsidRPr="00967AC5">
        <w:rPr>
          <w:rStyle w:val="Emphasis"/>
          <w:i w:val="0"/>
          <w:iCs/>
        </w:rPr>
        <w:t>UMTS base station transmissions may cause interference to L-DACS ground stations, if these stations are deployed in the lowest part of the band, and if the L-DACS TDD option is selected, in the order of 17–25</w:t>
      </w:r>
      <w:r w:rsidR="00AD497A" w:rsidRPr="00967AC5">
        <w:rPr>
          <w:rStyle w:val="Emphasis"/>
          <w:i w:val="0"/>
          <w:iCs/>
        </w:rPr>
        <w:t> </w:t>
      </w:r>
      <w:r w:rsidRPr="00967AC5">
        <w:rPr>
          <w:rStyle w:val="Emphasis"/>
          <w:i w:val="0"/>
          <w:iCs/>
        </w:rPr>
        <w:t>dB, depending on the distance from the ground station to the nearest base station. If the FDD (L</w:t>
      </w:r>
      <w:r w:rsidR="00DE5DC6" w:rsidRPr="00967AC5">
        <w:rPr>
          <w:rStyle w:val="Emphasis"/>
          <w:i w:val="0"/>
        </w:rPr>
        <w:t>-</w:t>
      </w:r>
      <w:r w:rsidRPr="00967AC5">
        <w:rPr>
          <w:rStyle w:val="Emphasis"/>
          <w:i w:val="0"/>
          <w:iCs/>
        </w:rPr>
        <w:t>DACS</w:t>
      </w:r>
      <w:r w:rsidRPr="00967AC5">
        <w:rPr>
          <w:rStyle w:val="Emphasis"/>
          <w:i w:val="0"/>
        </w:rPr>
        <w:t>-1) option</w:t>
      </w:r>
      <w:r w:rsidRPr="00967AC5">
        <w:rPr>
          <w:rStyle w:val="Emphasis"/>
          <w:i w:val="0"/>
          <w:iCs/>
        </w:rPr>
        <w:t xml:space="preserve"> is chosen and the associated ground stations receive at frequencies far above 960 MHz, then the interference from UMTS base stations to these ground stations would be alleviated.</w:t>
      </w:r>
    </w:p>
    <w:p w14:paraId="68041B8B" w14:textId="77777777" w:rsidR="00AD30FA" w:rsidRPr="00967AC5" w:rsidRDefault="00AD30FA" w:rsidP="00ED4D15">
      <w:pPr>
        <w:pStyle w:val="ECCParagraph"/>
      </w:pPr>
    </w:p>
    <w:p w14:paraId="00A18D60" w14:textId="245983C4" w:rsidR="00AD30FA" w:rsidRPr="00967AC5" w:rsidRDefault="00AD30FA" w:rsidP="00ED4D15">
      <w:pPr>
        <w:pStyle w:val="ECCParagraph"/>
        <w:rPr>
          <w:i/>
        </w:rPr>
      </w:pPr>
      <w:r w:rsidRPr="00967AC5">
        <w:rPr>
          <w:rFonts w:eastAsia="Calibri" w:cs="Arial"/>
          <w:iCs/>
        </w:rPr>
        <w:t xml:space="preserve">In addition, CEPT </w:t>
      </w:r>
      <w:r w:rsidR="00E23EA9" w:rsidRPr="00967AC5">
        <w:rPr>
          <w:rFonts w:eastAsia="Calibri" w:cs="Arial"/>
          <w:iCs/>
        </w:rPr>
        <w:t>R</w:t>
      </w:r>
      <w:r w:rsidRPr="00967AC5">
        <w:rPr>
          <w:rFonts w:eastAsia="Calibri" w:cs="Arial"/>
          <w:iCs/>
        </w:rPr>
        <w:t xml:space="preserve">eport 41 concludes in its </w:t>
      </w:r>
      <w:r w:rsidR="0012303E" w:rsidRPr="00967AC5">
        <w:rPr>
          <w:rFonts w:eastAsia="Calibri" w:cs="Arial"/>
          <w:iCs/>
        </w:rPr>
        <w:t>e</w:t>
      </w:r>
      <w:r w:rsidR="0012303E" w:rsidRPr="00967AC5">
        <w:rPr>
          <w:rFonts w:eastAsia="Calibri"/>
        </w:rPr>
        <w:t>xecutive</w:t>
      </w:r>
      <w:r w:rsidR="0012303E" w:rsidRPr="00967AC5">
        <w:rPr>
          <w:rFonts w:eastAsia="Calibri" w:cs="Arial"/>
          <w:iCs/>
        </w:rPr>
        <w:t xml:space="preserve"> </w:t>
      </w:r>
      <w:r w:rsidRPr="00967AC5">
        <w:rPr>
          <w:rFonts w:eastAsia="Calibri" w:cs="Arial"/>
          <w:iCs/>
        </w:rPr>
        <w:t xml:space="preserve">summary that </w:t>
      </w:r>
      <w:r w:rsidR="00563B44" w:rsidRPr="00967AC5">
        <w:rPr>
          <w:rFonts w:eastAsia="Calibri" w:cs="Arial"/>
          <w:iCs/>
        </w:rPr>
        <w:t>“</w:t>
      </w:r>
      <w:r w:rsidRPr="00967AC5">
        <w:rPr>
          <w:rFonts w:cs="Arial"/>
          <w:i/>
        </w:rPr>
        <w:t>the LTE and WiMAX BS masks for the 900 MHz bands are aligned with the UMTS900</w:t>
      </w:r>
      <w:r w:rsidRPr="00967AC5">
        <w:rPr>
          <w:i/>
        </w:rPr>
        <w:t xml:space="preserve"> mask for all the LTE/WiMAX channelisation bandwidth available and are expected to have similar characteristics in terms of average power. Similarly, the protection criteria of LTE and WiMAX terminals is aligned with that of UMTS, and hence the conclusions regarding interference between UMTS and DME/L-DACS should be applicable to the scenarios involving LTE/WiMAX on one side and DME/L-DACS on the other side, for the same signal bandwidth.</w:t>
      </w:r>
    </w:p>
    <w:p w14:paraId="50B9423D" w14:textId="5EDC4139" w:rsidR="00AD30FA" w:rsidRPr="00967AC5" w:rsidRDefault="00AD30FA" w:rsidP="00ED4D15">
      <w:pPr>
        <w:pStyle w:val="ECCParagraph"/>
      </w:pPr>
      <w:r w:rsidRPr="00967AC5">
        <w:rPr>
          <w:i/>
        </w:rPr>
        <w:t>When considering LTE/WiMAX with higher carrier bandwidth (&gt; 5MHz), the compatibility results should be improved. With a large number of interferers with lower bandwidths (&lt; 5 MHz) the aggregate interference from LTE would increase. However, it is not expected that LTE will be deployed with lower bandwidth. Bandwidth different from 5 MHz for LTE/WiMAX has not been addressed in detail</w:t>
      </w:r>
      <w:r w:rsidRPr="00967AC5">
        <w:t>.</w:t>
      </w:r>
      <w:r w:rsidR="00563B44" w:rsidRPr="00967AC5">
        <w:t>”</w:t>
      </w:r>
    </w:p>
    <w:p w14:paraId="0F85112A" w14:textId="1920B260" w:rsidR="00AD30FA" w:rsidRPr="00967AC5" w:rsidRDefault="00AD30FA" w:rsidP="00ED4D15">
      <w:pPr>
        <w:pStyle w:val="ECCParagraph"/>
        <w:rPr>
          <w:rFonts w:cs="Arial"/>
          <w:iCs/>
        </w:rPr>
      </w:pPr>
      <w:r w:rsidRPr="00967AC5">
        <w:rPr>
          <w:rFonts w:cs="Arial"/>
          <w:iCs/>
        </w:rPr>
        <w:t xml:space="preserve">Moreover the ECC </w:t>
      </w:r>
      <w:r w:rsidR="00E23EA9" w:rsidRPr="00967AC5">
        <w:rPr>
          <w:rFonts w:cs="Arial"/>
          <w:iCs/>
        </w:rPr>
        <w:t>R</w:t>
      </w:r>
      <w:r w:rsidRPr="00967AC5">
        <w:rPr>
          <w:rFonts w:cs="Arial"/>
          <w:iCs/>
        </w:rPr>
        <w:t xml:space="preserve">eport 266 </w:t>
      </w:r>
      <w:r w:rsidR="007B6ACF" w:rsidRPr="00967AC5">
        <w:rPr>
          <w:rFonts w:cs="Arial"/>
          <w:iCs/>
        </w:rPr>
        <w:fldChar w:fldCharType="begin"/>
      </w:r>
      <w:r w:rsidR="007B6ACF" w:rsidRPr="00967AC5">
        <w:rPr>
          <w:rFonts w:cs="Arial"/>
          <w:iCs/>
        </w:rPr>
        <w:instrText xml:space="preserve"> REF _Ref63337447 \r \h </w:instrText>
      </w:r>
      <w:r w:rsidR="002505BC" w:rsidRPr="00967AC5">
        <w:rPr>
          <w:rFonts w:cs="Arial"/>
          <w:iCs/>
        </w:rPr>
        <w:instrText xml:space="preserve"> \* MERGEFORMAT </w:instrText>
      </w:r>
      <w:r w:rsidR="007B6ACF" w:rsidRPr="00967AC5">
        <w:rPr>
          <w:rFonts w:cs="Arial"/>
          <w:iCs/>
        </w:rPr>
      </w:r>
      <w:r w:rsidR="007B6ACF" w:rsidRPr="00967AC5">
        <w:rPr>
          <w:rFonts w:cs="Arial"/>
          <w:iCs/>
        </w:rPr>
        <w:fldChar w:fldCharType="separate"/>
      </w:r>
      <w:r w:rsidR="00680BB5" w:rsidRPr="00967AC5">
        <w:rPr>
          <w:rFonts w:cs="Arial"/>
          <w:iCs/>
        </w:rPr>
        <w:t>[5]</w:t>
      </w:r>
      <w:r w:rsidR="007B6ACF" w:rsidRPr="00967AC5">
        <w:rPr>
          <w:rFonts w:cs="Arial"/>
          <w:iCs/>
        </w:rPr>
        <w:fldChar w:fldCharType="end"/>
      </w:r>
      <w:r w:rsidR="007B6ACF" w:rsidRPr="00967AC5">
        <w:rPr>
          <w:rFonts w:cs="Arial"/>
          <w:iCs/>
        </w:rPr>
        <w:t xml:space="preserve"> </w:t>
      </w:r>
      <w:r w:rsidRPr="00967AC5">
        <w:rPr>
          <w:rFonts w:cs="Arial"/>
          <w:iCs/>
        </w:rPr>
        <w:t>in its section 5.4 concluded that “</w:t>
      </w:r>
      <w:r w:rsidRPr="00967AC5">
        <w:rPr>
          <w:rFonts w:cs="Arial"/>
          <w:i/>
          <w:iCs/>
        </w:rPr>
        <w:t xml:space="preserve">standalone NB-IoT equipment complying with the relevant technical conditions (maximum permitted </w:t>
      </w:r>
      <w:r w:rsidR="00D86905" w:rsidRPr="00967AC5">
        <w:rPr>
          <w:rFonts w:cs="Arial"/>
          <w:i/>
          <w:iCs/>
        </w:rPr>
        <w:t>e.i.r.p.</w:t>
      </w:r>
      <w:r w:rsidRPr="00967AC5">
        <w:rPr>
          <w:rFonts w:cs="Arial"/>
          <w:i/>
          <w:iCs/>
        </w:rPr>
        <w:t xml:space="preserve"> and minimum frequency separations from other adjacent services) which apply in the context of GSM, may be deployed in the 900/1800 MHz bands without any increase in the likelihood of harmful interference</w:t>
      </w:r>
      <w:r w:rsidRPr="00967AC5">
        <w:rPr>
          <w:rFonts w:cs="Arial"/>
          <w:iCs/>
        </w:rPr>
        <w:t>.</w:t>
      </w:r>
      <w:r w:rsidR="001E4C94" w:rsidRPr="00967AC5">
        <w:rPr>
          <w:rFonts w:cs="Arial"/>
          <w:iCs/>
        </w:rPr>
        <w:t>”</w:t>
      </w:r>
      <w:r w:rsidRPr="00967AC5">
        <w:rPr>
          <w:rFonts w:cs="Arial"/>
          <w:iCs/>
        </w:rPr>
        <w:t xml:space="preserve"> </w:t>
      </w:r>
    </w:p>
    <w:p w14:paraId="666494BD" w14:textId="0D260C09" w:rsidR="00AD30FA" w:rsidRPr="00967AC5" w:rsidRDefault="00AD30FA" w:rsidP="00ED4D15">
      <w:pPr>
        <w:pStyle w:val="ECCParagraph"/>
        <w:rPr>
          <w:rFonts w:cs="Arial"/>
          <w:i/>
          <w:iCs/>
        </w:rPr>
      </w:pPr>
      <w:r w:rsidRPr="00967AC5">
        <w:rPr>
          <w:rFonts w:cs="Arial"/>
          <w:iCs/>
        </w:rPr>
        <w:t xml:space="preserve">ECC </w:t>
      </w:r>
      <w:r w:rsidR="00E23EA9" w:rsidRPr="00967AC5">
        <w:rPr>
          <w:rFonts w:cs="Arial"/>
          <w:iCs/>
        </w:rPr>
        <w:t>R</w:t>
      </w:r>
      <w:r w:rsidRPr="00967AC5">
        <w:rPr>
          <w:rFonts w:cs="Arial"/>
          <w:iCs/>
        </w:rPr>
        <w:t xml:space="preserve">eport 297 </w:t>
      </w:r>
      <w:r w:rsidR="007B6ACF" w:rsidRPr="00967AC5">
        <w:rPr>
          <w:rFonts w:cs="Arial"/>
          <w:iCs/>
        </w:rPr>
        <w:fldChar w:fldCharType="begin"/>
      </w:r>
      <w:r w:rsidR="007B6ACF" w:rsidRPr="00967AC5">
        <w:rPr>
          <w:rFonts w:cs="Arial"/>
          <w:iCs/>
        </w:rPr>
        <w:instrText xml:space="preserve"> REF _Ref63337314 \r \h </w:instrText>
      </w:r>
      <w:r w:rsidR="002505BC" w:rsidRPr="00967AC5">
        <w:rPr>
          <w:rFonts w:cs="Arial"/>
          <w:iCs/>
        </w:rPr>
        <w:instrText xml:space="preserve"> \* MERGEFORMAT </w:instrText>
      </w:r>
      <w:r w:rsidR="007B6ACF" w:rsidRPr="00967AC5">
        <w:rPr>
          <w:rFonts w:cs="Arial"/>
          <w:iCs/>
        </w:rPr>
      </w:r>
      <w:r w:rsidR="007B6ACF" w:rsidRPr="00967AC5">
        <w:rPr>
          <w:rFonts w:cs="Arial"/>
          <w:iCs/>
        </w:rPr>
        <w:fldChar w:fldCharType="separate"/>
      </w:r>
      <w:r w:rsidR="00680BB5" w:rsidRPr="00967AC5">
        <w:rPr>
          <w:rFonts w:cs="Arial"/>
          <w:iCs/>
        </w:rPr>
        <w:t>[3]</w:t>
      </w:r>
      <w:r w:rsidR="007B6ACF" w:rsidRPr="00967AC5">
        <w:rPr>
          <w:rFonts w:cs="Arial"/>
          <w:iCs/>
        </w:rPr>
        <w:fldChar w:fldCharType="end"/>
      </w:r>
      <w:r w:rsidR="007B6ACF" w:rsidRPr="00967AC5">
        <w:rPr>
          <w:rFonts w:cs="Arial"/>
          <w:iCs/>
        </w:rPr>
        <w:t xml:space="preserve"> </w:t>
      </w:r>
      <w:r w:rsidRPr="00967AC5">
        <w:rPr>
          <w:rFonts w:cs="Arial"/>
          <w:iCs/>
        </w:rPr>
        <w:t xml:space="preserve">also states in </w:t>
      </w:r>
      <w:r w:rsidRPr="00967AC5">
        <w:t>it</w:t>
      </w:r>
      <w:r w:rsidR="005A14DF" w:rsidRPr="00967AC5">
        <w:rPr>
          <w:rFonts w:cs="Arial"/>
          <w:iCs/>
        </w:rPr>
        <w:t>s</w:t>
      </w:r>
      <w:r w:rsidRPr="00967AC5">
        <w:t xml:space="preserve"> section</w:t>
      </w:r>
      <w:r w:rsidRPr="00967AC5">
        <w:rPr>
          <w:rFonts w:cs="Arial"/>
          <w:iCs/>
        </w:rPr>
        <w:t xml:space="preserve"> 4.2.1.1 that </w:t>
      </w:r>
      <w:r w:rsidR="001E4C94" w:rsidRPr="00967AC5">
        <w:rPr>
          <w:rFonts w:cs="Arial"/>
          <w:iCs/>
        </w:rPr>
        <w:t>“</w:t>
      </w:r>
      <w:r w:rsidRPr="00967AC5">
        <w:rPr>
          <w:rFonts w:cs="Arial"/>
          <w:i/>
          <w:iCs/>
        </w:rPr>
        <w:t>3GPP defined for NR BS and UE similar TX and RX requirements as those defined for LTE and used in CEPT Report 41.</w:t>
      </w:r>
    </w:p>
    <w:p w14:paraId="3BAAF42C" w14:textId="77777777" w:rsidR="00AD30FA" w:rsidRPr="00967AC5" w:rsidRDefault="00AD30FA" w:rsidP="00ED4D15">
      <w:pPr>
        <w:pStyle w:val="ECCParagraph"/>
        <w:rPr>
          <w:rFonts w:cs="Arial"/>
          <w:i/>
          <w:iCs/>
        </w:rPr>
      </w:pPr>
      <w:r w:rsidRPr="00967AC5">
        <w:rPr>
          <w:rFonts w:cs="Arial"/>
          <w:i/>
          <w:iCs/>
        </w:rPr>
        <w:lastRenderedPageBreak/>
        <w:t>Regarding the higher spectrum utilisation of NR compared to LTE for CBW &gt;5 MHz, the edge of the transmitted BW is always placed more than 300 kHz away from the NR channel edge. This fulfils the 200 kHz criteria that were set up for LTE in previous studies. NR does not use 1.4 or 3 MHz bandwidth.</w:t>
      </w:r>
    </w:p>
    <w:p w14:paraId="286609D6" w14:textId="05242A2D" w:rsidR="00AD30FA" w:rsidRPr="00967AC5" w:rsidRDefault="00AD30FA" w:rsidP="00ED4D15">
      <w:pPr>
        <w:pStyle w:val="ECCParagraph"/>
        <w:rPr>
          <w:rFonts w:cs="Arial"/>
          <w:i/>
          <w:iCs/>
        </w:rPr>
      </w:pPr>
      <w:r w:rsidRPr="00967AC5">
        <w:rPr>
          <w:rFonts w:cs="Arial"/>
          <w:i/>
          <w:iCs/>
        </w:rPr>
        <w:t>Therefore, the results of CEPT Report 41 and ECC Report 266 for compatibility between LTE and LTE + Guard Band IoT and adjacent systems can be extended to the NR system operation in 900/1800 MHz MFCN bands.</w:t>
      </w:r>
      <w:r w:rsidR="001E4C94" w:rsidRPr="00967AC5">
        <w:rPr>
          <w:rFonts w:cs="Arial"/>
          <w:i/>
          <w:iCs/>
        </w:rPr>
        <w:t>”</w:t>
      </w:r>
    </w:p>
    <w:p w14:paraId="67834809" w14:textId="77777777" w:rsidR="00AD30FA" w:rsidRPr="00967AC5" w:rsidRDefault="00AD30FA" w:rsidP="00ED4D15">
      <w:pPr>
        <w:pStyle w:val="ECCParagraph"/>
        <w:rPr>
          <w:rStyle w:val="ECCHLbold"/>
          <w:b w:val="0"/>
          <w:u w:val="single"/>
        </w:rPr>
      </w:pPr>
      <w:r w:rsidRPr="00967AC5">
        <w:rPr>
          <w:rStyle w:val="ECCHLbold"/>
          <w:b w:val="0"/>
          <w:u w:val="single"/>
        </w:rPr>
        <w:t>Conclusion:</w:t>
      </w:r>
    </w:p>
    <w:p w14:paraId="75D049CA" w14:textId="25E56E8F" w:rsidR="00AD30FA" w:rsidRPr="00967AC5" w:rsidRDefault="00AD30FA" w:rsidP="00ED4D15">
      <w:pPr>
        <w:pStyle w:val="ECCParagraph"/>
      </w:pPr>
      <w:r w:rsidRPr="00967AC5">
        <w:t xml:space="preserve">The conclusions of the above reports (CEPT </w:t>
      </w:r>
      <w:r w:rsidR="00E23EA9" w:rsidRPr="00967AC5">
        <w:t>R</w:t>
      </w:r>
      <w:r w:rsidRPr="00967AC5">
        <w:t xml:space="preserve">eport 41, ECC </w:t>
      </w:r>
      <w:r w:rsidR="00E23EA9" w:rsidRPr="00967AC5">
        <w:t>R</w:t>
      </w:r>
      <w:r w:rsidRPr="00967AC5">
        <w:t xml:space="preserve">eport 266/CEPT </w:t>
      </w:r>
      <w:r w:rsidR="00E23EA9" w:rsidRPr="00967AC5">
        <w:t>R</w:t>
      </w:r>
      <w:r w:rsidRPr="00967AC5">
        <w:t>eport 66</w:t>
      </w:r>
      <w:r w:rsidR="001126AA" w:rsidRPr="00967AC5">
        <w:t xml:space="preserve"> </w:t>
      </w:r>
      <w:r w:rsidR="001126AA" w:rsidRPr="00967AC5">
        <w:fldChar w:fldCharType="begin"/>
      </w:r>
      <w:r w:rsidR="001126AA" w:rsidRPr="00967AC5">
        <w:instrText xml:space="preserve"> REF _Ref63337482 \r \h </w:instrText>
      </w:r>
      <w:r w:rsidR="002505BC" w:rsidRPr="00967AC5">
        <w:instrText xml:space="preserve"> \* MERGEFORMAT </w:instrText>
      </w:r>
      <w:r w:rsidR="001126AA" w:rsidRPr="00967AC5">
        <w:fldChar w:fldCharType="separate"/>
      </w:r>
      <w:r w:rsidR="00680BB5" w:rsidRPr="00967AC5">
        <w:t>[10]</w:t>
      </w:r>
      <w:r w:rsidR="001126AA" w:rsidRPr="00967AC5">
        <w:fldChar w:fldCharType="end"/>
      </w:r>
      <w:r w:rsidRPr="00967AC5">
        <w:t xml:space="preserve">, ECC </w:t>
      </w:r>
      <w:r w:rsidR="00E23EA9" w:rsidRPr="00967AC5">
        <w:t>R</w:t>
      </w:r>
      <w:r w:rsidRPr="00967AC5">
        <w:t xml:space="preserve">eport 297) remain valid and coexistence between DME/L-DACS and MFCN </w:t>
      </w:r>
      <w:r w:rsidRPr="00967AC5">
        <w:rPr>
          <w:rFonts w:cs="Arial"/>
          <w:bCs/>
        </w:rPr>
        <w:t>(NB and WB) non-AAS systems complying with the technology</w:t>
      </w:r>
      <w:r w:rsidR="00F91806" w:rsidRPr="00967AC5">
        <w:rPr>
          <w:rFonts w:cs="Arial"/>
          <w:bCs/>
        </w:rPr>
        <w:t xml:space="preserve"> </w:t>
      </w:r>
      <w:r w:rsidRPr="00967AC5">
        <w:rPr>
          <w:rFonts w:cs="Arial"/>
          <w:bCs/>
        </w:rPr>
        <w:t xml:space="preserve">neutral </w:t>
      </w:r>
      <w:r w:rsidRPr="00967AC5">
        <w:t>LRTCs</w:t>
      </w:r>
      <w:r w:rsidRPr="00967AC5">
        <w:rPr>
          <w:rFonts w:cs="Arial"/>
          <w:bCs/>
        </w:rPr>
        <w:t xml:space="preserve"> (defined in </w:t>
      </w:r>
      <w:r w:rsidRPr="00967AC5">
        <w:t xml:space="preserve">section </w:t>
      </w:r>
      <w:r w:rsidR="00CE2935" w:rsidRPr="00967AC5">
        <w:fldChar w:fldCharType="begin"/>
      </w:r>
      <w:r w:rsidR="00CE2935" w:rsidRPr="00967AC5">
        <w:rPr>
          <w:rFonts w:cs="Arial"/>
          <w:bCs/>
        </w:rPr>
        <w:instrText xml:space="preserve"> REF _Ref60765224 \r \h </w:instrText>
      </w:r>
      <w:r w:rsidR="001C7C80" w:rsidRPr="00967AC5">
        <w:rPr>
          <w:rFonts w:cs="Arial"/>
          <w:bCs/>
        </w:rPr>
        <w:instrText xml:space="preserve"> \* MERGEFORMAT </w:instrText>
      </w:r>
      <w:r w:rsidR="00CE2935" w:rsidRPr="00967AC5">
        <w:fldChar w:fldCharType="separate"/>
      </w:r>
      <w:r w:rsidR="00680BB5" w:rsidRPr="00967AC5">
        <w:rPr>
          <w:rFonts w:cs="Arial"/>
          <w:bCs/>
        </w:rPr>
        <w:t>3.4</w:t>
      </w:r>
      <w:r w:rsidR="00CE2935" w:rsidRPr="00967AC5">
        <w:fldChar w:fldCharType="end"/>
      </w:r>
      <w:r w:rsidRPr="00967AC5">
        <w:t xml:space="preserve">) is ensured. </w:t>
      </w:r>
      <w:r w:rsidR="00CA1938" w:rsidRPr="00967AC5">
        <w:t>Therefore</w:t>
      </w:r>
      <w:r w:rsidRPr="00967AC5">
        <w:t>:</w:t>
      </w:r>
    </w:p>
    <w:p w14:paraId="2079D16B" w14:textId="6DCF243C" w:rsidR="00AD30FA" w:rsidRPr="00967AC5" w:rsidRDefault="00AD30FA" w:rsidP="00652ADB">
      <w:pPr>
        <w:pStyle w:val="ECCBulletsLv1"/>
        <w:rPr>
          <w:rStyle w:val="Emphasis"/>
          <w:i w:val="0"/>
          <w:iCs/>
        </w:rPr>
      </w:pPr>
      <w:r w:rsidRPr="00967AC5">
        <w:rPr>
          <w:rStyle w:val="Emphasis"/>
          <w:i w:val="0"/>
          <w:iCs/>
        </w:rPr>
        <w:t xml:space="preserve">No interference from MFCN base stations to DME airborne receivers is expected above 972 MHz. </w:t>
      </w:r>
      <w:r w:rsidR="00CA1938" w:rsidRPr="00967AC5">
        <w:rPr>
          <w:rStyle w:val="Emphasis"/>
          <w:i w:val="0"/>
        </w:rPr>
        <w:t>Below</w:t>
      </w:r>
      <w:r w:rsidR="00CA1938" w:rsidRPr="00967AC5">
        <w:rPr>
          <w:rStyle w:val="Emphasis"/>
          <w:i w:val="0"/>
          <w:iCs/>
        </w:rPr>
        <w:t xml:space="preserve"> </w:t>
      </w:r>
      <w:r w:rsidRPr="00967AC5">
        <w:rPr>
          <w:rStyle w:val="Emphasis"/>
          <w:i w:val="0"/>
          <w:iCs/>
        </w:rPr>
        <w:t>972 MHz some interference, in the order of 3 to 4 dB, may occur at low altitudes for the mixed-urban case. Nevertheless; no interference cases have been reported since the publication of those reports</w:t>
      </w:r>
      <w:r w:rsidR="00FD67EA" w:rsidRPr="00967AC5">
        <w:rPr>
          <w:rStyle w:val="Emphasis"/>
          <w:i w:val="0"/>
          <w:iCs/>
        </w:rPr>
        <w:t>;</w:t>
      </w:r>
    </w:p>
    <w:p w14:paraId="7C63B841" w14:textId="42100161" w:rsidR="00AD30FA" w:rsidRPr="00967AC5" w:rsidRDefault="00AD30FA" w:rsidP="00652ADB">
      <w:pPr>
        <w:pStyle w:val="ECCBulletsLv1"/>
        <w:rPr>
          <w:rStyle w:val="Emphasis"/>
          <w:i w:val="0"/>
          <w:iCs/>
        </w:rPr>
      </w:pPr>
      <w:r w:rsidRPr="00967AC5">
        <w:rPr>
          <w:rStyle w:val="Emphasis"/>
          <w:i w:val="0"/>
          <w:iCs/>
        </w:rPr>
        <w:t>L-DACS airborne receivers are no more sensitive to interference than DME</w:t>
      </w:r>
      <w:r w:rsidR="00FD67EA" w:rsidRPr="00967AC5">
        <w:rPr>
          <w:rStyle w:val="Emphasis"/>
          <w:i w:val="0"/>
          <w:iCs/>
        </w:rPr>
        <w:t>;</w:t>
      </w:r>
    </w:p>
    <w:p w14:paraId="18A09345" w14:textId="3EAE0C28" w:rsidR="00AD30FA" w:rsidRPr="00967AC5" w:rsidRDefault="00AD30FA" w:rsidP="00652ADB">
      <w:pPr>
        <w:pStyle w:val="ECCBulletsLv1"/>
        <w:rPr>
          <w:rStyle w:val="Emphasis"/>
          <w:i w:val="0"/>
          <w:iCs/>
        </w:rPr>
      </w:pPr>
      <w:r w:rsidRPr="00967AC5">
        <w:rPr>
          <w:rStyle w:val="Emphasis"/>
          <w:i w:val="0"/>
          <w:iCs/>
        </w:rPr>
        <w:t xml:space="preserve">MFCN base station transmissions may cause interference to L-DACS ground stations, if these stations are deployed in the lowest part of the band, and if the L-DACS TDD option is selected, in the order of 17 – 25 dB, depending on the distance from the ground station to the nearest base station. If the FDD </w:t>
      </w:r>
      <w:r w:rsidRPr="00967AC5">
        <w:rPr>
          <w:rStyle w:val="Emphasis"/>
          <w:i w:val="0"/>
        </w:rPr>
        <w:t>(</w:t>
      </w:r>
      <w:r w:rsidRPr="00967AC5">
        <w:rPr>
          <w:rStyle w:val="Emphasis"/>
          <w:i w:val="0"/>
          <w:iCs/>
        </w:rPr>
        <w:t>L</w:t>
      </w:r>
      <w:r w:rsidR="00CA1938" w:rsidRPr="00967AC5">
        <w:rPr>
          <w:rStyle w:val="Emphasis"/>
          <w:i w:val="0"/>
        </w:rPr>
        <w:t>-</w:t>
      </w:r>
      <w:r w:rsidRPr="00967AC5">
        <w:rPr>
          <w:rStyle w:val="Emphasis"/>
          <w:i w:val="0"/>
          <w:iCs/>
        </w:rPr>
        <w:t>DACS</w:t>
      </w:r>
      <w:r w:rsidR="00CA1938" w:rsidRPr="00967AC5">
        <w:rPr>
          <w:rStyle w:val="Emphasis"/>
          <w:i w:val="0"/>
          <w:iCs/>
        </w:rPr>
        <w:t xml:space="preserve"> </w:t>
      </w:r>
      <w:r w:rsidRPr="00967AC5">
        <w:rPr>
          <w:rStyle w:val="Emphasis"/>
          <w:i w:val="0"/>
        </w:rPr>
        <w:t>1)</w:t>
      </w:r>
      <w:r w:rsidRPr="00967AC5">
        <w:rPr>
          <w:rStyle w:val="Emphasis"/>
          <w:i w:val="0"/>
          <w:iCs/>
        </w:rPr>
        <w:t xml:space="preserve"> option is chosen and the associated ground stations receive at frequencies far above 960 MHz, then the interference from MFCN base stations to these ground stations would be alleviated</w:t>
      </w:r>
      <w:r w:rsidR="00FD67EA" w:rsidRPr="00967AC5">
        <w:rPr>
          <w:rStyle w:val="Emphasis"/>
          <w:i w:val="0"/>
          <w:iCs/>
        </w:rPr>
        <w:t>;</w:t>
      </w:r>
    </w:p>
    <w:p w14:paraId="633E8911" w14:textId="5213B78F" w:rsidR="00AD30FA" w:rsidRPr="00967AC5" w:rsidRDefault="00AD30FA" w:rsidP="00652ADB">
      <w:pPr>
        <w:pStyle w:val="ECCBulletsLv1"/>
        <w:rPr>
          <w:rStyle w:val="Emphasis"/>
          <w:i w:val="0"/>
        </w:rPr>
      </w:pPr>
      <w:r w:rsidRPr="00967AC5">
        <w:rPr>
          <w:rStyle w:val="Emphasis"/>
          <w:i w:val="0"/>
          <w:iCs/>
        </w:rPr>
        <w:t>L-</w:t>
      </w:r>
      <w:r w:rsidRPr="00967AC5">
        <w:rPr>
          <w:rStyle w:val="Emphasis"/>
          <w:i w:val="0"/>
        </w:rPr>
        <w:t>DACS</w:t>
      </w:r>
      <w:r w:rsidR="005A14DF" w:rsidRPr="00967AC5">
        <w:rPr>
          <w:rStyle w:val="Emphasis"/>
          <w:i w:val="0"/>
          <w:iCs/>
        </w:rPr>
        <w:t>-</w:t>
      </w:r>
      <w:r w:rsidRPr="00967AC5">
        <w:rPr>
          <w:rStyle w:val="Emphasis"/>
          <w:i w:val="0"/>
        </w:rPr>
        <w:t xml:space="preserve">2 airborne transmitters will not cause any interference to MFCN terminals, when the distance between the aircraft and an outdoor MFCN terminal is greater than 8.6 km, with </w:t>
      </w:r>
      <w:r w:rsidRPr="00967AC5">
        <w:rPr>
          <w:rStyle w:val="Emphasis"/>
          <w:i w:val="0"/>
          <w:iCs/>
        </w:rPr>
        <w:t>a</w:t>
      </w:r>
      <w:r w:rsidR="00075030" w:rsidRPr="00967AC5">
        <w:rPr>
          <w:rStyle w:val="Emphasis"/>
          <w:i w:val="0"/>
          <w:iCs/>
        </w:rPr>
        <w:t>n</w:t>
      </w:r>
      <w:r w:rsidRPr="00967AC5">
        <w:rPr>
          <w:rStyle w:val="Emphasis"/>
          <w:i w:val="0"/>
        </w:rPr>
        <w:t xml:space="preserve"> L-DACS</w:t>
      </w:r>
      <w:r w:rsidR="005A14DF" w:rsidRPr="00967AC5">
        <w:rPr>
          <w:rStyle w:val="Emphasis"/>
          <w:i w:val="0"/>
          <w:iCs/>
        </w:rPr>
        <w:t>-</w:t>
      </w:r>
      <w:r w:rsidRPr="00967AC5">
        <w:rPr>
          <w:rStyle w:val="Emphasis"/>
          <w:i w:val="0"/>
        </w:rPr>
        <w:t xml:space="preserve">2 transmitting frequency of </w:t>
      </w:r>
      <w:r w:rsidR="004608E1" w:rsidRPr="00967AC5">
        <w:rPr>
          <w:rStyle w:val="Emphasis"/>
          <w:i w:val="0"/>
        </w:rPr>
        <w:t>960</w:t>
      </w:r>
      <w:r w:rsidR="004608E1" w:rsidRPr="00967AC5">
        <w:rPr>
          <w:rStyle w:val="Emphasis"/>
          <w:i w:val="0"/>
          <w:iCs/>
        </w:rPr>
        <w:t>.</w:t>
      </w:r>
      <w:r w:rsidR="004608E1" w:rsidRPr="00967AC5">
        <w:rPr>
          <w:rStyle w:val="Emphasis"/>
          <w:i w:val="0"/>
        </w:rPr>
        <w:t>1</w:t>
      </w:r>
      <w:r w:rsidRPr="00967AC5">
        <w:rPr>
          <w:rStyle w:val="Emphasis"/>
          <w:i w:val="0"/>
        </w:rPr>
        <w:t xml:space="preserve"> MHz. For </w:t>
      </w:r>
      <w:r w:rsidRPr="00967AC5">
        <w:rPr>
          <w:rStyle w:val="Emphasis"/>
          <w:i w:val="0"/>
          <w:iCs/>
        </w:rPr>
        <w:t>a</w:t>
      </w:r>
      <w:r w:rsidR="00075030" w:rsidRPr="00967AC5">
        <w:rPr>
          <w:rStyle w:val="Emphasis"/>
          <w:i w:val="0"/>
          <w:iCs/>
        </w:rPr>
        <w:t>n</w:t>
      </w:r>
      <w:r w:rsidRPr="00967AC5">
        <w:rPr>
          <w:rStyle w:val="Emphasis"/>
          <w:i w:val="0"/>
        </w:rPr>
        <w:t xml:space="preserve"> L-DACS 2 transmitting frequency of </w:t>
      </w:r>
      <w:r w:rsidR="004608E1" w:rsidRPr="00967AC5">
        <w:rPr>
          <w:rStyle w:val="Emphasis"/>
          <w:i w:val="0"/>
        </w:rPr>
        <w:t>962</w:t>
      </w:r>
      <w:r w:rsidR="004608E1" w:rsidRPr="00967AC5">
        <w:rPr>
          <w:rStyle w:val="Emphasis"/>
          <w:i w:val="0"/>
          <w:iCs/>
        </w:rPr>
        <w:t>.</w:t>
      </w:r>
      <w:r w:rsidR="004608E1" w:rsidRPr="00967AC5">
        <w:rPr>
          <w:rStyle w:val="Emphasis"/>
          <w:i w:val="0"/>
        </w:rPr>
        <w:t xml:space="preserve">6 </w:t>
      </w:r>
      <w:r w:rsidRPr="00967AC5">
        <w:rPr>
          <w:rStyle w:val="Emphasis"/>
          <w:i w:val="0"/>
        </w:rPr>
        <w:t xml:space="preserve">MHz, this distance becomes 6.5 km. The limiting factor is currently the selectivity of the MFCN </w:t>
      </w:r>
      <w:r w:rsidR="005A14DF" w:rsidRPr="00967AC5">
        <w:rPr>
          <w:rStyle w:val="Emphasis"/>
          <w:i w:val="0"/>
          <w:iCs/>
        </w:rPr>
        <w:t>terminal</w:t>
      </w:r>
      <w:r w:rsidR="004D1EEF" w:rsidRPr="00967AC5">
        <w:rPr>
          <w:rStyle w:val="Emphasis"/>
          <w:i w:val="0"/>
          <w:iCs/>
        </w:rPr>
        <w:t xml:space="preserve"> station</w:t>
      </w:r>
      <w:r w:rsidR="00FD67EA" w:rsidRPr="00967AC5">
        <w:rPr>
          <w:rStyle w:val="Emphasis"/>
          <w:i w:val="0"/>
        </w:rPr>
        <w:t>;</w:t>
      </w:r>
    </w:p>
    <w:p w14:paraId="711D4A8F" w14:textId="5A36A6D8" w:rsidR="00AD30FA" w:rsidRPr="00967AC5" w:rsidRDefault="00AD30FA" w:rsidP="00652ADB">
      <w:pPr>
        <w:pStyle w:val="ECCBulletsLv1"/>
        <w:rPr>
          <w:rStyle w:val="Emphasis"/>
          <w:i w:val="0"/>
          <w:iCs/>
        </w:rPr>
      </w:pPr>
      <w:r w:rsidRPr="00967AC5">
        <w:rPr>
          <w:rStyle w:val="Emphasis"/>
          <w:i w:val="0"/>
        </w:rPr>
        <w:t>L-DACS</w:t>
      </w:r>
      <w:r w:rsidR="005A14DF" w:rsidRPr="00967AC5">
        <w:rPr>
          <w:rStyle w:val="Emphasis"/>
          <w:i w:val="0"/>
          <w:iCs/>
        </w:rPr>
        <w:t>-</w:t>
      </w:r>
      <w:r w:rsidRPr="00967AC5">
        <w:rPr>
          <w:rStyle w:val="Emphasis"/>
          <w:i w:val="0"/>
        </w:rPr>
        <w:t xml:space="preserve">2 ground stations could cause </w:t>
      </w:r>
      <w:r w:rsidR="00075030" w:rsidRPr="00967AC5">
        <w:rPr>
          <w:rStyle w:val="Emphasis"/>
          <w:i w:val="0"/>
        </w:rPr>
        <w:t>desensiti</w:t>
      </w:r>
      <w:r w:rsidR="00075030" w:rsidRPr="00967AC5">
        <w:rPr>
          <w:rStyle w:val="Emphasis"/>
          <w:i w:val="0"/>
          <w:iCs/>
        </w:rPr>
        <w:t>s</w:t>
      </w:r>
      <w:r w:rsidR="00075030" w:rsidRPr="00967AC5">
        <w:rPr>
          <w:rStyle w:val="Emphasis"/>
          <w:i w:val="0"/>
        </w:rPr>
        <w:t xml:space="preserve">ation </w:t>
      </w:r>
      <w:r w:rsidRPr="00967AC5">
        <w:rPr>
          <w:rStyle w:val="Emphasis"/>
          <w:i w:val="0"/>
        </w:rPr>
        <w:t>to MFCN terminals at a distance up to 17.5 km, depending on the propagation characteristics in the area considered and L-DACS</w:t>
      </w:r>
      <w:r w:rsidR="005A14DF" w:rsidRPr="00967AC5">
        <w:rPr>
          <w:rStyle w:val="Emphasis"/>
          <w:i w:val="0"/>
          <w:iCs/>
        </w:rPr>
        <w:t>-</w:t>
      </w:r>
      <w:r w:rsidRPr="00967AC5">
        <w:rPr>
          <w:rStyle w:val="Emphasis"/>
          <w:i w:val="0"/>
        </w:rPr>
        <w:t xml:space="preserve">2 ground station antenna height, with </w:t>
      </w:r>
      <w:r w:rsidRPr="00967AC5">
        <w:rPr>
          <w:rStyle w:val="Emphasis"/>
          <w:i w:val="0"/>
          <w:iCs/>
        </w:rPr>
        <w:t>a</w:t>
      </w:r>
      <w:r w:rsidR="00075030" w:rsidRPr="00967AC5">
        <w:rPr>
          <w:rStyle w:val="Emphasis"/>
          <w:i w:val="0"/>
          <w:iCs/>
        </w:rPr>
        <w:t>n</w:t>
      </w:r>
      <w:r w:rsidRPr="00967AC5">
        <w:rPr>
          <w:rStyle w:val="Emphasis"/>
          <w:i w:val="0"/>
        </w:rPr>
        <w:t xml:space="preserve"> L-DACS</w:t>
      </w:r>
      <w:r w:rsidR="005A14DF" w:rsidRPr="00967AC5">
        <w:rPr>
          <w:rStyle w:val="Emphasis"/>
          <w:i w:val="0"/>
          <w:iCs/>
        </w:rPr>
        <w:t>-</w:t>
      </w:r>
      <w:r w:rsidRPr="00967AC5">
        <w:rPr>
          <w:rStyle w:val="Emphasis"/>
          <w:i w:val="0"/>
        </w:rPr>
        <w:t xml:space="preserve">2 transmitting frequency of </w:t>
      </w:r>
      <w:r w:rsidR="004608E1" w:rsidRPr="00967AC5">
        <w:rPr>
          <w:rStyle w:val="Emphasis"/>
          <w:i w:val="0"/>
        </w:rPr>
        <w:t>960.1</w:t>
      </w:r>
      <w:r w:rsidRPr="00967AC5">
        <w:rPr>
          <w:rStyle w:val="Emphasis"/>
          <w:i w:val="0"/>
        </w:rPr>
        <w:t xml:space="preserve"> MHz. For </w:t>
      </w:r>
      <w:r w:rsidRPr="00967AC5">
        <w:rPr>
          <w:rStyle w:val="Emphasis"/>
          <w:i w:val="0"/>
          <w:iCs/>
        </w:rPr>
        <w:t>a</w:t>
      </w:r>
      <w:r w:rsidR="00075030" w:rsidRPr="00967AC5">
        <w:rPr>
          <w:rStyle w:val="Emphasis"/>
          <w:i w:val="0"/>
          <w:iCs/>
        </w:rPr>
        <w:t>n</w:t>
      </w:r>
      <w:r w:rsidRPr="00967AC5">
        <w:rPr>
          <w:rStyle w:val="Emphasis"/>
          <w:i w:val="0"/>
        </w:rPr>
        <w:t xml:space="preserve"> L-DACS</w:t>
      </w:r>
      <w:r w:rsidR="005A14DF" w:rsidRPr="00967AC5">
        <w:rPr>
          <w:rStyle w:val="Emphasis"/>
          <w:i w:val="0"/>
          <w:iCs/>
        </w:rPr>
        <w:t>-</w:t>
      </w:r>
      <w:r w:rsidRPr="00967AC5">
        <w:rPr>
          <w:rStyle w:val="Emphasis"/>
          <w:i w:val="0"/>
        </w:rPr>
        <w:t xml:space="preserve">2 transmitting frequency of </w:t>
      </w:r>
      <w:r w:rsidR="004608E1" w:rsidRPr="00967AC5">
        <w:rPr>
          <w:rStyle w:val="Emphasis"/>
          <w:i w:val="0"/>
        </w:rPr>
        <w:t xml:space="preserve">962.6 </w:t>
      </w:r>
      <w:r w:rsidRPr="00967AC5">
        <w:rPr>
          <w:rStyle w:val="Emphasis"/>
          <w:i w:val="0"/>
        </w:rPr>
        <w:t>MHz, this distance becomes 14.7 km. The limiting factor</w:t>
      </w:r>
      <w:r w:rsidRPr="00967AC5">
        <w:rPr>
          <w:rStyle w:val="Emphasis"/>
          <w:i w:val="0"/>
          <w:iCs/>
        </w:rPr>
        <w:t xml:space="preserve"> is currently the selectivity of the MFCN </w:t>
      </w:r>
      <w:r w:rsidR="005A14DF" w:rsidRPr="00967AC5">
        <w:rPr>
          <w:rStyle w:val="Emphasis"/>
          <w:i w:val="0"/>
          <w:iCs/>
        </w:rPr>
        <w:t>terminal</w:t>
      </w:r>
      <w:r w:rsidR="004D1EEF" w:rsidRPr="00967AC5">
        <w:rPr>
          <w:rStyle w:val="Emphasis"/>
          <w:i w:val="0"/>
          <w:iCs/>
        </w:rPr>
        <w:t xml:space="preserve"> station</w:t>
      </w:r>
      <w:r w:rsidRPr="00967AC5">
        <w:rPr>
          <w:rStyle w:val="Emphasis"/>
          <w:i w:val="0"/>
          <w:iCs/>
        </w:rPr>
        <w:t xml:space="preserve">. </w:t>
      </w:r>
    </w:p>
    <w:p w14:paraId="0BC233AF" w14:textId="77777777" w:rsidR="00AD30FA" w:rsidRPr="00967AC5" w:rsidRDefault="00AD30FA" w:rsidP="00652ADB">
      <w:pPr>
        <w:pStyle w:val="ECCParagraph"/>
        <w:rPr>
          <w:iCs/>
        </w:rPr>
      </w:pPr>
    </w:p>
    <w:p w14:paraId="34456B0F" w14:textId="5772A43D" w:rsidR="00AD30FA" w:rsidRPr="00967AC5" w:rsidRDefault="00AD30FA" w:rsidP="00652ADB">
      <w:pPr>
        <w:pStyle w:val="ECCParagraph"/>
        <w:rPr>
          <w:rFonts w:asciiTheme="minorBidi" w:hAnsiTheme="minorBidi" w:cstheme="minorBidi"/>
          <w:iCs/>
        </w:rPr>
      </w:pPr>
      <w:r w:rsidRPr="00967AC5">
        <w:rPr>
          <w:rFonts w:asciiTheme="minorBidi" w:hAnsiTheme="minorBidi" w:cstheme="minorBidi"/>
          <w:iCs/>
        </w:rPr>
        <w:t xml:space="preserve">L-DACS and L-DACS-2 RF parameters and assumptions have been documented by </w:t>
      </w:r>
      <w:r w:rsidR="000032CC" w:rsidRPr="00967AC5">
        <w:rPr>
          <w:rFonts w:asciiTheme="minorBidi" w:hAnsiTheme="minorBidi" w:cstheme="minorBidi"/>
          <w:iCs/>
        </w:rPr>
        <w:t xml:space="preserve">aeronautical </w:t>
      </w:r>
      <w:r w:rsidRPr="00967AC5">
        <w:rPr>
          <w:rFonts w:asciiTheme="minorBidi" w:hAnsiTheme="minorBidi" w:cstheme="minorBidi"/>
          <w:iCs/>
        </w:rPr>
        <w:t xml:space="preserve">authorities during the CEPT </w:t>
      </w:r>
      <w:r w:rsidR="009F694A" w:rsidRPr="00967AC5">
        <w:rPr>
          <w:rFonts w:asciiTheme="minorBidi" w:hAnsiTheme="minorBidi" w:cstheme="minorBidi"/>
          <w:iCs/>
        </w:rPr>
        <w:t>R</w:t>
      </w:r>
      <w:r w:rsidRPr="00967AC5">
        <w:rPr>
          <w:rFonts w:asciiTheme="minorBidi" w:hAnsiTheme="minorBidi" w:cstheme="minorBidi"/>
          <w:iCs/>
        </w:rPr>
        <w:t>eports 41 and 42 studies and have been considered unchanged for the purpose of this report.</w:t>
      </w:r>
    </w:p>
    <w:p w14:paraId="4CBBA133" w14:textId="77777777" w:rsidR="00AD30FA" w:rsidRPr="00967AC5" w:rsidRDefault="00AD30FA" w:rsidP="00652ADB">
      <w:pPr>
        <w:pStyle w:val="ECCParagraph"/>
      </w:pPr>
      <w:r w:rsidRPr="00967AC5">
        <w:t xml:space="preserve">It has been also assumed that both mobile industry and civil aviation industry have taken into due consideration the conclusions of those reports when developing future systems to be operated in relevant adjacent bands. </w:t>
      </w:r>
    </w:p>
    <w:p w14:paraId="63745408" w14:textId="3A042296" w:rsidR="00AD30FA" w:rsidRPr="00967AC5" w:rsidRDefault="00AE4B56" w:rsidP="00652ADB">
      <w:pPr>
        <w:pStyle w:val="ECCParagraph"/>
      </w:pPr>
      <w:r w:rsidRPr="00967AC5">
        <w:t>CEPT confirm</w:t>
      </w:r>
      <w:r w:rsidR="007D630D" w:rsidRPr="00967AC5">
        <w:t>s</w:t>
      </w:r>
      <w:r w:rsidRPr="00967AC5">
        <w:t xml:space="preserve"> that the </w:t>
      </w:r>
      <w:r w:rsidR="005A14DF" w:rsidRPr="00967AC5">
        <w:t xml:space="preserve">terminal </w:t>
      </w:r>
      <w:r w:rsidR="00991A35" w:rsidRPr="00967AC5">
        <w:t xml:space="preserve">station </w:t>
      </w:r>
      <w:r w:rsidRPr="00967AC5">
        <w:t xml:space="preserve">selectivity performance </w:t>
      </w:r>
      <w:r w:rsidR="00E471A7" w:rsidRPr="00967AC5">
        <w:t xml:space="preserve">has </w:t>
      </w:r>
      <w:r w:rsidRPr="00967AC5">
        <w:t>remained unchanged in ETSI standards in recent years at the time of writing this report.</w:t>
      </w:r>
      <w:r w:rsidRPr="00967AC5" w:rsidDel="00AE4B56">
        <w:t xml:space="preserve"> </w:t>
      </w:r>
    </w:p>
    <w:p w14:paraId="4BD358E7" w14:textId="0FA7C038" w:rsidR="00AD30FA" w:rsidRPr="00967AC5" w:rsidRDefault="00AD30FA" w:rsidP="00001EB9">
      <w:pPr>
        <w:pStyle w:val="Heading4"/>
      </w:pPr>
      <w:bookmarkStart w:id="137" w:name="_Toc71037834"/>
      <w:r w:rsidRPr="00967AC5">
        <w:t>Aeronautical Mobile Service Communication systems and MIDS</w:t>
      </w:r>
      <w:bookmarkEnd w:id="137"/>
    </w:p>
    <w:p w14:paraId="4358905A" w14:textId="77777777" w:rsidR="00AD30FA" w:rsidRPr="00967AC5" w:rsidRDefault="00AD30FA" w:rsidP="00460E20">
      <w:pPr>
        <w:pStyle w:val="ECCParagraph"/>
      </w:pPr>
      <w:r w:rsidRPr="00967AC5">
        <w:t>In order to avoid any new studies CEPT reused existing relevant CEPT/ECC deliverables, which are briefly summarised hereafter.</w:t>
      </w:r>
    </w:p>
    <w:p w14:paraId="0DF0F739" w14:textId="7A2DDF8A" w:rsidR="00AD30FA" w:rsidRPr="00967AC5" w:rsidRDefault="00AD30FA" w:rsidP="00460E20">
      <w:pPr>
        <w:pStyle w:val="ECCParagraph"/>
        <w:rPr>
          <w:rFonts w:cs="Arial"/>
        </w:rPr>
      </w:pPr>
      <w:r w:rsidRPr="00967AC5">
        <w:t xml:space="preserve">CEPT </w:t>
      </w:r>
      <w:r w:rsidR="009F694A" w:rsidRPr="00967AC5">
        <w:t>R</w:t>
      </w:r>
      <w:r w:rsidRPr="00967AC5">
        <w:t xml:space="preserve">eport 41 </w:t>
      </w:r>
      <w:r w:rsidR="00604FD9" w:rsidRPr="00967AC5">
        <w:fldChar w:fldCharType="begin"/>
      </w:r>
      <w:r w:rsidR="00604FD9" w:rsidRPr="00967AC5">
        <w:instrText xml:space="preserve"> REF _Ref63337493 \r \h </w:instrText>
      </w:r>
      <w:r w:rsidR="002505BC" w:rsidRPr="00967AC5">
        <w:instrText xml:space="preserve"> \* MERGEFORMAT </w:instrText>
      </w:r>
      <w:r w:rsidR="00604FD9" w:rsidRPr="00967AC5">
        <w:fldChar w:fldCharType="separate"/>
      </w:r>
      <w:r w:rsidR="00680BB5" w:rsidRPr="00967AC5">
        <w:t>[12]</w:t>
      </w:r>
      <w:r w:rsidR="00604FD9" w:rsidRPr="00967AC5">
        <w:fldChar w:fldCharType="end"/>
      </w:r>
      <w:r w:rsidR="00604FD9" w:rsidRPr="00967AC5">
        <w:t xml:space="preserve"> </w:t>
      </w:r>
      <w:r w:rsidRPr="00967AC5">
        <w:t xml:space="preserve">studied coexistence between MIDS and LTE (non-AAS) and provided in its executive summary a number of coordination guidance and interference mitigation techniques. </w:t>
      </w:r>
      <w:r w:rsidRPr="00967AC5">
        <w:rPr>
          <w:rFonts w:cs="Arial"/>
        </w:rPr>
        <w:t>CEPT noted that</w:t>
      </w:r>
      <w:r w:rsidRPr="00967AC5">
        <w:rPr>
          <w:rFonts w:cs="Arial"/>
          <w:i/>
        </w:rPr>
        <w:t xml:space="preserve"> </w:t>
      </w:r>
      <w:r w:rsidRPr="00967AC5">
        <w:rPr>
          <w:rFonts w:cs="Arial"/>
        </w:rPr>
        <w:t xml:space="preserve">the study done under CEPT </w:t>
      </w:r>
      <w:r w:rsidR="009F694A" w:rsidRPr="00967AC5">
        <w:rPr>
          <w:rFonts w:cs="Arial"/>
        </w:rPr>
        <w:t>R</w:t>
      </w:r>
      <w:r w:rsidRPr="00967AC5">
        <w:rPr>
          <w:rFonts w:cs="Arial"/>
        </w:rPr>
        <w:t xml:space="preserve">eport 41 did not take into account the regulatory status of JTIDS/MIDS, </w:t>
      </w:r>
      <w:r w:rsidRPr="00967AC5">
        <w:t>which operates in the band 960-1215 MHz under the conditions of provision 4.4 of the Radio Regulations</w:t>
      </w:r>
      <w:r w:rsidR="002455F3" w:rsidRPr="00967AC5">
        <w:t xml:space="preserve"> </w:t>
      </w:r>
      <w:r w:rsidR="002455F3" w:rsidRPr="00967AC5">
        <w:fldChar w:fldCharType="begin"/>
      </w:r>
      <w:r w:rsidR="002455F3" w:rsidRPr="00967AC5">
        <w:instrText xml:space="preserve"> REF _Ref63429611 \r \h </w:instrText>
      </w:r>
      <w:r w:rsidR="002505BC" w:rsidRPr="00967AC5">
        <w:instrText xml:space="preserve"> \* MERGEFORMAT </w:instrText>
      </w:r>
      <w:r w:rsidR="002455F3" w:rsidRPr="00967AC5">
        <w:fldChar w:fldCharType="separate"/>
      </w:r>
      <w:r w:rsidR="00680BB5" w:rsidRPr="00967AC5">
        <w:t>[40]</w:t>
      </w:r>
      <w:r w:rsidR="002455F3" w:rsidRPr="00967AC5">
        <w:fldChar w:fldCharType="end"/>
      </w:r>
      <w:r w:rsidRPr="00967AC5">
        <w:rPr>
          <w:rFonts w:cs="Arial"/>
        </w:rPr>
        <w:t>.</w:t>
      </w:r>
    </w:p>
    <w:p w14:paraId="3B164B8A" w14:textId="4CE59D07" w:rsidR="00AD30FA" w:rsidRPr="00967AC5" w:rsidRDefault="00AD30FA" w:rsidP="00991A35">
      <w:pPr>
        <w:pStyle w:val="ECCParagraph"/>
        <w:rPr>
          <w:rFonts w:cs="Arial"/>
          <w:iCs/>
        </w:rPr>
      </w:pPr>
      <w:r w:rsidRPr="00967AC5">
        <w:rPr>
          <w:rFonts w:cs="Arial"/>
          <w:iCs/>
        </w:rPr>
        <w:t xml:space="preserve">ECC </w:t>
      </w:r>
      <w:r w:rsidR="00460E20" w:rsidRPr="00967AC5">
        <w:rPr>
          <w:rFonts w:cs="Arial"/>
          <w:iCs/>
        </w:rPr>
        <w:t>R</w:t>
      </w:r>
      <w:r w:rsidRPr="00967AC5">
        <w:rPr>
          <w:rFonts w:cs="Arial"/>
          <w:iCs/>
        </w:rPr>
        <w:t xml:space="preserve">eport 266 </w:t>
      </w:r>
      <w:r w:rsidR="002455F3" w:rsidRPr="00967AC5">
        <w:rPr>
          <w:rFonts w:cs="Arial"/>
          <w:iCs/>
        </w:rPr>
        <w:fldChar w:fldCharType="begin"/>
      </w:r>
      <w:r w:rsidR="002455F3" w:rsidRPr="00967AC5">
        <w:rPr>
          <w:rFonts w:cs="Arial"/>
          <w:iCs/>
        </w:rPr>
        <w:instrText xml:space="preserve"> REF _Ref63337447 \r \h </w:instrText>
      </w:r>
      <w:r w:rsidR="002505BC" w:rsidRPr="00967AC5">
        <w:rPr>
          <w:rFonts w:cs="Arial"/>
          <w:iCs/>
        </w:rPr>
        <w:instrText xml:space="preserve"> \* MERGEFORMAT </w:instrText>
      </w:r>
      <w:r w:rsidR="002455F3" w:rsidRPr="00967AC5">
        <w:rPr>
          <w:rFonts w:cs="Arial"/>
          <w:iCs/>
        </w:rPr>
      </w:r>
      <w:r w:rsidR="002455F3" w:rsidRPr="00967AC5">
        <w:rPr>
          <w:rFonts w:cs="Arial"/>
          <w:iCs/>
        </w:rPr>
        <w:fldChar w:fldCharType="separate"/>
      </w:r>
      <w:r w:rsidR="00680BB5" w:rsidRPr="00967AC5">
        <w:rPr>
          <w:rFonts w:cs="Arial"/>
          <w:iCs/>
        </w:rPr>
        <w:t>[5]</w:t>
      </w:r>
      <w:r w:rsidR="002455F3" w:rsidRPr="00967AC5">
        <w:rPr>
          <w:rFonts w:cs="Arial"/>
          <w:iCs/>
        </w:rPr>
        <w:fldChar w:fldCharType="end"/>
      </w:r>
      <w:r w:rsidR="002455F3" w:rsidRPr="00967AC5">
        <w:rPr>
          <w:rFonts w:cs="Arial"/>
          <w:iCs/>
        </w:rPr>
        <w:t xml:space="preserve"> </w:t>
      </w:r>
      <w:r w:rsidR="003064FF" w:rsidRPr="00967AC5">
        <w:rPr>
          <w:rFonts w:cs="Arial"/>
          <w:iCs/>
        </w:rPr>
        <w:t xml:space="preserve">in its section </w:t>
      </w:r>
      <w:r w:rsidRPr="00967AC5">
        <w:rPr>
          <w:rFonts w:cs="Arial"/>
          <w:iCs/>
        </w:rPr>
        <w:t>5.3.3 mentions that “</w:t>
      </w:r>
      <w:r w:rsidRPr="00967AC5">
        <w:rPr>
          <w:rFonts w:cs="Arial"/>
          <w:i/>
        </w:rPr>
        <w:t>the propensity of standalone NB-IoT equipment to cause harmful interference – via spectral leakage inside and outside the 900/1800 MHz bands – is no greater than that of GSM equipment</w:t>
      </w:r>
      <w:r w:rsidRPr="00967AC5">
        <w:rPr>
          <w:rFonts w:cs="Arial"/>
        </w:rPr>
        <w:t xml:space="preserve">” and </w:t>
      </w:r>
      <w:r w:rsidRPr="00967AC5">
        <w:rPr>
          <w:rFonts w:cs="Arial"/>
          <w:iCs/>
        </w:rPr>
        <w:t>“</w:t>
      </w:r>
      <w:r w:rsidRPr="00967AC5">
        <w:rPr>
          <w:rFonts w:cs="Arial"/>
          <w:i/>
        </w:rPr>
        <w:t>the propensity of standalone NB-IoT equipment to cause harmful interference – via blocking of radio receivers in adjacent bands to 900/1800 MHz bands – is no greater than that of GSM equipment</w:t>
      </w:r>
      <w:r w:rsidRPr="00967AC5">
        <w:rPr>
          <w:rFonts w:cs="Arial"/>
        </w:rPr>
        <w:t>”.</w:t>
      </w:r>
    </w:p>
    <w:p w14:paraId="3E589AFE" w14:textId="4EB1EF11" w:rsidR="00AD30FA" w:rsidRPr="00967AC5" w:rsidRDefault="00AD30FA" w:rsidP="00460E20">
      <w:pPr>
        <w:pStyle w:val="ECCParagraph"/>
        <w:rPr>
          <w:i/>
          <w:iCs/>
        </w:rPr>
      </w:pPr>
      <w:r w:rsidRPr="00967AC5">
        <w:lastRenderedPageBreak/>
        <w:t xml:space="preserve">ECC </w:t>
      </w:r>
      <w:r w:rsidR="009F694A" w:rsidRPr="00967AC5">
        <w:t>R</w:t>
      </w:r>
      <w:r w:rsidRPr="00967AC5">
        <w:t xml:space="preserve">eport 297 </w:t>
      </w:r>
      <w:r w:rsidR="002455F3" w:rsidRPr="00967AC5">
        <w:fldChar w:fldCharType="begin"/>
      </w:r>
      <w:r w:rsidR="002455F3" w:rsidRPr="00967AC5">
        <w:instrText xml:space="preserve"> REF _Ref63337314 \r \h </w:instrText>
      </w:r>
      <w:r w:rsidR="002505BC" w:rsidRPr="00967AC5">
        <w:instrText xml:space="preserve"> \* MERGEFORMAT </w:instrText>
      </w:r>
      <w:r w:rsidR="002455F3" w:rsidRPr="00967AC5">
        <w:fldChar w:fldCharType="separate"/>
      </w:r>
      <w:r w:rsidR="00680BB5" w:rsidRPr="00967AC5">
        <w:t>[3]</w:t>
      </w:r>
      <w:r w:rsidR="002455F3" w:rsidRPr="00967AC5">
        <w:fldChar w:fldCharType="end"/>
      </w:r>
      <w:r w:rsidR="002455F3" w:rsidRPr="00967AC5">
        <w:t xml:space="preserve"> </w:t>
      </w:r>
      <w:r w:rsidRPr="00967AC5">
        <w:t>concluded in its section 4.2.1.1 that “</w:t>
      </w:r>
      <w:r w:rsidRPr="00967AC5">
        <w:rPr>
          <w:i/>
          <w:iCs/>
        </w:rPr>
        <w:t xml:space="preserve">The results of CEPT Report 41 and ECC Report 266 for compatibility between LTE and LTE + Guard Band IoT and adjacent systems can be extended to the NR </w:t>
      </w:r>
      <w:r w:rsidRPr="00967AC5">
        <w:rPr>
          <w:rFonts w:cs="Arial"/>
          <w:i/>
        </w:rPr>
        <w:t xml:space="preserve">non-AAS </w:t>
      </w:r>
      <w:r w:rsidRPr="00967AC5">
        <w:rPr>
          <w:i/>
          <w:iCs/>
        </w:rPr>
        <w:t xml:space="preserve">system operation in 900/1800 MHz MFCN bands </w:t>
      </w:r>
      <w:r w:rsidRPr="00967AC5">
        <w:rPr>
          <w:rFonts w:cs="Arial"/>
          <w:i/>
        </w:rPr>
        <w:t>and the same technical regulatory conditions applicable to LTE should apply to ensure compatibility with NR non-AAS</w:t>
      </w:r>
      <w:r w:rsidRPr="00967AC5">
        <w:rPr>
          <w:rFonts w:cs="Arial"/>
          <w:iCs/>
        </w:rPr>
        <w:t>”</w:t>
      </w:r>
      <w:r w:rsidRPr="00967AC5">
        <w:rPr>
          <w:i/>
          <w:iCs/>
        </w:rPr>
        <w:t>.</w:t>
      </w:r>
    </w:p>
    <w:p w14:paraId="77FA43FC" w14:textId="33AFB2E9" w:rsidR="00AD30FA" w:rsidRPr="00967AC5" w:rsidDel="0017118A" w:rsidRDefault="00AD30FA" w:rsidP="00460E20">
      <w:pPr>
        <w:pStyle w:val="ECCParagraph"/>
      </w:pPr>
      <w:r w:rsidRPr="00967AC5">
        <w:t xml:space="preserve">The conclusions of the above </w:t>
      </w:r>
      <w:r w:rsidR="0068601A" w:rsidRPr="00967AC5">
        <w:t>R</w:t>
      </w:r>
      <w:r w:rsidRPr="00967AC5">
        <w:t xml:space="preserve">eports (CEPT </w:t>
      </w:r>
      <w:r w:rsidR="009F694A" w:rsidRPr="00967AC5">
        <w:t>R</w:t>
      </w:r>
      <w:r w:rsidRPr="00967AC5">
        <w:t xml:space="preserve">eport 41, ECC </w:t>
      </w:r>
      <w:r w:rsidR="009F694A" w:rsidRPr="00967AC5">
        <w:t>R</w:t>
      </w:r>
      <w:r w:rsidRPr="00967AC5">
        <w:t xml:space="preserve">eport 266/CEPT </w:t>
      </w:r>
      <w:r w:rsidR="009F694A" w:rsidRPr="00967AC5">
        <w:t>R</w:t>
      </w:r>
      <w:r w:rsidRPr="00967AC5">
        <w:t>eport 66</w:t>
      </w:r>
      <w:r w:rsidR="001126AA" w:rsidRPr="00967AC5">
        <w:t xml:space="preserve"> </w:t>
      </w:r>
      <w:r w:rsidR="001126AA" w:rsidRPr="00967AC5">
        <w:fldChar w:fldCharType="begin"/>
      </w:r>
      <w:r w:rsidR="001126AA" w:rsidRPr="00967AC5">
        <w:instrText xml:space="preserve"> REF _Ref63337482 \r \h </w:instrText>
      </w:r>
      <w:r w:rsidR="002505BC" w:rsidRPr="00967AC5">
        <w:instrText xml:space="preserve"> \* MERGEFORMAT </w:instrText>
      </w:r>
      <w:r w:rsidR="001126AA" w:rsidRPr="00967AC5">
        <w:fldChar w:fldCharType="separate"/>
      </w:r>
      <w:r w:rsidR="00680BB5" w:rsidRPr="00967AC5">
        <w:t>[10]</w:t>
      </w:r>
      <w:r w:rsidR="001126AA" w:rsidRPr="00967AC5">
        <w:fldChar w:fldCharType="end"/>
      </w:r>
      <w:r w:rsidRPr="00967AC5">
        <w:t xml:space="preserve">, ECC </w:t>
      </w:r>
      <w:r w:rsidR="009F694A" w:rsidRPr="00967AC5">
        <w:t>R</w:t>
      </w:r>
      <w:r w:rsidRPr="00967AC5">
        <w:t xml:space="preserve">eport 297) remain valid for coexistence between MIDS systems and MFCN </w:t>
      </w:r>
      <w:r w:rsidRPr="00967AC5">
        <w:rPr>
          <w:rFonts w:cs="Arial"/>
          <w:bCs/>
        </w:rPr>
        <w:t>(NB and WB) non-AAS systems complying with the technology</w:t>
      </w:r>
      <w:r w:rsidR="00F91806" w:rsidRPr="00967AC5">
        <w:rPr>
          <w:rFonts w:cs="Arial"/>
          <w:bCs/>
        </w:rPr>
        <w:t xml:space="preserve"> </w:t>
      </w:r>
      <w:r w:rsidRPr="00967AC5">
        <w:rPr>
          <w:rFonts w:cs="Arial"/>
          <w:bCs/>
        </w:rPr>
        <w:t xml:space="preserve">neutral </w:t>
      </w:r>
      <w:r w:rsidRPr="00967AC5">
        <w:t>LRTCs</w:t>
      </w:r>
      <w:r w:rsidRPr="00967AC5">
        <w:rPr>
          <w:rFonts w:cs="Arial"/>
          <w:bCs/>
        </w:rPr>
        <w:t xml:space="preserve"> (defined in </w:t>
      </w:r>
      <w:r w:rsidRPr="00967AC5">
        <w:t xml:space="preserve">section </w:t>
      </w:r>
      <w:r w:rsidR="00CE2935" w:rsidRPr="00967AC5">
        <w:fldChar w:fldCharType="begin"/>
      </w:r>
      <w:r w:rsidR="00CE2935" w:rsidRPr="00967AC5">
        <w:instrText xml:space="preserve"> REF _Ref60765243 \r \h </w:instrText>
      </w:r>
      <w:r w:rsidR="001C7C80" w:rsidRPr="00967AC5">
        <w:instrText xml:space="preserve"> \* MERGEFORMAT </w:instrText>
      </w:r>
      <w:r w:rsidR="00CE2935" w:rsidRPr="00967AC5">
        <w:fldChar w:fldCharType="separate"/>
      </w:r>
      <w:r w:rsidR="00680BB5" w:rsidRPr="00967AC5">
        <w:rPr>
          <w:rFonts w:cs="Arial"/>
          <w:bCs/>
        </w:rPr>
        <w:t>3.4</w:t>
      </w:r>
      <w:r w:rsidR="00CE2935" w:rsidRPr="00967AC5">
        <w:fldChar w:fldCharType="end"/>
      </w:r>
      <w:r w:rsidRPr="00967AC5">
        <w:rPr>
          <w:rFonts w:cs="Arial"/>
          <w:bCs/>
        </w:rPr>
        <w:t>)</w:t>
      </w:r>
      <w:r w:rsidRPr="00967AC5">
        <w:t>.</w:t>
      </w:r>
      <w:r w:rsidRPr="00967AC5" w:rsidDel="0017118A">
        <w:t xml:space="preserve"> </w:t>
      </w:r>
    </w:p>
    <w:p w14:paraId="10EC8D07" w14:textId="747F96EE" w:rsidR="00F462C4" w:rsidRPr="00967AC5" w:rsidRDefault="008F2A2B" w:rsidP="00F91806">
      <w:pPr>
        <w:pStyle w:val="Heading3"/>
        <w:rPr>
          <w:lang w:val="en-GB"/>
        </w:rPr>
      </w:pPr>
      <w:bookmarkStart w:id="138" w:name="_Ref59214530"/>
      <w:bookmarkStart w:id="139" w:name="_Toc71037835"/>
      <w:r w:rsidRPr="00967AC5">
        <w:rPr>
          <w:lang w:val="en-GB"/>
        </w:rPr>
        <w:t>Adjacent band coexistence for non-AAS/AAS MFCN system in 1800 MHz frequency bands</w:t>
      </w:r>
      <w:bookmarkEnd w:id="138"/>
      <w:bookmarkEnd w:id="139"/>
    </w:p>
    <w:p w14:paraId="40578394" w14:textId="741AA7F9" w:rsidR="008F2A2B" w:rsidRPr="00967AC5" w:rsidRDefault="008F2A2B" w:rsidP="00460E20">
      <w:pPr>
        <w:pStyle w:val="ECCParagraph"/>
      </w:pPr>
      <w:r w:rsidRPr="00967AC5">
        <w:t>In this section coexistence between MFCN non-AAS systems (WB and NB), MFCN AAS systems (WB) and the following adjacent systems</w:t>
      </w:r>
      <w:r w:rsidR="0068601A" w:rsidRPr="00967AC5">
        <w:t xml:space="preserve"> </w:t>
      </w:r>
      <w:r w:rsidR="0056418D">
        <w:t>are</w:t>
      </w:r>
      <w:r w:rsidR="0056418D" w:rsidRPr="00967AC5">
        <w:t xml:space="preserve"> </w:t>
      </w:r>
      <w:proofErr w:type="spellStart"/>
      <w:r w:rsidR="0068601A" w:rsidRPr="00967AC5">
        <w:t>addresssed</w:t>
      </w:r>
      <w:proofErr w:type="spellEnd"/>
      <w:r w:rsidRPr="00967AC5">
        <w:t>:</w:t>
      </w:r>
    </w:p>
    <w:p w14:paraId="4948996F" w14:textId="2D0DCFCA" w:rsidR="00BD7301" w:rsidRPr="00967AC5" w:rsidRDefault="008F2A2B" w:rsidP="00460E20">
      <w:pPr>
        <w:pStyle w:val="ECCBulletsLv1"/>
      </w:pPr>
      <w:r w:rsidRPr="00967AC5">
        <w:t>DECT</w:t>
      </w:r>
    </w:p>
    <w:p w14:paraId="7C4F4B80" w14:textId="4FC64434" w:rsidR="00EE0D36" w:rsidRDefault="008F2A2B" w:rsidP="00460E20">
      <w:pPr>
        <w:pStyle w:val="ECCBulletsLv1"/>
      </w:pPr>
      <w:r w:rsidRPr="00967AC5">
        <w:t>MetSat</w:t>
      </w:r>
      <w:r w:rsidR="00EE0D36">
        <w:t xml:space="preserve"> </w:t>
      </w:r>
      <w:r w:rsidR="00EE0D36" w:rsidRPr="00967AC5">
        <w:t>(weather satellite</w:t>
      </w:r>
      <w:r w:rsidR="00EE0D36">
        <w:t>)</w:t>
      </w:r>
    </w:p>
    <w:p w14:paraId="1E997045" w14:textId="06266A95" w:rsidR="00BD7301" w:rsidRPr="00967AC5" w:rsidRDefault="00D26E25" w:rsidP="00460E20">
      <w:pPr>
        <w:pStyle w:val="ECCBulletsLv1"/>
      </w:pPr>
      <w:r w:rsidRPr="00967AC5">
        <w:t>fixed</w:t>
      </w:r>
      <w:r w:rsidR="00ED3E87">
        <w:t xml:space="preserve"> </w:t>
      </w:r>
      <w:r w:rsidRPr="00967AC5">
        <w:t>telemetry</w:t>
      </w:r>
      <w:r w:rsidR="00EE0D36">
        <w:t xml:space="preserve"> (</w:t>
      </w:r>
      <w:r w:rsidRPr="00967AC5">
        <w:t>defence</w:t>
      </w:r>
      <w:r w:rsidR="008F2A2B" w:rsidRPr="00967AC5">
        <w:t>)</w:t>
      </w:r>
    </w:p>
    <w:p w14:paraId="0E1D3B2C" w14:textId="5EB4580A" w:rsidR="00BD7301" w:rsidRPr="00967AC5" w:rsidRDefault="008F2A2B" w:rsidP="00460E20">
      <w:pPr>
        <w:pStyle w:val="ECCBulletsLv1"/>
      </w:pPr>
      <w:r w:rsidRPr="00967AC5">
        <w:t>radio microphones</w:t>
      </w:r>
    </w:p>
    <w:p w14:paraId="785FAA4A" w14:textId="31F53479" w:rsidR="008F2A2B" w:rsidRPr="00967AC5" w:rsidRDefault="00D26E25" w:rsidP="00460E20">
      <w:pPr>
        <w:pStyle w:val="ECCBulletsLv1"/>
      </w:pPr>
      <w:r w:rsidRPr="00967AC5">
        <w:t>fixed service</w:t>
      </w:r>
      <w:r w:rsidR="008F2A2B" w:rsidRPr="00967AC5">
        <w:t>.</w:t>
      </w:r>
    </w:p>
    <w:p w14:paraId="008E0AAC" w14:textId="22D75A04" w:rsidR="008F2A2B" w:rsidRPr="00967AC5" w:rsidRDefault="008F2A2B" w:rsidP="00460E20">
      <w:pPr>
        <w:pStyle w:val="ECCParagraph"/>
        <w:rPr>
          <w:rFonts w:asciiTheme="minorBidi" w:hAnsiTheme="minorBidi" w:cstheme="minorBidi"/>
          <w:szCs w:val="20"/>
        </w:rPr>
      </w:pPr>
      <w:r w:rsidRPr="00967AC5">
        <w:t>In order to avoid any new studies CEPT reused existing relevant CEPT/ECC deliverables, which are briefly summarised hereafter.</w:t>
      </w:r>
    </w:p>
    <w:p w14:paraId="643C0C00" w14:textId="77777777" w:rsidR="008F2A2B" w:rsidRPr="00967AC5" w:rsidRDefault="008F2A2B" w:rsidP="00001EB9">
      <w:pPr>
        <w:pStyle w:val="Heading4"/>
      </w:pPr>
      <w:bookmarkStart w:id="140" w:name="_Ref68877030"/>
      <w:bookmarkStart w:id="141" w:name="_Toc71037836"/>
      <w:r w:rsidRPr="00967AC5">
        <w:t>Adjacent band coexistence for non-AAS MFCN system in 1800 MHz frequency bands</w:t>
      </w:r>
      <w:bookmarkEnd w:id="140"/>
      <w:bookmarkEnd w:id="141"/>
    </w:p>
    <w:p w14:paraId="182D0882" w14:textId="76A89329" w:rsidR="008F2A2B" w:rsidRPr="00967AC5" w:rsidRDefault="008F2A2B" w:rsidP="00460E20">
      <w:pPr>
        <w:pStyle w:val="ECCParagraph"/>
        <w:rPr>
          <w:rFonts w:cs="Arial"/>
          <w:szCs w:val="20"/>
        </w:rPr>
      </w:pPr>
      <w:r w:rsidRPr="00967AC5">
        <w:rPr>
          <w:rFonts w:cs="Arial"/>
          <w:szCs w:val="20"/>
        </w:rPr>
        <w:t>Coexistence between MFCN non-AAS (WB and NB) systems in 1800</w:t>
      </w:r>
      <w:r w:rsidR="00AB737C" w:rsidRPr="00967AC5">
        <w:rPr>
          <w:rFonts w:cs="Arial"/>
          <w:szCs w:val="20"/>
        </w:rPr>
        <w:t xml:space="preserve"> </w:t>
      </w:r>
      <w:r w:rsidRPr="00967AC5">
        <w:rPr>
          <w:rFonts w:cs="Arial"/>
          <w:szCs w:val="20"/>
        </w:rPr>
        <w:t>MHz band and adjacent systems was studied in the following reports:</w:t>
      </w:r>
    </w:p>
    <w:p w14:paraId="6E8B2D96" w14:textId="02BC9325" w:rsidR="008F2A2B" w:rsidRPr="00967AC5" w:rsidRDefault="008F2A2B" w:rsidP="00C14EA7">
      <w:pPr>
        <w:pStyle w:val="ECCParagraph"/>
        <w:rPr>
          <w:rStyle w:val="ECCHLbold"/>
          <w:b w:val="0"/>
          <w:u w:val="single"/>
        </w:rPr>
      </w:pPr>
      <w:r w:rsidRPr="00967AC5">
        <w:rPr>
          <w:rStyle w:val="ECCHLbold"/>
          <w:b w:val="0"/>
          <w:u w:val="single"/>
        </w:rPr>
        <w:t>CEPT Report 41 for LTE non-AAS</w:t>
      </w:r>
      <w:r w:rsidR="001126AA" w:rsidRPr="00967AC5">
        <w:rPr>
          <w:rStyle w:val="ECCHLbold"/>
          <w:b w:val="0"/>
          <w:u w:val="single"/>
        </w:rPr>
        <w:t xml:space="preserve"> </w:t>
      </w:r>
      <w:r w:rsidR="001126AA" w:rsidRPr="00967AC5">
        <w:rPr>
          <w:rStyle w:val="ECCHLbold"/>
          <w:b w:val="0"/>
          <w:u w:val="single"/>
        </w:rPr>
        <w:fldChar w:fldCharType="begin"/>
      </w:r>
      <w:r w:rsidR="001126AA" w:rsidRPr="00967AC5">
        <w:rPr>
          <w:rStyle w:val="ECCHLbold"/>
          <w:b w:val="0"/>
          <w:u w:val="single"/>
        </w:rPr>
        <w:instrText xml:space="preserve"> REF _Ref63337493 \r \h</w:instrText>
      </w:r>
      <w:r w:rsidR="001126AA" w:rsidRPr="00967AC5">
        <w:rPr>
          <w:rStyle w:val="ECCHLbold"/>
          <w:rFonts w:cs="Arial"/>
          <w:b w:val="0"/>
          <w:bCs/>
          <w:szCs w:val="20"/>
          <w:u w:val="single"/>
        </w:rPr>
        <w:instrText xml:space="preserve"> </w:instrText>
      </w:r>
      <w:r w:rsidR="00D81EDC" w:rsidRPr="00967AC5">
        <w:rPr>
          <w:rStyle w:val="ECCHLbold"/>
          <w:rFonts w:cs="Arial"/>
          <w:b w:val="0"/>
          <w:bCs/>
          <w:szCs w:val="20"/>
          <w:u w:val="single"/>
        </w:rPr>
        <w:instrText xml:space="preserve"> \* MERGEFORMAT</w:instrText>
      </w:r>
      <w:r w:rsidR="00D81EDC" w:rsidRPr="00967AC5">
        <w:rPr>
          <w:rStyle w:val="ECCHLbold"/>
          <w:b w:val="0"/>
          <w:u w:val="single"/>
        </w:rPr>
        <w:instrText xml:space="preserve"> </w:instrText>
      </w:r>
      <w:r w:rsidR="001126AA" w:rsidRPr="00967AC5">
        <w:rPr>
          <w:rStyle w:val="ECCHLbold"/>
          <w:b w:val="0"/>
          <w:u w:val="single"/>
        </w:rPr>
      </w:r>
      <w:r w:rsidR="001126AA" w:rsidRPr="00967AC5">
        <w:rPr>
          <w:rStyle w:val="ECCHLbold"/>
          <w:b w:val="0"/>
          <w:u w:val="single"/>
        </w:rPr>
        <w:fldChar w:fldCharType="separate"/>
      </w:r>
      <w:r w:rsidR="00680BB5" w:rsidRPr="00967AC5">
        <w:rPr>
          <w:rStyle w:val="ECCHLbold"/>
          <w:b w:val="0"/>
          <w:u w:val="single"/>
        </w:rPr>
        <w:t>[12]</w:t>
      </w:r>
      <w:r w:rsidR="001126AA" w:rsidRPr="00967AC5">
        <w:rPr>
          <w:rStyle w:val="ECCHLbold"/>
          <w:b w:val="0"/>
          <w:u w:val="single"/>
        </w:rPr>
        <w:fldChar w:fldCharType="end"/>
      </w:r>
      <w:r w:rsidRPr="00967AC5">
        <w:rPr>
          <w:rStyle w:val="ECCHLbold"/>
          <w:b w:val="0"/>
          <w:u w:val="single"/>
        </w:rPr>
        <w:t>:</w:t>
      </w:r>
    </w:p>
    <w:p w14:paraId="6C60CA07" w14:textId="2D087B00" w:rsidR="008F2A2B" w:rsidRPr="00967AC5" w:rsidRDefault="008F2A2B" w:rsidP="009F6AA8">
      <w:pPr>
        <w:pStyle w:val="ECCParagraph"/>
        <w:rPr>
          <w:rFonts w:cs="Arial"/>
          <w:szCs w:val="20"/>
        </w:rPr>
      </w:pPr>
      <w:r w:rsidRPr="00967AC5">
        <w:rPr>
          <w:rFonts w:cs="Arial"/>
          <w:szCs w:val="20"/>
        </w:rPr>
        <w:t xml:space="preserve">CEPT Report 41 concludes in its executive summary that introducing LTE and WiMAX into the 900 and 1800 MHz bands should not cause any additional impact on adjacent services. For more details please refer to the summary table included in </w:t>
      </w:r>
      <w:r w:rsidR="00BD2BF4" w:rsidRPr="00967AC5">
        <w:rPr>
          <w:rFonts w:cs="Arial"/>
          <w:szCs w:val="20"/>
        </w:rPr>
        <w:t xml:space="preserve">the </w:t>
      </w:r>
      <w:r w:rsidRPr="00967AC5">
        <w:t>e</w:t>
      </w:r>
      <w:r w:rsidRPr="00967AC5">
        <w:rPr>
          <w:rFonts w:cs="Arial"/>
          <w:szCs w:val="20"/>
        </w:rPr>
        <w:t xml:space="preserve">xecutive summary of CEPT </w:t>
      </w:r>
      <w:r w:rsidR="009F694A" w:rsidRPr="00967AC5">
        <w:rPr>
          <w:rFonts w:cs="Arial"/>
          <w:szCs w:val="20"/>
        </w:rPr>
        <w:t>R</w:t>
      </w:r>
      <w:r w:rsidRPr="00967AC5">
        <w:rPr>
          <w:rFonts w:cs="Arial"/>
          <w:szCs w:val="20"/>
        </w:rPr>
        <w:t>eport 41.</w:t>
      </w:r>
    </w:p>
    <w:p w14:paraId="447D918D" w14:textId="711893B3" w:rsidR="008F2A2B" w:rsidRPr="00967AC5" w:rsidRDefault="008F2A2B" w:rsidP="00C14EA7">
      <w:pPr>
        <w:pStyle w:val="ECCParagraph"/>
        <w:rPr>
          <w:rStyle w:val="ECCHLbold"/>
          <w:b w:val="0"/>
          <w:u w:val="single"/>
        </w:rPr>
      </w:pPr>
      <w:r w:rsidRPr="00967AC5">
        <w:rPr>
          <w:rStyle w:val="ECCHLbold"/>
          <w:b w:val="0"/>
          <w:u w:val="single"/>
        </w:rPr>
        <w:t xml:space="preserve">ECC Report 191 </w:t>
      </w:r>
      <w:r w:rsidR="001126AA" w:rsidRPr="00967AC5">
        <w:rPr>
          <w:rStyle w:val="ECCHLbold"/>
          <w:rFonts w:cs="Arial"/>
          <w:b w:val="0"/>
          <w:bCs/>
          <w:szCs w:val="20"/>
          <w:u w:val="single"/>
        </w:rPr>
        <w:fldChar w:fldCharType="begin"/>
      </w:r>
      <w:r w:rsidR="001126AA" w:rsidRPr="00967AC5">
        <w:rPr>
          <w:rStyle w:val="ECCHLbold"/>
          <w:rFonts w:cs="Arial"/>
          <w:b w:val="0"/>
          <w:bCs/>
          <w:szCs w:val="20"/>
          <w:u w:val="single"/>
        </w:rPr>
        <w:instrText xml:space="preserve"> REF _Ref63429715 \r \h </w:instrText>
      </w:r>
      <w:r w:rsidR="00D81EDC" w:rsidRPr="00967AC5">
        <w:rPr>
          <w:rStyle w:val="ECCHLbold"/>
          <w:rFonts w:cs="Arial"/>
          <w:b w:val="0"/>
          <w:bCs/>
          <w:szCs w:val="20"/>
          <w:u w:val="single"/>
        </w:rPr>
        <w:instrText xml:space="preserve"> \* MERGEFORMAT </w:instrText>
      </w:r>
      <w:r w:rsidR="001126AA" w:rsidRPr="00967AC5">
        <w:rPr>
          <w:rStyle w:val="ECCHLbold"/>
          <w:rFonts w:cs="Arial"/>
          <w:b w:val="0"/>
          <w:bCs/>
          <w:szCs w:val="20"/>
          <w:u w:val="single"/>
        </w:rPr>
      </w:r>
      <w:r w:rsidR="001126AA" w:rsidRPr="00967AC5">
        <w:rPr>
          <w:rStyle w:val="ECCHLbold"/>
          <w:rFonts w:cs="Arial"/>
          <w:b w:val="0"/>
          <w:bCs/>
          <w:szCs w:val="20"/>
          <w:u w:val="single"/>
        </w:rPr>
        <w:fldChar w:fldCharType="separate"/>
      </w:r>
      <w:r w:rsidR="00680BB5" w:rsidRPr="00967AC5">
        <w:rPr>
          <w:rStyle w:val="ECCHLbold"/>
          <w:rFonts w:cs="Arial"/>
          <w:b w:val="0"/>
          <w:bCs/>
          <w:szCs w:val="20"/>
          <w:u w:val="single"/>
        </w:rPr>
        <w:t>[41]</w:t>
      </w:r>
      <w:r w:rsidR="001126AA" w:rsidRPr="00967AC5">
        <w:rPr>
          <w:rStyle w:val="ECCHLbold"/>
          <w:rFonts w:cs="Arial"/>
          <w:b w:val="0"/>
          <w:bCs/>
          <w:szCs w:val="20"/>
          <w:u w:val="single"/>
        </w:rPr>
        <w:fldChar w:fldCharType="end"/>
      </w:r>
      <w:r w:rsidR="001126AA" w:rsidRPr="00967AC5">
        <w:rPr>
          <w:rStyle w:val="ECCHLbold"/>
          <w:b w:val="0"/>
          <w:u w:val="single"/>
        </w:rPr>
        <w:t xml:space="preserve"> </w:t>
      </w:r>
      <w:r w:rsidRPr="00967AC5">
        <w:rPr>
          <w:rStyle w:val="ECCHLbold"/>
          <w:b w:val="0"/>
          <w:u w:val="single"/>
        </w:rPr>
        <w:t xml:space="preserve">and CEPT </w:t>
      </w:r>
      <w:r w:rsidR="009F694A" w:rsidRPr="00967AC5">
        <w:rPr>
          <w:rStyle w:val="ECCHLbold"/>
          <w:b w:val="0"/>
          <w:u w:val="single"/>
        </w:rPr>
        <w:t>R</w:t>
      </w:r>
      <w:r w:rsidRPr="00967AC5">
        <w:rPr>
          <w:rStyle w:val="ECCHLbold"/>
          <w:b w:val="0"/>
          <w:u w:val="single"/>
        </w:rPr>
        <w:t xml:space="preserve">eport 50 </w:t>
      </w:r>
      <w:r w:rsidR="001126AA" w:rsidRPr="00967AC5">
        <w:rPr>
          <w:rStyle w:val="ECCHLbold"/>
          <w:rFonts w:cs="Arial"/>
          <w:b w:val="0"/>
          <w:bCs/>
          <w:szCs w:val="20"/>
          <w:u w:val="single"/>
        </w:rPr>
        <w:fldChar w:fldCharType="begin"/>
      </w:r>
      <w:r w:rsidR="001126AA" w:rsidRPr="00967AC5">
        <w:rPr>
          <w:rStyle w:val="ECCHLbold"/>
          <w:rFonts w:cs="Arial"/>
          <w:b w:val="0"/>
          <w:bCs/>
          <w:szCs w:val="20"/>
          <w:u w:val="single"/>
        </w:rPr>
        <w:instrText xml:space="preserve"> REF _Ref63429720 \r \h </w:instrText>
      </w:r>
      <w:r w:rsidR="00D81EDC" w:rsidRPr="00967AC5">
        <w:rPr>
          <w:rStyle w:val="ECCHLbold"/>
          <w:rFonts w:cs="Arial"/>
          <w:b w:val="0"/>
          <w:bCs/>
          <w:szCs w:val="20"/>
          <w:u w:val="single"/>
        </w:rPr>
        <w:instrText xml:space="preserve"> \* MERGEFORMAT </w:instrText>
      </w:r>
      <w:r w:rsidR="001126AA" w:rsidRPr="00967AC5">
        <w:rPr>
          <w:rStyle w:val="ECCHLbold"/>
          <w:rFonts w:cs="Arial"/>
          <w:b w:val="0"/>
          <w:bCs/>
          <w:szCs w:val="20"/>
          <w:u w:val="single"/>
        </w:rPr>
      </w:r>
      <w:r w:rsidR="001126AA" w:rsidRPr="00967AC5">
        <w:rPr>
          <w:rStyle w:val="ECCHLbold"/>
          <w:rFonts w:cs="Arial"/>
          <w:b w:val="0"/>
          <w:bCs/>
          <w:szCs w:val="20"/>
          <w:u w:val="single"/>
        </w:rPr>
        <w:fldChar w:fldCharType="separate"/>
      </w:r>
      <w:r w:rsidR="00680BB5" w:rsidRPr="00967AC5">
        <w:rPr>
          <w:rStyle w:val="ECCHLbold"/>
          <w:rFonts w:cs="Arial"/>
          <w:b w:val="0"/>
          <w:bCs/>
          <w:szCs w:val="20"/>
          <w:u w:val="single"/>
        </w:rPr>
        <w:t>[42]</w:t>
      </w:r>
      <w:r w:rsidR="001126AA" w:rsidRPr="00967AC5">
        <w:rPr>
          <w:rStyle w:val="ECCHLbold"/>
          <w:rFonts w:cs="Arial"/>
          <w:b w:val="0"/>
          <w:bCs/>
          <w:szCs w:val="20"/>
          <w:u w:val="single"/>
        </w:rPr>
        <w:fldChar w:fldCharType="end"/>
      </w:r>
      <w:r w:rsidR="001126AA" w:rsidRPr="00967AC5">
        <w:rPr>
          <w:rStyle w:val="ECCHLbold"/>
          <w:b w:val="0"/>
          <w:u w:val="single"/>
        </w:rPr>
        <w:t xml:space="preserve"> </w:t>
      </w:r>
      <w:r w:rsidRPr="00967AC5">
        <w:rPr>
          <w:rStyle w:val="ECCHLbold"/>
          <w:b w:val="0"/>
          <w:u w:val="single"/>
        </w:rPr>
        <w:t xml:space="preserve">on coexistence between MFCN and </w:t>
      </w:r>
      <w:r w:rsidR="00D26E25" w:rsidRPr="00967AC5">
        <w:rPr>
          <w:rStyle w:val="ECCHLbold"/>
          <w:b w:val="0"/>
          <w:u w:val="single"/>
        </w:rPr>
        <w:t xml:space="preserve">radio </w:t>
      </w:r>
      <w:r w:rsidRPr="00967AC5">
        <w:rPr>
          <w:rStyle w:val="ECCHLbold"/>
          <w:b w:val="0"/>
          <w:u w:val="single"/>
        </w:rPr>
        <w:t>microphones in 1785-1805 MHz:</w:t>
      </w:r>
    </w:p>
    <w:p w14:paraId="2045B793" w14:textId="1B2E2483" w:rsidR="008F2A2B" w:rsidRPr="00967AC5" w:rsidRDefault="008F2A2B" w:rsidP="005D361B">
      <w:pPr>
        <w:pStyle w:val="ECCParagraph"/>
        <w:rPr>
          <w:rFonts w:cs="Arial"/>
          <w:szCs w:val="20"/>
        </w:rPr>
      </w:pPr>
      <w:r w:rsidRPr="00967AC5">
        <w:rPr>
          <w:rFonts w:cs="Arial"/>
          <w:szCs w:val="20"/>
        </w:rPr>
        <w:t>ECC Report 191/CEPT Report 50 describe coexistence between analogue PMSE operating between 1785-1805</w:t>
      </w:r>
      <w:r w:rsidR="00C14EA7" w:rsidRPr="00967AC5">
        <w:rPr>
          <w:rFonts w:cs="Arial"/>
          <w:szCs w:val="20"/>
        </w:rPr>
        <w:t> </w:t>
      </w:r>
      <w:r w:rsidRPr="00967AC5">
        <w:rPr>
          <w:rFonts w:cs="Arial"/>
          <w:szCs w:val="20"/>
        </w:rPr>
        <w:t>MHz and MFCN LTE non-AAS syst</w:t>
      </w:r>
      <w:r w:rsidRPr="00967AC5">
        <w:t>em</w:t>
      </w:r>
      <w:r w:rsidR="00AD0256" w:rsidRPr="00967AC5">
        <w:rPr>
          <w:rFonts w:cs="Arial"/>
          <w:szCs w:val="20"/>
        </w:rPr>
        <w:t>s</w:t>
      </w:r>
      <w:r w:rsidRPr="00967AC5">
        <w:rPr>
          <w:rFonts w:cs="Arial"/>
          <w:szCs w:val="20"/>
        </w:rPr>
        <w:t xml:space="preserve"> as follows:</w:t>
      </w:r>
    </w:p>
    <w:p w14:paraId="2DA044B7" w14:textId="755BA07B" w:rsidR="008F2A2B" w:rsidRPr="00967AC5" w:rsidRDefault="008F2A2B" w:rsidP="00C6101E">
      <w:pPr>
        <w:pStyle w:val="ECCBulletsLv1"/>
        <w:numPr>
          <w:ilvl w:val="1"/>
          <w:numId w:val="15"/>
        </w:numPr>
        <w:ind w:left="357" w:hanging="357"/>
        <w:rPr>
          <w:rFonts w:cs="Arial"/>
          <w:szCs w:val="20"/>
        </w:rPr>
      </w:pPr>
      <w:r w:rsidRPr="00967AC5">
        <w:rPr>
          <w:rFonts w:cs="Arial"/>
          <w:szCs w:val="20"/>
        </w:rPr>
        <w:t>The studies regarding the impact on PMSE show that PMSE is able to find an operational channel with a sufficient QoS with the assumption of certain spatial distances between the PMSE equipment and the MFCN non-AAS equipment. To show the impact of the out-of-band emissions of the LTE non-AAS equipment, the probability of interference was determined</w:t>
      </w:r>
      <w:r w:rsidR="003F057C" w:rsidRPr="00967AC5">
        <w:rPr>
          <w:rFonts w:cs="Arial"/>
          <w:szCs w:val="20"/>
        </w:rPr>
        <w:t>;</w:t>
      </w:r>
      <w:r w:rsidRPr="00967AC5">
        <w:rPr>
          <w:rFonts w:cs="Arial"/>
          <w:szCs w:val="20"/>
        </w:rPr>
        <w:t xml:space="preserve"> </w:t>
      </w:r>
    </w:p>
    <w:p w14:paraId="7878F0CD" w14:textId="7C7020AE" w:rsidR="008F2A2B" w:rsidRPr="00967AC5" w:rsidRDefault="008F2A2B" w:rsidP="00C6101E">
      <w:pPr>
        <w:pStyle w:val="ECCBulletsLv1"/>
        <w:numPr>
          <w:ilvl w:val="1"/>
          <w:numId w:val="15"/>
        </w:numPr>
        <w:ind w:left="357" w:hanging="357"/>
        <w:rPr>
          <w:rFonts w:cs="Arial"/>
          <w:szCs w:val="20"/>
        </w:rPr>
      </w:pPr>
      <w:r w:rsidRPr="00967AC5">
        <w:rPr>
          <w:rFonts w:cs="Arial"/>
          <w:szCs w:val="20"/>
        </w:rPr>
        <w:t xml:space="preserve">For the case that the MFCN LTE non-AAS macro BS and PMSE </w:t>
      </w:r>
      <w:r w:rsidRPr="00967AC5">
        <w:t xml:space="preserve">are </w:t>
      </w:r>
      <w:r w:rsidR="00AD0256" w:rsidRPr="00967AC5">
        <w:rPr>
          <w:rFonts w:cs="Arial"/>
          <w:szCs w:val="20"/>
        </w:rPr>
        <w:t xml:space="preserve">both </w:t>
      </w:r>
      <w:r w:rsidRPr="00967AC5">
        <w:t xml:space="preserve">located </w:t>
      </w:r>
      <w:r w:rsidRPr="00967AC5">
        <w:rPr>
          <w:rFonts w:cs="Arial"/>
          <w:szCs w:val="20"/>
        </w:rPr>
        <w:t>outdoor</w:t>
      </w:r>
      <w:r w:rsidR="00AD0256" w:rsidRPr="00967AC5">
        <w:rPr>
          <w:rFonts w:cs="Arial"/>
          <w:szCs w:val="20"/>
        </w:rPr>
        <w:t>s</w:t>
      </w:r>
      <w:r w:rsidRPr="00967AC5">
        <w:rPr>
          <w:rFonts w:cs="Arial"/>
          <w:szCs w:val="20"/>
        </w:rPr>
        <w:t xml:space="preserve"> a separation distance of 100 m is sufficient to ensure that PMSE has the possibility to find an operational channel. The operation of PMSE equipment in the same room/hall </w:t>
      </w:r>
      <w:r w:rsidRPr="00967AC5">
        <w:t xml:space="preserve">where </w:t>
      </w:r>
      <w:r w:rsidRPr="00967AC5">
        <w:rPr>
          <w:rFonts w:cs="Arial"/>
          <w:szCs w:val="20"/>
        </w:rPr>
        <w:t>a</w:t>
      </w:r>
      <w:r w:rsidR="006C76B1" w:rsidRPr="00967AC5">
        <w:rPr>
          <w:rFonts w:cs="Arial"/>
          <w:szCs w:val="20"/>
        </w:rPr>
        <w:t>n</w:t>
      </w:r>
      <w:r w:rsidRPr="00967AC5">
        <w:rPr>
          <w:rFonts w:cs="Arial"/>
          <w:szCs w:val="20"/>
        </w:rPr>
        <w:t xml:space="preserve"> MCFN LTE non-AAS </w:t>
      </w:r>
      <w:proofErr w:type="spellStart"/>
      <w:r w:rsidRPr="00967AC5">
        <w:rPr>
          <w:rFonts w:cs="Arial"/>
          <w:szCs w:val="20"/>
        </w:rPr>
        <w:t>pico</w:t>
      </w:r>
      <w:proofErr w:type="spellEnd"/>
      <w:r w:rsidRPr="00967AC5">
        <w:rPr>
          <w:rFonts w:cs="Arial"/>
          <w:szCs w:val="20"/>
        </w:rPr>
        <w:t xml:space="preserve"> station is used should be </w:t>
      </w:r>
      <w:proofErr w:type="gramStart"/>
      <w:r w:rsidRPr="00967AC5">
        <w:rPr>
          <w:rFonts w:cs="Arial"/>
          <w:szCs w:val="20"/>
        </w:rPr>
        <w:t>avoided, unless</w:t>
      </w:r>
      <w:proofErr w:type="gramEnd"/>
      <w:r w:rsidRPr="00967AC5">
        <w:rPr>
          <w:rFonts w:cs="Arial"/>
          <w:szCs w:val="20"/>
        </w:rPr>
        <w:t xml:space="preserve"> additional mitigation techniques are applied. For frequency offsets larger than 1 MHz and </w:t>
      </w:r>
      <w:proofErr w:type="spellStart"/>
      <w:r w:rsidR="00956620" w:rsidRPr="00967AC5">
        <w:rPr>
          <w:rFonts w:cs="Arial"/>
          <w:szCs w:val="20"/>
        </w:rPr>
        <w:t>and</w:t>
      </w:r>
      <w:proofErr w:type="spellEnd"/>
      <w:r w:rsidR="00956620" w:rsidRPr="00967AC5">
        <w:rPr>
          <w:rFonts w:cs="Arial"/>
          <w:szCs w:val="20"/>
        </w:rPr>
        <w:t xml:space="preserve"> with </w:t>
      </w:r>
      <w:r w:rsidRPr="00967AC5">
        <w:rPr>
          <w:rFonts w:cs="Arial"/>
          <w:szCs w:val="20"/>
        </w:rPr>
        <w:t>100</w:t>
      </w:r>
      <w:r w:rsidR="00AC52AF" w:rsidRPr="00967AC5">
        <w:rPr>
          <w:rFonts w:cs="Arial"/>
          <w:szCs w:val="20"/>
        </w:rPr>
        <w:t xml:space="preserve"> </w:t>
      </w:r>
      <w:r w:rsidRPr="00967AC5">
        <w:rPr>
          <w:rFonts w:cs="Arial"/>
          <w:szCs w:val="20"/>
        </w:rPr>
        <w:t xml:space="preserve">m </w:t>
      </w:r>
      <w:r w:rsidR="006C76B1" w:rsidRPr="00967AC5">
        <w:rPr>
          <w:rFonts w:cs="Arial"/>
          <w:szCs w:val="20"/>
        </w:rPr>
        <w:t>separation</w:t>
      </w:r>
      <w:r w:rsidRPr="00967AC5">
        <w:t>,</w:t>
      </w:r>
      <w:r w:rsidRPr="00967AC5">
        <w:rPr>
          <w:rFonts w:cs="Arial"/>
          <w:szCs w:val="20"/>
        </w:rPr>
        <w:t xml:space="preserve"> the impact of the MFCN LTE non-AAS base station can be neglected. The probability of interference is considerably relaxed, if PMSE is operated indoor and the MFCN LTE non-AAS base station is located outdoor</w:t>
      </w:r>
      <w:r w:rsidR="00551CE4" w:rsidRPr="00967AC5">
        <w:rPr>
          <w:rFonts w:cs="Arial"/>
          <w:szCs w:val="20"/>
        </w:rPr>
        <w:t>s</w:t>
      </w:r>
      <w:r w:rsidRPr="00967AC5">
        <w:rPr>
          <w:rFonts w:cs="Arial"/>
          <w:szCs w:val="20"/>
        </w:rPr>
        <w:t xml:space="preserve"> due to the wall attenuation. In that case PMSE could find an operational channel with a sufficient QoS</w:t>
      </w:r>
      <w:r w:rsidR="003F057C" w:rsidRPr="00967AC5">
        <w:rPr>
          <w:rFonts w:cs="Arial"/>
          <w:szCs w:val="20"/>
        </w:rPr>
        <w:t>;</w:t>
      </w:r>
      <w:r w:rsidRPr="00967AC5">
        <w:rPr>
          <w:rFonts w:cs="Arial"/>
          <w:szCs w:val="20"/>
        </w:rPr>
        <w:t xml:space="preserve"> </w:t>
      </w:r>
    </w:p>
    <w:p w14:paraId="52BADDE2" w14:textId="47E20486" w:rsidR="008F2A2B" w:rsidRPr="00967AC5" w:rsidRDefault="008F2A2B" w:rsidP="00C6101E">
      <w:pPr>
        <w:pStyle w:val="ECCBulletsLv1"/>
        <w:numPr>
          <w:ilvl w:val="1"/>
          <w:numId w:val="15"/>
        </w:numPr>
        <w:ind w:left="357" w:hanging="357"/>
        <w:rPr>
          <w:rFonts w:cs="Arial"/>
          <w:szCs w:val="20"/>
        </w:rPr>
      </w:pPr>
      <w:r w:rsidRPr="00967AC5">
        <w:rPr>
          <w:rFonts w:cs="Arial"/>
          <w:szCs w:val="20"/>
        </w:rPr>
        <w:t>If the frequency separation between LTE UE and the PMSE receiver is more than 10 MHz, the probability of interference from the LTE UE is negligible. The probability of interference from the LTE macro non-AAS BS increases if the frequency separation to the LTE macro non-AAS BS decreases</w:t>
      </w:r>
      <w:r w:rsidR="003F057C" w:rsidRPr="00967AC5">
        <w:rPr>
          <w:rFonts w:cs="Arial"/>
          <w:szCs w:val="20"/>
        </w:rPr>
        <w:t>;</w:t>
      </w:r>
    </w:p>
    <w:p w14:paraId="65DF1937" w14:textId="77777777" w:rsidR="008F2A2B" w:rsidRPr="00967AC5" w:rsidRDefault="008F2A2B" w:rsidP="00C6101E">
      <w:pPr>
        <w:pStyle w:val="ECCBulletsLv1"/>
        <w:numPr>
          <w:ilvl w:val="1"/>
          <w:numId w:val="15"/>
        </w:numPr>
        <w:ind w:left="357" w:hanging="357"/>
        <w:rPr>
          <w:rFonts w:cs="Arial"/>
          <w:szCs w:val="20"/>
        </w:rPr>
      </w:pPr>
      <w:r w:rsidRPr="00967AC5">
        <w:rPr>
          <w:rFonts w:cs="Arial"/>
          <w:szCs w:val="20"/>
        </w:rPr>
        <w:t xml:space="preserve">It is important to note that the studied interference scenarios may not happen in most cases where PMSE is looking to be deployed if relevant setup procedures are applied by PMSE users. </w:t>
      </w:r>
    </w:p>
    <w:p w14:paraId="3AD74552" w14:textId="26E37430" w:rsidR="008F2A2B" w:rsidRPr="00967AC5" w:rsidRDefault="008F2A2B" w:rsidP="00C6101E">
      <w:pPr>
        <w:pStyle w:val="ECCParagraph"/>
        <w:spacing w:before="240"/>
        <w:rPr>
          <w:rFonts w:cs="Arial"/>
          <w:szCs w:val="20"/>
        </w:rPr>
      </w:pPr>
      <w:r w:rsidRPr="00967AC5">
        <w:rPr>
          <w:rFonts w:cs="Arial"/>
          <w:szCs w:val="20"/>
        </w:rPr>
        <w:lastRenderedPageBreak/>
        <w:t xml:space="preserve">The most critical case is if the PMSE receiver is close to a transmitting MFCN </w:t>
      </w:r>
      <w:proofErr w:type="spellStart"/>
      <w:r w:rsidRPr="00967AC5">
        <w:rPr>
          <w:rFonts w:cs="Arial"/>
          <w:szCs w:val="20"/>
        </w:rPr>
        <w:t>pico</w:t>
      </w:r>
      <w:proofErr w:type="spellEnd"/>
      <w:r w:rsidRPr="00967AC5">
        <w:rPr>
          <w:rFonts w:cs="Arial"/>
          <w:szCs w:val="20"/>
        </w:rPr>
        <w:t xml:space="preserve"> non-AAS BS. If this separation distance is increased, the probability of interference decreases accordingly. Concerning the impact from MFCN UE into PMSE, real UE will have better out-of-band emission performance than in the published ETSI standards (e.g. through the implementation of duplex filtering) and this will significantly reduce the probability of interference into PMSE receivers. </w:t>
      </w:r>
    </w:p>
    <w:p w14:paraId="4B7D0A01" w14:textId="22A405D8" w:rsidR="008F2A2B" w:rsidRPr="00967AC5" w:rsidRDefault="008F2A2B" w:rsidP="00C14EA7">
      <w:pPr>
        <w:pStyle w:val="ECCParagraph"/>
        <w:rPr>
          <w:rStyle w:val="ECCHLbold"/>
          <w:b w:val="0"/>
          <w:u w:val="single"/>
        </w:rPr>
      </w:pPr>
      <w:r w:rsidRPr="00967AC5">
        <w:rPr>
          <w:rStyle w:val="ECCHLbold"/>
          <w:b w:val="0"/>
          <w:u w:val="single"/>
        </w:rPr>
        <w:t xml:space="preserve">CEPT </w:t>
      </w:r>
      <w:r w:rsidR="00DB279B" w:rsidRPr="00967AC5">
        <w:rPr>
          <w:rStyle w:val="ECCHLbold"/>
          <w:b w:val="0"/>
          <w:u w:val="single"/>
        </w:rPr>
        <w:t>R</w:t>
      </w:r>
      <w:r w:rsidRPr="00967AC5">
        <w:rPr>
          <w:rStyle w:val="ECCHLbold"/>
          <w:b w:val="0"/>
          <w:u w:val="single"/>
        </w:rPr>
        <w:t>eport 66</w:t>
      </w:r>
      <w:r w:rsidR="0026035B" w:rsidRPr="00967AC5">
        <w:rPr>
          <w:rStyle w:val="ECCHLbold"/>
          <w:b w:val="0"/>
          <w:u w:val="single"/>
        </w:rPr>
        <w:t xml:space="preserve"> </w:t>
      </w:r>
      <w:r w:rsidR="0026035B" w:rsidRPr="00967AC5">
        <w:rPr>
          <w:rStyle w:val="ECCHLbold"/>
          <w:rFonts w:cs="Arial"/>
          <w:b w:val="0"/>
          <w:bCs/>
          <w:szCs w:val="20"/>
          <w:u w:val="single"/>
        </w:rPr>
        <w:fldChar w:fldCharType="begin"/>
      </w:r>
      <w:r w:rsidR="0026035B" w:rsidRPr="00967AC5">
        <w:rPr>
          <w:rStyle w:val="ECCHLbold"/>
          <w:rFonts w:cs="Arial"/>
          <w:b w:val="0"/>
          <w:bCs/>
          <w:szCs w:val="20"/>
          <w:u w:val="single"/>
        </w:rPr>
        <w:instrText xml:space="preserve"> REF _Ref63337482 \r \h </w:instrText>
      </w:r>
      <w:r w:rsidR="00D81EDC" w:rsidRPr="00967AC5">
        <w:rPr>
          <w:rStyle w:val="ECCHLbold"/>
          <w:rFonts w:cs="Arial"/>
          <w:b w:val="0"/>
          <w:bCs/>
          <w:szCs w:val="20"/>
          <w:u w:val="single"/>
        </w:rPr>
        <w:instrText xml:space="preserve"> \* MERGEFORMAT </w:instrText>
      </w:r>
      <w:r w:rsidR="0026035B" w:rsidRPr="00967AC5">
        <w:rPr>
          <w:rStyle w:val="ECCHLbold"/>
          <w:rFonts w:cs="Arial"/>
          <w:b w:val="0"/>
          <w:bCs/>
          <w:szCs w:val="20"/>
          <w:u w:val="single"/>
        </w:rPr>
      </w:r>
      <w:r w:rsidR="0026035B" w:rsidRPr="00967AC5">
        <w:rPr>
          <w:rStyle w:val="ECCHLbold"/>
          <w:rFonts w:cs="Arial"/>
          <w:b w:val="0"/>
          <w:bCs/>
          <w:szCs w:val="20"/>
          <w:u w:val="single"/>
        </w:rPr>
        <w:fldChar w:fldCharType="separate"/>
      </w:r>
      <w:r w:rsidR="00680BB5" w:rsidRPr="00967AC5">
        <w:rPr>
          <w:rStyle w:val="ECCHLbold"/>
          <w:rFonts w:cs="Arial"/>
          <w:b w:val="0"/>
          <w:bCs/>
          <w:szCs w:val="20"/>
          <w:u w:val="single"/>
        </w:rPr>
        <w:t>[10]</w:t>
      </w:r>
      <w:r w:rsidR="0026035B" w:rsidRPr="00967AC5">
        <w:rPr>
          <w:rStyle w:val="ECCHLbold"/>
          <w:rFonts w:cs="Arial"/>
          <w:b w:val="0"/>
          <w:bCs/>
          <w:szCs w:val="20"/>
          <w:u w:val="single"/>
        </w:rPr>
        <w:fldChar w:fldCharType="end"/>
      </w:r>
      <w:r w:rsidRPr="00967AC5">
        <w:rPr>
          <w:rStyle w:val="ECCHLbold"/>
          <w:b w:val="0"/>
          <w:u w:val="single"/>
        </w:rPr>
        <w:t xml:space="preserve">/ECC Report 266 </w:t>
      </w:r>
      <w:r w:rsidR="0026035B" w:rsidRPr="00967AC5">
        <w:rPr>
          <w:rStyle w:val="ECCHLbold"/>
          <w:rFonts w:cs="Arial"/>
          <w:b w:val="0"/>
          <w:bCs/>
          <w:szCs w:val="20"/>
          <w:u w:val="single"/>
        </w:rPr>
        <w:fldChar w:fldCharType="begin"/>
      </w:r>
      <w:r w:rsidR="0026035B" w:rsidRPr="00967AC5">
        <w:rPr>
          <w:rStyle w:val="ECCHLbold"/>
          <w:rFonts w:cs="Arial"/>
          <w:b w:val="0"/>
          <w:bCs/>
          <w:szCs w:val="20"/>
          <w:u w:val="single"/>
        </w:rPr>
        <w:instrText xml:space="preserve"> REF _Ref63337447 \r \h </w:instrText>
      </w:r>
      <w:r w:rsidR="00D81EDC" w:rsidRPr="00967AC5">
        <w:rPr>
          <w:rStyle w:val="ECCHLbold"/>
          <w:rFonts w:cs="Arial"/>
          <w:b w:val="0"/>
          <w:bCs/>
          <w:szCs w:val="20"/>
          <w:u w:val="single"/>
        </w:rPr>
        <w:instrText xml:space="preserve"> \* MERGEFORMAT </w:instrText>
      </w:r>
      <w:r w:rsidR="0026035B" w:rsidRPr="00967AC5">
        <w:rPr>
          <w:rStyle w:val="ECCHLbold"/>
          <w:rFonts w:cs="Arial"/>
          <w:b w:val="0"/>
          <w:bCs/>
          <w:szCs w:val="20"/>
          <w:u w:val="single"/>
        </w:rPr>
      </w:r>
      <w:r w:rsidR="0026035B" w:rsidRPr="00967AC5">
        <w:rPr>
          <w:rStyle w:val="ECCHLbold"/>
          <w:rFonts w:cs="Arial"/>
          <w:b w:val="0"/>
          <w:bCs/>
          <w:szCs w:val="20"/>
          <w:u w:val="single"/>
        </w:rPr>
        <w:fldChar w:fldCharType="separate"/>
      </w:r>
      <w:r w:rsidR="00680BB5" w:rsidRPr="00967AC5">
        <w:rPr>
          <w:rStyle w:val="ECCHLbold"/>
          <w:rFonts w:cs="Arial"/>
          <w:b w:val="0"/>
          <w:bCs/>
          <w:szCs w:val="20"/>
          <w:u w:val="single"/>
        </w:rPr>
        <w:t>[5]</w:t>
      </w:r>
      <w:r w:rsidR="0026035B" w:rsidRPr="00967AC5">
        <w:rPr>
          <w:rStyle w:val="ECCHLbold"/>
          <w:rFonts w:cs="Arial"/>
          <w:b w:val="0"/>
          <w:bCs/>
          <w:szCs w:val="20"/>
          <w:u w:val="single"/>
        </w:rPr>
        <w:fldChar w:fldCharType="end"/>
      </w:r>
      <w:r w:rsidR="0026035B" w:rsidRPr="00967AC5">
        <w:rPr>
          <w:rStyle w:val="ECCHLbold"/>
          <w:b w:val="0"/>
          <w:u w:val="single"/>
        </w:rPr>
        <w:t xml:space="preserve"> </w:t>
      </w:r>
      <w:r w:rsidRPr="00967AC5">
        <w:rPr>
          <w:rStyle w:val="ECCHLbold"/>
          <w:b w:val="0"/>
          <w:u w:val="single"/>
        </w:rPr>
        <w:t xml:space="preserve">for </w:t>
      </w:r>
      <w:r w:rsidR="00D26E25" w:rsidRPr="00967AC5">
        <w:rPr>
          <w:rStyle w:val="ECCHLbold"/>
          <w:b w:val="0"/>
          <w:u w:val="single"/>
        </w:rPr>
        <w:t xml:space="preserve">wideband </w:t>
      </w:r>
      <w:r w:rsidRPr="00967AC5">
        <w:rPr>
          <w:rStyle w:val="ECCHLbold"/>
          <w:b w:val="0"/>
          <w:u w:val="single"/>
        </w:rPr>
        <w:t xml:space="preserve">and </w:t>
      </w:r>
      <w:r w:rsidR="00DF344A" w:rsidRPr="00967AC5">
        <w:rPr>
          <w:rStyle w:val="ECCHLbold"/>
          <w:b w:val="0"/>
          <w:u w:val="single"/>
        </w:rPr>
        <w:t xml:space="preserve">narrowband </w:t>
      </w:r>
      <w:r w:rsidRPr="00967AC5">
        <w:rPr>
          <w:rStyle w:val="ECCHLbold"/>
          <w:b w:val="0"/>
          <w:u w:val="single"/>
        </w:rPr>
        <w:t>M2M systems</w:t>
      </w:r>
      <w:r w:rsidR="00DB279B" w:rsidRPr="00967AC5">
        <w:rPr>
          <w:rStyle w:val="ECCHLbold"/>
          <w:b w:val="0"/>
          <w:u w:val="single"/>
        </w:rPr>
        <w:t>:</w:t>
      </w:r>
    </w:p>
    <w:p w14:paraId="00718A7E" w14:textId="1589A804" w:rsidR="008F2A2B" w:rsidRPr="00967AC5" w:rsidRDefault="008F2A2B" w:rsidP="00054DCF">
      <w:pPr>
        <w:pStyle w:val="ECCParagraph"/>
      </w:pPr>
      <w:r w:rsidRPr="00967AC5">
        <w:rPr>
          <w:rFonts w:cs="Arial"/>
          <w:szCs w:val="20"/>
        </w:rPr>
        <w:t xml:space="preserve">ECC Report 266 mentions in its </w:t>
      </w:r>
      <w:r w:rsidR="0026035B" w:rsidRPr="00967AC5">
        <w:rPr>
          <w:rFonts w:cs="Arial"/>
          <w:szCs w:val="20"/>
        </w:rPr>
        <w:t xml:space="preserve">Table </w:t>
      </w:r>
      <w:r w:rsidRPr="00967AC5">
        <w:rPr>
          <w:rFonts w:cs="Arial"/>
          <w:szCs w:val="20"/>
        </w:rPr>
        <w:t xml:space="preserve">15 that no specific emission limits are defined but there are recommendations on coordination for </w:t>
      </w:r>
      <w:r w:rsidR="007F475D" w:rsidRPr="00967AC5">
        <w:rPr>
          <w:rFonts w:cs="Arial"/>
          <w:szCs w:val="20"/>
        </w:rPr>
        <w:t xml:space="preserve">some </w:t>
      </w:r>
      <w:r w:rsidRPr="00967AC5">
        <w:rPr>
          <w:rFonts w:cs="Arial"/>
          <w:szCs w:val="20"/>
        </w:rPr>
        <w:t xml:space="preserve">systems that are available in relevant ECC/CEPT Reports as </w:t>
      </w:r>
      <w:r w:rsidR="004A0AC4" w:rsidRPr="00967AC5">
        <w:t>summari</w:t>
      </w:r>
      <w:r w:rsidR="004A0AC4" w:rsidRPr="00967AC5">
        <w:rPr>
          <w:rFonts w:cs="Arial"/>
          <w:szCs w:val="20"/>
        </w:rPr>
        <w:t>s</w:t>
      </w:r>
      <w:r w:rsidR="004A0AC4" w:rsidRPr="00967AC5">
        <w:t xml:space="preserve">ed </w:t>
      </w:r>
      <w:r w:rsidRPr="00967AC5">
        <w:t>in</w:t>
      </w:r>
      <w:r w:rsidR="004A0AC4" w:rsidRPr="00967AC5">
        <w:t xml:space="preserve"> </w:t>
      </w:r>
      <w:r w:rsidR="004A0AC4" w:rsidRPr="00967AC5">
        <w:rPr>
          <w:rFonts w:cs="Arial"/>
          <w:szCs w:val="20"/>
        </w:rPr>
        <w:t>its</w:t>
      </w:r>
      <w:r w:rsidRPr="00967AC5">
        <w:rPr>
          <w:rFonts w:cs="Arial"/>
          <w:szCs w:val="20"/>
        </w:rPr>
        <w:t xml:space="preserve"> </w:t>
      </w:r>
      <w:r w:rsidR="004A0AC4" w:rsidRPr="00967AC5">
        <w:rPr>
          <w:rFonts w:cs="Arial"/>
          <w:szCs w:val="20"/>
        </w:rPr>
        <w:t>Table</w:t>
      </w:r>
      <w:r w:rsidR="004A0AC4" w:rsidRPr="00967AC5">
        <w:t xml:space="preserve"> </w:t>
      </w:r>
      <w:r w:rsidRPr="00967AC5">
        <w:t>14</w:t>
      </w:r>
      <w:r w:rsidR="007F475D" w:rsidRPr="00967AC5">
        <w:rPr>
          <w:rFonts w:cs="Arial"/>
          <w:szCs w:val="20"/>
        </w:rPr>
        <w:t>.</w:t>
      </w:r>
    </w:p>
    <w:p w14:paraId="1EDAAC63" w14:textId="64139239" w:rsidR="008F2A2B" w:rsidRPr="00967AC5" w:rsidRDefault="008F2A2B" w:rsidP="005A5987">
      <w:pPr>
        <w:pStyle w:val="ECCParagraph"/>
        <w:rPr>
          <w:rFonts w:cs="Arial"/>
          <w:szCs w:val="20"/>
          <w:u w:val="single"/>
        </w:rPr>
      </w:pPr>
      <w:r w:rsidRPr="00967AC5">
        <w:rPr>
          <w:rFonts w:cs="Arial"/>
          <w:szCs w:val="20"/>
        </w:rPr>
        <w:t xml:space="preserve">ECC </w:t>
      </w:r>
      <w:r w:rsidR="00A776F6" w:rsidRPr="00967AC5">
        <w:rPr>
          <w:rFonts w:cs="Arial"/>
          <w:szCs w:val="20"/>
        </w:rPr>
        <w:t>R</w:t>
      </w:r>
      <w:r w:rsidRPr="00967AC5">
        <w:rPr>
          <w:rFonts w:cs="Arial"/>
          <w:szCs w:val="20"/>
        </w:rPr>
        <w:t>eport 266 in its section 5.4 concluded that standalone NB-</w:t>
      </w:r>
      <w:r w:rsidRPr="00967AC5">
        <w:rPr>
          <w:rFonts w:cs="Arial"/>
          <w:szCs w:val="20"/>
          <w:lang w:eastAsia="zh-CN"/>
        </w:rPr>
        <w:t>IoT equipment comply</w:t>
      </w:r>
      <w:r w:rsidRPr="00967AC5">
        <w:rPr>
          <w:rFonts w:cs="Arial"/>
          <w:szCs w:val="20"/>
        </w:rPr>
        <w:t>ing</w:t>
      </w:r>
      <w:r w:rsidRPr="00967AC5">
        <w:rPr>
          <w:rFonts w:cs="Arial"/>
          <w:szCs w:val="20"/>
          <w:lang w:eastAsia="zh-CN"/>
        </w:rPr>
        <w:t xml:space="preserve"> with the relevant technical conditions (maximum permitted </w:t>
      </w:r>
      <w:proofErr w:type="spellStart"/>
      <w:r w:rsidR="007C6F2C" w:rsidRPr="00967AC5">
        <w:rPr>
          <w:rFonts w:cs="Arial"/>
          <w:color w:val="000000"/>
          <w:lang w:eastAsia="fr-FR"/>
        </w:rPr>
        <w:t>e.i.r.p.s</w:t>
      </w:r>
      <w:proofErr w:type="spellEnd"/>
      <w:r w:rsidRPr="00967AC5">
        <w:rPr>
          <w:rFonts w:cs="Arial"/>
          <w:szCs w:val="20"/>
          <w:lang w:eastAsia="zh-CN"/>
        </w:rPr>
        <w:t xml:space="preserve"> and minimum frequency separations from other adjacent services) which apply in the context of GSM, may be deployed in the 1800 MHz bands without any increase in the likelihood of harmful interference.</w:t>
      </w:r>
    </w:p>
    <w:p w14:paraId="461416AD" w14:textId="465213FF" w:rsidR="008F2A2B" w:rsidRPr="00967AC5" w:rsidRDefault="008F2A2B" w:rsidP="00DE2B81">
      <w:pPr>
        <w:pStyle w:val="ECCParagraph"/>
        <w:rPr>
          <w:rStyle w:val="ECCHLbold"/>
          <w:b w:val="0"/>
          <w:u w:val="single"/>
        </w:rPr>
      </w:pPr>
      <w:r w:rsidRPr="00967AC5">
        <w:rPr>
          <w:rStyle w:val="ECCHLbold"/>
          <w:b w:val="0"/>
          <w:u w:val="single"/>
        </w:rPr>
        <w:t>ECC Report 297 for NR non-AAS</w:t>
      </w:r>
      <w:r w:rsidR="0026035B" w:rsidRPr="00967AC5">
        <w:rPr>
          <w:rStyle w:val="ECCHLbold"/>
          <w:b w:val="0"/>
          <w:u w:val="single"/>
        </w:rPr>
        <w:t xml:space="preserve"> </w:t>
      </w:r>
      <w:r w:rsidR="0026035B" w:rsidRPr="00967AC5">
        <w:rPr>
          <w:rStyle w:val="ECCHLbold"/>
          <w:b w:val="0"/>
          <w:u w:val="single"/>
        </w:rPr>
        <w:fldChar w:fldCharType="begin"/>
      </w:r>
      <w:r w:rsidR="0026035B" w:rsidRPr="00967AC5">
        <w:rPr>
          <w:rStyle w:val="ECCHLbold"/>
          <w:b w:val="0"/>
          <w:u w:val="single"/>
        </w:rPr>
        <w:instrText xml:space="preserve"> REF _Ref63337314 \r \h</w:instrText>
      </w:r>
      <w:r w:rsidR="0026035B" w:rsidRPr="00967AC5">
        <w:rPr>
          <w:rStyle w:val="ECCHLbold"/>
          <w:rFonts w:cs="Arial"/>
          <w:b w:val="0"/>
          <w:bCs/>
          <w:szCs w:val="20"/>
          <w:u w:val="single"/>
        </w:rPr>
        <w:instrText xml:space="preserve"> </w:instrText>
      </w:r>
      <w:r w:rsidR="00D81EDC" w:rsidRPr="00967AC5">
        <w:rPr>
          <w:rStyle w:val="ECCHLbold"/>
          <w:rFonts w:cs="Arial"/>
          <w:b w:val="0"/>
          <w:bCs/>
          <w:szCs w:val="20"/>
          <w:u w:val="single"/>
        </w:rPr>
        <w:instrText xml:space="preserve"> \* MERGEFORMAT</w:instrText>
      </w:r>
      <w:r w:rsidR="00D81EDC" w:rsidRPr="00967AC5">
        <w:rPr>
          <w:rStyle w:val="ECCHLbold"/>
          <w:b w:val="0"/>
          <w:u w:val="single"/>
        </w:rPr>
        <w:instrText xml:space="preserve"> </w:instrText>
      </w:r>
      <w:r w:rsidR="0026035B" w:rsidRPr="00967AC5">
        <w:rPr>
          <w:rStyle w:val="ECCHLbold"/>
          <w:b w:val="0"/>
          <w:u w:val="single"/>
        </w:rPr>
      </w:r>
      <w:r w:rsidR="0026035B" w:rsidRPr="00967AC5">
        <w:rPr>
          <w:rStyle w:val="ECCHLbold"/>
          <w:b w:val="0"/>
          <w:u w:val="single"/>
        </w:rPr>
        <w:fldChar w:fldCharType="separate"/>
      </w:r>
      <w:r w:rsidR="00680BB5" w:rsidRPr="00967AC5">
        <w:rPr>
          <w:rStyle w:val="ECCHLbold"/>
          <w:b w:val="0"/>
          <w:u w:val="single"/>
        </w:rPr>
        <w:t>[3]</w:t>
      </w:r>
      <w:r w:rsidR="0026035B" w:rsidRPr="00967AC5">
        <w:rPr>
          <w:rStyle w:val="ECCHLbold"/>
          <w:b w:val="0"/>
          <w:u w:val="single"/>
        </w:rPr>
        <w:fldChar w:fldCharType="end"/>
      </w:r>
      <w:r w:rsidRPr="00967AC5">
        <w:rPr>
          <w:rStyle w:val="ECCHLbold"/>
          <w:b w:val="0"/>
          <w:u w:val="single"/>
        </w:rPr>
        <w:t>:</w:t>
      </w:r>
    </w:p>
    <w:p w14:paraId="0BB6BF7C" w14:textId="12083DBB" w:rsidR="008F2A2B" w:rsidRPr="00967AC5" w:rsidRDefault="008F2A2B" w:rsidP="008F2A2B">
      <w:pPr>
        <w:rPr>
          <w:rFonts w:cs="Arial"/>
          <w:szCs w:val="20"/>
          <w:lang w:val="en-GB"/>
        </w:rPr>
      </w:pPr>
      <w:r w:rsidRPr="00967AC5">
        <w:rPr>
          <w:rFonts w:cs="Arial"/>
          <w:szCs w:val="20"/>
          <w:lang w:val="en-GB"/>
        </w:rPr>
        <w:t>ECC Report 297 concludes in its section 4.2.1.1 and 4.2.1.2 that</w:t>
      </w:r>
      <w:r w:rsidR="00B70100" w:rsidRPr="00967AC5">
        <w:rPr>
          <w:rFonts w:cs="Arial"/>
          <w:szCs w:val="20"/>
          <w:lang w:val="en-GB"/>
        </w:rPr>
        <w:t>:</w:t>
      </w:r>
    </w:p>
    <w:p w14:paraId="7CDC9E8E" w14:textId="5CFF55E7" w:rsidR="008F2A2B" w:rsidRPr="00967AC5" w:rsidRDefault="00B70100" w:rsidP="00DE2B81">
      <w:pPr>
        <w:pStyle w:val="ECCBulletsLv1"/>
        <w:rPr>
          <w:rFonts w:cs="Arial"/>
          <w:szCs w:val="20"/>
        </w:rPr>
      </w:pPr>
      <w:r w:rsidRPr="00967AC5">
        <w:rPr>
          <w:rFonts w:cs="Arial"/>
          <w:szCs w:val="20"/>
        </w:rPr>
        <w:t>“</w:t>
      </w:r>
      <w:r w:rsidR="008F2A2B" w:rsidRPr="00967AC5">
        <w:rPr>
          <w:i/>
        </w:rPr>
        <w:t>The results of CEPT Report 41 and ECC Report 266 for compatibility between LTE and LTE + Guard Band IoT and adjacent systems can be extended to the NR system operation in 900/1800 MHz MFCN bands</w:t>
      </w:r>
      <w:r w:rsidRPr="00967AC5">
        <w:rPr>
          <w:rFonts w:cs="Arial"/>
          <w:szCs w:val="20"/>
        </w:rPr>
        <w:t>”</w:t>
      </w:r>
      <w:r w:rsidR="0067214B" w:rsidRPr="00967AC5">
        <w:rPr>
          <w:rFonts w:cs="Arial"/>
          <w:szCs w:val="20"/>
        </w:rPr>
        <w:t>;</w:t>
      </w:r>
    </w:p>
    <w:p w14:paraId="36BBBBBA" w14:textId="4A8F5E74" w:rsidR="008F2A2B" w:rsidRPr="00967AC5" w:rsidRDefault="00B70100" w:rsidP="00DE2B81">
      <w:pPr>
        <w:pStyle w:val="ECCBulletsLv1"/>
        <w:rPr>
          <w:rFonts w:cs="Arial"/>
          <w:szCs w:val="20"/>
        </w:rPr>
      </w:pPr>
      <w:r w:rsidRPr="00967AC5">
        <w:rPr>
          <w:rFonts w:cs="Arial"/>
          <w:szCs w:val="20"/>
        </w:rPr>
        <w:t>“</w:t>
      </w:r>
      <w:r w:rsidR="008F2A2B" w:rsidRPr="00967AC5">
        <w:rPr>
          <w:i/>
        </w:rPr>
        <w:t>Given that the receiver characteristics of NR are similar to those of regular LTE receivers, it is expected that the behaviour of both receivers is the same. Therefore, the conditions of operation of NR are expected to be similar to those of LTE</w:t>
      </w:r>
      <w:r w:rsidRPr="00967AC5">
        <w:rPr>
          <w:rFonts w:cs="Arial"/>
          <w:szCs w:val="20"/>
        </w:rPr>
        <w:t>”</w:t>
      </w:r>
      <w:r w:rsidR="008F2A2B" w:rsidRPr="00967AC5">
        <w:rPr>
          <w:rFonts w:cs="Arial"/>
          <w:szCs w:val="20"/>
        </w:rPr>
        <w:t>.</w:t>
      </w:r>
    </w:p>
    <w:p w14:paraId="195FF203" w14:textId="5115CD67" w:rsidR="008F2A2B" w:rsidRPr="00967AC5" w:rsidRDefault="008F2A2B" w:rsidP="00A61985">
      <w:pPr>
        <w:pStyle w:val="ECCParagraph"/>
        <w:spacing w:before="240"/>
        <w:rPr>
          <w:u w:val="single"/>
        </w:rPr>
      </w:pPr>
      <w:r w:rsidRPr="00967AC5">
        <w:rPr>
          <w:u w:val="single"/>
        </w:rPr>
        <w:t>Final Conclusions:</w:t>
      </w:r>
    </w:p>
    <w:p w14:paraId="34E24173" w14:textId="02DF56E1" w:rsidR="008F2A2B" w:rsidRPr="00967AC5" w:rsidRDefault="008F2A2B" w:rsidP="00D034DC">
      <w:pPr>
        <w:pStyle w:val="ECCParagraph"/>
        <w:rPr>
          <w:rFonts w:cs="Arial"/>
          <w:szCs w:val="20"/>
        </w:rPr>
      </w:pPr>
      <w:r w:rsidRPr="00967AC5">
        <w:rPr>
          <w:rFonts w:cs="Arial"/>
          <w:szCs w:val="20"/>
        </w:rPr>
        <w:t xml:space="preserve">The conclusions of ECC </w:t>
      </w:r>
      <w:r w:rsidR="00DE2B81" w:rsidRPr="00967AC5">
        <w:rPr>
          <w:rFonts w:cs="Arial"/>
          <w:szCs w:val="20"/>
        </w:rPr>
        <w:t>R</w:t>
      </w:r>
      <w:r w:rsidRPr="00967AC5">
        <w:rPr>
          <w:rFonts w:cs="Arial"/>
          <w:szCs w:val="20"/>
        </w:rPr>
        <w:t xml:space="preserve">eport 266 (NB) complemented by conclusions of CEPT </w:t>
      </w:r>
      <w:r w:rsidR="00DE2B81" w:rsidRPr="00967AC5">
        <w:rPr>
          <w:rFonts w:cs="Arial"/>
          <w:szCs w:val="20"/>
        </w:rPr>
        <w:t>R</w:t>
      </w:r>
      <w:r w:rsidRPr="00967AC5">
        <w:rPr>
          <w:rFonts w:cs="Arial"/>
          <w:szCs w:val="20"/>
        </w:rPr>
        <w:t xml:space="preserve">eport 41 and ECC </w:t>
      </w:r>
      <w:r w:rsidR="00DE2B81" w:rsidRPr="00967AC5">
        <w:rPr>
          <w:rFonts w:cs="Arial"/>
          <w:szCs w:val="20"/>
        </w:rPr>
        <w:t>R</w:t>
      </w:r>
      <w:r w:rsidRPr="00967AC5">
        <w:rPr>
          <w:rFonts w:cs="Arial"/>
          <w:szCs w:val="20"/>
        </w:rPr>
        <w:t xml:space="preserve">eport 297 (WB) remain valid and coexistence with adjacent systems is ensured as the requirement above is being maintained in the proposed technology neutral non-AAS </w:t>
      </w:r>
      <w:r w:rsidRPr="00967AC5">
        <w:t>LRTCs</w:t>
      </w:r>
      <w:r w:rsidRPr="00967AC5" w:rsidDel="009303D5">
        <w:t xml:space="preserve"> </w:t>
      </w:r>
      <w:r w:rsidRPr="00967AC5">
        <w:t xml:space="preserve">(see section </w:t>
      </w:r>
      <w:r w:rsidRPr="00967AC5">
        <w:rPr>
          <w:rFonts w:eastAsia="Calibri"/>
        </w:rPr>
        <w:fldChar w:fldCharType="begin"/>
      </w:r>
      <w:r w:rsidRPr="00967AC5">
        <w:rPr>
          <w:rFonts w:eastAsia="Calibri" w:cs="Arial"/>
          <w:bCs/>
          <w:szCs w:val="20"/>
        </w:rPr>
        <w:instrText xml:space="preserve"> REF _Ref52282185 \r \h  \* MERGEFORMAT </w:instrText>
      </w:r>
      <w:r w:rsidRPr="00967AC5">
        <w:rPr>
          <w:rFonts w:eastAsia="Calibri"/>
        </w:rPr>
      </w:r>
      <w:r w:rsidRPr="00967AC5">
        <w:rPr>
          <w:rFonts w:eastAsia="Calibri"/>
        </w:rPr>
        <w:fldChar w:fldCharType="separate"/>
      </w:r>
      <w:r w:rsidR="00680BB5" w:rsidRPr="00967AC5">
        <w:rPr>
          <w:rFonts w:eastAsia="Calibri" w:cs="Arial"/>
          <w:bCs/>
          <w:szCs w:val="20"/>
        </w:rPr>
        <w:t>3.4</w:t>
      </w:r>
      <w:r w:rsidRPr="00967AC5">
        <w:rPr>
          <w:rFonts w:eastAsia="Calibri"/>
        </w:rPr>
        <w:fldChar w:fldCharType="end"/>
      </w:r>
      <w:r w:rsidRPr="00967AC5">
        <w:rPr>
          <w:rFonts w:cs="Arial"/>
          <w:szCs w:val="20"/>
        </w:rPr>
        <w:t xml:space="preserve">) which are the same as those of </w:t>
      </w:r>
      <w:r w:rsidR="00680BB5" w:rsidRPr="00967AC5">
        <w:t>standalone</w:t>
      </w:r>
      <w:r w:rsidR="00D034DC" w:rsidRPr="00967AC5">
        <w:t xml:space="preserve"> </w:t>
      </w:r>
      <w:r w:rsidRPr="00967AC5">
        <w:t>NB-IoT</w:t>
      </w:r>
      <w:r w:rsidRPr="00967AC5">
        <w:rPr>
          <w:rFonts w:cs="Arial"/>
          <w:szCs w:val="20"/>
        </w:rPr>
        <w:t xml:space="preserve">. </w:t>
      </w:r>
    </w:p>
    <w:p w14:paraId="78C7009B" w14:textId="1581A03E" w:rsidR="008F2A2B" w:rsidRPr="00967AC5" w:rsidRDefault="008F2A2B" w:rsidP="00DE2B81">
      <w:pPr>
        <w:pStyle w:val="ECCParagraph"/>
        <w:rPr>
          <w:rFonts w:cs="Arial"/>
          <w:szCs w:val="20"/>
        </w:rPr>
      </w:pPr>
      <w:r w:rsidRPr="00967AC5">
        <w:rPr>
          <w:rFonts w:cs="Arial"/>
          <w:szCs w:val="20"/>
        </w:rPr>
        <w:t xml:space="preserve">The DECT system has the DCA (Dynamic Channel Allocation) mechanism which allows it to avoid efficiently an interfered channel, except if both systems are deployed indoors. No guard band is required between MFCN (WB and NB) non-AAS </w:t>
      </w:r>
      <w:r w:rsidRPr="00967AC5">
        <w:t xml:space="preserve">1800 </w:t>
      </w:r>
      <w:r w:rsidR="008D59E4" w:rsidRPr="00967AC5">
        <w:rPr>
          <w:rFonts w:cs="Arial"/>
          <w:szCs w:val="20"/>
        </w:rPr>
        <w:t xml:space="preserve">MHz </w:t>
      </w:r>
      <w:r w:rsidRPr="00967AC5">
        <w:rPr>
          <w:rFonts w:cs="Arial"/>
          <w:szCs w:val="20"/>
        </w:rPr>
        <w:t>and DECT allocations.</w:t>
      </w:r>
    </w:p>
    <w:p w14:paraId="147E23DC" w14:textId="1C763007" w:rsidR="008F2A2B" w:rsidRPr="00967AC5" w:rsidRDefault="008F2A2B" w:rsidP="00DE2B81">
      <w:pPr>
        <w:pStyle w:val="ECCParagraph"/>
        <w:rPr>
          <w:rFonts w:cs="Arial"/>
          <w:szCs w:val="20"/>
        </w:rPr>
      </w:pPr>
      <w:r w:rsidRPr="00967AC5">
        <w:rPr>
          <w:rFonts w:cs="Arial"/>
          <w:szCs w:val="20"/>
        </w:rPr>
        <w:t xml:space="preserve">For </w:t>
      </w:r>
      <w:r w:rsidR="0026035B" w:rsidRPr="00967AC5">
        <w:rPr>
          <w:rFonts w:cs="Arial"/>
          <w:szCs w:val="20"/>
        </w:rPr>
        <w:t xml:space="preserve">MetSat </w:t>
      </w:r>
      <w:r w:rsidRPr="00967AC5">
        <w:rPr>
          <w:rFonts w:cs="Arial"/>
          <w:szCs w:val="20"/>
        </w:rPr>
        <w:t>the potential interference between MFCN (WB and NB</w:t>
      </w:r>
      <w:r w:rsidRPr="00967AC5">
        <w:t xml:space="preserve">) 1800 </w:t>
      </w:r>
      <w:r w:rsidR="008D59E4" w:rsidRPr="00967AC5">
        <w:rPr>
          <w:rFonts w:cs="Arial"/>
          <w:szCs w:val="20"/>
        </w:rPr>
        <w:t xml:space="preserve">MHz </w:t>
      </w:r>
      <w:r w:rsidR="00086C3B" w:rsidRPr="00967AC5">
        <w:rPr>
          <w:rFonts w:cs="Arial"/>
          <w:szCs w:val="20"/>
        </w:rPr>
        <w:t>terminal station</w:t>
      </w:r>
      <w:r w:rsidRPr="00967AC5">
        <w:t xml:space="preserve"> and</w:t>
      </w:r>
      <w:r w:rsidRPr="00967AC5">
        <w:rPr>
          <w:rFonts w:cs="Arial"/>
          <w:szCs w:val="20"/>
        </w:rPr>
        <w:t xml:space="preserve"> MetSat </w:t>
      </w:r>
      <w:r w:rsidR="00DF344A" w:rsidRPr="00967AC5">
        <w:rPr>
          <w:rFonts w:cs="Arial"/>
          <w:szCs w:val="20"/>
        </w:rPr>
        <w:t xml:space="preserve">earth stations </w:t>
      </w:r>
      <w:r w:rsidRPr="00967AC5">
        <w:rPr>
          <w:rFonts w:cs="Arial"/>
          <w:szCs w:val="20"/>
        </w:rPr>
        <w:t>is not expected to be a problem</w:t>
      </w:r>
      <w:r w:rsidR="006C0004" w:rsidRPr="00967AC5">
        <w:rPr>
          <w:rFonts w:cs="Arial"/>
          <w:szCs w:val="20"/>
        </w:rPr>
        <w:t>.</w:t>
      </w:r>
    </w:p>
    <w:p w14:paraId="18F53233" w14:textId="14CF6C8C" w:rsidR="008F2A2B" w:rsidRPr="00967AC5" w:rsidRDefault="008F2A2B" w:rsidP="00DE2B81">
      <w:pPr>
        <w:pStyle w:val="ECCParagraph"/>
        <w:rPr>
          <w:rFonts w:cs="Arial"/>
          <w:szCs w:val="20"/>
        </w:rPr>
      </w:pPr>
      <w:r w:rsidRPr="00967AC5">
        <w:rPr>
          <w:rFonts w:cs="Arial"/>
          <w:szCs w:val="20"/>
        </w:rPr>
        <w:t xml:space="preserve">For </w:t>
      </w:r>
      <w:r w:rsidR="007D30E7" w:rsidRPr="00967AC5">
        <w:rPr>
          <w:rFonts w:cs="Arial"/>
          <w:szCs w:val="20"/>
        </w:rPr>
        <w:t xml:space="preserve">radio microphones </w:t>
      </w:r>
      <w:r w:rsidRPr="00967AC5">
        <w:rPr>
          <w:rFonts w:cs="Arial"/>
          <w:szCs w:val="20"/>
        </w:rPr>
        <w:t>operating between 1785-1805</w:t>
      </w:r>
      <w:r w:rsidR="007D30E7" w:rsidRPr="00967AC5">
        <w:rPr>
          <w:rFonts w:cs="Arial"/>
          <w:szCs w:val="20"/>
        </w:rPr>
        <w:t xml:space="preserve"> </w:t>
      </w:r>
      <w:r w:rsidRPr="00967AC5">
        <w:rPr>
          <w:rFonts w:cs="Arial"/>
          <w:szCs w:val="20"/>
        </w:rPr>
        <w:t xml:space="preserve">MHz, CEPT </w:t>
      </w:r>
      <w:r w:rsidR="000E07B2" w:rsidRPr="00967AC5">
        <w:rPr>
          <w:rFonts w:cs="Arial"/>
          <w:szCs w:val="20"/>
        </w:rPr>
        <w:t xml:space="preserve">confirms </w:t>
      </w:r>
      <w:r w:rsidRPr="00967AC5">
        <w:rPr>
          <w:rFonts w:cs="Arial"/>
          <w:szCs w:val="20"/>
        </w:rPr>
        <w:t xml:space="preserve">the conclusions of ECC </w:t>
      </w:r>
      <w:r w:rsidR="00A776F6" w:rsidRPr="00967AC5">
        <w:rPr>
          <w:rFonts w:cs="Arial"/>
          <w:szCs w:val="20"/>
        </w:rPr>
        <w:t>R</w:t>
      </w:r>
      <w:r w:rsidRPr="00967AC5">
        <w:rPr>
          <w:rFonts w:cs="Arial"/>
          <w:szCs w:val="20"/>
        </w:rPr>
        <w:t>eport 191 remain valid. PMSE is able to find an operational channel with a sufficient QoS with the assumption of certain spatial distances between the PMSE equipment and the MFCN non-AAS equipment.</w:t>
      </w:r>
    </w:p>
    <w:p w14:paraId="243FBD75" w14:textId="679395C6" w:rsidR="008F2A2B" w:rsidRPr="00967AC5" w:rsidRDefault="008F2A2B" w:rsidP="00DE2B81">
      <w:pPr>
        <w:pStyle w:val="ECCParagraph"/>
        <w:rPr>
          <w:rFonts w:cs="Arial"/>
          <w:szCs w:val="20"/>
          <w:u w:val="single"/>
        </w:rPr>
      </w:pPr>
      <w:r w:rsidRPr="00967AC5">
        <w:rPr>
          <w:rFonts w:cs="Arial"/>
          <w:szCs w:val="20"/>
        </w:rPr>
        <w:t xml:space="preserve">No national coordination is needed </w:t>
      </w:r>
      <w:r w:rsidRPr="00967AC5">
        <w:t xml:space="preserve">except for </w:t>
      </w:r>
      <w:r w:rsidR="000944D6" w:rsidRPr="00967AC5">
        <w:rPr>
          <w:rFonts w:cs="Arial"/>
          <w:szCs w:val="20"/>
        </w:rPr>
        <w:t>f</w:t>
      </w:r>
      <w:r w:rsidR="000944D6" w:rsidRPr="00967AC5">
        <w:t xml:space="preserve">ixed </w:t>
      </w:r>
      <w:r w:rsidRPr="00967AC5">
        <w:t xml:space="preserve">service as highlighted in CEPT </w:t>
      </w:r>
      <w:r w:rsidR="00A776F6" w:rsidRPr="00967AC5">
        <w:t>R</w:t>
      </w:r>
      <w:r w:rsidRPr="00967AC5">
        <w:t xml:space="preserve">eport 41 and ECC </w:t>
      </w:r>
      <w:r w:rsidR="00A776F6" w:rsidRPr="00967AC5">
        <w:t>R</w:t>
      </w:r>
      <w:r w:rsidRPr="00967AC5">
        <w:t xml:space="preserve">eport 297 which both refer to ERC Report 64 </w:t>
      </w:r>
      <w:r w:rsidR="00A6310E" w:rsidRPr="00967AC5">
        <w:rPr>
          <w:rFonts w:cs="Arial"/>
          <w:szCs w:val="20"/>
        </w:rPr>
        <w:fldChar w:fldCharType="begin"/>
      </w:r>
      <w:r w:rsidR="00A6310E" w:rsidRPr="00967AC5">
        <w:rPr>
          <w:rFonts w:cs="Arial"/>
          <w:szCs w:val="20"/>
        </w:rPr>
        <w:instrText xml:space="preserve"> REF _Ref68876239 \r \h </w:instrText>
      </w:r>
      <w:r w:rsidR="00323A81" w:rsidRPr="00967AC5">
        <w:rPr>
          <w:rFonts w:cs="Arial"/>
          <w:szCs w:val="20"/>
        </w:rPr>
        <w:instrText xml:space="preserve"> \* MERGEFORMAT </w:instrText>
      </w:r>
      <w:r w:rsidR="00A6310E" w:rsidRPr="00967AC5">
        <w:rPr>
          <w:rFonts w:cs="Arial"/>
          <w:szCs w:val="20"/>
        </w:rPr>
      </w:r>
      <w:r w:rsidR="00A6310E" w:rsidRPr="00967AC5">
        <w:rPr>
          <w:rFonts w:cs="Arial"/>
          <w:szCs w:val="20"/>
        </w:rPr>
        <w:fldChar w:fldCharType="separate"/>
      </w:r>
      <w:r w:rsidR="00680BB5" w:rsidRPr="00967AC5">
        <w:rPr>
          <w:rFonts w:cs="Arial"/>
          <w:szCs w:val="20"/>
        </w:rPr>
        <w:t>[45]</w:t>
      </w:r>
      <w:r w:rsidR="00A6310E" w:rsidRPr="00967AC5">
        <w:rPr>
          <w:rFonts w:cs="Arial"/>
          <w:szCs w:val="20"/>
        </w:rPr>
        <w:fldChar w:fldCharType="end"/>
      </w:r>
      <w:r w:rsidR="00A6310E" w:rsidRPr="00967AC5">
        <w:rPr>
          <w:rFonts w:cs="Arial"/>
          <w:szCs w:val="20"/>
        </w:rPr>
        <w:t xml:space="preserve"> </w:t>
      </w:r>
      <w:r w:rsidRPr="00967AC5">
        <w:t>and ERC Report 65</w:t>
      </w:r>
      <w:r w:rsidR="00A6310E" w:rsidRPr="00967AC5">
        <w:rPr>
          <w:rFonts w:cs="Arial"/>
          <w:szCs w:val="20"/>
        </w:rPr>
        <w:t xml:space="preserve"> </w:t>
      </w:r>
      <w:r w:rsidR="00A6310E" w:rsidRPr="00967AC5">
        <w:rPr>
          <w:rFonts w:cs="Arial"/>
          <w:szCs w:val="20"/>
        </w:rPr>
        <w:fldChar w:fldCharType="begin"/>
      </w:r>
      <w:r w:rsidR="00A6310E" w:rsidRPr="00967AC5">
        <w:rPr>
          <w:rFonts w:cs="Arial"/>
          <w:szCs w:val="20"/>
        </w:rPr>
        <w:instrText xml:space="preserve"> REF _Ref68876245 \r \h </w:instrText>
      </w:r>
      <w:r w:rsidR="00323A81" w:rsidRPr="00967AC5">
        <w:rPr>
          <w:rFonts w:cs="Arial"/>
          <w:szCs w:val="20"/>
        </w:rPr>
        <w:instrText xml:space="preserve"> \* MERGEFORMAT </w:instrText>
      </w:r>
      <w:r w:rsidR="00A6310E" w:rsidRPr="00967AC5">
        <w:rPr>
          <w:rFonts w:cs="Arial"/>
          <w:szCs w:val="20"/>
        </w:rPr>
      </w:r>
      <w:r w:rsidR="00A6310E" w:rsidRPr="00967AC5">
        <w:rPr>
          <w:rFonts w:cs="Arial"/>
          <w:szCs w:val="20"/>
        </w:rPr>
        <w:fldChar w:fldCharType="separate"/>
      </w:r>
      <w:r w:rsidR="00680BB5" w:rsidRPr="00967AC5">
        <w:rPr>
          <w:rFonts w:cs="Arial"/>
          <w:szCs w:val="20"/>
        </w:rPr>
        <w:t>[46]</w:t>
      </w:r>
      <w:r w:rsidR="00A6310E" w:rsidRPr="00967AC5">
        <w:rPr>
          <w:rFonts w:cs="Arial"/>
          <w:szCs w:val="20"/>
        </w:rPr>
        <w:fldChar w:fldCharType="end"/>
      </w:r>
      <w:r w:rsidRPr="00967AC5">
        <w:rPr>
          <w:rFonts w:cs="Arial"/>
          <w:szCs w:val="20"/>
        </w:rPr>
        <w:t xml:space="preserve">. </w:t>
      </w:r>
    </w:p>
    <w:p w14:paraId="7AC9143D" w14:textId="1B7059B0" w:rsidR="008F2A2B" w:rsidRPr="00967AC5" w:rsidRDefault="008F2A2B" w:rsidP="005931B9">
      <w:pPr>
        <w:pStyle w:val="Heading4"/>
      </w:pPr>
      <w:bookmarkStart w:id="142" w:name="_Ref59214484"/>
      <w:bookmarkStart w:id="143" w:name="_Toc71037837"/>
      <w:r w:rsidRPr="00967AC5">
        <w:t>Adjacent band coexistence for AAS MFCN system in 1800 MHz frequency bands</w:t>
      </w:r>
      <w:bookmarkEnd w:id="142"/>
      <w:bookmarkEnd w:id="143"/>
    </w:p>
    <w:p w14:paraId="0F1A6299" w14:textId="3C227EAF" w:rsidR="008F2A2B" w:rsidRPr="00967AC5" w:rsidRDefault="008F2A2B" w:rsidP="0053753F">
      <w:pPr>
        <w:pStyle w:val="ECCParagraph"/>
      </w:pPr>
      <w:r w:rsidRPr="00967AC5">
        <w:t>Coexistence between MFCN AAS systems in 1800</w:t>
      </w:r>
      <w:r w:rsidR="00AB737C" w:rsidRPr="00967AC5">
        <w:t xml:space="preserve"> </w:t>
      </w:r>
      <w:r w:rsidRPr="00967AC5">
        <w:t>MHz band and adjacent systems was studied in the following report:</w:t>
      </w:r>
    </w:p>
    <w:p w14:paraId="33D80D0E" w14:textId="0AAF7CF2" w:rsidR="008F2A2B" w:rsidRPr="00967AC5" w:rsidRDefault="008F2A2B" w:rsidP="00722B0E">
      <w:pPr>
        <w:pStyle w:val="ECCParagraph"/>
      </w:pPr>
      <w:r w:rsidRPr="00967AC5">
        <w:t xml:space="preserve">ECC </w:t>
      </w:r>
      <w:r w:rsidR="00A776F6" w:rsidRPr="00967AC5">
        <w:t>R</w:t>
      </w:r>
      <w:r w:rsidRPr="00967AC5">
        <w:t xml:space="preserve">eport 297 </w:t>
      </w:r>
      <w:r w:rsidR="007D30E7" w:rsidRPr="00967AC5">
        <w:fldChar w:fldCharType="begin"/>
      </w:r>
      <w:r w:rsidR="007D30E7" w:rsidRPr="00967AC5">
        <w:instrText xml:space="preserve"> REF _Ref63337314 \r \h </w:instrText>
      </w:r>
      <w:r w:rsidR="002505BC" w:rsidRPr="00967AC5">
        <w:instrText xml:space="preserve"> \* MERGEFORMAT </w:instrText>
      </w:r>
      <w:r w:rsidR="007D30E7" w:rsidRPr="00967AC5">
        <w:fldChar w:fldCharType="separate"/>
      </w:r>
      <w:r w:rsidR="00680BB5" w:rsidRPr="00967AC5">
        <w:t>[3]</w:t>
      </w:r>
      <w:r w:rsidR="007D30E7" w:rsidRPr="00967AC5">
        <w:fldChar w:fldCharType="end"/>
      </w:r>
      <w:r w:rsidR="007D30E7" w:rsidRPr="00967AC5">
        <w:t xml:space="preserve"> </w:t>
      </w:r>
      <w:r w:rsidRPr="00967AC5">
        <w:t>concludes in section 4.2.3</w:t>
      </w:r>
      <w:r w:rsidR="00E34D79" w:rsidRPr="00967AC5">
        <w:t xml:space="preserve"> that </w:t>
      </w:r>
      <w:r w:rsidRPr="00967AC5">
        <w:t xml:space="preserve">the main conclusions from CEPT Report 41 </w:t>
      </w:r>
      <w:r w:rsidR="007D30E7" w:rsidRPr="00967AC5">
        <w:fldChar w:fldCharType="begin"/>
      </w:r>
      <w:r w:rsidR="007D30E7" w:rsidRPr="00967AC5">
        <w:instrText xml:space="preserve"> REF _Ref63337493 \r \h </w:instrText>
      </w:r>
      <w:r w:rsidR="002505BC" w:rsidRPr="00967AC5">
        <w:instrText xml:space="preserve"> \* MERGEFORMAT </w:instrText>
      </w:r>
      <w:r w:rsidR="007D30E7" w:rsidRPr="00967AC5">
        <w:fldChar w:fldCharType="separate"/>
      </w:r>
      <w:r w:rsidR="00680BB5" w:rsidRPr="00967AC5">
        <w:t>[12]</w:t>
      </w:r>
      <w:r w:rsidR="007D30E7" w:rsidRPr="00967AC5">
        <w:fldChar w:fldCharType="end"/>
      </w:r>
      <w:r w:rsidR="007D30E7" w:rsidRPr="00967AC5">
        <w:t xml:space="preserve"> </w:t>
      </w:r>
      <w:r w:rsidRPr="00967AC5">
        <w:t xml:space="preserve">for LTE-non-AAS 1800 system and ECC Report 96 </w:t>
      </w:r>
      <w:r w:rsidR="007D30E7" w:rsidRPr="00967AC5">
        <w:fldChar w:fldCharType="begin"/>
      </w:r>
      <w:r w:rsidR="007D30E7" w:rsidRPr="00967AC5">
        <w:instrText xml:space="preserve"> REF _Ref63337476 \r \h </w:instrText>
      </w:r>
      <w:r w:rsidR="002505BC" w:rsidRPr="00967AC5">
        <w:instrText xml:space="preserve"> \* MERGEFORMAT </w:instrText>
      </w:r>
      <w:r w:rsidR="007D30E7" w:rsidRPr="00967AC5">
        <w:fldChar w:fldCharType="separate"/>
      </w:r>
      <w:r w:rsidR="00680BB5" w:rsidRPr="00967AC5">
        <w:t>[9]</w:t>
      </w:r>
      <w:r w:rsidR="007D30E7" w:rsidRPr="00967AC5">
        <w:fldChar w:fldCharType="end"/>
      </w:r>
      <w:r w:rsidRPr="00967AC5">
        <w:t xml:space="preserve"> for UMTS 1800 MHz compatibility with adjacent systems are considered here to be also applicable to AAS (LTE/NR) 1800 MHz systems. Based on the above, the following conclusions can be made for AAS WB systems in 1800 MHz band:</w:t>
      </w:r>
    </w:p>
    <w:p w14:paraId="0279A197" w14:textId="0958F8D4" w:rsidR="008F2A2B" w:rsidRPr="00967AC5" w:rsidRDefault="008F2A2B" w:rsidP="00570FE9">
      <w:pPr>
        <w:pStyle w:val="ECCBulletsLv1"/>
      </w:pPr>
      <w:r w:rsidRPr="00967AC5">
        <w:rPr>
          <w:b/>
          <w:bCs/>
        </w:rPr>
        <w:lastRenderedPageBreak/>
        <w:t xml:space="preserve">For DECT (Section 4.2.2.1 of ECC </w:t>
      </w:r>
      <w:r w:rsidR="00A776F6" w:rsidRPr="00967AC5">
        <w:rPr>
          <w:b/>
          <w:bCs/>
        </w:rPr>
        <w:t>R</w:t>
      </w:r>
      <w:r w:rsidRPr="00967AC5">
        <w:rPr>
          <w:b/>
          <w:bCs/>
        </w:rPr>
        <w:t>eport 297)</w:t>
      </w:r>
      <w:r w:rsidRPr="00967AC5">
        <w:t>: No guard band is required between AAS/5G NR 1800</w:t>
      </w:r>
      <w:r w:rsidR="00805434" w:rsidRPr="00967AC5">
        <w:t> MHz</w:t>
      </w:r>
      <w:r w:rsidRPr="00967AC5">
        <w:t xml:space="preserve"> and DECT allocations provided that DECT is able to properly detect interference on closest DECT carriers and escape to more distant carriers. AAS/5G NR macro-cells can be deployed in the same geographical area in co-existence with DECT which is deployed inside of the buildings, as the interference between DECT Radio Fixed Part (RFP) and Portable Part (PP) and macro-cellular AAS WB 1800 </w:t>
      </w:r>
      <w:r w:rsidR="00FB3124" w:rsidRPr="00967AC5">
        <w:t>MHz</w:t>
      </w:r>
      <w:r w:rsidRPr="00967AC5">
        <w:t xml:space="preserve"> BS and UE is not a problem. Potential interference between AAS (LTE/NR) and DECT does not appear to be an obstacle, except for the case where an AAS (LTE/NR) 1800 </w:t>
      </w:r>
      <w:r w:rsidR="00FB3124" w:rsidRPr="00967AC5">
        <w:t xml:space="preserve">MHz </w:t>
      </w:r>
      <w:proofErr w:type="spellStart"/>
      <w:r w:rsidRPr="00967AC5">
        <w:t>pico</w:t>
      </w:r>
      <w:proofErr w:type="spellEnd"/>
      <w:r w:rsidRPr="00967AC5">
        <w:t xml:space="preserve"> BS is installed in indoor environment close to DECT PP or RFP in which case different interference mitigation techniques could be used</w:t>
      </w:r>
      <w:r w:rsidR="00BC5AEB" w:rsidRPr="00967AC5">
        <w:t>.</w:t>
      </w:r>
      <w:r w:rsidRPr="00967AC5">
        <w:t xml:space="preserve"> Mitigation techniques like space separation between indoor pico-cell AAS/5G NR BS and DECT RFP or PP of 65 m or more or avoiding the adjacent frequencies of 1880 MHz for indoor pico-cellular AAS/5G NR 1800 BS and DECT or operate with reduced transmitting power could be necessary. In practice, </w:t>
      </w:r>
      <w:r w:rsidR="00E61286" w:rsidRPr="00967AC5">
        <w:t xml:space="preserve">the </w:t>
      </w:r>
      <w:r w:rsidRPr="00967AC5">
        <w:t>DECT system has a DCA (Dynamic Channel Allocation) mechanism which allows it to avoid interference except if both systems are deployed indoors</w:t>
      </w:r>
      <w:r w:rsidR="00C95E93" w:rsidRPr="00967AC5">
        <w:t>;</w:t>
      </w:r>
      <w:r w:rsidRPr="00967AC5">
        <w:t xml:space="preserve"> </w:t>
      </w:r>
    </w:p>
    <w:p w14:paraId="0F38DD9F" w14:textId="571B1526" w:rsidR="008F2A2B" w:rsidRPr="00967AC5" w:rsidRDefault="008F2A2B" w:rsidP="00570FE9">
      <w:pPr>
        <w:pStyle w:val="ECCBulletsLv1"/>
      </w:pPr>
      <w:r w:rsidRPr="00967AC5">
        <w:rPr>
          <w:b/>
          <w:bCs/>
        </w:rPr>
        <w:t xml:space="preserve">For MetSat (Section 4.2.2.2 of ECC </w:t>
      </w:r>
      <w:r w:rsidR="00A776F6" w:rsidRPr="00967AC5">
        <w:rPr>
          <w:b/>
          <w:bCs/>
        </w:rPr>
        <w:t>R</w:t>
      </w:r>
      <w:r w:rsidRPr="00967AC5">
        <w:rPr>
          <w:b/>
          <w:bCs/>
        </w:rPr>
        <w:t>eport 297)</w:t>
      </w:r>
      <w:r w:rsidRPr="00967AC5">
        <w:t>: Similar to LTE non-AAS, the analysis indicate</w:t>
      </w:r>
      <w:r w:rsidR="00BB47A9" w:rsidRPr="00967AC5">
        <w:t>s</w:t>
      </w:r>
      <w:r w:rsidRPr="00967AC5">
        <w:t xml:space="preserve"> that the potential interference between (LTE/NR) 1800 </w:t>
      </w:r>
      <w:r w:rsidR="00FB3124" w:rsidRPr="00967AC5">
        <w:t>MHz</w:t>
      </w:r>
      <w:r w:rsidRPr="00967AC5">
        <w:t xml:space="preserve"> UE and MetSat Earth Stations is not expected to be a problem provided the fact that AAS functionality applies only to the BS side. The UE NR/LTE characteristics remain the same whether the BS uses AAS or not. Besides, the adjacent channel leakage power of 5G NR UE is in the same range as for legacy LTE UE. The potential interference from MetSat DL to LTE/WiMAX1800 </w:t>
      </w:r>
      <w:r w:rsidR="0006717C" w:rsidRPr="00967AC5">
        <w:t xml:space="preserve">MHz </w:t>
      </w:r>
      <w:r w:rsidRPr="00967AC5">
        <w:t>UE was not covered in past studies and was left for future further study if it appears necessary, also for NR UE systems</w:t>
      </w:r>
      <w:r w:rsidR="00C95E93" w:rsidRPr="00967AC5">
        <w:t>;</w:t>
      </w:r>
    </w:p>
    <w:p w14:paraId="139AE659" w14:textId="71D0BFC5" w:rsidR="008F2A2B" w:rsidRPr="00967AC5" w:rsidRDefault="008F2A2B" w:rsidP="00570FE9">
      <w:pPr>
        <w:pStyle w:val="ECCBulletsLv1"/>
      </w:pPr>
      <w:r w:rsidRPr="00967AC5">
        <w:rPr>
          <w:b/>
          <w:bCs/>
        </w:rPr>
        <w:t xml:space="preserve">For </w:t>
      </w:r>
      <w:r w:rsidR="00DF344A" w:rsidRPr="00967AC5">
        <w:rPr>
          <w:b/>
          <w:bCs/>
        </w:rPr>
        <w:t xml:space="preserve">radio </w:t>
      </w:r>
      <w:r w:rsidR="00DF344A" w:rsidRPr="00967AC5">
        <w:rPr>
          <w:rStyle w:val="ECCHLbold"/>
        </w:rPr>
        <w:t>microphones</w:t>
      </w:r>
      <w:r w:rsidR="00DF344A" w:rsidRPr="00967AC5">
        <w:rPr>
          <w:b/>
          <w:bCs/>
        </w:rPr>
        <w:t xml:space="preserve"> </w:t>
      </w:r>
      <w:r w:rsidRPr="00967AC5">
        <w:t xml:space="preserve">operating frequency range of 1785-1805 MHz is adjacent to WB system (AAS) 1800 </w:t>
      </w:r>
      <w:r w:rsidR="000B1919" w:rsidRPr="00967AC5">
        <w:t>MHz</w:t>
      </w:r>
      <w:r w:rsidRPr="00967AC5">
        <w:t xml:space="preserve"> uplink frequency block at 1710-1785 MHz as well as 1800 </w:t>
      </w:r>
      <w:r w:rsidR="000B1919" w:rsidRPr="00967AC5">
        <w:t xml:space="preserve">MHz </w:t>
      </w:r>
      <w:r w:rsidRPr="00967AC5">
        <w:t xml:space="preserve">downlink frequency block at 1805-1880 MHz. </w:t>
      </w:r>
    </w:p>
    <w:p w14:paraId="388396AF" w14:textId="782C3CD7" w:rsidR="008F2A2B" w:rsidRPr="00967AC5" w:rsidRDefault="008F2A2B" w:rsidP="002505BC">
      <w:pPr>
        <w:pStyle w:val="ECCParagraph"/>
        <w:spacing w:before="240"/>
        <w:ind w:left="360"/>
      </w:pPr>
      <w:r w:rsidRPr="00967AC5">
        <w:t xml:space="preserve">ECC </w:t>
      </w:r>
      <w:r w:rsidR="00D93078" w:rsidRPr="00967AC5">
        <w:t>R</w:t>
      </w:r>
      <w:r w:rsidRPr="00967AC5">
        <w:t xml:space="preserve">eport 297 studied coexistence between AAS system in </w:t>
      </w:r>
      <w:r w:rsidR="00846D20" w:rsidRPr="00967AC5">
        <w:t xml:space="preserve">the </w:t>
      </w:r>
      <w:r w:rsidRPr="00967AC5">
        <w:t>1800</w:t>
      </w:r>
      <w:r w:rsidR="00C95E93" w:rsidRPr="00967AC5">
        <w:t xml:space="preserve"> </w:t>
      </w:r>
      <w:r w:rsidRPr="00967AC5">
        <w:t>MHz band and radio microphones operating between 1785-1800</w:t>
      </w:r>
      <w:r w:rsidR="00C95E93" w:rsidRPr="00967AC5">
        <w:t xml:space="preserve"> </w:t>
      </w:r>
      <w:r w:rsidRPr="00967AC5">
        <w:t xml:space="preserve">MHz. The following conclusion was derived (section 4.2.2.3 of ECC </w:t>
      </w:r>
      <w:r w:rsidR="00D93078" w:rsidRPr="00967AC5">
        <w:t>R</w:t>
      </w:r>
      <w:r w:rsidRPr="00967AC5">
        <w:t>eport 297):</w:t>
      </w:r>
    </w:p>
    <w:p w14:paraId="2B3893D0" w14:textId="187B54BB" w:rsidR="008F2A2B" w:rsidRPr="00967AC5" w:rsidRDefault="00BD12E7" w:rsidP="002505BC">
      <w:pPr>
        <w:pStyle w:val="ECCParagraph"/>
        <w:ind w:left="360"/>
        <w:rPr>
          <w:i/>
          <w:iCs/>
        </w:rPr>
      </w:pPr>
      <w:r w:rsidRPr="00967AC5">
        <w:rPr>
          <w:i/>
          <w:iCs/>
        </w:rPr>
        <w:t>“</w:t>
      </w:r>
      <w:r w:rsidR="008F2A2B" w:rsidRPr="00967AC5">
        <w:rPr>
          <w:i/>
          <w:iCs/>
        </w:rPr>
        <w:t xml:space="preserve">It can be considered that the proposed guard band of 700 kHz in ERC Report </w:t>
      </w:r>
      <w:r w:rsidR="008F2A2B" w:rsidRPr="00967AC5">
        <w:rPr>
          <w:i/>
        </w:rPr>
        <w:t xml:space="preserve">063 </w:t>
      </w:r>
      <w:r w:rsidR="00086C3B" w:rsidRPr="00967AC5">
        <w:rPr>
          <w:i/>
          <w:iCs/>
        </w:rPr>
        <w:fldChar w:fldCharType="begin"/>
      </w:r>
      <w:r w:rsidR="00086C3B" w:rsidRPr="00967AC5">
        <w:rPr>
          <w:i/>
          <w:iCs/>
        </w:rPr>
        <w:instrText xml:space="preserve"> REF _Ref63429905 \r \h </w:instrText>
      </w:r>
      <w:r w:rsidR="00991A35" w:rsidRPr="00967AC5">
        <w:rPr>
          <w:i/>
          <w:iCs/>
        </w:rPr>
        <w:instrText xml:space="preserve"> \* MERGEFORMAT </w:instrText>
      </w:r>
      <w:r w:rsidR="00086C3B" w:rsidRPr="00967AC5">
        <w:rPr>
          <w:i/>
          <w:iCs/>
        </w:rPr>
      </w:r>
      <w:r w:rsidR="00086C3B" w:rsidRPr="00967AC5">
        <w:rPr>
          <w:i/>
          <w:iCs/>
        </w:rPr>
        <w:fldChar w:fldCharType="separate"/>
      </w:r>
      <w:r w:rsidR="00680BB5" w:rsidRPr="00967AC5">
        <w:rPr>
          <w:i/>
          <w:iCs/>
        </w:rPr>
        <w:t>[43]</w:t>
      </w:r>
      <w:r w:rsidR="00086C3B" w:rsidRPr="00967AC5">
        <w:rPr>
          <w:i/>
          <w:iCs/>
        </w:rPr>
        <w:fldChar w:fldCharType="end"/>
      </w:r>
      <w:r w:rsidR="00086C3B" w:rsidRPr="00967AC5">
        <w:rPr>
          <w:i/>
          <w:iCs/>
        </w:rPr>
        <w:t xml:space="preserve"> </w:t>
      </w:r>
      <w:r w:rsidR="003B5973" w:rsidRPr="00967AC5">
        <w:rPr>
          <w:i/>
          <w:iCs/>
        </w:rPr>
        <w:t>[</w:t>
      </w:r>
      <w:r w:rsidR="008F2A2B" w:rsidRPr="00967AC5">
        <w:rPr>
          <w:i/>
        </w:rPr>
        <w:t>and</w:t>
      </w:r>
      <w:r w:rsidR="008F2A2B" w:rsidRPr="00967AC5">
        <w:rPr>
          <w:i/>
          <w:iCs/>
        </w:rPr>
        <w:t xml:space="preserve"> ERC Recommendation 70-03 </w:t>
      </w:r>
      <w:r w:rsidR="00D56425" w:rsidRPr="00967AC5">
        <w:rPr>
          <w:i/>
          <w:iCs/>
        </w:rPr>
        <w:fldChar w:fldCharType="begin"/>
      </w:r>
      <w:r w:rsidR="00D56425" w:rsidRPr="00967AC5">
        <w:rPr>
          <w:i/>
          <w:iCs/>
        </w:rPr>
        <w:instrText xml:space="preserve"> REF _Ref63429910 \r \h </w:instrText>
      </w:r>
      <w:r w:rsidR="002505BC" w:rsidRPr="00967AC5">
        <w:rPr>
          <w:i/>
          <w:iCs/>
        </w:rPr>
        <w:instrText xml:space="preserve"> \* MERGEFORMAT </w:instrText>
      </w:r>
      <w:r w:rsidR="00D56425" w:rsidRPr="00967AC5">
        <w:rPr>
          <w:i/>
          <w:iCs/>
        </w:rPr>
      </w:r>
      <w:r w:rsidR="00D56425" w:rsidRPr="00967AC5">
        <w:rPr>
          <w:i/>
          <w:iCs/>
        </w:rPr>
        <w:fldChar w:fldCharType="separate"/>
      </w:r>
      <w:r w:rsidR="00680BB5" w:rsidRPr="00967AC5">
        <w:rPr>
          <w:i/>
          <w:iCs/>
        </w:rPr>
        <w:t>[44]</w:t>
      </w:r>
      <w:r w:rsidR="00D56425" w:rsidRPr="00967AC5">
        <w:rPr>
          <w:i/>
          <w:iCs/>
        </w:rPr>
        <w:fldChar w:fldCharType="end"/>
      </w:r>
      <w:r w:rsidR="008F2A2B" w:rsidRPr="00967AC5">
        <w:rPr>
          <w:i/>
          <w:iCs/>
        </w:rPr>
        <w:t xml:space="preserve"> for the protection of GSM1800 and legacy LTE/WiMAX 1800 MHz is sufficient for protecting AAS (LTE/NR) 1800 BS receivers. This assumes that the radio microphone maximum transmitting power is limited to 13 dBm (20 mW) for hand-held microphones and 17 dBm (50 mW) for body-worn microphones, as recommended in ERC Report 063 </w:t>
      </w:r>
      <w:r w:rsidR="007D30E7" w:rsidRPr="00967AC5">
        <w:rPr>
          <w:i/>
          <w:iCs/>
        </w:rPr>
        <w:fldChar w:fldCharType="begin"/>
      </w:r>
      <w:r w:rsidR="007D30E7" w:rsidRPr="00967AC5">
        <w:rPr>
          <w:i/>
          <w:iCs/>
        </w:rPr>
        <w:instrText xml:space="preserve"> REF _Ref63429905 \r \h </w:instrText>
      </w:r>
      <w:r w:rsidR="002505BC" w:rsidRPr="00967AC5">
        <w:rPr>
          <w:i/>
          <w:iCs/>
        </w:rPr>
        <w:instrText xml:space="preserve"> \* MERGEFORMAT </w:instrText>
      </w:r>
      <w:r w:rsidR="007D30E7" w:rsidRPr="00967AC5">
        <w:rPr>
          <w:i/>
          <w:iCs/>
        </w:rPr>
      </w:r>
      <w:r w:rsidR="007D30E7" w:rsidRPr="00967AC5">
        <w:rPr>
          <w:i/>
          <w:iCs/>
        </w:rPr>
        <w:fldChar w:fldCharType="separate"/>
      </w:r>
      <w:r w:rsidR="00680BB5" w:rsidRPr="00967AC5">
        <w:rPr>
          <w:i/>
          <w:iCs/>
        </w:rPr>
        <w:t>[43]</w:t>
      </w:r>
      <w:r w:rsidR="007D30E7" w:rsidRPr="00967AC5">
        <w:rPr>
          <w:i/>
          <w:iCs/>
        </w:rPr>
        <w:fldChar w:fldCharType="end"/>
      </w:r>
      <w:r w:rsidR="007D30E7" w:rsidRPr="00967AC5">
        <w:rPr>
          <w:i/>
          <w:iCs/>
        </w:rPr>
        <w:t xml:space="preserve"> </w:t>
      </w:r>
      <w:r w:rsidR="008F2A2B" w:rsidRPr="00967AC5">
        <w:rPr>
          <w:i/>
          <w:iCs/>
        </w:rPr>
        <w:t>and ERC Recommendation 70-03</w:t>
      </w:r>
      <w:r w:rsidR="007D30E7" w:rsidRPr="00967AC5">
        <w:rPr>
          <w:i/>
          <w:iCs/>
        </w:rPr>
        <w:t xml:space="preserve"> </w:t>
      </w:r>
      <w:r w:rsidR="007D30E7" w:rsidRPr="00967AC5">
        <w:rPr>
          <w:i/>
          <w:iCs/>
        </w:rPr>
        <w:fldChar w:fldCharType="begin"/>
      </w:r>
      <w:r w:rsidR="007D30E7" w:rsidRPr="00967AC5">
        <w:rPr>
          <w:i/>
          <w:iCs/>
        </w:rPr>
        <w:instrText xml:space="preserve"> REF _Ref63429910 \r \h </w:instrText>
      </w:r>
      <w:r w:rsidR="002505BC" w:rsidRPr="00967AC5">
        <w:rPr>
          <w:i/>
          <w:iCs/>
        </w:rPr>
        <w:instrText xml:space="preserve"> \* MERGEFORMAT </w:instrText>
      </w:r>
      <w:r w:rsidR="007D30E7" w:rsidRPr="00967AC5">
        <w:rPr>
          <w:i/>
          <w:iCs/>
        </w:rPr>
      </w:r>
      <w:r w:rsidR="007D30E7" w:rsidRPr="00967AC5">
        <w:rPr>
          <w:i/>
          <w:iCs/>
        </w:rPr>
        <w:fldChar w:fldCharType="separate"/>
      </w:r>
      <w:r w:rsidR="00680BB5" w:rsidRPr="00967AC5">
        <w:rPr>
          <w:i/>
          <w:iCs/>
        </w:rPr>
        <w:t>[44]</w:t>
      </w:r>
      <w:r w:rsidR="007D30E7" w:rsidRPr="00967AC5">
        <w:rPr>
          <w:i/>
          <w:iCs/>
        </w:rPr>
        <w:fldChar w:fldCharType="end"/>
      </w:r>
      <w:r w:rsidR="008F2A2B" w:rsidRPr="00967AC5">
        <w:rPr>
          <w:i/>
          <w:iCs/>
        </w:rPr>
        <w:t>.</w:t>
      </w:r>
      <w:r w:rsidRPr="00967AC5">
        <w:rPr>
          <w:i/>
          <w:iCs/>
        </w:rPr>
        <w:t>”</w:t>
      </w:r>
    </w:p>
    <w:p w14:paraId="46C6619E" w14:textId="03A23319" w:rsidR="008F2A2B" w:rsidRPr="00967AC5" w:rsidRDefault="008F2A2B" w:rsidP="002505BC">
      <w:pPr>
        <w:pStyle w:val="ECCParagraph"/>
        <w:spacing w:before="240"/>
        <w:ind w:left="357"/>
      </w:pPr>
      <w:r w:rsidRPr="00967AC5">
        <w:rPr>
          <w:b/>
          <w:bCs/>
        </w:rPr>
        <w:t>ECC Report 191</w:t>
      </w:r>
      <w:r w:rsidR="00666988" w:rsidRPr="00967AC5">
        <w:rPr>
          <w:b/>
          <w:bCs/>
        </w:rPr>
        <w:t xml:space="preserve"> </w:t>
      </w:r>
      <w:r w:rsidR="00666988" w:rsidRPr="00967AC5">
        <w:rPr>
          <w:b/>
          <w:bCs/>
        </w:rPr>
        <w:fldChar w:fldCharType="begin"/>
      </w:r>
      <w:r w:rsidR="00666988" w:rsidRPr="00967AC5">
        <w:rPr>
          <w:b/>
          <w:bCs/>
        </w:rPr>
        <w:instrText xml:space="preserve"> REF _Ref63429715 \r \h </w:instrText>
      </w:r>
      <w:r w:rsidR="002505BC" w:rsidRPr="00967AC5">
        <w:rPr>
          <w:b/>
          <w:bCs/>
        </w:rPr>
        <w:instrText xml:space="preserve"> \* MERGEFORMAT </w:instrText>
      </w:r>
      <w:r w:rsidR="00666988" w:rsidRPr="00967AC5">
        <w:rPr>
          <w:b/>
          <w:bCs/>
        </w:rPr>
      </w:r>
      <w:r w:rsidR="00666988" w:rsidRPr="00967AC5">
        <w:rPr>
          <w:b/>
          <w:bCs/>
        </w:rPr>
        <w:fldChar w:fldCharType="separate"/>
      </w:r>
      <w:r w:rsidR="00680BB5" w:rsidRPr="00967AC5">
        <w:rPr>
          <w:b/>
          <w:bCs/>
        </w:rPr>
        <w:t>[41]</w:t>
      </w:r>
      <w:r w:rsidR="00666988" w:rsidRPr="00967AC5">
        <w:rPr>
          <w:b/>
          <w:bCs/>
        </w:rPr>
        <w:fldChar w:fldCharType="end"/>
      </w:r>
      <w:r w:rsidRPr="00967AC5">
        <w:rPr>
          <w:b/>
          <w:bCs/>
        </w:rPr>
        <w:t>/CEPT Report 50</w:t>
      </w:r>
      <w:r w:rsidRPr="00967AC5">
        <w:t xml:space="preserve"> </w:t>
      </w:r>
      <w:r w:rsidR="00666988" w:rsidRPr="00967AC5">
        <w:fldChar w:fldCharType="begin"/>
      </w:r>
      <w:r w:rsidR="00666988" w:rsidRPr="00967AC5">
        <w:instrText xml:space="preserve"> REF _Ref63429720 \r \h </w:instrText>
      </w:r>
      <w:r w:rsidR="002505BC" w:rsidRPr="00967AC5">
        <w:instrText xml:space="preserve"> \* MERGEFORMAT </w:instrText>
      </w:r>
      <w:r w:rsidR="00666988" w:rsidRPr="00967AC5">
        <w:fldChar w:fldCharType="separate"/>
      </w:r>
      <w:r w:rsidR="00680BB5" w:rsidRPr="00967AC5">
        <w:t>[42]</w:t>
      </w:r>
      <w:r w:rsidR="00666988" w:rsidRPr="00967AC5">
        <w:fldChar w:fldCharType="end"/>
      </w:r>
      <w:r w:rsidR="00912DFB" w:rsidRPr="00967AC5">
        <w:t xml:space="preserve"> </w:t>
      </w:r>
      <w:r w:rsidRPr="00967AC5">
        <w:t>describe coexistence between analogue PMSE operating between 1785-1805</w:t>
      </w:r>
      <w:r w:rsidR="008D2CE4" w:rsidRPr="00967AC5">
        <w:t> </w:t>
      </w:r>
      <w:r w:rsidRPr="00967AC5">
        <w:t xml:space="preserve">MHz and MFCN LTE non-AAS system as </w:t>
      </w:r>
      <w:r w:rsidR="004942D7" w:rsidRPr="00967AC5">
        <w:t xml:space="preserve">described above in section </w:t>
      </w:r>
      <w:r w:rsidR="004942D7" w:rsidRPr="00967AC5">
        <w:fldChar w:fldCharType="begin"/>
      </w:r>
      <w:r w:rsidR="004942D7" w:rsidRPr="00967AC5">
        <w:instrText xml:space="preserve"> REF _Ref68877030 \r \h  \* MERGEFORMAT </w:instrText>
      </w:r>
      <w:r w:rsidR="004942D7" w:rsidRPr="00967AC5">
        <w:fldChar w:fldCharType="separate"/>
      </w:r>
      <w:r w:rsidR="00680BB5" w:rsidRPr="00967AC5">
        <w:t>3.5.4.1</w:t>
      </w:r>
      <w:r w:rsidR="004942D7" w:rsidRPr="00967AC5">
        <w:fldChar w:fldCharType="end"/>
      </w:r>
      <w:r w:rsidR="004942D7" w:rsidRPr="00967AC5">
        <w:t xml:space="preserve">. </w:t>
      </w:r>
      <w:r w:rsidRPr="00967AC5">
        <w:t xml:space="preserve">Regarding coexistence between MFCN AAS systems in </w:t>
      </w:r>
      <w:r w:rsidR="00D31449" w:rsidRPr="00967AC5">
        <w:t xml:space="preserve">the </w:t>
      </w:r>
      <w:r w:rsidRPr="00967AC5">
        <w:t>1800</w:t>
      </w:r>
      <w:r w:rsidR="008470AF" w:rsidRPr="00967AC5">
        <w:t> </w:t>
      </w:r>
      <w:r w:rsidRPr="00967AC5">
        <w:t xml:space="preserve">MHz band and </w:t>
      </w:r>
      <w:r w:rsidR="00020895" w:rsidRPr="00967AC5">
        <w:t xml:space="preserve">radio microphones </w:t>
      </w:r>
      <w:r w:rsidRPr="00967AC5">
        <w:t>operating between 1800-1805</w:t>
      </w:r>
      <w:r w:rsidR="008470AF" w:rsidRPr="00967AC5">
        <w:t> </w:t>
      </w:r>
      <w:r w:rsidRPr="00967AC5">
        <w:t xml:space="preserve">MHz, it is expected that the same coexistence conditions mentioned in ECC </w:t>
      </w:r>
      <w:r w:rsidR="00D93078" w:rsidRPr="00967AC5">
        <w:t>R</w:t>
      </w:r>
      <w:r w:rsidRPr="00967AC5">
        <w:t xml:space="preserve">eport 191 with regard to non-AAS MFCN coexistence with </w:t>
      </w:r>
      <w:r w:rsidR="00020895" w:rsidRPr="00967AC5">
        <w:t xml:space="preserve">radio microphones </w:t>
      </w:r>
      <w:r w:rsidRPr="00967AC5">
        <w:t>apply</w:t>
      </w:r>
      <w:r w:rsidR="004942D7" w:rsidRPr="00967AC5">
        <w:t xml:space="preserve">. </w:t>
      </w:r>
      <w:r w:rsidR="004942D7" w:rsidRPr="00967AC5" w:rsidDel="004942D7">
        <w:t xml:space="preserve"> </w:t>
      </w:r>
    </w:p>
    <w:p w14:paraId="34E92CE4" w14:textId="3CD0746D" w:rsidR="00ED6CA9" w:rsidRPr="00967AC5" w:rsidRDefault="008F2A2B" w:rsidP="00ED6CA9">
      <w:pPr>
        <w:pStyle w:val="ECCBulletsLv1"/>
      </w:pPr>
      <w:r w:rsidRPr="00967AC5">
        <w:rPr>
          <w:b/>
          <w:bCs/>
        </w:rPr>
        <w:t xml:space="preserve">For </w:t>
      </w:r>
      <w:r w:rsidR="00020895" w:rsidRPr="00967AC5">
        <w:rPr>
          <w:b/>
          <w:bCs/>
        </w:rPr>
        <w:t xml:space="preserve">fixed </w:t>
      </w:r>
      <w:r w:rsidRPr="00967AC5">
        <w:rPr>
          <w:b/>
          <w:bCs/>
        </w:rPr>
        <w:t xml:space="preserve">service (Section 4.2.2.4 of ECC </w:t>
      </w:r>
      <w:r w:rsidR="00D93078" w:rsidRPr="00967AC5">
        <w:rPr>
          <w:b/>
          <w:bCs/>
        </w:rPr>
        <w:t>R</w:t>
      </w:r>
      <w:r w:rsidRPr="00967AC5">
        <w:rPr>
          <w:b/>
          <w:bCs/>
        </w:rPr>
        <w:t>eport 297)</w:t>
      </w:r>
      <w:r w:rsidRPr="00967AC5">
        <w:t xml:space="preserve">: The </w:t>
      </w:r>
      <w:r w:rsidR="00020895" w:rsidRPr="00967AC5">
        <w:t xml:space="preserve">fixed service </w:t>
      </w:r>
      <w:r w:rsidRPr="00967AC5">
        <w:t xml:space="preserve">frequency range is adjacent to AAS (LTE/NR) system UL at 1710 MHz and 1785 MHz. Similar to what has been concluded for UMTS and LTE, the sharing situation between AAS (LTE/NR) system and existing fixed services will depend on the exact operational parameters of the AAS (LTE/NR) system and fixed service systems as well as factors such as the terrain features at the particular geographical location under consideration. A comparable interference analysis method as the one used in the two ERC Report 64 </w:t>
      </w:r>
      <w:r w:rsidR="00666988" w:rsidRPr="00967AC5">
        <w:fldChar w:fldCharType="begin"/>
      </w:r>
      <w:r w:rsidR="00666988" w:rsidRPr="00967AC5">
        <w:instrText xml:space="preserve"> REF _Ref63429973 \r \h </w:instrText>
      </w:r>
      <w:r w:rsidR="002505BC" w:rsidRPr="00967AC5">
        <w:instrText xml:space="preserve"> \* MERGEFORMAT </w:instrText>
      </w:r>
      <w:r w:rsidR="00666988" w:rsidRPr="00967AC5">
        <w:fldChar w:fldCharType="separate"/>
      </w:r>
      <w:r w:rsidR="00680BB5" w:rsidRPr="00967AC5">
        <w:t>[45]</w:t>
      </w:r>
      <w:r w:rsidR="00666988" w:rsidRPr="00967AC5">
        <w:fldChar w:fldCharType="end"/>
      </w:r>
      <w:r w:rsidRPr="00967AC5">
        <w:t xml:space="preserve"> and ERC Report 65 </w:t>
      </w:r>
      <w:r w:rsidR="00666988" w:rsidRPr="00967AC5">
        <w:fldChar w:fldCharType="begin"/>
      </w:r>
      <w:r w:rsidR="00666988" w:rsidRPr="00967AC5">
        <w:instrText xml:space="preserve"> REF _Ref63429978 \r \h </w:instrText>
      </w:r>
      <w:r w:rsidR="002505BC" w:rsidRPr="00967AC5">
        <w:instrText xml:space="preserve"> \* MERGEFORMAT </w:instrText>
      </w:r>
      <w:r w:rsidR="00666988" w:rsidRPr="00967AC5">
        <w:fldChar w:fldCharType="separate"/>
      </w:r>
      <w:r w:rsidR="00680BB5" w:rsidRPr="00967AC5">
        <w:t>[46]</w:t>
      </w:r>
      <w:r w:rsidR="00666988" w:rsidRPr="00967AC5">
        <w:fldChar w:fldCharType="end"/>
      </w:r>
      <w:r w:rsidRPr="00967AC5">
        <w:t xml:space="preserve">, can be used by administrations planning deployment or coordination of AAS (LTE/NR) with existing fixed services to derive the separation/coordination distance. As described in these two reports as well as in the ECC Report 297, the potential interference, if any, will be between </w:t>
      </w:r>
      <w:r w:rsidR="003C5B18" w:rsidRPr="00967AC5">
        <w:t xml:space="preserve">fixed service </w:t>
      </w:r>
      <w:r w:rsidRPr="00967AC5">
        <w:t xml:space="preserve">and AAS WB 1800 BS at 1805 MHz. The interference between NR UE and </w:t>
      </w:r>
      <w:r w:rsidR="003C5B18" w:rsidRPr="00967AC5">
        <w:t xml:space="preserve">fixed service </w:t>
      </w:r>
      <w:r w:rsidRPr="00967AC5">
        <w:t xml:space="preserve">was not considered. </w:t>
      </w:r>
    </w:p>
    <w:p w14:paraId="4C3C8D61" w14:textId="14BEF533" w:rsidR="008F2A2B" w:rsidRPr="00967AC5" w:rsidRDefault="008F2A2B" w:rsidP="000D5630">
      <w:pPr>
        <w:pStyle w:val="ECCParagraph"/>
        <w:spacing w:before="240"/>
      </w:pPr>
      <w:r w:rsidRPr="00967AC5">
        <w:t xml:space="preserve">ECC Report 297 concluded that for 5G AAS systems no specific emission limits are needed but </w:t>
      </w:r>
      <w:r w:rsidR="00CC5B77" w:rsidRPr="00967AC5">
        <w:t xml:space="preserve">recommendations </w:t>
      </w:r>
      <w:r w:rsidRPr="00967AC5">
        <w:t xml:space="preserve">on coordination with the </w:t>
      </w:r>
      <w:r w:rsidR="003C5B18" w:rsidRPr="00967AC5">
        <w:t xml:space="preserve">fixed service </w:t>
      </w:r>
      <w:r w:rsidRPr="00967AC5">
        <w:t>operating above 1805 MHz, are available in various ECC/CEPT Reports.</w:t>
      </w:r>
    </w:p>
    <w:p w14:paraId="4A08A9B7" w14:textId="77777777" w:rsidR="008F2A2B" w:rsidRPr="00967AC5" w:rsidRDefault="008F2A2B" w:rsidP="00ED6CA9">
      <w:pPr>
        <w:pStyle w:val="ECCParagraph"/>
        <w:rPr>
          <w:rFonts w:asciiTheme="minorBidi" w:hAnsiTheme="minorBidi"/>
          <w:u w:val="single"/>
        </w:rPr>
      </w:pPr>
      <w:r w:rsidRPr="00967AC5">
        <w:rPr>
          <w:rFonts w:asciiTheme="minorBidi" w:hAnsiTheme="minorBidi"/>
          <w:u w:val="single"/>
        </w:rPr>
        <w:t xml:space="preserve">Final Conclusions: </w:t>
      </w:r>
    </w:p>
    <w:p w14:paraId="0ECD24AE" w14:textId="67EE5B9A" w:rsidR="008F2A2B" w:rsidRPr="00967AC5" w:rsidRDefault="008F2A2B" w:rsidP="00ED6CA9">
      <w:pPr>
        <w:pStyle w:val="ECCParagraph"/>
        <w:rPr>
          <w:rFonts w:asciiTheme="minorBidi" w:hAnsiTheme="minorBidi" w:cstheme="minorBidi"/>
          <w:szCs w:val="20"/>
        </w:rPr>
      </w:pPr>
      <w:r w:rsidRPr="00967AC5">
        <w:rPr>
          <w:rFonts w:asciiTheme="minorBidi" w:hAnsiTheme="minorBidi" w:cstheme="minorBidi"/>
          <w:szCs w:val="20"/>
        </w:rPr>
        <w:lastRenderedPageBreak/>
        <w:t xml:space="preserve">The conclusions of ECC </w:t>
      </w:r>
      <w:r w:rsidR="00D93078" w:rsidRPr="00967AC5">
        <w:rPr>
          <w:rFonts w:asciiTheme="minorBidi" w:hAnsiTheme="minorBidi" w:cstheme="minorBidi"/>
          <w:szCs w:val="20"/>
        </w:rPr>
        <w:t>R</w:t>
      </w:r>
      <w:r w:rsidRPr="00967AC5">
        <w:rPr>
          <w:rFonts w:asciiTheme="minorBidi" w:hAnsiTheme="minorBidi" w:cstheme="minorBidi"/>
          <w:szCs w:val="20"/>
        </w:rPr>
        <w:t xml:space="preserve">eport 297 and the other mentioned reports above remain valid and coexistence with adjacent </w:t>
      </w:r>
      <w:r w:rsidRPr="00967AC5">
        <w:rPr>
          <w:rFonts w:asciiTheme="minorBidi" w:hAnsiTheme="minorBidi"/>
        </w:rPr>
        <w:t>systems in</w:t>
      </w:r>
      <w:r w:rsidRPr="00967AC5">
        <w:rPr>
          <w:rFonts w:asciiTheme="minorBidi" w:hAnsiTheme="minorBidi" w:cstheme="minorBidi"/>
          <w:szCs w:val="20"/>
        </w:rPr>
        <w:t xml:space="preserve"> </w:t>
      </w:r>
      <w:r w:rsidR="00781EEB" w:rsidRPr="00967AC5">
        <w:rPr>
          <w:rFonts w:asciiTheme="minorBidi" w:hAnsiTheme="minorBidi" w:cstheme="minorBidi"/>
          <w:szCs w:val="20"/>
        </w:rPr>
        <w:t>the</w:t>
      </w:r>
      <w:r w:rsidR="00781EEB" w:rsidRPr="00967AC5">
        <w:rPr>
          <w:rFonts w:asciiTheme="minorBidi" w:hAnsiTheme="minorBidi"/>
        </w:rPr>
        <w:t xml:space="preserve"> </w:t>
      </w:r>
      <w:r w:rsidRPr="00967AC5">
        <w:rPr>
          <w:rFonts w:asciiTheme="minorBidi" w:hAnsiTheme="minorBidi"/>
        </w:rPr>
        <w:t>1800</w:t>
      </w:r>
      <w:r w:rsidR="00AB737C" w:rsidRPr="00967AC5">
        <w:rPr>
          <w:rFonts w:asciiTheme="minorBidi" w:hAnsiTheme="minorBidi" w:cstheme="minorBidi"/>
          <w:szCs w:val="20"/>
        </w:rPr>
        <w:t xml:space="preserve"> </w:t>
      </w:r>
      <w:r w:rsidRPr="00967AC5">
        <w:rPr>
          <w:rFonts w:asciiTheme="minorBidi" w:hAnsiTheme="minorBidi" w:cstheme="minorBidi"/>
          <w:szCs w:val="20"/>
        </w:rPr>
        <w:t>MHz band is ensured as the requirements above are being maintained in the proposed technology neutral AAS L</w:t>
      </w:r>
      <w:r w:rsidRPr="00967AC5">
        <w:rPr>
          <w:rFonts w:asciiTheme="minorBidi" w:hAnsiTheme="minorBidi"/>
        </w:rPr>
        <w:t>RTCs</w:t>
      </w:r>
      <w:r w:rsidRPr="00967AC5" w:rsidDel="009303D5">
        <w:rPr>
          <w:rFonts w:asciiTheme="minorBidi" w:hAnsiTheme="minorBidi" w:cstheme="minorBidi"/>
          <w:szCs w:val="20"/>
        </w:rPr>
        <w:t xml:space="preserve"> </w:t>
      </w:r>
      <w:r w:rsidRPr="00967AC5">
        <w:rPr>
          <w:rFonts w:asciiTheme="minorBidi" w:hAnsiTheme="minorBidi" w:cstheme="minorBidi"/>
          <w:szCs w:val="20"/>
        </w:rPr>
        <w:t xml:space="preserve">(see </w:t>
      </w:r>
      <w:r w:rsidRPr="00967AC5">
        <w:rPr>
          <w:rFonts w:asciiTheme="minorBidi" w:hAnsiTheme="minorBidi"/>
        </w:rPr>
        <w:t xml:space="preserve">section </w:t>
      </w:r>
      <w:r w:rsidRPr="00967AC5">
        <w:rPr>
          <w:rFonts w:asciiTheme="minorBidi" w:eastAsia="Calibri" w:hAnsiTheme="minorBidi"/>
        </w:rPr>
        <w:fldChar w:fldCharType="begin"/>
      </w:r>
      <w:r w:rsidRPr="00967AC5">
        <w:rPr>
          <w:rFonts w:asciiTheme="minorBidi" w:eastAsia="Calibri" w:hAnsiTheme="minorBidi" w:cstheme="minorBidi"/>
          <w:bCs/>
          <w:szCs w:val="20"/>
        </w:rPr>
        <w:instrText xml:space="preserve"> REF _Ref52282185 \r \h  \* MERGEFORMAT </w:instrText>
      </w:r>
      <w:r w:rsidRPr="00967AC5">
        <w:rPr>
          <w:rFonts w:asciiTheme="minorBidi" w:eastAsia="Calibri" w:hAnsiTheme="minorBidi"/>
        </w:rPr>
      </w:r>
      <w:r w:rsidRPr="00967AC5">
        <w:rPr>
          <w:rFonts w:asciiTheme="minorBidi" w:eastAsia="Calibri" w:hAnsiTheme="minorBidi"/>
        </w:rPr>
        <w:fldChar w:fldCharType="separate"/>
      </w:r>
      <w:r w:rsidR="00680BB5" w:rsidRPr="00967AC5">
        <w:rPr>
          <w:rFonts w:asciiTheme="minorBidi" w:eastAsia="Calibri" w:hAnsiTheme="minorBidi" w:cstheme="minorBidi"/>
          <w:bCs/>
          <w:szCs w:val="20"/>
        </w:rPr>
        <w:t>3.4</w:t>
      </w:r>
      <w:r w:rsidRPr="00967AC5">
        <w:rPr>
          <w:rFonts w:asciiTheme="minorBidi" w:eastAsia="Calibri" w:hAnsiTheme="minorBidi"/>
        </w:rPr>
        <w:fldChar w:fldCharType="end"/>
      </w:r>
      <w:r w:rsidRPr="00967AC5">
        <w:rPr>
          <w:rFonts w:asciiTheme="minorBidi" w:hAnsiTheme="minorBidi" w:cstheme="minorBidi"/>
          <w:szCs w:val="20"/>
        </w:rPr>
        <w:t xml:space="preserve">) which are the same as </w:t>
      </w:r>
      <w:r w:rsidRPr="00967AC5">
        <w:rPr>
          <w:rFonts w:asciiTheme="minorBidi" w:hAnsiTheme="minorBidi"/>
        </w:rPr>
        <w:t xml:space="preserve">those </w:t>
      </w:r>
      <w:r w:rsidR="00EA1C0B" w:rsidRPr="00967AC5">
        <w:rPr>
          <w:rFonts w:asciiTheme="minorBidi" w:hAnsiTheme="minorBidi" w:cstheme="minorBidi"/>
          <w:szCs w:val="20"/>
        </w:rPr>
        <w:t>for</w:t>
      </w:r>
      <w:r w:rsidR="00EA1C0B" w:rsidRPr="00967AC5">
        <w:rPr>
          <w:rFonts w:asciiTheme="minorBidi" w:hAnsiTheme="minorBidi"/>
        </w:rPr>
        <w:t xml:space="preserve"> </w:t>
      </w:r>
      <w:r w:rsidRPr="00967AC5">
        <w:rPr>
          <w:rFonts w:asciiTheme="minorBidi" w:hAnsiTheme="minorBidi"/>
        </w:rPr>
        <w:t>AAS</w:t>
      </w:r>
      <w:r w:rsidRPr="00967AC5">
        <w:rPr>
          <w:rFonts w:asciiTheme="minorBidi" w:hAnsiTheme="minorBidi" w:cstheme="minorBidi"/>
          <w:szCs w:val="20"/>
        </w:rPr>
        <w:t xml:space="preserve"> LTE.</w:t>
      </w:r>
    </w:p>
    <w:p w14:paraId="2B00E42F" w14:textId="3E2FB3DC" w:rsidR="008F2A2B" w:rsidRPr="00967AC5" w:rsidRDefault="008F2A2B" w:rsidP="00ED6CA9">
      <w:pPr>
        <w:pStyle w:val="ECCParagraph"/>
        <w:rPr>
          <w:rFonts w:asciiTheme="minorBidi" w:hAnsiTheme="minorBidi" w:cstheme="minorBidi"/>
          <w:szCs w:val="20"/>
        </w:rPr>
      </w:pPr>
      <w:r w:rsidRPr="00967AC5">
        <w:rPr>
          <w:rFonts w:asciiTheme="minorBidi" w:hAnsiTheme="minorBidi" w:cstheme="minorBidi"/>
          <w:szCs w:val="20"/>
        </w:rPr>
        <w:t xml:space="preserve">The DECT system has the DCA (Dynamic Channel Allocation) mechanism which allows it to avoid efficiently an interfered channel, except if both systems are deployed indoors. No guard band is required between WB AAS </w:t>
      </w:r>
      <w:r w:rsidRPr="00967AC5">
        <w:rPr>
          <w:rFonts w:asciiTheme="minorBidi" w:hAnsiTheme="minorBidi"/>
        </w:rPr>
        <w:t>1800</w:t>
      </w:r>
      <w:r w:rsidR="00781EEB" w:rsidRPr="00967AC5">
        <w:rPr>
          <w:rFonts w:asciiTheme="minorBidi" w:hAnsiTheme="minorBidi"/>
        </w:rPr>
        <w:t xml:space="preserve"> </w:t>
      </w:r>
      <w:r w:rsidR="00781EEB" w:rsidRPr="00967AC5">
        <w:rPr>
          <w:rFonts w:asciiTheme="minorBidi" w:hAnsiTheme="minorBidi" w:cstheme="minorBidi"/>
          <w:szCs w:val="20"/>
        </w:rPr>
        <w:t>MHz</w:t>
      </w:r>
      <w:r w:rsidRPr="00967AC5">
        <w:rPr>
          <w:rFonts w:asciiTheme="minorBidi" w:hAnsiTheme="minorBidi" w:cstheme="minorBidi"/>
          <w:szCs w:val="20"/>
        </w:rPr>
        <w:t xml:space="preserve"> and DECT allocations.</w:t>
      </w:r>
    </w:p>
    <w:p w14:paraId="6CA2022E" w14:textId="4A633B83" w:rsidR="008F2A2B" w:rsidRPr="00967AC5" w:rsidRDefault="008F2A2B" w:rsidP="00ED6CA9">
      <w:pPr>
        <w:pStyle w:val="ECCParagraph"/>
        <w:rPr>
          <w:rFonts w:asciiTheme="minorBidi" w:hAnsiTheme="minorBidi" w:cstheme="minorBidi"/>
          <w:szCs w:val="20"/>
        </w:rPr>
      </w:pPr>
      <w:r w:rsidRPr="00967AC5">
        <w:rPr>
          <w:rFonts w:asciiTheme="minorBidi" w:hAnsiTheme="minorBidi" w:cstheme="minorBidi"/>
          <w:szCs w:val="20"/>
        </w:rPr>
        <w:t xml:space="preserve">For </w:t>
      </w:r>
      <w:r w:rsidR="003F6791" w:rsidRPr="00967AC5">
        <w:rPr>
          <w:rFonts w:asciiTheme="minorBidi" w:hAnsiTheme="minorBidi" w:cstheme="minorBidi"/>
          <w:szCs w:val="20"/>
        </w:rPr>
        <w:t xml:space="preserve">MetSat </w:t>
      </w:r>
      <w:r w:rsidRPr="00967AC5">
        <w:rPr>
          <w:rFonts w:asciiTheme="minorBidi" w:hAnsiTheme="minorBidi" w:cstheme="minorBidi"/>
          <w:szCs w:val="20"/>
        </w:rPr>
        <w:t xml:space="preserve">the potential interference </w:t>
      </w:r>
      <w:r w:rsidRPr="00967AC5">
        <w:rPr>
          <w:rFonts w:asciiTheme="minorBidi" w:hAnsiTheme="minorBidi"/>
        </w:rPr>
        <w:t>between WB system 1800</w:t>
      </w:r>
      <w:r w:rsidR="00781EEB" w:rsidRPr="00967AC5">
        <w:rPr>
          <w:rFonts w:asciiTheme="minorBidi" w:hAnsiTheme="minorBidi"/>
        </w:rPr>
        <w:t xml:space="preserve"> </w:t>
      </w:r>
      <w:r w:rsidR="00781EEB" w:rsidRPr="00967AC5">
        <w:rPr>
          <w:rFonts w:asciiTheme="minorBidi" w:hAnsiTheme="minorBidi" w:cstheme="minorBidi"/>
          <w:szCs w:val="20"/>
        </w:rPr>
        <w:t>MHz</w:t>
      </w:r>
      <w:r w:rsidRPr="00967AC5">
        <w:rPr>
          <w:rFonts w:asciiTheme="minorBidi" w:hAnsiTheme="minorBidi" w:cstheme="minorBidi"/>
          <w:szCs w:val="20"/>
        </w:rPr>
        <w:t xml:space="preserve"> </w:t>
      </w:r>
      <w:r w:rsidRPr="00967AC5">
        <w:rPr>
          <w:rFonts w:asciiTheme="minorBidi" w:hAnsiTheme="minorBidi"/>
        </w:rPr>
        <w:t xml:space="preserve">UE and MetSat </w:t>
      </w:r>
      <w:r w:rsidR="00781EEB" w:rsidRPr="00967AC5">
        <w:rPr>
          <w:rFonts w:asciiTheme="minorBidi" w:hAnsiTheme="minorBidi" w:cstheme="minorBidi"/>
          <w:szCs w:val="20"/>
        </w:rPr>
        <w:t>earth stations</w:t>
      </w:r>
      <w:r w:rsidR="00781EEB" w:rsidRPr="00967AC5">
        <w:rPr>
          <w:rFonts w:asciiTheme="minorBidi" w:hAnsiTheme="minorBidi"/>
        </w:rPr>
        <w:t xml:space="preserve"> </w:t>
      </w:r>
      <w:r w:rsidRPr="00967AC5">
        <w:rPr>
          <w:rFonts w:asciiTheme="minorBidi" w:hAnsiTheme="minorBidi"/>
        </w:rPr>
        <w:t>is not expected to be a problem provided that AAS</w:t>
      </w:r>
      <w:r w:rsidRPr="00967AC5">
        <w:rPr>
          <w:rFonts w:asciiTheme="minorBidi" w:hAnsiTheme="minorBidi" w:cstheme="minorBidi"/>
          <w:szCs w:val="20"/>
        </w:rPr>
        <w:t xml:space="preserve"> functionality applies only to the BS side</w:t>
      </w:r>
    </w:p>
    <w:p w14:paraId="45717C7C" w14:textId="5BEEE495" w:rsidR="008F2A2B" w:rsidRPr="00967AC5" w:rsidRDefault="008F2A2B" w:rsidP="00ED6CA9">
      <w:pPr>
        <w:pStyle w:val="ECCParagraph"/>
        <w:rPr>
          <w:rFonts w:asciiTheme="minorBidi" w:hAnsiTheme="minorBidi" w:cstheme="minorBidi"/>
          <w:szCs w:val="20"/>
        </w:rPr>
      </w:pPr>
      <w:r w:rsidRPr="00967AC5">
        <w:rPr>
          <w:rFonts w:asciiTheme="minorBidi" w:hAnsiTheme="minorBidi"/>
        </w:rPr>
        <w:t xml:space="preserve">For </w:t>
      </w:r>
      <w:r w:rsidR="00781EEB" w:rsidRPr="00967AC5">
        <w:rPr>
          <w:rFonts w:asciiTheme="minorBidi" w:hAnsiTheme="minorBidi" w:cstheme="minorBidi"/>
          <w:szCs w:val="20"/>
        </w:rPr>
        <w:t>radio microphones</w:t>
      </w:r>
      <w:r w:rsidR="00781EEB" w:rsidRPr="00967AC5">
        <w:rPr>
          <w:rFonts w:asciiTheme="minorBidi" w:hAnsiTheme="minorBidi"/>
        </w:rPr>
        <w:t xml:space="preserve"> </w:t>
      </w:r>
      <w:r w:rsidRPr="00967AC5">
        <w:rPr>
          <w:rFonts w:asciiTheme="minorBidi" w:hAnsiTheme="minorBidi"/>
        </w:rPr>
        <w:t>operating</w:t>
      </w:r>
      <w:r w:rsidRPr="00967AC5">
        <w:rPr>
          <w:rFonts w:asciiTheme="minorBidi" w:hAnsiTheme="minorBidi" w:cstheme="minorBidi"/>
          <w:szCs w:val="20"/>
        </w:rPr>
        <w:t xml:space="preserve"> between 1785-1805</w:t>
      </w:r>
      <w:r w:rsidR="008470AF" w:rsidRPr="00967AC5">
        <w:rPr>
          <w:rFonts w:asciiTheme="minorBidi" w:hAnsiTheme="minorBidi" w:cstheme="minorBidi"/>
          <w:szCs w:val="20"/>
        </w:rPr>
        <w:t> </w:t>
      </w:r>
      <w:r w:rsidRPr="00967AC5">
        <w:rPr>
          <w:rFonts w:asciiTheme="minorBidi" w:hAnsiTheme="minorBidi" w:cstheme="minorBidi"/>
          <w:szCs w:val="20"/>
        </w:rPr>
        <w:t>MHz,</w:t>
      </w:r>
      <w:r w:rsidR="008470AF" w:rsidRPr="00967AC5">
        <w:rPr>
          <w:rFonts w:asciiTheme="minorBidi" w:hAnsiTheme="minorBidi" w:cstheme="minorBidi"/>
          <w:szCs w:val="20"/>
        </w:rPr>
        <w:t xml:space="preserve"> </w:t>
      </w:r>
      <w:r w:rsidRPr="00967AC5">
        <w:rPr>
          <w:rFonts w:asciiTheme="minorBidi" w:hAnsiTheme="minorBidi" w:cstheme="minorBidi"/>
          <w:szCs w:val="20"/>
        </w:rPr>
        <w:t xml:space="preserve">CEPT conforms the conclusions of ECC </w:t>
      </w:r>
      <w:r w:rsidR="00D93078" w:rsidRPr="00967AC5">
        <w:rPr>
          <w:rFonts w:asciiTheme="minorBidi" w:hAnsiTheme="minorBidi" w:cstheme="minorBidi"/>
          <w:szCs w:val="20"/>
        </w:rPr>
        <w:t>R</w:t>
      </w:r>
      <w:r w:rsidRPr="00967AC5">
        <w:rPr>
          <w:rFonts w:asciiTheme="minorBidi" w:hAnsiTheme="minorBidi" w:cstheme="minorBidi"/>
          <w:szCs w:val="20"/>
        </w:rPr>
        <w:t>eport 191 remain valid: PMSE is able to find an operational channel with a sufficient QoS with the assumption of certain spatial distances between the PMSE equipment and the MFCN AAS equipment.</w:t>
      </w:r>
    </w:p>
    <w:p w14:paraId="73603EF4" w14:textId="76C419B8" w:rsidR="008F2A2B" w:rsidRPr="00967AC5" w:rsidRDefault="008F2A2B" w:rsidP="00ED6CA9">
      <w:pPr>
        <w:pStyle w:val="ECCParagraph"/>
        <w:rPr>
          <w:rFonts w:asciiTheme="minorBidi" w:hAnsiTheme="minorBidi" w:cstheme="minorBidi"/>
          <w:szCs w:val="20"/>
        </w:rPr>
      </w:pPr>
      <w:r w:rsidRPr="00967AC5">
        <w:rPr>
          <w:rFonts w:asciiTheme="minorBidi" w:hAnsiTheme="minorBidi" w:cstheme="minorBidi"/>
          <w:szCs w:val="20"/>
        </w:rPr>
        <w:t xml:space="preserve">No national coordination is needed except for </w:t>
      </w:r>
      <w:r w:rsidR="00C12FFA" w:rsidRPr="00967AC5">
        <w:rPr>
          <w:rFonts w:asciiTheme="minorBidi" w:hAnsiTheme="minorBidi" w:cstheme="minorBidi"/>
          <w:szCs w:val="20"/>
        </w:rPr>
        <w:t xml:space="preserve">fixed </w:t>
      </w:r>
      <w:r w:rsidRPr="00967AC5">
        <w:rPr>
          <w:rFonts w:asciiTheme="minorBidi" w:hAnsiTheme="minorBidi" w:cstheme="minorBidi"/>
          <w:szCs w:val="20"/>
        </w:rPr>
        <w:t xml:space="preserve">services as highlighted </w:t>
      </w:r>
      <w:r w:rsidR="00323A81" w:rsidRPr="00967AC5">
        <w:rPr>
          <w:rFonts w:asciiTheme="minorBidi" w:hAnsiTheme="minorBidi" w:cstheme="minorBidi"/>
          <w:szCs w:val="20"/>
        </w:rPr>
        <w:t xml:space="preserve">in </w:t>
      </w:r>
      <w:r w:rsidRPr="00967AC5">
        <w:rPr>
          <w:rFonts w:asciiTheme="minorBidi" w:hAnsiTheme="minorBidi" w:cstheme="minorBidi"/>
          <w:szCs w:val="20"/>
        </w:rPr>
        <w:t xml:space="preserve">ECC </w:t>
      </w:r>
      <w:r w:rsidR="00D93078" w:rsidRPr="00967AC5">
        <w:rPr>
          <w:rFonts w:asciiTheme="minorBidi" w:hAnsiTheme="minorBidi" w:cstheme="minorBidi"/>
          <w:szCs w:val="20"/>
        </w:rPr>
        <w:t>R</w:t>
      </w:r>
      <w:r w:rsidRPr="00967AC5">
        <w:rPr>
          <w:rFonts w:asciiTheme="minorBidi" w:hAnsiTheme="minorBidi" w:cstheme="minorBidi"/>
          <w:szCs w:val="20"/>
        </w:rPr>
        <w:t xml:space="preserve">eport 297 which </w:t>
      </w:r>
      <w:r w:rsidRPr="00967AC5">
        <w:rPr>
          <w:rFonts w:asciiTheme="minorBidi" w:hAnsiTheme="minorBidi"/>
        </w:rPr>
        <w:t>refer</w:t>
      </w:r>
      <w:r w:rsidR="006F0133" w:rsidRPr="00967AC5">
        <w:rPr>
          <w:rFonts w:asciiTheme="minorBidi" w:hAnsiTheme="minorBidi" w:cstheme="minorBidi"/>
          <w:szCs w:val="20"/>
        </w:rPr>
        <w:t>s</w:t>
      </w:r>
      <w:r w:rsidRPr="00967AC5">
        <w:rPr>
          <w:rFonts w:asciiTheme="minorBidi" w:hAnsiTheme="minorBidi"/>
        </w:rPr>
        <w:t xml:space="preserve"> t</w:t>
      </w:r>
      <w:r w:rsidRPr="00967AC5">
        <w:rPr>
          <w:rFonts w:asciiTheme="minorBidi" w:hAnsiTheme="minorBidi" w:cstheme="minorBidi"/>
          <w:szCs w:val="20"/>
        </w:rPr>
        <w:t xml:space="preserve">o ERC Report </w:t>
      </w:r>
      <w:r w:rsidRPr="00967AC5">
        <w:rPr>
          <w:rFonts w:asciiTheme="minorBidi" w:hAnsiTheme="minorBidi"/>
        </w:rPr>
        <w:t xml:space="preserve">64 </w:t>
      </w:r>
      <w:r w:rsidR="00443644" w:rsidRPr="00967AC5">
        <w:rPr>
          <w:rFonts w:asciiTheme="minorBidi" w:hAnsiTheme="minorBidi" w:cstheme="minorBidi"/>
          <w:szCs w:val="20"/>
        </w:rPr>
        <w:fldChar w:fldCharType="begin"/>
      </w:r>
      <w:r w:rsidR="00443644" w:rsidRPr="00967AC5">
        <w:rPr>
          <w:rFonts w:asciiTheme="minorBidi" w:hAnsiTheme="minorBidi" w:cstheme="minorBidi"/>
          <w:szCs w:val="20"/>
        </w:rPr>
        <w:instrText xml:space="preserve"> REF _Ref68876239 \r \h </w:instrText>
      </w:r>
      <w:r w:rsidR="0083166B" w:rsidRPr="00967AC5">
        <w:rPr>
          <w:rFonts w:asciiTheme="minorBidi" w:hAnsiTheme="minorBidi" w:cstheme="minorBidi"/>
          <w:szCs w:val="20"/>
        </w:rPr>
        <w:instrText xml:space="preserve"> \* MERGEFORMAT </w:instrText>
      </w:r>
      <w:r w:rsidR="00443644" w:rsidRPr="00967AC5">
        <w:rPr>
          <w:rFonts w:asciiTheme="minorBidi" w:hAnsiTheme="minorBidi" w:cstheme="minorBidi"/>
          <w:szCs w:val="20"/>
        </w:rPr>
      </w:r>
      <w:r w:rsidR="00443644" w:rsidRPr="00967AC5">
        <w:rPr>
          <w:rFonts w:asciiTheme="minorBidi" w:hAnsiTheme="minorBidi" w:cstheme="minorBidi"/>
          <w:szCs w:val="20"/>
        </w:rPr>
        <w:fldChar w:fldCharType="separate"/>
      </w:r>
      <w:r w:rsidR="00680BB5" w:rsidRPr="00967AC5">
        <w:rPr>
          <w:rFonts w:asciiTheme="minorBidi" w:hAnsiTheme="minorBidi" w:cstheme="minorBidi"/>
          <w:szCs w:val="20"/>
        </w:rPr>
        <w:t>[45]</w:t>
      </w:r>
      <w:r w:rsidR="00443644" w:rsidRPr="00967AC5">
        <w:rPr>
          <w:rFonts w:asciiTheme="minorBidi" w:hAnsiTheme="minorBidi" w:cstheme="minorBidi"/>
          <w:szCs w:val="20"/>
        </w:rPr>
        <w:fldChar w:fldCharType="end"/>
      </w:r>
      <w:r w:rsidR="00443644" w:rsidRPr="00967AC5">
        <w:rPr>
          <w:rFonts w:asciiTheme="minorBidi" w:hAnsiTheme="minorBidi" w:cstheme="minorBidi"/>
          <w:szCs w:val="20"/>
        </w:rPr>
        <w:t xml:space="preserve"> </w:t>
      </w:r>
      <w:r w:rsidRPr="00967AC5">
        <w:rPr>
          <w:rFonts w:asciiTheme="minorBidi" w:hAnsiTheme="minorBidi"/>
        </w:rPr>
        <w:t>and ERC Report 65</w:t>
      </w:r>
      <w:r w:rsidR="00443644" w:rsidRPr="00967AC5">
        <w:rPr>
          <w:rFonts w:asciiTheme="minorBidi" w:hAnsiTheme="minorBidi" w:cstheme="minorBidi"/>
          <w:szCs w:val="20"/>
        </w:rPr>
        <w:t xml:space="preserve"> </w:t>
      </w:r>
      <w:r w:rsidR="00443644" w:rsidRPr="00967AC5">
        <w:rPr>
          <w:rFonts w:asciiTheme="minorBidi" w:hAnsiTheme="minorBidi" w:cstheme="minorBidi"/>
          <w:szCs w:val="20"/>
        </w:rPr>
        <w:fldChar w:fldCharType="begin"/>
      </w:r>
      <w:r w:rsidR="00443644" w:rsidRPr="00967AC5">
        <w:rPr>
          <w:rFonts w:asciiTheme="minorBidi" w:hAnsiTheme="minorBidi" w:cstheme="minorBidi"/>
          <w:szCs w:val="20"/>
        </w:rPr>
        <w:instrText xml:space="preserve"> REF _Ref68876245 \r \h </w:instrText>
      </w:r>
      <w:r w:rsidR="0083166B" w:rsidRPr="00967AC5">
        <w:rPr>
          <w:rFonts w:asciiTheme="minorBidi" w:hAnsiTheme="minorBidi" w:cstheme="minorBidi"/>
          <w:szCs w:val="20"/>
        </w:rPr>
        <w:instrText xml:space="preserve"> \* MERGEFORMAT </w:instrText>
      </w:r>
      <w:r w:rsidR="00443644" w:rsidRPr="00967AC5">
        <w:rPr>
          <w:rFonts w:asciiTheme="minorBidi" w:hAnsiTheme="minorBidi" w:cstheme="minorBidi"/>
          <w:szCs w:val="20"/>
        </w:rPr>
      </w:r>
      <w:r w:rsidR="00443644" w:rsidRPr="00967AC5">
        <w:rPr>
          <w:rFonts w:asciiTheme="minorBidi" w:hAnsiTheme="minorBidi" w:cstheme="minorBidi"/>
          <w:szCs w:val="20"/>
        </w:rPr>
        <w:fldChar w:fldCharType="separate"/>
      </w:r>
      <w:r w:rsidR="00680BB5" w:rsidRPr="00967AC5">
        <w:rPr>
          <w:rFonts w:asciiTheme="minorBidi" w:hAnsiTheme="minorBidi" w:cstheme="minorBidi"/>
          <w:szCs w:val="20"/>
        </w:rPr>
        <w:t>[46]</w:t>
      </w:r>
      <w:r w:rsidR="00443644" w:rsidRPr="00967AC5">
        <w:rPr>
          <w:rFonts w:asciiTheme="minorBidi" w:hAnsiTheme="minorBidi" w:cstheme="minorBidi"/>
          <w:szCs w:val="20"/>
        </w:rPr>
        <w:fldChar w:fldCharType="end"/>
      </w:r>
      <w:r w:rsidRPr="00967AC5">
        <w:rPr>
          <w:rFonts w:asciiTheme="minorBidi" w:hAnsiTheme="minorBidi" w:cstheme="minorBidi"/>
          <w:szCs w:val="20"/>
        </w:rPr>
        <w:t>.</w:t>
      </w:r>
    </w:p>
    <w:p w14:paraId="3BDC18CE" w14:textId="61FDA8CE" w:rsidR="00DD2BE6" w:rsidRPr="00967AC5" w:rsidRDefault="00F502DD" w:rsidP="00DD5131">
      <w:pPr>
        <w:pStyle w:val="Heading1"/>
      </w:pPr>
      <w:bookmarkStart w:id="144" w:name="_Toc71037838"/>
      <w:r w:rsidRPr="00967AC5">
        <w:lastRenderedPageBreak/>
        <w:t>Cross-border coordination</w:t>
      </w:r>
      <w:bookmarkEnd w:id="144"/>
    </w:p>
    <w:p w14:paraId="2F318311" w14:textId="5C1B8FC5" w:rsidR="00CB4307" w:rsidRPr="00967AC5" w:rsidRDefault="00CB4307" w:rsidP="0083166B">
      <w:pPr>
        <w:pStyle w:val="ECCParagraph"/>
      </w:pPr>
      <w:r w:rsidRPr="00967AC5">
        <w:t xml:space="preserve">CEPT confirms that cross-border co-ordination can be sufficiently addressed through existing </w:t>
      </w:r>
      <w:r w:rsidR="00BB3546" w:rsidRPr="00967AC5">
        <w:t>and</w:t>
      </w:r>
      <w:r w:rsidR="00865022" w:rsidRPr="00967AC5">
        <w:t>,</w:t>
      </w:r>
      <w:r w:rsidR="00BB3546" w:rsidRPr="00967AC5">
        <w:t xml:space="preserve"> if appropriate</w:t>
      </w:r>
      <w:r w:rsidR="00865022" w:rsidRPr="00967AC5">
        <w:t>,</w:t>
      </w:r>
      <w:r w:rsidR="00BB3546" w:rsidRPr="00967AC5">
        <w:t xml:space="preserve"> </w:t>
      </w:r>
      <w:proofErr w:type="gramStart"/>
      <w:r w:rsidR="00BB3546" w:rsidRPr="00967AC5">
        <w:t>further</w:t>
      </w:r>
      <w:proofErr w:type="gramEnd"/>
      <w:r w:rsidR="00BB3546" w:rsidRPr="00967AC5">
        <w:t xml:space="preserve"> to be developed </w:t>
      </w:r>
      <w:r w:rsidRPr="00967AC5">
        <w:t xml:space="preserve">bilateral and multilateral procedures, supported by ECC Recommendations. </w:t>
      </w:r>
    </w:p>
    <w:p w14:paraId="5545EDED" w14:textId="1195CC08" w:rsidR="00112539" w:rsidRPr="00967AC5" w:rsidRDefault="00CB4307" w:rsidP="00936241">
      <w:pPr>
        <w:pStyle w:val="ECCParagraph"/>
      </w:pPr>
      <w:r w:rsidRPr="00967AC5">
        <w:t xml:space="preserve">ECC Recommendation (08)02 </w:t>
      </w:r>
      <w:r w:rsidR="00BB301D" w:rsidRPr="00967AC5">
        <w:fldChar w:fldCharType="begin"/>
      </w:r>
      <w:r w:rsidR="00BB301D" w:rsidRPr="00967AC5">
        <w:instrText xml:space="preserve"> REF _Ref63676686 \r \h </w:instrText>
      </w:r>
      <w:r w:rsidR="002505BC" w:rsidRPr="00967AC5">
        <w:instrText xml:space="preserve"> \* MERGEFORMAT </w:instrText>
      </w:r>
      <w:r w:rsidR="00BB301D" w:rsidRPr="00967AC5">
        <w:fldChar w:fldCharType="separate"/>
      </w:r>
      <w:r w:rsidR="00680BB5" w:rsidRPr="00967AC5">
        <w:t>[18]</w:t>
      </w:r>
      <w:r w:rsidR="00BB301D" w:rsidRPr="00967AC5">
        <w:fldChar w:fldCharType="end"/>
      </w:r>
      <w:r w:rsidR="00BB301D" w:rsidRPr="00967AC5" w:rsidDel="00BB301D">
        <w:t xml:space="preserve"> </w:t>
      </w:r>
      <w:r w:rsidRPr="00967AC5">
        <w:t xml:space="preserve">addresses cross-border coordination in the 900 and 1800 MHz bands and has been updated in February 2019 to address 5G NR systems. This recommendation already covers various systems which are all compatible with the </w:t>
      </w:r>
      <w:r w:rsidR="00F43EED" w:rsidRPr="00967AC5">
        <w:t>LRTCs (</w:t>
      </w:r>
      <w:r w:rsidRPr="00967AC5">
        <w:t>BEMs</w:t>
      </w:r>
      <w:r w:rsidR="00F43EED" w:rsidRPr="00967AC5">
        <w:t>)</w:t>
      </w:r>
      <w:r w:rsidRPr="00967AC5">
        <w:t xml:space="preserve"> proposed in </w:t>
      </w:r>
      <w:r w:rsidR="00F43EED" w:rsidRPr="00967AC5">
        <w:t>this</w:t>
      </w:r>
      <w:r w:rsidRPr="00967AC5">
        <w:t xml:space="preserve"> CEPT </w:t>
      </w:r>
      <w:r w:rsidR="00BB3546" w:rsidRPr="00967AC5">
        <w:t>R</w:t>
      </w:r>
      <w:r w:rsidRPr="00967AC5">
        <w:t xml:space="preserve">eport. In particular, this recommendation refers to </w:t>
      </w:r>
      <w:r w:rsidR="00112539" w:rsidRPr="00967AC5">
        <w:t>:</w:t>
      </w:r>
    </w:p>
    <w:p w14:paraId="5605E43C" w14:textId="467DC23E" w:rsidR="009404CB" w:rsidRPr="00967AC5" w:rsidRDefault="000C038D" w:rsidP="00112539">
      <w:pPr>
        <w:pStyle w:val="ECCBulletsLv1"/>
      </w:pPr>
      <w:r w:rsidRPr="00967AC5">
        <w:t xml:space="preserve"> </w:t>
      </w:r>
      <w:r w:rsidR="00CB4307" w:rsidRPr="00967AC5">
        <w:t xml:space="preserve">NB </w:t>
      </w:r>
      <w:proofErr w:type="spellStart"/>
      <w:r w:rsidR="00CB4307" w:rsidRPr="00967AC5">
        <w:t>systems</w:t>
      </w:r>
      <w:r w:rsidR="00112539" w:rsidRPr="00967AC5">
        <w:t>:</w:t>
      </w:r>
      <w:r w:rsidR="00CB4307" w:rsidRPr="00967AC5">
        <w:t>GSM</w:t>
      </w:r>
      <w:proofErr w:type="spellEnd"/>
      <w:r w:rsidR="00CB4307" w:rsidRPr="00967AC5">
        <w:t>, EC-GSM-IoT  and standalone NB-IoT)</w:t>
      </w:r>
    </w:p>
    <w:p w14:paraId="166B8814" w14:textId="0E59B23D" w:rsidR="005155F6" w:rsidRPr="00967AC5" w:rsidRDefault="00CB4307" w:rsidP="005155F6">
      <w:pPr>
        <w:pStyle w:val="ECCBulletsLv1"/>
      </w:pPr>
      <w:r w:rsidRPr="00967AC5">
        <w:t>WB systems</w:t>
      </w:r>
      <w:r w:rsidR="009404CB" w:rsidRPr="00967AC5">
        <w:t>:</w:t>
      </w:r>
      <w:r w:rsidRPr="00967AC5">
        <w:t xml:space="preserve"> UMTS, LTE, LTE-MTC, LTE-eMTC, LTE in</w:t>
      </w:r>
      <w:r w:rsidR="00AA14C6" w:rsidRPr="00967AC5">
        <w:t>-</w:t>
      </w:r>
      <w:r w:rsidRPr="00967AC5">
        <w:t>band NB-IoT, LTE guard</w:t>
      </w:r>
      <w:r w:rsidR="007C4912" w:rsidRPr="00967AC5">
        <w:t xml:space="preserve"> </w:t>
      </w:r>
      <w:r w:rsidRPr="00967AC5">
        <w:t xml:space="preserve">band  NB-IoT and NR </w:t>
      </w:r>
      <w:r w:rsidR="005155F6" w:rsidRPr="00967AC5">
        <w:t xml:space="preserve"> </w:t>
      </w:r>
      <w:r w:rsidRPr="00967AC5">
        <w:t xml:space="preserve">in line with the NB BEM and WB BEM approach developed in this CEPT </w:t>
      </w:r>
      <w:r w:rsidR="00BB3546" w:rsidRPr="00967AC5">
        <w:t>R</w:t>
      </w:r>
      <w:r w:rsidRPr="00967AC5">
        <w:t>eport.</w:t>
      </w:r>
      <w:r w:rsidR="00337D8A" w:rsidRPr="00967AC5">
        <w:t xml:space="preserve"> </w:t>
      </w:r>
    </w:p>
    <w:p w14:paraId="7E4F59B0" w14:textId="77777777" w:rsidR="005155F6" w:rsidRPr="00967AC5" w:rsidRDefault="005155F6" w:rsidP="003248A6">
      <w:pPr>
        <w:pStyle w:val="ECCBulletsLv1"/>
        <w:numPr>
          <w:ilvl w:val="0"/>
          <w:numId w:val="0"/>
        </w:numPr>
      </w:pPr>
    </w:p>
    <w:p w14:paraId="3FE15BB4" w14:textId="2C87924C" w:rsidR="00E93429" w:rsidRPr="00967AC5" w:rsidRDefault="00337D8A" w:rsidP="003248A6">
      <w:pPr>
        <w:pStyle w:val="ECCParagraph"/>
      </w:pPr>
      <w:r w:rsidRPr="00967AC5">
        <w:t xml:space="preserve">This ECC </w:t>
      </w:r>
      <w:r w:rsidR="003B31DA" w:rsidRPr="00967AC5">
        <w:t>R</w:t>
      </w:r>
      <w:r w:rsidRPr="00967AC5">
        <w:t xml:space="preserve">ecommendation could be further updated as appropriate in case of new ECS </w:t>
      </w:r>
      <w:r w:rsidR="00665754" w:rsidRPr="00967AC5">
        <w:t>system operating in these bands</w:t>
      </w:r>
      <w:r w:rsidRPr="00967AC5">
        <w:t xml:space="preserve">. </w:t>
      </w:r>
      <w:r w:rsidR="00CB4307" w:rsidRPr="00967AC5">
        <w:t xml:space="preserve">If needed, the ECC Recommendation (05)08 </w:t>
      </w:r>
      <w:r w:rsidR="00BB301D" w:rsidRPr="00967AC5">
        <w:fldChar w:fldCharType="begin"/>
      </w:r>
      <w:r w:rsidR="00BB301D" w:rsidRPr="00967AC5">
        <w:instrText xml:space="preserve"> REF _Ref63676709 \r \h </w:instrText>
      </w:r>
      <w:r w:rsidR="002505BC" w:rsidRPr="00967AC5">
        <w:instrText xml:space="preserve"> \* MERGEFORMAT </w:instrText>
      </w:r>
      <w:r w:rsidR="00BB301D" w:rsidRPr="00967AC5">
        <w:fldChar w:fldCharType="separate"/>
      </w:r>
      <w:r w:rsidR="00680BB5" w:rsidRPr="00967AC5">
        <w:t>[17]</w:t>
      </w:r>
      <w:r w:rsidR="00BB301D" w:rsidRPr="00967AC5">
        <w:fldChar w:fldCharType="end"/>
      </w:r>
      <w:r w:rsidR="003F6791" w:rsidRPr="00967AC5">
        <w:t xml:space="preserve"> </w:t>
      </w:r>
      <w:r w:rsidR="00CB4307" w:rsidRPr="00967AC5">
        <w:t>refers to the GSM vs. GSM scenario.</w:t>
      </w:r>
    </w:p>
    <w:p w14:paraId="7F3C9B09" w14:textId="31FA12F0" w:rsidR="006724E0" w:rsidRPr="00967AC5" w:rsidRDefault="006724E0" w:rsidP="00DD5131">
      <w:pPr>
        <w:pStyle w:val="Heading1"/>
      </w:pPr>
      <w:bookmarkStart w:id="145" w:name="_Toc71037839"/>
      <w:bookmarkStart w:id="146" w:name="_Toc380056507"/>
      <w:bookmarkStart w:id="147" w:name="_Toc380059757"/>
      <w:bookmarkStart w:id="148" w:name="_Toc380059795"/>
      <w:bookmarkStart w:id="149" w:name="_Toc396153645"/>
      <w:bookmarkStart w:id="150" w:name="_Toc396383873"/>
      <w:bookmarkStart w:id="151" w:name="_Toc396917306"/>
      <w:bookmarkStart w:id="152" w:name="_Toc396917417"/>
      <w:bookmarkStart w:id="153" w:name="_Toc396917637"/>
      <w:bookmarkStart w:id="154" w:name="_Toc396917652"/>
      <w:bookmarkStart w:id="155" w:name="_Toc396917757"/>
      <w:bookmarkStart w:id="156" w:name="_Toc528661777"/>
      <w:bookmarkStart w:id="157" w:name="_Toc533173159"/>
      <w:bookmarkStart w:id="158" w:name="_Toc18338434"/>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967AC5">
        <w:lastRenderedPageBreak/>
        <w:t>Implementation of LRTC</w:t>
      </w:r>
      <w:r w:rsidR="009F52F9" w:rsidRPr="00967AC5">
        <w:t>s</w:t>
      </w:r>
      <w:bookmarkEnd w:id="145"/>
    </w:p>
    <w:p w14:paraId="5B5372E9" w14:textId="45A53D65" w:rsidR="006724E0" w:rsidRPr="00967AC5" w:rsidRDefault="006724E0" w:rsidP="00ED568E">
      <w:pPr>
        <w:pStyle w:val="ECCParagraph"/>
      </w:pPr>
      <w:r w:rsidRPr="00967AC5">
        <w:t>The LRTC have been developed on the basis of current ETSI core specifications appropriate for NB and WB non-AAS base stations, for WB AAS base stations, and for NB and WB non-AAS terminal stations. Various systems listed in the current EC framework</w:t>
      </w:r>
      <w:r w:rsidR="00774E5D" w:rsidRPr="00967AC5">
        <w:t xml:space="preserve">, including </w:t>
      </w:r>
      <w:r w:rsidRPr="00967AC5">
        <w:t xml:space="preserve">UMTS, LTE, </w:t>
      </w:r>
      <w:r w:rsidR="00774E5D" w:rsidRPr="00967AC5">
        <w:t xml:space="preserve">and </w:t>
      </w:r>
      <w:r w:rsidRPr="00967AC5">
        <w:t>IoT</w:t>
      </w:r>
      <w:r w:rsidR="00774E5D" w:rsidRPr="00967AC5">
        <w:t xml:space="preserve"> ( </w:t>
      </w:r>
      <w:r w:rsidR="00D07C98" w:rsidRPr="00967AC5">
        <w:t>NB-IoT</w:t>
      </w:r>
      <w:r w:rsidRPr="00967AC5">
        <w:t>, LTE LTE-MTC and LTE-eMTC) comply with the new LRTC</w:t>
      </w:r>
      <w:r w:rsidR="00270926" w:rsidRPr="00967AC5">
        <w:t>s</w:t>
      </w:r>
      <w:r w:rsidRPr="00967AC5">
        <w:t>. The only system which is not listed in the current EC Framework is 5G NR.</w:t>
      </w:r>
    </w:p>
    <w:p w14:paraId="2B6C2951" w14:textId="4F76951D" w:rsidR="006724E0" w:rsidRPr="00967AC5" w:rsidRDefault="006724E0" w:rsidP="00327371">
      <w:pPr>
        <w:pStyle w:val="ECCParagraph"/>
      </w:pPr>
      <w:r w:rsidRPr="00967AC5">
        <w:t xml:space="preserve">Nevertheless, the European Commission was informed in CEPT Report 72 </w:t>
      </w:r>
      <w:r w:rsidR="00FD1857" w:rsidRPr="00967AC5">
        <w:fldChar w:fldCharType="begin"/>
      </w:r>
      <w:r w:rsidR="00FD1857" w:rsidRPr="00967AC5">
        <w:instrText xml:space="preserve"> REF _Ref49781524 \r \h </w:instrText>
      </w:r>
      <w:r w:rsidR="003B31DA" w:rsidRPr="00967AC5">
        <w:instrText xml:space="preserve"> \* MERGEFORMAT </w:instrText>
      </w:r>
      <w:r w:rsidR="00FD1857" w:rsidRPr="00967AC5">
        <w:fldChar w:fldCharType="separate"/>
      </w:r>
      <w:r w:rsidR="00680BB5" w:rsidRPr="00967AC5">
        <w:t>[1]</w:t>
      </w:r>
      <w:r w:rsidR="00FD1857" w:rsidRPr="00967AC5">
        <w:fldChar w:fldCharType="end"/>
      </w:r>
      <w:r w:rsidR="00FD1857" w:rsidRPr="00967AC5">
        <w:t xml:space="preserve"> </w:t>
      </w:r>
      <w:r w:rsidRPr="00967AC5">
        <w:t>that ECC updated its framework in the 900 MHz and 1800 MHz frequency bands (ECC Dec</w:t>
      </w:r>
      <w:r w:rsidR="00FD1857" w:rsidRPr="00967AC5">
        <w:t xml:space="preserve">ision </w:t>
      </w:r>
      <w:r w:rsidRPr="00967AC5">
        <w:t>(06)13 – updated in March 2019</w:t>
      </w:r>
      <w:r w:rsidR="00FD1857" w:rsidRPr="00967AC5">
        <w:t xml:space="preserve"> </w:t>
      </w:r>
      <w:r w:rsidR="00FD1857" w:rsidRPr="00967AC5">
        <w:fldChar w:fldCharType="begin"/>
      </w:r>
      <w:r w:rsidR="00FD1857" w:rsidRPr="00967AC5">
        <w:instrText xml:space="preserve"> REF _Ref63427273 \r \h </w:instrText>
      </w:r>
      <w:r w:rsidR="003B31DA" w:rsidRPr="00967AC5">
        <w:instrText xml:space="preserve"> \* MERGEFORMAT </w:instrText>
      </w:r>
      <w:r w:rsidR="00FD1857" w:rsidRPr="00967AC5">
        <w:fldChar w:fldCharType="separate"/>
      </w:r>
      <w:r w:rsidR="00680BB5" w:rsidRPr="00967AC5">
        <w:t>[15]</w:t>
      </w:r>
      <w:r w:rsidR="00FD1857" w:rsidRPr="00967AC5">
        <w:fldChar w:fldCharType="end"/>
      </w:r>
      <w:r w:rsidRPr="00967AC5">
        <w:t xml:space="preserve">) with a reference of the relevant ETSI Harmonised standards for 5G NR. As mentioned </w:t>
      </w:r>
      <w:r w:rsidR="00815438" w:rsidRPr="00967AC5">
        <w:t xml:space="preserve">in </w:t>
      </w:r>
      <w:r w:rsidRPr="00967AC5">
        <w:t xml:space="preserve">the EC </w:t>
      </w:r>
      <w:r w:rsidR="00815438" w:rsidRPr="00967AC5">
        <w:t>Mandate</w:t>
      </w:r>
      <w:r w:rsidRPr="00967AC5">
        <w:t xml:space="preserve">, </w:t>
      </w:r>
      <w:r w:rsidR="00CB0CC0" w:rsidRPr="00967AC5">
        <w:t>“</w:t>
      </w:r>
      <w:r w:rsidRPr="00967AC5">
        <w:rPr>
          <w:i/>
        </w:rPr>
        <w:t>a transition of the technical conditions to BEM in the 900 MHz and 1800 MHz frequency bands at the EU level, could be facilitated by the specific provision in the Decision 2009/766/EC (as amended)</w:t>
      </w:r>
      <w:r w:rsidR="00FD1857" w:rsidRPr="00967AC5">
        <w:rPr>
          <w:i/>
        </w:rPr>
        <w:t xml:space="preserve"> </w:t>
      </w:r>
      <w:r w:rsidR="00FD1857" w:rsidRPr="00967AC5">
        <w:rPr>
          <w:i/>
        </w:rPr>
        <w:fldChar w:fldCharType="begin"/>
      </w:r>
      <w:r w:rsidR="00FD1857" w:rsidRPr="00967AC5">
        <w:rPr>
          <w:i/>
        </w:rPr>
        <w:instrText xml:space="preserve"> REF _Ref63337216 \r \h </w:instrText>
      </w:r>
      <w:r w:rsidR="003B31DA" w:rsidRPr="00967AC5">
        <w:rPr>
          <w:i/>
        </w:rPr>
        <w:instrText xml:space="preserve"> \* MERGEFORMAT </w:instrText>
      </w:r>
      <w:r w:rsidR="00FD1857" w:rsidRPr="00967AC5">
        <w:rPr>
          <w:i/>
        </w:rPr>
      </w:r>
      <w:r w:rsidR="00FD1857" w:rsidRPr="00967AC5">
        <w:rPr>
          <w:i/>
        </w:rPr>
        <w:fldChar w:fldCharType="separate"/>
      </w:r>
      <w:r w:rsidR="00680BB5" w:rsidRPr="00967AC5">
        <w:rPr>
          <w:i/>
        </w:rPr>
        <w:t>[2]</w:t>
      </w:r>
      <w:r w:rsidR="00FD1857" w:rsidRPr="00967AC5">
        <w:rPr>
          <w:i/>
        </w:rPr>
        <w:fldChar w:fldCharType="end"/>
      </w:r>
      <w:r w:rsidRPr="00967AC5">
        <w:rPr>
          <w:i/>
        </w:rPr>
        <w:t>, which allows in both bands use of other systems, which are not listed in its Annex, under the condition of ensuring coexistence with the GSM system and the systems listed in that Annex. The aforementioned amendment of the CEPT technical framework will facilitate compliance with this provision in the EU context in order to accommodate evolving 5G standards</w:t>
      </w:r>
      <w:r w:rsidRPr="00967AC5">
        <w:t>”.</w:t>
      </w:r>
    </w:p>
    <w:p w14:paraId="6F79C5A4" w14:textId="774DB6CA" w:rsidR="006724E0" w:rsidRPr="00967AC5" w:rsidRDefault="006724E0" w:rsidP="00327371">
      <w:pPr>
        <w:pStyle w:val="ECCParagraph"/>
      </w:pPr>
      <w:r w:rsidRPr="00967AC5">
        <w:t xml:space="preserve">CEPT has not identified other systems </w:t>
      </w:r>
      <w:r w:rsidR="00650F40" w:rsidRPr="00967AC5">
        <w:t>in 900/</w:t>
      </w:r>
      <w:r w:rsidR="00FD1857" w:rsidRPr="00967AC5">
        <w:t xml:space="preserve">1800 MHz </w:t>
      </w:r>
      <w:r w:rsidR="00650F40" w:rsidRPr="00967AC5">
        <w:t xml:space="preserve">bands </w:t>
      </w:r>
      <w:r w:rsidRPr="00967AC5">
        <w:t xml:space="preserve">than those listed in ECC Decision (06)13 updated in March 2019. The current EC framework is based on a list of technologies and does not restrict the introduction of 5G NR as it has been mentioned </w:t>
      </w:r>
      <w:r w:rsidR="0093628B" w:rsidRPr="00967AC5">
        <w:t xml:space="preserve">and </w:t>
      </w:r>
      <w:r w:rsidRPr="00967AC5">
        <w:t xml:space="preserve">described above. There is </w:t>
      </w:r>
      <w:r w:rsidR="00433ABF" w:rsidRPr="00967AC5">
        <w:t xml:space="preserve">therefore </w:t>
      </w:r>
      <w:r w:rsidRPr="00967AC5">
        <w:t xml:space="preserve">no need for an update of the EC framework with LRTC in order to ensure that 5G NR could be used in EU Member </w:t>
      </w:r>
      <w:r w:rsidR="002D155E" w:rsidRPr="00967AC5">
        <w:t>States</w:t>
      </w:r>
      <w:r w:rsidRPr="00967AC5">
        <w:t xml:space="preserve">. The work </w:t>
      </w:r>
      <w:r w:rsidR="002D155E" w:rsidRPr="00967AC5">
        <w:t xml:space="preserve">carried out </w:t>
      </w:r>
      <w:r w:rsidRPr="00967AC5">
        <w:t>when drafting this CEPT Report does not contradict this analysis.</w:t>
      </w:r>
    </w:p>
    <w:p w14:paraId="2DA00DC7" w14:textId="52C5E5CA" w:rsidR="006724E0" w:rsidRPr="00967AC5" w:rsidRDefault="006724E0" w:rsidP="00FF3AFA">
      <w:pPr>
        <w:pStyle w:val="ECCParagraph"/>
      </w:pPr>
      <w:r w:rsidRPr="00967AC5">
        <w:t xml:space="preserve">In </w:t>
      </w:r>
      <w:r w:rsidR="00E103A9" w:rsidRPr="00967AC5">
        <w:t>practice</w:t>
      </w:r>
      <w:r w:rsidRPr="00967AC5">
        <w:t xml:space="preserve">, when there is no market demand to use other standards than 5G NR and those listed in the current Annex of the EC Decision, there is no need to update national regulatory frameworks. This </w:t>
      </w:r>
      <w:r w:rsidR="001F32AD" w:rsidRPr="00967AC5">
        <w:t xml:space="preserve">leaves </w:t>
      </w:r>
      <w:r w:rsidRPr="00967AC5">
        <w:t>some flexibility for the date of implementation by the EU Member States of the future EC Decision</w:t>
      </w:r>
      <w:r w:rsidR="00EC2C65" w:rsidRPr="00967AC5">
        <w:t xml:space="preserve"> containing the proposed LRTCs</w:t>
      </w:r>
      <w:r w:rsidRPr="00967AC5">
        <w:t xml:space="preserve"> based on this CEPT </w:t>
      </w:r>
      <w:r w:rsidR="001F32AD" w:rsidRPr="00967AC5">
        <w:t>Report</w:t>
      </w:r>
      <w:r w:rsidRPr="00967AC5">
        <w:t xml:space="preserve">. </w:t>
      </w:r>
      <w:r w:rsidR="00EC2C65" w:rsidRPr="00967AC5">
        <w:t xml:space="preserve">Varying </w:t>
      </w:r>
      <w:r w:rsidRPr="00967AC5">
        <w:t xml:space="preserve">dates for implementation of the updated EC framework </w:t>
      </w:r>
      <w:r w:rsidR="00EC2C65" w:rsidRPr="00967AC5">
        <w:t>should</w:t>
      </w:r>
      <w:r w:rsidRPr="00967AC5">
        <w:t xml:space="preserve"> not impact the rollout of 5G NR </w:t>
      </w:r>
      <w:r w:rsidR="00650F40" w:rsidRPr="00967AC5">
        <w:t xml:space="preserve">in </w:t>
      </w:r>
      <w:r w:rsidR="003B31DA" w:rsidRPr="00967AC5">
        <w:t xml:space="preserve">the </w:t>
      </w:r>
      <w:r w:rsidR="00650F40" w:rsidRPr="00967AC5">
        <w:t>900</w:t>
      </w:r>
      <w:r w:rsidR="003B31DA" w:rsidRPr="00967AC5">
        <w:t xml:space="preserve"> MHz and </w:t>
      </w:r>
      <w:r w:rsidR="00650F40" w:rsidRPr="00967AC5">
        <w:t>1800</w:t>
      </w:r>
      <w:r w:rsidR="00AB737C" w:rsidRPr="00967AC5">
        <w:t xml:space="preserve"> </w:t>
      </w:r>
      <w:r w:rsidR="00650F40" w:rsidRPr="00967AC5">
        <w:t xml:space="preserve">MHz bands </w:t>
      </w:r>
      <w:r w:rsidRPr="00967AC5">
        <w:t>in Europe.</w:t>
      </w:r>
    </w:p>
    <w:p w14:paraId="5A3AFF3C" w14:textId="641412F7" w:rsidR="00B47827" w:rsidRPr="00967AC5" w:rsidRDefault="00DE38BE" w:rsidP="00DD5131">
      <w:pPr>
        <w:pStyle w:val="Heading1"/>
      </w:pPr>
      <w:bookmarkStart w:id="159" w:name="_Toc71037840"/>
      <w:r w:rsidRPr="00967AC5">
        <w:lastRenderedPageBreak/>
        <w:t>Conclusions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351A1B9" w14:textId="51C01868" w:rsidR="00285220" w:rsidRPr="00967AC5" w:rsidRDefault="00285220" w:rsidP="00285220">
      <w:pPr>
        <w:pStyle w:val="ECCParagraph"/>
      </w:pPr>
      <w:r w:rsidRPr="00967AC5">
        <w:t>This Report is the response (Report B) to Task 2 of the Mandate from the European Commission “to review the harmonised technical conditions for certain EU-harmonised frequency bands and to develop least restrictive harmonised technical conditions suitable for next-generation (5G) terrestrial wireless systems”</w:t>
      </w:r>
      <w:r w:rsidR="00DC298A" w:rsidRPr="00967AC5">
        <w:t>, addressing the 900 MHz and 1800 MHz frequency bands</w:t>
      </w:r>
      <w:r w:rsidRPr="00967AC5">
        <w:t>.</w:t>
      </w:r>
    </w:p>
    <w:p w14:paraId="47487AFB" w14:textId="0AD37899" w:rsidR="00167F58" w:rsidRPr="00967AC5" w:rsidRDefault="00285220">
      <w:pPr>
        <w:pStyle w:val="ECCParagraph"/>
      </w:pPr>
      <w:r w:rsidRPr="00967AC5">
        <w:t xml:space="preserve">According to the schedule set out in the Mandate, this Report addresses Task 2 </w:t>
      </w:r>
      <w:r w:rsidR="00DC298A" w:rsidRPr="00967AC5">
        <w:t>to develop</w:t>
      </w:r>
      <w:r w:rsidR="00426C97" w:rsidRPr="00967AC5">
        <w:t xml:space="preserve"> </w:t>
      </w:r>
      <w:proofErr w:type="spellStart"/>
      <w:r w:rsidR="00426C97" w:rsidRPr="00967AC5">
        <w:t>channeling</w:t>
      </w:r>
      <w:proofErr w:type="spellEnd"/>
      <w:r w:rsidR="00426C97" w:rsidRPr="00967AC5">
        <w:t xml:space="preserve"> arrangements and</w:t>
      </w:r>
      <w:r w:rsidR="00DC298A" w:rsidRPr="00967AC5">
        <w:t xml:space="preserve"> least restrictive technical conditions (LRTC</w:t>
      </w:r>
      <w:r w:rsidR="00426C97" w:rsidRPr="00967AC5">
        <w:t>s</w:t>
      </w:r>
      <w:r w:rsidR="00DC298A" w:rsidRPr="00967AC5">
        <w:t xml:space="preserve">) </w:t>
      </w:r>
      <w:r w:rsidRPr="00967AC5">
        <w:t>for the 900</w:t>
      </w:r>
      <w:r w:rsidR="00AB737C" w:rsidRPr="00967AC5">
        <w:t xml:space="preserve"> </w:t>
      </w:r>
      <w:r w:rsidRPr="00967AC5">
        <w:t>MHz and 1800</w:t>
      </w:r>
      <w:r w:rsidR="00AB737C" w:rsidRPr="00967AC5">
        <w:t xml:space="preserve"> </w:t>
      </w:r>
      <w:r w:rsidRPr="00967AC5">
        <w:t xml:space="preserve">MHz frequency bands. CEPT Report 72 (Report A) </w:t>
      </w:r>
      <w:r w:rsidR="00DD3E08">
        <w:fldChar w:fldCharType="begin"/>
      </w:r>
      <w:r w:rsidR="00DD3E08">
        <w:instrText xml:space="preserve"> REF _Ref63839661 \r \h </w:instrText>
      </w:r>
      <w:r w:rsidR="00DD3E08">
        <w:fldChar w:fldCharType="separate"/>
      </w:r>
      <w:r w:rsidR="00DD3E08">
        <w:t>[1]</w:t>
      </w:r>
      <w:r w:rsidR="00DD3E08">
        <w:fldChar w:fldCharType="end"/>
      </w:r>
      <w:r w:rsidRPr="00967AC5">
        <w:t xml:space="preserve"> addressed Tasks 1 </w:t>
      </w:r>
      <w:r w:rsidR="00DC298A" w:rsidRPr="00967AC5">
        <w:t xml:space="preserve">to </w:t>
      </w:r>
      <w:r w:rsidRPr="00967AC5">
        <w:t xml:space="preserve">3 in full for </w:t>
      </w:r>
      <w:r w:rsidR="00BE4F21" w:rsidRPr="00967AC5">
        <w:t>the</w:t>
      </w:r>
      <w:r w:rsidRPr="00967AC5">
        <w:t xml:space="preserve"> paired terrestrial 2 GHz and 2.6 GHz frequency bands</w:t>
      </w:r>
      <w:r w:rsidR="00BE4F21" w:rsidRPr="00967AC5">
        <w:t>, as well as the aspects of Task 1 related to the usage feasibility of 900/1800 MHz for 5G, and Task 3 related to cross-border coordination guidance for these frequency bands.</w:t>
      </w:r>
      <w:r w:rsidRPr="00967AC5">
        <w:t xml:space="preserve"> </w:t>
      </w:r>
      <w:r w:rsidR="00167F58" w:rsidRPr="00967AC5">
        <w:t xml:space="preserve">This Report </w:t>
      </w:r>
      <w:r w:rsidR="00426C97" w:rsidRPr="00967AC5">
        <w:t xml:space="preserve">B </w:t>
      </w:r>
      <w:r w:rsidR="00167F58" w:rsidRPr="00967AC5">
        <w:t>also provides additional clarification in response to Task 3 (cross-border coordination), with respect to the new technology neutral BEM and the handling of GSM.</w:t>
      </w:r>
    </w:p>
    <w:p w14:paraId="4DEE3E62" w14:textId="6815D8FE" w:rsidR="00285220" w:rsidRPr="00967AC5" w:rsidRDefault="00285220" w:rsidP="00285220">
      <w:pPr>
        <w:pStyle w:val="ECCParagraph"/>
      </w:pPr>
      <w:r w:rsidRPr="00967AC5">
        <w:t xml:space="preserve">This Report assumes that ECS use only non-AAS BS in </w:t>
      </w:r>
      <w:r w:rsidR="00BE4F21" w:rsidRPr="00967AC5">
        <w:t xml:space="preserve">the </w:t>
      </w:r>
      <w:r w:rsidRPr="00967AC5">
        <w:t>900 MHz frequency band and may use either non-AAS BS or AAS BS in the 1800 MHz frequency band. Analysis has been developed under this assumption. No recommendation is provided for usage of AAS BS in the 900 MHz frequency band.</w:t>
      </w:r>
    </w:p>
    <w:p w14:paraId="47DC0F24" w14:textId="502BD513" w:rsidR="00285220" w:rsidRPr="00967AC5" w:rsidRDefault="00285220">
      <w:pPr>
        <w:pStyle w:val="ECCParagraph"/>
      </w:pPr>
      <w:r w:rsidRPr="00967AC5">
        <w:t xml:space="preserve">AAS does not apply to user terminals in the 900 MHz </w:t>
      </w:r>
      <w:r w:rsidR="00426C97" w:rsidRPr="00967AC5">
        <w:t xml:space="preserve">or </w:t>
      </w:r>
      <w:r w:rsidRPr="00967AC5">
        <w:t>1800 MHz frequency bands.</w:t>
      </w:r>
    </w:p>
    <w:p w14:paraId="603DB43D" w14:textId="7D70031B" w:rsidR="00285220" w:rsidRPr="00967AC5" w:rsidRDefault="00285220">
      <w:pPr>
        <w:pStyle w:val="ECCParagraph"/>
      </w:pPr>
      <w:r w:rsidRPr="00967AC5">
        <w:t xml:space="preserve">CEPT agreed not to </w:t>
      </w:r>
      <w:r w:rsidR="00426C97" w:rsidRPr="00967AC5">
        <w:t xml:space="preserve">include </w:t>
      </w:r>
      <w:r w:rsidRPr="00967AC5">
        <w:t xml:space="preserve">GSM </w:t>
      </w:r>
      <w:r w:rsidR="00426C97" w:rsidRPr="00967AC5">
        <w:t xml:space="preserve">in </w:t>
      </w:r>
      <w:r w:rsidRPr="00967AC5">
        <w:t xml:space="preserve"> the technology neutral LRTC</w:t>
      </w:r>
      <w:r w:rsidR="00F4303D" w:rsidRPr="00967AC5">
        <w:t>s</w:t>
      </w:r>
      <w:r w:rsidRPr="00967AC5">
        <w:t xml:space="preserve"> and to recommend keeping the GSM definition (as in current EC decision through reference to GSM ETSI HS listed in Article 2 of </w:t>
      </w:r>
      <w:r w:rsidRPr="00967AC5">
        <w:rPr>
          <w:rFonts w:eastAsia="Calibri"/>
        </w:rPr>
        <w:t>EC Decision (2009/766/EC)</w:t>
      </w:r>
      <w:r w:rsidRPr="00967AC5">
        <w:t>). EC-GSM-IoT is protected as GSM with the proposed technology neutral LRTCs.</w:t>
      </w:r>
    </w:p>
    <w:p w14:paraId="3A387209" w14:textId="6294EE41" w:rsidR="00285220" w:rsidRPr="00967AC5" w:rsidRDefault="00285220" w:rsidP="00285220">
      <w:pPr>
        <w:pStyle w:val="ECCParagraph"/>
        <w:rPr>
          <w:rFonts w:eastAsia="Calibri"/>
        </w:rPr>
      </w:pPr>
      <w:r w:rsidRPr="00967AC5">
        <w:rPr>
          <w:rFonts w:eastAsia="Calibri"/>
        </w:rPr>
        <w:t xml:space="preserve">The following definitions for </w:t>
      </w:r>
      <w:r w:rsidR="002F57C7" w:rsidRPr="00967AC5">
        <w:rPr>
          <w:rFonts w:eastAsia="Calibri"/>
        </w:rPr>
        <w:t xml:space="preserve">ECS </w:t>
      </w:r>
      <w:r w:rsidRPr="00967AC5">
        <w:rPr>
          <w:rFonts w:eastAsia="Calibri"/>
        </w:rPr>
        <w:t>Narrow</w:t>
      </w:r>
      <w:r w:rsidR="00BE4F21" w:rsidRPr="00967AC5">
        <w:rPr>
          <w:rFonts w:eastAsia="Calibri"/>
        </w:rPr>
        <w:t>b</w:t>
      </w:r>
      <w:r w:rsidRPr="00967AC5">
        <w:rPr>
          <w:rFonts w:eastAsia="Calibri"/>
        </w:rPr>
        <w:t xml:space="preserve">and (NB) and </w:t>
      </w:r>
      <w:r w:rsidR="002F57C7" w:rsidRPr="00967AC5">
        <w:rPr>
          <w:rFonts w:eastAsia="Calibri"/>
        </w:rPr>
        <w:t xml:space="preserve">ECS </w:t>
      </w:r>
      <w:r w:rsidRPr="00967AC5">
        <w:rPr>
          <w:rFonts w:eastAsia="Calibri"/>
        </w:rPr>
        <w:t>Wide</w:t>
      </w:r>
      <w:r w:rsidR="00BE4F21" w:rsidRPr="00967AC5">
        <w:rPr>
          <w:rFonts w:eastAsia="Calibri"/>
        </w:rPr>
        <w:t>b</w:t>
      </w:r>
      <w:r w:rsidRPr="00967AC5">
        <w:rPr>
          <w:rFonts w:eastAsia="Calibri"/>
        </w:rPr>
        <w:t xml:space="preserve">and (WB) systems respectively apply in this CEPT </w:t>
      </w:r>
      <w:r w:rsidR="00C5752A" w:rsidRPr="00967AC5">
        <w:rPr>
          <w:rFonts w:eastAsia="Calibri"/>
        </w:rPr>
        <w:t>Report</w:t>
      </w:r>
      <w:r w:rsidRPr="00967AC5">
        <w:rPr>
          <w:rFonts w:eastAsia="Calibri"/>
        </w:rPr>
        <w:t>:</w:t>
      </w:r>
    </w:p>
    <w:p w14:paraId="227B9000" w14:textId="20DE1DA7" w:rsidR="00285220" w:rsidRPr="00967AC5" w:rsidRDefault="002F57C7" w:rsidP="00285220">
      <w:pPr>
        <w:pStyle w:val="ECCBulletsLv1"/>
        <w:rPr>
          <w:rFonts w:cs="Arial"/>
          <w:szCs w:val="20"/>
        </w:rPr>
      </w:pPr>
      <w:r w:rsidRPr="00967AC5">
        <w:rPr>
          <w:rFonts w:cs="Arial"/>
          <w:szCs w:val="20"/>
        </w:rPr>
        <w:t xml:space="preserve">ECS </w:t>
      </w:r>
      <w:r w:rsidR="00285220" w:rsidRPr="00967AC5">
        <w:rPr>
          <w:rFonts w:cs="Arial"/>
          <w:szCs w:val="20"/>
        </w:rPr>
        <w:t>NB systems are systems operating in 200 kHz channels, excluding GSM and EC-GSM-IoT</w:t>
      </w:r>
      <w:r w:rsidR="008912B6" w:rsidRPr="00967AC5">
        <w:rPr>
          <w:rFonts w:cs="Arial"/>
          <w:szCs w:val="20"/>
        </w:rPr>
        <w:t>;</w:t>
      </w:r>
    </w:p>
    <w:p w14:paraId="79500379" w14:textId="55F78ADD" w:rsidR="00285220" w:rsidRPr="00967AC5" w:rsidRDefault="002F57C7" w:rsidP="00285220">
      <w:pPr>
        <w:pStyle w:val="ECCBulletsLv1"/>
        <w:rPr>
          <w:rFonts w:cs="Arial"/>
          <w:szCs w:val="20"/>
        </w:rPr>
      </w:pPr>
      <w:r w:rsidRPr="00967AC5">
        <w:rPr>
          <w:rFonts w:eastAsiaTheme="minorHAnsi" w:cs="Arial"/>
          <w:szCs w:val="20"/>
        </w:rPr>
        <w:t xml:space="preserve">ECS </w:t>
      </w:r>
      <w:r w:rsidR="00285220" w:rsidRPr="00967AC5">
        <w:rPr>
          <w:rFonts w:eastAsiaTheme="minorHAnsi" w:cs="Arial"/>
          <w:szCs w:val="20"/>
        </w:rPr>
        <w:t>WB systems are systems operating in channels larger than 200 kHz</w:t>
      </w:r>
      <w:r w:rsidR="008912B6" w:rsidRPr="00967AC5">
        <w:rPr>
          <w:rFonts w:eastAsiaTheme="minorHAnsi" w:cs="Arial"/>
          <w:szCs w:val="20"/>
        </w:rPr>
        <w:t>.</w:t>
      </w:r>
    </w:p>
    <w:p w14:paraId="0DA230FF" w14:textId="21AF67D9" w:rsidR="00285220" w:rsidRPr="00967AC5" w:rsidRDefault="00285220" w:rsidP="00E21A98">
      <w:pPr>
        <w:pStyle w:val="ECCParagraph"/>
        <w:spacing w:before="240"/>
      </w:pPr>
      <w:r w:rsidRPr="00967AC5">
        <w:t xml:space="preserve">CEPT recommends a harmonised band plan for both the 900 MHz and 1800 MHz frequency bands with a block size multiple of </w:t>
      </w:r>
      <w:r w:rsidR="004C0BA8" w:rsidRPr="00967AC5">
        <w:t xml:space="preserve">200 </w:t>
      </w:r>
      <w:r w:rsidR="00FD0183" w:rsidRPr="00967AC5">
        <w:t xml:space="preserve">kHz </w:t>
      </w:r>
      <w:r w:rsidRPr="00967AC5">
        <w:t xml:space="preserve">(see section </w:t>
      </w:r>
      <w:r w:rsidRPr="00967AC5">
        <w:fldChar w:fldCharType="begin"/>
      </w:r>
      <w:r w:rsidRPr="00967AC5">
        <w:instrText xml:space="preserve"> REF _Ref62117241 \r \h  \* MERGEFORMAT </w:instrText>
      </w:r>
      <w:r w:rsidRPr="00967AC5">
        <w:fldChar w:fldCharType="separate"/>
      </w:r>
      <w:r w:rsidR="00680BB5" w:rsidRPr="00967AC5">
        <w:t>3.3</w:t>
      </w:r>
      <w:r w:rsidRPr="00967AC5">
        <w:fldChar w:fldCharType="end"/>
      </w:r>
      <w:r w:rsidRPr="00967AC5">
        <w:t xml:space="preserve"> </w:t>
      </w:r>
      <w:r w:rsidR="00DD3E08">
        <w:t xml:space="preserve">- </w:t>
      </w:r>
      <w:r w:rsidRPr="00967AC5">
        <w:t xml:space="preserve">Recommended band plan). Various </w:t>
      </w:r>
      <w:r w:rsidR="00CA2358" w:rsidRPr="00967AC5">
        <w:t xml:space="preserve">factors </w:t>
      </w:r>
      <w:r w:rsidRPr="00967AC5">
        <w:t>have been taken into due consideration in order to derive this harmonised band plan:</w:t>
      </w:r>
    </w:p>
    <w:p w14:paraId="223E59D1" w14:textId="54C361A6" w:rsidR="00285220" w:rsidRPr="00967AC5" w:rsidRDefault="00285220">
      <w:pPr>
        <w:pStyle w:val="ECCBulletsLv1"/>
      </w:pPr>
      <w:r w:rsidRPr="00967AC5">
        <w:t>GSM and standalone</w:t>
      </w:r>
      <w:r w:rsidR="005A49F9" w:rsidRPr="00967AC5">
        <w:t xml:space="preserve"> </w:t>
      </w:r>
      <w:r w:rsidRPr="00967AC5">
        <w:t>NB IoT</w:t>
      </w:r>
      <w:r w:rsidR="008912B6" w:rsidRPr="00967AC5">
        <w:t>;</w:t>
      </w:r>
      <w:r w:rsidRPr="00967AC5">
        <w:t xml:space="preserve"> </w:t>
      </w:r>
    </w:p>
    <w:p w14:paraId="4D085CB9" w14:textId="6685F438" w:rsidR="00285220" w:rsidRPr="00967AC5" w:rsidRDefault="00285220" w:rsidP="00285220">
      <w:pPr>
        <w:pStyle w:val="ECCBulletsLv1"/>
      </w:pPr>
      <w:r w:rsidRPr="00967AC5">
        <w:t>Wideband systems (such as 5G</w:t>
      </w:r>
      <w:r w:rsidR="008F51CE" w:rsidRPr="00967AC5">
        <w:t xml:space="preserve"> New Radio</w:t>
      </w:r>
      <w:r w:rsidRPr="00967AC5">
        <w:t xml:space="preserve"> </w:t>
      </w:r>
      <w:r w:rsidR="008F51CE" w:rsidRPr="00967AC5">
        <w:t>(</w:t>
      </w:r>
      <w:r w:rsidRPr="00967AC5">
        <w:t>NR</w:t>
      </w:r>
      <w:r w:rsidR="00426C97" w:rsidRPr="00967AC5">
        <w:t>)</w:t>
      </w:r>
      <w:r w:rsidRPr="00967AC5">
        <w:t>) with typical block size of 5 MHz or more</w:t>
      </w:r>
      <w:r w:rsidR="008912B6" w:rsidRPr="00967AC5">
        <w:t>;</w:t>
      </w:r>
    </w:p>
    <w:p w14:paraId="4C81655B" w14:textId="29C5F4D6" w:rsidR="00285220" w:rsidRPr="00967AC5" w:rsidRDefault="00285220" w:rsidP="00285220">
      <w:pPr>
        <w:pStyle w:val="ECCBulletsLv1"/>
      </w:pPr>
      <w:r w:rsidRPr="00967AC5">
        <w:t>IoT (non-standalone) systems covered with</w:t>
      </w:r>
      <w:r w:rsidR="00B92C43" w:rsidRPr="00967AC5">
        <w:t>in</w:t>
      </w:r>
      <w:r w:rsidRPr="00967AC5">
        <w:t xml:space="preserve"> the 5 MHz block size</w:t>
      </w:r>
      <w:r w:rsidR="00453D4E" w:rsidRPr="00967AC5">
        <w:t xml:space="preserve"> or more</w:t>
      </w:r>
      <w:r w:rsidR="008912B6" w:rsidRPr="00967AC5">
        <w:t>;</w:t>
      </w:r>
    </w:p>
    <w:p w14:paraId="1B1A2DE6" w14:textId="79A5BD03" w:rsidR="00285220" w:rsidRPr="00967AC5" w:rsidRDefault="00285220" w:rsidP="00285220">
      <w:pPr>
        <w:pStyle w:val="ECCBulletsLv1"/>
      </w:pPr>
      <w:r w:rsidRPr="00967AC5">
        <w:t>Migration towards 5G (NR)</w:t>
      </w:r>
      <w:r w:rsidR="008912B6" w:rsidRPr="00967AC5">
        <w:t>;</w:t>
      </w:r>
      <w:r w:rsidRPr="00967AC5">
        <w:t xml:space="preserve"> </w:t>
      </w:r>
    </w:p>
    <w:p w14:paraId="565FA23A" w14:textId="2458C792" w:rsidR="00285220" w:rsidRPr="00967AC5" w:rsidRDefault="00285220" w:rsidP="00285220">
      <w:pPr>
        <w:pStyle w:val="ECCBulletsLv1"/>
      </w:pPr>
      <w:r w:rsidRPr="00967AC5">
        <w:t>Uplink and downlink mode operations</w:t>
      </w:r>
      <w:r w:rsidR="008912B6" w:rsidRPr="00967AC5">
        <w:t>;</w:t>
      </w:r>
      <w:r w:rsidRPr="00967AC5">
        <w:t xml:space="preserve"> </w:t>
      </w:r>
    </w:p>
    <w:p w14:paraId="2DDF6476" w14:textId="4D88031C" w:rsidR="00285220" w:rsidRPr="00967AC5" w:rsidRDefault="00285220" w:rsidP="00285220">
      <w:pPr>
        <w:pStyle w:val="ECCBulletsLv1"/>
      </w:pPr>
      <w:r w:rsidRPr="00967AC5">
        <w:t>Guard band at the edge of</w:t>
      </w:r>
      <w:r w:rsidR="00CA2358" w:rsidRPr="00967AC5">
        <w:t xml:space="preserve"> the</w:t>
      </w:r>
      <w:r w:rsidRPr="00967AC5">
        <w:t xml:space="preserve"> 900/1800 MHz harmonised bands</w:t>
      </w:r>
      <w:r w:rsidR="008912B6" w:rsidRPr="00967AC5">
        <w:t>;</w:t>
      </w:r>
    </w:p>
    <w:p w14:paraId="6E1DD117" w14:textId="77777777" w:rsidR="00285220" w:rsidRPr="00967AC5" w:rsidRDefault="00285220" w:rsidP="00285220">
      <w:pPr>
        <w:pStyle w:val="ECCBulletsLv1"/>
      </w:pPr>
      <w:r w:rsidRPr="00967AC5">
        <w:t>Options on how to implement frequency separation at national level.</w:t>
      </w:r>
    </w:p>
    <w:p w14:paraId="46A15B02" w14:textId="27C373B0" w:rsidR="00285220" w:rsidRPr="00967AC5" w:rsidRDefault="00285220">
      <w:pPr>
        <w:pStyle w:val="ECCParagraph"/>
        <w:spacing w:before="240"/>
        <w:rPr>
          <w:rFonts w:eastAsiaTheme="minorEastAsia"/>
        </w:rPr>
      </w:pPr>
      <w:r w:rsidRPr="00967AC5">
        <w:t>Concerning NB</w:t>
      </w:r>
      <w:r w:rsidR="00D034DC" w:rsidRPr="00967AC5">
        <w:t xml:space="preserve"> systems</w:t>
      </w:r>
      <w:r w:rsidRPr="00967AC5">
        <w:t xml:space="preserve"> and WB</w:t>
      </w:r>
      <w:r w:rsidR="00D034DC" w:rsidRPr="00967AC5">
        <w:t xml:space="preserve"> </w:t>
      </w:r>
      <w:r w:rsidRPr="00967AC5">
        <w:t xml:space="preserve">systems, CEPT agreed to derive the BEM from unwanted emissions based on ETSI technical specifications </w:t>
      </w:r>
      <w:r w:rsidR="00C01E70" w:rsidRPr="00967AC5">
        <w:t xml:space="preserve">(core requirements) t </w:t>
      </w:r>
      <w:r w:rsidRPr="00967AC5">
        <w:t>resulting in a</w:t>
      </w:r>
      <w:r w:rsidRPr="00967AC5">
        <w:rPr>
          <w:rFonts w:eastAsia="Calibri"/>
        </w:rPr>
        <w:t xml:space="preserve"> single BEM defined for non-AAS NB</w:t>
      </w:r>
      <w:r w:rsidR="00D034DC" w:rsidRPr="00967AC5">
        <w:rPr>
          <w:rFonts w:eastAsia="Calibri"/>
        </w:rPr>
        <w:t xml:space="preserve"> systems</w:t>
      </w:r>
      <w:r w:rsidRPr="00967AC5">
        <w:rPr>
          <w:rFonts w:eastAsia="Calibri"/>
        </w:rPr>
        <w:t xml:space="preserve"> and WB</w:t>
      </w:r>
      <w:r w:rsidR="00BA047D">
        <w:rPr>
          <w:rFonts w:eastAsia="Calibri"/>
        </w:rPr>
        <w:t xml:space="preserve"> </w:t>
      </w:r>
      <w:r w:rsidRPr="00967AC5">
        <w:rPr>
          <w:rFonts w:eastAsia="Calibri"/>
        </w:rPr>
        <w:t xml:space="preserve">systems and </w:t>
      </w:r>
      <w:r w:rsidRPr="00967AC5">
        <w:rPr>
          <w:rFonts w:eastAsiaTheme="minorEastAsia"/>
        </w:rPr>
        <w:t xml:space="preserve">a single BEM defined for AAS WB systems (see </w:t>
      </w:r>
      <w:r w:rsidR="008912B6" w:rsidRPr="00967AC5">
        <w:rPr>
          <w:rFonts w:eastAsiaTheme="minorEastAsia"/>
        </w:rPr>
        <w:t>s</w:t>
      </w:r>
      <w:r w:rsidRPr="00967AC5">
        <w:rPr>
          <w:rFonts w:eastAsiaTheme="minorEastAsia"/>
        </w:rPr>
        <w:t xml:space="preserve">ection </w:t>
      </w:r>
      <w:r w:rsidRPr="00967AC5">
        <w:rPr>
          <w:rFonts w:eastAsiaTheme="minorEastAsia"/>
        </w:rPr>
        <w:fldChar w:fldCharType="begin"/>
      </w:r>
      <w:r w:rsidRPr="00967AC5">
        <w:rPr>
          <w:rFonts w:eastAsiaTheme="minorEastAsia"/>
        </w:rPr>
        <w:instrText xml:space="preserve"> REF _Ref62117959 \r \h  \* MERGEFORMAT </w:instrText>
      </w:r>
      <w:r w:rsidRPr="00967AC5">
        <w:rPr>
          <w:rFonts w:eastAsiaTheme="minorEastAsia"/>
        </w:rPr>
      </w:r>
      <w:r w:rsidRPr="00967AC5">
        <w:rPr>
          <w:rFonts w:eastAsiaTheme="minorEastAsia"/>
        </w:rPr>
        <w:fldChar w:fldCharType="separate"/>
      </w:r>
      <w:r w:rsidR="00680BB5" w:rsidRPr="00967AC5">
        <w:rPr>
          <w:rFonts w:eastAsiaTheme="minorEastAsia"/>
        </w:rPr>
        <w:t>3.4</w:t>
      </w:r>
      <w:r w:rsidRPr="00967AC5">
        <w:rPr>
          <w:rFonts w:eastAsiaTheme="minorEastAsia"/>
        </w:rPr>
        <w:fldChar w:fldCharType="end"/>
      </w:r>
      <w:r w:rsidRPr="00967AC5">
        <w:rPr>
          <w:rFonts w:eastAsiaTheme="minorEastAsia"/>
        </w:rPr>
        <w:t>)</w:t>
      </w:r>
      <w:r w:rsidRPr="00967AC5">
        <w:rPr>
          <w:rFonts w:eastAsia="Calibri"/>
        </w:rPr>
        <w:t>.</w:t>
      </w:r>
      <w:r w:rsidRPr="00967AC5">
        <w:rPr>
          <w:rFonts w:eastAsiaTheme="minorEastAsia"/>
        </w:rPr>
        <w:t xml:space="preserve"> </w:t>
      </w:r>
    </w:p>
    <w:p w14:paraId="6C1E8B27" w14:textId="47626878" w:rsidR="002A7C39" w:rsidRPr="00967AC5" w:rsidRDefault="002A7C39" w:rsidP="002505BC">
      <w:pPr>
        <w:pStyle w:val="ECCParagraph"/>
        <w:rPr>
          <w:rFonts w:eastAsia="Calibri"/>
        </w:rPr>
      </w:pPr>
      <w:r w:rsidRPr="00967AC5">
        <w:t>CEPT recognis</w:t>
      </w:r>
      <w:r w:rsidR="00C01E70" w:rsidRPr="00967AC5">
        <w:t>e</w:t>
      </w:r>
      <w:r w:rsidRPr="00967AC5">
        <w:t>s that ETSI H</w:t>
      </w:r>
      <w:r w:rsidR="00C01E70" w:rsidRPr="00967AC5">
        <w:t xml:space="preserve">armonised </w:t>
      </w:r>
      <w:r w:rsidRPr="00967AC5">
        <w:t>S</w:t>
      </w:r>
      <w:r w:rsidR="00C01E70" w:rsidRPr="00967AC5">
        <w:t>tandard</w:t>
      </w:r>
      <w:r w:rsidR="00272603" w:rsidRPr="00967AC5">
        <w:t>s</w:t>
      </w:r>
      <w:r w:rsidRPr="00967AC5">
        <w:t xml:space="preserve"> that are referred to in the annex </w:t>
      </w:r>
      <w:r w:rsidR="005E6EFB" w:rsidRPr="00967AC5">
        <w:t>current</w:t>
      </w:r>
      <w:r w:rsidRPr="00967AC5">
        <w:t xml:space="preserve"> ECC</w:t>
      </w:r>
      <w:r w:rsidR="002F78B6" w:rsidRPr="00967AC5">
        <w:t xml:space="preserve"> and </w:t>
      </w:r>
      <w:r w:rsidRPr="00967AC5">
        <w:t>EC Decisions</w:t>
      </w:r>
      <w:r w:rsidR="002F78B6" w:rsidRPr="00967AC5">
        <w:t>, available during development of this Report,</w:t>
      </w:r>
      <w:r w:rsidR="00CC3D46" w:rsidRPr="00967AC5">
        <w:t xml:space="preserve"> </w:t>
      </w:r>
      <w:r w:rsidRPr="00967AC5">
        <w:t xml:space="preserve">are based on conformance requirements (including test tolerance) and assumes that ETSI will continue using conformance requirements </w:t>
      </w:r>
      <w:r w:rsidR="002F78B6" w:rsidRPr="00967AC5">
        <w:t xml:space="preserve">as such </w:t>
      </w:r>
      <w:r w:rsidRPr="00967AC5">
        <w:t>when developing ETSI HS in the future (including necessary test tolerance).</w:t>
      </w:r>
    </w:p>
    <w:p w14:paraId="372D4394" w14:textId="36122E6E" w:rsidR="00285220" w:rsidRPr="00967AC5" w:rsidRDefault="00285220" w:rsidP="003F0772">
      <w:pPr>
        <w:pStyle w:val="ECCParagraph"/>
        <w:rPr>
          <w:rFonts w:eastAsia="Calibri"/>
          <w:iCs/>
        </w:rPr>
      </w:pPr>
      <w:r w:rsidRPr="00967AC5">
        <w:rPr>
          <w:rFonts w:eastAsia="Calibri"/>
          <w:iCs/>
        </w:rPr>
        <w:t xml:space="preserve">Although the following systems: </w:t>
      </w:r>
      <w:r w:rsidRPr="00967AC5">
        <w:rPr>
          <w:rFonts w:eastAsia="Calibri"/>
        </w:rPr>
        <w:t>UMTS, WiMAX, NR, NB-IoT and LTE,</w:t>
      </w:r>
      <w:r w:rsidRPr="00967AC5">
        <w:rPr>
          <w:rFonts w:eastAsia="Calibri"/>
          <w:iCs/>
        </w:rPr>
        <w:t xml:space="preserve"> excluding GSM, could be covered by a common </w:t>
      </w:r>
      <w:r w:rsidRPr="00967AC5">
        <w:rPr>
          <w:rFonts w:eastAsia="Calibri"/>
        </w:rPr>
        <w:t>set of LRTCs which are compliant with the principl</w:t>
      </w:r>
      <w:r w:rsidR="004D20CA" w:rsidRPr="00967AC5">
        <w:rPr>
          <w:rFonts w:eastAsia="Calibri"/>
        </w:rPr>
        <w:t>e</w:t>
      </w:r>
      <w:r w:rsidRPr="00967AC5">
        <w:rPr>
          <w:rFonts w:eastAsia="Calibri"/>
        </w:rPr>
        <w:t xml:space="preserve"> of technology neutrality</w:t>
      </w:r>
      <w:r w:rsidRPr="00967AC5">
        <w:rPr>
          <w:rFonts w:eastAsia="Calibri"/>
          <w:iCs/>
        </w:rPr>
        <w:t xml:space="preserve"> (a common BEM) there is still a need to differentiate between </w:t>
      </w:r>
      <w:r w:rsidRPr="00967AC5">
        <w:rPr>
          <w:rFonts w:eastAsia="Calibri"/>
        </w:rPr>
        <w:t>NB</w:t>
      </w:r>
      <w:r w:rsidR="00D034DC" w:rsidRPr="00967AC5">
        <w:rPr>
          <w:rFonts w:eastAsia="Calibri"/>
        </w:rPr>
        <w:t xml:space="preserve"> systems</w:t>
      </w:r>
      <w:r w:rsidR="00A13948" w:rsidRPr="00967AC5">
        <w:rPr>
          <w:rFonts w:eastAsia="Calibri"/>
          <w:iCs/>
        </w:rPr>
        <w:t xml:space="preserve"> and WB</w:t>
      </w:r>
      <w:r w:rsidR="00373C14">
        <w:rPr>
          <w:rFonts w:eastAsia="Calibri"/>
          <w:iCs/>
        </w:rPr>
        <w:t xml:space="preserve"> </w:t>
      </w:r>
      <w:r w:rsidRPr="00967AC5">
        <w:rPr>
          <w:rFonts w:eastAsia="Calibri"/>
          <w:iCs/>
        </w:rPr>
        <w:t xml:space="preserve">systems in the </w:t>
      </w:r>
      <w:r w:rsidRPr="00967AC5">
        <w:rPr>
          <w:rFonts w:eastAsia="Calibri"/>
        </w:rPr>
        <w:t>LRTCs</w:t>
      </w:r>
      <w:r w:rsidRPr="00967AC5">
        <w:rPr>
          <w:rFonts w:eastAsia="Calibri"/>
          <w:iCs/>
        </w:rPr>
        <w:t xml:space="preserve"> for implementation of the frequency separation.</w:t>
      </w:r>
    </w:p>
    <w:p w14:paraId="5E86552A" w14:textId="2FAC9D98" w:rsidR="00285220" w:rsidRPr="00967AC5" w:rsidRDefault="00285220" w:rsidP="005B5FC5">
      <w:pPr>
        <w:pStyle w:val="ECCParagraph"/>
      </w:pPr>
      <w:r w:rsidRPr="00967AC5">
        <w:lastRenderedPageBreak/>
        <w:t>According to national context, there is a need for a 200 kHz frequency separation between the nominal channel edges of adjacent NB and WB ECS systems, and between the nominal channel edges of two different adjacent NB ECS systems’ (including GSM/</w:t>
      </w:r>
      <w:r w:rsidR="00D07C98" w:rsidRPr="00967AC5">
        <w:t>EC-GSM-IoT</w:t>
      </w:r>
      <w:r w:rsidRPr="00967AC5">
        <w:t>).</w:t>
      </w:r>
    </w:p>
    <w:p w14:paraId="627E0246" w14:textId="2BC3AA90" w:rsidR="00285220" w:rsidRPr="00967AC5" w:rsidRDefault="00285220" w:rsidP="005B5FC5">
      <w:pPr>
        <w:pStyle w:val="ECCParagraph"/>
      </w:pPr>
      <w:r w:rsidRPr="00967AC5">
        <w:t xml:space="preserve">For the relevant NB system operating in a </w:t>
      </w:r>
      <w:r w:rsidR="007C4912" w:rsidRPr="00967AC5">
        <w:t xml:space="preserve">guard </w:t>
      </w:r>
      <w:r w:rsidRPr="00967AC5">
        <w:t xml:space="preserve">band mode of a relevant WB system, a frequency separation of 200 kHz or more is necessary, between the channel edge of this NB system and the edge of the operator's block, taking into account existing guard bands between operators' block edges or the edge of the operating band (adjacent to other services). This </w:t>
      </w:r>
      <w:r w:rsidR="007C4912" w:rsidRPr="00967AC5">
        <w:t xml:space="preserve">guard </w:t>
      </w:r>
      <w:r w:rsidRPr="00967AC5">
        <w:t xml:space="preserve">band NB system operates only </w:t>
      </w:r>
      <w:r w:rsidR="0006621C" w:rsidRPr="00967AC5">
        <w:t>w</w:t>
      </w:r>
      <w:r w:rsidRPr="00967AC5">
        <w:t>i</w:t>
      </w:r>
      <w:r w:rsidR="0006621C" w:rsidRPr="00967AC5">
        <w:t>th</w:t>
      </w:r>
      <w:r w:rsidRPr="00967AC5">
        <w:t>in channel bandwidths of 10 MHz or higher.</w:t>
      </w:r>
    </w:p>
    <w:p w14:paraId="172A255A" w14:textId="77777777" w:rsidR="00285220" w:rsidRPr="00967AC5" w:rsidRDefault="00285220" w:rsidP="005B5FC5">
      <w:pPr>
        <w:pStyle w:val="ECCParagraph"/>
      </w:pPr>
      <w:r w:rsidRPr="00967AC5">
        <w:t>The above frequency separations are required to ensure coexistence in the absence of bilateral or multilateral agreements between neighbouring networks, without precluding less stringent technical parameters if agreed among the operators of such networks.</w:t>
      </w:r>
    </w:p>
    <w:p w14:paraId="46E7B314" w14:textId="77777777" w:rsidR="00285220" w:rsidRPr="00967AC5" w:rsidRDefault="00285220" w:rsidP="005B5FC5">
      <w:pPr>
        <w:pStyle w:val="ECCParagraph"/>
      </w:pPr>
      <w:r w:rsidRPr="00967AC5">
        <w:t>The implementation of this 200 kHz frequency separation needs to be addressed by regulatory measures at national level in order to maintain spectrum efficiency. Various approaches could be implemented either separately or simultaneously depending on the spectrum edges of adjacent ECS networks.</w:t>
      </w:r>
    </w:p>
    <w:p w14:paraId="1340704B" w14:textId="0C26AC29" w:rsidR="00285220" w:rsidRPr="00967AC5" w:rsidRDefault="00285220" w:rsidP="00285220">
      <w:pPr>
        <w:pStyle w:val="ECCParagraph"/>
      </w:pPr>
      <w:r w:rsidRPr="00967AC5">
        <w:t xml:space="preserve">CEPT agreed to avoid new additional studies in order to derive the LRTCs, including the coexistence with all adjacent services. CEPT also agreed to avoid additional constraints to systems deployed under the current regulatory framework. Therefore, the proposed approach to be followed to ensure coexistence with the relevant adjacent </w:t>
      </w:r>
      <w:r w:rsidR="0006621C" w:rsidRPr="00967AC5">
        <w:t xml:space="preserve">band </w:t>
      </w:r>
      <w:r w:rsidRPr="00967AC5">
        <w:t>systems while avoiding additional studies</w:t>
      </w:r>
      <w:r w:rsidR="00162C10" w:rsidRPr="00967AC5">
        <w:t>,</w:t>
      </w:r>
      <w:r w:rsidRPr="00967AC5">
        <w:t xml:space="preserve"> </w:t>
      </w:r>
      <w:r w:rsidR="007B3FB5" w:rsidRPr="00967AC5">
        <w:t>is as follows</w:t>
      </w:r>
      <w:r w:rsidRPr="00967AC5">
        <w:t>:</w:t>
      </w:r>
    </w:p>
    <w:p w14:paraId="2A20A1EC" w14:textId="42A74F80" w:rsidR="00285220" w:rsidRPr="00967AC5" w:rsidRDefault="00285220" w:rsidP="00285220">
      <w:pPr>
        <w:pStyle w:val="ECCBulletsLv1"/>
      </w:pPr>
      <w:r w:rsidRPr="00967AC5">
        <w:t>Identify the appropriate ECC/CEPT Reports which were used to confirm coexistence between existing MFCN technologies in the 900/1800 MHz bands and the relevant adjacent services</w:t>
      </w:r>
      <w:r w:rsidR="00381CCD" w:rsidRPr="00967AC5">
        <w:t>;</w:t>
      </w:r>
    </w:p>
    <w:p w14:paraId="40F0A8CF" w14:textId="02800B93" w:rsidR="00285220" w:rsidRPr="00967AC5" w:rsidRDefault="00285220">
      <w:pPr>
        <w:pStyle w:val="ECCBulletsLv1"/>
      </w:pPr>
      <w:r w:rsidRPr="00967AC5">
        <w:t>Demonstrate how the new technology</w:t>
      </w:r>
      <w:r w:rsidR="00F91806" w:rsidRPr="00967AC5">
        <w:t xml:space="preserve"> </w:t>
      </w:r>
      <w:r w:rsidRPr="00967AC5">
        <w:t>neutral LRTCs (including new technologies) can ensure that this coexistence remains for all systems that comply with these technology</w:t>
      </w:r>
      <w:r w:rsidR="00F91806" w:rsidRPr="00967AC5">
        <w:t xml:space="preserve"> </w:t>
      </w:r>
      <w:r w:rsidRPr="00967AC5">
        <w:t>neutral LRTCs</w:t>
      </w:r>
      <w:r w:rsidR="00381CCD" w:rsidRPr="00967AC5">
        <w:t>;</w:t>
      </w:r>
    </w:p>
    <w:p w14:paraId="6B88F160" w14:textId="7CDF9D71" w:rsidR="00285220" w:rsidRPr="00967AC5" w:rsidRDefault="00285220" w:rsidP="00285220">
      <w:pPr>
        <w:pStyle w:val="ECCBulletsLv1"/>
        <w:numPr>
          <w:ilvl w:val="1"/>
          <w:numId w:val="15"/>
        </w:numPr>
        <w:ind w:left="709"/>
      </w:pPr>
      <w:r w:rsidRPr="00967AC5">
        <w:t>Recalling that the technology</w:t>
      </w:r>
      <w:r w:rsidR="00F91806" w:rsidRPr="00967AC5">
        <w:t xml:space="preserve"> </w:t>
      </w:r>
      <w:r w:rsidRPr="00967AC5">
        <w:t xml:space="preserve">neutral out-of-block limits (baseline and transitional) have been derived from ETSI TS unwanted emissions of an existing MFCN technology (see Section </w:t>
      </w:r>
      <w:r w:rsidRPr="00967AC5">
        <w:fldChar w:fldCharType="begin"/>
      </w:r>
      <w:r w:rsidRPr="00967AC5">
        <w:instrText xml:space="preserve"> REF _Ref62053974 \r \h  \* MERGEFORMAT </w:instrText>
      </w:r>
      <w:r w:rsidRPr="00967AC5">
        <w:fldChar w:fldCharType="separate"/>
      </w:r>
      <w:r w:rsidR="00680BB5" w:rsidRPr="00967AC5">
        <w:t>3.4.4.1</w:t>
      </w:r>
      <w:r w:rsidRPr="00967AC5">
        <w:fldChar w:fldCharType="end"/>
      </w:r>
      <w:r w:rsidRPr="00967AC5">
        <w:t xml:space="preserve">). Unless an additional baseline limit is defined, these out-of-block limits also apply </w:t>
      </w:r>
      <w:r w:rsidR="0006621C" w:rsidRPr="00967AC5">
        <w:t xml:space="preserve">in </w:t>
      </w:r>
      <w:r w:rsidRPr="00967AC5">
        <w:t>out-of-band</w:t>
      </w:r>
      <w:r w:rsidR="0006621C" w:rsidRPr="00967AC5">
        <w:t xml:space="preserve"> domain</w:t>
      </w:r>
      <w:r w:rsidR="00381CCD" w:rsidRPr="00967AC5">
        <w:t>;</w:t>
      </w:r>
    </w:p>
    <w:p w14:paraId="7FA0EA74" w14:textId="28485143" w:rsidR="00285220" w:rsidRPr="00967AC5" w:rsidRDefault="00285220" w:rsidP="00285220">
      <w:pPr>
        <w:pStyle w:val="ECCBulletsLv1"/>
        <w:numPr>
          <w:ilvl w:val="1"/>
          <w:numId w:val="15"/>
        </w:numPr>
        <w:ind w:left="709"/>
      </w:pPr>
      <w:r w:rsidRPr="00967AC5">
        <w:t>Recalling that the new technology</w:t>
      </w:r>
      <w:r w:rsidR="00F91806" w:rsidRPr="00967AC5">
        <w:t xml:space="preserve"> </w:t>
      </w:r>
      <w:r w:rsidRPr="00967AC5">
        <w:t xml:space="preserve">neutral LRTCs are compatible with all existing MFCN technologies (UMTS, WiMAX, LTE, </w:t>
      </w:r>
      <w:r w:rsidR="00D07C98" w:rsidRPr="00967AC5">
        <w:t>NB-IoT</w:t>
      </w:r>
      <w:r w:rsidRPr="00967AC5">
        <w:t>), which have already been studied to ensure coexistence with the relevant adjacent band systems</w:t>
      </w:r>
      <w:r w:rsidR="00381CCD" w:rsidRPr="00967AC5">
        <w:t>;</w:t>
      </w:r>
    </w:p>
    <w:p w14:paraId="4474A2B4" w14:textId="79625034" w:rsidR="00285220" w:rsidRPr="00967AC5" w:rsidRDefault="00285220" w:rsidP="00285220">
      <w:pPr>
        <w:pStyle w:val="ECCBulletsLv1"/>
        <w:numPr>
          <w:ilvl w:val="1"/>
          <w:numId w:val="15"/>
        </w:numPr>
        <w:ind w:left="709"/>
      </w:pPr>
      <w:r w:rsidRPr="00967AC5">
        <w:t>Using these facts to demonstrate that coexistence remains for all systems that comply with the new technology</w:t>
      </w:r>
      <w:r w:rsidR="00F91806" w:rsidRPr="00967AC5">
        <w:t xml:space="preserve"> </w:t>
      </w:r>
      <w:r w:rsidRPr="00967AC5">
        <w:t>neutral LRTCs (including new technologies)</w:t>
      </w:r>
      <w:r w:rsidR="00381CCD" w:rsidRPr="00967AC5">
        <w:t>;</w:t>
      </w:r>
    </w:p>
    <w:p w14:paraId="10BACADB" w14:textId="77777777" w:rsidR="00285220" w:rsidRPr="00967AC5" w:rsidRDefault="00285220" w:rsidP="00285220">
      <w:pPr>
        <w:pStyle w:val="ECCBulletsLv1"/>
      </w:pPr>
      <w:r w:rsidRPr="00967AC5">
        <w:t>Recall the various coexistence conditions resulting from the ECC/CEPT Reports to confirm coexistence between MFCN systems complying with the proposed technology neutral LRTCs and all relevant adjacent services.</w:t>
      </w:r>
    </w:p>
    <w:p w14:paraId="7CF7AC3D" w14:textId="6A918EBB" w:rsidR="00285220" w:rsidRPr="00967AC5" w:rsidRDefault="00285220" w:rsidP="008D1A47">
      <w:pPr>
        <w:pStyle w:val="ECCParagraph"/>
        <w:spacing w:before="240"/>
        <w:rPr>
          <w:b/>
          <w:bCs/>
        </w:rPr>
      </w:pPr>
      <w:r w:rsidRPr="00967AC5">
        <w:t>This is the same approach that was used in this report to ensure coexistence between the technology neutral LRTCs and GSM in-band (</w:t>
      </w:r>
      <w:r w:rsidR="00381CCD" w:rsidRPr="00967AC5">
        <w:t xml:space="preserve">see </w:t>
      </w:r>
      <w:r w:rsidRPr="00967AC5">
        <w:t>section</w:t>
      </w:r>
      <w:r w:rsidRPr="00967AC5">
        <w:fldChar w:fldCharType="begin"/>
      </w:r>
      <w:r w:rsidRPr="00967AC5">
        <w:instrText xml:space="preserve"> REF _Ref59205982 \r \h  \* MERGEFORMAT </w:instrText>
      </w:r>
      <w:r w:rsidRPr="00967AC5">
        <w:fldChar w:fldCharType="separate"/>
      </w:r>
      <w:r w:rsidR="00680BB5" w:rsidRPr="00967AC5">
        <w:t>3.2</w:t>
      </w:r>
      <w:r w:rsidRPr="00967AC5">
        <w:fldChar w:fldCharType="end"/>
      </w:r>
      <w:r w:rsidRPr="00967AC5">
        <w:t>).</w:t>
      </w:r>
    </w:p>
    <w:p w14:paraId="44979DBD" w14:textId="77777777" w:rsidR="00285220" w:rsidRPr="00967AC5" w:rsidRDefault="00285220" w:rsidP="00285220">
      <w:pPr>
        <w:rPr>
          <w:rFonts w:eastAsia="Calibri"/>
          <w:iCs/>
          <w:lang w:val="en-GB"/>
        </w:rPr>
      </w:pPr>
      <w:r w:rsidRPr="00967AC5">
        <w:rPr>
          <w:rFonts w:eastAsia="Calibri"/>
          <w:iCs/>
          <w:lang w:val="en-GB"/>
        </w:rPr>
        <w:t>Coexistence between ECS systems in the 900 MHz and 1800 MHz frequency bands and the following services in adjacent bands have been analysed:</w:t>
      </w:r>
    </w:p>
    <w:p w14:paraId="078B45FD" w14:textId="6DC64E56" w:rsidR="00285220" w:rsidRPr="00967AC5" w:rsidRDefault="00285220" w:rsidP="00285220">
      <w:pPr>
        <w:pStyle w:val="ECCBulletsLv1"/>
      </w:pPr>
      <w:r w:rsidRPr="00967AC5">
        <w:t xml:space="preserve">900 MHz adjacent systems: GSM-R/E-GSM-R, FRMCS, PMR/PAMR, </w:t>
      </w:r>
      <w:r w:rsidR="007B3FB5" w:rsidRPr="00967AC5">
        <w:rPr>
          <w:iCs/>
          <w:szCs w:val="24"/>
        </w:rPr>
        <w:t>aeronautical radio</w:t>
      </w:r>
      <w:r w:rsidR="007B3FB5" w:rsidRPr="00967AC5">
        <w:t xml:space="preserve"> </w:t>
      </w:r>
      <w:r w:rsidRPr="00967AC5">
        <w:t xml:space="preserve">navigation (DME/L-DACS), </w:t>
      </w:r>
      <w:r w:rsidR="007B3FB5" w:rsidRPr="00967AC5">
        <w:rPr>
          <w:iCs/>
          <w:szCs w:val="24"/>
        </w:rPr>
        <w:t>aeronautical mobile service communication</w:t>
      </w:r>
      <w:r w:rsidR="007B3FB5" w:rsidRPr="00967AC5">
        <w:t xml:space="preserve"> </w:t>
      </w:r>
      <w:r w:rsidRPr="00967AC5">
        <w:t>systems and MIDS (Military NATO)</w:t>
      </w:r>
      <w:r w:rsidR="00381CCD" w:rsidRPr="00967AC5">
        <w:t>;</w:t>
      </w:r>
    </w:p>
    <w:p w14:paraId="0508A4B9" w14:textId="6D490F9D" w:rsidR="00285220" w:rsidRPr="00967AC5" w:rsidRDefault="00285220" w:rsidP="00285220">
      <w:pPr>
        <w:pStyle w:val="ECCBulletsLv1"/>
      </w:pPr>
      <w:r w:rsidRPr="00967AC5">
        <w:t>1800 MHz adjacent systems: DECT, MetSat</w:t>
      </w:r>
      <w:r w:rsidR="00EE0D36">
        <w:t xml:space="preserve"> </w:t>
      </w:r>
      <w:r w:rsidR="00EE0D36" w:rsidRPr="00967AC5">
        <w:t>(weather satellite</w:t>
      </w:r>
      <w:r w:rsidR="00EE0D36">
        <w:t>)</w:t>
      </w:r>
      <w:r w:rsidR="00C034FF" w:rsidRPr="00967AC5">
        <w:rPr>
          <w:iCs/>
          <w:szCs w:val="24"/>
        </w:rPr>
        <w:t xml:space="preserve">, </w:t>
      </w:r>
      <w:r w:rsidR="00BB1E18" w:rsidRPr="00967AC5">
        <w:t>fixed</w:t>
      </w:r>
      <w:r w:rsidR="00111CB8" w:rsidRPr="00967AC5">
        <w:rPr>
          <w:iCs/>
          <w:szCs w:val="24"/>
        </w:rPr>
        <w:t xml:space="preserve"> </w:t>
      </w:r>
      <w:r w:rsidR="00BB1E18" w:rsidRPr="00967AC5">
        <w:t>telemetry</w:t>
      </w:r>
      <w:r w:rsidRPr="00967AC5">
        <w:t xml:space="preserve"> </w:t>
      </w:r>
      <w:r w:rsidR="00EE0D36">
        <w:t>(</w:t>
      </w:r>
      <w:r w:rsidR="00BB1E18" w:rsidRPr="00967AC5">
        <w:t>defence</w:t>
      </w:r>
      <w:r w:rsidRPr="00967AC5">
        <w:t xml:space="preserve">), radio microphones and </w:t>
      </w:r>
      <w:r w:rsidR="009A4AAB" w:rsidRPr="00967AC5">
        <w:t>fixed service</w:t>
      </w:r>
      <w:r w:rsidRPr="00967AC5">
        <w:t>.</w:t>
      </w:r>
    </w:p>
    <w:p w14:paraId="2BC633B6" w14:textId="3ED0410B" w:rsidR="00285220" w:rsidRPr="00967AC5" w:rsidRDefault="00285220" w:rsidP="008D1A47">
      <w:pPr>
        <w:pStyle w:val="ECCParagraph"/>
        <w:spacing w:before="240"/>
      </w:pPr>
      <w:r w:rsidRPr="00967AC5">
        <w:rPr>
          <w:rFonts w:eastAsia="Calibri"/>
        </w:rPr>
        <w:t>This CEPT Report define</w:t>
      </w:r>
      <w:r w:rsidR="00C034FF" w:rsidRPr="00967AC5">
        <w:rPr>
          <w:rFonts w:eastAsia="Calibri"/>
        </w:rPr>
        <w:t>s</w:t>
      </w:r>
      <w:r w:rsidRPr="00967AC5">
        <w:rPr>
          <w:rFonts w:eastAsia="Calibri"/>
        </w:rPr>
        <w:t xml:space="preserve"> </w:t>
      </w:r>
      <w:r w:rsidRPr="00967AC5">
        <w:t xml:space="preserve">an additional baseline power limit </w:t>
      </w:r>
      <w:r w:rsidR="00333D81" w:rsidRPr="00967AC5">
        <w:t>for non-AAS BS</w:t>
      </w:r>
      <w:r w:rsidRPr="00967AC5">
        <w:t xml:space="preserve"> </w:t>
      </w:r>
      <w:r w:rsidRPr="00967AC5">
        <w:rPr>
          <w:rFonts w:eastAsia="Calibri"/>
        </w:rPr>
        <w:t>to protect adjacent services in addition to the out</w:t>
      </w:r>
      <w:r w:rsidR="004C52FD" w:rsidRPr="00967AC5">
        <w:rPr>
          <w:rFonts w:eastAsia="Calibri"/>
        </w:rPr>
        <w:t>-</w:t>
      </w:r>
      <w:r w:rsidRPr="00967AC5">
        <w:rPr>
          <w:rFonts w:eastAsia="Calibri"/>
        </w:rPr>
        <w:t>of-block limits between ECS.</w:t>
      </w:r>
      <w:r w:rsidRPr="00967AC5">
        <w:t xml:space="preserve"> </w:t>
      </w:r>
    </w:p>
    <w:p w14:paraId="0E874053" w14:textId="7DCC1931" w:rsidR="001C081B" w:rsidRPr="00967AC5" w:rsidRDefault="001C081B" w:rsidP="002505BC">
      <w:pPr>
        <w:pStyle w:val="ECCParagraph"/>
        <w:rPr>
          <w:rFonts w:ascii="Calibri" w:hAnsi="Calibri"/>
        </w:rPr>
      </w:pPr>
      <w:r w:rsidRPr="00967AC5">
        <w:t xml:space="preserve">Depending on the national context and relevant deployment of ECS </w:t>
      </w:r>
      <w:r w:rsidR="007B3BE8" w:rsidRPr="00967AC5">
        <w:t xml:space="preserve">NB or WB </w:t>
      </w:r>
      <w:r w:rsidRPr="00967AC5">
        <w:t>and RMR (</w:t>
      </w:r>
      <w:r w:rsidR="001B15E2" w:rsidRPr="00967AC5">
        <w:t>encompasses GSM-R and its successor(s), including FRMCS</w:t>
      </w:r>
      <w:r w:rsidRPr="00967AC5">
        <w:t>), there may also be a need for a 200 kHz frequency separation between channel edges of networks adjacent in frequency at 925 MHz in the following cases: RMR NB</w:t>
      </w:r>
      <w:r w:rsidR="005F3DA4" w:rsidRPr="00967AC5">
        <w:rPr>
          <w:rStyle w:val="FootnoteReference"/>
        </w:rPr>
        <w:footnoteReference w:id="15"/>
      </w:r>
      <w:r w:rsidRPr="00967AC5">
        <w:t xml:space="preserve"> vs. </w:t>
      </w:r>
      <w:r w:rsidRPr="00967AC5">
        <w:lastRenderedPageBreak/>
        <w:t>ECS WB, RMR WB</w:t>
      </w:r>
      <w:r w:rsidR="005F3DA4" w:rsidRPr="00967AC5">
        <w:rPr>
          <w:rStyle w:val="FootnoteReference"/>
        </w:rPr>
        <w:footnoteReference w:id="16"/>
      </w:r>
      <w:r w:rsidRPr="00967AC5">
        <w:t xml:space="preserve"> vs. ECS NB and, when the </w:t>
      </w:r>
      <w:r w:rsidR="007B3BE8" w:rsidRPr="00967AC5">
        <w:t xml:space="preserve">ECS NB and RMR </w:t>
      </w:r>
      <w:r w:rsidRPr="00967AC5">
        <w:t>NB systems are different, RMR NB vs. ECS NB. This frequency separation should be addressed by regulatory measures at a national level in order to maintain spectrum efficiency.</w:t>
      </w:r>
    </w:p>
    <w:p w14:paraId="373BBABC" w14:textId="2E32B1DC" w:rsidR="007270B0" w:rsidRPr="00967AC5" w:rsidRDefault="007270B0">
      <w:pPr>
        <w:pStyle w:val="ECCParagraph"/>
        <w:rPr>
          <w:rFonts w:asciiTheme="minorHAnsi" w:hAnsiTheme="minorHAnsi"/>
          <w:szCs w:val="22"/>
        </w:rPr>
      </w:pPr>
      <w:r w:rsidRPr="00967AC5">
        <w:t>In response to Task 3, CEPT confirm</w:t>
      </w:r>
      <w:r w:rsidR="00C034FF" w:rsidRPr="00967AC5">
        <w:t xml:space="preserve">s </w:t>
      </w:r>
      <w:r w:rsidRPr="00967AC5">
        <w:t xml:space="preserve">that cross-border co-ordination can be addressed through existing and, where appropriate, </w:t>
      </w:r>
      <w:proofErr w:type="gramStart"/>
      <w:r w:rsidRPr="00967AC5">
        <w:t>further</w:t>
      </w:r>
      <w:proofErr w:type="gramEnd"/>
      <w:r w:rsidRPr="00967AC5">
        <w:t xml:space="preserve"> to be developed bilateral and multilateral procedures, supported by ECC Recommendations </w:t>
      </w:r>
      <w:r w:rsidR="00162C10" w:rsidRPr="00967AC5">
        <w:t>as appropriate</w:t>
      </w:r>
      <w:r w:rsidRPr="00967AC5">
        <w:t>.</w:t>
      </w:r>
    </w:p>
    <w:p w14:paraId="580A23B8" w14:textId="77777777" w:rsidR="006628CE" w:rsidRDefault="00881846">
      <w:pPr>
        <w:pStyle w:val="ECCParagraph"/>
        <w:sectPr w:rsidR="006628CE" w:rsidSect="00741066">
          <w:headerReference w:type="even" r:id="rId24"/>
          <w:headerReference w:type="default" r:id="rId25"/>
          <w:headerReference w:type="first" r:id="rId26"/>
          <w:pgSz w:w="11907" w:h="16840" w:code="9"/>
          <w:pgMar w:top="1440" w:right="1134" w:bottom="1440" w:left="1134" w:header="709" w:footer="709" w:gutter="0"/>
          <w:cols w:space="708"/>
          <w:docGrid w:linePitch="360"/>
        </w:sectPr>
      </w:pPr>
      <w:r w:rsidRPr="00967AC5">
        <w:t xml:space="preserve">In addition, when there is no market demand to use other standards than 5G NR and those listed in the current Annex of the EC Decision, there is no need to update national regulatory frameworks. This </w:t>
      </w:r>
      <w:r w:rsidR="00FA3790" w:rsidRPr="00967AC5">
        <w:t xml:space="preserve">leaves </w:t>
      </w:r>
      <w:r w:rsidRPr="00967AC5">
        <w:t xml:space="preserve">some flexibility for the date of implementation by the EU Member States of the future EC Decision </w:t>
      </w:r>
      <w:r w:rsidR="008B7D84" w:rsidRPr="00967AC5">
        <w:t xml:space="preserve">containing the proposed LRTCs </w:t>
      </w:r>
      <w:r w:rsidRPr="00967AC5">
        <w:t xml:space="preserve">based on this CEPT </w:t>
      </w:r>
      <w:r w:rsidR="00162C10" w:rsidRPr="00967AC5">
        <w:t>R</w:t>
      </w:r>
      <w:r w:rsidRPr="00967AC5">
        <w:t xml:space="preserve">eport. </w:t>
      </w:r>
      <w:r w:rsidR="008B7D84" w:rsidRPr="00967AC5">
        <w:t xml:space="preserve">Varying </w:t>
      </w:r>
      <w:r w:rsidRPr="00967AC5">
        <w:t xml:space="preserve">dates for implementation of the updated EC framework </w:t>
      </w:r>
      <w:r w:rsidR="008B7D84" w:rsidRPr="00967AC5">
        <w:t xml:space="preserve">should </w:t>
      </w:r>
      <w:r w:rsidRPr="00967AC5">
        <w:t>not impact the rollout of 5G NR in 900/1800</w:t>
      </w:r>
      <w:r w:rsidR="007270B0" w:rsidRPr="00967AC5">
        <w:t xml:space="preserve"> </w:t>
      </w:r>
      <w:r w:rsidRPr="00967AC5">
        <w:t>MHz bands in Europe.</w:t>
      </w:r>
    </w:p>
    <w:p w14:paraId="3789309B" w14:textId="77777777" w:rsidR="00B47827" w:rsidRPr="00967AC5" w:rsidRDefault="00DE38BE" w:rsidP="00DD5131">
      <w:pPr>
        <w:pStyle w:val="ECCAnnexheading1"/>
      </w:pPr>
      <w:bookmarkStart w:id="160" w:name="_Ref68772731"/>
      <w:bookmarkStart w:id="161" w:name="_Ref68772732"/>
      <w:bookmarkStart w:id="162" w:name="_Toc71037841"/>
      <w:r w:rsidRPr="00967AC5">
        <w:lastRenderedPageBreak/>
        <w:t>Mandate to CEPT</w:t>
      </w:r>
      <w:bookmarkEnd w:id="160"/>
      <w:bookmarkEnd w:id="161"/>
      <w:bookmarkEnd w:id="162"/>
    </w:p>
    <w:p w14:paraId="47ABBBA2" w14:textId="2268E30B" w:rsidR="007F16CA" w:rsidRPr="00967AC5" w:rsidRDefault="007F16CA" w:rsidP="005931B9">
      <w:pPr>
        <w:pStyle w:val="BodyText"/>
        <w:spacing w:before="4"/>
        <w:jc w:val="right"/>
        <w:rPr>
          <w:rFonts w:ascii="Arial"/>
          <w:sz w:val="15"/>
        </w:rPr>
      </w:pPr>
      <w:r w:rsidRPr="00967AC5">
        <w:rPr>
          <w:noProof/>
          <w:position w:val="-3"/>
          <w:lang w:eastAsia="zh-CN"/>
        </w:rPr>
        <w:drawing>
          <wp:inline distT="0" distB="0" distL="0" distR="0" wp14:anchorId="7C6FC814" wp14:editId="675B9735">
            <wp:extent cx="165100" cy="114300"/>
            <wp:effectExtent l="0" t="0" r="0" b="0"/>
            <wp:docPr id="1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165100" cy="114300"/>
                    </a:xfrm>
                    <a:prstGeom prst="rect">
                      <a:avLst/>
                    </a:prstGeom>
                  </pic:spPr>
                </pic:pic>
              </a:graphicData>
            </a:graphic>
          </wp:inline>
        </w:drawing>
      </w:r>
      <w:r w:rsidRPr="00967AC5">
        <w:t xml:space="preserve"> </w:t>
      </w:r>
      <w:r w:rsidRPr="00967AC5">
        <w:rPr>
          <w:spacing w:val="-20"/>
        </w:rPr>
        <w:t xml:space="preserve"> </w:t>
      </w:r>
      <w:r w:rsidRPr="00967AC5">
        <w:rPr>
          <w:spacing w:val="-8"/>
          <w:sz w:val="16"/>
        </w:rPr>
        <w:t xml:space="preserve">Ref. </w:t>
      </w:r>
      <w:r w:rsidRPr="00967AC5">
        <w:rPr>
          <w:spacing w:val="-10"/>
          <w:sz w:val="16"/>
        </w:rPr>
        <w:t xml:space="preserve">Ares(2018)4780924 </w:t>
      </w:r>
      <w:r w:rsidRPr="00967AC5">
        <w:rPr>
          <w:sz w:val="16"/>
        </w:rPr>
        <w:t>-</w:t>
      </w:r>
      <w:r w:rsidRPr="00967AC5">
        <w:rPr>
          <w:spacing w:val="-27"/>
          <w:sz w:val="16"/>
        </w:rPr>
        <w:t xml:space="preserve"> </w:t>
      </w:r>
      <w:r w:rsidRPr="00967AC5">
        <w:rPr>
          <w:spacing w:val="-10"/>
          <w:sz w:val="16"/>
        </w:rPr>
        <w:t>18/09/2018</w:t>
      </w:r>
      <w:r w:rsidR="00173409" w:rsidRPr="00967AC5">
        <w:rPr>
          <w:noProof/>
          <w:lang w:eastAsia="zh-CN"/>
        </w:rPr>
        <w:drawing>
          <wp:anchor distT="0" distB="0" distL="0" distR="0" simplePos="0" relativeHeight="251658244" behindDoc="0" locked="0" layoutInCell="1" allowOverlap="1" wp14:anchorId="224A1995" wp14:editId="0FC439E8">
            <wp:simplePos x="0" y="0"/>
            <wp:positionH relativeFrom="page">
              <wp:posOffset>844783</wp:posOffset>
            </wp:positionH>
            <wp:positionV relativeFrom="paragraph">
              <wp:posOffset>114300</wp:posOffset>
            </wp:positionV>
            <wp:extent cx="1105472" cy="548639"/>
            <wp:effectExtent l="0" t="0" r="0" b="0"/>
            <wp:wrapNone/>
            <wp:docPr id="2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8" cstate="print"/>
                    <a:stretch>
                      <a:fillRect/>
                    </a:stretch>
                  </pic:blipFill>
                  <pic:spPr>
                    <a:xfrm>
                      <a:off x="0" y="0"/>
                      <a:ext cx="1105472" cy="548639"/>
                    </a:xfrm>
                    <a:prstGeom prst="rect">
                      <a:avLst/>
                    </a:prstGeom>
                  </pic:spPr>
                </pic:pic>
              </a:graphicData>
            </a:graphic>
          </wp:anchor>
        </w:drawing>
      </w:r>
    </w:p>
    <w:p w14:paraId="428205C1" w14:textId="73D8E5FD" w:rsidR="007F16CA" w:rsidRPr="00967AC5" w:rsidRDefault="007F16CA" w:rsidP="007F16CA">
      <w:pPr>
        <w:pStyle w:val="BodyText"/>
        <w:spacing w:before="1"/>
        <w:ind w:left="2041"/>
        <w:rPr>
          <w:rFonts w:ascii="Arial"/>
        </w:rPr>
      </w:pPr>
      <w:r w:rsidRPr="00967AC5">
        <w:rPr>
          <w:rFonts w:ascii="Arial"/>
        </w:rPr>
        <w:t>EUROPEAN COMMISSION</w:t>
      </w:r>
    </w:p>
    <w:p w14:paraId="11238EA3" w14:textId="77777777" w:rsidR="007F16CA" w:rsidRPr="00967AC5" w:rsidRDefault="007F16CA" w:rsidP="007F16CA">
      <w:pPr>
        <w:ind w:left="2041"/>
        <w:rPr>
          <w:sz w:val="16"/>
          <w:lang w:val="en-GB"/>
        </w:rPr>
      </w:pPr>
      <w:r w:rsidRPr="00967AC5">
        <w:rPr>
          <w:sz w:val="16"/>
          <w:lang w:val="en-GB"/>
        </w:rPr>
        <w:t>Communications Networks Content &amp; Technology Directorate-General</w:t>
      </w:r>
    </w:p>
    <w:p w14:paraId="1C23CEAC" w14:textId="77777777" w:rsidR="007F16CA" w:rsidRPr="00967AC5" w:rsidRDefault="007F16CA" w:rsidP="007F16CA">
      <w:pPr>
        <w:pStyle w:val="BodyText"/>
        <w:spacing w:before="1"/>
        <w:rPr>
          <w:rFonts w:ascii="Arial"/>
          <w:sz w:val="16"/>
        </w:rPr>
      </w:pPr>
    </w:p>
    <w:p w14:paraId="24BC4C97" w14:textId="77777777" w:rsidR="007F16CA" w:rsidRPr="00967AC5" w:rsidRDefault="007F16CA" w:rsidP="007F16CA">
      <w:pPr>
        <w:spacing w:line="184" w:lineRule="exact"/>
        <w:ind w:left="2041"/>
        <w:rPr>
          <w:sz w:val="16"/>
          <w:lang w:val="en-GB"/>
        </w:rPr>
      </w:pPr>
      <w:r w:rsidRPr="00967AC5">
        <w:rPr>
          <w:sz w:val="16"/>
          <w:lang w:val="en-GB"/>
        </w:rPr>
        <w:t>Electronic Communications Networks &amp; Services</w:t>
      </w:r>
    </w:p>
    <w:p w14:paraId="66D307DB" w14:textId="77777777" w:rsidR="007F16CA" w:rsidRPr="00967AC5" w:rsidRDefault="007F16CA" w:rsidP="007F16CA">
      <w:pPr>
        <w:ind w:left="2041"/>
        <w:rPr>
          <w:b/>
          <w:sz w:val="16"/>
          <w:lang w:val="en-GB"/>
        </w:rPr>
      </w:pPr>
      <w:r w:rsidRPr="00967AC5">
        <w:rPr>
          <w:b/>
          <w:sz w:val="16"/>
          <w:lang w:val="en-GB"/>
        </w:rPr>
        <w:t>Radio Spectrum Policy</w:t>
      </w:r>
    </w:p>
    <w:p w14:paraId="48E155F1" w14:textId="77777777" w:rsidR="007F16CA" w:rsidRPr="00967AC5" w:rsidRDefault="007F16CA" w:rsidP="007F16CA">
      <w:pPr>
        <w:pStyle w:val="BodyText"/>
        <w:spacing w:before="3"/>
        <w:rPr>
          <w:rFonts w:ascii="Arial"/>
          <w:b/>
          <w:sz w:val="29"/>
        </w:rPr>
      </w:pPr>
    </w:p>
    <w:p w14:paraId="07AAE249" w14:textId="77777777" w:rsidR="007F16CA" w:rsidRPr="00967AC5" w:rsidRDefault="007F16CA" w:rsidP="007F16CA">
      <w:pPr>
        <w:pStyle w:val="BodyText"/>
        <w:spacing w:before="90"/>
        <w:ind w:left="5330" w:right="2215"/>
      </w:pPr>
      <w:r w:rsidRPr="00967AC5">
        <w:t xml:space="preserve">Brussels, 12 July </w:t>
      </w:r>
      <w:r w:rsidRPr="00967AC5">
        <w:rPr>
          <w:spacing w:val="-4"/>
        </w:rPr>
        <w:t xml:space="preserve">2018 </w:t>
      </w:r>
      <w:r w:rsidRPr="00967AC5">
        <w:t>DG</w:t>
      </w:r>
      <w:r w:rsidRPr="00967AC5">
        <w:rPr>
          <w:spacing w:val="-2"/>
        </w:rPr>
        <w:t xml:space="preserve"> </w:t>
      </w:r>
      <w:r w:rsidRPr="00967AC5">
        <w:t>CONNECT/B4</w:t>
      </w:r>
    </w:p>
    <w:p w14:paraId="41B7B4EE" w14:textId="77777777" w:rsidR="007F16CA" w:rsidRPr="00967AC5" w:rsidRDefault="007F16CA" w:rsidP="007F16CA">
      <w:pPr>
        <w:pStyle w:val="BodyText"/>
        <w:spacing w:before="1"/>
        <w:rPr>
          <w:sz w:val="21"/>
        </w:rPr>
      </w:pPr>
    </w:p>
    <w:p w14:paraId="3FA4E0F5" w14:textId="77777777" w:rsidR="007F16CA" w:rsidRPr="00967AC5" w:rsidRDefault="007F16CA" w:rsidP="007F16CA">
      <w:pPr>
        <w:pStyle w:val="BodyText"/>
        <w:ind w:left="4610" w:firstLine="720"/>
        <w:rPr>
          <w:b/>
          <w:bCs/>
        </w:rPr>
      </w:pPr>
      <w:r w:rsidRPr="00967AC5">
        <w:rPr>
          <w:b/>
          <w:bCs/>
        </w:rPr>
        <w:t>RSCOM18-19rev1</w:t>
      </w:r>
    </w:p>
    <w:p w14:paraId="3356F052" w14:textId="77777777" w:rsidR="007F16CA" w:rsidRPr="00967AC5" w:rsidRDefault="007F16CA" w:rsidP="007F16CA">
      <w:pPr>
        <w:pStyle w:val="BodyText"/>
        <w:rPr>
          <w:b/>
          <w:sz w:val="20"/>
        </w:rPr>
      </w:pPr>
    </w:p>
    <w:p w14:paraId="6F7AF784" w14:textId="2F565A98" w:rsidR="007F16CA" w:rsidRPr="00967AC5" w:rsidRDefault="007F16CA" w:rsidP="00173409">
      <w:pPr>
        <w:pStyle w:val="BodyText"/>
        <w:spacing w:before="7"/>
        <w:rPr>
          <w:b/>
          <w:sz w:val="19"/>
        </w:rPr>
      </w:pPr>
    </w:p>
    <w:p w14:paraId="76D796D0" w14:textId="77777777" w:rsidR="007F16CA" w:rsidRPr="00967AC5" w:rsidRDefault="007F16CA" w:rsidP="007F16CA">
      <w:pPr>
        <w:pStyle w:val="Title"/>
      </w:pPr>
      <w:r w:rsidRPr="00967AC5">
        <w:t>RADIO SPECTRUM COMMITTEE</w:t>
      </w:r>
    </w:p>
    <w:p w14:paraId="4A95433D" w14:textId="77777777" w:rsidR="00D37BB2" w:rsidRPr="00967AC5" w:rsidRDefault="00D37BB2" w:rsidP="00D37BB2">
      <w:pPr>
        <w:pStyle w:val="BodyText"/>
        <w:jc w:val="center"/>
        <w:rPr>
          <w:b/>
          <w:bCs/>
        </w:rPr>
      </w:pPr>
    </w:p>
    <w:p w14:paraId="47C1AC63" w14:textId="34195316" w:rsidR="007F16CA" w:rsidRPr="00967AC5" w:rsidRDefault="007F16CA" w:rsidP="00D37BB2">
      <w:pPr>
        <w:pStyle w:val="BodyText"/>
        <w:jc w:val="center"/>
        <w:rPr>
          <w:b/>
          <w:bCs/>
        </w:rPr>
      </w:pPr>
      <w:r w:rsidRPr="00967AC5">
        <w:rPr>
          <w:b/>
          <w:bCs/>
        </w:rPr>
        <w:t>Working Document</w:t>
      </w:r>
    </w:p>
    <w:p w14:paraId="777D2F1B" w14:textId="77777777" w:rsidR="00D37BB2" w:rsidRPr="00967AC5" w:rsidRDefault="00D37BB2" w:rsidP="00D37BB2">
      <w:pPr>
        <w:pStyle w:val="BodyText"/>
        <w:jc w:val="center"/>
        <w:rPr>
          <w:b/>
          <w:bCs/>
        </w:rPr>
      </w:pPr>
    </w:p>
    <w:p w14:paraId="6BFF317F" w14:textId="5012FF89" w:rsidR="007F16CA" w:rsidRPr="00967AC5" w:rsidRDefault="007F16CA" w:rsidP="007F16CA">
      <w:pPr>
        <w:pStyle w:val="BodyText"/>
        <w:spacing w:before="3"/>
        <w:rPr>
          <w:b/>
          <w:sz w:val="18"/>
        </w:rPr>
      </w:pPr>
      <w:r w:rsidRPr="00967AC5">
        <w:rPr>
          <w:noProof/>
        </w:rPr>
        <mc:AlternateContent>
          <mc:Choice Requires="wps">
            <w:drawing>
              <wp:inline distT="0" distB="0" distL="0" distR="0" wp14:anchorId="22637662" wp14:editId="7E026891">
                <wp:extent cx="5630545" cy="742385"/>
                <wp:effectExtent l="0" t="0" r="27305" b="19685"/>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742385"/>
                        </a:xfrm>
                        <a:prstGeom prst="rect">
                          <a:avLst/>
                        </a:prstGeom>
                        <a:noFill/>
                        <a:ln w="6097"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28F2E4" w14:textId="12EFB208" w:rsidR="00680BB5" w:rsidRPr="00D64CC0" w:rsidRDefault="00680BB5" w:rsidP="00D64CC0">
                            <w:pPr>
                              <w:ind w:left="3231" w:right="3232"/>
                              <w:jc w:val="center"/>
                              <w:rPr>
                                <w:b/>
                                <w:sz w:val="24"/>
                              </w:rPr>
                            </w:pPr>
                            <w:r w:rsidRPr="00D64CC0">
                              <w:rPr>
                                <w:b/>
                                <w:sz w:val="24"/>
                              </w:rPr>
                              <w:t>Opinion of the</w:t>
                            </w:r>
                            <w:r w:rsidRPr="00D64CC0">
                              <w:rPr>
                                <w:b/>
                                <w:spacing w:val="-4"/>
                                <w:sz w:val="24"/>
                              </w:rPr>
                              <w:t xml:space="preserve"> R</w:t>
                            </w:r>
                            <w:r w:rsidRPr="00D64CC0">
                              <w:rPr>
                                <w:b/>
                                <w:sz w:val="24"/>
                              </w:rPr>
                              <w:t>SC</w:t>
                            </w:r>
                          </w:p>
                          <w:p w14:paraId="11FAF26B" w14:textId="77777777" w:rsidR="00680BB5" w:rsidRPr="00D64CC0" w:rsidRDefault="00680BB5" w:rsidP="00D64CC0">
                            <w:pPr>
                              <w:ind w:left="248" w:right="251" w:hanging="1"/>
                              <w:jc w:val="center"/>
                              <w:rPr>
                                <w:b/>
                                <w:sz w:val="24"/>
                              </w:rPr>
                            </w:pPr>
                            <w:r w:rsidRPr="00D64CC0">
                              <w:rPr>
                                <w:b/>
                                <w:sz w:val="24"/>
                              </w:rPr>
                              <w:t>pursuant to Advisory Procedure under Article 4 of Regulation 182/2011/EU and Article 4.2 of Radio Spectrum Decision</w:t>
                            </w:r>
                            <w:r w:rsidRPr="00D64CC0">
                              <w:rPr>
                                <w:b/>
                                <w:spacing w:val="-20"/>
                                <w:sz w:val="24"/>
                              </w:rPr>
                              <w:t xml:space="preserve"> </w:t>
                            </w:r>
                            <w:r w:rsidRPr="00D64CC0">
                              <w:rPr>
                                <w:b/>
                                <w:sz w:val="24"/>
                              </w:rPr>
                              <w:t>676/2002/EC</w:t>
                            </w:r>
                          </w:p>
                        </w:txbxContent>
                      </wps:txbx>
                      <wps:bodyPr rot="0" vert="horz" wrap="square" lIns="0" tIns="0" rIns="0" bIns="0" anchor="t" anchorCtr="0" upright="1">
                        <a:noAutofit/>
                      </wps:bodyPr>
                    </wps:wsp>
                  </a:graphicData>
                </a:graphic>
              </wp:inline>
            </w:drawing>
          </mc:Choice>
          <mc:Fallback>
            <w:pict>
              <v:shape w14:anchorId="22637662" id="Text Box 125" o:spid="_x0000_s1035" type="#_x0000_t202" style="width:443.35pt;height: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" filled="f" strokeweight=".16936mm">
                <v:stroke linestyle="thinThin"/>
                <v:textbox inset="0,0,0,0">
                  <w:txbxContent>
                    <w:p w14:paraId="6428F2E4" w14:textId="12EFB208" w:rsidR="00680BB5" w:rsidRPr="00D64CC0" w:rsidRDefault="00680BB5" w:rsidP="00D64CC0">
                      <w:pPr>
                        <w:ind w:left="3231" w:right="3232"/>
                        <w:jc w:val="center"/>
                        <w:rPr>
                          <w:b/>
                          <w:sz w:val="24"/>
                        </w:rPr>
                      </w:pPr>
                      <w:r w:rsidRPr="00D64CC0">
                        <w:rPr>
                          <w:b/>
                          <w:sz w:val="24"/>
                        </w:rPr>
                        <w:t>Opinion of the</w:t>
                      </w:r>
                      <w:r w:rsidRPr="00D64CC0">
                        <w:rPr>
                          <w:b/>
                          <w:spacing w:val="-4"/>
                          <w:sz w:val="24"/>
                        </w:rPr>
                        <w:t xml:space="preserve"> R</w:t>
                      </w:r>
                      <w:r w:rsidRPr="00D64CC0">
                        <w:rPr>
                          <w:b/>
                          <w:sz w:val="24"/>
                        </w:rPr>
                        <w:t>SC</w:t>
                      </w:r>
                    </w:p>
                    <w:p w14:paraId="11FAF26B" w14:textId="77777777" w:rsidR="00680BB5" w:rsidRPr="00D64CC0" w:rsidRDefault="00680BB5" w:rsidP="00D64CC0">
                      <w:pPr>
                        <w:ind w:left="248" w:right="251" w:hanging="1"/>
                        <w:jc w:val="center"/>
                        <w:rPr>
                          <w:b/>
                          <w:sz w:val="24"/>
                        </w:rPr>
                      </w:pPr>
                      <w:r w:rsidRPr="00D64CC0">
                        <w:rPr>
                          <w:b/>
                          <w:sz w:val="24"/>
                        </w:rPr>
                        <w:t>pursuant to Advisory Procedure under Article 4 of Regulation 182/2011/EU and Article 4.2 of Radio Spectrum Decision</w:t>
                      </w:r>
                      <w:r w:rsidRPr="00D64CC0">
                        <w:rPr>
                          <w:b/>
                          <w:spacing w:val="-20"/>
                          <w:sz w:val="24"/>
                        </w:rPr>
                        <w:t xml:space="preserve"> </w:t>
                      </w:r>
                      <w:r w:rsidRPr="00D64CC0">
                        <w:rPr>
                          <w:b/>
                          <w:sz w:val="24"/>
                        </w:rPr>
                        <w:t>676/2002/EC</w:t>
                      </w:r>
                    </w:p>
                  </w:txbxContent>
                </v:textbox>
                <w10:anchorlock/>
              </v:shape>
            </w:pict>
          </mc:Fallback>
        </mc:AlternateContent>
      </w:r>
    </w:p>
    <w:p w14:paraId="381AC5AE" w14:textId="77777777" w:rsidR="007F16CA" w:rsidRPr="00967AC5" w:rsidRDefault="007F16CA" w:rsidP="007F16CA">
      <w:pPr>
        <w:pStyle w:val="BodyText"/>
        <w:rPr>
          <w:b/>
          <w:sz w:val="20"/>
        </w:rPr>
      </w:pPr>
    </w:p>
    <w:p w14:paraId="09D995C7" w14:textId="77777777" w:rsidR="007F16CA" w:rsidRPr="00967AC5" w:rsidRDefault="007F16CA" w:rsidP="007F16CA">
      <w:pPr>
        <w:pStyle w:val="BodyText"/>
        <w:spacing w:before="1"/>
        <w:rPr>
          <w:b/>
          <w:sz w:val="16"/>
        </w:rPr>
      </w:pPr>
    </w:p>
    <w:p w14:paraId="7B53B7D9" w14:textId="2DB5EBC1" w:rsidR="007F16CA" w:rsidRPr="00967AC5" w:rsidRDefault="007F16CA" w:rsidP="00D64CC0">
      <w:pPr>
        <w:pStyle w:val="BodyText"/>
        <w:ind w:left="1440" w:hanging="1440"/>
        <w:rPr>
          <w:b/>
          <w:bCs/>
        </w:rPr>
      </w:pPr>
      <w:r w:rsidRPr="00967AC5">
        <w:rPr>
          <w:b/>
          <w:bCs/>
        </w:rPr>
        <w:t xml:space="preserve">Subject: </w:t>
      </w:r>
      <w:r w:rsidR="00D64CC0" w:rsidRPr="00967AC5">
        <w:rPr>
          <w:b/>
          <w:bCs/>
        </w:rPr>
        <w:tab/>
      </w:r>
      <w:r w:rsidRPr="00967AC5">
        <w:rPr>
          <w:b/>
          <w:bCs/>
        </w:rPr>
        <w:t>Mandate to CEPT to review the harmonised technical conditions for certain EU-harmonised frequency bands and to develop least restrictive harmonised technical conditions suitable for next- generation (5G) terrestrial wireless</w:t>
      </w:r>
      <w:r w:rsidRPr="00967AC5">
        <w:rPr>
          <w:b/>
          <w:bCs/>
          <w:spacing w:val="-2"/>
        </w:rPr>
        <w:t xml:space="preserve"> </w:t>
      </w:r>
      <w:r w:rsidRPr="00967AC5">
        <w:rPr>
          <w:b/>
          <w:bCs/>
        </w:rPr>
        <w:t>systems</w:t>
      </w:r>
    </w:p>
    <w:p w14:paraId="55C107C0" w14:textId="77777777" w:rsidR="007F16CA" w:rsidRPr="00967AC5" w:rsidRDefault="007F16CA" w:rsidP="007F16CA">
      <w:pPr>
        <w:pStyle w:val="BodyText"/>
        <w:rPr>
          <w:b/>
          <w:sz w:val="20"/>
        </w:rPr>
      </w:pPr>
    </w:p>
    <w:p w14:paraId="69533DC5" w14:textId="77777777" w:rsidR="007F16CA" w:rsidRPr="00967AC5" w:rsidRDefault="007F16CA" w:rsidP="007F16CA">
      <w:pPr>
        <w:pStyle w:val="BodyText"/>
        <w:rPr>
          <w:b/>
          <w:sz w:val="20"/>
        </w:rPr>
      </w:pPr>
    </w:p>
    <w:p w14:paraId="3219F0D9" w14:textId="77777777" w:rsidR="007F16CA" w:rsidRPr="00967AC5" w:rsidRDefault="007F16CA" w:rsidP="007F16CA">
      <w:pPr>
        <w:pStyle w:val="BodyText"/>
        <w:spacing w:before="8"/>
        <w:rPr>
          <w:b/>
          <w:sz w:val="28"/>
        </w:rPr>
      </w:pPr>
    </w:p>
    <w:p w14:paraId="2839956B" w14:textId="77777777" w:rsidR="007F16CA" w:rsidRPr="00967AC5" w:rsidRDefault="007F16CA" w:rsidP="007F16CA">
      <w:pPr>
        <w:spacing w:before="94"/>
        <w:ind w:left="512" w:right="1041"/>
        <w:rPr>
          <w:sz w:val="16"/>
          <w:lang w:val="en-GB"/>
        </w:rPr>
      </w:pPr>
      <w:r w:rsidRPr="00967AC5">
        <w:rPr>
          <w:sz w:val="16"/>
          <w:lang w:val="en-GB"/>
        </w:rPr>
        <w:t xml:space="preserve">European Commission, DG Communications Networks Content &amp; Technology, 200 Rue de la </w:t>
      </w:r>
      <w:proofErr w:type="spellStart"/>
      <w:r w:rsidRPr="00967AC5">
        <w:rPr>
          <w:sz w:val="16"/>
          <w:lang w:val="en-GB"/>
        </w:rPr>
        <w:t>Loi</w:t>
      </w:r>
      <w:proofErr w:type="spellEnd"/>
      <w:r w:rsidRPr="00967AC5">
        <w:rPr>
          <w:sz w:val="16"/>
          <w:lang w:val="en-GB"/>
        </w:rPr>
        <w:t xml:space="preserve">, B-1049 </w:t>
      </w:r>
      <w:proofErr w:type="spellStart"/>
      <w:r w:rsidRPr="00967AC5">
        <w:rPr>
          <w:sz w:val="16"/>
          <w:lang w:val="en-GB"/>
        </w:rPr>
        <w:t>Bruxelles</w:t>
      </w:r>
      <w:proofErr w:type="spellEnd"/>
      <w:r w:rsidRPr="00967AC5">
        <w:rPr>
          <w:sz w:val="16"/>
          <w:lang w:val="en-GB"/>
        </w:rPr>
        <w:t xml:space="preserve"> RSC Secretariat, Avenue de Beaulieu 33, B-1160 Brussels - Belgium - Office BU33 7/09</w:t>
      </w:r>
    </w:p>
    <w:p w14:paraId="4425E284" w14:textId="132549D5" w:rsidR="007F16CA" w:rsidRPr="00967AC5" w:rsidRDefault="007F16CA" w:rsidP="007F16CA">
      <w:pPr>
        <w:spacing w:before="1"/>
        <w:ind w:left="512" w:right="2811"/>
        <w:rPr>
          <w:color w:val="0000FF"/>
          <w:sz w:val="16"/>
          <w:u w:val="single" w:color="0000FF"/>
          <w:lang w:val="en-GB"/>
        </w:rPr>
      </w:pPr>
      <w:r w:rsidRPr="00967AC5">
        <w:rPr>
          <w:sz w:val="16"/>
          <w:lang w:val="en-GB"/>
        </w:rPr>
        <w:t xml:space="preserve">Telephone: direct line (+32-2)295.6512, switchboard (+32-2)299.11.11. Fax: (+32-2) 296.38.95 E-mail : </w:t>
      </w:r>
      <w:hyperlink r:id="rId29">
        <w:r w:rsidRPr="00967AC5">
          <w:rPr>
            <w:color w:val="0000FF"/>
            <w:sz w:val="16"/>
            <w:u w:val="single" w:color="0000FF"/>
            <w:lang w:val="en-GB"/>
          </w:rPr>
          <w:t>cnect-rsc@ec.europa.eu</w:t>
        </w:r>
      </w:hyperlink>
    </w:p>
    <w:p w14:paraId="1C0D7E9C" w14:textId="4747BB2E" w:rsidR="0046423E" w:rsidRPr="00967AC5" w:rsidRDefault="0046423E">
      <w:pPr>
        <w:rPr>
          <w:color w:val="0000FF"/>
          <w:sz w:val="16"/>
          <w:u w:val="single" w:color="0000FF"/>
          <w:lang w:val="en-GB"/>
        </w:rPr>
      </w:pPr>
      <w:r w:rsidRPr="00967AC5">
        <w:rPr>
          <w:color w:val="0000FF"/>
          <w:sz w:val="16"/>
          <w:u w:val="single" w:color="0000FF"/>
          <w:lang w:val="en-GB"/>
        </w:rPr>
        <w:br w:type="page"/>
      </w:r>
    </w:p>
    <w:p w14:paraId="751D067C" w14:textId="74E294E1" w:rsidR="00E838DC" w:rsidRPr="00967AC5" w:rsidRDefault="00E838DC" w:rsidP="00682A72">
      <w:pPr>
        <w:spacing w:before="78"/>
        <w:ind w:left="321" w:right="1130"/>
        <w:jc w:val="center"/>
        <w:rPr>
          <w:rFonts w:ascii="Times New Roman" w:hAnsi="Times New Roman"/>
          <w:b/>
          <w:sz w:val="24"/>
          <w:lang w:val="en-GB"/>
        </w:rPr>
      </w:pPr>
      <w:r w:rsidRPr="00967AC5">
        <w:rPr>
          <w:rFonts w:ascii="Times New Roman" w:hAnsi="Times New Roman"/>
          <w:b/>
          <w:sz w:val="24"/>
          <w:lang w:val="en-GB"/>
        </w:rPr>
        <w:lastRenderedPageBreak/>
        <w:t>M</w:t>
      </w:r>
      <w:r w:rsidRPr="00967AC5">
        <w:rPr>
          <w:rFonts w:ascii="Times New Roman" w:hAnsi="Times New Roman"/>
          <w:b/>
          <w:sz w:val="19"/>
          <w:lang w:val="en-GB"/>
        </w:rPr>
        <w:t xml:space="preserve">ANDATE TO </w:t>
      </w:r>
      <w:r w:rsidRPr="00967AC5">
        <w:rPr>
          <w:rFonts w:ascii="Times New Roman" w:hAnsi="Times New Roman"/>
          <w:b/>
          <w:sz w:val="24"/>
          <w:lang w:val="en-GB"/>
        </w:rPr>
        <w:t>CEPT</w:t>
      </w:r>
    </w:p>
    <w:p w14:paraId="33766CA8" w14:textId="77777777" w:rsidR="00EE1F2D" w:rsidRPr="00967AC5" w:rsidRDefault="00EE1F2D" w:rsidP="00682A72">
      <w:pPr>
        <w:spacing w:before="78"/>
        <w:ind w:left="321" w:right="1130"/>
        <w:jc w:val="center"/>
        <w:rPr>
          <w:rFonts w:ascii="Times New Roman" w:hAnsi="Times New Roman"/>
          <w:b/>
          <w:sz w:val="24"/>
          <w:lang w:val="en-GB"/>
        </w:rPr>
      </w:pPr>
    </w:p>
    <w:p w14:paraId="758EB862" w14:textId="77777777" w:rsidR="00E838DC" w:rsidRPr="00967AC5" w:rsidRDefault="00E838DC" w:rsidP="00E838DC">
      <w:pPr>
        <w:spacing w:line="266" w:lineRule="auto"/>
        <w:ind w:left="321" w:right="1130"/>
        <w:jc w:val="center"/>
        <w:rPr>
          <w:rFonts w:ascii="Times New Roman" w:hAnsi="Times New Roman"/>
          <w:b/>
          <w:sz w:val="19"/>
          <w:lang w:val="en-GB"/>
        </w:rPr>
      </w:pPr>
      <w:r w:rsidRPr="00967AC5">
        <w:rPr>
          <w:rFonts w:ascii="Times New Roman" w:hAnsi="Times New Roman"/>
          <w:b/>
          <w:sz w:val="19"/>
          <w:lang w:val="en-GB"/>
        </w:rPr>
        <w:t xml:space="preserve">TO REVIEW THE HARMONISED TECHNICAL CONDITIONS FOR CERTAIN </w:t>
      </w:r>
      <w:r w:rsidRPr="00967AC5">
        <w:rPr>
          <w:rFonts w:ascii="Times New Roman" w:hAnsi="Times New Roman"/>
          <w:b/>
          <w:sz w:val="24"/>
          <w:lang w:val="en-GB"/>
        </w:rPr>
        <w:t>EU-</w:t>
      </w:r>
      <w:r w:rsidRPr="00967AC5">
        <w:rPr>
          <w:rFonts w:ascii="Times New Roman" w:hAnsi="Times New Roman"/>
          <w:b/>
          <w:sz w:val="19"/>
          <w:lang w:val="en-GB"/>
        </w:rPr>
        <w:t>HARMONISED FREQUENCY BANDS AND TO DEVELOP LEAST RESTRICTIVE HARMONISED TECHNICAL CONDITIONS SUITABLE FOR NEXT</w:t>
      </w:r>
      <w:r w:rsidRPr="00967AC5">
        <w:rPr>
          <w:rFonts w:ascii="Times New Roman" w:hAnsi="Times New Roman"/>
          <w:b/>
          <w:sz w:val="24"/>
          <w:lang w:val="en-GB"/>
        </w:rPr>
        <w:t>-</w:t>
      </w:r>
      <w:r w:rsidRPr="00967AC5">
        <w:rPr>
          <w:rFonts w:ascii="Times New Roman" w:hAnsi="Times New Roman"/>
          <w:b/>
          <w:sz w:val="19"/>
          <w:lang w:val="en-GB"/>
        </w:rPr>
        <w:t xml:space="preserve">GENERATION </w:t>
      </w:r>
      <w:r w:rsidRPr="00967AC5">
        <w:rPr>
          <w:rFonts w:ascii="Times New Roman" w:hAnsi="Times New Roman"/>
          <w:b/>
          <w:sz w:val="24"/>
          <w:lang w:val="en-GB"/>
        </w:rPr>
        <w:t xml:space="preserve">(5G) </w:t>
      </w:r>
      <w:r w:rsidRPr="00967AC5">
        <w:rPr>
          <w:rFonts w:ascii="Times New Roman" w:hAnsi="Times New Roman"/>
          <w:b/>
          <w:sz w:val="19"/>
          <w:lang w:val="en-GB"/>
        </w:rPr>
        <w:t>TERRESTRIAL WIRELESS SYSTEMS</w:t>
      </w:r>
    </w:p>
    <w:p w14:paraId="7F4472D2" w14:textId="77777777" w:rsidR="00E838DC" w:rsidRPr="00967AC5" w:rsidRDefault="00E838DC" w:rsidP="00E838DC">
      <w:pPr>
        <w:pStyle w:val="BodyText"/>
        <w:spacing w:before="11"/>
        <w:rPr>
          <w:b/>
          <w:sz w:val="28"/>
        </w:rPr>
      </w:pPr>
    </w:p>
    <w:p w14:paraId="7FF5DFCA" w14:textId="77777777" w:rsidR="00E838DC" w:rsidRPr="00967AC5" w:rsidRDefault="00E838DC" w:rsidP="00E838DC">
      <w:pPr>
        <w:pStyle w:val="ListParagraph"/>
        <w:widowControl w:val="0"/>
        <w:numPr>
          <w:ilvl w:val="0"/>
          <w:numId w:val="53"/>
        </w:numPr>
        <w:tabs>
          <w:tab w:val="left" w:pos="707"/>
          <w:tab w:val="left" w:pos="708"/>
        </w:tabs>
        <w:autoSpaceDE w:val="0"/>
        <w:autoSpaceDN w:val="0"/>
        <w:spacing w:before="0" w:after="0"/>
        <w:contextualSpacing w:val="0"/>
        <w:rPr>
          <w:rFonts w:ascii="Times New Roman" w:hAnsi="Times New Roman"/>
          <w:b/>
          <w:sz w:val="19"/>
        </w:rPr>
      </w:pPr>
      <w:bookmarkStart w:id="163" w:name="1._Purpose"/>
      <w:bookmarkEnd w:id="163"/>
      <w:r w:rsidRPr="00967AC5">
        <w:rPr>
          <w:rFonts w:ascii="Times New Roman" w:hAnsi="Times New Roman"/>
          <w:b/>
          <w:sz w:val="24"/>
        </w:rPr>
        <w:t>P</w:t>
      </w:r>
      <w:r w:rsidRPr="00967AC5">
        <w:rPr>
          <w:rFonts w:ascii="Times New Roman" w:hAnsi="Times New Roman"/>
          <w:b/>
          <w:sz w:val="19"/>
        </w:rPr>
        <w:t>URPOSE</w:t>
      </w:r>
    </w:p>
    <w:p w14:paraId="1697522E" w14:textId="77777777" w:rsidR="00E838DC" w:rsidRPr="00967AC5" w:rsidRDefault="00E838DC" w:rsidP="00E838DC">
      <w:pPr>
        <w:pStyle w:val="BodyText"/>
        <w:spacing w:before="7"/>
        <w:rPr>
          <w:b/>
          <w:sz w:val="20"/>
        </w:rPr>
      </w:pPr>
    </w:p>
    <w:p w14:paraId="463863AF" w14:textId="77777777" w:rsidR="00E838DC" w:rsidRPr="00967AC5" w:rsidRDefault="00E838DC" w:rsidP="00F90DC8">
      <w:pPr>
        <w:pStyle w:val="BodyText"/>
        <w:tabs>
          <w:tab w:val="left" w:pos="8789"/>
        </w:tabs>
        <w:spacing w:before="1"/>
        <w:ind w:left="227" w:right="794"/>
        <w:jc w:val="both"/>
      </w:pPr>
      <w:r w:rsidRPr="00967AC5">
        <w:t xml:space="preserve">It is anticipated that next-generation (5G) terrestrial wireless systems will operate in frequency bands that have already been harmonised in the EU for electronic communications services. While this is already possible today based on technology and service neutrality principles, it is important that the existing harmonised technical conditions of use be reviewed to identify potential </w:t>
      </w:r>
      <w:proofErr w:type="gramStart"/>
      <w:r w:rsidRPr="00967AC5">
        <w:t>constraints, and</w:t>
      </w:r>
      <w:proofErr w:type="gramEnd"/>
      <w:r w:rsidRPr="00967AC5">
        <w:t xml:space="preserve"> optimised for next- generation systems. The latter would contribute to a leading Union role in 5G development and deployment.</w:t>
      </w:r>
    </w:p>
    <w:p w14:paraId="7C551A85" w14:textId="77777777" w:rsidR="00E838DC" w:rsidRPr="00967AC5" w:rsidRDefault="00E838DC" w:rsidP="00F90DC8">
      <w:pPr>
        <w:pStyle w:val="BodyText"/>
        <w:tabs>
          <w:tab w:val="left" w:pos="8789"/>
        </w:tabs>
        <w:spacing w:before="10"/>
        <w:ind w:right="794"/>
        <w:rPr>
          <w:sz w:val="20"/>
        </w:rPr>
      </w:pPr>
    </w:p>
    <w:p w14:paraId="67E75A5F" w14:textId="77777777" w:rsidR="00E838DC" w:rsidRPr="00967AC5" w:rsidRDefault="00E838DC" w:rsidP="00F90DC8">
      <w:pPr>
        <w:pStyle w:val="BodyText"/>
        <w:tabs>
          <w:tab w:val="left" w:pos="8789"/>
        </w:tabs>
        <w:ind w:left="227" w:right="794"/>
        <w:jc w:val="both"/>
      </w:pPr>
      <w:r w:rsidRPr="00967AC5">
        <w:t>This Mandate is a follow-up to the Commission's mandate regarding technology-neutral harmonised technical conditions suitable for next-generation (5G) use for the 3.6 GHz and 26 GHz pioneer bands</w:t>
      </w:r>
      <w:r w:rsidRPr="00967AC5">
        <w:rPr>
          <w:vertAlign w:val="superscript"/>
        </w:rPr>
        <w:t>1</w:t>
      </w:r>
      <w:r w:rsidRPr="00967AC5">
        <w:t>. It should deliver harmonised least restrictive technical conditions, including sharing conditions if needed, for next-generation (5G) terrestrial wireless systems in the EU-harmonised 880-915 and 925-960 MHz frequency bands ('900 MHz band), 1710-1785 MHz and 1805-1880 MHz frequency bands ('1800 MHz band'), 1920- 1980 MHz and 2110-2170 MHz frequency bands ('paired terrestrial 2 GHz band'), and 2500-2690 MHz frequency band ('2.6 GHz band')</w:t>
      </w:r>
      <w:r w:rsidRPr="00967AC5">
        <w:rPr>
          <w:vertAlign w:val="superscript"/>
        </w:rPr>
        <w:t>2</w:t>
      </w:r>
      <w:r w:rsidRPr="00967AC5">
        <w:t xml:space="preserve">. These conditions should take into account relevant 5G usage scenarios related to wireless broadband and the Internet of </w:t>
      </w:r>
      <w:proofErr w:type="gramStart"/>
      <w:r w:rsidRPr="00967AC5">
        <w:t>Things, and</w:t>
      </w:r>
      <w:proofErr w:type="gramEnd"/>
      <w:r w:rsidRPr="00967AC5">
        <w:t xml:space="preserve"> meet the overarching purpose of ensuring efficient spectrum</w:t>
      </w:r>
      <w:r w:rsidRPr="00967AC5">
        <w:rPr>
          <w:spacing w:val="-4"/>
        </w:rPr>
        <w:t xml:space="preserve"> </w:t>
      </w:r>
      <w:r w:rsidRPr="00967AC5">
        <w:t>use.</w:t>
      </w:r>
    </w:p>
    <w:p w14:paraId="3182EAAB" w14:textId="77777777" w:rsidR="00E838DC" w:rsidRPr="00967AC5" w:rsidRDefault="00E838DC" w:rsidP="0005643A">
      <w:pPr>
        <w:pStyle w:val="BodyText"/>
        <w:tabs>
          <w:tab w:val="left" w:pos="8789"/>
        </w:tabs>
        <w:ind w:right="850"/>
        <w:rPr>
          <w:sz w:val="21"/>
        </w:rPr>
      </w:pPr>
    </w:p>
    <w:p w14:paraId="06717B24" w14:textId="77777777" w:rsidR="00E838DC" w:rsidRPr="00967AC5" w:rsidRDefault="00E838DC" w:rsidP="0005643A">
      <w:pPr>
        <w:pStyle w:val="ListParagraph"/>
        <w:widowControl w:val="0"/>
        <w:numPr>
          <w:ilvl w:val="0"/>
          <w:numId w:val="53"/>
        </w:numPr>
        <w:tabs>
          <w:tab w:val="left" w:pos="707"/>
          <w:tab w:val="left" w:pos="708"/>
          <w:tab w:val="left" w:pos="8789"/>
        </w:tabs>
        <w:autoSpaceDE w:val="0"/>
        <w:autoSpaceDN w:val="0"/>
        <w:spacing w:before="0" w:after="0"/>
        <w:ind w:right="850"/>
        <w:contextualSpacing w:val="0"/>
        <w:rPr>
          <w:rFonts w:ascii="Times New Roman" w:hAnsi="Times New Roman"/>
          <w:b/>
          <w:sz w:val="19"/>
        </w:rPr>
      </w:pPr>
      <w:bookmarkStart w:id="164" w:name="2._Policy_context_and_inputs"/>
      <w:bookmarkEnd w:id="164"/>
      <w:r w:rsidRPr="00967AC5">
        <w:rPr>
          <w:rFonts w:ascii="Times New Roman" w:hAnsi="Times New Roman"/>
          <w:b/>
          <w:sz w:val="24"/>
        </w:rPr>
        <w:t>P</w:t>
      </w:r>
      <w:r w:rsidRPr="00967AC5">
        <w:rPr>
          <w:rFonts w:ascii="Times New Roman" w:hAnsi="Times New Roman"/>
          <w:b/>
          <w:sz w:val="19"/>
        </w:rPr>
        <w:t>OLICY CONTEXT AND</w:t>
      </w:r>
      <w:r w:rsidRPr="00967AC5">
        <w:rPr>
          <w:rFonts w:ascii="Times New Roman" w:hAnsi="Times New Roman"/>
          <w:b/>
          <w:spacing w:val="-2"/>
          <w:sz w:val="19"/>
        </w:rPr>
        <w:t xml:space="preserve"> </w:t>
      </w:r>
      <w:r w:rsidRPr="00967AC5">
        <w:rPr>
          <w:rFonts w:ascii="Times New Roman" w:hAnsi="Times New Roman"/>
          <w:b/>
          <w:sz w:val="19"/>
        </w:rPr>
        <w:t>INPUTS</w:t>
      </w:r>
    </w:p>
    <w:p w14:paraId="4A8DBF76" w14:textId="77777777" w:rsidR="00E838DC" w:rsidRPr="00967AC5" w:rsidRDefault="00E838DC" w:rsidP="0005643A">
      <w:pPr>
        <w:pStyle w:val="BodyText"/>
        <w:tabs>
          <w:tab w:val="left" w:pos="8789"/>
        </w:tabs>
        <w:spacing w:before="8"/>
        <w:ind w:right="850"/>
        <w:rPr>
          <w:b/>
          <w:sz w:val="20"/>
        </w:rPr>
      </w:pPr>
    </w:p>
    <w:p w14:paraId="3AF6F23A" w14:textId="77777777" w:rsidR="00E838DC" w:rsidRPr="00967AC5" w:rsidRDefault="00E838DC" w:rsidP="00F90DC8">
      <w:pPr>
        <w:pStyle w:val="BodyText"/>
        <w:tabs>
          <w:tab w:val="left" w:pos="8789"/>
        </w:tabs>
        <w:ind w:left="227" w:right="794"/>
        <w:jc w:val="both"/>
      </w:pPr>
      <w:r w:rsidRPr="00967AC5">
        <w:t>The ITU-R vision for the next-generation mobile telecommunications</w:t>
      </w:r>
      <w:r w:rsidRPr="00967AC5">
        <w:rPr>
          <w:vertAlign w:val="superscript"/>
        </w:rPr>
        <w:t>3</w:t>
      </w:r>
      <w:r w:rsidRPr="00967AC5">
        <w:t xml:space="preserve"> outlines three major 5G usage scenarios – enhanced mobile broadband (eMBB), massive machine type communications (mMTC), and ultra-reliable and low latency communications (URLLC).</w:t>
      </w:r>
    </w:p>
    <w:p w14:paraId="2EB7652D" w14:textId="77777777" w:rsidR="00E838DC" w:rsidRPr="00967AC5" w:rsidRDefault="00E838DC" w:rsidP="00F90DC8">
      <w:pPr>
        <w:pStyle w:val="BodyText"/>
        <w:tabs>
          <w:tab w:val="left" w:pos="8789"/>
        </w:tabs>
        <w:spacing w:before="10"/>
        <w:ind w:right="794"/>
        <w:rPr>
          <w:sz w:val="20"/>
        </w:rPr>
      </w:pPr>
    </w:p>
    <w:p w14:paraId="4CB13B79" w14:textId="2AF4D88F" w:rsidR="00E838DC" w:rsidRDefault="00E838DC" w:rsidP="00F90DC8">
      <w:pPr>
        <w:pStyle w:val="BodyText"/>
        <w:tabs>
          <w:tab w:val="left" w:pos="8789"/>
        </w:tabs>
        <w:ind w:left="227" w:right="794"/>
        <w:jc w:val="both"/>
      </w:pPr>
      <w:r w:rsidRPr="00967AC5">
        <w:t>Deliverables of the 5G Public Private Partnership</w:t>
      </w:r>
      <w:r w:rsidRPr="00967AC5">
        <w:rPr>
          <w:vertAlign w:val="superscript"/>
        </w:rPr>
        <w:t>4</w:t>
      </w:r>
      <w:r w:rsidRPr="00967AC5">
        <w:t xml:space="preserve"> Infrastructure Association indicate that 5G would offer both an evolution of mobile broadband networks ensuring continuous user experience, and new unique network and service capabilities. In particular, 5G would be a key enabler for the Internet of Things and mission-critical services requiring very high reliability, ubiquitous coverage and/or very low latency. In this regard, use cases originating from connectivity to 'verticals' (i.e. vertical sectors such as transport, healthcare or media) are considered as drivers of 5G requirements from the outset with high priority, in particular within frequency bands below 6 GHz.</w:t>
      </w:r>
    </w:p>
    <w:p w14:paraId="09C64A31" w14:textId="5C25CE0C" w:rsidR="00D769CB" w:rsidRPr="00967AC5" w:rsidRDefault="00D13FB6" w:rsidP="00F90DC8">
      <w:pPr>
        <w:pStyle w:val="BodyText"/>
        <w:tabs>
          <w:tab w:val="left" w:pos="8789"/>
        </w:tabs>
        <w:ind w:left="227" w:right="794"/>
        <w:jc w:val="both"/>
      </w:pPr>
      <w:r w:rsidRPr="00967AC5">
        <w:rPr>
          <w:noProof/>
          <w:lang w:eastAsia="zh-CN"/>
        </w:rPr>
        <mc:AlternateContent>
          <mc:Choice Requires="wps">
            <w:drawing>
              <wp:anchor distT="0" distB="0" distL="0" distR="0" simplePos="0" relativeHeight="251658245" behindDoc="1" locked="0" layoutInCell="1" allowOverlap="1" wp14:anchorId="61358595" wp14:editId="1726DC31">
                <wp:simplePos x="0" y="0"/>
                <wp:positionH relativeFrom="page">
                  <wp:posOffset>871220</wp:posOffset>
                </wp:positionH>
                <wp:positionV relativeFrom="paragraph">
                  <wp:posOffset>248285</wp:posOffset>
                </wp:positionV>
                <wp:extent cx="1828800" cy="7620"/>
                <wp:effectExtent l="0" t="1270" r="1270" b="635"/>
                <wp:wrapTopAndBottom/>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C019F" id="Rectangle 218" o:spid="_x0000_s1026" style="position:absolute;margin-left:68.6pt;margin-top:19.55pt;width:2in;height:.6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hI/AEAAN0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" fillcolor="black" stroked="f">
                <w10:wrap type="topAndBottom" anchorx="page"/>
              </v:rect>
            </w:pict>
          </mc:Fallback>
        </mc:AlternateContent>
      </w:r>
    </w:p>
    <w:p w14:paraId="3CC22290" w14:textId="547D0B42" w:rsidR="00E838DC" w:rsidRPr="00967AC5" w:rsidRDefault="00E838DC" w:rsidP="00A62154">
      <w:pPr>
        <w:pStyle w:val="BodyText"/>
        <w:spacing w:before="1"/>
        <w:rPr>
          <w:sz w:val="19"/>
        </w:rPr>
      </w:pPr>
    </w:p>
    <w:p w14:paraId="79DC616A" w14:textId="505B93ED" w:rsidR="00E838DC" w:rsidRPr="00967AC5" w:rsidRDefault="00E838DC" w:rsidP="00A62154">
      <w:pPr>
        <w:tabs>
          <w:tab w:val="left" w:pos="585"/>
        </w:tabs>
        <w:spacing w:before="119"/>
        <w:ind w:left="227"/>
        <w:rPr>
          <w:rFonts w:ascii="Times New Roman" w:hAnsi="Times New Roman"/>
          <w:lang w:val="en-GB"/>
        </w:rPr>
      </w:pPr>
      <w:r w:rsidRPr="00967AC5">
        <w:rPr>
          <w:rFonts w:ascii="Times New Roman" w:hAnsi="Times New Roman"/>
          <w:vertAlign w:val="superscript"/>
          <w:lang w:val="en-GB"/>
        </w:rPr>
        <w:t>1</w:t>
      </w:r>
      <w:r w:rsidRPr="00967AC5">
        <w:rPr>
          <w:rFonts w:ascii="Times New Roman" w:hAnsi="Times New Roman"/>
          <w:lang w:val="en-GB"/>
        </w:rPr>
        <w:tab/>
        <w:t>Document RSCOM16-40rev3 of 7 December</w:t>
      </w:r>
      <w:r w:rsidRPr="00967AC5">
        <w:rPr>
          <w:rFonts w:ascii="Times New Roman" w:hAnsi="Times New Roman"/>
          <w:spacing w:val="-3"/>
          <w:lang w:val="en-GB"/>
        </w:rPr>
        <w:t xml:space="preserve"> </w:t>
      </w:r>
      <w:r w:rsidRPr="00967AC5">
        <w:rPr>
          <w:rFonts w:ascii="Times New Roman" w:hAnsi="Times New Roman"/>
          <w:lang w:val="en-GB"/>
        </w:rPr>
        <w:t>2016</w:t>
      </w:r>
    </w:p>
    <w:p w14:paraId="7B17460E" w14:textId="7324E5EA" w:rsidR="00E838DC" w:rsidRPr="00967AC5" w:rsidRDefault="00E838DC" w:rsidP="0047406F">
      <w:pPr>
        <w:tabs>
          <w:tab w:val="left" w:pos="585"/>
        </w:tabs>
        <w:spacing w:before="120"/>
        <w:ind w:left="585" w:right="1041" w:hanging="358"/>
        <w:rPr>
          <w:rFonts w:ascii="Times New Roman" w:hAnsi="Times New Roman"/>
          <w:lang w:val="en-GB"/>
        </w:rPr>
      </w:pPr>
      <w:r w:rsidRPr="00967AC5">
        <w:rPr>
          <w:rFonts w:ascii="Times New Roman" w:hAnsi="Times New Roman"/>
          <w:vertAlign w:val="superscript"/>
          <w:lang w:val="en-GB"/>
        </w:rPr>
        <w:t>2</w:t>
      </w:r>
      <w:r w:rsidRPr="00967AC5">
        <w:rPr>
          <w:rFonts w:ascii="Times New Roman" w:hAnsi="Times New Roman"/>
          <w:lang w:val="en-GB"/>
        </w:rPr>
        <w:tab/>
        <w:t>Subject to Commission Decisions 2009/766/EC as amended by 2011/251/EC and (EU) 2018/637 (900/1800 MHz band), 2012/688/EU (paired terrestrial 2 GHz band), 2008/477/EC (2.6 GHz</w:t>
      </w:r>
      <w:r w:rsidRPr="00967AC5">
        <w:rPr>
          <w:rFonts w:ascii="Times New Roman" w:hAnsi="Times New Roman"/>
          <w:spacing w:val="-14"/>
          <w:lang w:val="en-GB"/>
        </w:rPr>
        <w:t xml:space="preserve"> </w:t>
      </w:r>
      <w:r w:rsidRPr="00967AC5">
        <w:rPr>
          <w:rFonts w:ascii="Times New Roman" w:hAnsi="Times New Roman"/>
          <w:lang w:val="en-GB"/>
        </w:rPr>
        <w:t>band)</w:t>
      </w:r>
    </w:p>
    <w:p w14:paraId="46E78929" w14:textId="188E3098" w:rsidR="00E838DC" w:rsidRPr="00967AC5" w:rsidRDefault="00E838DC" w:rsidP="0047406F">
      <w:pPr>
        <w:tabs>
          <w:tab w:val="left" w:pos="512"/>
        </w:tabs>
        <w:spacing w:before="120"/>
        <w:ind w:left="512" w:right="1041" w:hanging="285"/>
        <w:rPr>
          <w:rFonts w:ascii="Times New Roman" w:hAnsi="Times New Roman"/>
          <w:lang w:val="en-GB"/>
        </w:rPr>
      </w:pPr>
      <w:r w:rsidRPr="00967AC5">
        <w:rPr>
          <w:rFonts w:ascii="Times New Roman" w:hAnsi="Times New Roman"/>
          <w:vertAlign w:val="superscript"/>
          <w:lang w:val="en-GB"/>
        </w:rPr>
        <w:t>3</w:t>
      </w:r>
      <w:r w:rsidRPr="00967AC5">
        <w:rPr>
          <w:rFonts w:ascii="Times New Roman" w:hAnsi="Times New Roman"/>
          <w:lang w:val="en-GB"/>
        </w:rPr>
        <w:tab/>
        <w:t>In the ITU context of "International Mobile Telecommunications for 2020 (IMT2020)", s. ITU Recommendation:</w:t>
      </w:r>
      <w:r w:rsidRPr="00967AC5">
        <w:rPr>
          <w:rFonts w:ascii="Times New Roman" w:hAnsi="Times New Roman"/>
          <w:spacing w:val="-5"/>
          <w:lang w:val="en-GB"/>
        </w:rPr>
        <w:t xml:space="preserve"> </w:t>
      </w:r>
      <w:hyperlink r:id="rId30">
        <w:r w:rsidRPr="00967AC5">
          <w:rPr>
            <w:rFonts w:ascii="Times New Roman" w:hAnsi="Times New Roman"/>
            <w:color w:val="0000FF"/>
            <w:u w:val="single" w:color="0000FF"/>
            <w:lang w:val="en-GB"/>
          </w:rPr>
          <w:t>https://www.itu.int/dms_pubrec/itu-r/rec/m/R-REC-M.2083-0-201509-I!!PDF-E.pdf</w:t>
        </w:r>
      </w:hyperlink>
    </w:p>
    <w:p w14:paraId="3F61BD6A" w14:textId="65CC585D" w:rsidR="004130E8" w:rsidRDefault="00E838DC" w:rsidP="004130E8">
      <w:pPr>
        <w:tabs>
          <w:tab w:val="left" w:pos="512"/>
        </w:tabs>
        <w:spacing w:before="120"/>
        <w:ind w:left="227"/>
        <w:rPr>
          <w:rFonts w:ascii="Times New Roman" w:hAnsi="Times New Roman"/>
          <w:color w:val="0000FF"/>
          <w:u w:val="single" w:color="0000FF"/>
          <w:lang w:val="en-GB"/>
        </w:rPr>
      </w:pPr>
      <w:r w:rsidRPr="00967AC5">
        <w:rPr>
          <w:rFonts w:ascii="Times New Roman" w:hAnsi="Times New Roman"/>
          <w:vertAlign w:val="superscript"/>
          <w:lang w:val="en-GB"/>
        </w:rPr>
        <w:t>4</w:t>
      </w:r>
      <w:r w:rsidRPr="00967AC5">
        <w:rPr>
          <w:rFonts w:ascii="Times New Roman" w:hAnsi="Times New Roman"/>
          <w:lang w:val="en-GB"/>
        </w:rPr>
        <w:tab/>
        <w:t>See</w:t>
      </w:r>
      <w:r w:rsidRPr="00967AC5">
        <w:rPr>
          <w:rFonts w:ascii="Times New Roman" w:hAnsi="Times New Roman"/>
          <w:spacing w:val="-1"/>
          <w:lang w:val="en-GB"/>
        </w:rPr>
        <w:t xml:space="preserve"> </w:t>
      </w:r>
      <w:hyperlink r:id="rId31">
        <w:r w:rsidRPr="00967AC5">
          <w:rPr>
            <w:rFonts w:ascii="Times New Roman" w:hAnsi="Times New Roman"/>
            <w:color w:val="0000FF"/>
            <w:u w:val="single" w:color="0000FF"/>
            <w:lang w:val="en-GB"/>
          </w:rPr>
          <w:t>https://5g-ppp.eu/</w:t>
        </w:r>
      </w:hyperlink>
      <w:r w:rsidR="004130E8">
        <w:rPr>
          <w:rFonts w:ascii="Times New Roman" w:hAnsi="Times New Roman"/>
          <w:color w:val="0000FF"/>
          <w:u w:val="single" w:color="0000FF"/>
          <w:lang w:val="en-GB"/>
        </w:rPr>
        <w:br w:type="page"/>
      </w:r>
    </w:p>
    <w:p w14:paraId="4EBD9056" w14:textId="02B2FFD9" w:rsidR="00E838DC" w:rsidRPr="00967AC5" w:rsidRDefault="00E838DC" w:rsidP="006A031F">
      <w:pPr>
        <w:pStyle w:val="BodyText"/>
        <w:spacing w:before="109"/>
        <w:ind w:left="227" w:right="794"/>
        <w:jc w:val="both"/>
      </w:pPr>
      <w:r w:rsidRPr="00967AC5">
        <w:lastRenderedPageBreak/>
        <w:t>In its 5G Action Plan</w:t>
      </w:r>
      <w:r w:rsidRPr="00967AC5">
        <w:rPr>
          <w:vertAlign w:val="superscript"/>
        </w:rPr>
        <w:t>5</w:t>
      </w:r>
      <w:r w:rsidRPr="00967AC5">
        <w:t xml:space="preserve">, the Commission advances action on the EU-level identification and harmonisation of 5G spectrum regarding pioneer frequency bands as well as </w:t>
      </w:r>
      <w:r w:rsidRPr="00967AC5">
        <w:rPr>
          <w:b/>
        </w:rPr>
        <w:t xml:space="preserve">additional </w:t>
      </w:r>
      <w:r w:rsidRPr="00967AC5">
        <w:t>frequency bands, based on the opinion of the Radio Spectrum Policy Group (RSPG).</w:t>
      </w:r>
    </w:p>
    <w:p w14:paraId="5957152C" w14:textId="77777777" w:rsidR="00E838DC" w:rsidRPr="00967AC5" w:rsidRDefault="00E838DC" w:rsidP="006A031F">
      <w:pPr>
        <w:pStyle w:val="BodyText"/>
        <w:spacing w:before="10"/>
        <w:ind w:right="794"/>
        <w:rPr>
          <w:sz w:val="20"/>
        </w:rPr>
      </w:pPr>
    </w:p>
    <w:p w14:paraId="7CD42255" w14:textId="77777777" w:rsidR="00E838DC" w:rsidRPr="00967AC5" w:rsidRDefault="00E838DC" w:rsidP="006A031F">
      <w:pPr>
        <w:pStyle w:val="BodyText"/>
        <w:ind w:left="227" w:right="794"/>
        <w:jc w:val="both"/>
      </w:pPr>
      <w:r w:rsidRPr="00967AC5">
        <w:t>In its two Opinions on "Strategic Roadmap towards 5G in Europe"</w:t>
      </w:r>
      <w:r w:rsidRPr="00967AC5">
        <w:rPr>
          <w:vertAlign w:val="superscript"/>
        </w:rPr>
        <w:t>6</w:t>
      </w:r>
      <w:r w:rsidRPr="00967AC5">
        <w:t>, the RSPG asserts the importance of existing EU-harmonised spectrum for the rollout of 5G terrestrial wireless systems in the Union as follows:</w:t>
      </w:r>
    </w:p>
    <w:p w14:paraId="7135FF8D" w14:textId="77777777" w:rsidR="00E838DC" w:rsidRPr="00967AC5" w:rsidRDefault="00E838DC" w:rsidP="00E838DC">
      <w:pPr>
        <w:pStyle w:val="BodyText"/>
        <w:spacing w:before="11"/>
        <w:rPr>
          <w:sz w:val="20"/>
        </w:rPr>
      </w:pPr>
    </w:p>
    <w:p w14:paraId="3F99BAFC" w14:textId="77777777" w:rsidR="00E838DC" w:rsidRPr="00967AC5" w:rsidRDefault="00E838DC" w:rsidP="00AF5232">
      <w:pPr>
        <w:pStyle w:val="ListParagraph"/>
        <w:widowControl w:val="0"/>
        <w:numPr>
          <w:ilvl w:val="1"/>
          <w:numId w:val="53"/>
        </w:numPr>
        <w:tabs>
          <w:tab w:val="left" w:pos="948"/>
        </w:tabs>
        <w:autoSpaceDE w:val="0"/>
        <w:autoSpaceDN w:val="0"/>
        <w:spacing w:before="0" w:after="0"/>
        <w:ind w:left="947" w:right="794" w:hanging="357"/>
        <w:contextualSpacing w:val="0"/>
        <w:rPr>
          <w:rFonts w:ascii="Times New Roman" w:hAnsi="Times New Roman"/>
          <w:sz w:val="24"/>
        </w:rPr>
      </w:pPr>
      <w:r w:rsidRPr="00967AC5">
        <w:rPr>
          <w:rFonts w:ascii="Times New Roman" w:hAnsi="Times New Roman"/>
          <w:sz w:val="24"/>
        </w:rPr>
        <w:t xml:space="preserve">5G needs to be deployed also in bands already harmonized </w:t>
      </w:r>
      <w:r w:rsidRPr="00967AC5">
        <w:rPr>
          <w:rFonts w:ascii="Times New Roman" w:hAnsi="Times New Roman"/>
          <w:b/>
          <w:sz w:val="24"/>
        </w:rPr>
        <w:t>below 1 GHz</w:t>
      </w:r>
      <w:r w:rsidRPr="00967AC5">
        <w:rPr>
          <w:rFonts w:ascii="Times New Roman" w:hAnsi="Times New Roman"/>
          <w:sz w:val="24"/>
        </w:rPr>
        <w:t>, in particular the 700 MHz band, in order to enable nation-wide and indoor 5G coverage;</w:t>
      </w:r>
    </w:p>
    <w:p w14:paraId="07A72BA5" w14:textId="77777777" w:rsidR="00E838DC" w:rsidRPr="00967AC5" w:rsidRDefault="00E838DC" w:rsidP="00E838DC">
      <w:pPr>
        <w:pStyle w:val="BodyText"/>
        <w:spacing w:before="9"/>
        <w:rPr>
          <w:sz w:val="14"/>
          <w:szCs w:val="14"/>
        </w:rPr>
      </w:pPr>
    </w:p>
    <w:p w14:paraId="3342011B" w14:textId="77777777" w:rsidR="00E838DC" w:rsidRPr="00967AC5" w:rsidRDefault="00E838DC" w:rsidP="00AF5232">
      <w:pPr>
        <w:pStyle w:val="ListParagraph"/>
        <w:widowControl w:val="0"/>
        <w:numPr>
          <w:ilvl w:val="1"/>
          <w:numId w:val="53"/>
        </w:numPr>
        <w:tabs>
          <w:tab w:val="left" w:pos="948"/>
        </w:tabs>
        <w:autoSpaceDE w:val="0"/>
        <w:autoSpaceDN w:val="0"/>
        <w:spacing w:before="0" w:after="0"/>
        <w:ind w:left="947" w:right="794" w:hanging="357"/>
        <w:contextualSpacing w:val="0"/>
        <w:rPr>
          <w:rFonts w:ascii="Times New Roman" w:hAnsi="Times New Roman"/>
          <w:sz w:val="24"/>
        </w:rPr>
      </w:pPr>
      <w:r w:rsidRPr="00967AC5">
        <w:rPr>
          <w:rFonts w:ascii="Times New Roman" w:hAnsi="Times New Roman"/>
          <w:sz w:val="24"/>
        </w:rPr>
        <w:t xml:space="preserve">there is a need to ensure that technical and regulatory conditions for </w:t>
      </w:r>
      <w:r w:rsidRPr="00967AC5">
        <w:rPr>
          <w:rFonts w:ascii="Times New Roman" w:hAnsi="Times New Roman"/>
          <w:b/>
          <w:sz w:val="24"/>
        </w:rPr>
        <w:t xml:space="preserve">all bands already harmonized </w:t>
      </w:r>
      <w:r w:rsidRPr="00967AC5">
        <w:rPr>
          <w:rFonts w:ascii="Times New Roman" w:hAnsi="Times New Roman"/>
          <w:sz w:val="24"/>
        </w:rPr>
        <w:t>for mobile networks are fit for 5G</w:t>
      </w:r>
      <w:r w:rsidRPr="00967AC5">
        <w:rPr>
          <w:rFonts w:ascii="Times New Roman" w:hAnsi="Times New Roman"/>
          <w:spacing w:val="-1"/>
          <w:sz w:val="24"/>
        </w:rPr>
        <w:t xml:space="preserve"> </w:t>
      </w:r>
      <w:r w:rsidRPr="00967AC5">
        <w:rPr>
          <w:rFonts w:ascii="Times New Roman" w:hAnsi="Times New Roman"/>
          <w:sz w:val="24"/>
        </w:rPr>
        <w:t>use.</w:t>
      </w:r>
    </w:p>
    <w:p w14:paraId="06312A13" w14:textId="77777777" w:rsidR="00E838DC" w:rsidRPr="00967AC5" w:rsidRDefault="00E838DC" w:rsidP="00E838DC">
      <w:pPr>
        <w:pStyle w:val="BodyText"/>
        <w:spacing w:before="9"/>
        <w:rPr>
          <w:sz w:val="20"/>
        </w:rPr>
      </w:pPr>
    </w:p>
    <w:p w14:paraId="2727D666" w14:textId="77777777" w:rsidR="00E838DC" w:rsidRPr="00967AC5" w:rsidRDefault="00E838DC" w:rsidP="00AF5232">
      <w:pPr>
        <w:pStyle w:val="BodyText"/>
        <w:ind w:left="227" w:right="794"/>
        <w:jc w:val="both"/>
      </w:pPr>
      <w:r w:rsidRPr="00967AC5">
        <w:t>In this regard, the 900 MHz and 1800 MHz, the 2.6 GHz and the paired terrestrial 2 GHz frequency bands are relevant EU-harmonised frequency bands for next-generation terrestrial wireless systems. In its 5G roadmap, the CEPT highlights the need to revise the technical conditions for these frequency bands with the goal to ensure their suitability for 5G use. Therefore, technical studies are necessary with view to enabling the use of these bands for next-generation terrestrial wireless systems, which use active antenna systems (AAS) and are capable of providing novel services or applications. These studies should consider terrestrial electronic communications services and other relevant use, and foster a European approach to 5G deployment, which benefits to the extent possible from global harmonisation. The CEPT also concludes in its 5G roadmap that the current technical conditions for the 700 MHz, 800 MHz and 1.5 GHz frequency bands are already suitable for 5G use in the context of technology neutrality and the anticipated lack of AAS deployment in those frequency bands.</w:t>
      </w:r>
    </w:p>
    <w:p w14:paraId="3E58C313" w14:textId="77777777" w:rsidR="00E838DC" w:rsidRPr="00967AC5" w:rsidRDefault="00E838DC" w:rsidP="00AF5232">
      <w:pPr>
        <w:pStyle w:val="BodyText"/>
        <w:spacing w:before="10"/>
        <w:ind w:right="794"/>
        <w:rPr>
          <w:sz w:val="20"/>
        </w:rPr>
      </w:pPr>
    </w:p>
    <w:p w14:paraId="6E407655" w14:textId="77777777" w:rsidR="00E838DC" w:rsidRPr="00967AC5" w:rsidRDefault="00E838DC" w:rsidP="00AF5232">
      <w:pPr>
        <w:pStyle w:val="BodyText"/>
        <w:ind w:left="227" w:right="794"/>
        <w:jc w:val="both"/>
      </w:pPr>
      <w:r w:rsidRPr="00967AC5">
        <w:t>In particular, for the 900 MHz and 1800 MHz frequency bands, it is relevant to consider a Block Edge Mask (BEM) approach to technical harmonisation, which is suitable for next- generation terrestrial wireless systems and achieves consistency with the existing minimal and least restrictive technical conditions for other EU-harmonised frequency bands for wireless broadband electronic communications services. Such an approach should replace in the long term the current technical framework based on references to ETSI standards for both bands. Furthermore, it should ensure coexistence with the GSM system in the 900 MHz frequency band, pursuant to the GSM Directi</w:t>
      </w:r>
      <w:bookmarkStart w:id="165" w:name="_bookmark0"/>
      <w:bookmarkEnd w:id="165"/>
      <w:r w:rsidRPr="00967AC5">
        <w:t>ve</w:t>
      </w:r>
      <w:r w:rsidRPr="00967AC5">
        <w:rPr>
          <w:vertAlign w:val="superscript"/>
        </w:rPr>
        <w:t>7</w:t>
      </w:r>
      <w:r w:rsidRPr="00967AC5">
        <w:t>, while delivering a solution, which ensures availability and efficient use of the spectrum for next-generation terrestrial wireless systems in line with the Union’s spectrum policy</w:t>
      </w:r>
      <w:r w:rsidRPr="00967AC5">
        <w:rPr>
          <w:spacing w:val="-6"/>
        </w:rPr>
        <w:t xml:space="preserve"> </w:t>
      </w:r>
      <w:r w:rsidRPr="00967AC5">
        <w:t>priorities.</w:t>
      </w:r>
    </w:p>
    <w:p w14:paraId="3A089131" w14:textId="77777777" w:rsidR="00E838DC" w:rsidRPr="00967AC5" w:rsidRDefault="00E838DC" w:rsidP="00AF5232">
      <w:pPr>
        <w:pStyle w:val="BodyText"/>
        <w:spacing w:before="10"/>
        <w:ind w:right="794"/>
        <w:rPr>
          <w:sz w:val="20"/>
        </w:rPr>
      </w:pPr>
    </w:p>
    <w:p w14:paraId="33DEA867" w14:textId="14125296" w:rsidR="007668E9" w:rsidRPr="00967AC5" w:rsidRDefault="00D13FB6" w:rsidP="00AF5232">
      <w:pPr>
        <w:pStyle w:val="BodyText"/>
        <w:ind w:left="227" w:right="794"/>
        <w:jc w:val="both"/>
      </w:pPr>
      <w:r w:rsidRPr="00967AC5">
        <w:rPr>
          <w:noProof/>
          <w:lang w:eastAsia="zh-CN"/>
        </w:rPr>
        <mc:AlternateContent>
          <mc:Choice Requires="wps">
            <w:drawing>
              <wp:anchor distT="0" distB="0" distL="0" distR="0" simplePos="0" relativeHeight="251658246" behindDoc="1" locked="0" layoutInCell="1" allowOverlap="1" wp14:anchorId="22AA88B9" wp14:editId="51173920">
                <wp:simplePos x="0" y="0"/>
                <wp:positionH relativeFrom="page">
                  <wp:posOffset>864235</wp:posOffset>
                </wp:positionH>
                <wp:positionV relativeFrom="paragraph">
                  <wp:posOffset>1029970</wp:posOffset>
                </wp:positionV>
                <wp:extent cx="1828800" cy="7200"/>
                <wp:effectExtent l="0" t="0" r="0" b="0"/>
                <wp:wrapTopAndBottom/>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DFFF" id="Rectangle 219" o:spid="_x0000_s1026" style="position:absolute;margin-left:68.05pt;margin-top:81.1pt;width:2in;height:.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" fillcolor="black" stroked="f">
                <w10:wrap type="topAndBottom" anchorx="page"/>
              </v:rect>
            </w:pict>
          </mc:Fallback>
        </mc:AlternateContent>
      </w:r>
      <w:r w:rsidR="00E838DC" w:rsidRPr="00967AC5">
        <w:t>In this regard, the CEPT is considering an amendment of the current technical framework for the 900 MHz and 1800 MHz frequency bands in early 2019, in order to reference the latest technical standards covering 5G New Radio. The CEPT plans to adopt harmonised technical conditions on the basis of BEM for both frequency bands as the long-term regulatory approach</w:t>
      </w:r>
      <w:r w:rsidR="00E838DC" w:rsidRPr="00967AC5">
        <w:rPr>
          <w:vertAlign w:val="superscript"/>
        </w:rPr>
        <w:t>8</w:t>
      </w:r>
      <w:r w:rsidR="00E838DC" w:rsidRPr="00967AC5">
        <w:t>. Taking account of progressing 5G standardisation, a transition of the</w:t>
      </w:r>
    </w:p>
    <w:p w14:paraId="30720EB2" w14:textId="4191DE84" w:rsidR="00E838DC" w:rsidRPr="00967AC5" w:rsidRDefault="00E838DC" w:rsidP="0068740A">
      <w:pPr>
        <w:pStyle w:val="BodyText"/>
        <w:spacing w:before="240"/>
        <w:ind w:left="227" w:right="1038"/>
        <w:jc w:val="both"/>
      </w:pPr>
      <w:r w:rsidRPr="00967AC5">
        <w:rPr>
          <w:vertAlign w:val="superscript"/>
        </w:rPr>
        <w:t>5</w:t>
      </w:r>
      <w:r w:rsidRPr="00967AC5">
        <w:t xml:space="preserve"> </w:t>
      </w:r>
      <w:r w:rsidRPr="00967AC5">
        <w:rPr>
          <w:sz w:val="22"/>
          <w:szCs w:val="22"/>
        </w:rPr>
        <w:t xml:space="preserve">See: </w:t>
      </w:r>
      <w:hyperlink r:id="rId32">
        <w:r w:rsidRPr="00967AC5">
          <w:rPr>
            <w:color w:val="0000FF"/>
            <w:sz w:val="22"/>
            <w:szCs w:val="22"/>
            <w:u w:val="single" w:color="0000FF"/>
          </w:rPr>
          <w:t>https://ec.europa.eu/digital-single-market/en/5g-europe-action-plan</w:t>
        </w:r>
      </w:hyperlink>
    </w:p>
    <w:p w14:paraId="34F035F3" w14:textId="5D596511" w:rsidR="00E838DC" w:rsidRPr="00967AC5" w:rsidRDefault="00E838DC" w:rsidP="00E838DC">
      <w:pPr>
        <w:spacing w:before="121"/>
        <w:ind w:left="227"/>
        <w:rPr>
          <w:rFonts w:ascii="Times New Roman" w:hAnsi="Times New Roman"/>
          <w:lang w:val="en-GB"/>
        </w:rPr>
      </w:pPr>
      <w:r w:rsidRPr="00967AC5">
        <w:rPr>
          <w:rFonts w:ascii="Times New Roman" w:hAnsi="Times New Roman"/>
          <w:vertAlign w:val="superscript"/>
          <w:lang w:val="en-GB"/>
        </w:rPr>
        <w:t>6</w:t>
      </w:r>
      <w:r w:rsidRPr="00967AC5">
        <w:rPr>
          <w:rFonts w:ascii="Times New Roman" w:hAnsi="Times New Roman"/>
          <w:lang w:val="en-GB"/>
        </w:rPr>
        <w:t xml:space="preserve"> Documents RSPG16-032 final (9 November 2016) and RSPG18-005 final (30 January 2018)</w:t>
      </w:r>
    </w:p>
    <w:p w14:paraId="7E528483" w14:textId="23D6F328" w:rsidR="00E838DC" w:rsidRPr="00967AC5" w:rsidRDefault="00E838DC" w:rsidP="00E838DC">
      <w:pPr>
        <w:spacing w:before="120"/>
        <w:ind w:left="585" w:right="1041" w:hanging="358"/>
        <w:rPr>
          <w:rFonts w:ascii="Times New Roman" w:hAnsi="Times New Roman"/>
          <w:lang w:val="en-GB"/>
        </w:rPr>
      </w:pPr>
      <w:r w:rsidRPr="00967AC5">
        <w:rPr>
          <w:rFonts w:ascii="Times New Roman" w:hAnsi="Times New Roman"/>
          <w:vertAlign w:val="superscript"/>
          <w:lang w:val="en-GB"/>
        </w:rPr>
        <w:t>7</w:t>
      </w:r>
      <w:r w:rsidRPr="00967AC5">
        <w:rPr>
          <w:rFonts w:ascii="Times New Roman" w:hAnsi="Times New Roman"/>
          <w:lang w:val="en-GB"/>
        </w:rPr>
        <w:t xml:space="preserve"> Council Directive 87/372/EEC as amended by Directive 2009/114/EC of the European Parliament and of the Council</w:t>
      </w:r>
    </w:p>
    <w:p w14:paraId="424AD3AE" w14:textId="30540533" w:rsidR="00C66217" w:rsidRPr="00967AC5" w:rsidRDefault="00E838DC" w:rsidP="0068740A">
      <w:pPr>
        <w:ind w:left="585" w:right="1041" w:hanging="358"/>
        <w:rPr>
          <w:rFonts w:ascii="Times New Roman" w:hAnsi="Times New Roman"/>
          <w:lang w:val="en-GB"/>
        </w:rPr>
      </w:pPr>
      <w:r w:rsidRPr="00967AC5">
        <w:rPr>
          <w:rFonts w:ascii="Times New Roman" w:hAnsi="Times New Roman"/>
          <w:vertAlign w:val="superscript"/>
          <w:lang w:val="en-GB"/>
        </w:rPr>
        <w:t>8</w:t>
      </w:r>
      <w:r w:rsidRPr="00967AC5">
        <w:rPr>
          <w:rFonts w:ascii="Times New Roman" w:hAnsi="Times New Roman"/>
          <w:lang w:val="en-GB"/>
        </w:rPr>
        <w:t xml:space="preserve"> See CEPT 5G roadmap (document ECC(18)104 Annex 17) and ECC PT1 revised work programme (document ECC(18)104 Annex 19)</w:t>
      </w:r>
      <w:r w:rsidR="00C66217" w:rsidRPr="00967AC5">
        <w:rPr>
          <w:rFonts w:ascii="Times New Roman" w:hAnsi="Times New Roman"/>
          <w:lang w:val="en-GB"/>
        </w:rPr>
        <w:br w:type="page"/>
      </w:r>
    </w:p>
    <w:p w14:paraId="1F882706" w14:textId="77777777" w:rsidR="00E838DC" w:rsidRPr="00967AC5" w:rsidRDefault="00E838DC" w:rsidP="00976220">
      <w:pPr>
        <w:pStyle w:val="BodyText"/>
        <w:spacing w:before="69"/>
        <w:ind w:left="227" w:right="794"/>
        <w:jc w:val="both"/>
      </w:pPr>
      <w:r w:rsidRPr="00967AC5">
        <w:lastRenderedPageBreak/>
        <w:t>technical conditions to BEM in the 900 MHz and 1800 MHz frequency bands at the EU level, could be facilitated by the specific provision</w:t>
      </w:r>
      <w:r w:rsidRPr="00967AC5">
        <w:rPr>
          <w:vertAlign w:val="superscript"/>
        </w:rPr>
        <w:t>9</w:t>
      </w:r>
      <w:r w:rsidRPr="00967AC5">
        <w:t xml:space="preserve"> in the Decision 2009/766/EC (as amended), which allows in both bands use of </w:t>
      </w:r>
      <w:r w:rsidRPr="00967AC5">
        <w:rPr>
          <w:i/>
        </w:rPr>
        <w:t>other systems</w:t>
      </w:r>
      <w:r w:rsidRPr="00967AC5">
        <w:t>, which are not listed in its Annex, under the condition of ensuring coexistence with the GSM system and the systems listed in that Annex. The aforementioned amendment of the CEPT technical framework will facilitate compliance with this provision in the EU context in order to accommodate evolving 5G standards.</w:t>
      </w:r>
    </w:p>
    <w:p w14:paraId="454DC2EF" w14:textId="77777777" w:rsidR="00E838DC" w:rsidRPr="00967AC5" w:rsidRDefault="00E838DC" w:rsidP="00976220">
      <w:pPr>
        <w:pStyle w:val="BodyText"/>
        <w:spacing w:before="1"/>
        <w:ind w:right="794"/>
        <w:rPr>
          <w:sz w:val="21"/>
        </w:rPr>
      </w:pPr>
    </w:p>
    <w:p w14:paraId="533C15AD" w14:textId="77777777" w:rsidR="00E838DC" w:rsidRPr="00967AC5" w:rsidRDefault="00E838DC" w:rsidP="00976220">
      <w:pPr>
        <w:pStyle w:val="ListParagraph"/>
        <w:widowControl w:val="0"/>
        <w:numPr>
          <w:ilvl w:val="0"/>
          <w:numId w:val="53"/>
        </w:numPr>
        <w:tabs>
          <w:tab w:val="left" w:pos="707"/>
          <w:tab w:val="left" w:pos="708"/>
        </w:tabs>
        <w:autoSpaceDE w:val="0"/>
        <w:autoSpaceDN w:val="0"/>
        <w:spacing w:before="0" w:after="0"/>
        <w:ind w:right="794"/>
        <w:contextualSpacing w:val="0"/>
        <w:rPr>
          <w:rFonts w:ascii="Times New Roman" w:hAnsi="Times New Roman"/>
          <w:b/>
          <w:sz w:val="19"/>
        </w:rPr>
      </w:pPr>
      <w:bookmarkStart w:id="166" w:name="3._Justification"/>
      <w:bookmarkEnd w:id="166"/>
      <w:r w:rsidRPr="00967AC5">
        <w:rPr>
          <w:rFonts w:ascii="Times New Roman" w:hAnsi="Times New Roman"/>
          <w:b/>
          <w:sz w:val="24"/>
        </w:rPr>
        <w:t>J</w:t>
      </w:r>
      <w:r w:rsidRPr="00967AC5">
        <w:rPr>
          <w:rFonts w:ascii="Times New Roman" w:hAnsi="Times New Roman"/>
          <w:b/>
          <w:sz w:val="19"/>
        </w:rPr>
        <w:t>USTIFICATION</w:t>
      </w:r>
    </w:p>
    <w:p w14:paraId="4318794C" w14:textId="77777777" w:rsidR="00E838DC" w:rsidRPr="00967AC5" w:rsidRDefault="00E838DC" w:rsidP="00976220">
      <w:pPr>
        <w:pStyle w:val="BodyText"/>
        <w:spacing w:before="8"/>
        <w:ind w:right="794"/>
        <w:rPr>
          <w:b/>
          <w:sz w:val="20"/>
        </w:rPr>
      </w:pPr>
    </w:p>
    <w:p w14:paraId="1CF21E38" w14:textId="77777777" w:rsidR="00E838DC" w:rsidRPr="00967AC5" w:rsidRDefault="00E838DC" w:rsidP="00976220">
      <w:pPr>
        <w:pStyle w:val="BodyText"/>
        <w:ind w:left="227" w:right="794"/>
        <w:jc w:val="both"/>
      </w:pPr>
      <w:r w:rsidRPr="00967AC5">
        <w:t>Pursuant to Article 4(2) of the Radio Spectrum Decision</w:t>
      </w:r>
      <w:r w:rsidRPr="00967AC5">
        <w:rPr>
          <w:vertAlign w:val="superscript"/>
        </w:rPr>
        <w:t>10</w:t>
      </w:r>
      <w:r w:rsidRPr="00967AC5">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Pursuant to Article 1 of the Radio Spectrum Decision, activities under the Decision must facilitate policy making with regard to the strategic planning and harmonisation of radio spectrum use as well as ensure the effective implementation of radio spectrum policy in the EU while serving the aim of coordination of policy approaches. Furthermore, they shall take due account of the work of international organisations related to spectrum management such as ITU or</w:t>
      </w:r>
      <w:r w:rsidRPr="00967AC5">
        <w:rPr>
          <w:spacing w:val="-2"/>
        </w:rPr>
        <w:t xml:space="preserve"> </w:t>
      </w:r>
      <w:r w:rsidRPr="00967AC5">
        <w:t>3GPP.</w:t>
      </w:r>
    </w:p>
    <w:p w14:paraId="0F7E1A5F" w14:textId="77777777" w:rsidR="00E838DC" w:rsidRPr="00967AC5" w:rsidRDefault="00E838DC" w:rsidP="00976220">
      <w:pPr>
        <w:pStyle w:val="BodyText"/>
        <w:spacing w:before="10"/>
        <w:ind w:right="794"/>
        <w:rPr>
          <w:sz w:val="20"/>
        </w:rPr>
      </w:pPr>
    </w:p>
    <w:p w14:paraId="73C661AF" w14:textId="77777777" w:rsidR="00E838DC" w:rsidRPr="00967AC5" w:rsidRDefault="00E838DC" w:rsidP="00976220">
      <w:pPr>
        <w:pStyle w:val="BodyText"/>
        <w:ind w:left="227" w:right="794"/>
        <w:jc w:val="both"/>
      </w:pPr>
      <w:r w:rsidRPr="00967AC5">
        <w:t>The Radio Spectrum Policy Programme (RSPP) requires Member States, in cooperation with the Commission, to take all steps necessary to ensure that sufficient spectrum for coverage and capacity purposes is available within the Union, in order to enable the Union to have the fastest broadband speeds in the world, thereby making it possible for wireless applications and European leadership in new services to contribute effectively to economic growth, and to achieving the target for all citizens to have access to broadband speeds of not less than 30 Mbps by 2020. Furthermore, the RSPP calls on Member States and the Commission to ensure spectrum availability for the Internet of Things (IoT) and to foster the development of standards and the harmonisation of spectrum allocation for IoT communications.</w:t>
      </w:r>
    </w:p>
    <w:p w14:paraId="1C9E791A" w14:textId="77777777" w:rsidR="00E838DC" w:rsidRPr="00967AC5" w:rsidRDefault="00E838DC" w:rsidP="00976220">
      <w:pPr>
        <w:pStyle w:val="BodyText"/>
        <w:spacing w:before="11"/>
        <w:ind w:right="794"/>
        <w:rPr>
          <w:sz w:val="20"/>
        </w:rPr>
      </w:pPr>
    </w:p>
    <w:p w14:paraId="06989E1C" w14:textId="77777777" w:rsidR="00E838DC" w:rsidRPr="00967AC5" w:rsidRDefault="00E838DC" w:rsidP="00976220">
      <w:pPr>
        <w:pStyle w:val="BodyText"/>
        <w:ind w:left="227" w:right="794"/>
        <w:jc w:val="both"/>
      </w:pPr>
      <w:r w:rsidRPr="00967AC5">
        <w:t>Advances in international standardisation at 3GPP and ITU, as well as rapid international developments regarding 5G trials and spectrum use until 2020, call for a swift and coordinated EU-level process on delivering sufficient and appropriate 5G spectrum in the Union according to anticipated deployment of 5G usage scenarios.</w:t>
      </w:r>
    </w:p>
    <w:p w14:paraId="27F64C79" w14:textId="77777777" w:rsidR="00E838DC" w:rsidRPr="00967AC5" w:rsidRDefault="00E838DC" w:rsidP="00976220">
      <w:pPr>
        <w:pStyle w:val="BodyText"/>
        <w:spacing w:before="1"/>
        <w:ind w:right="794"/>
        <w:rPr>
          <w:sz w:val="21"/>
        </w:rPr>
      </w:pPr>
    </w:p>
    <w:p w14:paraId="2EE08F8E" w14:textId="77777777" w:rsidR="00E838DC" w:rsidRPr="00967AC5" w:rsidRDefault="00E838DC" w:rsidP="00976220">
      <w:pPr>
        <w:pStyle w:val="ListParagraph"/>
        <w:widowControl w:val="0"/>
        <w:numPr>
          <w:ilvl w:val="0"/>
          <w:numId w:val="53"/>
        </w:numPr>
        <w:tabs>
          <w:tab w:val="left" w:pos="707"/>
          <w:tab w:val="left" w:pos="708"/>
        </w:tabs>
        <w:autoSpaceDE w:val="0"/>
        <w:autoSpaceDN w:val="0"/>
        <w:spacing w:before="0" w:after="0"/>
        <w:ind w:right="794"/>
        <w:contextualSpacing w:val="0"/>
        <w:rPr>
          <w:rFonts w:ascii="Times New Roman" w:hAnsi="Times New Roman"/>
          <w:b/>
          <w:sz w:val="19"/>
        </w:rPr>
      </w:pPr>
      <w:bookmarkStart w:id="167" w:name="4._Task_order_and_schedule"/>
      <w:bookmarkEnd w:id="167"/>
      <w:r w:rsidRPr="00967AC5">
        <w:rPr>
          <w:rFonts w:ascii="Times New Roman" w:hAnsi="Times New Roman"/>
          <w:b/>
          <w:sz w:val="24"/>
        </w:rPr>
        <w:t>T</w:t>
      </w:r>
      <w:r w:rsidRPr="00967AC5">
        <w:rPr>
          <w:rFonts w:ascii="Times New Roman" w:hAnsi="Times New Roman"/>
          <w:b/>
          <w:sz w:val="19"/>
        </w:rPr>
        <w:t>ASK ORDER AND</w:t>
      </w:r>
      <w:r w:rsidRPr="00967AC5">
        <w:rPr>
          <w:rFonts w:ascii="Times New Roman" w:hAnsi="Times New Roman"/>
          <w:b/>
          <w:spacing w:val="-2"/>
          <w:sz w:val="19"/>
        </w:rPr>
        <w:t xml:space="preserve"> </w:t>
      </w:r>
      <w:r w:rsidRPr="00967AC5">
        <w:rPr>
          <w:rFonts w:ascii="Times New Roman" w:hAnsi="Times New Roman"/>
          <w:b/>
          <w:sz w:val="19"/>
        </w:rPr>
        <w:t>SCHEDULE</w:t>
      </w:r>
    </w:p>
    <w:p w14:paraId="77F00D01" w14:textId="77777777" w:rsidR="00E838DC" w:rsidRPr="00967AC5" w:rsidRDefault="00E838DC" w:rsidP="00976220">
      <w:pPr>
        <w:pStyle w:val="BodyText"/>
        <w:spacing w:before="7"/>
        <w:ind w:right="794"/>
        <w:rPr>
          <w:b/>
          <w:sz w:val="20"/>
        </w:rPr>
      </w:pPr>
    </w:p>
    <w:p w14:paraId="4F2FD812" w14:textId="77777777" w:rsidR="00E838DC" w:rsidRPr="00967AC5" w:rsidRDefault="00E838DC" w:rsidP="00976220">
      <w:pPr>
        <w:pStyle w:val="BodyText"/>
        <w:spacing w:before="1"/>
        <w:ind w:left="227" w:right="794"/>
        <w:jc w:val="both"/>
      </w:pPr>
      <w:r w:rsidRPr="00967AC5">
        <w:t xml:space="preserve">CEPT is herewith mandated to develop harmonised least restrictive technical conditions for the 900 MHz, 1800 MHz, the 2.6 GHz and the paired terrestrial 2 GHz and frequency bands in line with the principles of technology and service neutrality, suitable for </w:t>
      </w:r>
      <w:r w:rsidRPr="00967AC5">
        <w:rPr>
          <w:i/>
        </w:rPr>
        <w:t xml:space="preserve">next- generation (5G) terrestrial wireless systems </w:t>
      </w:r>
      <w:r w:rsidRPr="00967AC5">
        <w:t>in line with the policy priorities set out in this Mandate and taking into account relevant needs for shared spectrum use with incumbent uses. CEPT should give utmost consideration to overall EU spectrum policy objectives such as effective and efficient spectrum use and take utmost account of applicable principles established in EU law such as those relating to service and technological neutrality, non-discrimination and proportionality insofar as technically</w:t>
      </w:r>
      <w:r w:rsidRPr="00967AC5">
        <w:rPr>
          <w:spacing w:val="-5"/>
        </w:rPr>
        <w:t xml:space="preserve"> </w:t>
      </w:r>
      <w:r w:rsidRPr="00967AC5">
        <w:t>possible.</w:t>
      </w:r>
    </w:p>
    <w:p w14:paraId="7DBFF731" w14:textId="2EBA1665" w:rsidR="00E838DC" w:rsidRPr="00967AC5" w:rsidRDefault="00242349" w:rsidP="00F861F6">
      <w:pPr>
        <w:pStyle w:val="BodyText"/>
        <w:spacing w:before="5"/>
        <w:rPr>
          <w:sz w:val="21"/>
        </w:rPr>
      </w:pPr>
      <w:r w:rsidRPr="00967AC5">
        <w:rPr>
          <w:noProof/>
          <w:lang w:eastAsia="zh-CN"/>
        </w:rPr>
        <mc:AlternateContent>
          <mc:Choice Requires="wps">
            <w:drawing>
              <wp:anchor distT="0" distB="0" distL="0" distR="0" simplePos="0" relativeHeight="251660299" behindDoc="1" locked="0" layoutInCell="1" allowOverlap="1" wp14:anchorId="33F9EE18" wp14:editId="225845A1">
                <wp:simplePos x="0" y="0"/>
                <wp:positionH relativeFrom="page">
                  <wp:posOffset>864235</wp:posOffset>
                </wp:positionH>
                <wp:positionV relativeFrom="paragraph">
                  <wp:posOffset>155575</wp:posOffset>
                </wp:positionV>
                <wp:extent cx="1828800" cy="720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F5D1A" id="Rectangle 3" o:spid="_x0000_s1026" style="position:absolute;margin-left:68.05pt;margin-top:12.25pt;width:2in;height:.55pt;z-index:-2516561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" fillcolor="black" stroked="f">
                <w10:wrap type="topAndBottom" anchorx="page"/>
              </v:rect>
            </w:pict>
          </mc:Fallback>
        </mc:AlternateContent>
      </w:r>
    </w:p>
    <w:p w14:paraId="35A5F2E6" w14:textId="0D25C55D" w:rsidR="00E838DC" w:rsidRPr="00967AC5" w:rsidRDefault="00E838DC" w:rsidP="0047406F">
      <w:pPr>
        <w:spacing w:before="60" w:after="60"/>
        <w:ind w:left="227"/>
        <w:rPr>
          <w:rFonts w:ascii="Times New Roman" w:hAnsi="Times New Roman"/>
          <w:lang w:val="en-GB"/>
        </w:rPr>
      </w:pPr>
      <w:r w:rsidRPr="00967AC5">
        <w:rPr>
          <w:rFonts w:ascii="Times New Roman" w:hAnsi="Times New Roman"/>
          <w:vertAlign w:val="superscript"/>
          <w:lang w:val="en-GB"/>
        </w:rPr>
        <w:t>9</w:t>
      </w:r>
      <w:r w:rsidRPr="00967AC5">
        <w:rPr>
          <w:rFonts w:ascii="Times New Roman" w:hAnsi="Times New Roman"/>
          <w:lang w:val="en-GB"/>
        </w:rPr>
        <w:t xml:space="preserve"> Article 5 of Decision 2009/766/EC (as amended)</w:t>
      </w:r>
    </w:p>
    <w:p w14:paraId="0D00AAC5" w14:textId="5414EC9C" w:rsidR="00C66217" w:rsidRPr="00967AC5" w:rsidRDefault="00E838DC" w:rsidP="0047406F">
      <w:pPr>
        <w:spacing w:before="120" w:after="60"/>
        <w:ind w:left="465" w:right="1043" w:hanging="238"/>
        <w:rPr>
          <w:rFonts w:ascii="Times New Roman" w:hAnsi="Times New Roman"/>
          <w:sz w:val="24"/>
          <w:lang w:val="en-GB"/>
        </w:rPr>
      </w:pPr>
      <w:r w:rsidRPr="00967AC5">
        <w:rPr>
          <w:rFonts w:ascii="Times New Roman" w:hAnsi="Times New Roman"/>
          <w:vertAlign w:val="superscript"/>
          <w:lang w:val="en-GB"/>
        </w:rPr>
        <w:t>10</w:t>
      </w:r>
      <w:r w:rsidRPr="00967AC5">
        <w:rPr>
          <w:rFonts w:ascii="Times New Roman" w:hAnsi="Times New Roman"/>
          <w:lang w:val="en-GB"/>
        </w:rPr>
        <w:t xml:space="preserve"> Decision 676/2002/EC of the European Parliament and of the Council of 7 March 2002 on a regulatory framework for radio spectrum policy in the European Community, OJ L 108 of 24.4.2002</w:t>
      </w:r>
      <w:r w:rsidR="00C66217" w:rsidRPr="00967AC5">
        <w:rPr>
          <w:lang w:val="en-GB"/>
        </w:rPr>
        <w:br w:type="page"/>
      </w:r>
    </w:p>
    <w:p w14:paraId="465CC5F9" w14:textId="33422E8D" w:rsidR="00E838DC" w:rsidRPr="00967AC5" w:rsidRDefault="00E838DC" w:rsidP="0038480C">
      <w:pPr>
        <w:pStyle w:val="BodyText"/>
        <w:spacing w:before="69"/>
        <w:ind w:left="227" w:right="794"/>
        <w:jc w:val="both"/>
      </w:pPr>
      <w:r w:rsidRPr="00967AC5">
        <w:lastRenderedPageBreak/>
        <w:t>CEPT is requested to collaborate actively with the European Telecommunications Standardisation Institute (ETSI), which develops harmonised standards for conformity under the Radio Equipment Directive. In particular, CEPT should take into consideration emerging technologies and ETSI harmonised standards, which define 5G systems, facilitate shared spectrum use or foster economies of</w:t>
      </w:r>
      <w:r w:rsidRPr="00967AC5">
        <w:rPr>
          <w:spacing w:val="-2"/>
        </w:rPr>
        <w:t xml:space="preserve"> </w:t>
      </w:r>
      <w:r w:rsidRPr="00967AC5">
        <w:t>scale.</w:t>
      </w:r>
    </w:p>
    <w:p w14:paraId="7023CBC7" w14:textId="77777777" w:rsidR="00E838DC" w:rsidRPr="00967AC5" w:rsidRDefault="00E838DC" w:rsidP="0038480C">
      <w:pPr>
        <w:pStyle w:val="BodyText"/>
        <w:spacing w:before="10"/>
        <w:ind w:right="794"/>
        <w:rPr>
          <w:sz w:val="20"/>
        </w:rPr>
      </w:pPr>
    </w:p>
    <w:p w14:paraId="284D87D5" w14:textId="77777777" w:rsidR="00E838DC" w:rsidRPr="00967AC5" w:rsidRDefault="00E838DC" w:rsidP="0038480C">
      <w:pPr>
        <w:pStyle w:val="BodyText"/>
        <w:ind w:left="227" w:right="794"/>
        <w:jc w:val="both"/>
      </w:pPr>
      <w:r w:rsidRPr="00967AC5">
        <w:t>More specifically, CEPT is mandated to perform the following tasks with view to creating sufficiently precise conditions for the development of EU-wide equipment:</w:t>
      </w:r>
    </w:p>
    <w:p w14:paraId="4160B7A4" w14:textId="77777777" w:rsidR="00E838DC" w:rsidRPr="00967AC5" w:rsidRDefault="00E838DC" w:rsidP="0038480C">
      <w:pPr>
        <w:pStyle w:val="BodyText"/>
        <w:spacing w:before="10"/>
        <w:ind w:right="794"/>
        <w:rPr>
          <w:sz w:val="20"/>
        </w:rPr>
      </w:pPr>
    </w:p>
    <w:p w14:paraId="3671F06F" w14:textId="77777777" w:rsidR="00E838DC" w:rsidRPr="00967AC5" w:rsidRDefault="00E838DC" w:rsidP="0038480C">
      <w:pPr>
        <w:pStyle w:val="ListParagraph"/>
        <w:widowControl w:val="0"/>
        <w:numPr>
          <w:ilvl w:val="0"/>
          <w:numId w:val="52"/>
        </w:numPr>
        <w:tabs>
          <w:tab w:val="left" w:pos="938"/>
        </w:tabs>
        <w:autoSpaceDE w:val="0"/>
        <w:autoSpaceDN w:val="0"/>
        <w:spacing w:before="0" w:after="0"/>
        <w:ind w:right="794"/>
        <w:contextualSpacing w:val="0"/>
        <w:rPr>
          <w:rFonts w:ascii="Times New Roman" w:hAnsi="Times New Roman"/>
          <w:sz w:val="24"/>
        </w:rPr>
      </w:pPr>
      <w:r w:rsidRPr="00967AC5">
        <w:rPr>
          <w:rFonts w:ascii="Times New Roman" w:hAnsi="Times New Roman"/>
          <w:sz w:val="24"/>
        </w:rPr>
        <w:t>Review the EU-harmonised technical conditions for use of the 900 MHz, 1800 MHz, paired terrestrial 2 GHz, and 2.6 GHz frequency bands with view to their suitability for 5G terrestrial wireless systems</w:t>
      </w:r>
      <w:r w:rsidRPr="00967AC5">
        <w:rPr>
          <w:rFonts w:ascii="Times New Roman" w:hAnsi="Times New Roman"/>
          <w:sz w:val="24"/>
          <w:vertAlign w:val="superscript"/>
        </w:rPr>
        <w:t>11</w:t>
      </w:r>
      <w:r w:rsidRPr="00967AC5">
        <w:rPr>
          <w:rFonts w:ascii="Times New Roman" w:hAnsi="Times New Roman"/>
          <w:sz w:val="24"/>
        </w:rPr>
        <w:t xml:space="preserve"> which provide electronic communications services as well as other relevant services or applications, and assess the approach to adapting the EU-harmonised technical conditions for 5G use, if</w:t>
      </w:r>
      <w:r w:rsidRPr="00967AC5">
        <w:rPr>
          <w:rFonts w:ascii="Times New Roman" w:hAnsi="Times New Roman"/>
          <w:spacing w:val="-1"/>
          <w:sz w:val="24"/>
        </w:rPr>
        <w:t xml:space="preserve"> </w:t>
      </w:r>
      <w:r w:rsidRPr="00967AC5">
        <w:rPr>
          <w:rFonts w:ascii="Times New Roman" w:hAnsi="Times New Roman"/>
          <w:sz w:val="24"/>
        </w:rPr>
        <w:t>needed.</w:t>
      </w:r>
    </w:p>
    <w:p w14:paraId="4C21B4B4" w14:textId="77777777" w:rsidR="00E838DC" w:rsidRPr="00967AC5" w:rsidRDefault="00E838DC" w:rsidP="0038480C">
      <w:pPr>
        <w:pStyle w:val="BodyText"/>
        <w:spacing w:before="10"/>
        <w:ind w:right="794"/>
        <w:rPr>
          <w:sz w:val="20"/>
        </w:rPr>
      </w:pPr>
    </w:p>
    <w:p w14:paraId="441E4A30" w14:textId="5F254959" w:rsidR="00E838DC" w:rsidRPr="00967AC5" w:rsidRDefault="00E838DC" w:rsidP="0038480C">
      <w:pPr>
        <w:pStyle w:val="BodyText"/>
        <w:spacing w:before="1"/>
        <w:ind w:left="937" w:right="794"/>
        <w:jc w:val="both"/>
      </w:pPr>
      <w:r w:rsidRPr="00967AC5">
        <w:t>In particular, for the 900 MHz frequency band, such assessment should address any potential constraints (e.g. regarding efficient spectrum use), which result from the requirement to ensure co-existence with the GSM system, pursuant to the GSM Directive</w:t>
      </w:r>
      <w:hyperlink w:anchor="_bookmark0" w:history="1">
        <w:r w:rsidRPr="00967AC5">
          <w:rPr>
            <w:vertAlign w:val="superscript"/>
          </w:rPr>
          <w:t>7</w:t>
        </w:r>
      </w:hyperlink>
      <w:r w:rsidRPr="00967AC5">
        <w:t>.</w:t>
      </w:r>
    </w:p>
    <w:p w14:paraId="5910E363" w14:textId="77777777" w:rsidR="00E838DC" w:rsidRPr="00967AC5" w:rsidRDefault="00E838DC" w:rsidP="0038480C">
      <w:pPr>
        <w:pStyle w:val="ListParagraph"/>
        <w:widowControl w:val="0"/>
        <w:numPr>
          <w:ilvl w:val="0"/>
          <w:numId w:val="52"/>
        </w:numPr>
        <w:tabs>
          <w:tab w:val="left" w:pos="938"/>
        </w:tabs>
        <w:autoSpaceDE w:val="0"/>
        <w:autoSpaceDN w:val="0"/>
        <w:spacing w:after="0"/>
        <w:ind w:right="794"/>
        <w:contextualSpacing w:val="0"/>
        <w:rPr>
          <w:rFonts w:ascii="Times New Roman" w:hAnsi="Times New Roman"/>
          <w:sz w:val="24"/>
        </w:rPr>
      </w:pPr>
      <w:r w:rsidRPr="00967AC5">
        <w:rPr>
          <w:rFonts w:ascii="Times New Roman" w:hAnsi="Times New Roman"/>
          <w:sz w:val="24"/>
        </w:rPr>
        <w:t>Based on the results under Task 1, develop channelling arrangements and common and minimal (least restrictive) technical conditions</w:t>
      </w:r>
      <w:r w:rsidRPr="00967AC5">
        <w:rPr>
          <w:rFonts w:ascii="Times New Roman" w:hAnsi="Times New Roman"/>
          <w:sz w:val="24"/>
          <w:vertAlign w:val="superscript"/>
        </w:rPr>
        <w:t>12</w:t>
      </w:r>
      <w:r w:rsidRPr="00967AC5">
        <w:rPr>
          <w:rFonts w:ascii="Times New Roman" w:hAnsi="Times New Roman"/>
          <w:sz w:val="24"/>
        </w:rPr>
        <w:t xml:space="preserve"> for the aforementioned frequency bands, which are suitable for 5G terrestrial wireless systems </w:t>
      </w:r>
      <w:r w:rsidRPr="00967AC5">
        <w:rPr>
          <w:rFonts w:ascii="Times New Roman" w:hAnsi="Times New Roman"/>
          <w:spacing w:val="-6"/>
          <w:sz w:val="24"/>
        </w:rPr>
        <w:t xml:space="preserve">in </w:t>
      </w:r>
      <w:r w:rsidRPr="00967AC5">
        <w:rPr>
          <w:rFonts w:ascii="Times New Roman" w:hAnsi="Times New Roman"/>
          <w:sz w:val="24"/>
        </w:rPr>
        <w:t>compliance with the principles of technology and service</w:t>
      </w:r>
      <w:r w:rsidRPr="00967AC5">
        <w:rPr>
          <w:rFonts w:ascii="Times New Roman" w:hAnsi="Times New Roman"/>
          <w:spacing w:val="-2"/>
          <w:sz w:val="24"/>
        </w:rPr>
        <w:t xml:space="preserve"> </w:t>
      </w:r>
      <w:r w:rsidRPr="00967AC5">
        <w:rPr>
          <w:rFonts w:ascii="Times New Roman" w:hAnsi="Times New Roman"/>
          <w:sz w:val="24"/>
        </w:rPr>
        <w:t>neutrality.</w:t>
      </w:r>
    </w:p>
    <w:p w14:paraId="77F01F88" w14:textId="77777777" w:rsidR="00E838DC" w:rsidRPr="00967AC5" w:rsidRDefault="00E838DC" w:rsidP="0038480C">
      <w:pPr>
        <w:pStyle w:val="BodyText"/>
        <w:spacing w:before="10"/>
        <w:ind w:right="794"/>
        <w:rPr>
          <w:sz w:val="20"/>
        </w:rPr>
      </w:pPr>
    </w:p>
    <w:p w14:paraId="51F6AB0D" w14:textId="77777777" w:rsidR="00E838DC" w:rsidRPr="00967AC5" w:rsidRDefault="00E838DC" w:rsidP="0038480C">
      <w:pPr>
        <w:pStyle w:val="BodyText"/>
        <w:ind w:left="937" w:right="794"/>
        <w:jc w:val="both"/>
      </w:pPr>
      <w:r w:rsidRPr="00967AC5">
        <w:t>These conditions should be sufficient to mitigate interference and ensure co- existence with incumbent radio services/applications in the same band or in adjacent bands, in line with their regulatory status, including at the EU outer borders.</w:t>
      </w:r>
    </w:p>
    <w:p w14:paraId="7F0CFB4B" w14:textId="77777777" w:rsidR="00E838DC" w:rsidRPr="00967AC5" w:rsidRDefault="00E838DC" w:rsidP="0038480C">
      <w:pPr>
        <w:pStyle w:val="BodyText"/>
        <w:spacing w:before="10"/>
        <w:ind w:right="794"/>
        <w:rPr>
          <w:sz w:val="20"/>
        </w:rPr>
      </w:pPr>
    </w:p>
    <w:p w14:paraId="301169D4" w14:textId="77777777" w:rsidR="00E838DC" w:rsidRPr="00967AC5" w:rsidRDefault="00E838DC" w:rsidP="0038480C">
      <w:pPr>
        <w:pStyle w:val="ListParagraph"/>
        <w:widowControl w:val="0"/>
        <w:numPr>
          <w:ilvl w:val="0"/>
          <w:numId w:val="52"/>
        </w:numPr>
        <w:tabs>
          <w:tab w:val="left" w:pos="938"/>
        </w:tabs>
        <w:autoSpaceDE w:val="0"/>
        <w:autoSpaceDN w:val="0"/>
        <w:spacing w:before="0" w:after="0"/>
        <w:ind w:right="794" w:hanging="292"/>
        <w:contextualSpacing w:val="0"/>
        <w:rPr>
          <w:rFonts w:ascii="Times New Roman" w:hAnsi="Times New Roman"/>
          <w:sz w:val="24"/>
        </w:rPr>
      </w:pPr>
      <w:r w:rsidRPr="00967AC5">
        <w:rPr>
          <w:rFonts w:ascii="Times New Roman" w:hAnsi="Times New Roman"/>
          <w:sz w:val="24"/>
        </w:rPr>
        <w:t>Develop guidance for cross-border</w:t>
      </w:r>
      <w:r w:rsidRPr="00967AC5">
        <w:rPr>
          <w:rFonts w:ascii="Times New Roman" w:hAnsi="Times New Roman"/>
          <w:spacing w:val="-1"/>
          <w:sz w:val="24"/>
        </w:rPr>
        <w:t xml:space="preserve"> </w:t>
      </w:r>
      <w:r w:rsidRPr="00967AC5">
        <w:rPr>
          <w:rFonts w:ascii="Times New Roman" w:hAnsi="Times New Roman"/>
          <w:sz w:val="24"/>
        </w:rPr>
        <w:t>coordination.</w:t>
      </w:r>
    </w:p>
    <w:p w14:paraId="2715ADFA" w14:textId="77777777" w:rsidR="00E838DC" w:rsidRPr="00967AC5" w:rsidRDefault="00E838DC" w:rsidP="0038480C">
      <w:pPr>
        <w:pStyle w:val="BodyText"/>
        <w:spacing w:before="10"/>
        <w:ind w:right="794"/>
        <w:rPr>
          <w:sz w:val="20"/>
        </w:rPr>
      </w:pPr>
    </w:p>
    <w:p w14:paraId="05C01FFF" w14:textId="77777777" w:rsidR="00E838DC" w:rsidRPr="00967AC5" w:rsidRDefault="00E838DC" w:rsidP="0038480C">
      <w:pPr>
        <w:pStyle w:val="BodyText"/>
        <w:ind w:left="227" w:right="794"/>
        <w:jc w:val="both"/>
      </w:pPr>
      <w:r w:rsidRPr="00967AC5">
        <w:t>Overall, the CEPT should provide deliverables under this Mandate according to the following schedule:</w:t>
      </w:r>
    </w:p>
    <w:p w14:paraId="36983AC0" w14:textId="77777777" w:rsidR="00E838DC" w:rsidRPr="00967AC5" w:rsidRDefault="00E838DC" w:rsidP="00E838DC">
      <w:pPr>
        <w:pStyle w:val="BodyText"/>
        <w:spacing w:before="2"/>
        <w:rPr>
          <w:sz w:val="21"/>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4110"/>
        <w:gridCol w:w="2948"/>
      </w:tblGrid>
      <w:tr w:rsidR="00E838DC" w:rsidRPr="00967AC5" w14:paraId="0D30EB89" w14:textId="77777777" w:rsidTr="00223F4E">
        <w:trPr>
          <w:trHeight w:val="515"/>
        </w:trPr>
        <w:tc>
          <w:tcPr>
            <w:tcW w:w="1702" w:type="dxa"/>
          </w:tcPr>
          <w:p w14:paraId="0912ABAC" w14:textId="77777777" w:rsidR="00E838DC" w:rsidRPr="00967AC5" w:rsidRDefault="00E838DC" w:rsidP="00223F4E">
            <w:pPr>
              <w:pStyle w:val="TableParagraph"/>
              <w:spacing w:before="119"/>
              <w:ind w:left="168"/>
              <w:rPr>
                <w:b/>
                <w:sz w:val="24"/>
              </w:rPr>
            </w:pPr>
            <w:r w:rsidRPr="00967AC5">
              <w:rPr>
                <w:b/>
                <w:sz w:val="24"/>
              </w:rPr>
              <w:t>Delivery date</w:t>
            </w:r>
          </w:p>
        </w:tc>
        <w:tc>
          <w:tcPr>
            <w:tcW w:w="4110" w:type="dxa"/>
          </w:tcPr>
          <w:p w14:paraId="2C50A9BF" w14:textId="77777777" w:rsidR="00E838DC" w:rsidRPr="00967AC5" w:rsidRDefault="00E838DC" w:rsidP="00223F4E">
            <w:pPr>
              <w:pStyle w:val="TableParagraph"/>
              <w:spacing w:before="119"/>
              <w:ind w:left="1448" w:right="1438"/>
              <w:jc w:val="center"/>
              <w:rPr>
                <w:b/>
                <w:sz w:val="24"/>
              </w:rPr>
            </w:pPr>
            <w:r w:rsidRPr="00967AC5">
              <w:rPr>
                <w:b/>
                <w:sz w:val="24"/>
              </w:rPr>
              <w:t>Deliverable</w:t>
            </w:r>
          </w:p>
        </w:tc>
        <w:tc>
          <w:tcPr>
            <w:tcW w:w="2948" w:type="dxa"/>
          </w:tcPr>
          <w:p w14:paraId="2D8CCA12" w14:textId="77777777" w:rsidR="00E838DC" w:rsidRPr="00967AC5" w:rsidRDefault="00E838DC" w:rsidP="00223F4E">
            <w:pPr>
              <w:pStyle w:val="TableParagraph"/>
              <w:spacing w:before="119"/>
              <w:ind w:left="1068" w:right="1055"/>
              <w:jc w:val="center"/>
              <w:rPr>
                <w:b/>
                <w:sz w:val="24"/>
              </w:rPr>
            </w:pPr>
            <w:r w:rsidRPr="00967AC5">
              <w:rPr>
                <w:b/>
                <w:sz w:val="24"/>
              </w:rPr>
              <w:t>Subject</w:t>
            </w:r>
          </w:p>
        </w:tc>
      </w:tr>
      <w:tr w:rsidR="00E838DC" w:rsidRPr="00967AC5" w14:paraId="6A77F25C" w14:textId="77777777" w:rsidTr="00223F4E">
        <w:trPr>
          <w:trHeight w:val="2567"/>
        </w:trPr>
        <w:tc>
          <w:tcPr>
            <w:tcW w:w="1702" w:type="dxa"/>
          </w:tcPr>
          <w:p w14:paraId="28C895D4" w14:textId="77777777" w:rsidR="00E838DC" w:rsidRPr="00967AC5" w:rsidRDefault="00E838DC" w:rsidP="00223F4E">
            <w:pPr>
              <w:pStyle w:val="TableParagraph"/>
              <w:spacing w:before="116"/>
              <w:rPr>
                <w:sz w:val="24"/>
              </w:rPr>
            </w:pPr>
            <w:r w:rsidRPr="00967AC5">
              <w:rPr>
                <w:sz w:val="24"/>
              </w:rPr>
              <w:t>March 2019</w:t>
            </w:r>
          </w:p>
        </w:tc>
        <w:tc>
          <w:tcPr>
            <w:tcW w:w="4110" w:type="dxa"/>
          </w:tcPr>
          <w:p w14:paraId="32289C31" w14:textId="77777777" w:rsidR="00E838DC" w:rsidRPr="00967AC5" w:rsidRDefault="00E838DC" w:rsidP="00223F4E">
            <w:pPr>
              <w:pStyle w:val="TableParagraph"/>
              <w:spacing w:before="116"/>
              <w:ind w:left="69" w:right="56"/>
              <w:jc w:val="both"/>
              <w:rPr>
                <w:sz w:val="24"/>
              </w:rPr>
            </w:pPr>
            <w:r w:rsidRPr="00967AC5">
              <w:rPr>
                <w:sz w:val="24"/>
              </w:rPr>
              <w:t xml:space="preserve">Draft Report(s) from CEPT to </w:t>
            </w:r>
            <w:r w:rsidRPr="00967AC5">
              <w:rPr>
                <w:spacing w:val="-5"/>
                <w:sz w:val="24"/>
              </w:rPr>
              <w:t xml:space="preserve">the </w:t>
            </w:r>
            <w:r w:rsidRPr="00967AC5">
              <w:rPr>
                <w:sz w:val="24"/>
              </w:rPr>
              <w:t>Commiss</w:t>
            </w:r>
            <w:bookmarkStart w:id="168" w:name="_bookmark1"/>
            <w:bookmarkEnd w:id="168"/>
            <w:r w:rsidRPr="00967AC5">
              <w:rPr>
                <w:sz w:val="24"/>
              </w:rPr>
              <w:t>ion</w:t>
            </w:r>
            <w:r w:rsidRPr="00967AC5">
              <w:rPr>
                <w:sz w:val="24"/>
                <w:vertAlign w:val="superscript"/>
              </w:rPr>
              <w:t>13</w:t>
            </w:r>
            <w:r w:rsidRPr="00967AC5">
              <w:rPr>
                <w:sz w:val="24"/>
              </w:rPr>
              <w:t xml:space="preserve"> regarding the paired terrestrial 2 GHz frequency band,  </w:t>
            </w:r>
            <w:r w:rsidRPr="00967AC5">
              <w:rPr>
                <w:spacing w:val="-5"/>
                <w:sz w:val="24"/>
              </w:rPr>
              <w:t xml:space="preserve">and </w:t>
            </w:r>
            <w:r w:rsidRPr="00967AC5">
              <w:rPr>
                <w:sz w:val="24"/>
              </w:rPr>
              <w:t>the 2.6 GHz frequency</w:t>
            </w:r>
            <w:r w:rsidRPr="00967AC5">
              <w:rPr>
                <w:spacing w:val="-1"/>
                <w:sz w:val="24"/>
              </w:rPr>
              <w:t xml:space="preserve"> </w:t>
            </w:r>
            <w:r w:rsidRPr="00967AC5">
              <w:rPr>
                <w:sz w:val="24"/>
              </w:rPr>
              <w:t>band.</w:t>
            </w:r>
          </w:p>
          <w:p w14:paraId="5AFCC3CA" w14:textId="77777777" w:rsidR="00E838DC" w:rsidRPr="00967AC5" w:rsidRDefault="00E838DC" w:rsidP="00223F4E">
            <w:pPr>
              <w:pStyle w:val="TableParagraph"/>
              <w:spacing w:before="120"/>
              <w:ind w:left="69" w:right="58"/>
              <w:jc w:val="both"/>
              <w:rPr>
                <w:sz w:val="24"/>
              </w:rPr>
            </w:pPr>
            <w:r w:rsidRPr="00967AC5">
              <w:rPr>
                <w:sz w:val="24"/>
              </w:rPr>
              <w:t xml:space="preserve">Information on the usage feasibility </w:t>
            </w:r>
            <w:r w:rsidRPr="00967AC5">
              <w:rPr>
                <w:spacing w:val="-6"/>
                <w:sz w:val="24"/>
              </w:rPr>
              <w:t xml:space="preserve">of </w:t>
            </w:r>
            <w:r w:rsidRPr="00967AC5">
              <w:rPr>
                <w:sz w:val="24"/>
              </w:rPr>
              <w:t xml:space="preserve">the 900 MHz and 1800 MHz </w:t>
            </w:r>
            <w:r w:rsidRPr="00967AC5">
              <w:rPr>
                <w:spacing w:val="-3"/>
                <w:sz w:val="24"/>
              </w:rPr>
              <w:t xml:space="preserve">frequency </w:t>
            </w:r>
            <w:r w:rsidRPr="00967AC5">
              <w:rPr>
                <w:sz w:val="24"/>
              </w:rPr>
              <w:t xml:space="preserve">bands, including any limitations of </w:t>
            </w:r>
            <w:r w:rsidRPr="00967AC5">
              <w:rPr>
                <w:spacing w:val="-4"/>
                <w:sz w:val="24"/>
              </w:rPr>
              <w:t xml:space="preserve">the </w:t>
            </w:r>
            <w:r w:rsidRPr="00967AC5">
              <w:rPr>
                <w:sz w:val="24"/>
              </w:rPr>
              <w:t>GSM</w:t>
            </w:r>
            <w:r w:rsidRPr="00967AC5">
              <w:rPr>
                <w:spacing w:val="-1"/>
                <w:sz w:val="24"/>
              </w:rPr>
              <w:t xml:space="preserve"> </w:t>
            </w:r>
            <w:r w:rsidRPr="00967AC5">
              <w:rPr>
                <w:sz w:val="24"/>
              </w:rPr>
              <w:t>Directive.</w:t>
            </w:r>
          </w:p>
        </w:tc>
        <w:tc>
          <w:tcPr>
            <w:tcW w:w="2948" w:type="dxa"/>
          </w:tcPr>
          <w:p w14:paraId="2DEFFADE" w14:textId="77777777" w:rsidR="00E838DC" w:rsidRPr="00967AC5" w:rsidRDefault="00E838DC" w:rsidP="00223F4E">
            <w:pPr>
              <w:pStyle w:val="TableParagraph"/>
              <w:tabs>
                <w:tab w:val="left" w:pos="1423"/>
                <w:tab w:val="left" w:pos="1858"/>
                <w:tab w:val="left" w:pos="2386"/>
              </w:tabs>
              <w:spacing w:before="116"/>
              <w:ind w:right="56"/>
              <w:rPr>
                <w:sz w:val="24"/>
              </w:rPr>
            </w:pPr>
            <w:r w:rsidRPr="00967AC5">
              <w:rPr>
                <w:sz w:val="24"/>
              </w:rPr>
              <w:t>Description</w:t>
            </w:r>
            <w:r w:rsidRPr="00967AC5">
              <w:rPr>
                <w:sz w:val="24"/>
              </w:rPr>
              <w:tab/>
              <w:t>of</w:t>
            </w:r>
            <w:r w:rsidRPr="00967AC5">
              <w:rPr>
                <w:sz w:val="24"/>
              </w:rPr>
              <w:tab/>
              <w:t>the</w:t>
            </w:r>
            <w:r w:rsidRPr="00967AC5">
              <w:rPr>
                <w:sz w:val="24"/>
              </w:rPr>
              <w:tab/>
            </w:r>
            <w:r w:rsidRPr="00967AC5">
              <w:rPr>
                <w:spacing w:val="-5"/>
                <w:sz w:val="24"/>
              </w:rPr>
              <w:t xml:space="preserve">work </w:t>
            </w:r>
            <w:r w:rsidRPr="00967AC5">
              <w:rPr>
                <w:sz w:val="24"/>
              </w:rPr>
              <w:t>undertaken and the</w:t>
            </w:r>
            <w:r w:rsidRPr="00967AC5">
              <w:rPr>
                <w:spacing w:val="-2"/>
                <w:sz w:val="24"/>
              </w:rPr>
              <w:t xml:space="preserve"> </w:t>
            </w:r>
            <w:r w:rsidRPr="00967AC5">
              <w:rPr>
                <w:sz w:val="24"/>
              </w:rPr>
              <w:t>results.</w:t>
            </w:r>
          </w:p>
        </w:tc>
      </w:tr>
    </w:tbl>
    <w:p w14:paraId="07BABDCE" w14:textId="60FE02CE" w:rsidR="00242349" w:rsidRPr="0047406F" w:rsidRDefault="00242349" w:rsidP="00F861F6">
      <w:pPr>
        <w:ind w:left="227"/>
        <w:jc w:val="both"/>
        <w:rPr>
          <w:rFonts w:ascii="Times New Roman" w:hAnsi="Times New Roman"/>
          <w:sz w:val="22"/>
          <w:szCs w:val="28"/>
          <w:lang w:val="en-GB"/>
        </w:rPr>
      </w:pPr>
    </w:p>
    <w:p w14:paraId="641C3998" w14:textId="0BBE815D" w:rsidR="00242349" w:rsidRPr="0047406F" w:rsidRDefault="0047406F" w:rsidP="00F861F6">
      <w:pPr>
        <w:ind w:left="227"/>
        <w:jc w:val="both"/>
        <w:rPr>
          <w:rFonts w:ascii="Times New Roman" w:hAnsi="Times New Roman"/>
          <w:sz w:val="18"/>
          <w:szCs w:val="22"/>
          <w:lang w:val="en-GB"/>
        </w:rPr>
      </w:pPr>
      <w:r w:rsidRPr="0047406F">
        <w:rPr>
          <w:noProof/>
          <w:sz w:val="14"/>
          <w:szCs w:val="18"/>
          <w:lang w:eastAsia="zh-CN"/>
        </w:rPr>
        <mc:AlternateContent>
          <mc:Choice Requires="wps">
            <w:drawing>
              <wp:anchor distT="0" distB="0" distL="0" distR="0" simplePos="0" relativeHeight="251662347" behindDoc="1" locked="0" layoutInCell="1" allowOverlap="1" wp14:anchorId="6DE56270" wp14:editId="4D4A1649">
                <wp:simplePos x="0" y="0"/>
                <wp:positionH relativeFrom="page">
                  <wp:posOffset>864235</wp:posOffset>
                </wp:positionH>
                <wp:positionV relativeFrom="paragraph">
                  <wp:posOffset>96649</wp:posOffset>
                </wp:positionV>
                <wp:extent cx="1828800" cy="698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EC58" id="Rectangle 7" o:spid="_x0000_s1026" style="position:absolute;margin-left:68.05pt;margin-top:7.6pt;width:2in;height:.55pt;z-index:-2516541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" fillcolor="black" stroked="f">
                <w10:wrap type="topAndBottom" anchorx="page"/>
              </v:rect>
            </w:pict>
          </mc:Fallback>
        </mc:AlternateContent>
      </w:r>
    </w:p>
    <w:p w14:paraId="16E6D864" w14:textId="674B83BD" w:rsidR="00E838DC" w:rsidRPr="00967AC5" w:rsidRDefault="00E838DC" w:rsidP="0047406F">
      <w:pPr>
        <w:spacing w:before="60" w:after="60"/>
        <w:ind w:left="227"/>
        <w:jc w:val="both"/>
        <w:rPr>
          <w:rFonts w:ascii="Times New Roman" w:hAnsi="Times New Roman"/>
          <w:lang w:val="en-GB"/>
        </w:rPr>
      </w:pPr>
      <w:r w:rsidRPr="00967AC5">
        <w:rPr>
          <w:rFonts w:ascii="Times New Roman" w:hAnsi="Times New Roman"/>
          <w:vertAlign w:val="superscript"/>
          <w:lang w:val="en-GB"/>
        </w:rPr>
        <w:t>11</w:t>
      </w:r>
      <w:r w:rsidRPr="00967AC5">
        <w:rPr>
          <w:rFonts w:ascii="Times New Roman" w:hAnsi="Times New Roman"/>
          <w:lang w:val="en-GB"/>
        </w:rPr>
        <w:t xml:space="preserve"> Such as based on the usage of active antenna systems</w:t>
      </w:r>
    </w:p>
    <w:p w14:paraId="31083D9C" w14:textId="77777777" w:rsidR="00E838DC" w:rsidRPr="00967AC5" w:rsidRDefault="00E838DC" w:rsidP="0047406F">
      <w:pPr>
        <w:spacing w:before="120" w:after="60"/>
        <w:ind w:left="227"/>
        <w:jc w:val="both"/>
        <w:rPr>
          <w:rFonts w:ascii="Times New Roman" w:hAnsi="Times New Roman"/>
          <w:lang w:val="en-GB"/>
        </w:rPr>
      </w:pPr>
      <w:r w:rsidRPr="00967AC5">
        <w:rPr>
          <w:rFonts w:ascii="Times New Roman" w:hAnsi="Times New Roman"/>
          <w:vertAlign w:val="superscript"/>
          <w:lang w:val="en-GB"/>
        </w:rPr>
        <w:t>12</w:t>
      </w:r>
      <w:r w:rsidRPr="00967AC5">
        <w:rPr>
          <w:rFonts w:ascii="Times New Roman" w:hAnsi="Times New Roman"/>
          <w:lang w:val="en-GB"/>
        </w:rPr>
        <w:t xml:space="preserve"> Such as the definition of appropriate Block Edge Masks (BEMs)</w:t>
      </w:r>
    </w:p>
    <w:p w14:paraId="6D5B41CC" w14:textId="6E85B7A7" w:rsidR="0022342D" w:rsidRPr="00967AC5" w:rsidRDefault="00E838DC" w:rsidP="0047406F">
      <w:pPr>
        <w:spacing w:before="120" w:after="60"/>
        <w:ind w:left="227"/>
        <w:jc w:val="both"/>
        <w:rPr>
          <w:rFonts w:ascii="Times New Roman" w:hAnsi="Times New Roman"/>
          <w:lang w:val="en-GB"/>
        </w:rPr>
      </w:pPr>
      <w:r w:rsidRPr="00967AC5">
        <w:rPr>
          <w:rFonts w:ascii="Times New Roman" w:hAnsi="Times New Roman"/>
          <w:vertAlign w:val="superscript"/>
          <w:lang w:val="en-GB"/>
        </w:rPr>
        <w:t>13</w:t>
      </w:r>
      <w:r w:rsidRPr="00967AC5">
        <w:rPr>
          <w:rFonts w:ascii="Times New Roman" w:hAnsi="Times New Roman"/>
          <w:lang w:val="en-GB"/>
        </w:rPr>
        <w:t xml:space="preserve"> Subject to subsequent public consultation</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4110"/>
        <w:gridCol w:w="2948"/>
      </w:tblGrid>
      <w:tr w:rsidR="00E838DC" w:rsidRPr="00967AC5" w14:paraId="42D92233" w14:textId="77777777" w:rsidTr="00223F4E">
        <w:trPr>
          <w:trHeight w:val="1895"/>
        </w:trPr>
        <w:tc>
          <w:tcPr>
            <w:tcW w:w="1702" w:type="dxa"/>
          </w:tcPr>
          <w:p w14:paraId="60F81DA0" w14:textId="77777777" w:rsidR="00E838DC" w:rsidRPr="00967AC5" w:rsidRDefault="00E838DC" w:rsidP="00223F4E">
            <w:pPr>
              <w:pStyle w:val="TableParagraph"/>
              <w:rPr>
                <w:sz w:val="24"/>
              </w:rPr>
            </w:pPr>
            <w:r w:rsidRPr="00967AC5">
              <w:rPr>
                <w:sz w:val="24"/>
              </w:rPr>
              <w:lastRenderedPageBreak/>
              <w:t>July 2019</w:t>
            </w:r>
          </w:p>
        </w:tc>
        <w:tc>
          <w:tcPr>
            <w:tcW w:w="4110" w:type="dxa"/>
          </w:tcPr>
          <w:p w14:paraId="29958055" w14:textId="77777777" w:rsidR="00E838DC" w:rsidRPr="00967AC5" w:rsidRDefault="00E838DC" w:rsidP="00223F4E">
            <w:pPr>
              <w:pStyle w:val="TableParagraph"/>
              <w:ind w:left="69" w:right="56"/>
              <w:jc w:val="both"/>
              <w:rPr>
                <w:sz w:val="24"/>
              </w:rPr>
            </w:pPr>
            <w:r w:rsidRPr="00967AC5">
              <w:rPr>
                <w:sz w:val="24"/>
              </w:rPr>
              <w:t xml:space="preserve">Final Report(s) from CEPT to </w:t>
            </w:r>
            <w:r w:rsidRPr="00967AC5">
              <w:rPr>
                <w:spacing w:val="-4"/>
                <w:sz w:val="24"/>
              </w:rPr>
              <w:t>the</w:t>
            </w:r>
            <w:r w:rsidRPr="00967AC5">
              <w:rPr>
                <w:spacing w:val="52"/>
                <w:sz w:val="24"/>
              </w:rPr>
              <w:t xml:space="preserve"> </w:t>
            </w:r>
            <w:r w:rsidRPr="00967AC5">
              <w:rPr>
                <w:sz w:val="24"/>
              </w:rPr>
              <w:t xml:space="preserve">Commission regarding the paired terrestrial 2 GHz frequency band,  </w:t>
            </w:r>
            <w:r w:rsidRPr="00967AC5">
              <w:rPr>
                <w:spacing w:val="-5"/>
                <w:sz w:val="24"/>
              </w:rPr>
              <w:t xml:space="preserve">and </w:t>
            </w:r>
            <w:r w:rsidRPr="00967AC5">
              <w:rPr>
                <w:sz w:val="24"/>
              </w:rPr>
              <w:t>the 2.6 GHz frequency band, taking into account the outcome of the public consultation.</w:t>
            </w:r>
          </w:p>
        </w:tc>
        <w:tc>
          <w:tcPr>
            <w:tcW w:w="2948" w:type="dxa"/>
          </w:tcPr>
          <w:p w14:paraId="6769045C" w14:textId="77777777" w:rsidR="00E838DC" w:rsidRPr="00967AC5" w:rsidRDefault="00E838DC" w:rsidP="00223F4E">
            <w:pPr>
              <w:pStyle w:val="TableParagraph"/>
              <w:tabs>
                <w:tab w:val="left" w:pos="1423"/>
                <w:tab w:val="left" w:pos="1856"/>
                <w:tab w:val="left" w:pos="2384"/>
              </w:tabs>
              <w:ind w:right="58"/>
              <w:rPr>
                <w:sz w:val="24"/>
              </w:rPr>
            </w:pPr>
            <w:r w:rsidRPr="00967AC5">
              <w:rPr>
                <w:sz w:val="24"/>
              </w:rPr>
              <w:t>Description</w:t>
            </w:r>
            <w:r w:rsidRPr="00967AC5">
              <w:rPr>
                <w:sz w:val="24"/>
              </w:rPr>
              <w:tab/>
              <w:t>of</w:t>
            </w:r>
            <w:r w:rsidRPr="00967AC5">
              <w:rPr>
                <w:sz w:val="24"/>
              </w:rPr>
              <w:tab/>
              <w:t>the</w:t>
            </w:r>
            <w:r w:rsidRPr="00967AC5">
              <w:rPr>
                <w:sz w:val="24"/>
              </w:rPr>
              <w:tab/>
            </w:r>
            <w:r w:rsidRPr="00967AC5">
              <w:rPr>
                <w:spacing w:val="-5"/>
                <w:sz w:val="24"/>
              </w:rPr>
              <w:t xml:space="preserve">work </w:t>
            </w:r>
            <w:r w:rsidRPr="00967AC5">
              <w:rPr>
                <w:sz w:val="24"/>
              </w:rPr>
              <w:t>undertaken and the</w:t>
            </w:r>
            <w:r w:rsidRPr="00967AC5">
              <w:rPr>
                <w:spacing w:val="-2"/>
                <w:sz w:val="24"/>
              </w:rPr>
              <w:t xml:space="preserve"> </w:t>
            </w:r>
            <w:r w:rsidRPr="00967AC5">
              <w:rPr>
                <w:sz w:val="24"/>
              </w:rPr>
              <w:t>results.</w:t>
            </w:r>
          </w:p>
        </w:tc>
      </w:tr>
      <w:tr w:rsidR="00E838DC" w:rsidRPr="00967AC5" w14:paraId="25871546" w14:textId="77777777" w:rsidTr="00223F4E">
        <w:trPr>
          <w:trHeight w:val="1069"/>
        </w:trPr>
        <w:tc>
          <w:tcPr>
            <w:tcW w:w="1702" w:type="dxa"/>
          </w:tcPr>
          <w:p w14:paraId="1F01E422" w14:textId="77777777" w:rsidR="00E838DC" w:rsidRPr="00967AC5" w:rsidRDefault="00E838DC" w:rsidP="00223F4E">
            <w:pPr>
              <w:pStyle w:val="TableParagraph"/>
              <w:rPr>
                <w:sz w:val="24"/>
              </w:rPr>
            </w:pPr>
            <w:r w:rsidRPr="00967AC5">
              <w:rPr>
                <w:sz w:val="24"/>
              </w:rPr>
              <w:t>July 2020</w:t>
            </w:r>
          </w:p>
        </w:tc>
        <w:tc>
          <w:tcPr>
            <w:tcW w:w="4110" w:type="dxa"/>
          </w:tcPr>
          <w:p w14:paraId="2699AB85" w14:textId="347BB639" w:rsidR="00E838DC" w:rsidRPr="00967AC5" w:rsidRDefault="00E838DC" w:rsidP="00223F4E">
            <w:pPr>
              <w:pStyle w:val="TableParagraph"/>
              <w:ind w:left="69" w:right="58"/>
              <w:jc w:val="both"/>
              <w:rPr>
                <w:sz w:val="24"/>
              </w:rPr>
            </w:pPr>
            <w:r w:rsidRPr="00967AC5">
              <w:rPr>
                <w:sz w:val="24"/>
              </w:rPr>
              <w:t>Draft Report(s) from CEPT to the Commission</w:t>
            </w:r>
            <w:hyperlink w:anchor="_bookmark1" w:history="1">
              <w:r w:rsidRPr="00967AC5">
                <w:rPr>
                  <w:sz w:val="24"/>
                  <w:vertAlign w:val="superscript"/>
                </w:rPr>
                <w:t>13</w:t>
              </w:r>
            </w:hyperlink>
            <w:r w:rsidRPr="00967AC5">
              <w:rPr>
                <w:sz w:val="24"/>
              </w:rPr>
              <w:t xml:space="preserve"> regarding the 900 MHz and 1800 MHz frequency bands.</w:t>
            </w:r>
          </w:p>
        </w:tc>
        <w:tc>
          <w:tcPr>
            <w:tcW w:w="2948" w:type="dxa"/>
          </w:tcPr>
          <w:p w14:paraId="7055C583" w14:textId="77777777" w:rsidR="00E838DC" w:rsidRPr="00967AC5" w:rsidRDefault="00E838DC" w:rsidP="00223F4E">
            <w:pPr>
              <w:pStyle w:val="TableParagraph"/>
              <w:tabs>
                <w:tab w:val="left" w:pos="1423"/>
                <w:tab w:val="left" w:pos="1856"/>
                <w:tab w:val="left" w:pos="2384"/>
              </w:tabs>
              <w:ind w:right="58"/>
              <w:rPr>
                <w:sz w:val="24"/>
              </w:rPr>
            </w:pPr>
            <w:r w:rsidRPr="00967AC5">
              <w:rPr>
                <w:sz w:val="24"/>
              </w:rPr>
              <w:t>Description</w:t>
            </w:r>
            <w:r w:rsidRPr="00967AC5">
              <w:rPr>
                <w:sz w:val="24"/>
              </w:rPr>
              <w:tab/>
              <w:t>of</w:t>
            </w:r>
            <w:r w:rsidRPr="00967AC5">
              <w:rPr>
                <w:sz w:val="24"/>
              </w:rPr>
              <w:tab/>
              <w:t>the</w:t>
            </w:r>
            <w:r w:rsidRPr="00967AC5">
              <w:rPr>
                <w:sz w:val="24"/>
              </w:rPr>
              <w:tab/>
            </w:r>
            <w:r w:rsidRPr="00967AC5">
              <w:rPr>
                <w:spacing w:val="-5"/>
                <w:sz w:val="24"/>
              </w:rPr>
              <w:t xml:space="preserve">work </w:t>
            </w:r>
            <w:r w:rsidRPr="00967AC5">
              <w:rPr>
                <w:sz w:val="24"/>
              </w:rPr>
              <w:t>undertaken and the</w:t>
            </w:r>
            <w:r w:rsidRPr="00967AC5">
              <w:rPr>
                <w:spacing w:val="-2"/>
                <w:sz w:val="24"/>
              </w:rPr>
              <w:t xml:space="preserve"> </w:t>
            </w:r>
            <w:r w:rsidRPr="00967AC5">
              <w:rPr>
                <w:sz w:val="24"/>
              </w:rPr>
              <w:t>results.</w:t>
            </w:r>
          </w:p>
        </w:tc>
      </w:tr>
      <w:tr w:rsidR="00E838DC" w:rsidRPr="00967AC5" w14:paraId="3FC54C3F" w14:textId="77777777" w:rsidTr="00223F4E">
        <w:trPr>
          <w:trHeight w:val="1619"/>
        </w:trPr>
        <w:tc>
          <w:tcPr>
            <w:tcW w:w="1702" w:type="dxa"/>
          </w:tcPr>
          <w:p w14:paraId="4A47DA72" w14:textId="77777777" w:rsidR="00E838DC" w:rsidRPr="00967AC5" w:rsidRDefault="00E838DC" w:rsidP="00223F4E">
            <w:pPr>
              <w:pStyle w:val="TableParagraph"/>
              <w:spacing w:before="109"/>
              <w:rPr>
                <w:sz w:val="24"/>
              </w:rPr>
            </w:pPr>
            <w:r w:rsidRPr="00967AC5">
              <w:rPr>
                <w:sz w:val="24"/>
              </w:rPr>
              <w:t>October 2020</w:t>
            </w:r>
          </w:p>
        </w:tc>
        <w:tc>
          <w:tcPr>
            <w:tcW w:w="4110" w:type="dxa"/>
          </w:tcPr>
          <w:p w14:paraId="41943436" w14:textId="77777777" w:rsidR="00E838DC" w:rsidRPr="00967AC5" w:rsidRDefault="00E838DC" w:rsidP="00223F4E">
            <w:pPr>
              <w:pStyle w:val="TableParagraph"/>
              <w:spacing w:before="109"/>
              <w:ind w:left="69" w:right="59"/>
              <w:jc w:val="both"/>
              <w:rPr>
                <w:sz w:val="24"/>
              </w:rPr>
            </w:pPr>
            <w:r w:rsidRPr="00967AC5">
              <w:rPr>
                <w:sz w:val="24"/>
              </w:rPr>
              <w:t>Final Report(s) from CEPT to the Commission regarding the 900 MHz and 1800 MHz frequency bands, taking into account the outcome of the public consultation.</w:t>
            </w:r>
          </w:p>
        </w:tc>
        <w:tc>
          <w:tcPr>
            <w:tcW w:w="2948" w:type="dxa"/>
          </w:tcPr>
          <w:p w14:paraId="6DA3CB90" w14:textId="77777777" w:rsidR="00E838DC" w:rsidRPr="00967AC5" w:rsidRDefault="00E838DC" w:rsidP="00223F4E">
            <w:pPr>
              <w:pStyle w:val="TableParagraph"/>
              <w:tabs>
                <w:tab w:val="left" w:pos="1423"/>
                <w:tab w:val="left" w:pos="1856"/>
                <w:tab w:val="left" w:pos="2384"/>
              </w:tabs>
              <w:spacing w:before="109"/>
              <w:ind w:right="58"/>
              <w:rPr>
                <w:sz w:val="24"/>
              </w:rPr>
            </w:pPr>
            <w:r w:rsidRPr="00967AC5">
              <w:rPr>
                <w:sz w:val="24"/>
              </w:rPr>
              <w:t>Description</w:t>
            </w:r>
            <w:r w:rsidRPr="00967AC5">
              <w:rPr>
                <w:sz w:val="24"/>
              </w:rPr>
              <w:tab/>
              <w:t>of</w:t>
            </w:r>
            <w:r w:rsidRPr="00967AC5">
              <w:rPr>
                <w:sz w:val="24"/>
              </w:rPr>
              <w:tab/>
              <w:t>the</w:t>
            </w:r>
            <w:r w:rsidRPr="00967AC5">
              <w:rPr>
                <w:sz w:val="24"/>
              </w:rPr>
              <w:tab/>
            </w:r>
            <w:r w:rsidRPr="00967AC5">
              <w:rPr>
                <w:spacing w:val="-5"/>
                <w:sz w:val="24"/>
              </w:rPr>
              <w:t xml:space="preserve">work </w:t>
            </w:r>
            <w:r w:rsidRPr="00967AC5">
              <w:rPr>
                <w:sz w:val="24"/>
              </w:rPr>
              <w:t>undertaken and the</w:t>
            </w:r>
            <w:r w:rsidRPr="00967AC5">
              <w:rPr>
                <w:spacing w:val="-2"/>
                <w:sz w:val="24"/>
              </w:rPr>
              <w:t xml:space="preserve"> </w:t>
            </w:r>
            <w:r w:rsidRPr="00967AC5">
              <w:rPr>
                <w:sz w:val="24"/>
              </w:rPr>
              <w:t>results.</w:t>
            </w:r>
          </w:p>
        </w:tc>
      </w:tr>
    </w:tbl>
    <w:p w14:paraId="0F0AED53" w14:textId="4DC88B04" w:rsidR="00E838DC" w:rsidRPr="00967AC5" w:rsidRDefault="00E838DC" w:rsidP="00E838DC">
      <w:pPr>
        <w:pStyle w:val="BodyText"/>
        <w:spacing w:before="7"/>
        <w:rPr>
          <w:sz w:val="25"/>
        </w:rPr>
      </w:pPr>
    </w:p>
    <w:p w14:paraId="313F33DD" w14:textId="77777777" w:rsidR="00E838DC" w:rsidRPr="00967AC5" w:rsidRDefault="00E838DC" w:rsidP="001F6DAD">
      <w:pPr>
        <w:pStyle w:val="BodyText"/>
        <w:spacing w:before="90"/>
        <w:ind w:left="227" w:right="794"/>
        <w:jc w:val="both"/>
      </w:pPr>
      <w:r w:rsidRPr="00967AC5">
        <w:t>CEPT is requested to report on the progress of its work pursuant to this Mandate to all meetings of the Radio Spectrum Committee taking place during the course of the Mandate.</w:t>
      </w:r>
    </w:p>
    <w:p w14:paraId="60B56D4A" w14:textId="77777777" w:rsidR="00E838DC" w:rsidRPr="00967AC5" w:rsidRDefault="00E838DC" w:rsidP="001F6DAD">
      <w:pPr>
        <w:pStyle w:val="BodyText"/>
        <w:spacing w:before="10"/>
        <w:ind w:right="794"/>
        <w:rPr>
          <w:sz w:val="20"/>
        </w:rPr>
      </w:pPr>
    </w:p>
    <w:p w14:paraId="2B2E9F14" w14:textId="77777777" w:rsidR="00E838DC" w:rsidRPr="00967AC5" w:rsidRDefault="00E838DC" w:rsidP="001F6DAD">
      <w:pPr>
        <w:pStyle w:val="BodyText"/>
        <w:ind w:left="227" w:right="794"/>
        <w:jc w:val="both"/>
      </w:pPr>
      <w:r w:rsidRPr="00967AC5">
        <w:t>The Commission, with the assistance of the Radio Spectrum Committee and pursuant to Article 4 of the Radio Spectrum Decision, may consider applying the results of this mandate in the Union taking into account any relevant guidance of the RSPG.</w:t>
      </w:r>
    </w:p>
    <w:p w14:paraId="25E4AE60" w14:textId="77777777" w:rsidR="0046423E" w:rsidRPr="00967AC5" w:rsidRDefault="0046423E" w:rsidP="001F6DAD">
      <w:pPr>
        <w:spacing w:before="1"/>
        <w:ind w:left="512" w:right="794"/>
        <w:rPr>
          <w:rFonts w:ascii="Times New Roman" w:hAnsi="Times New Roman"/>
          <w:color w:val="0000FF"/>
          <w:sz w:val="16"/>
          <w:u w:val="single" w:color="0000FF"/>
          <w:lang w:val="en-GB"/>
        </w:rPr>
      </w:pPr>
    </w:p>
    <w:p w14:paraId="54950981" w14:textId="77777777" w:rsidR="0046423E" w:rsidRPr="00967AC5" w:rsidRDefault="0046423E" w:rsidP="007F16CA">
      <w:pPr>
        <w:spacing w:before="1"/>
        <w:ind w:left="512" w:right="2811"/>
        <w:rPr>
          <w:rFonts w:ascii="Times New Roman" w:hAnsi="Times New Roman"/>
          <w:color w:val="0000FF"/>
          <w:sz w:val="16"/>
          <w:u w:val="single" w:color="0000FF"/>
          <w:lang w:val="en-GB"/>
        </w:rPr>
      </w:pPr>
    </w:p>
    <w:p w14:paraId="6F49AEEB"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3BE9D488"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3D34237D"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5000B313"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26EDF4D5"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695B9D57"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F5B660B"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7B058945"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E7D9D40"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81EEF2C"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1D7130CC"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68D1BA56"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32E41738"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1983EF1B"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2FB8B35D"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B3E05B3"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7351CD07"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6406EB84"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AFB3956"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24E92002"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59B90009"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16289B83"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B99C55C"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5567DAF"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53A23C8F"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1B93F59"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36084C85"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11BBC1B1"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5690C1E4"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4CFCD784"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522BE070" w14:textId="77777777" w:rsidR="0059185B" w:rsidRPr="00967AC5" w:rsidRDefault="0059185B" w:rsidP="007F16CA">
      <w:pPr>
        <w:spacing w:before="1"/>
        <w:ind w:left="512" w:right="2811"/>
        <w:rPr>
          <w:rFonts w:ascii="Times New Roman" w:hAnsi="Times New Roman"/>
          <w:color w:val="0000FF"/>
          <w:sz w:val="16"/>
          <w:u w:val="single" w:color="0000FF"/>
          <w:lang w:val="en-GB"/>
        </w:rPr>
      </w:pPr>
    </w:p>
    <w:p w14:paraId="2685EF21" w14:textId="77777777" w:rsidR="0059185B" w:rsidRPr="00967AC5" w:rsidRDefault="0059185B" w:rsidP="00EE1F2D">
      <w:pPr>
        <w:spacing w:before="1"/>
        <w:ind w:right="2811"/>
        <w:rPr>
          <w:rFonts w:ascii="Times New Roman" w:hAnsi="Times New Roman"/>
          <w:sz w:val="16"/>
          <w:lang w:val="en-GB"/>
        </w:rPr>
      </w:pPr>
    </w:p>
    <w:p w14:paraId="0278A9B2" w14:textId="77777777" w:rsidR="0059185B" w:rsidRPr="00967AC5" w:rsidRDefault="0059185B" w:rsidP="007F16CA">
      <w:pPr>
        <w:spacing w:before="1"/>
        <w:ind w:left="512" w:right="2811"/>
        <w:rPr>
          <w:rFonts w:ascii="Times New Roman" w:hAnsi="Times New Roman"/>
          <w:sz w:val="16"/>
          <w:lang w:val="en-GB"/>
        </w:rPr>
      </w:pPr>
    </w:p>
    <w:p w14:paraId="690686BA" w14:textId="77777777" w:rsidR="00616DE1" w:rsidRDefault="0059185B" w:rsidP="0059185B">
      <w:pPr>
        <w:pStyle w:val="ECCParagraph"/>
        <w:rPr>
          <w:w w:val="99"/>
          <w:position w:val="1"/>
          <w:sz w:val="14"/>
          <w:szCs w:val="14"/>
        </w:rPr>
      </w:pPr>
      <w:r w:rsidRPr="00967AC5">
        <w:rPr>
          <w:lang w:eastAsia="fr-BE"/>
        </w:rPr>
        <w:t xml:space="preserve">      </w:t>
      </w:r>
      <w:r w:rsidRPr="00967AC5">
        <w:rPr>
          <w:position w:val="1"/>
          <w:sz w:val="14"/>
          <w:szCs w:val="14"/>
        </w:rPr>
        <w:t>Electronically</w:t>
      </w:r>
      <w:r w:rsidRPr="00967AC5">
        <w:rPr>
          <w:spacing w:val="-5"/>
          <w:position w:val="1"/>
          <w:sz w:val="14"/>
          <w:szCs w:val="14"/>
        </w:rPr>
        <w:t xml:space="preserve"> </w:t>
      </w:r>
      <w:r w:rsidRPr="00967AC5">
        <w:rPr>
          <w:w w:val="102"/>
          <w:position w:val="1"/>
          <w:sz w:val="14"/>
          <w:szCs w:val="14"/>
        </w:rPr>
        <w:t>signed</w:t>
      </w:r>
      <w:r w:rsidRPr="00967AC5">
        <w:rPr>
          <w:spacing w:val="-5"/>
          <w:position w:val="1"/>
          <w:sz w:val="14"/>
          <w:szCs w:val="14"/>
        </w:rPr>
        <w:t xml:space="preserve"> </w:t>
      </w:r>
      <w:r w:rsidRPr="00967AC5">
        <w:rPr>
          <w:spacing w:val="-1"/>
          <w:w w:val="105"/>
          <w:position w:val="1"/>
          <w:sz w:val="14"/>
          <w:szCs w:val="14"/>
        </w:rPr>
        <w:t>o</w:t>
      </w:r>
      <w:r w:rsidRPr="00967AC5">
        <w:rPr>
          <w:w w:val="105"/>
          <w:position w:val="1"/>
          <w:sz w:val="14"/>
          <w:szCs w:val="14"/>
        </w:rPr>
        <w:t>n</w:t>
      </w:r>
      <w:r w:rsidRPr="00967AC5">
        <w:rPr>
          <w:spacing w:val="-5"/>
          <w:position w:val="1"/>
          <w:sz w:val="14"/>
          <w:szCs w:val="14"/>
        </w:rPr>
        <w:t xml:space="preserve"> </w:t>
      </w:r>
      <w:r w:rsidRPr="00967AC5">
        <w:rPr>
          <w:w w:val="103"/>
          <w:position w:val="1"/>
          <w:sz w:val="14"/>
          <w:szCs w:val="14"/>
        </w:rPr>
        <w:t>17/09/2018</w:t>
      </w:r>
      <w:r w:rsidRPr="00967AC5">
        <w:rPr>
          <w:spacing w:val="-5"/>
          <w:position w:val="1"/>
          <w:sz w:val="14"/>
          <w:szCs w:val="14"/>
        </w:rPr>
        <w:t xml:space="preserve"> </w:t>
      </w:r>
      <w:r w:rsidRPr="00967AC5">
        <w:rPr>
          <w:w w:val="92"/>
          <w:position w:val="1"/>
          <w:sz w:val="14"/>
          <w:szCs w:val="14"/>
        </w:rPr>
        <w:t>18:10</w:t>
      </w:r>
      <w:r w:rsidRPr="00967AC5">
        <w:rPr>
          <w:spacing w:val="-5"/>
          <w:position w:val="1"/>
          <w:sz w:val="14"/>
          <w:szCs w:val="14"/>
        </w:rPr>
        <w:t xml:space="preserve"> </w:t>
      </w:r>
      <w:r w:rsidRPr="00967AC5">
        <w:rPr>
          <w:spacing w:val="-1"/>
          <w:w w:val="88"/>
          <w:position w:val="1"/>
          <w:sz w:val="14"/>
          <w:szCs w:val="14"/>
        </w:rPr>
        <w:t>(UTC+02</w:t>
      </w:r>
      <w:r w:rsidRPr="00967AC5">
        <w:rPr>
          <w:w w:val="88"/>
          <w:position w:val="1"/>
          <w:sz w:val="14"/>
          <w:szCs w:val="14"/>
        </w:rPr>
        <w:t>)</w:t>
      </w:r>
      <w:r w:rsidRPr="00967AC5">
        <w:rPr>
          <w:spacing w:val="-5"/>
          <w:position w:val="1"/>
          <w:sz w:val="14"/>
          <w:szCs w:val="14"/>
        </w:rPr>
        <w:t xml:space="preserve"> </w:t>
      </w:r>
      <w:r w:rsidRPr="00967AC5">
        <w:rPr>
          <w:spacing w:val="-1"/>
          <w:w w:val="105"/>
          <w:position w:val="1"/>
          <w:sz w:val="14"/>
          <w:szCs w:val="14"/>
        </w:rPr>
        <w:t>i</w:t>
      </w:r>
      <w:r w:rsidRPr="00967AC5">
        <w:rPr>
          <w:w w:val="105"/>
          <w:position w:val="1"/>
          <w:sz w:val="14"/>
          <w:szCs w:val="14"/>
        </w:rPr>
        <w:t>n</w:t>
      </w:r>
      <w:r w:rsidRPr="00967AC5">
        <w:rPr>
          <w:spacing w:val="-5"/>
          <w:position w:val="1"/>
          <w:sz w:val="14"/>
          <w:szCs w:val="14"/>
        </w:rPr>
        <w:t xml:space="preserve"> </w:t>
      </w:r>
      <w:r w:rsidRPr="00967AC5">
        <w:rPr>
          <w:spacing w:val="-1"/>
          <w:w w:val="103"/>
          <w:position w:val="1"/>
          <w:sz w:val="14"/>
          <w:szCs w:val="14"/>
        </w:rPr>
        <w:t>accordanc</w:t>
      </w:r>
      <w:r w:rsidRPr="00967AC5">
        <w:rPr>
          <w:w w:val="103"/>
          <w:position w:val="1"/>
          <w:sz w:val="14"/>
          <w:szCs w:val="14"/>
        </w:rPr>
        <w:t>e</w:t>
      </w:r>
      <w:r w:rsidRPr="00967AC5">
        <w:rPr>
          <w:spacing w:val="-5"/>
          <w:position w:val="1"/>
          <w:sz w:val="14"/>
          <w:szCs w:val="14"/>
        </w:rPr>
        <w:t xml:space="preserve"> </w:t>
      </w:r>
      <w:r w:rsidRPr="00967AC5">
        <w:rPr>
          <w:w w:val="105"/>
          <w:position w:val="1"/>
          <w:sz w:val="14"/>
          <w:szCs w:val="14"/>
        </w:rPr>
        <w:t>with</w:t>
      </w:r>
      <w:r w:rsidRPr="00967AC5">
        <w:rPr>
          <w:spacing w:val="-5"/>
          <w:position w:val="1"/>
          <w:sz w:val="14"/>
          <w:szCs w:val="14"/>
        </w:rPr>
        <w:t xml:space="preserve"> </w:t>
      </w:r>
      <w:r w:rsidRPr="00967AC5">
        <w:rPr>
          <w:spacing w:val="-1"/>
          <w:w w:val="105"/>
          <w:position w:val="1"/>
          <w:sz w:val="14"/>
          <w:szCs w:val="14"/>
        </w:rPr>
        <w:t>articl</w:t>
      </w:r>
      <w:r w:rsidRPr="00967AC5">
        <w:rPr>
          <w:w w:val="105"/>
          <w:position w:val="1"/>
          <w:sz w:val="14"/>
          <w:szCs w:val="14"/>
        </w:rPr>
        <w:t>e</w:t>
      </w:r>
      <w:r w:rsidRPr="00967AC5">
        <w:rPr>
          <w:spacing w:val="-5"/>
          <w:position w:val="1"/>
          <w:sz w:val="14"/>
          <w:szCs w:val="14"/>
        </w:rPr>
        <w:t xml:space="preserve"> </w:t>
      </w:r>
      <w:r w:rsidRPr="00967AC5">
        <w:rPr>
          <w:w w:val="93"/>
          <w:position w:val="1"/>
          <w:sz w:val="14"/>
          <w:szCs w:val="14"/>
        </w:rPr>
        <w:t>4</w:t>
      </w:r>
      <w:r w:rsidRPr="00967AC5">
        <w:rPr>
          <w:spacing w:val="-1"/>
          <w:w w:val="91"/>
          <w:position w:val="1"/>
          <w:sz w:val="14"/>
          <w:szCs w:val="14"/>
        </w:rPr>
        <w:t>.</w:t>
      </w:r>
      <w:r w:rsidRPr="00967AC5">
        <w:rPr>
          <w:spacing w:val="-88"/>
          <w:w w:val="99"/>
          <w:sz w:val="14"/>
          <w:szCs w:val="14"/>
        </w:rPr>
        <w:t>6</w:t>
      </w:r>
      <w:r w:rsidRPr="00967AC5">
        <w:rPr>
          <w:w w:val="93"/>
          <w:position w:val="1"/>
          <w:sz w:val="14"/>
          <w:szCs w:val="14"/>
        </w:rPr>
        <w:t>2</w:t>
      </w:r>
      <w:r w:rsidRPr="00967AC5">
        <w:rPr>
          <w:spacing w:val="-5"/>
          <w:position w:val="1"/>
          <w:sz w:val="14"/>
          <w:szCs w:val="14"/>
        </w:rPr>
        <w:t xml:space="preserve"> </w:t>
      </w:r>
      <w:r w:rsidRPr="00967AC5">
        <w:rPr>
          <w:spacing w:val="-1"/>
          <w:w w:val="99"/>
          <w:position w:val="1"/>
          <w:sz w:val="14"/>
          <w:szCs w:val="14"/>
        </w:rPr>
        <w:t>(Validit</w:t>
      </w:r>
      <w:r w:rsidRPr="00967AC5">
        <w:rPr>
          <w:w w:val="99"/>
          <w:position w:val="1"/>
          <w:sz w:val="14"/>
          <w:szCs w:val="14"/>
        </w:rPr>
        <w:t>y</w:t>
      </w:r>
      <w:r w:rsidRPr="00967AC5">
        <w:rPr>
          <w:spacing w:val="-5"/>
          <w:position w:val="1"/>
          <w:sz w:val="14"/>
          <w:szCs w:val="14"/>
        </w:rPr>
        <w:t xml:space="preserve"> </w:t>
      </w:r>
      <w:r w:rsidRPr="00967AC5">
        <w:rPr>
          <w:spacing w:val="-1"/>
          <w:w w:val="97"/>
          <w:position w:val="1"/>
          <w:sz w:val="14"/>
          <w:szCs w:val="14"/>
        </w:rPr>
        <w:t>o</w:t>
      </w:r>
      <w:r w:rsidRPr="00967AC5">
        <w:rPr>
          <w:w w:val="97"/>
          <w:position w:val="1"/>
          <w:sz w:val="14"/>
          <w:szCs w:val="14"/>
        </w:rPr>
        <w:t>f</w:t>
      </w:r>
      <w:r w:rsidRPr="00967AC5">
        <w:rPr>
          <w:spacing w:val="-5"/>
          <w:position w:val="1"/>
          <w:sz w:val="14"/>
          <w:szCs w:val="14"/>
        </w:rPr>
        <w:t xml:space="preserve"> </w:t>
      </w:r>
      <w:r w:rsidRPr="00967AC5">
        <w:rPr>
          <w:spacing w:val="-1"/>
          <w:w w:val="104"/>
          <w:position w:val="1"/>
          <w:sz w:val="14"/>
          <w:szCs w:val="14"/>
        </w:rPr>
        <w:t>electroni</w:t>
      </w:r>
      <w:r w:rsidRPr="00967AC5">
        <w:rPr>
          <w:w w:val="104"/>
          <w:position w:val="1"/>
          <w:sz w:val="14"/>
          <w:szCs w:val="14"/>
        </w:rPr>
        <w:t>c</w:t>
      </w:r>
      <w:r w:rsidRPr="00967AC5">
        <w:rPr>
          <w:spacing w:val="-5"/>
          <w:position w:val="1"/>
          <w:sz w:val="14"/>
          <w:szCs w:val="14"/>
        </w:rPr>
        <w:t xml:space="preserve"> </w:t>
      </w:r>
      <w:r w:rsidRPr="00967AC5">
        <w:rPr>
          <w:w w:val="104"/>
          <w:position w:val="1"/>
          <w:sz w:val="14"/>
          <w:szCs w:val="14"/>
        </w:rPr>
        <w:t>documents)</w:t>
      </w:r>
      <w:r w:rsidRPr="00967AC5">
        <w:rPr>
          <w:spacing w:val="-5"/>
          <w:position w:val="1"/>
          <w:sz w:val="14"/>
          <w:szCs w:val="14"/>
        </w:rPr>
        <w:t xml:space="preserve"> </w:t>
      </w:r>
      <w:r w:rsidRPr="00967AC5">
        <w:rPr>
          <w:spacing w:val="-1"/>
          <w:w w:val="97"/>
          <w:position w:val="1"/>
          <w:sz w:val="14"/>
          <w:szCs w:val="14"/>
        </w:rPr>
        <w:t>o</w:t>
      </w:r>
      <w:r w:rsidRPr="00967AC5">
        <w:rPr>
          <w:w w:val="97"/>
          <w:position w:val="1"/>
          <w:sz w:val="14"/>
          <w:szCs w:val="14"/>
        </w:rPr>
        <w:t>f</w:t>
      </w:r>
      <w:r w:rsidRPr="00967AC5">
        <w:rPr>
          <w:spacing w:val="-5"/>
          <w:position w:val="1"/>
          <w:sz w:val="14"/>
          <w:szCs w:val="14"/>
        </w:rPr>
        <w:t xml:space="preserve"> </w:t>
      </w:r>
      <w:r w:rsidRPr="00967AC5">
        <w:rPr>
          <w:w w:val="99"/>
          <w:position w:val="1"/>
          <w:sz w:val="14"/>
          <w:szCs w:val="14"/>
        </w:rPr>
        <w:t>Commission</w:t>
      </w:r>
      <w:r w:rsidRPr="00967AC5">
        <w:rPr>
          <w:spacing w:val="-5"/>
          <w:position w:val="1"/>
          <w:sz w:val="14"/>
          <w:szCs w:val="14"/>
        </w:rPr>
        <w:t xml:space="preserve"> </w:t>
      </w:r>
      <w:r w:rsidRPr="00967AC5">
        <w:rPr>
          <w:spacing w:val="-1"/>
          <w:w w:val="97"/>
          <w:position w:val="1"/>
          <w:sz w:val="14"/>
          <w:szCs w:val="14"/>
        </w:rPr>
        <w:t>Decisio</w:t>
      </w:r>
      <w:r w:rsidRPr="00967AC5">
        <w:rPr>
          <w:w w:val="97"/>
          <w:position w:val="1"/>
          <w:sz w:val="14"/>
          <w:szCs w:val="14"/>
        </w:rPr>
        <w:t>n</w:t>
      </w:r>
      <w:r w:rsidRPr="00967AC5">
        <w:rPr>
          <w:spacing w:val="-5"/>
          <w:position w:val="1"/>
          <w:sz w:val="14"/>
          <w:szCs w:val="14"/>
        </w:rPr>
        <w:t xml:space="preserve"> </w:t>
      </w:r>
      <w:r w:rsidRPr="00967AC5">
        <w:rPr>
          <w:w w:val="99"/>
          <w:position w:val="1"/>
          <w:sz w:val="14"/>
          <w:szCs w:val="14"/>
        </w:rPr>
        <w:t>2004/563</w:t>
      </w:r>
    </w:p>
    <w:p w14:paraId="738BE14C" w14:textId="4B58B488" w:rsidR="00811688" w:rsidRPr="00967AC5" w:rsidRDefault="00811688" w:rsidP="0059185B">
      <w:pPr>
        <w:pStyle w:val="ECCParagraph"/>
        <w:rPr>
          <w:w w:val="99"/>
          <w:position w:val="1"/>
          <w:sz w:val="14"/>
          <w:szCs w:val="14"/>
        </w:rPr>
        <w:sectPr w:rsidR="00811688" w:rsidRPr="00967AC5" w:rsidSect="006628CE">
          <w:pgSz w:w="11907" w:h="16840" w:code="9"/>
          <w:pgMar w:top="993" w:right="1134" w:bottom="1440" w:left="1134" w:header="709" w:footer="709" w:gutter="0"/>
          <w:cols w:space="708"/>
          <w:docGrid w:linePitch="360"/>
        </w:sectPr>
      </w:pPr>
    </w:p>
    <w:p w14:paraId="790C358C" w14:textId="3B34753A" w:rsidR="00B47827" w:rsidRPr="00967AC5" w:rsidRDefault="00DE38BE" w:rsidP="00DD5131">
      <w:pPr>
        <w:pStyle w:val="ECCAnnexheading1"/>
      </w:pPr>
      <w:bookmarkStart w:id="169" w:name="_Toc18338440"/>
      <w:bookmarkStart w:id="170" w:name="_Ref63673280"/>
      <w:bookmarkStart w:id="171" w:name="_Ref63673292"/>
      <w:bookmarkStart w:id="172" w:name="_Toc71037842"/>
      <w:r w:rsidRPr="00967AC5">
        <w:lastRenderedPageBreak/>
        <w:t>Updates to EC Decision</w:t>
      </w:r>
      <w:bookmarkEnd w:id="169"/>
      <w:bookmarkEnd w:id="170"/>
      <w:bookmarkEnd w:id="171"/>
      <w:bookmarkEnd w:id="172"/>
    </w:p>
    <w:p w14:paraId="024DFCAE" w14:textId="75666B14" w:rsidR="006C0004" w:rsidRPr="00967AC5" w:rsidRDefault="006C0004" w:rsidP="006C0004">
      <w:pPr>
        <w:pStyle w:val="ECCAnnexheading2"/>
        <w:rPr>
          <w:lang w:val="en-GB"/>
        </w:rPr>
      </w:pPr>
      <w:r w:rsidRPr="00967AC5">
        <w:rPr>
          <w:lang w:val="en-GB"/>
        </w:rPr>
        <w:t>Introduction</w:t>
      </w:r>
    </w:p>
    <w:p w14:paraId="7EF8F622" w14:textId="604CD79F" w:rsidR="00043A03" w:rsidRPr="00967AC5" w:rsidRDefault="00043A03" w:rsidP="004E2E0D">
      <w:pPr>
        <w:pStyle w:val="ECCAnnexheading2"/>
        <w:numPr>
          <w:ilvl w:val="0"/>
          <w:numId w:val="0"/>
        </w:numPr>
        <w:jc w:val="both"/>
        <w:rPr>
          <w:b w:val="0"/>
          <w:caps w:val="0"/>
          <w:lang w:val="en-GB" w:eastAsia="de-DE"/>
        </w:rPr>
      </w:pPr>
      <w:r w:rsidRPr="00967AC5">
        <w:rPr>
          <w:b w:val="0"/>
          <w:caps w:val="0"/>
          <w:lang w:val="en-GB" w:eastAsia="de-DE"/>
        </w:rPr>
        <w:t xml:space="preserve">This annex proposes relevant harmonised technical conditions </w:t>
      </w:r>
      <w:r w:rsidR="00116B29" w:rsidRPr="00967AC5">
        <w:rPr>
          <w:b w:val="0"/>
          <w:caps w:val="0"/>
          <w:lang w:val="en-GB" w:eastAsia="de-DE"/>
        </w:rPr>
        <w:t xml:space="preserve">in order to update the 900 </w:t>
      </w:r>
      <w:r w:rsidR="006C0004" w:rsidRPr="00967AC5">
        <w:rPr>
          <w:b w:val="0"/>
          <w:caps w:val="0"/>
          <w:lang w:val="en-GB" w:eastAsia="de-DE"/>
        </w:rPr>
        <w:t xml:space="preserve">MHz and </w:t>
      </w:r>
      <w:r w:rsidR="00116B29" w:rsidRPr="00967AC5">
        <w:rPr>
          <w:b w:val="0"/>
          <w:caps w:val="0"/>
          <w:lang w:val="en-GB" w:eastAsia="de-DE"/>
        </w:rPr>
        <w:t>1800 MHz EC framework assuming that EC framework on GSM remains unchanged. According to national situation, there may be a need to implement on a national basis a 200 kHz frequency separation between ECS systems</w:t>
      </w:r>
      <w:r w:rsidR="00767DD7" w:rsidRPr="00967AC5">
        <w:rPr>
          <w:b w:val="0"/>
          <w:caps w:val="0"/>
          <w:lang w:val="en-GB" w:eastAsia="de-DE"/>
        </w:rPr>
        <w:t xml:space="preserve"> and between ECS and RMR</w:t>
      </w:r>
      <w:r w:rsidR="008E21CD" w:rsidRPr="00967AC5">
        <w:rPr>
          <w:b w:val="0"/>
          <w:caps w:val="0"/>
          <w:lang w:val="en-GB" w:eastAsia="de-DE"/>
        </w:rPr>
        <w:t xml:space="preserve"> (</w:t>
      </w:r>
      <w:r w:rsidR="001B46A7" w:rsidRPr="00967AC5">
        <w:rPr>
          <w:b w:val="0"/>
          <w:caps w:val="0"/>
          <w:lang w:val="en-GB" w:eastAsia="de-DE"/>
        </w:rPr>
        <w:t>encompasses GSM-R and its successor(s), including FRMCS</w:t>
      </w:r>
      <w:r w:rsidR="008E21CD" w:rsidRPr="00967AC5">
        <w:rPr>
          <w:b w:val="0"/>
          <w:caps w:val="0"/>
          <w:lang w:val="en-GB" w:eastAsia="de-DE"/>
        </w:rPr>
        <w:t>)</w:t>
      </w:r>
      <w:r w:rsidR="00767DD7" w:rsidRPr="00967AC5">
        <w:rPr>
          <w:b w:val="0"/>
          <w:caps w:val="0"/>
          <w:lang w:val="en-GB" w:eastAsia="de-DE"/>
        </w:rPr>
        <w:t xml:space="preserve"> systems as described hereafter. </w:t>
      </w:r>
    </w:p>
    <w:p w14:paraId="37D5C455" w14:textId="77777777" w:rsidR="00041922" w:rsidRPr="00967AC5" w:rsidRDefault="00041922" w:rsidP="00AA165D">
      <w:pPr>
        <w:pStyle w:val="ECCAnnexheading2"/>
        <w:rPr>
          <w:lang w:val="en-GB"/>
        </w:rPr>
      </w:pPr>
      <w:r w:rsidRPr="00967AC5">
        <w:rPr>
          <w:lang w:val="en-GB"/>
        </w:rPr>
        <w:t>CHANNELLING ARRANGEMENT AND LEAST RESTRICTIVE HARMONISED TECHNICAL CONDITIONS</w:t>
      </w:r>
    </w:p>
    <w:p w14:paraId="24BE60F5" w14:textId="11E3B071" w:rsidR="00041922" w:rsidRPr="00967AC5" w:rsidRDefault="00041922">
      <w:pPr>
        <w:pStyle w:val="ECCParagraph"/>
        <w:rPr>
          <w:lang w:eastAsia="de-DE"/>
        </w:rPr>
      </w:pPr>
      <w:r w:rsidRPr="00967AC5">
        <w:rPr>
          <w:lang w:eastAsia="de-DE"/>
        </w:rPr>
        <w:t xml:space="preserve">The following definitions for </w:t>
      </w:r>
      <w:r w:rsidR="00B753B3" w:rsidRPr="00967AC5">
        <w:rPr>
          <w:lang w:eastAsia="de-DE"/>
        </w:rPr>
        <w:t xml:space="preserve">ECS </w:t>
      </w:r>
      <w:r w:rsidR="00943D33" w:rsidRPr="00967AC5">
        <w:rPr>
          <w:lang w:eastAsia="de-DE"/>
        </w:rPr>
        <w:t>narrowband (</w:t>
      </w:r>
      <w:r w:rsidRPr="00967AC5">
        <w:t>NB</w:t>
      </w:r>
      <w:r w:rsidR="00943D33" w:rsidRPr="00967AC5">
        <w:rPr>
          <w:lang w:eastAsia="de-DE"/>
        </w:rPr>
        <w:t>)</w:t>
      </w:r>
      <w:r w:rsidRPr="00967AC5">
        <w:t xml:space="preserve"> and </w:t>
      </w:r>
      <w:r w:rsidR="00B753B3" w:rsidRPr="00967AC5">
        <w:rPr>
          <w:lang w:eastAsia="de-DE"/>
        </w:rPr>
        <w:t xml:space="preserve">ECS </w:t>
      </w:r>
      <w:r w:rsidR="00943D33" w:rsidRPr="00967AC5">
        <w:rPr>
          <w:lang w:eastAsia="de-DE"/>
        </w:rPr>
        <w:t>wideband (</w:t>
      </w:r>
      <w:r w:rsidRPr="00967AC5">
        <w:t>WB</w:t>
      </w:r>
      <w:r w:rsidR="00943D33" w:rsidRPr="00967AC5">
        <w:rPr>
          <w:lang w:eastAsia="de-DE"/>
        </w:rPr>
        <w:t>)</w:t>
      </w:r>
      <w:r w:rsidRPr="00967AC5">
        <w:rPr>
          <w:lang w:eastAsia="de-DE"/>
        </w:rPr>
        <w:t xml:space="preserve"> systems respectively apply in this Annex:</w:t>
      </w:r>
    </w:p>
    <w:p w14:paraId="369A58A4" w14:textId="355DB9FC" w:rsidR="00041922" w:rsidRPr="00967AC5" w:rsidRDefault="00B753B3" w:rsidP="00041922">
      <w:pPr>
        <w:pStyle w:val="ECCBulletsLv1"/>
        <w:ind w:left="340" w:hanging="340"/>
      </w:pPr>
      <w:r w:rsidRPr="00967AC5">
        <w:t xml:space="preserve">ECS </w:t>
      </w:r>
      <w:r w:rsidR="00041922" w:rsidRPr="00967AC5">
        <w:t xml:space="preserve">NB systems </w:t>
      </w:r>
      <w:r w:rsidRPr="00967AC5">
        <w:t>are</w:t>
      </w:r>
      <w:r w:rsidR="00041922" w:rsidRPr="00967AC5">
        <w:t xml:space="preserve"> systems operating in 200 kHz channels, excluding GSM and EC-</w:t>
      </w:r>
      <w:r w:rsidR="000F7003" w:rsidRPr="00967AC5">
        <w:t>GSM-</w:t>
      </w:r>
      <w:r w:rsidR="00041922" w:rsidRPr="00967AC5">
        <w:t>IoT</w:t>
      </w:r>
      <w:r w:rsidR="00530332" w:rsidRPr="00967AC5">
        <w:t>;</w:t>
      </w:r>
    </w:p>
    <w:p w14:paraId="5A4769E9" w14:textId="67B4D6F4" w:rsidR="00041922" w:rsidRPr="00967AC5" w:rsidRDefault="00B753B3" w:rsidP="00041922">
      <w:pPr>
        <w:pStyle w:val="ECCBulletsLv1"/>
        <w:ind w:left="340" w:hanging="340"/>
      </w:pPr>
      <w:r w:rsidRPr="00967AC5">
        <w:t xml:space="preserve">ECS </w:t>
      </w:r>
      <w:r w:rsidR="00041922" w:rsidRPr="00967AC5">
        <w:t xml:space="preserve">WB systems </w:t>
      </w:r>
      <w:r w:rsidRPr="00967AC5">
        <w:t>are</w:t>
      </w:r>
      <w:r w:rsidR="00041922" w:rsidRPr="00967AC5">
        <w:t xml:space="preserve"> systems operating in channels larger than 200 kHz.</w:t>
      </w:r>
    </w:p>
    <w:p w14:paraId="45CEA128" w14:textId="2309639C" w:rsidR="00AA20FD" w:rsidRPr="00967AC5" w:rsidRDefault="00AA20FD" w:rsidP="00AA20FD">
      <w:pPr>
        <w:pStyle w:val="ECCBulletsLv1"/>
        <w:numPr>
          <w:ilvl w:val="0"/>
          <w:numId w:val="0"/>
        </w:numPr>
        <w:ind w:left="360" w:hanging="360"/>
      </w:pPr>
    </w:p>
    <w:p w14:paraId="0C90BB63" w14:textId="2BEFC3DB" w:rsidR="00AA20FD" w:rsidRPr="00967AC5" w:rsidRDefault="00AA20FD" w:rsidP="002505BC">
      <w:pPr>
        <w:pStyle w:val="ECCParagraph"/>
      </w:pPr>
      <w:r w:rsidRPr="00967AC5">
        <w:t xml:space="preserve">The following definitions for RMR </w:t>
      </w:r>
      <w:r w:rsidR="00F600F3" w:rsidRPr="00967AC5">
        <w:t>narro</w:t>
      </w:r>
      <w:r w:rsidR="00C94466" w:rsidRPr="00967AC5">
        <w:t>w</w:t>
      </w:r>
      <w:r w:rsidR="00F600F3" w:rsidRPr="00967AC5">
        <w:t>band (</w:t>
      </w:r>
      <w:r w:rsidRPr="00967AC5">
        <w:t>NB</w:t>
      </w:r>
      <w:r w:rsidR="00F600F3" w:rsidRPr="00967AC5">
        <w:t>)</w:t>
      </w:r>
      <w:r w:rsidRPr="00967AC5">
        <w:t xml:space="preserve"> and RMR </w:t>
      </w:r>
      <w:r w:rsidR="00F600F3" w:rsidRPr="00967AC5">
        <w:t>wideband (</w:t>
      </w:r>
      <w:r w:rsidRPr="00967AC5">
        <w:t>WB</w:t>
      </w:r>
      <w:r w:rsidR="00F600F3" w:rsidRPr="00967AC5">
        <w:t>)</w:t>
      </w:r>
      <w:r w:rsidRPr="00967AC5">
        <w:t xml:space="preserve"> systems respective apply in this Annex:</w:t>
      </w:r>
    </w:p>
    <w:p w14:paraId="27718D33" w14:textId="0616233E" w:rsidR="00AA20FD" w:rsidRPr="00967AC5" w:rsidRDefault="00AA20FD">
      <w:pPr>
        <w:pStyle w:val="ECCBulletsLv1"/>
      </w:pPr>
      <w:r w:rsidRPr="00967AC5">
        <w:t>RMR NB systems are RMR systems operating in 200 kHz channels;</w:t>
      </w:r>
    </w:p>
    <w:p w14:paraId="3A3F169D" w14:textId="272C5994" w:rsidR="00AA20FD" w:rsidRPr="00967AC5" w:rsidRDefault="00AA20FD" w:rsidP="002505BC">
      <w:pPr>
        <w:pStyle w:val="ECCBulletsLv1"/>
      </w:pPr>
      <w:r w:rsidRPr="00967AC5">
        <w:t>RMR WB systems are RMR systems operating in channels larger than 200 kHz.</w:t>
      </w:r>
    </w:p>
    <w:p w14:paraId="00B703CA" w14:textId="77777777" w:rsidR="00041922" w:rsidRPr="00967AC5" w:rsidRDefault="00041922" w:rsidP="00AA165D">
      <w:pPr>
        <w:pStyle w:val="ECCAnnexheading3"/>
        <w:rPr>
          <w:lang w:val="en-GB"/>
        </w:rPr>
      </w:pPr>
      <w:r w:rsidRPr="00967AC5">
        <w:rPr>
          <w:lang w:val="en-GB"/>
        </w:rPr>
        <w:t>ECS HARMONISED BAND PLAN</w:t>
      </w:r>
    </w:p>
    <w:p w14:paraId="0818FE54" w14:textId="1FA749C0" w:rsidR="00041922" w:rsidRPr="00967AC5" w:rsidRDefault="00041922" w:rsidP="00041922">
      <w:pPr>
        <w:pStyle w:val="ECCNumberedList"/>
      </w:pPr>
      <w:r w:rsidRPr="00967AC5">
        <w:t>The 900 MHz band follows a</w:t>
      </w:r>
      <w:r w:rsidR="002D23B1" w:rsidRPr="00967AC5">
        <w:t>n</w:t>
      </w:r>
      <w:r w:rsidRPr="00967AC5">
        <w:t xml:space="preserve"> FDD band plan with a block size multiple of 200 kHz. The duplex direction for the carriers in 880-915 MHz/925-960 MHz</w:t>
      </w:r>
      <w:bookmarkStart w:id="173" w:name="_Ref61337296"/>
      <w:r w:rsidRPr="00967AC5">
        <w:rPr>
          <w:rStyle w:val="FootnoteReference"/>
        </w:rPr>
        <w:footnoteReference w:id="17"/>
      </w:r>
      <w:bookmarkEnd w:id="173"/>
      <w:r w:rsidRPr="00967AC5">
        <w:t xml:space="preserve"> frequency bands is mobile transmit within the lower band and base station transmit within the upper band. </w:t>
      </w:r>
    </w:p>
    <w:p w14:paraId="41E19ADB" w14:textId="6FC50EEF" w:rsidR="00041922" w:rsidRPr="00967AC5" w:rsidRDefault="00041922" w:rsidP="00041922">
      <w:pPr>
        <w:pStyle w:val="ECCNumberedList"/>
      </w:pPr>
      <w:r w:rsidRPr="00967AC5">
        <w:t>The 1800 MHz band follows a</w:t>
      </w:r>
      <w:r w:rsidR="002D23B1" w:rsidRPr="00967AC5">
        <w:t>n</w:t>
      </w:r>
      <w:r w:rsidRPr="00967AC5">
        <w:t xml:space="preserve"> FDD band plan with a block size multiple of 200 kHz. The duplex direction for the carriers in 1710-1785 MHz/1805-1880 MHz</w:t>
      </w:r>
      <w:bookmarkStart w:id="174" w:name="_Ref61337302"/>
      <w:r w:rsidRPr="00967AC5">
        <w:rPr>
          <w:rStyle w:val="FootnoteReference"/>
        </w:rPr>
        <w:footnoteReference w:id="18"/>
      </w:r>
      <w:bookmarkEnd w:id="174"/>
      <w:r w:rsidRPr="00967AC5">
        <w:t xml:space="preserve"> frequency bands is mobile transmit within the lower band and base station transmit within the upper band. </w:t>
      </w:r>
    </w:p>
    <w:p w14:paraId="06FEADB3" w14:textId="656A2A2E" w:rsidR="00041922" w:rsidRPr="00967AC5" w:rsidRDefault="00041922" w:rsidP="00041922">
      <w:pPr>
        <w:pStyle w:val="ECCNumberedList"/>
      </w:pPr>
      <w:r w:rsidRPr="00967AC5">
        <w:t>To support wideband systems (such as 5G NR),</w:t>
      </w:r>
      <w:r w:rsidR="002D23B1" w:rsidRPr="00967AC5">
        <w:t xml:space="preserve"> the</w:t>
      </w:r>
      <w:r w:rsidRPr="00967AC5">
        <w:t xml:space="preserve"> 900 MHz</w:t>
      </w:r>
      <w:r w:rsidRPr="00967AC5">
        <w:rPr>
          <w:rStyle w:val="ECCHLsuperscript"/>
        </w:rPr>
        <w:fldChar w:fldCharType="begin"/>
      </w:r>
      <w:r w:rsidRPr="00967AC5">
        <w:rPr>
          <w:rStyle w:val="ECCHLsuperscript"/>
        </w:rPr>
        <w:instrText xml:space="preserve"> NOTEREF _Ref61337296 \h  \* MERGEFORMAT </w:instrText>
      </w:r>
      <w:r w:rsidRPr="00967AC5">
        <w:rPr>
          <w:rStyle w:val="ECCHLsuperscript"/>
        </w:rPr>
      </w:r>
      <w:r w:rsidRPr="00967AC5">
        <w:rPr>
          <w:rStyle w:val="ECCHLsuperscript"/>
        </w:rPr>
        <w:fldChar w:fldCharType="separate"/>
      </w:r>
      <w:r w:rsidR="002E38F4">
        <w:rPr>
          <w:rStyle w:val="ECCHLsuperscript"/>
        </w:rPr>
        <w:t>16</w:t>
      </w:r>
      <w:r w:rsidRPr="00967AC5">
        <w:rPr>
          <w:rStyle w:val="ECCHLsuperscript"/>
        </w:rPr>
        <w:fldChar w:fldCharType="end"/>
      </w:r>
      <w:r w:rsidRPr="00967AC5">
        <w:t xml:space="preserve"> and 1800 MHz</w:t>
      </w:r>
      <w:r w:rsidRPr="00967AC5">
        <w:rPr>
          <w:rStyle w:val="ECCHLsuperscript"/>
        </w:rPr>
        <w:fldChar w:fldCharType="begin"/>
      </w:r>
      <w:r w:rsidRPr="00967AC5">
        <w:rPr>
          <w:rStyle w:val="ECCHLsuperscript"/>
        </w:rPr>
        <w:instrText xml:space="preserve"> NOTEREF _Ref61337302 \h  \* MERGEFORMAT </w:instrText>
      </w:r>
      <w:r w:rsidRPr="00967AC5">
        <w:rPr>
          <w:rStyle w:val="ECCHLsuperscript"/>
        </w:rPr>
      </w:r>
      <w:r w:rsidRPr="00967AC5">
        <w:rPr>
          <w:rStyle w:val="ECCHLsuperscript"/>
        </w:rPr>
        <w:fldChar w:fldCharType="separate"/>
      </w:r>
      <w:r w:rsidR="002E38F4">
        <w:rPr>
          <w:rStyle w:val="ECCHLsuperscript"/>
        </w:rPr>
        <w:t>17</w:t>
      </w:r>
      <w:r w:rsidRPr="00967AC5">
        <w:rPr>
          <w:rStyle w:val="ECCHLsuperscript"/>
        </w:rPr>
        <w:fldChar w:fldCharType="end"/>
      </w:r>
      <w:r w:rsidRPr="00967AC5">
        <w:t xml:space="preserve"> bands follow FDD band plans enabling 5 MHz or more of contiguous spectrum according to market demand.</w:t>
      </w:r>
    </w:p>
    <w:p w14:paraId="6BE0D71D" w14:textId="578C1611" w:rsidR="00047FFC" w:rsidRDefault="00041922" w:rsidP="00B937EA">
      <w:pPr>
        <w:pStyle w:val="ECCNumberedList"/>
      </w:pPr>
      <w:r w:rsidRPr="00967AC5">
        <w:t xml:space="preserve">The ECS band plans for the 900 and 1800 MHz bands are depicted in </w:t>
      </w:r>
      <w:r w:rsidR="00F049D9" w:rsidRPr="00967AC5">
        <w:fldChar w:fldCharType="begin"/>
      </w:r>
      <w:r w:rsidR="00F049D9" w:rsidRPr="00967AC5">
        <w:instrText xml:space="preserve"> REF _Ref70356797 \h </w:instrText>
      </w:r>
      <w:r w:rsidR="002505BC" w:rsidRPr="00967AC5">
        <w:instrText xml:space="preserve"> \* MERGEFORMAT </w:instrText>
      </w:r>
      <w:r w:rsidR="00F049D9" w:rsidRPr="00967AC5">
        <w:fldChar w:fldCharType="separate"/>
      </w:r>
      <w:r w:rsidR="00680BB5" w:rsidRPr="00967AC5" w:rsidDel="0017118A">
        <w:t xml:space="preserve">Figure </w:t>
      </w:r>
      <w:r w:rsidR="00680BB5" w:rsidRPr="00967AC5">
        <w:rPr>
          <w:noProof/>
        </w:rPr>
        <w:t>9</w:t>
      </w:r>
      <w:r w:rsidR="00F049D9" w:rsidRPr="00967AC5">
        <w:fldChar w:fldCharType="end"/>
      </w:r>
      <w:r w:rsidRPr="00967AC5">
        <w:t>.</w:t>
      </w:r>
    </w:p>
    <w:p w14:paraId="34377E17" w14:textId="77777777" w:rsidR="00047FFC" w:rsidRDefault="00047FFC">
      <w:pPr>
        <w:rPr>
          <w:rFonts w:eastAsia="Calibri"/>
          <w:szCs w:val="20"/>
          <w:lang w:val="en-GB"/>
        </w:rPr>
      </w:pPr>
      <w:r>
        <w:br w:type="page"/>
      </w:r>
    </w:p>
    <w:p w14:paraId="540EB6CD" w14:textId="1453EC72" w:rsidR="00704468" w:rsidRPr="00967AC5" w:rsidRDefault="00704468" w:rsidP="00880200">
      <w:pPr>
        <w:pStyle w:val="ECCFiguregraphcentered"/>
        <w:rPr>
          <w:lang w:val="en-GB"/>
        </w:rPr>
      </w:pPr>
      <w:r w:rsidRPr="00967AC5">
        <w:rPr>
          <w:lang w:val="en-GB"/>
        </w:rPr>
        <w:lastRenderedPageBreak/>
        <w:drawing>
          <wp:inline distT="0" distB="0" distL="0" distR="0" wp14:anchorId="38A9F7D7" wp14:editId="6B95D69C">
            <wp:extent cx="2457450" cy="742950"/>
            <wp:effectExtent l="0" t="0" r="0" b="0"/>
            <wp:docPr id="24"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457450" cy="742950"/>
                    </a:xfrm>
                    <a:prstGeom prst="rect">
                      <a:avLst/>
                    </a:prstGeom>
                  </pic:spPr>
                </pic:pic>
              </a:graphicData>
            </a:graphic>
          </wp:inline>
        </w:drawing>
      </w:r>
    </w:p>
    <w:p w14:paraId="2EBD5B4C" w14:textId="306AEDC8" w:rsidR="006C0004" w:rsidRPr="00967AC5" w:rsidRDefault="00642B33">
      <w:pPr>
        <w:pStyle w:val="ECCFiguregraphcentered"/>
        <w:rPr>
          <w:lang w:val="en-GB"/>
        </w:rPr>
      </w:pPr>
      <w:r w:rsidRPr="00967AC5">
        <w:rPr>
          <w:lang w:val="en-GB"/>
        </w:rPr>
        <w:drawing>
          <wp:inline distT="0" distB="0" distL="0" distR="0" wp14:anchorId="59A793D9" wp14:editId="0CDFE093">
            <wp:extent cx="6096000" cy="742950"/>
            <wp:effectExtent l="0" t="0" r="0" b="0"/>
            <wp:docPr id="2"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6096000" cy="742950"/>
                    </a:xfrm>
                    <a:prstGeom prst="rect">
                      <a:avLst/>
                    </a:prstGeom>
                  </pic:spPr>
                </pic:pic>
              </a:graphicData>
            </a:graphic>
          </wp:inline>
        </w:drawing>
      </w:r>
    </w:p>
    <w:p w14:paraId="1A96DBC7" w14:textId="7EAAAAD1" w:rsidR="00041922" w:rsidRPr="00967AC5" w:rsidRDefault="00F049D9">
      <w:pPr>
        <w:pStyle w:val="Caption"/>
        <w:rPr>
          <w:lang w:val="en-GB"/>
        </w:rPr>
      </w:pPr>
      <w:bookmarkStart w:id="175" w:name="_Ref70356797"/>
      <w:bookmarkStart w:id="176" w:name="_Ref61338545"/>
      <w:r w:rsidRPr="00967AC5" w:rsidDel="0017118A">
        <w:rPr>
          <w:lang w:val="en-GB"/>
        </w:rPr>
        <w:t xml:space="preserve">Figure </w:t>
      </w:r>
      <w:r w:rsidRPr="00967AC5" w:rsidDel="0017118A">
        <w:rPr>
          <w:lang w:val="en-GB"/>
        </w:rPr>
        <w:fldChar w:fldCharType="begin"/>
      </w:r>
      <w:r w:rsidRPr="00967AC5" w:rsidDel="0017118A">
        <w:rPr>
          <w:lang w:val="en-GB"/>
        </w:rPr>
        <w:instrText xml:space="preserve"> SEQ Figure \* ARABIC </w:instrText>
      </w:r>
      <w:r w:rsidRPr="00967AC5" w:rsidDel="0017118A">
        <w:rPr>
          <w:lang w:val="en-GB"/>
        </w:rPr>
        <w:fldChar w:fldCharType="separate"/>
      </w:r>
      <w:r w:rsidR="00680BB5" w:rsidRPr="00967AC5">
        <w:rPr>
          <w:noProof/>
          <w:lang w:val="en-GB"/>
        </w:rPr>
        <w:t>9</w:t>
      </w:r>
      <w:r w:rsidRPr="00967AC5" w:rsidDel="0017118A">
        <w:rPr>
          <w:lang w:val="en-GB"/>
        </w:rPr>
        <w:fldChar w:fldCharType="end"/>
      </w:r>
      <w:bookmarkEnd w:id="175"/>
      <w:bookmarkEnd w:id="176"/>
      <w:r w:rsidRPr="00967AC5" w:rsidDel="0017118A">
        <w:rPr>
          <w:lang w:val="en-GB"/>
        </w:rPr>
        <w:t>:</w:t>
      </w:r>
      <w:r w:rsidRPr="00967AC5">
        <w:rPr>
          <w:lang w:val="en-GB"/>
        </w:rPr>
        <w:t xml:space="preserve"> </w:t>
      </w:r>
      <w:r w:rsidR="00041922" w:rsidRPr="00967AC5">
        <w:rPr>
          <w:lang w:val="en-GB"/>
        </w:rPr>
        <w:t>Harmoni</w:t>
      </w:r>
      <w:r w:rsidR="00047FFC">
        <w:rPr>
          <w:lang w:val="en-GB"/>
        </w:rPr>
        <w:t>s</w:t>
      </w:r>
      <w:r w:rsidR="00041922" w:rsidRPr="00967AC5">
        <w:rPr>
          <w:lang w:val="en-GB"/>
        </w:rPr>
        <w:t>ed band plan</w:t>
      </w:r>
    </w:p>
    <w:p w14:paraId="287A2208" w14:textId="77777777" w:rsidR="00041922" w:rsidRPr="00967AC5" w:rsidRDefault="00041922" w:rsidP="00AA165D">
      <w:pPr>
        <w:pStyle w:val="ECCAnnexheading3"/>
        <w:rPr>
          <w:lang w:val="en-GB"/>
        </w:rPr>
      </w:pPr>
      <w:r w:rsidRPr="00967AC5">
        <w:rPr>
          <w:lang w:val="en-GB"/>
        </w:rPr>
        <w:t>FREQUENCY SEPARATION BETWEEN ADJACENT ECS SYSTEMS</w:t>
      </w:r>
    </w:p>
    <w:p w14:paraId="77E75F58" w14:textId="2B73941C" w:rsidR="0079629A" w:rsidRPr="00967AC5" w:rsidRDefault="003F644C" w:rsidP="00870245">
      <w:pPr>
        <w:pStyle w:val="ECCParagraph"/>
      </w:pPr>
      <w:r w:rsidRPr="00967AC5">
        <w:t>When deployed in an uncoordinated approach</w:t>
      </w:r>
      <w:r w:rsidR="009828F4" w:rsidRPr="00967AC5">
        <w:t xml:space="preserve">, it is necessary to implement </w:t>
      </w:r>
      <w:r w:rsidR="00041922" w:rsidRPr="00967AC5">
        <w:t>a 200 kHz frequency separation between the nominal channel edges of</w:t>
      </w:r>
      <w:r w:rsidR="0079629A" w:rsidRPr="00967AC5">
        <w:t>:</w:t>
      </w:r>
    </w:p>
    <w:p w14:paraId="57576176" w14:textId="522181C4" w:rsidR="00A77F78" w:rsidRPr="00967AC5" w:rsidRDefault="00B937EA" w:rsidP="00A77F78">
      <w:pPr>
        <w:pStyle w:val="ECCBulletsLv1"/>
        <w:rPr>
          <w:lang w:eastAsia="en-GB"/>
        </w:rPr>
      </w:pPr>
      <w:r w:rsidRPr="00967AC5">
        <w:rPr>
          <w:lang w:eastAsia="en-GB"/>
        </w:rPr>
        <w:t>An</w:t>
      </w:r>
      <w:r w:rsidRPr="00967AC5">
        <w:t xml:space="preserve"> ECS</w:t>
      </w:r>
      <w:r w:rsidR="00902B90" w:rsidRPr="00967AC5">
        <w:t xml:space="preserve"> </w:t>
      </w:r>
      <w:r w:rsidR="00902B90" w:rsidRPr="00967AC5">
        <w:rPr>
          <w:lang w:eastAsia="en-GB"/>
        </w:rPr>
        <w:t>NB system complying with</w:t>
      </w:r>
      <w:r w:rsidR="00902B90" w:rsidRPr="00967AC5">
        <w:t xml:space="preserve"> the </w:t>
      </w:r>
      <w:r w:rsidR="00902B90" w:rsidRPr="00967AC5">
        <w:rPr>
          <w:lang w:eastAsia="en-GB"/>
        </w:rPr>
        <w:t>BEM and a</w:t>
      </w:r>
      <w:r w:rsidRPr="00967AC5">
        <w:rPr>
          <w:lang w:eastAsia="en-GB"/>
        </w:rPr>
        <w:t>n</w:t>
      </w:r>
      <w:r w:rsidR="00902B90" w:rsidRPr="00967AC5">
        <w:rPr>
          <w:lang w:eastAsia="en-GB"/>
        </w:rPr>
        <w:t xml:space="preserve"> </w:t>
      </w:r>
      <w:r w:rsidRPr="00967AC5">
        <w:rPr>
          <w:lang w:eastAsia="en-GB"/>
        </w:rPr>
        <w:t xml:space="preserve">ECS </w:t>
      </w:r>
      <w:r w:rsidR="00902B90" w:rsidRPr="00967AC5">
        <w:rPr>
          <w:lang w:eastAsia="en-GB"/>
        </w:rPr>
        <w:t>WB system complying with the BEM;</w:t>
      </w:r>
    </w:p>
    <w:p w14:paraId="4D53D049" w14:textId="37889D19" w:rsidR="00A77F78" w:rsidRPr="00967AC5" w:rsidRDefault="00902B90" w:rsidP="00A77F78">
      <w:pPr>
        <w:pStyle w:val="ECCBulletsLv1"/>
        <w:rPr>
          <w:lang w:eastAsia="en-GB"/>
        </w:rPr>
      </w:pPr>
      <w:r w:rsidRPr="00967AC5">
        <w:t xml:space="preserve">different </w:t>
      </w:r>
      <w:r w:rsidR="00B937EA" w:rsidRPr="00967AC5">
        <w:rPr>
          <w:lang w:eastAsia="en-GB"/>
        </w:rPr>
        <w:t>ECS</w:t>
      </w:r>
      <w:r w:rsidR="00B937EA" w:rsidRPr="00967AC5">
        <w:t xml:space="preserve"> </w:t>
      </w:r>
      <w:r w:rsidRPr="00967AC5">
        <w:t xml:space="preserve">NB </w:t>
      </w:r>
      <w:r w:rsidRPr="00967AC5">
        <w:rPr>
          <w:lang w:eastAsia="en-GB"/>
        </w:rPr>
        <w:t>systems both complying with the BEM; and,</w:t>
      </w:r>
    </w:p>
    <w:p w14:paraId="0436240B" w14:textId="14CC197D" w:rsidR="00902B90" w:rsidRPr="00967AC5" w:rsidRDefault="00902B90" w:rsidP="002505BC">
      <w:pPr>
        <w:pStyle w:val="ECCBulletsLv1"/>
      </w:pPr>
      <w:r w:rsidRPr="00967AC5">
        <w:rPr>
          <w:lang w:eastAsia="en-GB"/>
        </w:rPr>
        <w:t>GSM</w:t>
      </w:r>
      <w:r w:rsidR="00105A88" w:rsidRPr="00967AC5">
        <w:t xml:space="preserve"> (including EC</w:t>
      </w:r>
      <w:r w:rsidR="00105A88" w:rsidRPr="00967AC5">
        <w:rPr>
          <w:lang w:eastAsia="en-GB"/>
        </w:rPr>
        <w:t>-</w:t>
      </w:r>
      <w:r w:rsidR="00105A88" w:rsidRPr="00967AC5">
        <w:t>GSM</w:t>
      </w:r>
      <w:r w:rsidR="00105A88" w:rsidRPr="00967AC5">
        <w:rPr>
          <w:lang w:eastAsia="en-GB"/>
        </w:rPr>
        <w:t>-</w:t>
      </w:r>
      <w:r w:rsidR="00105A88" w:rsidRPr="00967AC5">
        <w:t>IoT</w:t>
      </w:r>
      <w:r w:rsidR="00105A88" w:rsidRPr="00967AC5">
        <w:rPr>
          <w:lang w:eastAsia="en-GB"/>
        </w:rPr>
        <w:t>)</w:t>
      </w:r>
      <w:r w:rsidRPr="00967AC5">
        <w:rPr>
          <w:lang w:eastAsia="en-GB"/>
        </w:rPr>
        <w:t xml:space="preserve"> and either a</w:t>
      </w:r>
      <w:r w:rsidR="00B937EA" w:rsidRPr="00967AC5">
        <w:rPr>
          <w:lang w:eastAsia="en-GB"/>
        </w:rPr>
        <w:t>n ECS</w:t>
      </w:r>
      <w:r w:rsidRPr="00967AC5">
        <w:rPr>
          <w:lang w:eastAsia="en-GB"/>
        </w:rPr>
        <w:t xml:space="preserve"> NB </w:t>
      </w:r>
      <w:r w:rsidR="00A11879" w:rsidRPr="00967AC5">
        <w:rPr>
          <w:lang w:eastAsia="en-GB"/>
        </w:rPr>
        <w:t xml:space="preserve">system </w:t>
      </w:r>
      <w:r w:rsidRPr="00967AC5">
        <w:rPr>
          <w:lang w:eastAsia="en-GB"/>
        </w:rPr>
        <w:t xml:space="preserve">or </w:t>
      </w:r>
      <w:r w:rsidR="00B937EA" w:rsidRPr="00967AC5">
        <w:rPr>
          <w:lang w:eastAsia="en-GB"/>
        </w:rPr>
        <w:t xml:space="preserve">ECS </w:t>
      </w:r>
      <w:r w:rsidRPr="00967AC5">
        <w:rPr>
          <w:lang w:eastAsia="en-GB"/>
        </w:rPr>
        <w:t>WB system complying with the BEM</w:t>
      </w:r>
      <w:r w:rsidR="005F2278" w:rsidRPr="00967AC5">
        <w:rPr>
          <w:lang w:eastAsia="en-GB"/>
        </w:rPr>
        <w:t>;</w:t>
      </w:r>
    </w:p>
    <w:p w14:paraId="602EAB5F" w14:textId="77777777" w:rsidR="00902B90" w:rsidRPr="00967AC5" w:rsidRDefault="00902B90" w:rsidP="00870245">
      <w:pPr>
        <w:pStyle w:val="ECCParagraph"/>
      </w:pPr>
    </w:p>
    <w:p w14:paraId="70786458" w14:textId="74680870" w:rsidR="00041922" w:rsidRPr="00967AC5" w:rsidRDefault="00D94987" w:rsidP="00AC5CBA">
      <w:pPr>
        <w:pStyle w:val="ECCParagraph"/>
      </w:pPr>
      <w:r w:rsidRPr="00967AC5">
        <w:t>Implementation of such frequency separation refers to a national context</w:t>
      </w:r>
      <w:r w:rsidR="004840C3">
        <w:t>.</w:t>
      </w:r>
    </w:p>
    <w:p w14:paraId="55AE8332" w14:textId="78250EA7" w:rsidR="00041922" w:rsidRPr="00967AC5" w:rsidRDefault="00041922" w:rsidP="0099584B">
      <w:pPr>
        <w:pStyle w:val="ECCParagraph"/>
      </w:pPr>
      <w:r w:rsidRPr="00967AC5">
        <w:t xml:space="preserve">For </w:t>
      </w:r>
      <w:r w:rsidR="002D23B1" w:rsidRPr="00967AC5">
        <w:t>an</w:t>
      </w:r>
      <w:r w:rsidRPr="00967AC5">
        <w:t xml:space="preserve"> </w:t>
      </w:r>
      <w:r w:rsidR="00B937EA" w:rsidRPr="00967AC5">
        <w:t xml:space="preserve">ECS </w:t>
      </w:r>
      <w:r w:rsidRPr="00967AC5">
        <w:t xml:space="preserve">NB system operating in </w:t>
      </w:r>
      <w:proofErr w:type="spellStart"/>
      <w:r w:rsidRPr="00967AC5">
        <w:t>a</w:t>
      </w:r>
      <w:r w:rsidR="007C4912" w:rsidRPr="00967AC5">
        <w:t>guard</w:t>
      </w:r>
      <w:proofErr w:type="spellEnd"/>
      <w:r w:rsidR="007C4912" w:rsidRPr="00967AC5">
        <w:t xml:space="preserve"> </w:t>
      </w:r>
      <w:r w:rsidRPr="00967AC5">
        <w:t xml:space="preserve">band mode of a relevant </w:t>
      </w:r>
      <w:r w:rsidR="00B937EA" w:rsidRPr="00967AC5">
        <w:t xml:space="preserve">ECS </w:t>
      </w:r>
      <w:r w:rsidRPr="00967AC5">
        <w:t xml:space="preserve">WB system, a frequency separation of 200 kHz or more is necessary between the channel edge of this </w:t>
      </w:r>
      <w:r w:rsidR="00B937EA" w:rsidRPr="00967AC5">
        <w:t xml:space="preserve">ECS </w:t>
      </w:r>
      <w:r w:rsidRPr="00967AC5">
        <w:t xml:space="preserve">NB system and the edge of the operator's block, taking into account existing guard bands between operators' block edges or the edge of the operating band (adjacent to other services). </w:t>
      </w:r>
      <w:r w:rsidR="003612D0" w:rsidRPr="00967AC5">
        <w:t xml:space="preserve">Such </w:t>
      </w:r>
      <w:r w:rsidR="00B937EA" w:rsidRPr="00967AC5">
        <w:t xml:space="preserve">ECS </w:t>
      </w:r>
      <w:r w:rsidRPr="00967AC5">
        <w:t>NB system</w:t>
      </w:r>
      <w:r w:rsidR="003612D0" w:rsidRPr="00967AC5">
        <w:t>s</w:t>
      </w:r>
      <w:r w:rsidRPr="00967AC5">
        <w:t xml:space="preserve"> operate only in channel bandwidths of 10 MHz or higher.</w:t>
      </w:r>
    </w:p>
    <w:p w14:paraId="22EBFF7D" w14:textId="77777777" w:rsidR="00041922" w:rsidRPr="00967AC5" w:rsidRDefault="00041922" w:rsidP="00870245">
      <w:pPr>
        <w:pStyle w:val="ECCParagraph"/>
      </w:pPr>
      <w:r w:rsidRPr="00967AC5">
        <w:t>The above frequency separations are required to ensure coexistence in the absence of bilateral or multilateral agreements between neighbouring networks, without precluding less stringent technical parameters if agreed among the operators of such networks.</w:t>
      </w:r>
    </w:p>
    <w:p w14:paraId="52B52E95" w14:textId="038EA208" w:rsidR="00041922" w:rsidRPr="00967AC5" w:rsidRDefault="00116B29" w:rsidP="00870245">
      <w:pPr>
        <w:pStyle w:val="ECCParagraph"/>
        <w:rPr>
          <w:rFonts w:cs="Arial"/>
          <w:szCs w:val="20"/>
        </w:rPr>
      </w:pPr>
      <w:r w:rsidRPr="00967AC5">
        <w:rPr>
          <w:rFonts w:cs="Arial"/>
          <w:szCs w:val="20"/>
        </w:rPr>
        <w:t>Where needed, t</w:t>
      </w:r>
      <w:r w:rsidR="00041922" w:rsidRPr="00967AC5">
        <w:rPr>
          <w:rFonts w:cs="Arial"/>
          <w:szCs w:val="20"/>
        </w:rPr>
        <w:t>he</w:t>
      </w:r>
      <w:r w:rsidR="00041922" w:rsidRPr="00967AC5">
        <w:t xml:space="preserve"> implementation of this 200 kHz frequency separation needs to be addressed </w:t>
      </w:r>
      <w:r w:rsidRPr="00967AC5">
        <w:rPr>
          <w:rFonts w:eastAsia="MS Mincho" w:cs="Arial"/>
          <w:szCs w:val="20"/>
          <w:lang w:eastAsia="ja-JP"/>
        </w:rPr>
        <w:t>on a</w:t>
      </w:r>
      <w:r w:rsidRPr="00967AC5">
        <w:rPr>
          <w:rFonts w:eastAsia="MS Mincho"/>
        </w:rPr>
        <w:t xml:space="preserve"> national </w:t>
      </w:r>
      <w:r w:rsidRPr="00967AC5">
        <w:rPr>
          <w:rFonts w:eastAsia="MS Mincho" w:cs="Arial"/>
          <w:szCs w:val="20"/>
          <w:lang w:eastAsia="ja-JP"/>
        </w:rPr>
        <w:t>basis</w:t>
      </w:r>
      <w:r w:rsidR="00041922" w:rsidRPr="00967AC5">
        <w:rPr>
          <w:rFonts w:cs="Arial"/>
          <w:szCs w:val="20"/>
        </w:rPr>
        <w:t xml:space="preserve"> </w:t>
      </w:r>
      <w:r w:rsidR="00041922" w:rsidRPr="00967AC5">
        <w:t xml:space="preserve"> in order to maintain spectrum efficiency. Various approaches could be</w:t>
      </w:r>
      <w:r w:rsidR="00041922" w:rsidRPr="00967AC5">
        <w:rPr>
          <w:rFonts w:cs="Arial"/>
          <w:szCs w:val="20"/>
        </w:rPr>
        <w:t xml:space="preserve"> implemented either separately or simultaneously depending on the spectrum edges of adjacent ECS networks.</w:t>
      </w:r>
    </w:p>
    <w:p w14:paraId="3DDC7E73" w14:textId="4BDB95BD" w:rsidR="00D836A6" w:rsidRPr="00967AC5" w:rsidRDefault="00D836A6" w:rsidP="0047565D">
      <w:pPr>
        <w:pStyle w:val="ECCParagraph"/>
        <w:rPr>
          <w:rFonts w:ascii="Calibri" w:hAnsi="Calibri"/>
        </w:rPr>
      </w:pPr>
      <w:r w:rsidRPr="00967AC5">
        <w:t xml:space="preserve">Depending on the national context and relevant deployment of ECS </w:t>
      </w:r>
      <w:r w:rsidR="007B3BE8" w:rsidRPr="00967AC5">
        <w:t xml:space="preserve">NB or WB </w:t>
      </w:r>
      <w:r w:rsidRPr="00967AC5">
        <w:t>and RMR (</w:t>
      </w:r>
      <w:r w:rsidR="00AB0906" w:rsidRPr="00967AC5">
        <w:t>encompasses GSM-R and its successor(s), including FRMCS</w:t>
      </w:r>
      <w:r w:rsidRPr="00967AC5">
        <w:t xml:space="preserve">), there may also be a need for a 200 kHz frequency separation between channel edges of networks adjacent in frequency at 925 MHz in the following cases: RMR NB vs. ECS WB, RMR WB vs. ECS NB and, when the </w:t>
      </w:r>
      <w:r w:rsidR="007B3BE8" w:rsidRPr="00967AC5">
        <w:t xml:space="preserve">ECS NB and RMR </w:t>
      </w:r>
      <w:r w:rsidRPr="00967AC5">
        <w:t>NB systems are different, RMR NB vs. ECS NB. This frequency separation should be addressed by regulatory measures at a national level in order to maintain spectrum efficiency.</w:t>
      </w:r>
    </w:p>
    <w:p w14:paraId="36E99B3B" w14:textId="77777777" w:rsidR="00041922" w:rsidRPr="00967AC5" w:rsidRDefault="00041922" w:rsidP="00AA165D">
      <w:pPr>
        <w:pStyle w:val="ECCAnnexheading3"/>
        <w:rPr>
          <w:lang w:val="en-GB"/>
        </w:rPr>
      </w:pPr>
      <w:r w:rsidRPr="00967AC5">
        <w:rPr>
          <w:lang w:val="en-GB"/>
        </w:rPr>
        <w:t>LEAST RESTRICTIVE TECHNICAL CONDITIONS</w:t>
      </w:r>
    </w:p>
    <w:p w14:paraId="3AF4EAB2" w14:textId="6AF510F7" w:rsidR="00041922" w:rsidRPr="00967AC5" w:rsidRDefault="00922DDC" w:rsidP="00870245">
      <w:pPr>
        <w:pStyle w:val="ECCParagraph"/>
      </w:pPr>
      <w:r w:rsidRPr="00967AC5">
        <w:t>A</w:t>
      </w:r>
      <w:r w:rsidR="00E840E2" w:rsidRPr="00967AC5">
        <w:t xml:space="preserve"> </w:t>
      </w:r>
      <w:r w:rsidR="00041922" w:rsidRPr="00967AC5">
        <w:t xml:space="preserve">Block Edge Mask (BEM) </w:t>
      </w:r>
      <w:r w:rsidR="001A2C3E" w:rsidRPr="00967AC5">
        <w:t>is</w:t>
      </w:r>
      <w:r w:rsidR="00041922" w:rsidRPr="00967AC5">
        <w:t xml:space="preserve"> an essential component of conditions necessary to ensure co-existence between neighbouring networks, in the absence of bilateral or multilateral agreements between operators of such neighbouring networks. Less stringent technical parameters, if agreed among all affected operators of such networks, may also be used provided that these operators continue to comply with the technical conditions applicable for the protection of other services, applications or networks and with obligations resulting from cross-border coordination.</w:t>
      </w:r>
    </w:p>
    <w:p w14:paraId="60DC7458" w14:textId="2BF6282D" w:rsidR="00041922" w:rsidRPr="00967AC5" w:rsidRDefault="00041922" w:rsidP="00870245">
      <w:pPr>
        <w:pStyle w:val="ECCParagraph"/>
      </w:pPr>
      <w:r w:rsidRPr="00967AC5">
        <w:t>The technical conditions presented in this Annex,</w:t>
      </w:r>
      <w:r w:rsidR="00922DDC" w:rsidRPr="00967AC5">
        <w:t xml:space="preserve"> </w:t>
      </w:r>
      <w:r w:rsidRPr="00967AC5">
        <w:t xml:space="preserve"> </w:t>
      </w:r>
      <w:r w:rsidR="009611D2" w:rsidRPr="00967AC5">
        <w:t>which apply to all syste</w:t>
      </w:r>
      <w:r w:rsidR="00DD3A66" w:rsidRPr="00967AC5">
        <w:t>ms except</w:t>
      </w:r>
      <w:r w:rsidR="003B00D7" w:rsidRPr="00967AC5">
        <w:t>/]</w:t>
      </w:r>
      <w:r w:rsidRPr="00967AC5">
        <w:t xml:space="preserve"> GSM/EC-GSM</w:t>
      </w:r>
      <w:r w:rsidR="003F1A4D" w:rsidRPr="00967AC5">
        <w:t>-</w:t>
      </w:r>
      <w:r w:rsidRPr="00967AC5">
        <w:t>IoT, are in the form of a Block Edge Mask (BEM)</w:t>
      </w:r>
      <w:r w:rsidR="00132B28" w:rsidRPr="00967AC5">
        <w:t xml:space="preserve"> for base stations and an in-band power limit for terminal stations</w:t>
      </w:r>
      <w:r w:rsidRPr="00967AC5">
        <w:t xml:space="preserve">. </w:t>
      </w:r>
      <w:r w:rsidRPr="00967AC5">
        <w:lastRenderedPageBreak/>
        <w:t>BEMs are related to authorisation of spectrum rights of use and the avoidance of interference between users which benefit from such authorisation.</w:t>
      </w:r>
    </w:p>
    <w:p w14:paraId="04685154" w14:textId="77777777" w:rsidR="00041922" w:rsidRPr="00967AC5" w:rsidRDefault="00041922" w:rsidP="00AA165D">
      <w:pPr>
        <w:pStyle w:val="ECCAnnexheading3"/>
        <w:rPr>
          <w:lang w:val="en-GB"/>
        </w:rPr>
      </w:pPr>
      <w:r w:rsidRPr="00967AC5">
        <w:rPr>
          <w:lang w:val="en-GB"/>
        </w:rPr>
        <w:t>TECHNICAL CONDITIONS FOR BASE STATIONS – BLOCK EDGE MASK</w:t>
      </w:r>
    </w:p>
    <w:p w14:paraId="3104B292" w14:textId="104C9A1C" w:rsidR="00041922" w:rsidRPr="00967AC5" w:rsidRDefault="00041922" w:rsidP="00870245">
      <w:pPr>
        <w:pStyle w:val="ECCParagraph"/>
      </w:pPr>
      <w:r w:rsidRPr="00967AC5">
        <w:t xml:space="preserve">The BEM consists of several elements </w:t>
      </w:r>
      <w:r w:rsidR="00C02454" w:rsidRPr="00967AC5">
        <w:t xml:space="preserve">as </w:t>
      </w:r>
      <w:r w:rsidRPr="00967AC5">
        <w:t xml:space="preserve">given in </w:t>
      </w:r>
      <w:r w:rsidRPr="00967AC5">
        <w:fldChar w:fldCharType="begin"/>
      </w:r>
      <w:r w:rsidRPr="00967AC5">
        <w:instrText xml:space="preserve"> REF _Ref61340162 \h  \* MERGEFORMAT </w:instrText>
      </w:r>
      <w:r w:rsidRPr="00967AC5">
        <w:fldChar w:fldCharType="separate"/>
      </w:r>
      <w:r w:rsidR="00680BB5" w:rsidRPr="00967AC5">
        <w:t>Table 11</w:t>
      </w:r>
      <w:r w:rsidRPr="00967AC5">
        <w:fldChar w:fldCharType="end"/>
      </w:r>
      <w:r w:rsidRPr="00967AC5">
        <w:t xml:space="preserve">. The in-block power limit is applied to a block assigned to an operator. The baseline power limit, designed to protect the spectrum of other operators within the </w:t>
      </w:r>
      <w:r w:rsidR="00EE1920" w:rsidRPr="00967AC5">
        <w:t>respective</w:t>
      </w:r>
      <w:r w:rsidRPr="00967AC5">
        <w:t xml:space="preserve"> frequency band, and the transitional region power limit, enabling filter roll-off from the in-block to the baseline power limit, represent out-of-block power elements. </w:t>
      </w:r>
    </w:p>
    <w:p w14:paraId="1C436794" w14:textId="77777777" w:rsidR="00041922" w:rsidRPr="00967AC5" w:rsidRDefault="00041922" w:rsidP="00870245">
      <w:pPr>
        <w:pStyle w:val="ECCParagraph"/>
      </w:pPr>
      <w:r w:rsidRPr="00967AC5">
        <w:t>The additional baseline power limit is an out-of-band power limit which is used for the protection of systems above and below the band edge, where needed.</w:t>
      </w:r>
    </w:p>
    <w:p w14:paraId="60E958C1" w14:textId="1E3D03B8" w:rsidR="00041922" w:rsidRPr="00967AC5" w:rsidRDefault="00041922" w:rsidP="00870245">
      <w:pPr>
        <w:pStyle w:val="ECCParagraph"/>
      </w:pPr>
      <w:r w:rsidRPr="00967AC5">
        <w:t xml:space="preserve">Power limits are provided separately for non-AAS and AAS </w:t>
      </w:r>
      <w:r w:rsidR="000F7003" w:rsidRPr="00967AC5">
        <w:t xml:space="preserve">(active antenna system) </w:t>
      </w:r>
      <w:r w:rsidRPr="00967AC5">
        <w:t xml:space="preserve">base </w:t>
      </w:r>
      <w:proofErr w:type="gramStart"/>
      <w:r w:rsidRPr="00967AC5">
        <w:t>stations.</w:t>
      </w:r>
      <w:r w:rsidR="00075E28" w:rsidRPr="00967AC5">
        <w:t>.</w:t>
      </w:r>
      <w:proofErr w:type="gramEnd"/>
      <w:r w:rsidR="00CC4785" w:rsidRPr="00967AC5">
        <w:t xml:space="preserve"> </w:t>
      </w:r>
      <w:r w:rsidR="00EF53D2" w:rsidRPr="00967AC5">
        <w:t>N</w:t>
      </w:r>
      <w:r w:rsidRPr="00967AC5">
        <w:t xml:space="preserve">on-AAS base stations </w:t>
      </w:r>
      <w:r w:rsidR="00EF53D2" w:rsidRPr="00967AC5">
        <w:t>may be</w:t>
      </w:r>
      <w:r w:rsidRPr="00967AC5">
        <w:t xml:space="preserve"> used in the 900 MHz </w:t>
      </w:r>
      <w:r w:rsidR="004F55C8" w:rsidRPr="00967AC5">
        <w:t>and</w:t>
      </w:r>
      <w:r w:rsidRPr="00967AC5">
        <w:t xml:space="preserve"> 1800 MHz frequency band</w:t>
      </w:r>
      <w:r w:rsidR="004F55C8" w:rsidRPr="00967AC5">
        <w:t>s</w:t>
      </w:r>
      <w:r w:rsidR="00EF53D2" w:rsidRPr="00967AC5">
        <w:t>, hence the non-AAS base station power limits apply to both bands</w:t>
      </w:r>
      <w:r w:rsidRPr="00967AC5">
        <w:t xml:space="preserve">. For non-AAS base stations, the power limits are expressed as mean </w:t>
      </w:r>
      <w:r w:rsidR="00C25AEC" w:rsidRPr="00967AC5">
        <w:rPr>
          <w:color w:val="000000"/>
        </w:rPr>
        <w:t xml:space="preserve">equivalent </w:t>
      </w:r>
      <w:proofErr w:type="spellStart"/>
      <w:r w:rsidR="00C25AEC" w:rsidRPr="00967AC5">
        <w:rPr>
          <w:color w:val="000000"/>
        </w:rPr>
        <w:t>isotropically</w:t>
      </w:r>
      <w:proofErr w:type="spellEnd"/>
      <w:r w:rsidR="00C25AEC" w:rsidRPr="00967AC5">
        <w:rPr>
          <w:color w:val="000000"/>
        </w:rPr>
        <w:t xml:space="preserve"> radiated power</w:t>
      </w:r>
      <w:r w:rsidR="00C25AEC" w:rsidRPr="00967AC5">
        <w:rPr>
          <w:rFonts w:cs="Arial"/>
          <w:color w:val="000000"/>
          <w:lang w:eastAsia="fr-FR"/>
        </w:rPr>
        <w:t xml:space="preserve"> (</w:t>
      </w:r>
      <w:r w:rsidR="007C6F2C" w:rsidRPr="00967AC5">
        <w:rPr>
          <w:color w:val="000000"/>
        </w:rPr>
        <w:t>e.i.r.p</w:t>
      </w:r>
      <w:r w:rsidR="0076319B" w:rsidRPr="00967AC5">
        <w:rPr>
          <w:color w:val="000000"/>
        </w:rPr>
        <w:t xml:space="preserve"> </w:t>
      </w:r>
      <w:r w:rsidR="0076319B" w:rsidRPr="00967AC5">
        <w:rPr>
          <w:rFonts w:cs="Arial"/>
          <w:color w:val="000000"/>
          <w:lang w:eastAsia="fr-FR"/>
        </w:rPr>
        <w:t>)</w:t>
      </w:r>
      <w:r w:rsidRPr="00967AC5">
        <w:t>.</w:t>
      </w:r>
      <w:r w:rsidR="00A30F72" w:rsidRPr="00967AC5">
        <w:t xml:space="preserve"> AAS base stations may only be used in the 1800 MHz frequency band, hence the AAS base station power limits only apply to this band.</w:t>
      </w:r>
      <w:r w:rsidRPr="00967AC5">
        <w:t xml:space="preserve"> For AAS base stations, the power limits are expressed as mean </w:t>
      </w:r>
      <w:r w:rsidR="00C25AEC" w:rsidRPr="00967AC5">
        <w:t>total radiated power (</w:t>
      </w:r>
      <w:r w:rsidRPr="00967AC5">
        <w:t>TRP</w:t>
      </w:r>
      <w:r w:rsidR="00C25AEC" w:rsidRPr="00967AC5">
        <w:t>)</w:t>
      </w:r>
      <w:r w:rsidRPr="00967AC5">
        <w:t>. TRP is defined as the integral of the power radiated by an antenna array system in different directions over the entire radiation sphere. TRP is equal to the total conducted power input into the antenna array system</w:t>
      </w:r>
      <w:r w:rsidR="00EE1920" w:rsidRPr="00967AC5">
        <w:t>,</w:t>
      </w:r>
      <w:r w:rsidRPr="00967AC5">
        <w:t xml:space="preserve"> less any losses in the antenna array system. The mean </w:t>
      </w:r>
      <w:r w:rsidR="007C6F2C" w:rsidRPr="00967AC5">
        <w:rPr>
          <w:rFonts w:cs="Arial"/>
          <w:color w:val="000000"/>
          <w:lang w:eastAsia="fr-FR"/>
        </w:rPr>
        <w:t>e.i.r.p.</w:t>
      </w:r>
      <w:r w:rsidRPr="00967AC5">
        <w:t xml:space="preserve"> or mean TRP are measured by averaging over a time interval and over a measurement frequency bandwidth. In the time domain, the mean </w:t>
      </w:r>
      <w:r w:rsidR="007C6F2C" w:rsidRPr="00967AC5">
        <w:rPr>
          <w:rFonts w:cs="Arial"/>
          <w:color w:val="000000"/>
          <w:lang w:eastAsia="fr-FR"/>
        </w:rPr>
        <w:t>e.i.r.p.</w:t>
      </w:r>
      <w:r w:rsidRPr="00967AC5">
        <w:t xml:space="preserve"> or mean TRP is averaged over the active portions of signal bursts and corresponds to a single power control setting. In the frequency domain, the mean </w:t>
      </w:r>
      <w:r w:rsidR="007C6F2C" w:rsidRPr="00967AC5">
        <w:rPr>
          <w:rFonts w:cs="Arial"/>
          <w:color w:val="000000"/>
          <w:lang w:eastAsia="fr-FR"/>
        </w:rPr>
        <w:t>e.i.r.p.</w:t>
      </w:r>
      <w:r w:rsidRPr="00967AC5">
        <w:t xml:space="preserve"> or mean TRP is determined over the measurement frequency bandwidth as given in </w:t>
      </w:r>
      <w:r w:rsidR="003B18C3" w:rsidRPr="00967AC5">
        <w:fldChar w:fldCharType="begin"/>
      </w:r>
      <w:r w:rsidR="003B18C3" w:rsidRPr="00967AC5">
        <w:instrText xml:space="preserve"> REF _Ref61338502 \h </w:instrText>
      </w:r>
      <w:r w:rsidR="002505BC" w:rsidRPr="00967AC5">
        <w:instrText xml:space="preserve"> \* MERGEFORMAT </w:instrText>
      </w:r>
      <w:r w:rsidR="003B18C3" w:rsidRPr="00967AC5">
        <w:fldChar w:fldCharType="separate"/>
      </w:r>
      <w:r w:rsidR="00680BB5" w:rsidRPr="00967AC5">
        <w:t xml:space="preserve">Table </w:t>
      </w:r>
      <w:r w:rsidR="00680BB5" w:rsidRPr="00967AC5">
        <w:rPr>
          <w:noProof/>
        </w:rPr>
        <w:t>12</w:t>
      </w:r>
      <w:r w:rsidR="003B18C3" w:rsidRPr="00967AC5">
        <w:fldChar w:fldCharType="end"/>
      </w:r>
      <w:r w:rsidR="009F5ACD" w:rsidRPr="00967AC5">
        <w:t xml:space="preserve"> to </w:t>
      </w:r>
      <w:r w:rsidR="009F5ACD" w:rsidRPr="00967AC5">
        <w:fldChar w:fldCharType="begin"/>
      </w:r>
      <w:r w:rsidR="009F5ACD" w:rsidRPr="00967AC5">
        <w:instrText xml:space="preserve"> REF _Ref63857397 \h </w:instrText>
      </w:r>
      <w:r w:rsidR="002505BC" w:rsidRPr="00967AC5">
        <w:instrText xml:space="preserve"> \* MERGEFORMAT </w:instrText>
      </w:r>
      <w:r w:rsidR="009F5ACD" w:rsidRPr="00967AC5">
        <w:fldChar w:fldCharType="separate"/>
      </w:r>
      <w:r w:rsidR="00680BB5" w:rsidRPr="00967AC5">
        <w:t xml:space="preserve">Table </w:t>
      </w:r>
      <w:r w:rsidR="00680BB5" w:rsidRPr="00967AC5">
        <w:rPr>
          <w:noProof/>
        </w:rPr>
        <w:t>15</w:t>
      </w:r>
      <w:r w:rsidR="009F5ACD" w:rsidRPr="00967AC5">
        <w:fldChar w:fldCharType="end"/>
      </w:r>
      <w:r w:rsidR="003C12C6" w:rsidRPr="00967AC5">
        <w:t xml:space="preserve"> </w:t>
      </w:r>
      <w:r w:rsidRPr="00967AC5">
        <w:t>below. In general, and unless stated otherwise, the BEM power limits correspond to the aggregate power radiated by the relevant device including all transmit antennas, except in the case of baseline and transition requirements for non-AAS base stations, which are specified per antenna.</w:t>
      </w:r>
      <w:r w:rsidR="00075E28" w:rsidRPr="00967AC5">
        <w:t xml:space="preserve"> </w:t>
      </w:r>
    </w:p>
    <w:p w14:paraId="72FEC298" w14:textId="445F6660" w:rsidR="00041922" w:rsidRPr="00967AC5" w:rsidRDefault="00041922" w:rsidP="00870245">
      <w:pPr>
        <w:pStyle w:val="ECCParagraph"/>
      </w:pPr>
      <w:r w:rsidRPr="00967AC5">
        <w:t xml:space="preserve">Systems may use only non-AAS BS in </w:t>
      </w:r>
      <w:r w:rsidR="006E66AB" w:rsidRPr="00967AC5">
        <w:t xml:space="preserve">the </w:t>
      </w:r>
      <w:r w:rsidRPr="00967AC5">
        <w:t xml:space="preserve">900 MHz frequency band and may use either non-AAS BS or AAS BS in the 1800 MHz frequency band. </w:t>
      </w:r>
    </w:p>
    <w:p w14:paraId="642E7AAC" w14:textId="20744E7D" w:rsidR="00041922" w:rsidRPr="00967AC5" w:rsidRDefault="00041922" w:rsidP="00870245">
      <w:pPr>
        <w:pStyle w:val="ECCParagraph"/>
      </w:pPr>
      <w:r w:rsidRPr="00967AC5">
        <w:t>In general, and unless stated otherwise, the BEM levels correspond to the power radiated by the relevant device irrespective of the number of transmit antennas, except for the case of non-AAS base station transition</w:t>
      </w:r>
      <w:r w:rsidR="006E66AB" w:rsidRPr="00967AC5">
        <w:t>al</w:t>
      </w:r>
      <w:r w:rsidRPr="00967AC5">
        <w:t xml:space="preserve"> requirements which are specified per antenna. </w:t>
      </w:r>
    </w:p>
    <w:p w14:paraId="342EB7C8" w14:textId="50AE458B" w:rsidR="00041922" w:rsidRPr="00967AC5" w:rsidRDefault="00041922" w:rsidP="00041922">
      <w:pPr>
        <w:pStyle w:val="Caption"/>
        <w:rPr>
          <w:lang w:val="en-GB"/>
        </w:rPr>
      </w:pPr>
      <w:bookmarkStart w:id="177" w:name="_Ref61340162"/>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11</w:t>
      </w:r>
      <w:r w:rsidRPr="00967AC5">
        <w:rPr>
          <w:lang w:val="en-GB"/>
        </w:rPr>
        <w:fldChar w:fldCharType="end"/>
      </w:r>
      <w:bookmarkEnd w:id="177"/>
      <w:r w:rsidRPr="00967AC5">
        <w:rPr>
          <w:lang w:val="en-GB"/>
        </w:rPr>
        <w:t>: ECS B</w:t>
      </w:r>
      <w:r w:rsidR="000D6CB5" w:rsidRPr="00967AC5">
        <w:rPr>
          <w:lang w:val="en-GB"/>
        </w:rPr>
        <w:t xml:space="preserve">ase </w:t>
      </w:r>
      <w:r w:rsidRPr="00967AC5">
        <w:rPr>
          <w:lang w:val="en-GB"/>
        </w:rPr>
        <w:t>S</w:t>
      </w:r>
      <w:r w:rsidR="000D6CB5" w:rsidRPr="00967AC5">
        <w:rPr>
          <w:lang w:val="en-GB"/>
        </w:rPr>
        <w:t>tation</w:t>
      </w:r>
      <w:r w:rsidRPr="00967AC5">
        <w:rPr>
          <w:lang w:val="en-GB"/>
        </w:rPr>
        <w:t xml:space="preserve"> B</w:t>
      </w:r>
      <w:r w:rsidR="000D6CB5" w:rsidRPr="00967AC5">
        <w:rPr>
          <w:lang w:val="en-GB"/>
        </w:rPr>
        <w:t xml:space="preserve">lock </w:t>
      </w:r>
      <w:r w:rsidRPr="00967AC5">
        <w:rPr>
          <w:lang w:val="en-GB"/>
        </w:rPr>
        <w:t>E</w:t>
      </w:r>
      <w:r w:rsidR="000D6CB5" w:rsidRPr="00967AC5">
        <w:rPr>
          <w:lang w:val="en-GB"/>
        </w:rPr>
        <w:t xml:space="preserve">dge </w:t>
      </w:r>
      <w:r w:rsidRPr="00967AC5">
        <w:rPr>
          <w:lang w:val="en-GB"/>
        </w:rPr>
        <w:t>M</w:t>
      </w:r>
      <w:r w:rsidR="000D6CB5" w:rsidRPr="00967AC5">
        <w:rPr>
          <w:lang w:val="en-GB"/>
        </w:rPr>
        <w:t xml:space="preserve">ask </w:t>
      </w:r>
      <w:r w:rsidRPr="00967AC5">
        <w:rPr>
          <w:lang w:val="en-GB"/>
        </w:rPr>
        <w:t>elements</w:t>
      </w:r>
    </w:p>
    <w:tbl>
      <w:tblPr>
        <w:tblStyle w:val="ECCTable-redheader"/>
        <w:tblW w:w="4051" w:type="pct"/>
        <w:tblInd w:w="0" w:type="dxa"/>
        <w:tblLook w:val="04A0" w:firstRow="1" w:lastRow="0" w:firstColumn="1" w:lastColumn="0" w:noHBand="0" w:noVBand="1"/>
      </w:tblPr>
      <w:tblGrid>
        <w:gridCol w:w="2267"/>
        <w:gridCol w:w="5534"/>
      </w:tblGrid>
      <w:tr w:rsidR="00784B8D" w:rsidRPr="00967AC5" w14:paraId="213FEFBB" w14:textId="77777777" w:rsidTr="002505BC">
        <w:trPr>
          <w:cnfStyle w:val="100000000000" w:firstRow="1" w:lastRow="0" w:firstColumn="0" w:lastColumn="0" w:oddVBand="0" w:evenVBand="0" w:oddHBand="0" w:evenHBand="0" w:firstRowFirstColumn="0" w:firstRowLastColumn="0" w:lastRowFirstColumn="0" w:lastRowLastColumn="0"/>
        </w:trPr>
        <w:tc>
          <w:tcPr>
            <w:tcW w:w="1453" w:type="pct"/>
            <w:tcBorders>
              <w:top w:val="single" w:sz="4" w:space="0" w:color="FFFFFF" w:themeColor="background1"/>
              <w:left w:val="single" w:sz="4" w:space="0" w:color="FFFFFF" w:themeColor="background1"/>
              <w:bottom w:val="single" w:sz="4" w:space="0" w:color="FFFFFF" w:themeColor="background1"/>
            </w:tcBorders>
            <w:vAlign w:val="top"/>
          </w:tcPr>
          <w:p w14:paraId="7F4D3417" w14:textId="77777777" w:rsidR="00041922" w:rsidRPr="00967AC5" w:rsidRDefault="00041922" w:rsidP="002505BC">
            <w:pPr>
              <w:pStyle w:val="ECCTableHeaderwhitefont"/>
              <w:rPr>
                <w:lang w:val="en-GB"/>
              </w:rPr>
            </w:pPr>
            <w:r w:rsidRPr="00967AC5">
              <w:rPr>
                <w:lang w:val="en-GB"/>
              </w:rPr>
              <w:t>BEM element</w:t>
            </w:r>
          </w:p>
        </w:tc>
        <w:tc>
          <w:tcPr>
            <w:tcW w:w="3547" w:type="pct"/>
            <w:tcBorders>
              <w:top w:val="single" w:sz="4" w:space="0" w:color="FFFFFF" w:themeColor="background1"/>
              <w:bottom w:val="single" w:sz="4" w:space="0" w:color="FFFFFF" w:themeColor="background1"/>
              <w:right w:val="single" w:sz="4" w:space="0" w:color="FFFFFF" w:themeColor="background1"/>
            </w:tcBorders>
            <w:vAlign w:val="top"/>
          </w:tcPr>
          <w:p w14:paraId="4FD45EA6" w14:textId="77777777" w:rsidR="00041922" w:rsidRPr="00967AC5" w:rsidRDefault="00041922" w:rsidP="002505BC">
            <w:pPr>
              <w:pStyle w:val="ECCTableHeaderwhitefont"/>
              <w:rPr>
                <w:lang w:val="en-GB"/>
              </w:rPr>
            </w:pPr>
            <w:r w:rsidRPr="00967AC5">
              <w:rPr>
                <w:lang w:val="en-GB"/>
              </w:rPr>
              <w:t>Definition</w:t>
            </w:r>
          </w:p>
        </w:tc>
      </w:tr>
      <w:tr w:rsidR="00041922" w:rsidRPr="00967AC5" w14:paraId="0C09AE80" w14:textId="77777777" w:rsidTr="002505BC">
        <w:trPr>
          <w:trHeight w:val="265"/>
        </w:trPr>
        <w:tc>
          <w:tcPr>
            <w:tcW w:w="1453" w:type="pct"/>
            <w:tcBorders>
              <w:top w:val="single" w:sz="4" w:space="0" w:color="FFFFFF" w:themeColor="background1"/>
            </w:tcBorders>
            <w:vAlign w:val="top"/>
          </w:tcPr>
          <w:p w14:paraId="2CDCA237" w14:textId="77777777" w:rsidR="00041922" w:rsidRPr="00967AC5" w:rsidRDefault="00041922" w:rsidP="00091A5D">
            <w:pPr>
              <w:pStyle w:val="ECCTabletext"/>
            </w:pPr>
            <w:r w:rsidRPr="00967AC5">
              <w:t>In-block</w:t>
            </w:r>
          </w:p>
        </w:tc>
        <w:tc>
          <w:tcPr>
            <w:tcW w:w="3547" w:type="pct"/>
            <w:tcBorders>
              <w:top w:val="single" w:sz="4" w:space="0" w:color="FFFFFF" w:themeColor="background1"/>
            </w:tcBorders>
            <w:vAlign w:val="top"/>
          </w:tcPr>
          <w:p w14:paraId="2747E42F" w14:textId="77777777" w:rsidR="00041922" w:rsidRPr="00967AC5" w:rsidRDefault="00041922" w:rsidP="00091A5D">
            <w:pPr>
              <w:pStyle w:val="ECCTabletext"/>
            </w:pPr>
            <w:r w:rsidRPr="00967AC5">
              <w:t>Applies to a block assigned to an operator</w:t>
            </w:r>
          </w:p>
        </w:tc>
      </w:tr>
      <w:tr w:rsidR="00041922" w:rsidRPr="00967AC5" w14:paraId="41431BFC" w14:textId="77777777" w:rsidTr="002505BC">
        <w:trPr>
          <w:trHeight w:val="265"/>
        </w:trPr>
        <w:tc>
          <w:tcPr>
            <w:tcW w:w="1453" w:type="pct"/>
            <w:vAlign w:val="top"/>
          </w:tcPr>
          <w:p w14:paraId="6A782CA7" w14:textId="77777777" w:rsidR="00041922" w:rsidRPr="00967AC5" w:rsidRDefault="00041922" w:rsidP="00091A5D">
            <w:pPr>
              <w:pStyle w:val="ECCTabletext"/>
            </w:pPr>
            <w:r w:rsidRPr="00967AC5">
              <w:t>Baseline</w:t>
            </w:r>
          </w:p>
        </w:tc>
        <w:tc>
          <w:tcPr>
            <w:tcW w:w="3547" w:type="pct"/>
            <w:vAlign w:val="top"/>
          </w:tcPr>
          <w:p w14:paraId="1F55FFCD" w14:textId="48AEBCA3" w:rsidR="00041922" w:rsidRPr="00967AC5" w:rsidRDefault="00041922" w:rsidP="00091A5D">
            <w:pPr>
              <w:pStyle w:val="ECCTabletext"/>
            </w:pPr>
            <w:r w:rsidRPr="00967AC5">
              <w:t>Applies in spectrum used for ECS, except from the operator block in question and corresponding transitional regions</w:t>
            </w:r>
          </w:p>
        </w:tc>
      </w:tr>
      <w:tr w:rsidR="00041922" w:rsidRPr="00967AC5" w14:paraId="7451E1A0" w14:textId="77777777" w:rsidTr="002505BC">
        <w:trPr>
          <w:trHeight w:val="265"/>
        </w:trPr>
        <w:tc>
          <w:tcPr>
            <w:tcW w:w="1453" w:type="pct"/>
            <w:vAlign w:val="top"/>
          </w:tcPr>
          <w:p w14:paraId="46957B72" w14:textId="77777777" w:rsidR="00041922" w:rsidRPr="00967AC5" w:rsidRDefault="00041922" w:rsidP="00091A5D">
            <w:pPr>
              <w:pStyle w:val="ECCTabletext"/>
            </w:pPr>
            <w:r w:rsidRPr="00967AC5">
              <w:t>Transitional regions</w:t>
            </w:r>
          </w:p>
        </w:tc>
        <w:tc>
          <w:tcPr>
            <w:tcW w:w="3547" w:type="pct"/>
            <w:vAlign w:val="top"/>
          </w:tcPr>
          <w:p w14:paraId="6FADA9A4" w14:textId="72879C91" w:rsidR="00041922" w:rsidRPr="00967AC5" w:rsidRDefault="00041922" w:rsidP="00091A5D">
            <w:pPr>
              <w:pStyle w:val="ECCTabletext"/>
            </w:pPr>
            <w:r w:rsidRPr="00967AC5">
              <w:t xml:space="preserve">Applies in regions adjacent to </w:t>
            </w:r>
            <w:r w:rsidR="006E66AB" w:rsidRPr="00967AC5">
              <w:t>the</w:t>
            </w:r>
            <w:r w:rsidRPr="00967AC5">
              <w:t xml:space="preserve"> operator block</w:t>
            </w:r>
            <w:r w:rsidR="006E66AB" w:rsidRPr="00967AC5">
              <w:t xml:space="preserve"> in question</w:t>
            </w:r>
          </w:p>
        </w:tc>
      </w:tr>
      <w:tr w:rsidR="00041922" w:rsidRPr="00967AC5" w14:paraId="746E3C80" w14:textId="77777777" w:rsidTr="002505BC">
        <w:trPr>
          <w:trHeight w:val="265"/>
        </w:trPr>
        <w:tc>
          <w:tcPr>
            <w:tcW w:w="1453" w:type="pct"/>
            <w:vAlign w:val="top"/>
          </w:tcPr>
          <w:p w14:paraId="0449AA72" w14:textId="77777777" w:rsidR="00041922" w:rsidRPr="00967AC5" w:rsidRDefault="00041922" w:rsidP="00091A5D">
            <w:pPr>
              <w:pStyle w:val="ECCTabletext"/>
            </w:pPr>
            <w:r w:rsidRPr="00967AC5">
              <w:t>Additional baseline</w:t>
            </w:r>
          </w:p>
        </w:tc>
        <w:tc>
          <w:tcPr>
            <w:tcW w:w="3547" w:type="pct"/>
            <w:vAlign w:val="top"/>
          </w:tcPr>
          <w:p w14:paraId="191C7982" w14:textId="77777777" w:rsidR="00041922" w:rsidRPr="00967AC5" w:rsidRDefault="00041922" w:rsidP="00091A5D">
            <w:pPr>
              <w:pStyle w:val="ECCTabletext"/>
            </w:pPr>
            <w:r w:rsidRPr="00967AC5">
              <w:t>Applies in adjacent bands (out-of-band) where specific limits for protection of other services are necessary</w:t>
            </w:r>
          </w:p>
        </w:tc>
      </w:tr>
    </w:tbl>
    <w:p w14:paraId="4413F741" w14:textId="77777777" w:rsidR="00041922" w:rsidRPr="00967AC5" w:rsidRDefault="00041922" w:rsidP="00041922">
      <w:pPr>
        <w:rPr>
          <w:lang w:val="en-GB"/>
        </w:rPr>
      </w:pPr>
    </w:p>
    <w:p w14:paraId="4D016316" w14:textId="77777777" w:rsidR="00041922" w:rsidRPr="00967AC5" w:rsidRDefault="00041922" w:rsidP="00041922">
      <w:pPr>
        <w:pStyle w:val="ECCFiguregraphcentered"/>
        <w:rPr>
          <w:noProof w:val="0"/>
          <w:lang w:val="en-GB"/>
        </w:rPr>
      </w:pPr>
      <w:r w:rsidRPr="00967AC5">
        <w:rPr>
          <w:lang w:val="en-GB"/>
        </w:rPr>
        <w:lastRenderedPageBreak/>
        <w:drawing>
          <wp:inline distT="0" distB="0" distL="0" distR="0" wp14:anchorId="193A0049" wp14:editId="079688F6">
            <wp:extent cx="5880290" cy="3212123"/>
            <wp:effectExtent l="0" t="0" r="0" b="0"/>
            <wp:docPr id="115"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pic:nvPicPr>
                  <pic:blipFill>
                    <a:blip r:embed="rId22">
                      <a:extLst>
                        <a:ext uri="{28A0092B-C50C-407E-A947-70E740481C1C}">
                          <a14:useLocalDpi xmlns:a14="http://schemas.microsoft.com/office/drawing/2010/main" val="0"/>
                        </a:ext>
                      </a:extLst>
                    </a:blip>
                    <a:stretch>
                      <a:fillRect/>
                    </a:stretch>
                  </pic:blipFill>
                  <pic:spPr>
                    <a:xfrm>
                      <a:off x="0" y="0"/>
                      <a:ext cx="5888893" cy="3216822"/>
                    </a:xfrm>
                    <a:prstGeom prst="rect">
                      <a:avLst/>
                    </a:prstGeom>
                  </pic:spPr>
                </pic:pic>
              </a:graphicData>
            </a:graphic>
          </wp:inline>
        </w:drawing>
      </w:r>
    </w:p>
    <w:p w14:paraId="4943211A" w14:textId="7198C0AD" w:rsidR="00041922" w:rsidRPr="00967AC5" w:rsidRDefault="00041922" w:rsidP="00041922">
      <w:pPr>
        <w:pStyle w:val="Caption"/>
        <w:rPr>
          <w:lang w:val="en-GB"/>
        </w:rPr>
      </w:pPr>
      <w:r w:rsidRPr="00967AC5">
        <w:rPr>
          <w:lang w:val="en-GB"/>
        </w:rPr>
        <w:t xml:space="preserve">Figure </w:t>
      </w:r>
      <w:r w:rsidRPr="00967AC5">
        <w:rPr>
          <w:lang w:val="en-GB"/>
        </w:rPr>
        <w:fldChar w:fldCharType="begin"/>
      </w:r>
      <w:r w:rsidRPr="00967AC5">
        <w:rPr>
          <w:lang w:val="en-GB"/>
        </w:rPr>
        <w:instrText xml:space="preserve"> SEQ Figure \* ARABIC </w:instrText>
      </w:r>
      <w:r w:rsidRPr="00967AC5">
        <w:rPr>
          <w:lang w:val="en-GB"/>
        </w:rPr>
        <w:fldChar w:fldCharType="separate"/>
      </w:r>
      <w:r w:rsidR="00680BB5" w:rsidRPr="00967AC5">
        <w:rPr>
          <w:noProof/>
          <w:lang w:val="en-GB"/>
        </w:rPr>
        <w:t>10</w:t>
      </w:r>
      <w:r w:rsidRPr="00967AC5">
        <w:rPr>
          <w:lang w:val="en-GB"/>
        </w:rPr>
        <w:fldChar w:fldCharType="end"/>
      </w:r>
      <w:r w:rsidRPr="00967AC5">
        <w:rPr>
          <w:lang w:val="en-GB"/>
        </w:rPr>
        <w:t xml:space="preserve">: </w:t>
      </w:r>
      <w:r w:rsidR="00A8208D" w:rsidRPr="00967AC5">
        <w:rPr>
          <w:lang w:val="en-GB"/>
        </w:rPr>
        <w:t>Block edge mask elements</w:t>
      </w:r>
    </w:p>
    <w:p w14:paraId="2F59C1AE" w14:textId="77777777" w:rsidR="00041922" w:rsidRPr="00967AC5" w:rsidRDefault="00041922" w:rsidP="00AA165D">
      <w:pPr>
        <w:pStyle w:val="ECCAnnexheading4"/>
        <w:rPr>
          <w:lang w:val="en-GB"/>
        </w:rPr>
      </w:pPr>
      <w:r w:rsidRPr="00967AC5">
        <w:rPr>
          <w:lang w:val="en-GB"/>
        </w:rPr>
        <w:t>In-band power limits</w:t>
      </w:r>
    </w:p>
    <w:p w14:paraId="312D7559" w14:textId="0C38E10F" w:rsidR="00680BB5" w:rsidRPr="00967AC5" w:rsidRDefault="00041922" w:rsidP="00001EB9">
      <w:pPr>
        <w:rPr>
          <w:lang w:val="en-GB"/>
        </w:rPr>
      </w:pPr>
      <w:r w:rsidRPr="00967AC5">
        <w:rPr>
          <w:lang w:val="en-GB"/>
        </w:rPr>
        <w:t xml:space="preserve">In-band power limits for Base Stations are provided in </w:t>
      </w:r>
      <w:r w:rsidRPr="00967AC5">
        <w:rPr>
          <w:lang w:val="en-GB"/>
        </w:rPr>
        <w:fldChar w:fldCharType="begin"/>
      </w:r>
      <w:r w:rsidRPr="00967AC5">
        <w:rPr>
          <w:lang w:val="en-GB"/>
        </w:rPr>
        <w:instrText xml:space="preserve"> REF _Ref61338502 \h  \* MERGEFORMAT </w:instrText>
      </w:r>
      <w:r w:rsidRPr="00967AC5">
        <w:rPr>
          <w:lang w:val="en-GB"/>
        </w:rPr>
      </w:r>
      <w:r w:rsidRPr="00967AC5">
        <w:rPr>
          <w:lang w:val="en-GB"/>
        </w:rPr>
        <w:fldChar w:fldCharType="separate"/>
      </w:r>
      <w:r w:rsidR="00680BB5" w:rsidRPr="00967AC5">
        <w:rPr>
          <w:lang w:val="en-GB"/>
        </w:rPr>
        <w:t>Table 12</w:t>
      </w:r>
      <w:r w:rsidRPr="00967AC5">
        <w:rPr>
          <w:lang w:val="en-GB"/>
        </w:rPr>
        <w:fldChar w:fldCharType="end"/>
      </w:r>
      <w:r w:rsidRPr="00967AC5">
        <w:rPr>
          <w:lang w:val="en-GB"/>
        </w:rPr>
        <w:t xml:space="preserve">, </w:t>
      </w:r>
      <w:r w:rsidRPr="00967AC5">
        <w:rPr>
          <w:lang w:val="en-GB"/>
        </w:rPr>
        <w:fldChar w:fldCharType="begin"/>
      </w:r>
      <w:r w:rsidRPr="00967AC5">
        <w:rPr>
          <w:lang w:val="en-GB"/>
        </w:rPr>
        <w:instrText xml:space="preserve"> REF _Ref61338509 \h  \* MERGEFORMAT </w:instrText>
      </w:r>
      <w:r w:rsidRPr="00967AC5">
        <w:rPr>
          <w:lang w:val="en-GB"/>
        </w:rPr>
      </w:r>
      <w:r w:rsidRPr="00967AC5">
        <w:rPr>
          <w:lang w:val="en-GB"/>
        </w:rPr>
        <w:fldChar w:fldCharType="separate"/>
      </w:r>
    </w:p>
    <w:p w14:paraId="216804E2" w14:textId="26C0CF78" w:rsidR="00041922" w:rsidRPr="00967AC5" w:rsidRDefault="00680BB5" w:rsidP="00041922">
      <w:pPr>
        <w:rPr>
          <w:lang w:val="en-GB"/>
        </w:rPr>
      </w:pPr>
      <w:r w:rsidRPr="00967AC5">
        <w:rPr>
          <w:lang w:val="en-GB"/>
        </w:rPr>
        <w:t xml:space="preserve">Table </w:t>
      </w:r>
      <w:r w:rsidRPr="00967AC5">
        <w:rPr>
          <w:noProof/>
          <w:lang w:val="en-GB"/>
        </w:rPr>
        <w:t>13</w:t>
      </w:r>
      <w:r w:rsidR="00041922" w:rsidRPr="00967AC5">
        <w:rPr>
          <w:lang w:val="en-GB"/>
        </w:rPr>
        <w:fldChar w:fldCharType="end"/>
      </w:r>
      <w:r w:rsidR="00041922" w:rsidRPr="00967AC5">
        <w:rPr>
          <w:lang w:val="en-GB"/>
        </w:rPr>
        <w:t xml:space="preserve"> and </w:t>
      </w:r>
      <w:r w:rsidR="00041922" w:rsidRPr="00967AC5">
        <w:rPr>
          <w:lang w:val="en-GB"/>
        </w:rPr>
        <w:fldChar w:fldCharType="begin"/>
      </w:r>
      <w:r w:rsidR="00041922" w:rsidRPr="00967AC5">
        <w:rPr>
          <w:lang w:val="en-GB"/>
        </w:rPr>
        <w:instrText xml:space="preserve"> REF _Ref61338517 \h  \* MERGEFORMAT </w:instrText>
      </w:r>
      <w:r w:rsidR="00041922" w:rsidRPr="00967AC5">
        <w:rPr>
          <w:lang w:val="en-GB"/>
        </w:rPr>
      </w:r>
      <w:r w:rsidR="00041922" w:rsidRPr="00967AC5">
        <w:rPr>
          <w:lang w:val="en-GB"/>
        </w:rPr>
        <w:fldChar w:fldCharType="separate"/>
      </w:r>
      <w:r w:rsidRPr="00967AC5">
        <w:rPr>
          <w:lang w:val="en-GB"/>
        </w:rPr>
        <w:t>Table 14</w:t>
      </w:r>
      <w:r w:rsidR="00041922" w:rsidRPr="00967AC5">
        <w:rPr>
          <w:lang w:val="en-GB"/>
        </w:rPr>
        <w:fldChar w:fldCharType="end"/>
      </w:r>
      <w:r w:rsidR="00041922" w:rsidRPr="00967AC5">
        <w:rPr>
          <w:lang w:val="en-GB"/>
        </w:rPr>
        <w:t>.</w:t>
      </w:r>
    </w:p>
    <w:p w14:paraId="2E900F52" w14:textId="6F76672E" w:rsidR="00041922" w:rsidRPr="00967AC5" w:rsidRDefault="00041922" w:rsidP="0089012D">
      <w:pPr>
        <w:pStyle w:val="Caption"/>
        <w:keepNext/>
        <w:rPr>
          <w:lang w:val="en-GB"/>
        </w:rPr>
      </w:pPr>
      <w:bookmarkStart w:id="178" w:name="_Ref61338502"/>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12</w:t>
      </w:r>
      <w:r w:rsidRPr="00967AC5">
        <w:rPr>
          <w:lang w:val="en-GB"/>
        </w:rPr>
        <w:fldChar w:fldCharType="end"/>
      </w:r>
      <w:bookmarkEnd w:id="178"/>
      <w:r w:rsidRPr="00967AC5">
        <w:rPr>
          <w:lang w:val="en-GB"/>
        </w:rPr>
        <w:t>: B</w:t>
      </w:r>
      <w:r w:rsidR="000D6CB5" w:rsidRPr="00967AC5">
        <w:rPr>
          <w:lang w:val="en-GB"/>
        </w:rPr>
        <w:t xml:space="preserve">ase </w:t>
      </w:r>
      <w:r w:rsidRPr="00967AC5">
        <w:rPr>
          <w:lang w:val="en-GB"/>
        </w:rPr>
        <w:t>S</w:t>
      </w:r>
      <w:r w:rsidR="000D6CB5" w:rsidRPr="00967AC5">
        <w:rPr>
          <w:lang w:val="en-GB"/>
        </w:rPr>
        <w:t>tation</w:t>
      </w:r>
      <w:r w:rsidR="009A0E30" w:rsidRPr="00967AC5">
        <w:rPr>
          <w:lang w:val="en-GB"/>
        </w:rPr>
        <w:t xml:space="preserve"> </w:t>
      </w:r>
      <w:r w:rsidRPr="00967AC5">
        <w:rPr>
          <w:lang w:val="en-GB"/>
        </w:rPr>
        <w:t xml:space="preserve">in-block </w:t>
      </w:r>
      <w:r w:rsidR="00760449" w:rsidRPr="00967AC5">
        <w:rPr>
          <w:lang w:val="en-GB"/>
        </w:rPr>
        <w:t xml:space="preserve">power </w:t>
      </w:r>
      <w:r w:rsidR="000707AD" w:rsidRPr="00967AC5">
        <w:rPr>
          <w:lang w:val="en-GB"/>
        </w:rPr>
        <w:t>limit</w:t>
      </w:r>
      <w:r w:rsidR="006E66AB" w:rsidRPr="00967AC5">
        <w:rPr>
          <w:lang w:val="en-GB"/>
        </w:rPr>
        <w:t xml:space="preserve"> for</w:t>
      </w:r>
      <w:r w:rsidRPr="00967AC5">
        <w:rPr>
          <w:lang w:val="en-GB"/>
        </w:rPr>
        <w:t xml:space="preserve"> non-AAS and AAS </w:t>
      </w:r>
    </w:p>
    <w:tbl>
      <w:tblPr>
        <w:tblStyle w:val="ECCTable-redheader"/>
        <w:tblW w:w="5000" w:type="pct"/>
        <w:tblInd w:w="0" w:type="dxa"/>
        <w:tblLook w:val="04A0" w:firstRow="1" w:lastRow="0" w:firstColumn="1" w:lastColumn="0" w:noHBand="0" w:noVBand="1"/>
      </w:tblPr>
      <w:tblGrid>
        <w:gridCol w:w="1128"/>
        <w:gridCol w:w="4676"/>
        <w:gridCol w:w="3825"/>
      </w:tblGrid>
      <w:tr w:rsidR="00494026" w:rsidRPr="00967AC5" w14:paraId="5054C67F" w14:textId="77777777" w:rsidTr="00FF2C59">
        <w:trPr>
          <w:cnfStyle w:val="100000000000" w:firstRow="1" w:lastRow="0" w:firstColumn="0" w:lastColumn="0" w:oddVBand="0" w:evenVBand="0" w:oddHBand="0" w:evenHBand="0" w:firstRowFirstColumn="0" w:firstRowLastColumn="0" w:lastRowFirstColumn="0" w:lastRowLastColumn="0"/>
        </w:trPr>
        <w:tc>
          <w:tcPr>
            <w:tcW w:w="586" w:type="pct"/>
            <w:tcBorders>
              <w:top w:val="single" w:sz="4" w:space="0" w:color="FFFFFF" w:themeColor="background1"/>
              <w:left w:val="single" w:sz="4" w:space="0" w:color="FFFFFF" w:themeColor="background1"/>
              <w:bottom w:val="single" w:sz="4" w:space="0" w:color="FFFFFF" w:themeColor="background1"/>
            </w:tcBorders>
            <w:vAlign w:val="top"/>
          </w:tcPr>
          <w:p w14:paraId="67A87F9F" w14:textId="77777777" w:rsidR="00041922" w:rsidRPr="00967AC5" w:rsidRDefault="00041922" w:rsidP="0089012D">
            <w:pPr>
              <w:pStyle w:val="ECCTableHeaderwhitefont"/>
              <w:keepNext/>
              <w:rPr>
                <w:lang w:val="en-GB"/>
              </w:rPr>
            </w:pPr>
            <w:r w:rsidRPr="00967AC5">
              <w:rPr>
                <w:lang w:val="en-GB"/>
              </w:rPr>
              <w:t>BEM element</w:t>
            </w:r>
          </w:p>
        </w:tc>
        <w:tc>
          <w:tcPr>
            <w:tcW w:w="2428" w:type="pct"/>
            <w:tcBorders>
              <w:top w:val="single" w:sz="4" w:space="0" w:color="FFFFFF" w:themeColor="background1"/>
              <w:bottom w:val="single" w:sz="4" w:space="0" w:color="FFFFFF" w:themeColor="background1"/>
            </w:tcBorders>
            <w:vAlign w:val="top"/>
          </w:tcPr>
          <w:p w14:paraId="4634F7DD" w14:textId="77777777" w:rsidR="00041922" w:rsidRPr="00967AC5" w:rsidRDefault="00041922" w:rsidP="0089012D">
            <w:pPr>
              <w:pStyle w:val="ECCTableHeaderwhitefont"/>
              <w:keepNext/>
              <w:rPr>
                <w:lang w:val="en-GB"/>
              </w:rPr>
            </w:pPr>
            <w:r w:rsidRPr="00967AC5">
              <w:rPr>
                <w:lang w:val="en-GB"/>
              </w:rPr>
              <w:t>Non-AAS e.i.r.p.</w:t>
            </w:r>
          </w:p>
        </w:tc>
        <w:tc>
          <w:tcPr>
            <w:tcW w:w="0" w:type="pct"/>
            <w:tcBorders>
              <w:top w:val="single" w:sz="4" w:space="0" w:color="FFFFFF" w:themeColor="background1"/>
              <w:bottom w:val="single" w:sz="4" w:space="0" w:color="FFFFFF" w:themeColor="background1"/>
              <w:right w:val="single" w:sz="4" w:space="0" w:color="FFFFFF" w:themeColor="background1"/>
            </w:tcBorders>
            <w:vAlign w:val="top"/>
          </w:tcPr>
          <w:p w14:paraId="7915B1D9" w14:textId="77777777" w:rsidR="00041922" w:rsidRPr="00967AC5" w:rsidRDefault="00041922" w:rsidP="0089012D">
            <w:pPr>
              <w:pStyle w:val="ECCTableHeaderwhitefont"/>
              <w:keepNext/>
              <w:rPr>
                <w:lang w:val="en-GB"/>
              </w:rPr>
            </w:pPr>
            <w:r w:rsidRPr="00967AC5">
              <w:rPr>
                <w:lang w:val="en-GB"/>
              </w:rPr>
              <w:t>AAS TRP power limit (for 1800 MHz band AAS)</w:t>
            </w:r>
          </w:p>
        </w:tc>
      </w:tr>
      <w:tr w:rsidR="00041922" w:rsidRPr="00967AC5" w14:paraId="775A8651" w14:textId="77777777" w:rsidTr="00FF2C59">
        <w:trPr>
          <w:trHeight w:val="265"/>
        </w:trPr>
        <w:tc>
          <w:tcPr>
            <w:tcW w:w="586" w:type="pct"/>
            <w:tcBorders>
              <w:top w:val="single" w:sz="4" w:space="0" w:color="FFFFFF" w:themeColor="background1"/>
            </w:tcBorders>
          </w:tcPr>
          <w:p w14:paraId="5F4FC8EE" w14:textId="77777777" w:rsidR="00041922" w:rsidRPr="00967AC5" w:rsidRDefault="00041922" w:rsidP="0089012D">
            <w:pPr>
              <w:pStyle w:val="ECCTabletext"/>
              <w:keepNext/>
            </w:pPr>
            <w:r w:rsidRPr="00967AC5">
              <w:t>In-block</w:t>
            </w:r>
          </w:p>
        </w:tc>
        <w:tc>
          <w:tcPr>
            <w:tcW w:w="2428" w:type="pct"/>
            <w:tcBorders>
              <w:top w:val="single" w:sz="4" w:space="0" w:color="FFFFFF" w:themeColor="background1"/>
            </w:tcBorders>
          </w:tcPr>
          <w:p w14:paraId="12DC47A7" w14:textId="77777777" w:rsidR="00041922" w:rsidRPr="00967AC5" w:rsidRDefault="00041922" w:rsidP="00FF2C59">
            <w:pPr>
              <w:pStyle w:val="ECCTabletext"/>
              <w:keepNext/>
              <w:jc w:val="left"/>
            </w:pPr>
            <w:r w:rsidRPr="00967AC5">
              <w:t>Not obligatory.</w:t>
            </w:r>
          </w:p>
          <w:p w14:paraId="27B58871" w14:textId="77777777" w:rsidR="00041922" w:rsidRPr="00967AC5" w:rsidRDefault="00041922" w:rsidP="00FF2C59">
            <w:pPr>
              <w:pStyle w:val="ECCTabletext"/>
              <w:keepNext/>
              <w:jc w:val="left"/>
            </w:pPr>
            <w:r w:rsidRPr="00967AC5">
              <w:t>In case an upper bound is desired by an administration, a value of 63-67 dBm/(5 MHz) per antenna may be applied for wideband systems and a value of 60-69 dBm/(200 kHz) per antenna may be applied for narrowband systems.</w:t>
            </w:r>
          </w:p>
        </w:tc>
        <w:tc>
          <w:tcPr>
            <w:tcW w:w="1986" w:type="pct"/>
            <w:tcBorders>
              <w:top w:val="single" w:sz="4" w:space="0" w:color="FFFFFF" w:themeColor="background1"/>
            </w:tcBorders>
          </w:tcPr>
          <w:p w14:paraId="7A40286B" w14:textId="77777777" w:rsidR="00041922" w:rsidRPr="00967AC5" w:rsidRDefault="00041922" w:rsidP="00FF2C59">
            <w:pPr>
              <w:pStyle w:val="ECCTabletext"/>
              <w:keepNext/>
              <w:jc w:val="left"/>
            </w:pPr>
            <w:r w:rsidRPr="00967AC5">
              <w:t>Not obligatory.</w:t>
            </w:r>
          </w:p>
          <w:p w14:paraId="0A5B9B1E" w14:textId="2C613611" w:rsidR="00041922" w:rsidRPr="00967AC5" w:rsidRDefault="00041922" w:rsidP="00FF2C59">
            <w:pPr>
              <w:pStyle w:val="ECCTabletext"/>
              <w:keepNext/>
              <w:jc w:val="left"/>
            </w:pPr>
            <w:r w:rsidRPr="00967AC5">
              <w:t>In case an upper bound is desired by an administration, a value of 58 dBm/(5 MHz) per cell</w:t>
            </w:r>
            <w:r w:rsidR="00D856AC" w:rsidRPr="00967AC5">
              <w:t xml:space="preserve"> (note 1)</w:t>
            </w:r>
            <w:r w:rsidRPr="00967AC5">
              <w:t xml:space="preserve"> may be applied.</w:t>
            </w:r>
          </w:p>
        </w:tc>
      </w:tr>
      <w:tr w:rsidR="00041922" w:rsidRPr="00967AC5" w14:paraId="5BD16FDB" w14:textId="77777777" w:rsidTr="00FF2C59">
        <w:trPr>
          <w:trHeight w:val="265"/>
        </w:trPr>
        <w:tc>
          <w:tcPr>
            <w:tcW w:w="5000" w:type="pct"/>
            <w:gridSpan w:val="3"/>
          </w:tcPr>
          <w:p w14:paraId="66DFC902" w14:textId="77777777" w:rsidR="00041922" w:rsidRPr="00967AC5" w:rsidRDefault="00041922" w:rsidP="002505BC">
            <w:pPr>
              <w:pStyle w:val="ECCTablenote"/>
            </w:pPr>
            <w:r w:rsidRPr="00967AC5">
              <w:t>Note: For locations where coordination procedure with adjacent services applies an upper bound on output power can be set by administrations.</w:t>
            </w:r>
          </w:p>
          <w:p w14:paraId="322F4E09" w14:textId="1AF31911" w:rsidR="00041922" w:rsidRPr="00967AC5" w:rsidRDefault="00D856AC" w:rsidP="002505BC">
            <w:pPr>
              <w:pStyle w:val="ECCTablenote"/>
            </w:pPr>
            <w:r w:rsidRPr="00967AC5">
              <w:t xml:space="preserve">Note 1: </w:t>
            </w:r>
            <w:r w:rsidR="00041922" w:rsidRPr="00967AC5">
              <w:t>In a multi-sector base station, the radiated power limit applies to each one of the individual sectors.</w:t>
            </w:r>
          </w:p>
        </w:tc>
      </w:tr>
    </w:tbl>
    <w:p w14:paraId="0CBD146E" w14:textId="20A04CA8" w:rsidR="00041922" w:rsidRPr="00967AC5" w:rsidRDefault="00041922" w:rsidP="00041922">
      <w:pPr>
        <w:pStyle w:val="Caption"/>
        <w:rPr>
          <w:lang w:val="en-GB"/>
        </w:rPr>
      </w:pPr>
      <w:bookmarkStart w:id="179" w:name="_Ref61338509"/>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13</w:t>
      </w:r>
      <w:r w:rsidRPr="00967AC5">
        <w:rPr>
          <w:lang w:val="en-GB"/>
        </w:rPr>
        <w:fldChar w:fldCharType="end"/>
      </w:r>
      <w:bookmarkEnd w:id="179"/>
      <w:r w:rsidRPr="00967AC5">
        <w:rPr>
          <w:lang w:val="en-GB"/>
        </w:rPr>
        <w:t>: B</w:t>
      </w:r>
      <w:r w:rsidR="000D6CB5" w:rsidRPr="00967AC5">
        <w:rPr>
          <w:lang w:val="en-GB"/>
        </w:rPr>
        <w:t xml:space="preserve">ase </w:t>
      </w:r>
      <w:r w:rsidRPr="00967AC5">
        <w:rPr>
          <w:lang w:val="en-GB"/>
        </w:rPr>
        <w:t>S</w:t>
      </w:r>
      <w:r w:rsidR="000D6CB5" w:rsidRPr="00967AC5">
        <w:rPr>
          <w:lang w:val="en-GB"/>
        </w:rPr>
        <w:t>tation</w:t>
      </w:r>
      <w:r w:rsidR="009A0E30" w:rsidRPr="00967AC5">
        <w:rPr>
          <w:lang w:val="en-GB"/>
        </w:rPr>
        <w:t xml:space="preserve"> </w:t>
      </w:r>
      <w:r w:rsidRPr="00967AC5">
        <w:rPr>
          <w:lang w:val="en-GB"/>
        </w:rPr>
        <w:t xml:space="preserve">Baseline out-of-block </w:t>
      </w:r>
      <w:r w:rsidR="00236F77" w:rsidRPr="00967AC5">
        <w:rPr>
          <w:lang w:val="en-GB"/>
        </w:rPr>
        <w:t>power limit</w:t>
      </w:r>
      <w:r w:rsidR="006E66AB" w:rsidRPr="00967AC5">
        <w:rPr>
          <w:lang w:val="en-GB"/>
        </w:rPr>
        <w:t xml:space="preserve"> for non-AAS and AAS</w:t>
      </w:r>
    </w:p>
    <w:tbl>
      <w:tblPr>
        <w:tblStyle w:val="ECCTable-redheader"/>
        <w:tblW w:w="5000" w:type="pct"/>
        <w:tblInd w:w="0" w:type="dxa"/>
        <w:tblLayout w:type="fixed"/>
        <w:tblLook w:val="04A0" w:firstRow="1" w:lastRow="0" w:firstColumn="1" w:lastColumn="0" w:noHBand="0" w:noVBand="1"/>
      </w:tblPr>
      <w:tblGrid>
        <w:gridCol w:w="12"/>
        <w:gridCol w:w="1259"/>
        <w:gridCol w:w="3260"/>
        <w:gridCol w:w="2835"/>
        <w:gridCol w:w="2263"/>
      </w:tblGrid>
      <w:tr w:rsidR="00EA7DB9" w:rsidRPr="00967AC5" w14:paraId="67EB3800" w14:textId="77777777" w:rsidTr="00EA7DB9">
        <w:trPr>
          <w:gridBefore w:val="1"/>
          <w:cnfStyle w:val="100000000000" w:firstRow="1" w:lastRow="0" w:firstColumn="0" w:lastColumn="0" w:oddVBand="0" w:evenVBand="0" w:oddHBand="0" w:evenHBand="0" w:firstRowFirstColumn="0" w:firstRowLastColumn="0" w:lastRowFirstColumn="0" w:lastRowLastColumn="0"/>
          <w:wBefore w:w="6" w:type="pct"/>
        </w:trPr>
        <w:tc>
          <w:tcPr>
            <w:tcW w:w="654" w:type="pct"/>
            <w:tcBorders>
              <w:top w:val="single" w:sz="4" w:space="0" w:color="FFFFFF" w:themeColor="background1"/>
              <w:left w:val="single" w:sz="4" w:space="0" w:color="FFFFFF" w:themeColor="background1"/>
              <w:bottom w:val="single" w:sz="4" w:space="0" w:color="FFFFFF" w:themeColor="background1"/>
            </w:tcBorders>
            <w:vAlign w:val="top"/>
          </w:tcPr>
          <w:p w14:paraId="4CC57AB4" w14:textId="77777777" w:rsidR="00041922" w:rsidRPr="00967AC5" w:rsidRDefault="00041922" w:rsidP="00091A5D">
            <w:pPr>
              <w:pStyle w:val="ECCTableHeaderwhitefont"/>
              <w:rPr>
                <w:lang w:val="en-GB"/>
              </w:rPr>
            </w:pPr>
            <w:r w:rsidRPr="00967AC5">
              <w:rPr>
                <w:lang w:val="en-GB"/>
              </w:rPr>
              <w:t>BEM element</w:t>
            </w:r>
          </w:p>
        </w:tc>
        <w:tc>
          <w:tcPr>
            <w:tcW w:w="1693" w:type="pct"/>
            <w:tcBorders>
              <w:top w:val="single" w:sz="4" w:space="0" w:color="FFFFFF" w:themeColor="background1"/>
              <w:bottom w:val="single" w:sz="4" w:space="0" w:color="FFFFFF" w:themeColor="background1"/>
            </w:tcBorders>
            <w:vAlign w:val="top"/>
          </w:tcPr>
          <w:p w14:paraId="4F0134D0" w14:textId="77777777" w:rsidR="00041922" w:rsidRPr="00967AC5" w:rsidRDefault="00041922" w:rsidP="00091A5D">
            <w:pPr>
              <w:pStyle w:val="ECCTableHeaderwhitefont"/>
              <w:rPr>
                <w:lang w:val="en-GB"/>
              </w:rPr>
            </w:pPr>
            <w:r w:rsidRPr="00967AC5">
              <w:rPr>
                <w:lang w:val="en-GB"/>
              </w:rPr>
              <w:t>Frequency range</w:t>
            </w:r>
          </w:p>
        </w:tc>
        <w:tc>
          <w:tcPr>
            <w:tcW w:w="1472" w:type="pct"/>
            <w:tcBorders>
              <w:top w:val="single" w:sz="4" w:space="0" w:color="FFFFFF" w:themeColor="background1"/>
              <w:bottom w:val="single" w:sz="4" w:space="0" w:color="FFFFFF" w:themeColor="background1"/>
            </w:tcBorders>
            <w:vAlign w:val="top"/>
          </w:tcPr>
          <w:p w14:paraId="7C53FF34" w14:textId="77777777" w:rsidR="00041922" w:rsidRPr="00967AC5" w:rsidRDefault="00041922" w:rsidP="00091A5D">
            <w:pPr>
              <w:pStyle w:val="ECCTableHeaderwhitefont"/>
              <w:rPr>
                <w:lang w:val="en-GB"/>
              </w:rPr>
            </w:pPr>
            <w:r w:rsidRPr="00967AC5">
              <w:rPr>
                <w:lang w:val="en-GB"/>
              </w:rPr>
              <w:t>Non-AAS maximum mean e.i.r.p per antenna (for 900 MHz and 1800 MHz band)</w:t>
            </w:r>
          </w:p>
        </w:tc>
        <w:tc>
          <w:tcPr>
            <w:tcW w:w="1175" w:type="pct"/>
            <w:tcBorders>
              <w:top w:val="single" w:sz="4" w:space="0" w:color="FFFFFF" w:themeColor="background1"/>
              <w:bottom w:val="single" w:sz="4" w:space="0" w:color="FFFFFF" w:themeColor="background1"/>
              <w:right w:val="single" w:sz="4" w:space="0" w:color="FFFFFF" w:themeColor="background1"/>
            </w:tcBorders>
            <w:vAlign w:val="top"/>
          </w:tcPr>
          <w:p w14:paraId="3D726075" w14:textId="40A986B3" w:rsidR="00041922" w:rsidRPr="00967AC5" w:rsidRDefault="00041922" w:rsidP="00091A5D">
            <w:pPr>
              <w:pStyle w:val="ECCTableHeaderwhitefont"/>
              <w:rPr>
                <w:lang w:val="en-GB"/>
              </w:rPr>
            </w:pPr>
            <w:r w:rsidRPr="00967AC5">
              <w:rPr>
                <w:lang w:val="en-GB"/>
              </w:rPr>
              <w:t>AAS TRP power limit per cell</w:t>
            </w:r>
            <w:r w:rsidR="00D856AC" w:rsidRPr="00967AC5">
              <w:rPr>
                <w:lang w:val="en-GB"/>
              </w:rPr>
              <w:t xml:space="preserve"> (note</w:t>
            </w:r>
            <w:r w:rsidR="002C4ECE" w:rsidRPr="00967AC5">
              <w:rPr>
                <w:lang w:val="en-GB"/>
              </w:rPr>
              <w:t xml:space="preserve"> </w:t>
            </w:r>
            <w:r w:rsidR="00D856AC" w:rsidRPr="00967AC5">
              <w:rPr>
                <w:lang w:val="en-GB"/>
              </w:rPr>
              <w:t>1)</w:t>
            </w:r>
            <w:r w:rsidRPr="00967AC5">
              <w:rPr>
                <w:lang w:val="en-GB"/>
              </w:rPr>
              <w:t xml:space="preserve"> (for 1800 MHz band)</w:t>
            </w:r>
          </w:p>
        </w:tc>
      </w:tr>
      <w:tr w:rsidR="00367403" w:rsidRPr="00967AC5" w14:paraId="3F90EF63" w14:textId="77777777" w:rsidTr="00EA7DB9">
        <w:trPr>
          <w:trHeight w:val="265"/>
        </w:trPr>
        <w:tc>
          <w:tcPr>
            <w:tcW w:w="660" w:type="pct"/>
            <w:gridSpan w:val="2"/>
            <w:tcBorders>
              <w:top w:val="single" w:sz="4" w:space="0" w:color="FFFFFF" w:themeColor="background1"/>
            </w:tcBorders>
            <w:vAlign w:val="top"/>
          </w:tcPr>
          <w:p w14:paraId="45D04D7D" w14:textId="77777777" w:rsidR="00041922" w:rsidRPr="00967AC5" w:rsidRDefault="00041922" w:rsidP="00091A5D">
            <w:pPr>
              <w:pStyle w:val="ECCTabletext"/>
            </w:pPr>
            <w:r w:rsidRPr="00967AC5">
              <w:t xml:space="preserve">Baseline </w:t>
            </w:r>
          </w:p>
        </w:tc>
        <w:tc>
          <w:tcPr>
            <w:tcW w:w="1693" w:type="pct"/>
            <w:tcBorders>
              <w:top w:val="single" w:sz="4" w:space="0" w:color="FFFFFF" w:themeColor="background1"/>
            </w:tcBorders>
            <w:vAlign w:val="top"/>
          </w:tcPr>
          <w:p w14:paraId="6339870E" w14:textId="77777777" w:rsidR="00041922" w:rsidRPr="00967AC5" w:rsidRDefault="00041922" w:rsidP="00091A5D">
            <w:pPr>
              <w:pStyle w:val="ECCTabletext"/>
            </w:pPr>
            <w:r w:rsidRPr="00967AC5">
              <w:t xml:space="preserve">FDD DL blocks </w:t>
            </w:r>
          </w:p>
        </w:tc>
        <w:tc>
          <w:tcPr>
            <w:tcW w:w="1472" w:type="pct"/>
            <w:tcBorders>
              <w:top w:val="single" w:sz="4" w:space="0" w:color="FFFFFF" w:themeColor="background1"/>
            </w:tcBorders>
            <w:vAlign w:val="top"/>
          </w:tcPr>
          <w:p w14:paraId="30FF0B57" w14:textId="77777777" w:rsidR="00041922" w:rsidRPr="00967AC5" w:rsidRDefault="00041922" w:rsidP="00091A5D">
            <w:pPr>
              <w:pStyle w:val="ECCTabletext"/>
            </w:pPr>
            <w:r w:rsidRPr="00967AC5">
              <w:t>3 dBm/MHz</w:t>
            </w:r>
          </w:p>
        </w:tc>
        <w:tc>
          <w:tcPr>
            <w:tcW w:w="1175" w:type="pct"/>
            <w:tcBorders>
              <w:top w:val="single" w:sz="4" w:space="0" w:color="FFFFFF" w:themeColor="background1"/>
            </w:tcBorders>
            <w:vAlign w:val="top"/>
          </w:tcPr>
          <w:p w14:paraId="4362C79F" w14:textId="77777777" w:rsidR="00041922" w:rsidRPr="00967AC5" w:rsidRDefault="00041922" w:rsidP="00091A5D">
            <w:pPr>
              <w:pStyle w:val="ECCTabletext"/>
            </w:pPr>
            <w:r w:rsidRPr="00967AC5">
              <w:t>-6 dBm/MHz</w:t>
            </w:r>
          </w:p>
        </w:tc>
      </w:tr>
      <w:tr w:rsidR="00041922" w:rsidRPr="00967AC5" w14:paraId="47428F3C" w14:textId="77777777" w:rsidTr="002505BC">
        <w:trPr>
          <w:trHeight w:val="265"/>
        </w:trPr>
        <w:tc>
          <w:tcPr>
            <w:tcW w:w="5000" w:type="pct"/>
            <w:gridSpan w:val="5"/>
          </w:tcPr>
          <w:p w14:paraId="363C6D86" w14:textId="40398A13" w:rsidR="00041922" w:rsidRPr="00967AC5" w:rsidRDefault="00D856AC" w:rsidP="00B123BC">
            <w:pPr>
              <w:pStyle w:val="ECCTablenote"/>
            </w:pPr>
            <w:r w:rsidRPr="00967AC5">
              <w:t>Note 1:</w:t>
            </w:r>
            <w:r w:rsidR="00041922" w:rsidRPr="00967AC5">
              <w:t xml:space="preserve"> In a multi-sector base station, the radiated power limit applies to each one of the individual sectors.</w:t>
            </w:r>
          </w:p>
        </w:tc>
      </w:tr>
    </w:tbl>
    <w:p w14:paraId="5F7DDDAB" w14:textId="4A633CB5" w:rsidR="00041922" w:rsidRPr="00967AC5" w:rsidRDefault="00041922" w:rsidP="00001EB9">
      <w:pPr>
        <w:pStyle w:val="Caption"/>
        <w:keepNext/>
        <w:rPr>
          <w:lang w:val="en-GB"/>
        </w:rPr>
      </w:pPr>
      <w:bookmarkStart w:id="180" w:name="_Ref61338517"/>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14</w:t>
      </w:r>
      <w:r w:rsidRPr="00967AC5">
        <w:rPr>
          <w:lang w:val="en-GB"/>
        </w:rPr>
        <w:fldChar w:fldCharType="end"/>
      </w:r>
      <w:bookmarkEnd w:id="180"/>
      <w:r w:rsidRPr="00967AC5">
        <w:rPr>
          <w:lang w:val="en-GB"/>
        </w:rPr>
        <w:t>: B</w:t>
      </w:r>
      <w:r w:rsidR="000D6CB5" w:rsidRPr="00967AC5">
        <w:rPr>
          <w:lang w:val="en-GB"/>
        </w:rPr>
        <w:t xml:space="preserve">ase </w:t>
      </w:r>
      <w:r w:rsidRPr="00967AC5">
        <w:rPr>
          <w:lang w:val="en-GB"/>
        </w:rPr>
        <w:t>S</w:t>
      </w:r>
      <w:r w:rsidR="000D6CB5" w:rsidRPr="00967AC5">
        <w:rPr>
          <w:lang w:val="en-GB"/>
        </w:rPr>
        <w:t>tation</w:t>
      </w:r>
      <w:r w:rsidRPr="00967AC5">
        <w:rPr>
          <w:lang w:val="en-GB"/>
        </w:rPr>
        <w:t xml:space="preserve"> Transitional out-of-block power limits for non-AAS and AAS</w:t>
      </w:r>
    </w:p>
    <w:tbl>
      <w:tblPr>
        <w:tblStyle w:val="ECCTable-redheader"/>
        <w:tblW w:w="5000" w:type="pct"/>
        <w:tblInd w:w="0" w:type="dxa"/>
        <w:tblLook w:val="04A0" w:firstRow="1" w:lastRow="0" w:firstColumn="1" w:lastColumn="0" w:noHBand="0" w:noVBand="1"/>
      </w:tblPr>
      <w:tblGrid>
        <w:gridCol w:w="1271"/>
        <w:gridCol w:w="3276"/>
        <w:gridCol w:w="2819"/>
        <w:gridCol w:w="2263"/>
      </w:tblGrid>
      <w:tr w:rsidR="00494026" w:rsidRPr="00967AC5" w14:paraId="0729EDE8" w14:textId="77777777" w:rsidTr="0089012D">
        <w:trPr>
          <w:cnfStyle w:val="100000000000" w:firstRow="1" w:lastRow="0" w:firstColumn="0" w:lastColumn="0" w:oddVBand="0" w:evenVBand="0" w:oddHBand="0" w:evenHBand="0" w:firstRowFirstColumn="0" w:firstRowLastColumn="0" w:lastRowFirstColumn="0" w:lastRowLastColumn="0"/>
        </w:trPr>
        <w:tc>
          <w:tcPr>
            <w:tcW w:w="660" w:type="pct"/>
            <w:tcBorders>
              <w:top w:val="single" w:sz="4" w:space="0" w:color="FFFFFF" w:themeColor="background1"/>
              <w:left w:val="single" w:sz="4" w:space="0" w:color="FFFFFF" w:themeColor="background1"/>
              <w:bottom w:val="single" w:sz="4" w:space="0" w:color="FFFFFF" w:themeColor="background1"/>
            </w:tcBorders>
            <w:vAlign w:val="top"/>
          </w:tcPr>
          <w:p w14:paraId="7AADC009" w14:textId="77777777" w:rsidR="00041922" w:rsidRPr="00967AC5" w:rsidRDefault="00041922" w:rsidP="00001EB9">
            <w:pPr>
              <w:pStyle w:val="ECCTableHeaderwhitefont"/>
              <w:keepNext/>
              <w:keepLines/>
              <w:rPr>
                <w:lang w:val="en-GB"/>
              </w:rPr>
            </w:pPr>
            <w:r w:rsidRPr="00967AC5">
              <w:rPr>
                <w:lang w:val="en-GB"/>
              </w:rPr>
              <w:t>BEM element</w:t>
            </w:r>
          </w:p>
        </w:tc>
        <w:tc>
          <w:tcPr>
            <w:tcW w:w="1701" w:type="pct"/>
            <w:tcBorders>
              <w:top w:val="single" w:sz="4" w:space="0" w:color="FFFFFF" w:themeColor="background1"/>
              <w:bottom w:val="single" w:sz="4" w:space="0" w:color="FFFFFF" w:themeColor="background1"/>
            </w:tcBorders>
            <w:vAlign w:val="top"/>
          </w:tcPr>
          <w:p w14:paraId="76AD0E14" w14:textId="77777777" w:rsidR="00041922" w:rsidRPr="00967AC5" w:rsidRDefault="00041922" w:rsidP="00001EB9">
            <w:pPr>
              <w:pStyle w:val="ECCTableHeaderwhitefont"/>
              <w:keepNext/>
              <w:keepLines/>
              <w:rPr>
                <w:lang w:val="en-GB"/>
              </w:rPr>
            </w:pPr>
            <w:r w:rsidRPr="00967AC5">
              <w:rPr>
                <w:lang w:val="en-GB"/>
              </w:rPr>
              <w:t>Frequency range</w:t>
            </w:r>
          </w:p>
        </w:tc>
        <w:tc>
          <w:tcPr>
            <w:tcW w:w="1464" w:type="pct"/>
            <w:tcBorders>
              <w:top w:val="single" w:sz="4" w:space="0" w:color="FFFFFF" w:themeColor="background1"/>
              <w:bottom w:val="single" w:sz="4" w:space="0" w:color="FFFFFF" w:themeColor="background1"/>
            </w:tcBorders>
            <w:vAlign w:val="top"/>
          </w:tcPr>
          <w:p w14:paraId="68021C5C" w14:textId="56DDC980" w:rsidR="00041922" w:rsidRPr="00967AC5" w:rsidRDefault="00041922" w:rsidP="00001EB9">
            <w:pPr>
              <w:pStyle w:val="ECCTableHeaderwhitefont"/>
              <w:keepNext/>
              <w:keepLines/>
              <w:rPr>
                <w:lang w:val="en-GB"/>
              </w:rPr>
            </w:pPr>
            <w:r w:rsidRPr="00967AC5">
              <w:rPr>
                <w:lang w:val="en-GB"/>
              </w:rPr>
              <w:t>Non-AAS maximum mean e.i.r.p per antenna (for 900 MHz and 1800 MHz band)</w:t>
            </w:r>
            <w:r w:rsidR="00602328" w:rsidRPr="00967AC5">
              <w:rPr>
                <w:lang w:val="en-GB"/>
              </w:rPr>
              <w:t xml:space="preserve"> (note </w:t>
            </w:r>
            <w:r w:rsidR="001F02D2" w:rsidRPr="00967AC5">
              <w:rPr>
                <w:lang w:val="en-GB"/>
              </w:rPr>
              <w:t>1</w:t>
            </w:r>
            <w:r w:rsidRPr="00967AC5">
              <w:rPr>
                <w:lang w:val="en-GB"/>
              </w:rPr>
              <w:t>)</w:t>
            </w:r>
          </w:p>
        </w:tc>
        <w:tc>
          <w:tcPr>
            <w:tcW w:w="1175" w:type="pct"/>
            <w:tcBorders>
              <w:top w:val="single" w:sz="4" w:space="0" w:color="FFFFFF" w:themeColor="background1"/>
              <w:bottom w:val="single" w:sz="4" w:space="0" w:color="FFFFFF" w:themeColor="background1"/>
              <w:right w:val="single" w:sz="4" w:space="0" w:color="FFFFFF" w:themeColor="background1"/>
            </w:tcBorders>
            <w:vAlign w:val="top"/>
          </w:tcPr>
          <w:p w14:paraId="3406E272" w14:textId="158826E4" w:rsidR="00041922" w:rsidRPr="00967AC5" w:rsidRDefault="00041922" w:rsidP="00001EB9">
            <w:pPr>
              <w:pStyle w:val="ECCTableHeaderwhitefont"/>
              <w:keepNext/>
              <w:keepLines/>
              <w:rPr>
                <w:lang w:val="en-GB"/>
              </w:rPr>
            </w:pPr>
            <w:r w:rsidRPr="00967AC5">
              <w:rPr>
                <w:lang w:val="en-GB"/>
              </w:rPr>
              <w:t>AAS TRP power limit per cell</w:t>
            </w:r>
            <w:r w:rsidR="00D856AC" w:rsidRPr="00967AC5">
              <w:rPr>
                <w:lang w:val="en-GB"/>
              </w:rPr>
              <w:t xml:space="preserve"> (note </w:t>
            </w:r>
            <w:r w:rsidR="001F02D2" w:rsidRPr="00967AC5">
              <w:rPr>
                <w:lang w:val="en-GB"/>
              </w:rPr>
              <w:t>2</w:t>
            </w:r>
            <w:r w:rsidR="00D856AC" w:rsidRPr="00967AC5">
              <w:rPr>
                <w:lang w:val="en-GB"/>
              </w:rPr>
              <w:t>)</w:t>
            </w:r>
            <w:r w:rsidRPr="00967AC5">
              <w:rPr>
                <w:lang w:val="en-GB"/>
              </w:rPr>
              <w:t xml:space="preserve"> (for 1800 MHz band)</w:t>
            </w:r>
          </w:p>
        </w:tc>
      </w:tr>
      <w:tr w:rsidR="00367403" w:rsidRPr="00967AC5" w14:paraId="6F75BD33" w14:textId="77777777" w:rsidTr="002505BC">
        <w:trPr>
          <w:trHeight w:val="265"/>
        </w:trPr>
        <w:tc>
          <w:tcPr>
            <w:tcW w:w="0" w:type="pct"/>
            <w:vMerge w:val="restart"/>
            <w:tcBorders>
              <w:top w:val="single" w:sz="4" w:space="0" w:color="FFFFFF" w:themeColor="background1"/>
            </w:tcBorders>
          </w:tcPr>
          <w:p w14:paraId="6E98A37D" w14:textId="77777777" w:rsidR="00041922" w:rsidRPr="00967AC5" w:rsidRDefault="00041922" w:rsidP="00001EB9">
            <w:pPr>
              <w:pStyle w:val="ECCTabletext"/>
              <w:keepNext/>
              <w:keepLines/>
            </w:pPr>
            <w:r w:rsidRPr="00967AC5">
              <w:t>Transitional region</w:t>
            </w:r>
          </w:p>
        </w:tc>
        <w:tc>
          <w:tcPr>
            <w:tcW w:w="0" w:type="pct"/>
            <w:tcBorders>
              <w:top w:val="single" w:sz="4" w:space="0" w:color="FFFFFF" w:themeColor="background1"/>
            </w:tcBorders>
            <w:vAlign w:val="top"/>
          </w:tcPr>
          <w:p w14:paraId="70C4D3D0" w14:textId="77777777" w:rsidR="00041922" w:rsidRPr="00967AC5" w:rsidRDefault="00041922" w:rsidP="00001EB9">
            <w:pPr>
              <w:pStyle w:val="ECCTabletext"/>
              <w:keepNext/>
              <w:keepLines/>
            </w:pPr>
            <w:r w:rsidRPr="00967AC5">
              <w:t>0 to 0.2 MHz offset from block edge</w:t>
            </w:r>
          </w:p>
        </w:tc>
        <w:tc>
          <w:tcPr>
            <w:tcW w:w="0" w:type="pct"/>
            <w:tcBorders>
              <w:top w:val="single" w:sz="4" w:space="0" w:color="FFFFFF" w:themeColor="background1"/>
            </w:tcBorders>
            <w:vAlign w:val="top"/>
          </w:tcPr>
          <w:p w14:paraId="49FED7DC" w14:textId="4B203177" w:rsidR="00041922" w:rsidRPr="00967AC5" w:rsidRDefault="00041922" w:rsidP="00001EB9">
            <w:pPr>
              <w:pStyle w:val="ECCTabletext"/>
              <w:keepNext/>
              <w:keepLines/>
            </w:pPr>
            <w:r w:rsidRPr="00967AC5">
              <w:t>32.4 dBm/</w:t>
            </w:r>
            <w:r w:rsidR="007B2FCD" w:rsidRPr="00967AC5">
              <w:t>(</w:t>
            </w:r>
            <w:r w:rsidRPr="00967AC5">
              <w:t>0.2 MHz</w:t>
            </w:r>
            <w:r w:rsidR="007B2FCD" w:rsidRPr="00967AC5">
              <w:t>)</w:t>
            </w:r>
          </w:p>
        </w:tc>
        <w:tc>
          <w:tcPr>
            <w:tcW w:w="0" w:type="pct"/>
            <w:tcBorders>
              <w:top w:val="single" w:sz="4" w:space="0" w:color="FFFFFF" w:themeColor="background1"/>
            </w:tcBorders>
            <w:vAlign w:val="top"/>
          </w:tcPr>
          <w:p w14:paraId="50ABF228" w14:textId="2644D44D" w:rsidR="00041922" w:rsidRPr="00967AC5" w:rsidRDefault="00041922" w:rsidP="00001EB9">
            <w:pPr>
              <w:pStyle w:val="ECCTabletext"/>
              <w:keepNext/>
              <w:keepLines/>
            </w:pPr>
            <w:r w:rsidRPr="00967AC5">
              <w:t>17.4 dBm/</w:t>
            </w:r>
            <w:r w:rsidR="007B2FCD" w:rsidRPr="00967AC5">
              <w:t>(</w:t>
            </w:r>
            <w:r w:rsidRPr="00967AC5">
              <w:t>0.2 MHz</w:t>
            </w:r>
            <w:r w:rsidR="007B2FCD" w:rsidRPr="00967AC5">
              <w:t>)</w:t>
            </w:r>
            <w:r w:rsidRPr="00967AC5">
              <w:t xml:space="preserve"> </w:t>
            </w:r>
          </w:p>
        </w:tc>
      </w:tr>
      <w:tr w:rsidR="00041922" w:rsidRPr="00967AC5" w14:paraId="436CF29D" w14:textId="77777777" w:rsidTr="002505BC">
        <w:trPr>
          <w:trHeight w:val="265"/>
        </w:trPr>
        <w:tc>
          <w:tcPr>
            <w:tcW w:w="0" w:type="pct"/>
            <w:vMerge/>
          </w:tcPr>
          <w:p w14:paraId="12E8311C" w14:textId="77777777" w:rsidR="00041922" w:rsidRPr="00967AC5" w:rsidRDefault="00041922" w:rsidP="00001EB9">
            <w:pPr>
              <w:pStyle w:val="ECCTabletext"/>
              <w:keepNext/>
              <w:keepLines/>
            </w:pPr>
          </w:p>
        </w:tc>
        <w:tc>
          <w:tcPr>
            <w:tcW w:w="0" w:type="pct"/>
            <w:vAlign w:val="top"/>
          </w:tcPr>
          <w:p w14:paraId="70B0C215" w14:textId="77777777" w:rsidR="00041922" w:rsidRPr="00967AC5" w:rsidRDefault="00041922" w:rsidP="00001EB9">
            <w:pPr>
              <w:pStyle w:val="ECCTabletext"/>
              <w:keepNext/>
              <w:keepLines/>
            </w:pPr>
            <w:r w:rsidRPr="00967AC5">
              <w:t>0.2 to 1 MHz offset from block edge</w:t>
            </w:r>
          </w:p>
        </w:tc>
        <w:tc>
          <w:tcPr>
            <w:tcW w:w="0" w:type="pct"/>
            <w:vAlign w:val="top"/>
          </w:tcPr>
          <w:p w14:paraId="48128156" w14:textId="54B93828" w:rsidR="00041922" w:rsidRPr="00967AC5" w:rsidRDefault="00041922" w:rsidP="00001EB9">
            <w:pPr>
              <w:pStyle w:val="ECCTabletext"/>
              <w:keepNext/>
              <w:keepLines/>
            </w:pPr>
            <w:r w:rsidRPr="00967AC5">
              <w:t>13.8 dBm/</w:t>
            </w:r>
            <w:r w:rsidR="007B2FCD" w:rsidRPr="00967AC5">
              <w:t>(</w:t>
            </w:r>
            <w:r w:rsidRPr="00967AC5">
              <w:t>0.8 MHz</w:t>
            </w:r>
            <w:r w:rsidR="007B2FCD" w:rsidRPr="00967AC5">
              <w:t>)</w:t>
            </w:r>
          </w:p>
        </w:tc>
        <w:tc>
          <w:tcPr>
            <w:tcW w:w="0" w:type="pct"/>
            <w:vAlign w:val="top"/>
          </w:tcPr>
          <w:p w14:paraId="08F894B1" w14:textId="19683253" w:rsidR="00041922" w:rsidRPr="00967AC5" w:rsidRDefault="00041922" w:rsidP="00001EB9">
            <w:pPr>
              <w:pStyle w:val="ECCTabletext"/>
              <w:keepNext/>
              <w:keepLines/>
            </w:pPr>
            <w:r w:rsidRPr="00967AC5">
              <w:t>4.7 dBm/</w:t>
            </w:r>
            <w:r w:rsidR="007B2FCD" w:rsidRPr="00967AC5">
              <w:t>(</w:t>
            </w:r>
            <w:r w:rsidRPr="00967AC5">
              <w:t>0.8 MHz</w:t>
            </w:r>
            <w:r w:rsidR="007B2FCD" w:rsidRPr="00967AC5">
              <w:t>)</w:t>
            </w:r>
          </w:p>
        </w:tc>
      </w:tr>
      <w:tr w:rsidR="00041922" w:rsidRPr="00967AC5" w14:paraId="345E192D" w14:textId="77777777" w:rsidTr="002505BC">
        <w:trPr>
          <w:trHeight w:val="265"/>
        </w:trPr>
        <w:tc>
          <w:tcPr>
            <w:tcW w:w="0" w:type="pct"/>
            <w:vMerge/>
          </w:tcPr>
          <w:p w14:paraId="45A4403C" w14:textId="77777777" w:rsidR="00041922" w:rsidRPr="00967AC5" w:rsidRDefault="00041922" w:rsidP="00001EB9">
            <w:pPr>
              <w:pStyle w:val="ECCTabletext"/>
              <w:keepNext/>
              <w:keepLines/>
            </w:pPr>
          </w:p>
        </w:tc>
        <w:tc>
          <w:tcPr>
            <w:tcW w:w="0" w:type="pct"/>
            <w:vAlign w:val="top"/>
          </w:tcPr>
          <w:p w14:paraId="49411769" w14:textId="77777777" w:rsidR="00041922" w:rsidRPr="00967AC5" w:rsidRDefault="00041922" w:rsidP="00001EB9">
            <w:pPr>
              <w:pStyle w:val="ECCTabletext"/>
              <w:keepNext/>
              <w:keepLines/>
            </w:pPr>
            <w:r w:rsidRPr="00967AC5">
              <w:t>1 to 5 MHz offset from block edge</w:t>
            </w:r>
          </w:p>
        </w:tc>
        <w:tc>
          <w:tcPr>
            <w:tcW w:w="0" w:type="pct"/>
            <w:vAlign w:val="top"/>
          </w:tcPr>
          <w:p w14:paraId="612BFA46" w14:textId="77777777" w:rsidR="00041922" w:rsidRPr="00967AC5" w:rsidRDefault="00041922" w:rsidP="00001EB9">
            <w:pPr>
              <w:pStyle w:val="ECCTabletext"/>
              <w:keepNext/>
              <w:keepLines/>
            </w:pPr>
            <w:r w:rsidRPr="00967AC5">
              <w:t>5 dBm/MHz</w:t>
            </w:r>
          </w:p>
        </w:tc>
        <w:tc>
          <w:tcPr>
            <w:tcW w:w="0" w:type="pct"/>
            <w:vAlign w:val="top"/>
          </w:tcPr>
          <w:p w14:paraId="6F2D352E" w14:textId="77777777" w:rsidR="00041922" w:rsidRPr="00967AC5" w:rsidRDefault="00041922" w:rsidP="00001EB9">
            <w:pPr>
              <w:pStyle w:val="ECCTabletext"/>
              <w:keepNext/>
              <w:keepLines/>
            </w:pPr>
            <w:r w:rsidRPr="00967AC5">
              <w:t>-4 dBm/MHz</w:t>
            </w:r>
          </w:p>
        </w:tc>
      </w:tr>
      <w:tr w:rsidR="00041922" w:rsidRPr="00967AC5" w14:paraId="1E214FEA" w14:textId="77777777" w:rsidTr="002505BC">
        <w:trPr>
          <w:trHeight w:val="265"/>
        </w:trPr>
        <w:tc>
          <w:tcPr>
            <w:tcW w:w="0" w:type="pct"/>
            <w:vMerge/>
          </w:tcPr>
          <w:p w14:paraId="18F8A9BE" w14:textId="77777777" w:rsidR="00041922" w:rsidRPr="00967AC5" w:rsidRDefault="00041922" w:rsidP="00001EB9">
            <w:pPr>
              <w:pStyle w:val="ECCTabletext"/>
              <w:keepNext/>
              <w:keepLines/>
            </w:pPr>
          </w:p>
        </w:tc>
        <w:tc>
          <w:tcPr>
            <w:tcW w:w="0" w:type="pct"/>
            <w:vAlign w:val="top"/>
          </w:tcPr>
          <w:p w14:paraId="1694A210" w14:textId="77777777" w:rsidR="00041922" w:rsidRPr="00967AC5" w:rsidRDefault="00041922" w:rsidP="00001EB9">
            <w:pPr>
              <w:pStyle w:val="ECCTabletext"/>
              <w:keepNext/>
              <w:keepLines/>
            </w:pPr>
            <w:r w:rsidRPr="00967AC5">
              <w:t>5 to 10 MHz offset from block edge</w:t>
            </w:r>
          </w:p>
        </w:tc>
        <w:tc>
          <w:tcPr>
            <w:tcW w:w="0" w:type="pct"/>
            <w:vAlign w:val="top"/>
          </w:tcPr>
          <w:p w14:paraId="5F19F097" w14:textId="416D6DDD" w:rsidR="00041922" w:rsidRPr="00967AC5" w:rsidRDefault="00041922" w:rsidP="00001EB9">
            <w:pPr>
              <w:pStyle w:val="ECCTabletext"/>
              <w:keepNext/>
              <w:keepLines/>
            </w:pPr>
            <w:r w:rsidRPr="00967AC5">
              <w:t>12 dBm/</w:t>
            </w:r>
            <w:r w:rsidR="007B2FCD" w:rsidRPr="00967AC5">
              <w:t>(</w:t>
            </w:r>
            <w:r w:rsidRPr="00967AC5">
              <w:t>5 MHz</w:t>
            </w:r>
            <w:r w:rsidR="007B2FCD" w:rsidRPr="00967AC5">
              <w:t>)</w:t>
            </w:r>
          </w:p>
        </w:tc>
        <w:tc>
          <w:tcPr>
            <w:tcW w:w="0" w:type="pct"/>
            <w:vAlign w:val="top"/>
          </w:tcPr>
          <w:p w14:paraId="012FB437" w14:textId="5E4E52D8" w:rsidR="00041922" w:rsidRPr="00967AC5" w:rsidRDefault="00041922" w:rsidP="00001EB9">
            <w:pPr>
              <w:pStyle w:val="ECCTabletext"/>
              <w:keepNext/>
              <w:keepLines/>
            </w:pPr>
            <w:r w:rsidRPr="00967AC5">
              <w:t>3 dBm/</w:t>
            </w:r>
            <w:r w:rsidR="007B2FCD" w:rsidRPr="00967AC5">
              <w:t>(</w:t>
            </w:r>
            <w:r w:rsidRPr="00967AC5">
              <w:t>5 MHz</w:t>
            </w:r>
            <w:r w:rsidR="007B2FCD" w:rsidRPr="00967AC5">
              <w:t>)</w:t>
            </w:r>
          </w:p>
        </w:tc>
      </w:tr>
      <w:tr w:rsidR="00041922" w:rsidRPr="00967AC5" w14:paraId="70B05C24" w14:textId="77777777" w:rsidTr="002505BC">
        <w:trPr>
          <w:trHeight w:val="265"/>
        </w:trPr>
        <w:tc>
          <w:tcPr>
            <w:tcW w:w="0" w:type="pct"/>
            <w:gridSpan w:val="4"/>
          </w:tcPr>
          <w:p w14:paraId="5CE3BD9E" w14:textId="2A27E79E" w:rsidR="001F02D2" w:rsidRPr="00967AC5" w:rsidRDefault="001F02D2" w:rsidP="00001EB9">
            <w:pPr>
              <w:pStyle w:val="ECCTablenote"/>
              <w:keepNext/>
              <w:keepLines/>
            </w:pPr>
            <w:r w:rsidRPr="00967AC5">
              <w:t>Note 1: The non-AAS e.i.r.p. limits could be relaxed at national level , either if agreed among all affected operators of such networks or in accordance with national implementation already in place.</w:t>
            </w:r>
          </w:p>
          <w:p w14:paraId="45087654" w14:textId="482342E7" w:rsidR="00041922" w:rsidRPr="00967AC5" w:rsidRDefault="00D856AC" w:rsidP="00001EB9">
            <w:pPr>
              <w:pStyle w:val="ECCTablenote"/>
              <w:keepNext/>
              <w:keepLines/>
            </w:pPr>
            <w:r w:rsidRPr="00967AC5">
              <w:t xml:space="preserve">Note </w:t>
            </w:r>
            <w:r w:rsidR="001F02D2" w:rsidRPr="00967AC5">
              <w:t>2</w:t>
            </w:r>
            <w:r w:rsidRPr="00967AC5">
              <w:t xml:space="preserve">: </w:t>
            </w:r>
            <w:r w:rsidR="00041922" w:rsidRPr="00967AC5">
              <w:t>In a multi-sector base station, the radiated power limit applies to each one of the individual sectors.</w:t>
            </w:r>
          </w:p>
        </w:tc>
      </w:tr>
    </w:tbl>
    <w:p w14:paraId="38CBB2EF" w14:textId="77777777" w:rsidR="00041922" w:rsidRPr="00967AC5" w:rsidRDefault="00041922" w:rsidP="00AA165D">
      <w:pPr>
        <w:pStyle w:val="ECCAnnexheading4"/>
        <w:rPr>
          <w:lang w:val="en-GB"/>
        </w:rPr>
      </w:pPr>
      <w:bookmarkStart w:id="181" w:name="_Hlk61338167"/>
      <w:r w:rsidRPr="00967AC5">
        <w:rPr>
          <w:lang w:val="en-GB"/>
        </w:rPr>
        <w:t>Out-of-band power limits</w:t>
      </w:r>
      <w:bookmarkEnd w:id="181"/>
    </w:p>
    <w:p w14:paraId="1F81BE05" w14:textId="57ED571D" w:rsidR="00FB0CC5" w:rsidRPr="00967AC5" w:rsidRDefault="00FB0CC5" w:rsidP="00AA165D">
      <w:pPr>
        <w:pStyle w:val="ECCParagraph"/>
        <w:rPr>
          <w:strike/>
        </w:rPr>
      </w:pPr>
      <w:bookmarkStart w:id="182" w:name="_Hlk61338251"/>
      <w:r w:rsidRPr="00967AC5">
        <w:t>To protect the adjacent services, the additional baseline region</w:t>
      </w:r>
      <w:r w:rsidR="00410383" w:rsidRPr="00967AC5">
        <w:t xml:space="preserve"> </w:t>
      </w:r>
      <w:r w:rsidRPr="00967AC5">
        <w:t xml:space="preserve">limits for non-AAS BS provided in </w:t>
      </w:r>
      <w:r w:rsidR="002E1BFA" w:rsidRPr="00967AC5">
        <w:t>the below table</w:t>
      </w:r>
      <w:r w:rsidRPr="00967AC5">
        <w:t xml:space="preserve"> are defined</w:t>
      </w:r>
      <w:r w:rsidR="00AA165D" w:rsidRPr="00967AC5">
        <w:t>.</w:t>
      </w:r>
    </w:p>
    <w:p w14:paraId="3AC5CF27" w14:textId="30D491EC" w:rsidR="00FB0CC5" w:rsidRPr="00967AC5" w:rsidRDefault="00FB0CC5" w:rsidP="00FB0CC5">
      <w:pPr>
        <w:pStyle w:val="Caption"/>
        <w:keepNext/>
        <w:rPr>
          <w:lang w:val="en-GB"/>
        </w:rPr>
      </w:pPr>
      <w:bookmarkStart w:id="183" w:name="_Ref63857397"/>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15</w:t>
      </w:r>
      <w:r w:rsidRPr="00967AC5">
        <w:rPr>
          <w:lang w:val="en-GB"/>
        </w:rPr>
        <w:fldChar w:fldCharType="end"/>
      </w:r>
      <w:bookmarkEnd w:id="183"/>
      <w:r w:rsidRPr="00967AC5">
        <w:rPr>
          <w:lang w:val="en-GB"/>
        </w:rPr>
        <w:t xml:space="preserve">: </w:t>
      </w:r>
      <w:r w:rsidR="009502E6" w:rsidRPr="00967AC5">
        <w:rPr>
          <w:lang w:val="en-GB"/>
        </w:rPr>
        <w:t xml:space="preserve">Base </w:t>
      </w:r>
      <w:r w:rsidR="00263C8F" w:rsidRPr="00967AC5">
        <w:rPr>
          <w:lang w:val="en-GB"/>
        </w:rPr>
        <w:t>S</w:t>
      </w:r>
      <w:r w:rsidR="009502E6" w:rsidRPr="00967AC5">
        <w:rPr>
          <w:lang w:val="en-GB"/>
        </w:rPr>
        <w:t xml:space="preserve">tation </w:t>
      </w:r>
      <w:r w:rsidRPr="00967AC5">
        <w:rPr>
          <w:lang w:val="en-GB"/>
        </w:rPr>
        <w:t xml:space="preserve">Additional baseline </w:t>
      </w:r>
      <w:proofErr w:type="spellStart"/>
      <w:r w:rsidRPr="00967AC5">
        <w:rPr>
          <w:lang w:val="en-GB"/>
        </w:rPr>
        <w:t>region</w:t>
      </w:r>
      <w:r w:rsidR="00415BA5" w:rsidRPr="00967AC5">
        <w:rPr>
          <w:lang w:val="en-GB"/>
        </w:rPr>
        <w:t>power</w:t>
      </w:r>
      <w:proofErr w:type="spellEnd"/>
      <w:r w:rsidR="00415BA5" w:rsidRPr="00967AC5">
        <w:rPr>
          <w:lang w:val="en-GB"/>
        </w:rPr>
        <w:t xml:space="preserve"> </w:t>
      </w:r>
      <w:r w:rsidRPr="00967AC5">
        <w:rPr>
          <w:lang w:val="en-GB"/>
        </w:rPr>
        <w:t>limits for non-AAS</w:t>
      </w:r>
    </w:p>
    <w:tbl>
      <w:tblPr>
        <w:tblStyle w:val="ECCTable-redheader"/>
        <w:tblW w:w="8784" w:type="dxa"/>
        <w:tblInd w:w="0" w:type="dxa"/>
        <w:tblLook w:val="01E0" w:firstRow="1" w:lastRow="1" w:firstColumn="1" w:lastColumn="1" w:noHBand="0" w:noVBand="0"/>
      </w:tblPr>
      <w:tblGrid>
        <w:gridCol w:w="3490"/>
        <w:gridCol w:w="5294"/>
      </w:tblGrid>
      <w:tr w:rsidR="00784B8D" w:rsidRPr="00967AC5" w14:paraId="5D8EC07A" w14:textId="77777777" w:rsidTr="00EA7DB9">
        <w:trPr>
          <w:cnfStyle w:val="100000000000" w:firstRow="1" w:lastRow="0" w:firstColumn="0" w:lastColumn="0" w:oddVBand="0" w:evenVBand="0" w:oddHBand="0" w:evenHBand="0" w:firstRowFirstColumn="0" w:firstRowLastColumn="0" w:lastRowFirstColumn="0" w:lastRowLastColumn="0"/>
        </w:trPr>
        <w:tc>
          <w:tcPr>
            <w:tcW w:w="3490" w:type="dxa"/>
            <w:tcBorders>
              <w:top w:val="single" w:sz="4" w:space="0" w:color="FFFFFF" w:themeColor="background1"/>
              <w:left w:val="single" w:sz="4" w:space="0" w:color="FFFFFF" w:themeColor="background1"/>
              <w:bottom w:val="single" w:sz="4" w:space="0" w:color="FFFFFF" w:themeColor="background1"/>
            </w:tcBorders>
            <w:hideMark/>
          </w:tcPr>
          <w:p w14:paraId="51A8EB26" w14:textId="77777777" w:rsidR="00FB0CC5" w:rsidRPr="00967AC5" w:rsidRDefault="00FB0CC5" w:rsidP="002505BC">
            <w:pPr>
              <w:pStyle w:val="ECCTableHeaderwhitefont"/>
              <w:rPr>
                <w:lang w:val="en-GB"/>
              </w:rPr>
            </w:pPr>
            <w:r w:rsidRPr="00967AC5">
              <w:rPr>
                <w:lang w:val="en-GB"/>
              </w:rPr>
              <w:t>Frequency range</w:t>
            </w:r>
          </w:p>
        </w:tc>
        <w:tc>
          <w:tcPr>
            <w:tcW w:w="5294" w:type="dxa"/>
            <w:tcBorders>
              <w:top w:val="single" w:sz="4" w:space="0" w:color="FFFFFF" w:themeColor="background1"/>
              <w:bottom w:val="single" w:sz="4" w:space="0" w:color="FFFFFF" w:themeColor="background1"/>
              <w:right w:val="single" w:sz="4" w:space="0" w:color="FFFFFF" w:themeColor="background1"/>
            </w:tcBorders>
            <w:hideMark/>
          </w:tcPr>
          <w:p w14:paraId="585204CB" w14:textId="65EEE758" w:rsidR="00FB0CC5" w:rsidRPr="00967AC5" w:rsidRDefault="00FB0CC5" w:rsidP="002505BC">
            <w:pPr>
              <w:pStyle w:val="ECCTableHeaderwhitefont"/>
              <w:rPr>
                <w:lang w:val="en-GB"/>
              </w:rPr>
            </w:pPr>
            <w:r w:rsidRPr="00967AC5">
              <w:rPr>
                <w:lang w:val="en-GB"/>
              </w:rPr>
              <w:t>Non-AAS maximum mean e.i.r.p</w:t>
            </w:r>
            <w:r w:rsidR="00AE26D2" w:rsidRPr="00967AC5">
              <w:rPr>
                <w:lang w:val="en-GB"/>
              </w:rPr>
              <w:t>.</w:t>
            </w:r>
            <w:r w:rsidRPr="00967AC5">
              <w:rPr>
                <w:lang w:val="en-GB"/>
              </w:rPr>
              <w:t xml:space="preserve"> per antenna (for 900 MHz and 1800 MHz band) (</w:t>
            </w:r>
            <w:r w:rsidR="00D856AC" w:rsidRPr="00967AC5">
              <w:rPr>
                <w:lang w:val="en-GB"/>
              </w:rPr>
              <w:t xml:space="preserve">note </w:t>
            </w:r>
            <w:r w:rsidRPr="00967AC5">
              <w:rPr>
                <w:lang w:val="en-GB"/>
              </w:rPr>
              <w:t>1</w:t>
            </w:r>
            <w:r w:rsidR="00D856AC" w:rsidRPr="00967AC5">
              <w:rPr>
                <w:lang w:val="en-GB"/>
              </w:rPr>
              <w:t xml:space="preserve"> and note </w:t>
            </w:r>
            <w:r w:rsidRPr="00967AC5">
              <w:rPr>
                <w:lang w:val="en-GB"/>
              </w:rPr>
              <w:t>2</w:t>
            </w:r>
            <w:r w:rsidR="00D856AC" w:rsidRPr="00967AC5">
              <w:rPr>
                <w:lang w:val="en-GB"/>
              </w:rPr>
              <w:t>)</w:t>
            </w:r>
          </w:p>
        </w:tc>
      </w:tr>
      <w:tr w:rsidR="00367403" w:rsidRPr="00967AC5" w14:paraId="5902DE2F" w14:textId="77777777" w:rsidTr="00EA7DB9">
        <w:tc>
          <w:tcPr>
            <w:tcW w:w="3490" w:type="dxa"/>
            <w:tcBorders>
              <w:top w:val="single" w:sz="4" w:space="0" w:color="FFFFFF" w:themeColor="background1"/>
              <w:left w:val="single" w:sz="4" w:space="0" w:color="D22A23"/>
              <w:bottom w:val="single" w:sz="4" w:space="0" w:color="D22A23"/>
              <w:right w:val="single" w:sz="4" w:space="0" w:color="D22A23"/>
            </w:tcBorders>
            <w:hideMark/>
          </w:tcPr>
          <w:p w14:paraId="487AF544" w14:textId="77777777" w:rsidR="00FB0CC5" w:rsidRPr="00967AC5" w:rsidRDefault="00FB0CC5" w:rsidP="008470AF">
            <w:pPr>
              <w:pStyle w:val="ECCTabletext"/>
            </w:pPr>
            <w:r w:rsidRPr="00967AC5">
              <w:t>0 to 0.2 MHz offset from block edge</w:t>
            </w:r>
          </w:p>
        </w:tc>
        <w:tc>
          <w:tcPr>
            <w:tcW w:w="5294" w:type="dxa"/>
            <w:tcBorders>
              <w:top w:val="single" w:sz="4" w:space="0" w:color="FFFFFF" w:themeColor="background1"/>
              <w:left w:val="single" w:sz="4" w:space="0" w:color="D22A23"/>
              <w:bottom w:val="single" w:sz="4" w:space="0" w:color="D22A23"/>
              <w:right w:val="single" w:sz="4" w:space="0" w:color="D22A23"/>
            </w:tcBorders>
            <w:hideMark/>
          </w:tcPr>
          <w:p w14:paraId="30200F97" w14:textId="48D3FDAB" w:rsidR="00FB0CC5" w:rsidRPr="00967AC5" w:rsidRDefault="00FB0CC5" w:rsidP="008470AF">
            <w:pPr>
              <w:pStyle w:val="ECCTabletext"/>
            </w:pPr>
            <w:r w:rsidRPr="00967AC5">
              <w:t>32.4 dBm/</w:t>
            </w:r>
            <w:r w:rsidR="007B2FCD" w:rsidRPr="00967AC5">
              <w:t>(</w:t>
            </w:r>
            <w:r w:rsidRPr="00967AC5">
              <w:t>0.2 MHz</w:t>
            </w:r>
            <w:r w:rsidR="007B2FCD" w:rsidRPr="00967AC5">
              <w:t>)</w:t>
            </w:r>
          </w:p>
        </w:tc>
      </w:tr>
      <w:tr w:rsidR="00367403" w:rsidRPr="00967AC5" w14:paraId="73F0161A" w14:textId="77777777" w:rsidTr="00EA7DB9">
        <w:tc>
          <w:tcPr>
            <w:tcW w:w="3490" w:type="dxa"/>
            <w:tcBorders>
              <w:top w:val="single" w:sz="4" w:space="0" w:color="D22A23"/>
              <w:left w:val="single" w:sz="4" w:space="0" w:color="D22A23"/>
              <w:bottom w:val="single" w:sz="4" w:space="0" w:color="D22A23"/>
              <w:right w:val="single" w:sz="4" w:space="0" w:color="D22A23"/>
            </w:tcBorders>
            <w:hideMark/>
          </w:tcPr>
          <w:p w14:paraId="5E12921B" w14:textId="77777777" w:rsidR="00FB0CC5" w:rsidRPr="00967AC5" w:rsidRDefault="00FB0CC5" w:rsidP="008470AF">
            <w:pPr>
              <w:pStyle w:val="ECCTabletext"/>
            </w:pPr>
            <w:r w:rsidRPr="00967AC5">
              <w:t>0.2 to 1 MHz offset from block edge</w:t>
            </w:r>
          </w:p>
        </w:tc>
        <w:tc>
          <w:tcPr>
            <w:tcW w:w="5294" w:type="dxa"/>
            <w:tcBorders>
              <w:top w:val="single" w:sz="4" w:space="0" w:color="D22A23"/>
              <w:left w:val="single" w:sz="4" w:space="0" w:color="D22A23"/>
              <w:bottom w:val="single" w:sz="4" w:space="0" w:color="D22A23"/>
              <w:right w:val="single" w:sz="4" w:space="0" w:color="D22A23"/>
            </w:tcBorders>
            <w:vAlign w:val="top"/>
            <w:hideMark/>
          </w:tcPr>
          <w:p w14:paraId="097BF845" w14:textId="1ED2A645" w:rsidR="00FB0CC5" w:rsidRPr="00967AC5" w:rsidRDefault="00FB0CC5" w:rsidP="008470AF">
            <w:pPr>
              <w:pStyle w:val="ECCTabletext"/>
              <w:rPr>
                <w:szCs w:val="20"/>
              </w:rPr>
            </w:pPr>
            <w:r w:rsidRPr="00967AC5">
              <w:t>13.8 dBm/</w:t>
            </w:r>
            <w:r w:rsidR="007B2FCD" w:rsidRPr="00967AC5">
              <w:t>(</w:t>
            </w:r>
            <w:r w:rsidRPr="00967AC5">
              <w:t>0.8 MHz</w:t>
            </w:r>
            <w:r w:rsidR="007B2FCD" w:rsidRPr="00967AC5">
              <w:t>)</w:t>
            </w:r>
          </w:p>
        </w:tc>
      </w:tr>
      <w:tr w:rsidR="00EA4AE0" w:rsidRPr="00967AC5" w14:paraId="0DEF7EA9" w14:textId="77777777" w:rsidTr="00EA7DB9">
        <w:tc>
          <w:tcPr>
            <w:tcW w:w="3490" w:type="dxa"/>
            <w:tcBorders>
              <w:top w:val="single" w:sz="4" w:space="0" w:color="D22A23"/>
              <w:left w:val="single" w:sz="4" w:space="0" w:color="D22A23"/>
              <w:bottom w:val="single" w:sz="4" w:space="0" w:color="D22A23"/>
              <w:right w:val="single" w:sz="4" w:space="0" w:color="D22A23"/>
            </w:tcBorders>
            <w:hideMark/>
          </w:tcPr>
          <w:p w14:paraId="5C8CD5A2" w14:textId="77777777" w:rsidR="00FB0CC5" w:rsidRPr="00967AC5" w:rsidRDefault="00FB0CC5" w:rsidP="008470AF">
            <w:pPr>
              <w:pStyle w:val="ECCTabletext"/>
            </w:pPr>
            <w:r w:rsidRPr="00967AC5">
              <w:t>1 to 5 MHz offset from block edge</w:t>
            </w:r>
          </w:p>
        </w:tc>
        <w:tc>
          <w:tcPr>
            <w:tcW w:w="5294" w:type="dxa"/>
            <w:tcBorders>
              <w:top w:val="single" w:sz="4" w:space="0" w:color="D22A23"/>
              <w:left w:val="single" w:sz="4" w:space="0" w:color="D22A23"/>
              <w:bottom w:val="single" w:sz="4" w:space="0" w:color="D22A23"/>
              <w:right w:val="single" w:sz="4" w:space="0" w:color="D22A23"/>
            </w:tcBorders>
            <w:hideMark/>
          </w:tcPr>
          <w:p w14:paraId="21ECA12A" w14:textId="77777777" w:rsidR="00FB0CC5" w:rsidRPr="00967AC5" w:rsidRDefault="00FB0CC5" w:rsidP="008470AF">
            <w:pPr>
              <w:pStyle w:val="ECCTabletext"/>
            </w:pPr>
            <w:r w:rsidRPr="00967AC5">
              <w:t>5 dBm/MHz</w:t>
            </w:r>
          </w:p>
        </w:tc>
      </w:tr>
      <w:tr w:rsidR="00EA4AE0" w:rsidRPr="00967AC5" w14:paraId="0119BE2F" w14:textId="77777777" w:rsidTr="00EA7DB9">
        <w:tc>
          <w:tcPr>
            <w:tcW w:w="3490" w:type="dxa"/>
            <w:tcBorders>
              <w:top w:val="single" w:sz="4" w:space="0" w:color="D22A23"/>
              <w:left w:val="single" w:sz="4" w:space="0" w:color="D22A23"/>
              <w:bottom w:val="single" w:sz="4" w:space="0" w:color="D22A23"/>
              <w:right w:val="single" w:sz="4" w:space="0" w:color="D22A23"/>
            </w:tcBorders>
            <w:hideMark/>
          </w:tcPr>
          <w:p w14:paraId="37DAC7ED" w14:textId="77777777" w:rsidR="00FB0CC5" w:rsidRPr="00967AC5" w:rsidRDefault="00FB0CC5" w:rsidP="008470AF">
            <w:pPr>
              <w:pStyle w:val="ECCTabletext"/>
            </w:pPr>
            <w:r w:rsidRPr="00967AC5">
              <w:t>5 to 10 MHz offset from block edge</w:t>
            </w:r>
          </w:p>
        </w:tc>
        <w:tc>
          <w:tcPr>
            <w:tcW w:w="5294" w:type="dxa"/>
            <w:tcBorders>
              <w:top w:val="single" w:sz="4" w:space="0" w:color="D22A23"/>
              <w:left w:val="single" w:sz="4" w:space="0" w:color="D22A23"/>
              <w:bottom w:val="single" w:sz="4" w:space="0" w:color="D22A23"/>
              <w:right w:val="single" w:sz="4" w:space="0" w:color="D22A23"/>
            </w:tcBorders>
            <w:hideMark/>
          </w:tcPr>
          <w:p w14:paraId="5F34A138" w14:textId="71758C94" w:rsidR="00FB0CC5" w:rsidRPr="00967AC5" w:rsidRDefault="00FB0CC5" w:rsidP="008470AF">
            <w:pPr>
              <w:pStyle w:val="ECCTabletext"/>
            </w:pPr>
            <w:r w:rsidRPr="00967AC5">
              <w:t>12 dBm/</w:t>
            </w:r>
            <w:r w:rsidR="007B2FCD" w:rsidRPr="00967AC5">
              <w:t>(</w:t>
            </w:r>
            <w:r w:rsidRPr="00967AC5">
              <w:t>5 MHz</w:t>
            </w:r>
            <w:r w:rsidR="007B2FCD" w:rsidRPr="00967AC5">
              <w:t>)</w:t>
            </w:r>
          </w:p>
        </w:tc>
      </w:tr>
      <w:tr w:rsidR="00FB0CC5" w:rsidRPr="00967AC5" w14:paraId="75942F17" w14:textId="77777777" w:rsidTr="00EA7DB9">
        <w:tc>
          <w:tcPr>
            <w:tcW w:w="8784" w:type="dxa"/>
            <w:gridSpan w:val="2"/>
            <w:tcBorders>
              <w:top w:val="single" w:sz="4" w:space="0" w:color="D22A23"/>
              <w:left w:val="single" w:sz="4" w:space="0" w:color="D22A23"/>
              <w:bottom w:val="single" w:sz="4" w:space="0" w:color="D22A23"/>
              <w:right w:val="single" w:sz="4" w:space="0" w:color="D22A23"/>
            </w:tcBorders>
            <w:hideMark/>
          </w:tcPr>
          <w:p w14:paraId="53A1C692" w14:textId="654A715B" w:rsidR="00FB0CC5" w:rsidRPr="00967AC5" w:rsidRDefault="00D856AC" w:rsidP="002505BC">
            <w:pPr>
              <w:pStyle w:val="ECCTablenote"/>
            </w:pPr>
            <w:r w:rsidRPr="00967AC5">
              <w:t>Note 1:</w:t>
            </w:r>
            <w:r w:rsidR="00852292" w:rsidRPr="00967AC5">
              <w:t xml:space="preserve"> </w:t>
            </w:r>
            <w:r w:rsidR="00FB0CC5" w:rsidRPr="00967AC5">
              <w:t xml:space="preserve">Provided that adjacent services, applications or networks remain protected above 960 MHz, below 1805 MHz and above 1880 MHz: On </w:t>
            </w:r>
            <w:r w:rsidR="00CF354E" w:rsidRPr="00967AC5">
              <w:t>case-by-case</w:t>
            </w:r>
            <w:r w:rsidR="00FB0CC5" w:rsidRPr="00967AC5">
              <w:t xml:space="preserve"> basis, at national level, higher </w:t>
            </w:r>
            <w:r w:rsidR="00D86905" w:rsidRPr="00967AC5">
              <w:rPr>
                <w:rFonts w:eastAsia="Times New Roman" w:cs="Arial"/>
                <w:color w:val="000000"/>
                <w:lang w:eastAsia="fr-FR"/>
              </w:rPr>
              <w:t>e.i.r.p.</w:t>
            </w:r>
            <w:r w:rsidR="00FB0CC5" w:rsidRPr="00967AC5">
              <w:t xml:space="preserve"> limits may be applied for non-AAS BS: </w:t>
            </w:r>
            <w:r w:rsidR="00BF6D4F" w:rsidRPr="00967AC5">
              <w:t xml:space="preserve">e.i.r.p. </w:t>
            </w:r>
            <w:r w:rsidR="00FB0CC5" w:rsidRPr="00967AC5">
              <w:t xml:space="preserve">limits up to 6 dB higher are allowed in the 0-200 </w:t>
            </w:r>
            <w:r w:rsidR="00AA165D" w:rsidRPr="00967AC5">
              <w:t>k</w:t>
            </w:r>
            <w:r w:rsidR="00FB0CC5" w:rsidRPr="00967AC5">
              <w:t xml:space="preserve">Hz range to support higher </w:t>
            </w:r>
            <w:r w:rsidR="00B937EA" w:rsidRPr="00967AC5">
              <w:t xml:space="preserve">ECS </w:t>
            </w:r>
            <w:r w:rsidR="00FB0CC5" w:rsidRPr="00967AC5">
              <w:t>NB in-band block conducted power than 49 dBm/</w:t>
            </w:r>
            <w:r w:rsidR="007B2FCD" w:rsidRPr="00967AC5">
              <w:t>(</w:t>
            </w:r>
            <w:r w:rsidR="00FB0CC5" w:rsidRPr="00967AC5">
              <w:t>200 kHz</w:t>
            </w:r>
            <w:r w:rsidR="003D39EB" w:rsidRPr="00967AC5">
              <w:rPr>
                <w:rFonts w:cs="Arial"/>
                <w:color w:val="000000"/>
                <w:lang w:eastAsia="fr-FR"/>
              </w:rPr>
              <w:t xml:space="preserve"> </w:t>
            </w:r>
            <w:r w:rsidR="00E6462E" w:rsidRPr="00967AC5">
              <w:rPr>
                <w:rFonts w:cs="Arial"/>
                <w:color w:val="000000"/>
                <w:lang w:eastAsia="fr-FR"/>
              </w:rPr>
              <w:t>i.e.</w:t>
            </w:r>
            <w:r w:rsidR="00E6462E" w:rsidRPr="00967AC5">
              <w:rPr>
                <w:rFonts w:eastAsia="Times New Roman" w:cs="Arial"/>
                <w:color w:val="000000"/>
                <w:lang w:eastAsia="fr-FR"/>
              </w:rPr>
              <w:t xml:space="preserve"> </w:t>
            </w:r>
            <w:r w:rsidR="00FB0CC5" w:rsidRPr="00967AC5">
              <w:t>up to 55 dBm/</w:t>
            </w:r>
            <w:r w:rsidR="007B2FCD" w:rsidRPr="00967AC5">
              <w:t>(</w:t>
            </w:r>
            <w:r w:rsidR="00FB0CC5" w:rsidRPr="00967AC5">
              <w:t xml:space="preserve">200 kHz); </w:t>
            </w:r>
            <w:r w:rsidR="00BF6D4F" w:rsidRPr="00967AC5">
              <w:t>e.i.r.p.</w:t>
            </w:r>
            <w:r w:rsidR="00FB0CC5" w:rsidRPr="00967AC5">
              <w:t xml:space="preserve"> limits up to 11 dB higher is allowed in the 0-10 MHz range to support higher antenna gain than 18</w:t>
            </w:r>
            <w:r w:rsidR="00F71B47" w:rsidRPr="00967AC5">
              <w:t xml:space="preserve"> </w:t>
            </w:r>
            <w:r w:rsidR="00FB0CC5" w:rsidRPr="00967AC5">
              <w:t xml:space="preserve">dBi (up to </w:t>
            </w:r>
            <w:r w:rsidR="003D39EB" w:rsidRPr="00967AC5">
              <w:t>29</w:t>
            </w:r>
            <w:r w:rsidR="00FB0CC5" w:rsidRPr="00967AC5">
              <w:t xml:space="preserve"> dBi</w:t>
            </w:r>
            <w:r w:rsidR="00FB0CC5" w:rsidRPr="00967AC5">
              <w:rPr>
                <w:rFonts w:eastAsia="Times New Roman" w:cs="Arial"/>
                <w:color w:val="000000"/>
                <w:lang w:eastAsia="fr-FR"/>
              </w:rPr>
              <w:t>))</w:t>
            </w:r>
            <w:r w:rsidR="00E6462E" w:rsidRPr="00967AC5">
              <w:rPr>
                <w:rFonts w:cs="Arial"/>
                <w:color w:val="000000"/>
                <w:lang w:eastAsia="fr-FR"/>
              </w:rPr>
              <w:t>.</w:t>
            </w:r>
            <w:r w:rsidR="00FB0CC5" w:rsidRPr="00967AC5">
              <w:rPr>
                <w:rFonts w:eastAsia="Times New Roman" w:cs="Arial"/>
                <w:color w:val="000000"/>
                <w:lang w:eastAsia="fr-FR"/>
              </w:rPr>
              <w:t>)</w:t>
            </w:r>
          </w:p>
          <w:p w14:paraId="004BC368" w14:textId="382EFEE6" w:rsidR="00FB0CC5" w:rsidRPr="00967AC5" w:rsidRDefault="00D856AC" w:rsidP="002505BC">
            <w:pPr>
              <w:pStyle w:val="ECCTablenote"/>
            </w:pPr>
            <w:r w:rsidRPr="00967AC5">
              <w:t>Note 2:</w:t>
            </w:r>
            <w:r w:rsidR="00852292" w:rsidRPr="00967AC5">
              <w:t xml:space="preserve"> </w:t>
            </w:r>
            <w:r w:rsidR="00FB0CC5" w:rsidRPr="00967AC5">
              <w:t xml:space="preserve">Provided that adjacent services, applications or networks remain protected below 925 MHz: On </w:t>
            </w:r>
            <w:r w:rsidR="00CF354E" w:rsidRPr="00967AC5">
              <w:t>case-by-case</w:t>
            </w:r>
            <w:r w:rsidR="00FB0CC5" w:rsidRPr="00967AC5">
              <w:t xml:space="preserve"> basis, at national level, higher </w:t>
            </w:r>
            <w:r w:rsidR="00BF6D4F" w:rsidRPr="00967AC5">
              <w:t>e.i.r.p.</w:t>
            </w:r>
            <w:r w:rsidR="00FB0CC5" w:rsidRPr="00967AC5">
              <w:t xml:space="preserve"> limits may be applied for non-AAS BS</w:t>
            </w:r>
            <w:r w:rsidR="00E6462E" w:rsidRPr="00967AC5">
              <w:rPr>
                <w:rFonts w:cs="Arial"/>
              </w:rPr>
              <w:t>.</w:t>
            </w:r>
          </w:p>
        </w:tc>
      </w:tr>
    </w:tbl>
    <w:bookmarkEnd w:id="182"/>
    <w:p w14:paraId="23721908" w14:textId="77777777" w:rsidR="00041922" w:rsidRPr="00967AC5" w:rsidRDefault="00041922" w:rsidP="002505BC">
      <w:pPr>
        <w:pStyle w:val="ECCAnnexheading4"/>
        <w:rPr>
          <w:lang w:val="en-GB"/>
        </w:rPr>
      </w:pPr>
      <w:r w:rsidRPr="00967AC5">
        <w:rPr>
          <w:lang w:val="en-GB"/>
        </w:rPr>
        <w:t>Other conditions</w:t>
      </w:r>
    </w:p>
    <w:p w14:paraId="7EF199E0" w14:textId="60A7F51A" w:rsidR="001E6A03" w:rsidRPr="00967AC5" w:rsidRDefault="001E6A03" w:rsidP="001E6A03">
      <w:pPr>
        <w:pStyle w:val="ECCParagraph"/>
        <w:rPr>
          <w:rFonts w:eastAsia="Calibri"/>
        </w:rPr>
      </w:pPr>
      <w:r w:rsidRPr="00967AC5">
        <w:rPr>
          <w:rFonts w:eastAsia="Calibri"/>
        </w:rPr>
        <w:t xml:space="preserve">The spurious emission domain for the base station in these frequency bands start 10 MHz from the band edge and the corresponding limits are defined in current ERC Recommendation 74-01 </w:t>
      </w:r>
      <w:r w:rsidR="009675D2" w:rsidRPr="00967AC5">
        <w:rPr>
          <w:rFonts w:eastAsia="Calibri"/>
        </w:rPr>
        <w:fldChar w:fldCharType="begin"/>
      </w:r>
      <w:r w:rsidR="009675D2" w:rsidRPr="00967AC5">
        <w:rPr>
          <w:rFonts w:eastAsia="Calibri"/>
        </w:rPr>
        <w:instrText xml:space="preserve"> REF _Ref63428405 \r \h </w:instrText>
      </w:r>
      <w:r w:rsidR="002505BC" w:rsidRPr="00967AC5">
        <w:rPr>
          <w:rFonts w:eastAsia="Calibri"/>
        </w:rPr>
        <w:instrText xml:space="preserve"> \* MERGEFORMAT </w:instrText>
      </w:r>
      <w:r w:rsidR="009675D2" w:rsidRPr="00967AC5">
        <w:rPr>
          <w:rFonts w:eastAsia="Calibri"/>
        </w:rPr>
      </w:r>
      <w:r w:rsidR="009675D2" w:rsidRPr="00967AC5">
        <w:rPr>
          <w:rFonts w:eastAsia="Calibri"/>
        </w:rPr>
        <w:fldChar w:fldCharType="separate"/>
      </w:r>
      <w:r w:rsidR="00680BB5" w:rsidRPr="00967AC5">
        <w:rPr>
          <w:rFonts w:eastAsia="Calibri"/>
        </w:rPr>
        <w:t>[35]</w:t>
      </w:r>
      <w:r w:rsidR="009675D2" w:rsidRPr="00967AC5">
        <w:rPr>
          <w:rFonts w:eastAsia="Calibri"/>
        </w:rPr>
        <w:fldChar w:fldCharType="end"/>
      </w:r>
      <w:r w:rsidRPr="00967AC5">
        <w:rPr>
          <w:rFonts w:eastAsia="Calibri"/>
        </w:rPr>
        <w:t>.</w:t>
      </w:r>
    </w:p>
    <w:p w14:paraId="03E4E353" w14:textId="2672C56B" w:rsidR="001E6A03" w:rsidRPr="00967AC5" w:rsidRDefault="001E6A03" w:rsidP="001E6A03">
      <w:pPr>
        <w:rPr>
          <w:lang w:val="en-GB"/>
        </w:rPr>
      </w:pPr>
      <w:r w:rsidRPr="00967AC5">
        <w:rPr>
          <w:rFonts w:eastAsia="Calibri"/>
          <w:lang w:val="en-GB"/>
        </w:rPr>
        <w:t xml:space="preserve">In addition, </w:t>
      </w:r>
      <w:r w:rsidR="00075E28" w:rsidRPr="00967AC5">
        <w:rPr>
          <w:rFonts w:eastAsia="Calibri"/>
          <w:lang w:val="en-GB"/>
        </w:rPr>
        <w:t>ECS</w:t>
      </w:r>
      <w:r w:rsidRPr="00967AC5">
        <w:rPr>
          <w:rFonts w:eastAsia="Calibri"/>
          <w:lang w:val="en-GB"/>
        </w:rPr>
        <w:t xml:space="preserve"> networks making use of AAS systems shall not be granted more protection from systems in adjacent and neighbouring bands than experienced with non-AAS systems.</w:t>
      </w:r>
    </w:p>
    <w:p w14:paraId="5C1D63E6" w14:textId="4A839BF0" w:rsidR="004140EA" w:rsidRPr="00967AC5" w:rsidRDefault="004140EA" w:rsidP="002466A5">
      <w:pPr>
        <w:pStyle w:val="ECCAnnexheading3"/>
        <w:rPr>
          <w:lang w:val="en-GB"/>
        </w:rPr>
      </w:pPr>
      <w:r w:rsidRPr="00967AC5">
        <w:rPr>
          <w:lang w:val="en-GB"/>
        </w:rPr>
        <w:t xml:space="preserve">TECHNICAL CONDITIONS FOR </w:t>
      </w:r>
      <w:r w:rsidR="002466A5" w:rsidRPr="00967AC5">
        <w:rPr>
          <w:lang w:val="en-GB"/>
        </w:rPr>
        <w:t>TERMINAL STATION</w:t>
      </w:r>
      <w:r w:rsidRPr="00967AC5">
        <w:rPr>
          <w:lang w:val="en-GB"/>
        </w:rPr>
        <w:t>S</w:t>
      </w:r>
    </w:p>
    <w:p w14:paraId="261EBA90" w14:textId="51780FFE" w:rsidR="00041922" w:rsidRPr="00967AC5" w:rsidRDefault="00041922" w:rsidP="00041922">
      <w:pPr>
        <w:rPr>
          <w:lang w:val="en-GB"/>
        </w:rPr>
      </w:pPr>
      <w:r w:rsidRPr="00967AC5">
        <w:rPr>
          <w:lang w:val="en-GB"/>
        </w:rPr>
        <w:t xml:space="preserve">In-block power limits for terminal stations are provided in </w:t>
      </w:r>
      <w:r w:rsidRPr="00967AC5">
        <w:rPr>
          <w:lang w:val="en-GB"/>
        </w:rPr>
        <w:fldChar w:fldCharType="begin"/>
      </w:r>
      <w:r w:rsidRPr="00967AC5">
        <w:rPr>
          <w:lang w:val="en-GB"/>
        </w:rPr>
        <w:instrText xml:space="preserve"> REF _Ref61338484 \h </w:instrText>
      </w:r>
      <w:r w:rsidR="002F517F" w:rsidRPr="00967AC5">
        <w:rPr>
          <w:lang w:val="en-GB"/>
        </w:rPr>
        <w:instrText xml:space="preserve"> \* MERGEFORMAT </w:instrText>
      </w:r>
      <w:r w:rsidRPr="00967AC5">
        <w:rPr>
          <w:lang w:val="en-GB"/>
        </w:rPr>
      </w:r>
      <w:r w:rsidRPr="00967AC5">
        <w:rPr>
          <w:lang w:val="en-GB"/>
        </w:rPr>
        <w:fldChar w:fldCharType="separate"/>
      </w:r>
      <w:r w:rsidR="00680BB5" w:rsidRPr="00967AC5">
        <w:rPr>
          <w:lang w:val="en-GB"/>
        </w:rPr>
        <w:t>Table 16</w:t>
      </w:r>
      <w:r w:rsidRPr="00967AC5">
        <w:rPr>
          <w:lang w:val="en-GB"/>
        </w:rPr>
        <w:fldChar w:fldCharType="end"/>
      </w:r>
      <w:r w:rsidRPr="00967AC5">
        <w:rPr>
          <w:lang w:val="en-GB"/>
        </w:rPr>
        <w:t>.</w:t>
      </w:r>
    </w:p>
    <w:p w14:paraId="03E7ED6C" w14:textId="060A6881" w:rsidR="00041922" w:rsidRPr="00967AC5" w:rsidRDefault="00041922" w:rsidP="00001EB9">
      <w:pPr>
        <w:pStyle w:val="Caption"/>
        <w:keepNext/>
        <w:rPr>
          <w:lang w:val="en-GB"/>
        </w:rPr>
      </w:pPr>
      <w:bookmarkStart w:id="184" w:name="_Ref61338484"/>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16</w:t>
      </w:r>
      <w:r w:rsidRPr="00967AC5">
        <w:rPr>
          <w:lang w:val="en-GB"/>
        </w:rPr>
        <w:fldChar w:fldCharType="end"/>
      </w:r>
      <w:bookmarkEnd w:id="184"/>
      <w:r w:rsidRPr="00967AC5">
        <w:rPr>
          <w:lang w:val="en-GB"/>
        </w:rPr>
        <w:t>: In-block power limits for Terminal Stations</w:t>
      </w:r>
    </w:p>
    <w:tbl>
      <w:tblPr>
        <w:tblStyle w:val="ECCTable-redheader"/>
        <w:tblW w:w="4561" w:type="pct"/>
        <w:tblInd w:w="0" w:type="dxa"/>
        <w:tblLook w:val="04A0" w:firstRow="1" w:lastRow="0" w:firstColumn="1" w:lastColumn="0" w:noHBand="0" w:noVBand="1"/>
      </w:tblPr>
      <w:tblGrid>
        <w:gridCol w:w="3538"/>
        <w:gridCol w:w="5246"/>
      </w:tblGrid>
      <w:tr w:rsidR="00784B8D" w:rsidRPr="00967AC5" w14:paraId="657261BE" w14:textId="77777777" w:rsidTr="002505BC">
        <w:trPr>
          <w:cnfStyle w:val="100000000000" w:firstRow="1" w:lastRow="0" w:firstColumn="0" w:lastColumn="0" w:oddVBand="0" w:evenVBand="0" w:oddHBand="0" w:evenHBand="0" w:firstRowFirstColumn="0" w:firstRowLastColumn="0" w:lastRowFirstColumn="0" w:lastRowLastColumn="0"/>
        </w:trPr>
        <w:tc>
          <w:tcPr>
            <w:tcW w:w="2014" w:type="pct"/>
            <w:tcBorders>
              <w:top w:val="single" w:sz="4" w:space="0" w:color="FFFFFF" w:themeColor="background1"/>
              <w:left w:val="single" w:sz="4" w:space="0" w:color="FFFFFF" w:themeColor="background1"/>
              <w:bottom w:val="single" w:sz="4" w:space="0" w:color="FFFFFF" w:themeColor="background1"/>
            </w:tcBorders>
            <w:vAlign w:val="top"/>
          </w:tcPr>
          <w:p w14:paraId="738C0A2B" w14:textId="77777777" w:rsidR="00041922" w:rsidRPr="00967AC5" w:rsidRDefault="00041922" w:rsidP="00001EB9">
            <w:pPr>
              <w:pStyle w:val="ECCTableHeaderwhitefont"/>
              <w:keepNext/>
              <w:keepLines/>
              <w:rPr>
                <w:lang w:val="en-GB"/>
              </w:rPr>
            </w:pPr>
            <w:r w:rsidRPr="00967AC5">
              <w:rPr>
                <w:lang w:val="en-GB"/>
              </w:rPr>
              <w:t>BEM element</w:t>
            </w:r>
          </w:p>
        </w:tc>
        <w:tc>
          <w:tcPr>
            <w:tcW w:w="2986" w:type="pct"/>
            <w:tcBorders>
              <w:top w:val="single" w:sz="4" w:space="0" w:color="FFFFFF" w:themeColor="background1"/>
              <w:bottom w:val="single" w:sz="4" w:space="0" w:color="FFFFFF" w:themeColor="background1"/>
              <w:right w:val="single" w:sz="4" w:space="0" w:color="FFFFFF" w:themeColor="background1"/>
            </w:tcBorders>
            <w:vAlign w:val="top"/>
          </w:tcPr>
          <w:p w14:paraId="5E6F0DD4" w14:textId="4C58861D" w:rsidR="00041922" w:rsidRPr="00967AC5" w:rsidRDefault="00041922" w:rsidP="00001EB9">
            <w:pPr>
              <w:pStyle w:val="ECCTableHeaderwhitefont"/>
              <w:keepNext/>
              <w:keepLines/>
              <w:rPr>
                <w:lang w:val="en-GB"/>
              </w:rPr>
            </w:pPr>
            <w:r w:rsidRPr="00967AC5">
              <w:rPr>
                <w:lang w:val="en-GB"/>
              </w:rPr>
              <w:t>Maximum mean power</w:t>
            </w:r>
            <w:r w:rsidR="00D856AC" w:rsidRPr="00967AC5">
              <w:rPr>
                <w:lang w:val="en-GB"/>
              </w:rPr>
              <w:t xml:space="preserve"> (note 1)</w:t>
            </w:r>
          </w:p>
        </w:tc>
      </w:tr>
      <w:tr w:rsidR="00367403" w:rsidRPr="00967AC5" w14:paraId="06E665B9" w14:textId="77777777" w:rsidTr="002505BC">
        <w:trPr>
          <w:trHeight w:val="265"/>
        </w:trPr>
        <w:tc>
          <w:tcPr>
            <w:tcW w:w="2014" w:type="pct"/>
            <w:tcBorders>
              <w:top w:val="single" w:sz="4" w:space="0" w:color="FFFFFF" w:themeColor="background1"/>
            </w:tcBorders>
            <w:vAlign w:val="top"/>
          </w:tcPr>
          <w:p w14:paraId="701CAD28" w14:textId="77777777" w:rsidR="00041922" w:rsidRPr="00967AC5" w:rsidRDefault="00041922" w:rsidP="00001EB9">
            <w:pPr>
              <w:pStyle w:val="ECCTabletext"/>
              <w:keepNext/>
              <w:keepLines/>
            </w:pPr>
            <w:r w:rsidRPr="00967AC5">
              <w:t xml:space="preserve">In-block </w:t>
            </w:r>
          </w:p>
        </w:tc>
        <w:tc>
          <w:tcPr>
            <w:tcW w:w="2986" w:type="pct"/>
            <w:tcBorders>
              <w:top w:val="single" w:sz="4" w:space="0" w:color="FFFFFF" w:themeColor="background1"/>
            </w:tcBorders>
            <w:vAlign w:val="top"/>
          </w:tcPr>
          <w:p w14:paraId="172BD065" w14:textId="7B1DEDDC" w:rsidR="00041922" w:rsidRPr="00967AC5" w:rsidRDefault="00041922" w:rsidP="00001EB9">
            <w:pPr>
              <w:pStyle w:val="ECCTabletext"/>
              <w:keepNext/>
              <w:keepLines/>
            </w:pPr>
            <w:r w:rsidRPr="00967AC5">
              <w:t>25 dBm</w:t>
            </w:r>
            <w:r w:rsidR="00E6462E" w:rsidRPr="00967AC5">
              <w:t xml:space="preserve"> </w:t>
            </w:r>
            <w:r w:rsidR="00D856AC" w:rsidRPr="00967AC5">
              <w:t>(note 2)</w:t>
            </w:r>
          </w:p>
        </w:tc>
      </w:tr>
      <w:tr w:rsidR="00041922" w:rsidRPr="00967AC5" w14:paraId="1E25F13A" w14:textId="77777777" w:rsidTr="002505BC">
        <w:trPr>
          <w:trHeight w:val="265"/>
        </w:trPr>
        <w:tc>
          <w:tcPr>
            <w:tcW w:w="5000" w:type="pct"/>
            <w:gridSpan w:val="2"/>
          </w:tcPr>
          <w:p w14:paraId="4FD91211" w14:textId="6AA35F45" w:rsidR="00041922" w:rsidRPr="00967AC5" w:rsidRDefault="00D856AC" w:rsidP="00001EB9">
            <w:pPr>
              <w:pStyle w:val="ECCTablenote"/>
              <w:keepNext/>
              <w:keepLines/>
            </w:pPr>
            <w:r w:rsidRPr="00967AC5">
              <w:t xml:space="preserve">Note 1: </w:t>
            </w:r>
            <w:r w:rsidR="00041922" w:rsidRPr="00967AC5">
              <w:t>The recommended power limit above for mobile terminal</w:t>
            </w:r>
            <w:r w:rsidR="00E6462E" w:rsidRPr="00967AC5">
              <w:t xml:space="preserve"> station</w:t>
            </w:r>
            <w:r w:rsidR="00041922" w:rsidRPr="00967AC5">
              <w:t xml:space="preserve">s is specified as TRP. The in-block radiated power limit for fixed/nomadic </w:t>
            </w:r>
            <w:r w:rsidR="00AE26D2" w:rsidRPr="00967AC5">
              <w:t xml:space="preserve">terminal stations </w:t>
            </w:r>
            <w:r w:rsidR="00041922" w:rsidRPr="00967AC5">
              <w:t xml:space="preserve">may be agreed on a national basis provided that protection of other services, networks and applications is not </w:t>
            </w:r>
            <w:proofErr w:type="gramStart"/>
            <w:r w:rsidR="00041922" w:rsidRPr="00967AC5">
              <w:t>compromised</w:t>
            </w:r>
            <w:proofErr w:type="gramEnd"/>
            <w:r w:rsidR="00041922" w:rsidRPr="00967AC5">
              <w:t xml:space="preserve"> and cross-border obligations are fulfilled.</w:t>
            </w:r>
          </w:p>
          <w:p w14:paraId="5597084A" w14:textId="21B902F9" w:rsidR="00041922" w:rsidRPr="00967AC5" w:rsidRDefault="00D856AC" w:rsidP="00001EB9">
            <w:pPr>
              <w:pStyle w:val="ECCTablenote"/>
              <w:keepNext/>
              <w:keepLines/>
            </w:pPr>
            <w:r w:rsidRPr="00967AC5">
              <w:t xml:space="preserve">Note </w:t>
            </w:r>
            <w:r w:rsidR="00041922" w:rsidRPr="00967AC5">
              <w:t>2</w:t>
            </w:r>
            <w:r w:rsidRPr="00967AC5">
              <w:t>:</w:t>
            </w:r>
            <w:r w:rsidR="00041922" w:rsidRPr="00967AC5">
              <w:t xml:space="preserve"> It is recognised that this value </w:t>
            </w:r>
            <w:r w:rsidR="00E6462E" w:rsidRPr="00967AC5">
              <w:t xml:space="preserve">includes </w:t>
            </w:r>
            <w:r w:rsidR="00041922" w:rsidRPr="00967AC5">
              <w:t>a possible tolerance of up to +2 dB, to take account of operation under extreme environmental conditions and production spread</w:t>
            </w:r>
            <w:r w:rsidR="007A25A8" w:rsidRPr="00967AC5">
              <w:t xml:space="preserve">. This value does not include test </w:t>
            </w:r>
            <w:proofErr w:type="gramStart"/>
            <w:r w:rsidR="007A25A8" w:rsidRPr="00967AC5">
              <w:t>tolerance.</w:t>
            </w:r>
            <w:r w:rsidR="00041922" w:rsidRPr="00967AC5">
              <w:t>.</w:t>
            </w:r>
            <w:proofErr w:type="gramEnd"/>
          </w:p>
        </w:tc>
      </w:tr>
    </w:tbl>
    <w:p w14:paraId="0CFA8493" w14:textId="4ABD0CFE" w:rsidR="00AA14C6" w:rsidRPr="00967AC5" w:rsidRDefault="00AA14C6" w:rsidP="002505BC">
      <w:pPr>
        <w:tabs>
          <w:tab w:val="left" w:pos="3675"/>
        </w:tabs>
        <w:rPr>
          <w:lang w:val="en-GB"/>
        </w:rPr>
      </w:pPr>
    </w:p>
    <w:p w14:paraId="646F22E2" w14:textId="082F2370" w:rsidR="00CC3CB8" w:rsidRPr="00967AC5" w:rsidRDefault="00CC3CB8" w:rsidP="00DD5131">
      <w:pPr>
        <w:pStyle w:val="ECCAnnexheading1"/>
      </w:pPr>
      <w:bookmarkStart w:id="185" w:name="_Toc71037844"/>
      <w:r w:rsidRPr="00967AC5">
        <w:lastRenderedPageBreak/>
        <w:t xml:space="preserve">ETSI </w:t>
      </w:r>
      <w:r w:rsidR="00AA14C6" w:rsidRPr="00967AC5">
        <w:t>TS</w:t>
      </w:r>
      <w:r w:rsidRPr="00967AC5">
        <w:t xml:space="preserve"> </w:t>
      </w:r>
      <w:r w:rsidR="00AA14C6" w:rsidRPr="00967AC5">
        <w:t>core specifications</w:t>
      </w:r>
      <w:bookmarkEnd w:id="185"/>
    </w:p>
    <w:p w14:paraId="5FD55FF1" w14:textId="77777777" w:rsidR="00000EA1" w:rsidRPr="00967AC5" w:rsidRDefault="00000EA1" w:rsidP="0024079A">
      <w:pPr>
        <w:pStyle w:val="ECCAnnexheading2"/>
        <w:rPr>
          <w:lang w:val="en-GB"/>
        </w:rPr>
      </w:pPr>
      <w:bookmarkStart w:id="186" w:name="_Ref59212051"/>
      <w:r w:rsidRPr="00967AC5">
        <w:rPr>
          <w:rFonts w:eastAsia="Calibri"/>
          <w:lang w:val="en-GB"/>
        </w:rPr>
        <w:t>Definitions, symbols and abbreviations from ETSI TS core specifications</w:t>
      </w:r>
    </w:p>
    <w:p w14:paraId="65BF0784" w14:textId="65CFE6F5" w:rsidR="00526566" w:rsidRPr="00967AC5" w:rsidRDefault="00526566" w:rsidP="00526566">
      <w:pPr>
        <w:rPr>
          <w:rFonts w:eastAsia="Calibri"/>
          <w:lang w:val="en-GB"/>
        </w:rPr>
      </w:pPr>
      <w:r w:rsidRPr="00967AC5">
        <w:rPr>
          <w:rFonts w:eastAsia="Calibri"/>
          <w:lang w:val="en-GB"/>
        </w:rPr>
        <w:t xml:space="preserve">Relevant definitions are extracted below from Chapter 3 (Definitions, symbols and abbreviations) of ETSI </w:t>
      </w:r>
      <w:r w:rsidR="00821932" w:rsidRPr="00967AC5">
        <w:rPr>
          <w:rFonts w:eastAsia="Calibri"/>
          <w:lang w:val="en-GB"/>
        </w:rPr>
        <w:t xml:space="preserve">TS </w:t>
      </w:r>
      <w:r w:rsidRPr="00967AC5">
        <w:rPr>
          <w:rFonts w:eastAsia="Calibri"/>
          <w:lang w:val="en-GB"/>
        </w:rPr>
        <w:t>137 105 V15.8.0</w:t>
      </w:r>
      <w:r w:rsidR="00161350" w:rsidRPr="00967AC5">
        <w:rPr>
          <w:rFonts w:eastAsia="Calibri"/>
          <w:lang w:val="en-GB"/>
        </w:rPr>
        <w:t xml:space="preserve"> </w:t>
      </w:r>
      <w:r w:rsidR="00473CCD" w:rsidRPr="00967AC5">
        <w:rPr>
          <w:rFonts w:eastAsia="Calibri"/>
          <w:lang w:val="en-GB"/>
        </w:rPr>
        <w:fldChar w:fldCharType="begin"/>
      </w:r>
      <w:r w:rsidR="00473CCD" w:rsidRPr="00967AC5">
        <w:rPr>
          <w:rFonts w:eastAsia="Calibri"/>
          <w:lang w:val="en-GB"/>
        </w:rPr>
        <w:instrText xml:space="preserve"> REF _Ref68702164 \r \h </w:instrText>
      </w:r>
      <w:r w:rsidR="002505BC" w:rsidRPr="00967AC5">
        <w:rPr>
          <w:rFonts w:eastAsia="Calibri"/>
          <w:lang w:val="en-GB"/>
        </w:rPr>
        <w:instrText xml:space="preserve"> \* MERGEFORMAT </w:instrText>
      </w:r>
      <w:r w:rsidR="00473CCD" w:rsidRPr="00967AC5">
        <w:rPr>
          <w:rFonts w:eastAsia="Calibri"/>
          <w:lang w:val="en-GB"/>
        </w:rPr>
      </w:r>
      <w:r w:rsidR="00473CCD" w:rsidRPr="00967AC5">
        <w:rPr>
          <w:rFonts w:eastAsia="Calibri"/>
          <w:lang w:val="en-GB"/>
        </w:rPr>
        <w:fldChar w:fldCharType="separate"/>
      </w:r>
      <w:r w:rsidR="00680BB5" w:rsidRPr="00967AC5">
        <w:rPr>
          <w:rFonts w:eastAsia="Calibri"/>
          <w:lang w:val="en-GB"/>
        </w:rPr>
        <w:t>[24]</w:t>
      </w:r>
      <w:r w:rsidR="00473CCD" w:rsidRPr="00967AC5">
        <w:rPr>
          <w:rFonts w:eastAsia="Calibri"/>
          <w:lang w:val="en-GB"/>
        </w:rPr>
        <w:fldChar w:fldCharType="end"/>
      </w:r>
      <w:r w:rsidRPr="00967AC5">
        <w:rPr>
          <w:rFonts w:eastAsia="Calibri"/>
          <w:lang w:val="en-GB"/>
        </w:rPr>
        <w:t>:</w:t>
      </w:r>
    </w:p>
    <w:p w14:paraId="6AC018BD" w14:textId="0EDF2D22" w:rsidR="00EF7881" w:rsidRPr="00967AC5" w:rsidRDefault="003C4976" w:rsidP="00676A19">
      <w:pPr>
        <w:pStyle w:val="ECCAnnexheading3"/>
        <w:numPr>
          <w:ilvl w:val="0"/>
          <w:numId w:val="0"/>
        </w:numPr>
        <w:rPr>
          <w:rFonts w:eastAsia="Calibri"/>
          <w:i/>
          <w:iCs/>
          <w:lang w:val="en-GB"/>
        </w:rPr>
      </w:pPr>
      <w:r w:rsidRPr="00967AC5">
        <w:rPr>
          <w:rFonts w:eastAsia="Calibri"/>
          <w:lang w:val="en-GB"/>
        </w:rPr>
        <w:t>“</w:t>
      </w:r>
      <w:r w:rsidRPr="00967AC5">
        <w:rPr>
          <w:rFonts w:eastAsia="Calibri"/>
          <w:i/>
          <w:iCs/>
          <w:lang w:val="en-GB"/>
        </w:rPr>
        <w:t xml:space="preserve">3.1 </w:t>
      </w:r>
      <w:r w:rsidR="00EF7881" w:rsidRPr="00967AC5">
        <w:rPr>
          <w:rFonts w:eastAsia="Calibri"/>
          <w:i/>
          <w:iCs/>
          <w:lang w:val="en-GB"/>
        </w:rPr>
        <w:t>Definitions</w:t>
      </w:r>
    </w:p>
    <w:p w14:paraId="222205A9" w14:textId="448ACD16" w:rsidR="00A038CC" w:rsidRPr="00967AC5" w:rsidRDefault="00853F7B" w:rsidP="00A038CC">
      <w:pPr>
        <w:pStyle w:val="ECCParagraph"/>
        <w:rPr>
          <w:rFonts w:eastAsia="Calibri"/>
          <w:i/>
          <w:iCs/>
        </w:rPr>
      </w:pPr>
      <w:r w:rsidRPr="00967AC5">
        <w:rPr>
          <w:rFonts w:eastAsia="Calibri"/>
          <w:b/>
          <w:bCs/>
          <w:i/>
          <w:iCs/>
        </w:rPr>
        <w:t>B</w:t>
      </w:r>
      <w:r w:rsidR="00A038CC" w:rsidRPr="00967AC5">
        <w:rPr>
          <w:rFonts w:eastAsia="Calibri"/>
          <w:b/>
          <w:bCs/>
          <w:i/>
          <w:iCs/>
        </w:rPr>
        <w:t>and category:</w:t>
      </w:r>
      <w:r w:rsidR="00A038CC" w:rsidRPr="00967AC5">
        <w:rPr>
          <w:rFonts w:eastAsia="Calibri"/>
          <w:i/>
          <w:iCs/>
        </w:rPr>
        <w:t xml:space="preserve"> group of operating bands for which the same MSR scenarios apply</w:t>
      </w:r>
    </w:p>
    <w:p w14:paraId="0E3FD793" w14:textId="77777777" w:rsidR="00A038CC" w:rsidRPr="00967AC5" w:rsidRDefault="00A038CC" w:rsidP="00A038CC">
      <w:pPr>
        <w:pStyle w:val="ECCParagraph"/>
        <w:rPr>
          <w:rFonts w:eastAsia="Calibri"/>
          <w:i/>
          <w:iCs/>
        </w:rPr>
      </w:pPr>
      <w:r w:rsidRPr="00967AC5">
        <w:rPr>
          <w:rFonts w:eastAsia="Calibri"/>
          <w:b/>
          <w:bCs/>
          <w:i/>
          <w:iCs/>
        </w:rPr>
        <w:t>Base Station RF Bandwidth:</w:t>
      </w:r>
      <w:r w:rsidRPr="00967AC5">
        <w:rPr>
          <w:rFonts w:eastAsia="Calibri"/>
          <w:i/>
          <w:iCs/>
        </w:rPr>
        <w:t xml:space="preserve"> bandwidth in which a base station transmits and/or receives single or multiple carrier(s) and/or RATs simultaneously within a supported operating band</w:t>
      </w:r>
    </w:p>
    <w:p w14:paraId="423DD833" w14:textId="77777777" w:rsidR="00A038CC" w:rsidRPr="00967AC5" w:rsidRDefault="00A038CC" w:rsidP="00A038CC">
      <w:pPr>
        <w:pStyle w:val="ECCParagraph"/>
        <w:rPr>
          <w:rFonts w:eastAsia="Calibri"/>
          <w:i/>
          <w:iCs/>
        </w:rPr>
      </w:pPr>
      <w:r w:rsidRPr="00967AC5">
        <w:rPr>
          <w:rFonts w:eastAsia="Calibri"/>
          <w:i/>
          <w:iCs/>
        </w:rPr>
        <w:t>NOTE: In single carrier operation, the Base Station RF Bandwidth is equal to the channel bandwidth.</w:t>
      </w:r>
    </w:p>
    <w:p w14:paraId="599C0666" w14:textId="77777777" w:rsidR="00A038CC" w:rsidRPr="00967AC5" w:rsidRDefault="00A038CC" w:rsidP="00A038CC">
      <w:pPr>
        <w:pStyle w:val="ECCParagraph"/>
        <w:rPr>
          <w:rFonts w:eastAsia="Calibri"/>
          <w:i/>
          <w:iCs/>
        </w:rPr>
      </w:pPr>
      <w:r w:rsidRPr="00967AC5">
        <w:rPr>
          <w:rFonts w:eastAsia="Calibri"/>
          <w:b/>
          <w:bCs/>
          <w:i/>
          <w:iCs/>
        </w:rPr>
        <w:t>Base Station RF Bandwidth edge:</w:t>
      </w:r>
      <w:r w:rsidRPr="00967AC5">
        <w:rPr>
          <w:rFonts w:eastAsia="Calibri"/>
          <w:i/>
          <w:iCs/>
        </w:rPr>
        <w:t xml:space="preserve"> frequency of one of the edges of the Base Station RF Bandwidth</w:t>
      </w:r>
    </w:p>
    <w:p w14:paraId="51AE6A25" w14:textId="51498D80" w:rsidR="00A038CC" w:rsidRPr="00967AC5" w:rsidRDefault="00853F7B" w:rsidP="00A038CC">
      <w:pPr>
        <w:pStyle w:val="ECCParagraph"/>
        <w:rPr>
          <w:rFonts w:eastAsia="Calibri"/>
          <w:i/>
          <w:iCs/>
        </w:rPr>
      </w:pPr>
      <w:r w:rsidRPr="00967AC5">
        <w:rPr>
          <w:rFonts w:eastAsia="Calibri"/>
          <w:b/>
          <w:bCs/>
          <w:i/>
          <w:iCs/>
        </w:rPr>
        <w:t>I</w:t>
      </w:r>
      <w:r w:rsidR="00A038CC" w:rsidRPr="00967AC5">
        <w:rPr>
          <w:rFonts w:eastAsia="Calibri"/>
          <w:b/>
          <w:bCs/>
          <w:i/>
          <w:iCs/>
        </w:rPr>
        <w:t>nter-band gap:</w:t>
      </w:r>
      <w:r w:rsidR="00A038CC" w:rsidRPr="00967AC5">
        <w:rPr>
          <w:rFonts w:eastAsia="Calibri"/>
          <w:i/>
          <w:iCs/>
        </w:rPr>
        <w:t xml:space="preserve"> frequency gap between two supported consecutive operating bands</w:t>
      </w:r>
    </w:p>
    <w:p w14:paraId="2B2AE748" w14:textId="77777777" w:rsidR="00A038CC" w:rsidRPr="00967AC5" w:rsidRDefault="00A038CC" w:rsidP="00A038CC">
      <w:pPr>
        <w:pStyle w:val="ECCParagraph"/>
        <w:rPr>
          <w:rFonts w:eastAsia="Calibri"/>
          <w:i/>
          <w:iCs/>
        </w:rPr>
      </w:pPr>
      <w:r w:rsidRPr="00967AC5">
        <w:rPr>
          <w:rFonts w:eastAsia="Calibri"/>
          <w:b/>
          <w:bCs/>
          <w:i/>
          <w:iCs/>
        </w:rPr>
        <w:t>Inter RF Bandwidth gap:</w:t>
      </w:r>
      <w:r w:rsidRPr="00967AC5">
        <w:rPr>
          <w:rFonts w:eastAsia="Calibri"/>
          <w:i/>
          <w:iCs/>
        </w:rPr>
        <w:t xml:space="preserve"> frequency gap between two consecutive Base Station RF Bandwidths that are placed within two supported operating bands </w:t>
      </w:r>
    </w:p>
    <w:p w14:paraId="27F786D4" w14:textId="09BFB88A" w:rsidR="00A038CC" w:rsidRPr="00967AC5" w:rsidRDefault="00853F7B" w:rsidP="00A038CC">
      <w:pPr>
        <w:pStyle w:val="ECCParagraph"/>
        <w:rPr>
          <w:rFonts w:eastAsia="Calibri"/>
          <w:i/>
          <w:iCs/>
        </w:rPr>
      </w:pPr>
      <w:r w:rsidRPr="00967AC5">
        <w:rPr>
          <w:rFonts w:eastAsia="Calibri"/>
          <w:b/>
          <w:bCs/>
          <w:i/>
          <w:iCs/>
        </w:rPr>
        <w:t>M</w:t>
      </w:r>
      <w:r w:rsidR="00A038CC" w:rsidRPr="00967AC5">
        <w:rPr>
          <w:rFonts w:eastAsia="Calibri"/>
          <w:b/>
          <w:bCs/>
          <w:i/>
          <w:iCs/>
        </w:rPr>
        <w:t>ulti-band RIB:</w:t>
      </w:r>
      <w:r w:rsidR="00A038CC" w:rsidRPr="00967AC5">
        <w:rPr>
          <w:rFonts w:eastAsia="Calibri"/>
          <w:i/>
          <w:iCs/>
        </w:rPr>
        <w:t xml:space="preserve"> operating band specific RIB associated with a transmitter or receiver that is characterized by the ability to process two or more carriers in common active RF components simultaneously, where at least one carrier is configured at a different operating band than the other carrier(s) and where this different operating band is not a sub-band or superseding-band of another supported operating band in which the same RAT is operated.</w:t>
      </w:r>
    </w:p>
    <w:p w14:paraId="5DFC4C67" w14:textId="6B2F1B5F" w:rsidR="00A038CC" w:rsidRPr="00967AC5" w:rsidRDefault="00853F7B" w:rsidP="00A038CC">
      <w:pPr>
        <w:pStyle w:val="ECCParagraph"/>
        <w:rPr>
          <w:rFonts w:eastAsia="Calibri"/>
          <w:i/>
          <w:iCs/>
        </w:rPr>
      </w:pPr>
      <w:r w:rsidRPr="00967AC5">
        <w:rPr>
          <w:rFonts w:eastAsia="Calibri"/>
          <w:b/>
          <w:bCs/>
          <w:i/>
          <w:iCs/>
        </w:rPr>
        <w:t>S</w:t>
      </w:r>
      <w:r w:rsidR="00A038CC" w:rsidRPr="00967AC5">
        <w:rPr>
          <w:rFonts w:eastAsia="Calibri"/>
          <w:b/>
          <w:bCs/>
          <w:i/>
          <w:iCs/>
        </w:rPr>
        <w:t>ub-block:</w:t>
      </w:r>
      <w:r w:rsidR="00A038CC" w:rsidRPr="00967AC5">
        <w:rPr>
          <w:rFonts w:eastAsia="Calibri"/>
          <w:i/>
          <w:iCs/>
        </w:rPr>
        <w:t xml:space="preserve"> one contiguous allocated block of spectrum for use by the same Base Station</w:t>
      </w:r>
    </w:p>
    <w:p w14:paraId="330C0002" w14:textId="77777777" w:rsidR="00A038CC" w:rsidRPr="00967AC5" w:rsidRDefault="00A038CC" w:rsidP="00A038CC">
      <w:pPr>
        <w:pStyle w:val="ECCParagraph"/>
        <w:rPr>
          <w:rFonts w:eastAsia="Calibri"/>
          <w:i/>
          <w:iCs/>
        </w:rPr>
      </w:pPr>
      <w:r w:rsidRPr="00967AC5">
        <w:rPr>
          <w:rFonts w:eastAsia="Calibri"/>
          <w:i/>
          <w:iCs/>
        </w:rPr>
        <w:t>NOTE: There may be multiple instances of sub-blocks within a Base Station RF Bandwidth.</w:t>
      </w:r>
    </w:p>
    <w:p w14:paraId="6E69187A" w14:textId="474E21B1" w:rsidR="00A038CC" w:rsidRPr="00967AC5" w:rsidRDefault="00853F7B" w:rsidP="00A038CC">
      <w:pPr>
        <w:pStyle w:val="ECCParagraph"/>
        <w:rPr>
          <w:rFonts w:eastAsia="Calibri"/>
          <w:i/>
          <w:iCs/>
        </w:rPr>
      </w:pPr>
      <w:r w:rsidRPr="00967AC5">
        <w:rPr>
          <w:rFonts w:eastAsia="Calibri"/>
          <w:b/>
          <w:bCs/>
          <w:i/>
          <w:iCs/>
        </w:rPr>
        <w:t>S</w:t>
      </w:r>
      <w:r w:rsidR="00A038CC" w:rsidRPr="00967AC5">
        <w:rPr>
          <w:rFonts w:eastAsia="Calibri"/>
          <w:b/>
          <w:bCs/>
          <w:i/>
          <w:iCs/>
        </w:rPr>
        <w:t>ub-block gap:</w:t>
      </w:r>
      <w:r w:rsidR="00A038CC" w:rsidRPr="00967AC5">
        <w:rPr>
          <w:rFonts w:eastAsia="Calibri"/>
          <w:i/>
          <w:iCs/>
        </w:rPr>
        <w:t xml:space="preserve"> frequency gap between two consecutive sub-blocks within a Base Station RF Bandwidth, where the RF requirements in the gap are based on co-existence for un-coordinated operation</w:t>
      </w:r>
      <w:r w:rsidR="003C4976" w:rsidRPr="00967AC5">
        <w:rPr>
          <w:rFonts w:eastAsia="Calibri"/>
          <w:i/>
          <w:iCs/>
        </w:rPr>
        <w:t>”</w:t>
      </w:r>
    </w:p>
    <w:p w14:paraId="017D22CF" w14:textId="7CFB480B" w:rsidR="00C427E8" w:rsidRPr="00967AC5" w:rsidRDefault="003C4976" w:rsidP="00387A3D">
      <w:pPr>
        <w:pStyle w:val="ECCAnnexheading3"/>
        <w:numPr>
          <w:ilvl w:val="0"/>
          <w:numId w:val="0"/>
        </w:numPr>
        <w:ind w:left="720" w:hanging="720"/>
        <w:rPr>
          <w:rFonts w:eastAsia="Calibri"/>
          <w:i/>
          <w:iCs/>
          <w:lang w:val="en-GB"/>
        </w:rPr>
      </w:pPr>
      <w:r w:rsidRPr="00967AC5">
        <w:rPr>
          <w:rFonts w:eastAsia="Calibri"/>
          <w:i/>
          <w:iCs/>
          <w:lang w:val="en-GB"/>
        </w:rPr>
        <w:t xml:space="preserve">“3.2 </w:t>
      </w:r>
      <w:r w:rsidR="00C427E8" w:rsidRPr="00967AC5">
        <w:rPr>
          <w:rFonts w:eastAsia="Calibri"/>
          <w:i/>
          <w:iCs/>
          <w:lang w:val="en-GB"/>
        </w:rPr>
        <w:t>symbols</w:t>
      </w:r>
    </w:p>
    <w:p w14:paraId="116ACD7A" w14:textId="77777777" w:rsidR="00A10D38" w:rsidRPr="00967AC5" w:rsidRDefault="00A10D38" w:rsidP="00A10D38">
      <w:pPr>
        <w:rPr>
          <w:rFonts w:eastAsia="Calibri"/>
          <w:i/>
          <w:iCs/>
          <w:lang w:val="en-GB"/>
        </w:rPr>
      </w:pPr>
      <w:r w:rsidRPr="00967AC5">
        <w:rPr>
          <w:rFonts w:ascii="Symbol" w:eastAsia="Symbol" w:hAnsi="Symbol" w:cs="Symbol"/>
          <w:i/>
          <w:iCs/>
          <w:lang w:val="en-GB"/>
        </w:rPr>
        <w:sym w:font="Symbol" w:char="F044"/>
      </w:r>
      <w:proofErr w:type="spellStart"/>
      <w:r w:rsidRPr="00967AC5">
        <w:rPr>
          <w:rFonts w:eastAsia="Calibri"/>
          <w:i/>
          <w:iCs/>
          <w:lang w:val="en-GB"/>
        </w:rPr>
        <w:t>f</w:t>
      </w:r>
      <w:r w:rsidRPr="00967AC5">
        <w:rPr>
          <w:rStyle w:val="ECCHLsubscript"/>
          <w:rFonts w:eastAsia="Calibri"/>
          <w:lang w:val="en-GB"/>
        </w:rPr>
        <w:t>OBUE</w:t>
      </w:r>
      <w:proofErr w:type="spellEnd"/>
      <w:r w:rsidRPr="00967AC5">
        <w:rPr>
          <w:rFonts w:eastAsia="Calibri"/>
          <w:i/>
          <w:iCs/>
          <w:lang w:val="en-GB"/>
        </w:rPr>
        <w:t xml:space="preserve"> Maximum offset of the operating band unwanted emissions mask from the downlink operating band edge</w:t>
      </w:r>
    </w:p>
    <w:p w14:paraId="49597492" w14:textId="77777777" w:rsidR="00A10D38" w:rsidRPr="00967AC5" w:rsidRDefault="00A10D38" w:rsidP="00A10D38">
      <w:pPr>
        <w:rPr>
          <w:rFonts w:eastAsia="Calibri"/>
          <w:i/>
          <w:iCs/>
          <w:lang w:val="en-GB"/>
        </w:rPr>
      </w:pPr>
      <w:proofErr w:type="spellStart"/>
      <w:r w:rsidRPr="00967AC5">
        <w:rPr>
          <w:rFonts w:eastAsia="Calibri"/>
          <w:i/>
          <w:iCs/>
          <w:lang w:val="en-GB"/>
        </w:rPr>
        <w:t>F</w:t>
      </w:r>
      <w:r w:rsidRPr="00967AC5">
        <w:rPr>
          <w:rFonts w:eastAsia="Calibri"/>
          <w:i/>
          <w:iCs/>
          <w:vertAlign w:val="subscript"/>
          <w:lang w:val="en-GB"/>
        </w:rPr>
        <w:t>DL_low</w:t>
      </w:r>
      <w:proofErr w:type="spellEnd"/>
      <w:r w:rsidRPr="00967AC5">
        <w:rPr>
          <w:rFonts w:eastAsia="Calibri"/>
          <w:i/>
          <w:iCs/>
          <w:lang w:val="en-GB"/>
        </w:rPr>
        <w:t xml:space="preserve"> The lowest frequency of the downlink operating band</w:t>
      </w:r>
    </w:p>
    <w:p w14:paraId="07D9E82C" w14:textId="2A34C35F" w:rsidR="00A10D38" w:rsidRPr="00967AC5" w:rsidRDefault="00A10D38" w:rsidP="00A10D38">
      <w:pPr>
        <w:rPr>
          <w:rFonts w:eastAsia="Calibri"/>
          <w:i/>
          <w:iCs/>
          <w:lang w:val="en-GB"/>
        </w:rPr>
      </w:pPr>
      <w:proofErr w:type="spellStart"/>
      <w:r w:rsidRPr="00967AC5">
        <w:rPr>
          <w:rFonts w:eastAsia="Calibri"/>
          <w:i/>
          <w:iCs/>
          <w:lang w:val="en-GB"/>
        </w:rPr>
        <w:t>F</w:t>
      </w:r>
      <w:r w:rsidRPr="00967AC5">
        <w:rPr>
          <w:rFonts w:eastAsia="Calibri"/>
          <w:i/>
          <w:iCs/>
          <w:vertAlign w:val="subscript"/>
          <w:lang w:val="en-GB"/>
        </w:rPr>
        <w:t>DL_high</w:t>
      </w:r>
      <w:proofErr w:type="spellEnd"/>
      <w:r w:rsidRPr="00967AC5">
        <w:rPr>
          <w:rFonts w:eastAsia="Calibri"/>
          <w:i/>
          <w:iCs/>
          <w:lang w:val="en-GB"/>
        </w:rPr>
        <w:t xml:space="preserve"> The highest frequency of the downlink operating band"</w:t>
      </w:r>
    </w:p>
    <w:p w14:paraId="7EDAA894" w14:textId="6FFEE26E" w:rsidR="00901B4C" w:rsidRPr="00967AC5" w:rsidRDefault="00901B4C" w:rsidP="001A686D">
      <w:pPr>
        <w:pStyle w:val="ECCAnnexheading2"/>
        <w:rPr>
          <w:lang w:val="en-GB"/>
        </w:rPr>
      </w:pPr>
      <w:bookmarkStart w:id="187" w:name="_Ref60763647"/>
      <w:r w:rsidRPr="00967AC5">
        <w:rPr>
          <w:lang w:val="en-GB"/>
        </w:rPr>
        <w:t>Assumptions for deriving LRTCs for non-AAS BS from ETSI TS Core specifications</w:t>
      </w:r>
      <w:bookmarkStart w:id="188" w:name="_Toc18338441"/>
      <w:bookmarkEnd w:id="186"/>
      <w:bookmarkEnd w:id="187"/>
    </w:p>
    <w:p w14:paraId="636ACAB9" w14:textId="50961B17" w:rsidR="00901B4C" w:rsidRPr="00967AC5" w:rsidRDefault="00901B4C" w:rsidP="0020406F">
      <w:pPr>
        <w:pStyle w:val="ECCParagraph"/>
      </w:pPr>
      <w:r w:rsidRPr="00967AC5">
        <w:t>CEPT agreed on the following assumptions in order to derive the LRTC</w:t>
      </w:r>
      <w:r w:rsidR="007352D7" w:rsidRPr="00967AC5">
        <w:t>s</w:t>
      </w:r>
      <w:r w:rsidRPr="00967AC5">
        <w:t xml:space="preserve"> for non-AAS MFCN BS in the 900/1800 MHz band:</w:t>
      </w:r>
    </w:p>
    <w:p w14:paraId="12F013C5" w14:textId="5CADE413" w:rsidR="00901B4C" w:rsidRPr="00967AC5" w:rsidRDefault="00901B4C" w:rsidP="006B7B0F">
      <w:pPr>
        <w:pStyle w:val="ECCBulletsLv1"/>
      </w:pPr>
      <w:r w:rsidRPr="00967AC5">
        <w:t xml:space="preserve">Derive </w:t>
      </w:r>
      <w:r w:rsidR="00BF6D4F" w:rsidRPr="00967AC5">
        <w:rPr>
          <w:rFonts w:eastAsia="Times New Roman" w:cs="Arial"/>
          <w:color w:val="000000"/>
          <w:lang w:eastAsia="fr-FR"/>
        </w:rPr>
        <w:t>e.i.r.p.</w:t>
      </w:r>
      <w:r w:rsidRPr="00967AC5">
        <w:t xml:space="preserve"> limits under the basis of 18 dBi antenna gain</w:t>
      </w:r>
      <w:r w:rsidR="008935B0" w:rsidRPr="00967AC5">
        <w:t>;</w:t>
      </w:r>
    </w:p>
    <w:p w14:paraId="1F332A03" w14:textId="5264100F" w:rsidR="00901B4C" w:rsidRPr="00967AC5" w:rsidRDefault="00901B4C" w:rsidP="00D034DC">
      <w:pPr>
        <w:pStyle w:val="ECCBulletsLv1"/>
      </w:pPr>
      <w:r w:rsidRPr="00967AC5">
        <w:t>Derive a single BEM for NB and WB non-AAS systems, based on the ETSI TS core requirements for MSR non-AAS BS (ETSI TS 137</w:t>
      </w:r>
      <w:r w:rsidR="002F1D55" w:rsidRPr="00967AC5">
        <w:t xml:space="preserve"> </w:t>
      </w:r>
      <w:r w:rsidRPr="00967AC5">
        <w:t>104 version 15.10.0</w:t>
      </w:r>
      <w:r w:rsidR="002F1D55" w:rsidRPr="00967AC5">
        <w:t xml:space="preserve"> </w:t>
      </w:r>
      <w:r w:rsidR="002F1D55" w:rsidRPr="00967AC5">
        <w:fldChar w:fldCharType="begin"/>
      </w:r>
      <w:r w:rsidR="002F1D55" w:rsidRPr="00967AC5">
        <w:instrText xml:space="preserve"> REF _Ref63427540 \r \h </w:instrText>
      </w:r>
      <w:r w:rsidR="002505BC" w:rsidRPr="00967AC5">
        <w:instrText xml:space="preserve"> \* MERGEFORMAT </w:instrText>
      </w:r>
      <w:r w:rsidR="002F1D55" w:rsidRPr="00967AC5">
        <w:fldChar w:fldCharType="separate"/>
      </w:r>
      <w:r w:rsidR="00680BB5" w:rsidRPr="00967AC5">
        <w:t>[22]</w:t>
      </w:r>
      <w:r w:rsidR="002F1D55" w:rsidRPr="00967AC5">
        <w:fldChar w:fldCharType="end"/>
      </w:r>
      <w:r w:rsidRPr="00967AC5">
        <w:t xml:space="preserve">). Unwanted emissions supporting UMTS, LTE (1.4 MHz, 3 MHz, 5 MHz and wider), NR and </w:t>
      </w:r>
      <w:r w:rsidR="00680BB5" w:rsidRPr="00967AC5">
        <w:t>standalone</w:t>
      </w:r>
      <w:r w:rsidR="00D034DC" w:rsidRPr="00967AC5">
        <w:t xml:space="preserve"> </w:t>
      </w:r>
      <w:r w:rsidRPr="00967AC5">
        <w:t xml:space="preserve">NB-IoT, are defined in </w:t>
      </w:r>
      <w:r w:rsidR="00755369" w:rsidRPr="00967AC5">
        <w:fldChar w:fldCharType="begin"/>
      </w:r>
      <w:r w:rsidR="00755369" w:rsidRPr="00967AC5">
        <w:instrText xml:space="preserve"> REF _Ref63673181 \h </w:instrText>
      </w:r>
      <w:r w:rsidR="002505BC" w:rsidRPr="00967AC5">
        <w:instrText xml:space="preserve"> \* MERGEFORMAT </w:instrText>
      </w:r>
      <w:r w:rsidR="00755369" w:rsidRPr="00967AC5">
        <w:fldChar w:fldCharType="separate"/>
      </w:r>
      <w:r w:rsidR="00680BB5" w:rsidRPr="00967AC5">
        <w:t xml:space="preserve">Table </w:t>
      </w:r>
      <w:r w:rsidR="00680BB5" w:rsidRPr="00967AC5">
        <w:rPr>
          <w:noProof/>
        </w:rPr>
        <w:t>17</w:t>
      </w:r>
      <w:r w:rsidR="00755369" w:rsidRPr="00967AC5">
        <w:fldChar w:fldCharType="end"/>
      </w:r>
      <w:r w:rsidR="00A05B5C" w:rsidRPr="00967AC5">
        <w:t xml:space="preserve"> (ETSI TS 137 </w:t>
      </w:r>
      <w:r w:rsidR="00C51AB4" w:rsidRPr="00967AC5">
        <w:t>10</w:t>
      </w:r>
      <w:r w:rsidR="00C51AB4">
        <w:t xml:space="preserve">4 </w:t>
      </w:r>
      <w:r w:rsidR="00C51AB4" w:rsidRPr="00967AC5">
        <w:t xml:space="preserve">Table </w:t>
      </w:r>
      <w:r w:rsidR="00732CC7" w:rsidRPr="00967AC5">
        <w:t xml:space="preserve">6.6.2.2-1) </w:t>
      </w:r>
      <w:r w:rsidRPr="00967AC5">
        <w:t xml:space="preserve">and </w:t>
      </w:r>
      <w:r w:rsidR="00755369" w:rsidRPr="00967AC5">
        <w:rPr>
          <w:bCs/>
        </w:rPr>
        <w:fldChar w:fldCharType="begin"/>
      </w:r>
      <w:r w:rsidR="00755369" w:rsidRPr="00967AC5">
        <w:rPr>
          <w:bCs/>
        </w:rPr>
        <w:instrText xml:space="preserve"> REF _Ref63674306 \h </w:instrText>
      </w:r>
      <w:r w:rsidR="00B123BC" w:rsidRPr="00967AC5">
        <w:rPr>
          <w:bCs/>
        </w:rPr>
        <w:instrText xml:space="preserve"> \* MERGEFORMAT </w:instrText>
      </w:r>
      <w:r w:rsidR="00755369" w:rsidRPr="00967AC5">
        <w:rPr>
          <w:bCs/>
        </w:rPr>
      </w:r>
      <w:r w:rsidR="00755369" w:rsidRPr="00967AC5">
        <w:rPr>
          <w:bCs/>
        </w:rPr>
        <w:fldChar w:fldCharType="separate"/>
      </w:r>
      <w:r w:rsidR="00680BB5" w:rsidRPr="00967AC5">
        <w:t xml:space="preserve">Table </w:t>
      </w:r>
      <w:r w:rsidR="00680BB5" w:rsidRPr="00967AC5">
        <w:rPr>
          <w:noProof/>
        </w:rPr>
        <w:t>18</w:t>
      </w:r>
      <w:r w:rsidR="00755369" w:rsidRPr="00967AC5">
        <w:rPr>
          <w:bCs/>
        </w:rPr>
        <w:fldChar w:fldCharType="end"/>
      </w:r>
      <w:r w:rsidRPr="00967AC5">
        <w:t xml:space="preserve"> </w:t>
      </w:r>
      <w:r w:rsidR="00732CC7" w:rsidRPr="00967AC5">
        <w:t xml:space="preserve">(ETSI TS 137 </w:t>
      </w:r>
      <w:r w:rsidR="00C51AB4" w:rsidRPr="00967AC5">
        <w:t>10</w:t>
      </w:r>
      <w:r w:rsidR="00C51AB4">
        <w:t>4</w:t>
      </w:r>
      <w:r w:rsidR="00CD0301" w:rsidRPr="00967AC5">
        <w:t xml:space="preserve">, </w:t>
      </w:r>
      <w:r w:rsidR="00C51AB4">
        <w:t>T</w:t>
      </w:r>
      <w:r w:rsidR="00C51AB4" w:rsidRPr="00967AC5">
        <w:t xml:space="preserve">able </w:t>
      </w:r>
      <w:r w:rsidR="00732CC7" w:rsidRPr="00967AC5">
        <w:t xml:space="preserve">6.6.2.2-2) </w:t>
      </w:r>
      <w:r w:rsidRPr="00967AC5">
        <w:t>according to this ETSI technical specification</w:t>
      </w:r>
      <w:r w:rsidR="008935B0" w:rsidRPr="00967AC5">
        <w:t>;</w:t>
      </w:r>
    </w:p>
    <w:p w14:paraId="08DF6679" w14:textId="3F58DE78" w:rsidR="00901B4C" w:rsidRPr="00967AC5" w:rsidRDefault="00901B4C" w:rsidP="006B7B0F">
      <w:pPr>
        <w:pStyle w:val="ECCBulletsLv1"/>
        <w:numPr>
          <w:ilvl w:val="1"/>
          <w:numId w:val="15"/>
        </w:numPr>
        <w:ind w:left="709"/>
        <w:rPr>
          <w:rFonts w:eastAsia="Times New Roman"/>
          <w:szCs w:val="24"/>
        </w:rPr>
      </w:pPr>
      <w:r w:rsidRPr="00967AC5">
        <w:rPr>
          <w:rFonts w:eastAsia="Times New Roman"/>
          <w:szCs w:val="24"/>
        </w:rPr>
        <w:t xml:space="preserve">For UMTS, LTE and NR systems of 5 MHz and wider, the transitional out-of-block limits defined in </w:t>
      </w:r>
      <w:r w:rsidR="000C29C0" w:rsidRPr="00967AC5">
        <w:rPr>
          <w:rFonts w:eastAsia="Times New Roman"/>
          <w:szCs w:val="24"/>
        </w:rPr>
        <w:fldChar w:fldCharType="begin"/>
      </w:r>
      <w:r w:rsidR="000C29C0" w:rsidRPr="00967AC5">
        <w:rPr>
          <w:rFonts w:eastAsia="Times New Roman"/>
          <w:szCs w:val="24"/>
        </w:rPr>
        <w:instrText xml:space="preserve"> REF _Ref63673181 \h </w:instrText>
      </w:r>
      <w:r w:rsidR="002505BC" w:rsidRPr="00967AC5">
        <w:rPr>
          <w:rFonts w:eastAsia="Times New Roman"/>
          <w:szCs w:val="24"/>
        </w:rPr>
        <w:instrText xml:space="preserve"> \* MERGEFORMAT </w:instrText>
      </w:r>
      <w:r w:rsidR="000C29C0" w:rsidRPr="00967AC5">
        <w:rPr>
          <w:rFonts w:eastAsia="Times New Roman"/>
          <w:szCs w:val="24"/>
        </w:rPr>
      </w:r>
      <w:r w:rsidR="000C29C0" w:rsidRPr="00967AC5">
        <w:rPr>
          <w:rFonts w:eastAsia="Times New Roman"/>
          <w:szCs w:val="24"/>
        </w:rPr>
        <w:fldChar w:fldCharType="separate"/>
      </w:r>
      <w:r w:rsidR="00680BB5" w:rsidRPr="00967AC5">
        <w:t xml:space="preserve">Table </w:t>
      </w:r>
      <w:r w:rsidR="00680BB5" w:rsidRPr="00967AC5">
        <w:rPr>
          <w:noProof/>
        </w:rPr>
        <w:t>17</w:t>
      </w:r>
      <w:r w:rsidR="000C29C0" w:rsidRPr="00967AC5">
        <w:rPr>
          <w:rFonts w:eastAsia="Times New Roman"/>
          <w:szCs w:val="24"/>
        </w:rPr>
        <w:fldChar w:fldCharType="end"/>
      </w:r>
      <w:r w:rsidRPr="00967AC5">
        <w:rPr>
          <w:rFonts w:eastAsia="Times New Roman"/>
          <w:szCs w:val="24"/>
        </w:rPr>
        <w:t xml:space="preserve"> are applied for </w:t>
      </w:r>
      <w:r w:rsidRPr="00967AC5">
        <w:rPr>
          <w:rFonts w:ascii="Symbol" w:eastAsia="Times New Roman" w:hAnsi="Symbol" w:cs="Arial"/>
          <w:color w:val="000000"/>
          <w:szCs w:val="20"/>
          <w:lang w:eastAsia="fr-FR"/>
        </w:rPr>
        <w:t></w:t>
      </w:r>
      <w:r w:rsidRPr="00967AC5">
        <w:rPr>
          <w:rFonts w:eastAsia="Times New Roman" w:cs="Arial"/>
          <w:color w:val="000000"/>
          <w:szCs w:val="20"/>
          <w:lang w:eastAsia="fr-FR"/>
        </w:rPr>
        <w:t xml:space="preserve">f </w:t>
      </w:r>
      <w:r w:rsidRPr="00967AC5">
        <w:rPr>
          <w:rFonts w:eastAsia="Times New Roman"/>
          <w:szCs w:val="24"/>
        </w:rPr>
        <w:t>from 0 MHz to 10 MHz from the block edge</w:t>
      </w:r>
      <w:r w:rsidR="008935B0" w:rsidRPr="00967AC5">
        <w:rPr>
          <w:rFonts w:eastAsia="Times New Roman"/>
          <w:szCs w:val="24"/>
        </w:rPr>
        <w:t>;</w:t>
      </w:r>
    </w:p>
    <w:p w14:paraId="7D6AD7F7" w14:textId="359C1157" w:rsidR="00901B4C" w:rsidRPr="00967AC5" w:rsidRDefault="00901B4C" w:rsidP="00D034DC">
      <w:pPr>
        <w:pStyle w:val="ECCBulletsLv1"/>
        <w:numPr>
          <w:ilvl w:val="1"/>
          <w:numId w:val="15"/>
        </w:numPr>
        <w:ind w:left="709"/>
        <w:rPr>
          <w:rFonts w:eastAsia="Times New Roman"/>
          <w:szCs w:val="24"/>
        </w:rPr>
      </w:pPr>
      <w:r w:rsidRPr="00967AC5">
        <w:rPr>
          <w:rFonts w:eastAsia="Times New Roman"/>
          <w:szCs w:val="24"/>
        </w:rPr>
        <w:lastRenderedPageBreak/>
        <w:t xml:space="preserve">For NB systems (including </w:t>
      </w:r>
      <w:r w:rsidR="00680BB5" w:rsidRPr="00967AC5">
        <w:t>standalone</w:t>
      </w:r>
      <w:r w:rsidR="00D034DC" w:rsidRPr="00967AC5">
        <w:t xml:space="preserve"> </w:t>
      </w:r>
      <w:r w:rsidRPr="00967AC5">
        <w:t>NB-IoT</w:t>
      </w:r>
      <w:r w:rsidRPr="00967AC5">
        <w:rPr>
          <w:rFonts w:eastAsia="Times New Roman"/>
          <w:szCs w:val="24"/>
        </w:rPr>
        <w:t xml:space="preserve">) and LTE systems of 1.4 and 3 MHz </w:t>
      </w:r>
      <w:r w:rsidRPr="00967AC5">
        <w:t>adjacent to the Base Station RF Bandwidth edge</w:t>
      </w:r>
      <w:r w:rsidRPr="00967AC5">
        <w:rPr>
          <w:rFonts w:eastAsia="Times New Roman"/>
          <w:szCs w:val="24"/>
        </w:rPr>
        <w:t xml:space="preserve">, the transitional out-of-block limits defined in </w:t>
      </w:r>
      <w:r w:rsidR="00F13B75" w:rsidRPr="00967AC5">
        <w:rPr>
          <w:bCs/>
        </w:rPr>
        <w:fldChar w:fldCharType="begin"/>
      </w:r>
      <w:r w:rsidR="00F13B75" w:rsidRPr="00967AC5">
        <w:rPr>
          <w:bCs/>
        </w:rPr>
        <w:instrText xml:space="preserve"> REF _Ref63674306 \h </w:instrText>
      </w:r>
      <w:r w:rsidR="002505BC" w:rsidRPr="00967AC5">
        <w:rPr>
          <w:bCs/>
        </w:rPr>
        <w:instrText xml:space="preserve"> \* MERGEFORMAT </w:instrText>
      </w:r>
      <w:r w:rsidR="00F13B75" w:rsidRPr="00967AC5">
        <w:rPr>
          <w:bCs/>
        </w:rPr>
      </w:r>
      <w:r w:rsidR="00F13B75" w:rsidRPr="00967AC5">
        <w:rPr>
          <w:bCs/>
        </w:rPr>
        <w:fldChar w:fldCharType="separate"/>
      </w:r>
      <w:r w:rsidR="00680BB5" w:rsidRPr="00967AC5">
        <w:t xml:space="preserve">Table </w:t>
      </w:r>
      <w:r w:rsidR="00680BB5" w:rsidRPr="00967AC5">
        <w:rPr>
          <w:noProof/>
        </w:rPr>
        <w:t>18</w:t>
      </w:r>
      <w:r w:rsidR="00F13B75" w:rsidRPr="00967AC5">
        <w:rPr>
          <w:bCs/>
        </w:rPr>
        <w:fldChar w:fldCharType="end"/>
      </w:r>
      <w:r w:rsidRPr="00967AC5">
        <w:rPr>
          <w:rFonts w:eastAsia="Times New Roman"/>
          <w:szCs w:val="24"/>
        </w:rPr>
        <w:t xml:space="preserve"> are applied for </w:t>
      </w:r>
      <w:r w:rsidRPr="00967AC5">
        <w:rPr>
          <w:rFonts w:ascii="Symbol" w:eastAsia="Times New Roman" w:hAnsi="Symbol" w:cs="Arial"/>
          <w:color w:val="000000"/>
          <w:szCs w:val="20"/>
          <w:lang w:eastAsia="fr-FR"/>
        </w:rPr>
        <w:t></w:t>
      </w:r>
      <w:r w:rsidRPr="00967AC5">
        <w:rPr>
          <w:rFonts w:eastAsia="Times New Roman" w:cs="Arial"/>
          <w:color w:val="000000"/>
          <w:szCs w:val="20"/>
          <w:lang w:eastAsia="fr-FR"/>
        </w:rPr>
        <w:t>f f</w:t>
      </w:r>
      <w:r w:rsidRPr="00967AC5">
        <w:rPr>
          <w:rFonts w:eastAsia="Times New Roman"/>
          <w:szCs w:val="24"/>
        </w:rPr>
        <w:t xml:space="preserve">rom 0 kHz to 150 kHz from the block edge, and the transitional out-of-block limits defined </w:t>
      </w:r>
      <w:r w:rsidRPr="00967AC5">
        <w:t xml:space="preserve">in </w:t>
      </w:r>
      <w:r w:rsidR="000C29C0" w:rsidRPr="00967AC5">
        <w:fldChar w:fldCharType="begin"/>
      </w:r>
      <w:r w:rsidR="000C29C0" w:rsidRPr="00967AC5">
        <w:instrText xml:space="preserve"> REF _Ref63673181 \h </w:instrText>
      </w:r>
      <w:r w:rsidR="00B123BC" w:rsidRPr="00967AC5">
        <w:rPr>
          <w:rFonts w:eastAsia="Times New Roman"/>
          <w:szCs w:val="24"/>
        </w:rPr>
        <w:instrText xml:space="preserve"> \* MERGEFORMAT </w:instrText>
      </w:r>
      <w:r w:rsidR="000C29C0" w:rsidRPr="00967AC5">
        <w:fldChar w:fldCharType="separate"/>
      </w:r>
      <w:r w:rsidR="00680BB5" w:rsidRPr="00967AC5">
        <w:t xml:space="preserve">Table </w:t>
      </w:r>
      <w:r w:rsidR="00680BB5" w:rsidRPr="00967AC5">
        <w:rPr>
          <w:noProof/>
        </w:rPr>
        <w:t>17</w:t>
      </w:r>
      <w:r w:rsidR="000C29C0" w:rsidRPr="00967AC5">
        <w:fldChar w:fldCharType="end"/>
      </w:r>
      <w:r w:rsidRPr="00967AC5">
        <w:rPr>
          <w:rFonts w:eastAsia="Times New Roman"/>
          <w:szCs w:val="24"/>
        </w:rPr>
        <w:t xml:space="preserve"> are applied for </w:t>
      </w:r>
      <w:r w:rsidRPr="00967AC5">
        <w:rPr>
          <w:rFonts w:ascii="Symbol" w:eastAsia="Times New Roman" w:hAnsi="Symbol" w:cs="Arial"/>
          <w:color w:val="000000"/>
          <w:szCs w:val="20"/>
          <w:lang w:eastAsia="fr-FR"/>
        </w:rPr>
        <w:t></w:t>
      </w:r>
      <w:r w:rsidRPr="00967AC5">
        <w:rPr>
          <w:rFonts w:eastAsia="Times New Roman" w:cs="Arial"/>
          <w:color w:val="000000"/>
          <w:szCs w:val="20"/>
          <w:lang w:eastAsia="fr-FR"/>
        </w:rPr>
        <w:t>f</w:t>
      </w:r>
      <w:r w:rsidRPr="00967AC5">
        <w:rPr>
          <w:rFonts w:eastAsia="Times New Roman"/>
          <w:szCs w:val="24"/>
        </w:rPr>
        <w:t xml:space="preserve"> from 150 kHz to 10 MHz from the block edge</w:t>
      </w:r>
      <w:r w:rsidR="008935B0" w:rsidRPr="00967AC5">
        <w:rPr>
          <w:rFonts w:eastAsia="Times New Roman"/>
          <w:szCs w:val="24"/>
        </w:rPr>
        <w:t>;</w:t>
      </w:r>
    </w:p>
    <w:p w14:paraId="06EC1EC9" w14:textId="47681874" w:rsidR="00901B4C" w:rsidRPr="00967AC5" w:rsidRDefault="00F13B75" w:rsidP="006B7B0F">
      <w:pPr>
        <w:pStyle w:val="ECCBulletsLv1"/>
        <w:numPr>
          <w:ilvl w:val="1"/>
          <w:numId w:val="15"/>
        </w:numPr>
        <w:ind w:left="709"/>
        <w:rPr>
          <w:rFonts w:eastAsia="Times New Roman"/>
          <w:szCs w:val="24"/>
        </w:rPr>
      </w:pPr>
      <w:r w:rsidRPr="00967AC5">
        <w:rPr>
          <w:bCs/>
        </w:rPr>
        <w:fldChar w:fldCharType="begin"/>
      </w:r>
      <w:r w:rsidRPr="00967AC5">
        <w:rPr>
          <w:bCs/>
        </w:rPr>
        <w:instrText xml:space="preserve"> REF _Ref63674306 \h </w:instrText>
      </w:r>
      <w:r w:rsidR="002505BC" w:rsidRPr="00967AC5">
        <w:rPr>
          <w:bCs/>
        </w:rPr>
        <w:instrText xml:space="preserve"> \* MERGEFORMAT </w:instrText>
      </w:r>
      <w:r w:rsidRPr="00967AC5">
        <w:rPr>
          <w:bCs/>
        </w:rPr>
      </w:r>
      <w:r w:rsidRPr="00967AC5">
        <w:rPr>
          <w:bCs/>
        </w:rPr>
        <w:fldChar w:fldCharType="separate"/>
      </w:r>
      <w:r w:rsidR="00680BB5" w:rsidRPr="00967AC5">
        <w:t xml:space="preserve">Table </w:t>
      </w:r>
      <w:r w:rsidR="00680BB5" w:rsidRPr="00967AC5">
        <w:rPr>
          <w:noProof/>
        </w:rPr>
        <w:t>18</w:t>
      </w:r>
      <w:r w:rsidRPr="00967AC5">
        <w:rPr>
          <w:bCs/>
        </w:rPr>
        <w:fldChar w:fldCharType="end"/>
      </w:r>
      <w:r w:rsidR="00901B4C" w:rsidRPr="00967AC5">
        <w:rPr>
          <w:rFonts w:eastAsia="Times New Roman"/>
          <w:szCs w:val="24"/>
        </w:rPr>
        <w:t xml:space="preserve"> includes a parameter ‘X’, which is used in the definition of the transitional out-of-block emissions for </w:t>
      </w:r>
      <w:r w:rsidR="00901B4C" w:rsidRPr="00967AC5">
        <w:rPr>
          <w:rFonts w:ascii="Symbol" w:eastAsia="Times New Roman" w:hAnsi="Symbol" w:cs="Arial"/>
          <w:color w:val="000000"/>
          <w:szCs w:val="20"/>
          <w:lang w:eastAsia="fr-FR"/>
        </w:rPr>
        <w:t></w:t>
      </w:r>
      <w:r w:rsidR="00901B4C" w:rsidRPr="00967AC5">
        <w:rPr>
          <w:rFonts w:eastAsia="Times New Roman" w:cs="Arial"/>
          <w:color w:val="000000"/>
          <w:szCs w:val="20"/>
          <w:lang w:eastAsia="fr-FR"/>
        </w:rPr>
        <w:t>f</w:t>
      </w:r>
      <w:r w:rsidR="00901B4C" w:rsidRPr="00967AC5">
        <w:rPr>
          <w:rFonts w:eastAsia="Times New Roman"/>
          <w:szCs w:val="24"/>
        </w:rPr>
        <w:t xml:space="preserve"> from 0 kHz to 150 kHz from the block edge: </w:t>
      </w:r>
      <w:r w:rsidR="00901B4C" w:rsidRPr="00967AC5">
        <w:rPr>
          <w:rFonts w:cs="Arial"/>
        </w:rPr>
        <w:t>In case the carrier adjacent to the RF bandwidth edge is a NB carrier, the value of X = P</w:t>
      </w:r>
      <w:r w:rsidR="00901B4C" w:rsidRPr="00967AC5">
        <w:rPr>
          <w:rFonts w:cs="Arial"/>
          <w:vertAlign w:val="subscript"/>
        </w:rPr>
        <w:t>NB carrier</w:t>
      </w:r>
      <w:r w:rsidR="00901B4C" w:rsidRPr="00967AC5">
        <w:rPr>
          <w:rFonts w:cs="Arial"/>
        </w:rPr>
        <w:t xml:space="preserve"> – 43, where P</w:t>
      </w:r>
      <w:r w:rsidR="00901B4C" w:rsidRPr="00967AC5">
        <w:rPr>
          <w:rFonts w:cs="Arial"/>
          <w:vertAlign w:val="subscript"/>
        </w:rPr>
        <w:t>NB carrier</w:t>
      </w:r>
      <w:r w:rsidR="00901B4C" w:rsidRPr="00967AC5">
        <w:rPr>
          <w:rFonts w:cs="Arial"/>
        </w:rPr>
        <w:t xml:space="preserve"> is the power level of the NB carrier adjacent to the RF bandwidth edge. In other cases, X = 0.</w:t>
      </w:r>
    </w:p>
    <w:p w14:paraId="2B65C8D5" w14:textId="42ADC983" w:rsidR="00901B4C" w:rsidRPr="00967AC5" w:rsidRDefault="00901B4C" w:rsidP="006B7B0F">
      <w:pPr>
        <w:pStyle w:val="ECCBulletsLv1"/>
        <w:numPr>
          <w:ilvl w:val="1"/>
          <w:numId w:val="15"/>
        </w:numPr>
        <w:ind w:left="709"/>
        <w:rPr>
          <w:rFonts w:eastAsia="Times New Roman"/>
          <w:szCs w:val="24"/>
        </w:rPr>
      </w:pPr>
      <w:r w:rsidRPr="00967AC5">
        <w:rPr>
          <w:rFonts w:eastAsia="Times New Roman"/>
          <w:szCs w:val="24"/>
        </w:rPr>
        <w:t xml:space="preserve">The unwanted emission limits defined in </w:t>
      </w:r>
      <w:r w:rsidR="00C55D8F" w:rsidRPr="00967AC5">
        <w:rPr>
          <w:rFonts w:eastAsia="Times New Roman"/>
          <w:szCs w:val="24"/>
        </w:rPr>
        <w:fldChar w:fldCharType="begin"/>
      </w:r>
      <w:r w:rsidR="00C55D8F" w:rsidRPr="00967AC5">
        <w:rPr>
          <w:rFonts w:eastAsia="Times New Roman"/>
          <w:szCs w:val="24"/>
        </w:rPr>
        <w:instrText xml:space="preserve"> REF _Ref63673181 \h </w:instrText>
      </w:r>
      <w:r w:rsidR="002505BC" w:rsidRPr="00967AC5">
        <w:rPr>
          <w:rFonts w:eastAsia="Times New Roman"/>
          <w:szCs w:val="24"/>
        </w:rPr>
        <w:instrText xml:space="preserve"> \* MERGEFORMAT </w:instrText>
      </w:r>
      <w:r w:rsidR="00C55D8F" w:rsidRPr="00967AC5">
        <w:rPr>
          <w:rFonts w:eastAsia="Times New Roman"/>
          <w:szCs w:val="24"/>
        </w:rPr>
      </w:r>
      <w:r w:rsidR="00C55D8F" w:rsidRPr="00967AC5">
        <w:rPr>
          <w:rFonts w:eastAsia="Times New Roman"/>
          <w:szCs w:val="24"/>
        </w:rPr>
        <w:fldChar w:fldCharType="separate"/>
      </w:r>
      <w:r w:rsidR="00680BB5" w:rsidRPr="00967AC5">
        <w:t xml:space="preserve">Table </w:t>
      </w:r>
      <w:r w:rsidR="00680BB5" w:rsidRPr="00967AC5">
        <w:rPr>
          <w:noProof/>
        </w:rPr>
        <w:t>17</w:t>
      </w:r>
      <w:r w:rsidR="00C55D8F" w:rsidRPr="00967AC5">
        <w:rPr>
          <w:rFonts w:eastAsia="Times New Roman"/>
          <w:szCs w:val="24"/>
        </w:rPr>
        <w:fldChar w:fldCharType="end"/>
      </w:r>
      <w:r w:rsidRPr="00967AC5">
        <w:rPr>
          <w:rFonts w:eastAsia="Times New Roman"/>
          <w:szCs w:val="24"/>
        </w:rPr>
        <w:t xml:space="preserve"> for </w:t>
      </w:r>
      <w:r w:rsidRPr="00967AC5">
        <w:rPr>
          <w:rFonts w:ascii="Symbol" w:eastAsia="Times New Roman" w:hAnsi="Symbol" w:cs="Arial"/>
          <w:color w:val="000000"/>
          <w:szCs w:val="20"/>
          <w:lang w:eastAsia="fr-FR"/>
        </w:rPr>
        <w:t></w:t>
      </w:r>
      <w:r w:rsidRPr="00967AC5">
        <w:rPr>
          <w:rFonts w:eastAsia="Times New Roman" w:cs="Arial"/>
          <w:color w:val="000000"/>
          <w:szCs w:val="20"/>
          <w:lang w:eastAsia="fr-FR"/>
        </w:rPr>
        <w:t>f</w:t>
      </w:r>
      <w:r w:rsidRPr="00967AC5">
        <w:rPr>
          <w:rFonts w:eastAsia="Times New Roman"/>
          <w:szCs w:val="24"/>
        </w:rPr>
        <w:t xml:space="preserve"> of 10 MHz and more (beyond the transitional region) apply within the band as baseline out-of-block limit.</w:t>
      </w:r>
    </w:p>
    <w:p w14:paraId="683DB5E8" w14:textId="77777777" w:rsidR="00746780" w:rsidRPr="00967AC5" w:rsidRDefault="00746780" w:rsidP="00746780">
      <w:pPr>
        <w:pStyle w:val="ECCParagraph"/>
        <w:rPr>
          <w:rFonts w:eastAsia="Calibri"/>
          <w:lang w:eastAsia="de-DE"/>
        </w:rPr>
      </w:pPr>
    </w:p>
    <w:p w14:paraId="4ECA2D83" w14:textId="302B90B7" w:rsidR="000D608D" w:rsidRPr="00967AC5" w:rsidRDefault="00212BA7" w:rsidP="00715E77">
      <w:pPr>
        <w:pStyle w:val="Caption"/>
        <w:keepNext/>
        <w:rPr>
          <w:lang w:val="en-GB"/>
        </w:rPr>
      </w:pPr>
      <w:bookmarkStart w:id="189" w:name="_Ref63673181"/>
      <w:r w:rsidRPr="00967AC5">
        <w:rPr>
          <w:lang w:val="en-GB"/>
        </w:rPr>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17</w:t>
      </w:r>
      <w:r w:rsidRPr="00967AC5">
        <w:rPr>
          <w:lang w:val="en-GB"/>
        </w:rPr>
        <w:fldChar w:fldCharType="end"/>
      </w:r>
      <w:bookmarkEnd w:id="189"/>
      <w:r w:rsidRPr="00967AC5">
        <w:rPr>
          <w:lang w:val="en-GB"/>
        </w:rPr>
        <w:t>:</w:t>
      </w:r>
      <w:r w:rsidR="000D608D" w:rsidRPr="00967AC5">
        <w:rPr>
          <w:lang w:val="en-GB"/>
        </w:rPr>
        <w:t xml:space="preserve"> Wide Area operating band unwanted emission mask (UEM) for BC2 for BS not supporting NR (except for BS operating in Band 3 or 8 in Europe) or (irrespective of NR support) BS with standalone NB-IoT at the BS RF bandwidth edge</w:t>
      </w:r>
      <w:r w:rsidR="00B55C54" w:rsidRPr="00967AC5">
        <w:rPr>
          <w:lang w:val="en-GB"/>
        </w:rPr>
        <w:t xml:space="preserve"> (</w:t>
      </w:r>
      <w:r w:rsidR="00B55C54" w:rsidRPr="00967AC5">
        <w:rPr>
          <w:rFonts w:eastAsia="Calibri"/>
          <w:lang w:val="en-GB"/>
        </w:rPr>
        <w:t xml:space="preserve">ETSI TS 137 </w:t>
      </w:r>
      <w:r w:rsidR="00ED2009" w:rsidRPr="00967AC5">
        <w:rPr>
          <w:rFonts w:eastAsia="Calibri"/>
          <w:lang w:val="en-GB"/>
        </w:rPr>
        <w:t>10</w:t>
      </w:r>
      <w:r w:rsidR="00ED2009">
        <w:rPr>
          <w:rFonts w:eastAsia="Calibri"/>
          <w:lang w:val="en-GB"/>
        </w:rPr>
        <w:t>4</w:t>
      </w:r>
      <w:r w:rsidR="00ED2009" w:rsidRPr="00967AC5">
        <w:rPr>
          <w:rFonts w:eastAsia="Calibri"/>
          <w:lang w:val="en-GB"/>
        </w:rPr>
        <w:t xml:space="preserve"> </w:t>
      </w:r>
      <w:r w:rsidR="00B55C54" w:rsidRPr="00967AC5">
        <w:rPr>
          <w:rFonts w:eastAsia="Calibri"/>
          <w:lang w:val="en-GB"/>
        </w:rPr>
        <w:t>Table</w:t>
      </w:r>
      <w:r w:rsidR="00B55C54" w:rsidRPr="00967AC5">
        <w:rPr>
          <w:lang w:val="en-GB"/>
        </w:rPr>
        <w:t xml:space="preserve"> 6.6.2.2-1</w:t>
      </w:r>
      <w:r w:rsidR="00A112FC" w:rsidRPr="00967AC5">
        <w:rPr>
          <w:lang w:val="en-GB"/>
        </w:rPr>
        <w:t xml:space="preserve"> </w:t>
      </w:r>
      <w:r w:rsidR="00ED2009">
        <w:rPr>
          <w:rFonts w:eastAsia="Calibri"/>
          <w:lang w:val="en-GB"/>
        </w:rPr>
        <w:fldChar w:fldCharType="begin"/>
      </w:r>
      <w:r w:rsidR="00ED2009">
        <w:rPr>
          <w:lang w:val="en-GB"/>
        </w:rPr>
        <w:instrText xml:space="preserve"> REF _Ref75957808 \r \h </w:instrText>
      </w:r>
      <w:r w:rsidR="00ED2009">
        <w:rPr>
          <w:rFonts w:eastAsia="Calibri"/>
          <w:lang w:val="en-GB"/>
        </w:rPr>
      </w:r>
      <w:r w:rsidR="00ED2009">
        <w:rPr>
          <w:rFonts w:eastAsia="Calibri"/>
          <w:lang w:val="en-GB"/>
        </w:rPr>
        <w:fldChar w:fldCharType="separate"/>
      </w:r>
      <w:r w:rsidR="00ED2009">
        <w:rPr>
          <w:lang w:val="en-GB"/>
        </w:rPr>
        <w:t>[22]</w:t>
      </w:r>
      <w:r w:rsidR="00ED2009">
        <w:rPr>
          <w:rFonts w:eastAsia="Calibri"/>
          <w:lang w:val="en-GB"/>
        </w:rPr>
        <w:fldChar w:fldCharType="end"/>
      </w:r>
      <w:r w:rsidR="00B55C54" w:rsidRPr="00967AC5">
        <w:rPr>
          <w:lang w:val="en-GB"/>
        </w:rPr>
        <w:t>)</w:t>
      </w:r>
    </w:p>
    <w:tbl>
      <w:tblPr>
        <w:tblStyle w:val="ECCTable-redheader"/>
        <w:tblW w:w="5000" w:type="pct"/>
        <w:tblInd w:w="0" w:type="dxa"/>
        <w:tblLook w:val="04A0" w:firstRow="1" w:lastRow="0" w:firstColumn="1" w:lastColumn="0" w:noHBand="0" w:noVBand="1"/>
      </w:tblPr>
      <w:tblGrid>
        <w:gridCol w:w="2263"/>
        <w:gridCol w:w="3403"/>
        <w:gridCol w:w="2457"/>
        <w:gridCol w:w="1506"/>
      </w:tblGrid>
      <w:tr w:rsidR="002505BC" w:rsidRPr="00967AC5" w14:paraId="323E6D5D" w14:textId="77777777" w:rsidTr="002505BC">
        <w:trPr>
          <w:cnfStyle w:val="100000000000" w:firstRow="1" w:lastRow="0" w:firstColumn="0" w:lastColumn="0" w:oddVBand="0" w:evenVBand="0" w:oddHBand="0" w:evenHBand="0" w:firstRowFirstColumn="0" w:firstRowLastColumn="0" w:lastRowFirstColumn="0" w:lastRowLastColumn="0"/>
        </w:trPr>
        <w:tc>
          <w:tcPr>
            <w:tcW w:w="1175" w:type="pct"/>
            <w:tcBorders>
              <w:top w:val="single" w:sz="4" w:space="0" w:color="FFFFFF" w:themeColor="background1"/>
              <w:left w:val="single" w:sz="4" w:space="0" w:color="FFFFFF" w:themeColor="background1"/>
              <w:bottom w:val="single" w:sz="4" w:space="0" w:color="FFFFFF" w:themeColor="background1"/>
            </w:tcBorders>
            <w:vAlign w:val="top"/>
            <w:hideMark/>
          </w:tcPr>
          <w:p w14:paraId="7AF65A5B" w14:textId="3D106F4F" w:rsidR="00901B4C" w:rsidRPr="00967AC5" w:rsidRDefault="00901B4C" w:rsidP="002505BC">
            <w:pPr>
              <w:pStyle w:val="ECCTableHeaderwhitefont"/>
              <w:rPr>
                <w:lang w:val="en-GB"/>
              </w:rPr>
            </w:pPr>
            <w:r w:rsidRPr="00967AC5">
              <w:rPr>
                <w:lang w:val="en-GB"/>
              </w:rPr>
              <w:t>Frequency offset of measurement filter –3</w:t>
            </w:r>
            <w:r w:rsidR="00902071" w:rsidRPr="00967AC5">
              <w:rPr>
                <w:lang w:val="en-GB"/>
              </w:rPr>
              <w:t xml:space="preserve"> </w:t>
            </w:r>
            <w:r w:rsidRPr="00967AC5">
              <w:rPr>
                <w:lang w:val="en-GB"/>
              </w:rPr>
              <w:t xml:space="preserve">dB point, </w:t>
            </w:r>
            <w:r w:rsidRPr="00967AC5">
              <w:rPr>
                <w:rFonts w:ascii="Symbol" w:eastAsia="Symbol" w:hAnsi="Symbol" w:cs="Symbol"/>
                <w:lang w:val="en-GB"/>
              </w:rPr>
              <w:t></w:t>
            </w:r>
            <w:r w:rsidRPr="00967AC5">
              <w:rPr>
                <w:lang w:val="en-GB"/>
              </w:rPr>
              <w:t>f</w:t>
            </w:r>
          </w:p>
        </w:tc>
        <w:tc>
          <w:tcPr>
            <w:tcW w:w="1767" w:type="pct"/>
            <w:tcBorders>
              <w:top w:val="single" w:sz="4" w:space="0" w:color="FFFFFF" w:themeColor="background1"/>
              <w:bottom w:val="single" w:sz="4" w:space="0" w:color="FFFFFF" w:themeColor="background1"/>
            </w:tcBorders>
            <w:vAlign w:val="top"/>
            <w:hideMark/>
          </w:tcPr>
          <w:p w14:paraId="57F54DB1" w14:textId="77777777" w:rsidR="00901B4C" w:rsidRPr="00967AC5" w:rsidRDefault="00901B4C" w:rsidP="002505BC">
            <w:pPr>
              <w:pStyle w:val="ECCTableHeaderwhitefont"/>
              <w:rPr>
                <w:lang w:val="en-GB"/>
              </w:rPr>
            </w:pPr>
            <w:r w:rsidRPr="00967AC5">
              <w:rPr>
                <w:lang w:val="en-GB"/>
              </w:rPr>
              <w:t xml:space="preserve">Frequency offset of measurement filter centre frequency, </w:t>
            </w:r>
            <w:proofErr w:type="spellStart"/>
            <w:r w:rsidRPr="00967AC5">
              <w:rPr>
                <w:lang w:val="en-GB"/>
              </w:rPr>
              <w:t>f_offset</w:t>
            </w:r>
            <w:proofErr w:type="spellEnd"/>
          </w:p>
        </w:tc>
        <w:tc>
          <w:tcPr>
            <w:tcW w:w="1276" w:type="pct"/>
            <w:tcBorders>
              <w:top w:val="single" w:sz="4" w:space="0" w:color="FFFFFF" w:themeColor="background1"/>
              <w:bottom w:val="single" w:sz="4" w:space="0" w:color="FFFFFF" w:themeColor="background1"/>
            </w:tcBorders>
            <w:vAlign w:val="top"/>
            <w:hideMark/>
          </w:tcPr>
          <w:p w14:paraId="78B26A38" w14:textId="77777777" w:rsidR="00901B4C" w:rsidRPr="00967AC5" w:rsidRDefault="00901B4C" w:rsidP="002505BC">
            <w:pPr>
              <w:pStyle w:val="ECCTableHeaderwhitefont"/>
              <w:rPr>
                <w:lang w:val="en-GB"/>
              </w:rPr>
            </w:pPr>
            <w:r w:rsidRPr="00967AC5">
              <w:rPr>
                <w:lang w:val="en-GB"/>
              </w:rPr>
              <w:t>Minimum requirement</w:t>
            </w:r>
            <w:r w:rsidRPr="00967AC5">
              <w:rPr>
                <w:lang w:val="en-GB"/>
              </w:rPr>
              <w:br/>
              <w:t>(Note 2, 3)</w:t>
            </w:r>
          </w:p>
        </w:tc>
        <w:tc>
          <w:tcPr>
            <w:tcW w:w="782" w:type="pct"/>
            <w:tcBorders>
              <w:top w:val="single" w:sz="4" w:space="0" w:color="FFFFFF" w:themeColor="background1"/>
              <w:bottom w:val="single" w:sz="4" w:space="0" w:color="FFFFFF" w:themeColor="background1"/>
              <w:right w:val="single" w:sz="4" w:space="0" w:color="FFFFFF" w:themeColor="background1"/>
            </w:tcBorders>
            <w:vAlign w:val="top"/>
            <w:hideMark/>
          </w:tcPr>
          <w:p w14:paraId="6FA1EE43" w14:textId="77777777" w:rsidR="00901B4C" w:rsidRPr="00967AC5" w:rsidRDefault="00901B4C" w:rsidP="002505BC">
            <w:pPr>
              <w:pStyle w:val="ECCTableHeaderwhitefont"/>
              <w:rPr>
                <w:lang w:val="en-GB"/>
              </w:rPr>
            </w:pPr>
            <w:r w:rsidRPr="00967AC5">
              <w:rPr>
                <w:lang w:val="en-GB"/>
              </w:rPr>
              <w:t>Measurement bandwidth</w:t>
            </w:r>
            <w:r w:rsidRPr="00967AC5">
              <w:rPr>
                <w:lang w:val="en-GB"/>
              </w:rPr>
              <w:br/>
              <w:t>(Note 7)</w:t>
            </w:r>
          </w:p>
        </w:tc>
      </w:tr>
      <w:tr w:rsidR="00784B8D" w:rsidRPr="00967AC5" w14:paraId="1176F903" w14:textId="77777777" w:rsidTr="002505BC">
        <w:trPr>
          <w:trHeight w:val="265"/>
        </w:trPr>
        <w:tc>
          <w:tcPr>
            <w:tcW w:w="1175" w:type="pct"/>
            <w:tcBorders>
              <w:top w:val="single" w:sz="4" w:space="0" w:color="FFFFFF" w:themeColor="background1"/>
              <w:left w:val="single" w:sz="4" w:space="0" w:color="D22A23"/>
              <w:bottom w:val="single" w:sz="4" w:space="0" w:color="D22A23"/>
              <w:right w:val="single" w:sz="4" w:space="0" w:color="D22A23"/>
            </w:tcBorders>
            <w:vAlign w:val="top"/>
            <w:hideMark/>
          </w:tcPr>
          <w:p w14:paraId="1FF6475A" w14:textId="42AFC93A" w:rsidR="00901B4C" w:rsidRPr="00967AC5" w:rsidRDefault="00901B4C">
            <w:pPr>
              <w:pStyle w:val="ECCTabletext"/>
            </w:pPr>
            <w:r w:rsidRPr="00967AC5">
              <w:t xml:space="preserve">0 MHz </w:t>
            </w:r>
            <w:r w:rsidRPr="00967AC5">
              <w:rPr>
                <w:rFonts w:ascii="Symbol" w:eastAsia="Symbol" w:hAnsi="Symbol" w:cs="Symbol"/>
              </w:rPr>
              <w:t></w:t>
            </w:r>
            <w:r w:rsidRPr="00967AC5">
              <w:t xml:space="preserve"> </w:t>
            </w:r>
            <w:r w:rsidRPr="00967AC5">
              <w:rPr>
                <w:rFonts w:ascii="Symbol" w:eastAsia="Symbol" w:hAnsi="Symbol" w:cs="Symbol"/>
              </w:rPr>
              <w:t></w:t>
            </w:r>
            <w:r w:rsidRPr="00967AC5">
              <w:t>f &lt; 0.2 MHz (Note 1)</w:t>
            </w:r>
          </w:p>
        </w:tc>
        <w:tc>
          <w:tcPr>
            <w:tcW w:w="1767" w:type="pct"/>
            <w:tcBorders>
              <w:top w:val="single" w:sz="4" w:space="0" w:color="FFFFFF" w:themeColor="background1"/>
              <w:left w:val="single" w:sz="4" w:space="0" w:color="D22A23"/>
              <w:bottom w:val="single" w:sz="4" w:space="0" w:color="D22A23"/>
              <w:right w:val="single" w:sz="4" w:space="0" w:color="D22A23"/>
            </w:tcBorders>
            <w:vAlign w:val="top"/>
            <w:hideMark/>
          </w:tcPr>
          <w:p w14:paraId="461C14DF" w14:textId="6CC79933" w:rsidR="00901B4C" w:rsidRPr="00967AC5" w:rsidRDefault="00901B4C">
            <w:pPr>
              <w:pStyle w:val="ECCTabletext"/>
            </w:pPr>
            <w:r w:rsidRPr="00967AC5">
              <w:t xml:space="preserve">0.015 MHz </w:t>
            </w:r>
            <w:r w:rsidRPr="00967AC5">
              <w:rPr>
                <w:rFonts w:ascii="Symbol" w:eastAsia="Symbol" w:hAnsi="Symbol" w:cs="Symbol"/>
              </w:rPr>
              <w:t></w:t>
            </w:r>
            <w:r w:rsidRPr="00967AC5">
              <w:t xml:space="preserve"> </w:t>
            </w:r>
            <w:proofErr w:type="spellStart"/>
            <w:r w:rsidRPr="00967AC5">
              <w:t>f_offset</w:t>
            </w:r>
            <w:proofErr w:type="spellEnd"/>
            <w:r w:rsidRPr="00967AC5">
              <w:t xml:space="preserve"> &lt; 0.215 MHz </w:t>
            </w:r>
          </w:p>
        </w:tc>
        <w:tc>
          <w:tcPr>
            <w:tcW w:w="1276" w:type="pct"/>
            <w:tcBorders>
              <w:top w:val="single" w:sz="4" w:space="0" w:color="FFFFFF" w:themeColor="background1"/>
              <w:left w:val="single" w:sz="4" w:space="0" w:color="D22A23"/>
              <w:bottom w:val="single" w:sz="4" w:space="0" w:color="D22A23"/>
              <w:right w:val="single" w:sz="4" w:space="0" w:color="D22A23"/>
            </w:tcBorders>
            <w:vAlign w:val="top"/>
            <w:hideMark/>
          </w:tcPr>
          <w:p w14:paraId="3E598C4C" w14:textId="77777777" w:rsidR="00901B4C" w:rsidRPr="00967AC5" w:rsidRDefault="00901B4C">
            <w:pPr>
              <w:pStyle w:val="ECCTabletext"/>
            </w:pPr>
            <w:r w:rsidRPr="00967AC5">
              <w:t>–14 dBm</w:t>
            </w:r>
          </w:p>
        </w:tc>
        <w:tc>
          <w:tcPr>
            <w:tcW w:w="782" w:type="pct"/>
            <w:tcBorders>
              <w:top w:val="single" w:sz="4" w:space="0" w:color="FFFFFF" w:themeColor="background1"/>
              <w:left w:val="single" w:sz="4" w:space="0" w:color="D22A23"/>
              <w:bottom w:val="single" w:sz="4" w:space="0" w:color="D22A23"/>
              <w:right w:val="single" w:sz="4" w:space="0" w:color="D22A23"/>
            </w:tcBorders>
            <w:vAlign w:val="top"/>
            <w:hideMark/>
          </w:tcPr>
          <w:p w14:paraId="0C681EEC" w14:textId="77777777" w:rsidR="00901B4C" w:rsidRPr="00967AC5" w:rsidRDefault="00901B4C">
            <w:pPr>
              <w:pStyle w:val="ECCTabletext"/>
            </w:pPr>
            <w:r w:rsidRPr="00967AC5">
              <w:t xml:space="preserve">30 kHz </w:t>
            </w:r>
          </w:p>
        </w:tc>
      </w:tr>
      <w:tr w:rsidR="00784B8D" w:rsidRPr="00967AC5" w14:paraId="6C54BFC0" w14:textId="77777777" w:rsidTr="002505BC">
        <w:trPr>
          <w:trHeight w:val="265"/>
        </w:trPr>
        <w:tc>
          <w:tcPr>
            <w:tcW w:w="1175" w:type="pct"/>
            <w:tcBorders>
              <w:top w:val="single" w:sz="4" w:space="0" w:color="D22A23"/>
              <w:left w:val="single" w:sz="4" w:space="0" w:color="D22A23"/>
              <w:bottom w:val="single" w:sz="4" w:space="0" w:color="D22A23"/>
              <w:right w:val="single" w:sz="4" w:space="0" w:color="D22A23"/>
            </w:tcBorders>
            <w:vAlign w:val="top"/>
            <w:hideMark/>
          </w:tcPr>
          <w:p w14:paraId="1C3BA130" w14:textId="404D1F48" w:rsidR="00901B4C" w:rsidRPr="00967AC5" w:rsidRDefault="00901B4C">
            <w:pPr>
              <w:pStyle w:val="ECCTabletext"/>
            </w:pPr>
            <w:r w:rsidRPr="00967AC5">
              <w:t xml:space="preserve">0.2 MHz </w:t>
            </w:r>
            <w:r w:rsidRPr="00967AC5">
              <w:rPr>
                <w:rFonts w:ascii="Symbol" w:eastAsia="Symbol" w:hAnsi="Symbol" w:cs="Symbol"/>
              </w:rPr>
              <w:t></w:t>
            </w:r>
            <w:r w:rsidRPr="00967AC5">
              <w:t xml:space="preserve"> </w:t>
            </w:r>
            <w:r w:rsidRPr="00967AC5">
              <w:rPr>
                <w:rFonts w:ascii="Symbol" w:eastAsia="Symbol" w:hAnsi="Symbol" w:cs="Symbol"/>
              </w:rPr>
              <w:t></w:t>
            </w:r>
            <w:r w:rsidRPr="00967AC5">
              <w:t>f &lt; 1 MHz</w:t>
            </w:r>
          </w:p>
        </w:tc>
        <w:tc>
          <w:tcPr>
            <w:tcW w:w="1767" w:type="pct"/>
            <w:tcBorders>
              <w:top w:val="single" w:sz="4" w:space="0" w:color="D22A23"/>
              <w:left w:val="single" w:sz="4" w:space="0" w:color="D22A23"/>
              <w:bottom w:val="single" w:sz="4" w:space="0" w:color="D22A23"/>
              <w:right w:val="single" w:sz="4" w:space="0" w:color="D22A23"/>
            </w:tcBorders>
            <w:vAlign w:val="top"/>
            <w:hideMark/>
          </w:tcPr>
          <w:p w14:paraId="36A371A6" w14:textId="69B5DA68" w:rsidR="00901B4C" w:rsidRPr="00967AC5" w:rsidRDefault="00901B4C">
            <w:pPr>
              <w:pStyle w:val="ECCTabletext"/>
            </w:pPr>
            <w:r w:rsidRPr="00967AC5">
              <w:t xml:space="preserve">0.215 MHz </w:t>
            </w:r>
            <w:r w:rsidRPr="00967AC5">
              <w:rPr>
                <w:rFonts w:ascii="Symbol" w:eastAsia="Symbol" w:hAnsi="Symbol" w:cs="Symbol"/>
              </w:rPr>
              <w:t></w:t>
            </w:r>
            <w:r w:rsidRPr="00967AC5">
              <w:t xml:space="preserve"> </w:t>
            </w:r>
            <w:proofErr w:type="spellStart"/>
            <w:r w:rsidRPr="00967AC5">
              <w:t>f_offset</w:t>
            </w:r>
            <w:proofErr w:type="spellEnd"/>
            <w:r w:rsidRPr="00967AC5">
              <w:t xml:space="preserve"> &lt; 1.015 MHz</w:t>
            </w:r>
          </w:p>
        </w:tc>
        <w:tc>
          <w:tcPr>
            <w:tcW w:w="1276" w:type="pct"/>
            <w:tcBorders>
              <w:top w:val="single" w:sz="4" w:space="0" w:color="D22A23"/>
              <w:left w:val="single" w:sz="4" w:space="0" w:color="D22A23"/>
              <w:bottom w:val="single" w:sz="4" w:space="0" w:color="D22A23"/>
              <w:right w:val="single" w:sz="4" w:space="0" w:color="D22A23"/>
            </w:tcBorders>
            <w:vAlign w:val="top"/>
            <w:hideMark/>
          </w:tcPr>
          <w:p w14:paraId="374BC486" w14:textId="77777777" w:rsidR="00901B4C" w:rsidRPr="00967AC5" w:rsidRDefault="00901B4C" w:rsidP="002505BC">
            <w:pPr>
              <w:pStyle w:val="ECCTabletext"/>
              <w:jc w:val="left"/>
            </w:pPr>
            <w:r w:rsidRPr="00967AC5">
              <w:t>–14 dBm – 15·(</w:t>
            </w:r>
            <w:proofErr w:type="spellStart"/>
            <w:r w:rsidRPr="00967AC5">
              <w:t>f_offset</w:t>
            </w:r>
            <w:proofErr w:type="spellEnd"/>
            <w:r w:rsidRPr="00967AC5">
              <w:t>/MHz – 0.215) dB (Note 4)</w:t>
            </w:r>
          </w:p>
        </w:tc>
        <w:tc>
          <w:tcPr>
            <w:tcW w:w="0" w:type="pct"/>
            <w:tcBorders>
              <w:top w:val="single" w:sz="4" w:space="0" w:color="D22A23"/>
              <w:left w:val="single" w:sz="4" w:space="0" w:color="D22A23"/>
              <w:bottom w:val="single" w:sz="4" w:space="0" w:color="D22A23"/>
              <w:right w:val="single" w:sz="4" w:space="0" w:color="D22A23"/>
            </w:tcBorders>
            <w:vAlign w:val="top"/>
            <w:hideMark/>
          </w:tcPr>
          <w:p w14:paraId="70BF0CA3" w14:textId="77777777" w:rsidR="00901B4C" w:rsidRPr="00967AC5" w:rsidRDefault="00901B4C">
            <w:pPr>
              <w:pStyle w:val="ECCTabletext"/>
            </w:pPr>
            <w:r w:rsidRPr="00967AC5">
              <w:t xml:space="preserve">30 kHz </w:t>
            </w:r>
          </w:p>
        </w:tc>
      </w:tr>
      <w:tr w:rsidR="00784B8D" w:rsidRPr="00967AC5" w14:paraId="12854927" w14:textId="77777777" w:rsidTr="002505BC">
        <w:trPr>
          <w:trHeight w:val="265"/>
        </w:trPr>
        <w:tc>
          <w:tcPr>
            <w:tcW w:w="1175" w:type="pct"/>
            <w:tcBorders>
              <w:top w:val="single" w:sz="4" w:space="0" w:color="D22A23"/>
              <w:left w:val="single" w:sz="4" w:space="0" w:color="D22A23"/>
              <w:bottom w:val="single" w:sz="4" w:space="0" w:color="D22A23"/>
              <w:right w:val="single" w:sz="4" w:space="0" w:color="D22A23"/>
            </w:tcBorders>
            <w:vAlign w:val="top"/>
            <w:hideMark/>
          </w:tcPr>
          <w:p w14:paraId="0A4D1061" w14:textId="77777777" w:rsidR="00901B4C" w:rsidRPr="00967AC5" w:rsidRDefault="00901B4C">
            <w:pPr>
              <w:pStyle w:val="ECCTabletext"/>
            </w:pPr>
            <w:r w:rsidRPr="00967AC5">
              <w:t>(Note 6)</w:t>
            </w:r>
          </w:p>
        </w:tc>
        <w:tc>
          <w:tcPr>
            <w:tcW w:w="1767" w:type="pct"/>
            <w:tcBorders>
              <w:top w:val="single" w:sz="4" w:space="0" w:color="D22A23"/>
              <w:left w:val="single" w:sz="4" w:space="0" w:color="D22A23"/>
              <w:bottom w:val="single" w:sz="4" w:space="0" w:color="D22A23"/>
              <w:right w:val="single" w:sz="4" w:space="0" w:color="D22A23"/>
            </w:tcBorders>
            <w:vAlign w:val="top"/>
            <w:hideMark/>
          </w:tcPr>
          <w:p w14:paraId="497A14CE" w14:textId="0088AC0A" w:rsidR="00901B4C" w:rsidRPr="00967AC5" w:rsidRDefault="00901B4C">
            <w:pPr>
              <w:pStyle w:val="ECCTabletext"/>
            </w:pPr>
            <w:r w:rsidRPr="00967AC5">
              <w:t xml:space="preserve">1.015 MHz </w:t>
            </w:r>
            <w:r w:rsidRPr="00967AC5">
              <w:rPr>
                <w:rFonts w:ascii="Symbol" w:eastAsia="Symbol" w:hAnsi="Symbol" w:cs="Symbol"/>
              </w:rPr>
              <w:t></w:t>
            </w:r>
            <w:r w:rsidRPr="00967AC5">
              <w:t xml:space="preserve"> </w:t>
            </w:r>
            <w:proofErr w:type="spellStart"/>
            <w:r w:rsidRPr="00967AC5">
              <w:t>f_offset</w:t>
            </w:r>
            <w:proofErr w:type="spellEnd"/>
            <w:r w:rsidRPr="00967AC5">
              <w:t xml:space="preserve"> &lt; 1.5 MHz </w:t>
            </w:r>
          </w:p>
        </w:tc>
        <w:tc>
          <w:tcPr>
            <w:tcW w:w="1276" w:type="pct"/>
            <w:tcBorders>
              <w:top w:val="single" w:sz="4" w:space="0" w:color="D22A23"/>
              <w:left w:val="single" w:sz="4" w:space="0" w:color="D22A23"/>
              <w:bottom w:val="single" w:sz="4" w:space="0" w:color="D22A23"/>
              <w:right w:val="single" w:sz="4" w:space="0" w:color="D22A23"/>
            </w:tcBorders>
            <w:vAlign w:val="top"/>
            <w:hideMark/>
          </w:tcPr>
          <w:p w14:paraId="6B7D0C2F" w14:textId="77777777" w:rsidR="00901B4C" w:rsidRPr="00967AC5" w:rsidRDefault="00901B4C">
            <w:pPr>
              <w:pStyle w:val="ECCTabletext"/>
            </w:pPr>
            <w:r w:rsidRPr="00967AC5">
              <w:t>–26 dBm (Note 4)</w:t>
            </w:r>
          </w:p>
        </w:tc>
        <w:tc>
          <w:tcPr>
            <w:tcW w:w="0" w:type="pct"/>
            <w:tcBorders>
              <w:top w:val="single" w:sz="4" w:space="0" w:color="D22A23"/>
              <w:left w:val="single" w:sz="4" w:space="0" w:color="D22A23"/>
              <w:bottom w:val="single" w:sz="4" w:space="0" w:color="D22A23"/>
              <w:right w:val="single" w:sz="4" w:space="0" w:color="D22A23"/>
            </w:tcBorders>
            <w:vAlign w:val="top"/>
            <w:hideMark/>
          </w:tcPr>
          <w:p w14:paraId="37494FC0" w14:textId="77777777" w:rsidR="00901B4C" w:rsidRPr="00967AC5" w:rsidRDefault="00901B4C">
            <w:pPr>
              <w:pStyle w:val="ECCTabletext"/>
            </w:pPr>
            <w:r w:rsidRPr="00967AC5">
              <w:t xml:space="preserve">30 kHz </w:t>
            </w:r>
          </w:p>
        </w:tc>
      </w:tr>
      <w:tr w:rsidR="00784B8D" w:rsidRPr="00967AC5" w14:paraId="42BD6096" w14:textId="77777777" w:rsidTr="002505BC">
        <w:trPr>
          <w:trHeight w:val="265"/>
        </w:trPr>
        <w:tc>
          <w:tcPr>
            <w:tcW w:w="1175" w:type="pct"/>
            <w:tcBorders>
              <w:top w:val="single" w:sz="4" w:space="0" w:color="D22A23"/>
              <w:left w:val="single" w:sz="4" w:space="0" w:color="D22A23"/>
              <w:bottom w:val="single" w:sz="4" w:space="0" w:color="D22A23"/>
              <w:right w:val="single" w:sz="4" w:space="0" w:color="D22A23"/>
            </w:tcBorders>
            <w:vAlign w:val="top"/>
            <w:hideMark/>
          </w:tcPr>
          <w:p w14:paraId="1E540CD3" w14:textId="163CB076" w:rsidR="00901B4C" w:rsidRPr="00967AC5" w:rsidRDefault="00901B4C">
            <w:pPr>
              <w:pStyle w:val="ECCTabletext"/>
            </w:pPr>
            <w:r w:rsidRPr="00967AC5">
              <w:t xml:space="preserve">1 MHz </w:t>
            </w:r>
            <w:r w:rsidRPr="00967AC5">
              <w:rPr>
                <w:rFonts w:ascii="Symbol" w:eastAsia="Symbol" w:hAnsi="Symbol" w:cs="Symbol"/>
              </w:rPr>
              <w:t></w:t>
            </w:r>
            <w:r w:rsidRPr="00967AC5">
              <w:t xml:space="preserve"> </w:t>
            </w:r>
            <w:r w:rsidRPr="00967AC5">
              <w:rPr>
                <w:rFonts w:ascii="Symbol" w:eastAsia="Symbol" w:hAnsi="Symbol" w:cs="Symbol"/>
              </w:rPr>
              <w:t></w:t>
            </w:r>
            <w:r w:rsidRPr="00967AC5">
              <w:t xml:space="preserve">f </w:t>
            </w:r>
            <w:r w:rsidRPr="00967AC5">
              <w:rPr>
                <w:rFonts w:ascii="Symbol" w:eastAsia="Symbol" w:hAnsi="Symbol" w:cs="Symbol"/>
              </w:rPr>
              <w:t></w:t>
            </w:r>
            <w:r w:rsidRPr="00967AC5">
              <w:t xml:space="preserve"> min(</w:t>
            </w:r>
            <w:r w:rsidRPr="00967AC5">
              <w:rPr>
                <w:rFonts w:ascii="Symbol" w:eastAsia="Symbol" w:hAnsi="Symbol" w:cs="Symbol"/>
              </w:rPr>
              <w:t></w:t>
            </w:r>
            <w:r w:rsidRPr="00967AC5">
              <w:t>f</w:t>
            </w:r>
            <w:r w:rsidRPr="00967AC5">
              <w:rPr>
                <w:rStyle w:val="ECCHLsubscript"/>
              </w:rPr>
              <w:t>max</w:t>
            </w:r>
            <w:r w:rsidRPr="00967AC5">
              <w:t>, 10 MHz)</w:t>
            </w:r>
          </w:p>
        </w:tc>
        <w:tc>
          <w:tcPr>
            <w:tcW w:w="1767" w:type="pct"/>
            <w:tcBorders>
              <w:top w:val="single" w:sz="4" w:space="0" w:color="D22A23"/>
              <w:left w:val="single" w:sz="4" w:space="0" w:color="D22A23"/>
              <w:bottom w:val="single" w:sz="4" w:space="0" w:color="D22A23"/>
              <w:right w:val="single" w:sz="4" w:space="0" w:color="D22A23"/>
            </w:tcBorders>
            <w:vAlign w:val="top"/>
            <w:hideMark/>
          </w:tcPr>
          <w:p w14:paraId="197CC236" w14:textId="314A5485" w:rsidR="00901B4C" w:rsidRPr="00AD3968" w:rsidRDefault="00901B4C" w:rsidP="002505BC">
            <w:pPr>
              <w:pStyle w:val="ECCTabletext"/>
              <w:jc w:val="left"/>
            </w:pPr>
            <w:r w:rsidRPr="00AD3968">
              <w:t xml:space="preserve">1.5 MHz </w:t>
            </w:r>
            <w:r w:rsidRPr="00967AC5">
              <w:rPr>
                <w:rFonts w:ascii="Symbol" w:eastAsia="Symbol" w:hAnsi="Symbol" w:cs="Symbol"/>
              </w:rPr>
              <w:t></w:t>
            </w:r>
            <w:r w:rsidRPr="00AD3968">
              <w:t xml:space="preserve"> f_offset &lt; min(f_offset</w:t>
            </w:r>
            <w:r w:rsidRPr="00AD3968">
              <w:rPr>
                <w:rStyle w:val="ECCHLsubscript"/>
              </w:rPr>
              <w:t>max</w:t>
            </w:r>
            <w:r w:rsidRPr="00AD3968">
              <w:t>, 10.5 MHz)</w:t>
            </w:r>
          </w:p>
        </w:tc>
        <w:tc>
          <w:tcPr>
            <w:tcW w:w="1276" w:type="pct"/>
            <w:tcBorders>
              <w:top w:val="single" w:sz="4" w:space="0" w:color="D22A23"/>
              <w:left w:val="single" w:sz="4" w:space="0" w:color="D22A23"/>
              <w:bottom w:val="single" w:sz="4" w:space="0" w:color="D22A23"/>
              <w:right w:val="single" w:sz="4" w:space="0" w:color="D22A23"/>
            </w:tcBorders>
            <w:vAlign w:val="top"/>
            <w:hideMark/>
          </w:tcPr>
          <w:p w14:paraId="62335700" w14:textId="77777777" w:rsidR="00901B4C" w:rsidRPr="00967AC5" w:rsidRDefault="00901B4C">
            <w:pPr>
              <w:pStyle w:val="ECCTabletext"/>
            </w:pPr>
            <w:r w:rsidRPr="00967AC5">
              <w:t>–13 dBm (Note 4)</w:t>
            </w:r>
          </w:p>
        </w:tc>
        <w:tc>
          <w:tcPr>
            <w:tcW w:w="0" w:type="pct"/>
            <w:tcBorders>
              <w:top w:val="single" w:sz="4" w:space="0" w:color="D22A23"/>
              <w:left w:val="single" w:sz="4" w:space="0" w:color="D22A23"/>
              <w:bottom w:val="single" w:sz="4" w:space="0" w:color="D22A23"/>
              <w:right w:val="single" w:sz="4" w:space="0" w:color="D22A23"/>
            </w:tcBorders>
            <w:vAlign w:val="top"/>
            <w:hideMark/>
          </w:tcPr>
          <w:p w14:paraId="669D7C7B" w14:textId="77777777" w:rsidR="00901B4C" w:rsidRPr="00967AC5" w:rsidRDefault="00901B4C">
            <w:pPr>
              <w:pStyle w:val="ECCTabletext"/>
            </w:pPr>
            <w:r w:rsidRPr="00967AC5">
              <w:t xml:space="preserve">1 MHz </w:t>
            </w:r>
          </w:p>
        </w:tc>
      </w:tr>
      <w:tr w:rsidR="00784B8D" w:rsidRPr="00967AC5" w14:paraId="0EA684C8" w14:textId="77777777" w:rsidTr="002505BC">
        <w:trPr>
          <w:trHeight w:val="265"/>
        </w:trPr>
        <w:tc>
          <w:tcPr>
            <w:tcW w:w="1175" w:type="pct"/>
            <w:tcBorders>
              <w:top w:val="single" w:sz="4" w:space="0" w:color="D22A23"/>
              <w:left w:val="single" w:sz="4" w:space="0" w:color="D22A23"/>
              <w:bottom w:val="single" w:sz="4" w:space="0" w:color="D22A23"/>
              <w:right w:val="single" w:sz="4" w:space="0" w:color="D22A23"/>
            </w:tcBorders>
            <w:vAlign w:val="top"/>
            <w:hideMark/>
          </w:tcPr>
          <w:p w14:paraId="762F3587" w14:textId="0B993365" w:rsidR="00901B4C" w:rsidRPr="00967AC5" w:rsidRDefault="00901B4C">
            <w:pPr>
              <w:pStyle w:val="ECCTabletext"/>
            </w:pPr>
            <w:r w:rsidRPr="00967AC5">
              <w:t xml:space="preserve">10 MHz </w:t>
            </w:r>
            <w:r w:rsidRPr="00967AC5">
              <w:rPr>
                <w:rFonts w:ascii="Symbol" w:eastAsia="Symbol" w:hAnsi="Symbol" w:cs="Symbol"/>
              </w:rPr>
              <w:t></w:t>
            </w:r>
            <w:r w:rsidRPr="00967AC5">
              <w:t xml:space="preserve"> </w:t>
            </w:r>
            <w:r w:rsidRPr="00967AC5">
              <w:rPr>
                <w:rFonts w:ascii="Symbol" w:eastAsia="Symbol" w:hAnsi="Symbol" w:cs="Symbol"/>
              </w:rPr>
              <w:t></w:t>
            </w:r>
            <w:r w:rsidRPr="00967AC5">
              <w:t xml:space="preserve">f </w:t>
            </w:r>
            <w:r w:rsidRPr="00967AC5">
              <w:rPr>
                <w:rFonts w:ascii="Symbol" w:eastAsia="Symbol" w:hAnsi="Symbol" w:cs="Symbol"/>
              </w:rPr>
              <w:t></w:t>
            </w:r>
            <w:r w:rsidRPr="00967AC5">
              <w:t xml:space="preserve"> </w:t>
            </w:r>
            <w:r w:rsidRPr="00967AC5">
              <w:rPr>
                <w:rFonts w:ascii="Symbol" w:eastAsia="Symbol" w:hAnsi="Symbol" w:cs="Symbol"/>
              </w:rPr>
              <w:t></w:t>
            </w:r>
            <w:r w:rsidRPr="00967AC5">
              <w:t>f</w:t>
            </w:r>
            <w:r w:rsidRPr="00967AC5">
              <w:rPr>
                <w:rStyle w:val="ECCHLsubscript"/>
              </w:rPr>
              <w:t>max</w:t>
            </w:r>
          </w:p>
        </w:tc>
        <w:tc>
          <w:tcPr>
            <w:tcW w:w="1767" w:type="pct"/>
            <w:tcBorders>
              <w:top w:val="single" w:sz="4" w:space="0" w:color="D22A23"/>
              <w:left w:val="single" w:sz="4" w:space="0" w:color="D22A23"/>
              <w:bottom w:val="single" w:sz="4" w:space="0" w:color="D22A23"/>
              <w:right w:val="single" w:sz="4" w:space="0" w:color="D22A23"/>
            </w:tcBorders>
            <w:vAlign w:val="top"/>
            <w:hideMark/>
          </w:tcPr>
          <w:p w14:paraId="0C25707C" w14:textId="0F5566F3" w:rsidR="00901B4C" w:rsidRPr="00967AC5" w:rsidRDefault="00901B4C">
            <w:pPr>
              <w:pStyle w:val="ECCTabletext"/>
            </w:pPr>
            <w:r w:rsidRPr="00967AC5">
              <w:t xml:space="preserve">10.5 MHz </w:t>
            </w:r>
            <w:r w:rsidRPr="00967AC5">
              <w:rPr>
                <w:rFonts w:ascii="Symbol" w:eastAsia="Symbol" w:hAnsi="Symbol" w:cs="Symbol"/>
              </w:rPr>
              <w:t></w:t>
            </w:r>
            <w:r w:rsidRPr="00967AC5">
              <w:t xml:space="preserve"> </w:t>
            </w:r>
            <w:proofErr w:type="spellStart"/>
            <w:r w:rsidRPr="00967AC5">
              <w:t>f_offset</w:t>
            </w:r>
            <w:proofErr w:type="spellEnd"/>
            <w:r w:rsidRPr="00967AC5">
              <w:t xml:space="preserve"> &lt; </w:t>
            </w:r>
            <w:proofErr w:type="spellStart"/>
            <w:r w:rsidRPr="00967AC5">
              <w:t>f_offset</w:t>
            </w:r>
            <w:r w:rsidRPr="00967AC5">
              <w:rPr>
                <w:rStyle w:val="ECCHLsubscript"/>
              </w:rPr>
              <w:t>max</w:t>
            </w:r>
            <w:proofErr w:type="spellEnd"/>
            <w:r w:rsidRPr="00967AC5">
              <w:rPr>
                <w:rStyle w:val="ECCHLsubscript"/>
              </w:rPr>
              <w:t xml:space="preserve"> </w:t>
            </w:r>
          </w:p>
        </w:tc>
        <w:tc>
          <w:tcPr>
            <w:tcW w:w="1276" w:type="pct"/>
            <w:tcBorders>
              <w:top w:val="single" w:sz="4" w:space="0" w:color="D22A23"/>
              <w:left w:val="single" w:sz="4" w:space="0" w:color="D22A23"/>
              <w:bottom w:val="single" w:sz="4" w:space="0" w:color="D22A23"/>
              <w:right w:val="single" w:sz="4" w:space="0" w:color="D22A23"/>
            </w:tcBorders>
            <w:vAlign w:val="top"/>
            <w:hideMark/>
          </w:tcPr>
          <w:p w14:paraId="13590304" w14:textId="77777777" w:rsidR="00901B4C" w:rsidRPr="00967AC5" w:rsidRDefault="00901B4C">
            <w:pPr>
              <w:pStyle w:val="ECCTabletext"/>
            </w:pPr>
            <w:r w:rsidRPr="00967AC5">
              <w:t>–15 dBm (Note 4, 8)</w:t>
            </w:r>
          </w:p>
        </w:tc>
        <w:tc>
          <w:tcPr>
            <w:tcW w:w="0" w:type="pct"/>
            <w:tcBorders>
              <w:top w:val="single" w:sz="4" w:space="0" w:color="D22A23"/>
              <w:left w:val="single" w:sz="4" w:space="0" w:color="D22A23"/>
              <w:bottom w:val="single" w:sz="4" w:space="0" w:color="D22A23"/>
              <w:right w:val="single" w:sz="4" w:space="0" w:color="D22A23"/>
            </w:tcBorders>
            <w:vAlign w:val="top"/>
            <w:hideMark/>
          </w:tcPr>
          <w:p w14:paraId="58D56C3F" w14:textId="77777777" w:rsidR="00901B4C" w:rsidRPr="00967AC5" w:rsidRDefault="00901B4C">
            <w:pPr>
              <w:pStyle w:val="ECCTabletext"/>
            </w:pPr>
            <w:r w:rsidRPr="00967AC5">
              <w:t xml:space="preserve">1 MHz </w:t>
            </w:r>
          </w:p>
        </w:tc>
      </w:tr>
      <w:tr w:rsidR="00901B4C" w:rsidRPr="00967AC5" w14:paraId="6A0EF0D6" w14:textId="77777777" w:rsidTr="00922DDC">
        <w:trPr>
          <w:trHeight w:val="265"/>
        </w:trPr>
        <w:tc>
          <w:tcPr>
            <w:tcW w:w="5000" w:type="pct"/>
            <w:gridSpan w:val="4"/>
            <w:tcBorders>
              <w:top w:val="single" w:sz="4" w:space="0" w:color="D22A23"/>
              <w:left w:val="single" w:sz="4" w:space="0" w:color="D22A23"/>
              <w:bottom w:val="single" w:sz="4" w:space="0" w:color="D22A23"/>
              <w:right w:val="single" w:sz="4" w:space="0" w:color="D22A23"/>
            </w:tcBorders>
            <w:vAlign w:val="top"/>
          </w:tcPr>
          <w:p w14:paraId="29D27D73" w14:textId="77777777" w:rsidR="00645D85" w:rsidRPr="00967AC5" w:rsidRDefault="00901B4C" w:rsidP="00B123BC">
            <w:pPr>
              <w:pStyle w:val="ECCTablenote"/>
            </w:pPr>
            <w:r w:rsidRPr="00967AC5">
              <w:t>N</w:t>
            </w:r>
            <w:r w:rsidR="00DF7838" w:rsidRPr="00967AC5">
              <w:t>ote</w:t>
            </w:r>
            <w:r w:rsidRPr="00967AC5">
              <w:t xml:space="preserve"> 1: For operation with a GSM/EDGE or standalone NB-IoT or an E-UTRA 1.4 or 3 MHz carrier adjacent to the Base Station RF </w:t>
            </w:r>
          </w:p>
          <w:p w14:paraId="3BAAE5C2" w14:textId="03CB6306" w:rsidR="00901B4C" w:rsidRPr="00967AC5" w:rsidRDefault="00901B4C" w:rsidP="002505BC">
            <w:pPr>
              <w:pStyle w:val="ECCTablenote"/>
            </w:pPr>
            <w:r w:rsidRPr="00967AC5">
              <w:t xml:space="preserve">Bandwidth edge, the limits in </w:t>
            </w:r>
            <w:r w:rsidR="00F13B75" w:rsidRPr="00967AC5">
              <w:fldChar w:fldCharType="begin"/>
            </w:r>
            <w:r w:rsidR="00F13B75" w:rsidRPr="00967AC5">
              <w:instrText xml:space="preserve"> REF _Ref63674306 \h </w:instrText>
            </w:r>
            <w:r w:rsidR="002505BC" w:rsidRPr="00967AC5">
              <w:instrText xml:space="preserve"> \* MERGEFORMAT </w:instrText>
            </w:r>
            <w:r w:rsidR="00F13B75" w:rsidRPr="00967AC5">
              <w:fldChar w:fldCharType="separate"/>
            </w:r>
            <w:r w:rsidR="00680BB5" w:rsidRPr="00967AC5">
              <w:t xml:space="preserve">Table </w:t>
            </w:r>
            <w:r w:rsidR="00680BB5" w:rsidRPr="00967AC5">
              <w:rPr>
                <w:noProof/>
              </w:rPr>
              <w:t>18</w:t>
            </w:r>
            <w:r w:rsidR="00F13B75" w:rsidRPr="00967AC5">
              <w:fldChar w:fldCharType="end"/>
            </w:r>
            <w:r w:rsidRPr="00967AC5">
              <w:t xml:space="preserve"> apply for 0 MHz </w:t>
            </w:r>
            <w:r w:rsidRPr="00967AC5">
              <w:rPr>
                <w:rFonts w:ascii="Symbol" w:eastAsia="Symbol" w:hAnsi="Symbol" w:cs="Symbol"/>
              </w:rPr>
              <w:t></w:t>
            </w:r>
            <w:r w:rsidRPr="00967AC5">
              <w:t xml:space="preserve"> </w:t>
            </w:r>
            <w:r w:rsidRPr="00967AC5">
              <w:rPr>
                <w:rFonts w:ascii="Symbol" w:eastAsia="Symbol" w:hAnsi="Symbol" w:cs="Symbol"/>
              </w:rPr>
              <w:t></w:t>
            </w:r>
            <w:r w:rsidRPr="00967AC5">
              <w:t>f &lt; 0.15 MHz.</w:t>
            </w:r>
          </w:p>
          <w:p w14:paraId="263D07F7" w14:textId="53C891BF" w:rsidR="00901B4C" w:rsidRPr="00967AC5" w:rsidRDefault="00DF7838" w:rsidP="00B123BC">
            <w:pPr>
              <w:pStyle w:val="ECCTablenote"/>
            </w:pPr>
            <w:r w:rsidRPr="00967AC5">
              <w:t>Note</w:t>
            </w:r>
            <w:r w:rsidR="00901B4C" w:rsidRPr="00967AC5">
              <w:t xml:space="preserve"> 2: For MSR BS supporting non-contiguous spectrum operation within any operating band the minimum requirement within sub-block gaps is calculated as a cumulative sum of contributions from adjacent sub-blocks on each side of the sub-block gap, where the contribution from the far-end sub-block shall be scaled according to the measurement bandwidth of the near-end sub-block. Exception is </w:t>
            </w:r>
            <w:r w:rsidR="00901B4C" w:rsidRPr="00967AC5">
              <w:sym w:font="Symbol" w:char="F044"/>
            </w:r>
            <w:r w:rsidR="00901B4C" w:rsidRPr="00967AC5">
              <w:t xml:space="preserve">f ≥ 10MHz from both adjacent sub-blocks on each side of the sub-block gap, where the minimum requirement within sub-block gaps shall be -15dBm/MHz (for MSR BS supporting multi-band operation, either this limit or -16dBm/100kHz with correspondingly adjusted </w:t>
            </w:r>
            <w:proofErr w:type="spellStart"/>
            <w:r w:rsidR="00901B4C" w:rsidRPr="00967AC5">
              <w:t>f_offset</w:t>
            </w:r>
            <w:proofErr w:type="spellEnd"/>
            <w:r w:rsidR="00901B4C" w:rsidRPr="00967AC5">
              <w:t xml:space="preserve"> shall apply for this frequency offset range for operating bands &lt;1GHz).</w:t>
            </w:r>
          </w:p>
          <w:p w14:paraId="0E6742F5" w14:textId="2A671EF8" w:rsidR="00901B4C" w:rsidRPr="00967AC5" w:rsidRDefault="00DF7838" w:rsidP="002505BC">
            <w:pPr>
              <w:pStyle w:val="ECCTablenote"/>
            </w:pPr>
            <w:r w:rsidRPr="00967AC5">
              <w:t>Note</w:t>
            </w:r>
            <w:r w:rsidR="00901B4C" w:rsidRPr="00967AC5">
              <w:t xml:space="preserve"> 3: For MSR BS supporting multi-band operation with Inter RF Bandwidth gap &lt; 2×</w:t>
            </w:r>
            <w:r w:rsidR="00901B4C" w:rsidRPr="00967AC5">
              <w:sym w:font="Symbol" w:char="F044"/>
            </w:r>
            <w:proofErr w:type="spellStart"/>
            <w:r w:rsidR="00901B4C" w:rsidRPr="00967AC5">
              <w:t>f</w:t>
            </w:r>
            <w:r w:rsidR="00901B4C" w:rsidRPr="00967AC5">
              <w:rPr>
                <w:rStyle w:val="ECCHLsubscript"/>
                <w:vertAlign w:val="baseline"/>
              </w:rPr>
              <w:t>OBUE</w:t>
            </w:r>
            <w:proofErr w:type="spellEnd"/>
            <w:r w:rsidR="00901B4C" w:rsidRPr="00967AC5">
              <w:t xml:space="preserve"> operation the minimum requirement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2A807BA2" w14:textId="35CAD46E" w:rsidR="00901B4C" w:rsidRPr="00967AC5" w:rsidRDefault="00DF7838" w:rsidP="002505BC">
            <w:pPr>
              <w:pStyle w:val="ECCTablenote"/>
            </w:pPr>
            <w:r w:rsidRPr="00967AC5">
              <w:t>Note</w:t>
            </w:r>
            <w:r w:rsidR="00901B4C" w:rsidRPr="00967AC5">
              <w:t xml:space="preserve"> 4: For MSR BS supporting multi-band operation, either this limit or -16dBm/100kHz with correspondingly adjusted </w:t>
            </w:r>
            <w:proofErr w:type="spellStart"/>
            <w:r w:rsidR="00901B4C" w:rsidRPr="00967AC5">
              <w:t>f_offset</w:t>
            </w:r>
            <w:proofErr w:type="spellEnd"/>
            <w:r w:rsidR="00901B4C" w:rsidRPr="00967AC5">
              <w:t xml:space="preserve"> shall apply for this frequency offset range for operating bands &lt;1GHz.</w:t>
            </w:r>
          </w:p>
          <w:p w14:paraId="1E13CC65" w14:textId="74A930FD" w:rsidR="00901B4C" w:rsidRPr="00967AC5" w:rsidRDefault="00DF7838" w:rsidP="002505BC">
            <w:pPr>
              <w:pStyle w:val="ECCTablenote"/>
            </w:pPr>
            <w:r w:rsidRPr="00967AC5">
              <w:t>Note</w:t>
            </w:r>
            <w:r w:rsidR="00901B4C" w:rsidRPr="00967AC5">
              <w:t xml:space="preserve"> 6: This frequency range ensures that the range of values of </w:t>
            </w:r>
            <w:proofErr w:type="spellStart"/>
            <w:r w:rsidR="00901B4C" w:rsidRPr="00967AC5">
              <w:t>f_offset</w:t>
            </w:r>
            <w:proofErr w:type="spellEnd"/>
            <w:r w:rsidR="00901B4C" w:rsidRPr="00967AC5">
              <w:t xml:space="preserve"> is continuous.</w:t>
            </w:r>
          </w:p>
          <w:p w14:paraId="789510A9" w14:textId="5B7EE8B2" w:rsidR="00901B4C" w:rsidRPr="00967AC5" w:rsidRDefault="00DF7838" w:rsidP="002505BC">
            <w:pPr>
              <w:pStyle w:val="ECCTablenote"/>
            </w:pPr>
            <w:r w:rsidRPr="00967AC5">
              <w:t>Note</w:t>
            </w:r>
            <w:r w:rsidR="00901B4C" w:rsidRPr="00967AC5">
              <w:t xml:space="preserve"> 7: 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097C936" w14:textId="7113CAF5" w:rsidR="00901B4C" w:rsidRPr="00967AC5" w:rsidRDefault="00DF7838" w:rsidP="002505BC">
            <w:pPr>
              <w:pStyle w:val="ECCTablenote"/>
            </w:pPr>
            <w:r w:rsidRPr="00967AC5">
              <w:t>Note</w:t>
            </w:r>
            <w:r w:rsidR="00901B4C" w:rsidRPr="00967AC5">
              <w:t xml:space="preserve"> 8: The requirement is not applicable when </w:t>
            </w:r>
            <w:r w:rsidR="00901B4C" w:rsidRPr="00967AC5">
              <w:rPr>
                <w:rFonts w:ascii="Symbol" w:eastAsia="Symbol" w:hAnsi="Symbol" w:cs="Symbol"/>
              </w:rPr>
              <w:t></w:t>
            </w:r>
            <w:r w:rsidR="00901B4C" w:rsidRPr="00967AC5">
              <w:t xml:space="preserve">fmax &lt; </w:t>
            </w:r>
            <w:r w:rsidR="00901B4C" w:rsidRPr="00967AC5">
              <w:rPr>
                <w:rFonts w:ascii="Symbol" w:eastAsia="Symbol" w:hAnsi="Symbol" w:cs="Symbol"/>
              </w:rPr>
              <w:t></w:t>
            </w:r>
            <w:proofErr w:type="spellStart"/>
            <w:r w:rsidR="00901B4C" w:rsidRPr="00967AC5">
              <w:t>f</w:t>
            </w:r>
            <w:r w:rsidR="00901B4C" w:rsidRPr="00967AC5">
              <w:rPr>
                <w:rStyle w:val="ECCHLsubscript"/>
              </w:rPr>
              <w:t>OBUE</w:t>
            </w:r>
            <w:proofErr w:type="spellEnd"/>
            <w:r w:rsidR="00901B4C" w:rsidRPr="00967AC5">
              <w:t>.</w:t>
            </w:r>
          </w:p>
        </w:tc>
      </w:tr>
    </w:tbl>
    <w:p w14:paraId="4016F4AE" w14:textId="71932565" w:rsidR="00901B4C" w:rsidRPr="00967AC5" w:rsidRDefault="000E3DF8" w:rsidP="003D34A7">
      <w:pPr>
        <w:pStyle w:val="Caption"/>
        <w:keepNext/>
        <w:rPr>
          <w:lang w:val="en-GB"/>
        </w:rPr>
      </w:pPr>
      <w:bookmarkStart w:id="190" w:name="_Ref63674306"/>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18</w:t>
      </w:r>
      <w:r w:rsidRPr="00967AC5">
        <w:rPr>
          <w:lang w:val="en-GB"/>
        </w:rPr>
        <w:fldChar w:fldCharType="end"/>
      </w:r>
      <w:bookmarkEnd w:id="190"/>
      <w:r w:rsidR="00901B4C" w:rsidRPr="00967AC5">
        <w:rPr>
          <w:lang w:val="en-GB"/>
        </w:rPr>
        <w:t>: Wide Area operating band unwanted emission limits for operation in BC2 with GSM/EDGE or standalone NB-IoT or E-UTRA 1.4 or 3 MHz carriers adjacent to the Base Station RF Bandwidth edge</w:t>
      </w:r>
      <w:r w:rsidR="00B55C54" w:rsidRPr="00967AC5">
        <w:rPr>
          <w:lang w:val="en-GB"/>
        </w:rPr>
        <w:t xml:space="preserve"> (</w:t>
      </w:r>
      <w:r w:rsidR="00B55C54" w:rsidRPr="00967AC5">
        <w:rPr>
          <w:rFonts w:eastAsia="Calibri"/>
          <w:lang w:val="en-GB"/>
        </w:rPr>
        <w:t xml:space="preserve">ETSI TS 137 </w:t>
      </w:r>
      <w:r w:rsidR="00ED2009" w:rsidRPr="00967AC5">
        <w:rPr>
          <w:rFonts w:eastAsia="Calibri"/>
          <w:lang w:val="en-GB"/>
        </w:rPr>
        <w:t>10</w:t>
      </w:r>
      <w:r w:rsidR="00ED2009">
        <w:rPr>
          <w:rFonts w:eastAsia="Calibri"/>
          <w:lang w:val="en-GB"/>
        </w:rPr>
        <w:t>4</w:t>
      </w:r>
      <w:r w:rsidR="00ED2009" w:rsidRPr="00967AC5">
        <w:rPr>
          <w:rFonts w:eastAsia="Calibri"/>
          <w:lang w:val="en-GB"/>
        </w:rPr>
        <w:t xml:space="preserve"> </w:t>
      </w:r>
      <w:r w:rsidR="00B55C54" w:rsidRPr="00967AC5">
        <w:rPr>
          <w:rFonts w:eastAsia="Calibri"/>
          <w:lang w:val="en-GB"/>
        </w:rPr>
        <w:t>Table</w:t>
      </w:r>
      <w:r w:rsidR="00B55C54" w:rsidRPr="00967AC5">
        <w:rPr>
          <w:lang w:val="en-GB"/>
        </w:rPr>
        <w:t xml:space="preserve"> 6.6.2.2-2</w:t>
      </w:r>
      <w:r w:rsidR="00902071" w:rsidRPr="00967AC5">
        <w:rPr>
          <w:rFonts w:eastAsia="Calibri"/>
          <w:lang w:val="en-GB"/>
        </w:rPr>
        <w:t xml:space="preserve"> </w:t>
      </w:r>
      <w:r w:rsidR="00ED2009">
        <w:rPr>
          <w:rFonts w:eastAsia="Calibri"/>
          <w:lang w:val="en-GB"/>
        </w:rPr>
        <w:fldChar w:fldCharType="begin"/>
      </w:r>
      <w:r w:rsidR="00ED2009">
        <w:rPr>
          <w:rFonts w:eastAsia="Calibri"/>
          <w:lang w:val="en-GB"/>
        </w:rPr>
        <w:instrText xml:space="preserve"> REF _Ref75957808 \r \h </w:instrText>
      </w:r>
      <w:r w:rsidR="00ED2009">
        <w:rPr>
          <w:rFonts w:eastAsia="Calibri"/>
          <w:lang w:val="en-GB"/>
        </w:rPr>
      </w:r>
      <w:r w:rsidR="00ED2009">
        <w:rPr>
          <w:rFonts w:eastAsia="Calibri"/>
          <w:lang w:val="en-GB"/>
        </w:rPr>
        <w:fldChar w:fldCharType="separate"/>
      </w:r>
      <w:r w:rsidR="00ED2009">
        <w:rPr>
          <w:rFonts w:eastAsia="Calibri"/>
          <w:lang w:val="en-GB"/>
        </w:rPr>
        <w:t>[22]</w:t>
      </w:r>
      <w:r w:rsidR="00ED2009">
        <w:rPr>
          <w:rFonts w:eastAsia="Calibri"/>
          <w:lang w:val="en-GB"/>
        </w:rPr>
        <w:fldChar w:fldCharType="end"/>
      </w:r>
      <w:r w:rsidR="00B55C54" w:rsidRPr="00967AC5">
        <w:rPr>
          <w:lang w:val="en-GB"/>
        </w:rPr>
        <w:t>)</w:t>
      </w:r>
    </w:p>
    <w:tbl>
      <w:tblPr>
        <w:tblStyle w:val="ECCTable-redheader"/>
        <w:tblW w:w="4764" w:type="pct"/>
        <w:tblInd w:w="0" w:type="dxa"/>
        <w:tblLook w:val="04A0" w:firstRow="1" w:lastRow="0" w:firstColumn="1" w:lastColumn="0" w:noHBand="0" w:noVBand="1"/>
      </w:tblPr>
      <w:tblGrid>
        <w:gridCol w:w="2691"/>
        <w:gridCol w:w="2349"/>
        <w:gridCol w:w="2628"/>
        <w:gridCol w:w="1507"/>
      </w:tblGrid>
      <w:tr w:rsidR="00494026" w:rsidRPr="00967AC5" w14:paraId="4706826E" w14:textId="77777777" w:rsidTr="00153969">
        <w:trPr>
          <w:cnfStyle w:val="100000000000" w:firstRow="1" w:lastRow="0" w:firstColumn="0" w:lastColumn="0" w:oddVBand="0" w:evenVBand="0" w:oddHBand="0" w:evenHBand="0" w:firstRowFirstColumn="0" w:firstRowLastColumn="0" w:lastRowFirstColumn="0" w:lastRowLastColumn="0"/>
        </w:trPr>
        <w:tc>
          <w:tcPr>
            <w:tcW w:w="1466" w:type="pct"/>
            <w:tcBorders>
              <w:top w:val="single" w:sz="4" w:space="0" w:color="FFFFFF" w:themeColor="background1"/>
              <w:left w:val="single" w:sz="4" w:space="0" w:color="FFFFFF" w:themeColor="background1"/>
              <w:bottom w:val="single" w:sz="4" w:space="0" w:color="FFFFFF" w:themeColor="background1"/>
            </w:tcBorders>
            <w:vAlign w:val="top"/>
            <w:hideMark/>
          </w:tcPr>
          <w:p w14:paraId="0CC48858" w14:textId="77777777" w:rsidR="00901B4C" w:rsidRPr="00967AC5" w:rsidRDefault="00901B4C" w:rsidP="002505BC">
            <w:pPr>
              <w:pStyle w:val="ECCTableHeaderwhitefont"/>
              <w:keepNext/>
              <w:rPr>
                <w:lang w:val="en-GB"/>
              </w:rPr>
            </w:pPr>
            <w:r w:rsidRPr="00967AC5">
              <w:rPr>
                <w:lang w:val="en-GB"/>
              </w:rPr>
              <w:t xml:space="preserve">Frequency offset of measurement filter –3dB point, </w:t>
            </w:r>
            <w:r w:rsidRPr="00967AC5">
              <w:rPr>
                <w:rFonts w:ascii="Symbol" w:eastAsia="Symbol" w:hAnsi="Symbol" w:cs="Symbol"/>
                <w:lang w:val="en-GB"/>
              </w:rPr>
              <w:sym w:font="Symbol" w:char="F044"/>
            </w:r>
            <w:r w:rsidRPr="00967AC5">
              <w:rPr>
                <w:lang w:val="en-GB"/>
              </w:rPr>
              <w:t>f</w:t>
            </w:r>
          </w:p>
        </w:tc>
        <w:tc>
          <w:tcPr>
            <w:tcW w:w="1280" w:type="pct"/>
            <w:tcBorders>
              <w:top w:val="single" w:sz="4" w:space="0" w:color="FFFFFF" w:themeColor="background1"/>
              <w:bottom w:val="single" w:sz="4" w:space="0" w:color="FFFFFF" w:themeColor="background1"/>
            </w:tcBorders>
            <w:vAlign w:val="top"/>
            <w:hideMark/>
          </w:tcPr>
          <w:p w14:paraId="6AAF5662" w14:textId="77777777" w:rsidR="00901B4C" w:rsidRPr="00967AC5" w:rsidRDefault="00901B4C" w:rsidP="002505BC">
            <w:pPr>
              <w:pStyle w:val="ECCTableHeaderwhitefont"/>
              <w:keepNext/>
              <w:rPr>
                <w:lang w:val="en-GB"/>
              </w:rPr>
            </w:pPr>
            <w:r w:rsidRPr="00967AC5">
              <w:rPr>
                <w:lang w:val="en-GB"/>
              </w:rPr>
              <w:t xml:space="preserve">Frequency offset of measurement filter centre frequency, </w:t>
            </w:r>
            <w:proofErr w:type="spellStart"/>
            <w:r w:rsidRPr="00967AC5">
              <w:rPr>
                <w:lang w:val="en-GB"/>
              </w:rPr>
              <w:t>f_offset</w:t>
            </w:r>
            <w:proofErr w:type="spellEnd"/>
          </w:p>
        </w:tc>
        <w:tc>
          <w:tcPr>
            <w:tcW w:w="1432" w:type="pct"/>
            <w:tcBorders>
              <w:top w:val="single" w:sz="4" w:space="0" w:color="FFFFFF" w:themeColor="background1"/>
              <w:bottom w:val="single" w:sz="4" w:space="0" w:color="FFFFFF" w:themeColor="background1"/>
            </w:tcBorders>
            <w:vAlign w:val="top"/>
            <w:hideMark/>
          </w:tcPr>
          <w:p w14:paraId="6391D334" w14:textId="77777777" w:rsidR="00901B4C" w:rsidRPr="00967AC5" w:rsidRDefault="00901B4C" w:rsidP="002505BC">
            <w:pPr>
              <w:pStyle w:val="ECCTableHeaderwhitefont"/>
              <w:keepNext/>
              <w:rPr>
                <w:lang w:val="en-GB"/>
              </w:rPr>
            </w:pPr>
            <w:r w:rsidRPr="00967AC5">
              <w:rPr>
                <w:lang w:val="en-GB"/>
              </w:rPr>
              <w:t>Minimum requirement</w:t>
            </w:r>
            <w:r w:rsidRPr="00967AC5">
              <w:rPr>
                <w:lang w:val="en-GB"/>
              </w:rPr>
              <w:br/>
              <w:t>(Note 1, 2, 3,4, 5)</w:t>
            </w:r>
          </w:p>
        </w:tc>
        <w:tc>
          <w:tcPr>
            <w:tcW w:w="821" w:type="pct"/>
            <w:tcBorders>
              <w:top w:val="single" w:sz="4" w:space="0" w:color="FFFFFF" w:themeColor="background1"/>
              <w:bottom w:val="single" w:sz="4" w:space="0" w:color="FFFFFF" w:themeColor="background1"/>
              <w:right w:val="single" w:sz="4" w:space="0" w:color="FFFFFF" w:themeColor="background1"/>
            </w:tcBorders>
            <w:vAlign w:val="top"/>
            <w:hideMark/>
          </w:tcPr>
          <w:p w14:paraId="6C60576B" w14:textId="77777777" w:rsidR="00901B4C" w:rsidRPr="00967AC5" w:rsidRDefault="00901B4C" w:rsidP="002505BC">
            <w:pPr>
              <w:pStyle w:val="ECCTableHeaderwhitefont"/>
              <w:keepNext/>
              <w:rPr>
                <w:lang w:val="en-GB"/>
              </w:rPr>
            </w:pPr>
            <w:r w:rsidRPr="00967AC5">
              <w:rPr>
                <w:lang w:val="en-GB"/>
              </w:rPr>
              <w:t>Measurement bandwidth</w:t>
            </w:r>
            <w:r w:rsidRPr="00967AC5">
              <w:rPr>
                <w:lang w:val="en-GB"/>
              </w:rPr>
              <w:br/>
              <w:t>(Note 7)</w:t>
            </w:r>
          </w:p>
        </w:tc>
      </w:tr>
      <w:tr w:rsidR="00494026" w:rsidRPr="00967AC5" w14:paraId="68D02457" w14:textId="77777777" w:rsidTr="003D34A7">
        <w:trPr>
          <w:trHeight w:val="265"/>
        </w:trPr>
        <w:tc>
          <w:tcPr>
            <w:tcW w:w="1466" w:type="pct"/>
            <w:tcBorders>
              <w:top w:val="single" w:sz="4" w:space="0" w:color="FFFFFF" w:themeColor="background1"/>
              <w:left w:val="single" w:sz="4" w:space="0" w:color="D22A23"/>
              <w:bottom w:val="single" w:sz="4" w:space="0" w:color="D22A23"/>
              <w:right w:val="single" w:sz="4" w:space="0" w:color="D22A23"/>
            </w:tcBorders>
            <w:vAlign w:val="top"/>
            <w:hideMark/>
          </w:tcPr>
          <w:p w14:paraId="5FC698CA" w14:textId="77777777" w:rsidR="00901B4C" w:rsidRPr="00967AC5" w:rsidRDefault="00901B4C" w:rsidP="003D34A7">
            <w:pPr>
              <w:pStyle w:val="ECCTabletext"/>
              <w:keepNext/>
            </w:pPr>
            <w:r w:rsidRPr="00967AC5">
              <w:t xml:space="preserve">0 MHz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f &lt; 0.05 MHz</w:t>
            </w:r>
          </w:p>
        </w:tc>
        <w:tc>
          <w:tcPr>
            <w:tcW w:w="1280" w:type="pct"/>
            <w:tcBorders>
              <w:top w:val="single" w:sz="4" w:space="0" w:color="FFFFFF" w:themeColor="background1"/>
              <w:left w:val="single" w:sz="4" w:space="0" w:color="D22A23"/>
              <w:bottom w:val="single" w:sz="4" w:space="0" w:color="D22A23"/>
              <w:right w:val="single" w:sz="4" w:space="0" w:color="D22A23"/>
            </w:tcBorders>
            <w:vAlign w:val="top"/>
            <w:hideMark/>
          </w:tcPr>
          <w:p w14:paraId="60E06DA0" w14:textId="77777777" w:rsidR="00901B4C" w:rsidRPr="00967AC5" w:rsidRDefault="00901B4C" w:rsidP="003D34A7">
            <w:pPr>
              <w:pStyle w:val="ECCTabletext"/>
              <w:keepNext/>
            </w:pPr>
            <w:r w:rsidRPr="00967AC5">
              <w:t xml:space="preserve">0.015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0.065 MHz </w:t>
            </w:r>
          </w:p>
        </w:tc>
        <w:tc>
          <w:tcPr>
            <w:tcW w:w="1432" w:type="pct"/>
            <w:tcBorders>
              <w:top w:val="single" w:sz="4" w:space="0" w:color="FFFFFF" w:themeColor="background1"/>
              <w:left w:val="single" w:sz="4" w:space="0" w:color="D22A23"/>
              <w:bottom w:val="single" w:sz="4" w:space="0" w:color="D22A23"/>
              <w:right w:val="single" w:sz="4" w:space="0" w:color="D22A23"/>
            </w:tcBorders>
            <w:vAlign w:val="top"/>
            <w:hideMark/>
          </w:tcPr>
          <w:p w14:paraId="1CDA70B7" w14:textId="77777777" w:rsidR="00901B4C" w:rsidRPr="00967AC5" w:rsidRDefault="00901B4C" w:rsidP="003D34A7">
            <w:pPr>
              <w:pStyle w:val="ECCTabletext"/>
              <w:keepNext/>
              <w:jc w:val="left"/>
            </w:pPr>
            <w:r w:rsidRPr="00967AC5">
              <w:t>Max(5 dBm − 60·(</w:t>
            </w:r>
            <w:proofErr w:type="spellStart"/>
            <w:r w:rsidRPr="00967AC5">
              <w:t>f_offset</w:t>
            </w:r>
            <w:proofErr w:type="spellEnd"/>
            <w:r w:rsidRPr="00967AC5">
              <w:t>/MHz – 0.015) dB + X dB, −14 dBm</w:t>
            </w:r>
          </w:p>
        </w:tc>
        <w:tc>
          <w:tcPr>
            <w:tcW w:w="821" w:type="pct"/>
            <w:tcBorders>
              <w:top w:val="single" w:sz="4" w:space="0" w:color="FFFFFF" w:themeColor="background1"/>
              <w:left w:val="single" w:sz="4" w:space="0" w:color="D22A23"/>
              <w:bottom w:val="single" w:sz="4" w:space="0" w:color="D22A23"/>
              <w:right w:val="single" w:sz="4" w:space="0" w:color="D22A23"/>
            </w:tcBorders>
            <w:vAlign w:val="top"/>
            <w:hideMark/>
          </w:tcPr>
          <w:p w14:paraId="0322CAF1" w14:textId="77777777" w:rsidR="00901B4C" w:rsidRPr="00967AC5" w:rsidRDefault="00901B4C" w:rsidP="003D34A7">
            <w:pPr>
              <w:pStyle w:val="ECCTabletext"/>
              <w:keepNext/>
            </w:pPr>
            <w:r w:rsidRPr="00967AC5">
              <w:t xml:space="preserve">30 kHz </w:t>
            </w:r>
          </w:p>
        </w:tc>
      </w:tr>
      <w:tr w:rsidR="00367403" w:rsidRPr="00967AC5" w14:paraId="478F4B12" w14:textId="77777777" w:rsidTr="002505BC">
        <w:trPr>
          <w:trHeight w:val="265"/>
        </w:trPr>
        <w:tc>
          <w:tcPr>
            <w:tcW w:w="0" w:type="pct"/>
            <w:tcBorders>
              <w:top w:val="single" w:sz="4" w:space="0" w:color="D22A23"/>
              <w:left w:val="single" w:sz="4" w:space="0" w:color="D22A23"/>
              <w:bottom w:val="single" w:sz="4" w:space="0" w:color="D22A23"/>
              <w:right w:val="single" w:sz="4" w:space="0" w:color="D22A23"/>
            </w:tcBorders>
            <w:vAlign w:val="top"/>
            <w:hideMark/>
          </w:tcPr>
          <w:p w14:paraId="140EFE91" w14:textId="77777777" w:rsidR="00901B4C" w:rsidRPr="00967AC5" w:rsidRDefault="00901B4C" w:rsidP="003D34A7">
            <w:pPr>
              <w:pStyle w:val="ECCTabletext"/>
              <w:keepNext/>
            </w:pPr>
            <w:r w:rsidRPr="00967AC5">
              <w:t xml:space="preserve">0.05 MHz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f &lt; 0.15 MHz</w:t>
            </w:r>
          </w:p>
        </w:tc>
        <w:tc>
          <w:tcPr>
            <w:tcW w:w="0" w:type="pct"/>
            <w:tcBorders>
              <w:top w:val="single" w:sz="4" w:space="0" w:color="D22A23"/>
              <w:left w:val="single" w:sz="4" w:space="0" w:color="D22A23"/>
              <w:bottom w:val="single" w:sz="4" w:space="0" w:color="D22A23"/>
              <w:right w:val="single" w:sz="4" w:space="0" w:color="D22A23"/>
            </w:tcBorders>
            <w:vAlign w:val="top"/>
            <w:hideMark/>
          </w:tcPr>
          <w:p w14:paraId="1E48CCCE" w14:textId="77777777" w:rsidR="00901B4C" w:rsidRPr="00967AC5" w:rsidRDefault="00901B4C" w:rsidP="003D34A7">
            <w:pPr>
              <w:pStyle w:val="ECCTabletext"/>
              <w:keepNext/>
            </w:pPr>
            <w:r w:rsidRPr="00967AC5">
              <w:t xml:space="preserve">0.065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0.165 MHz </w:t>
            </w:r>
          </w:p>
        </w:tc>
        <w:tc>
          <w:tcPr>
            <w:tcW w:w="0" w:type="pct"/>
            <w:tcBorders>
              <w:top w:val="single" w:sz="4" w:space="0" w:color="D22A23"/>
              <w:left w:val="single" w:sz="4" w:space="0" w:color="D22A23"/>
              <w:bottom w:val="single" w:sz="4" w:space="0" w:color="D22A23"/>
              <w:right w:val="single" w:sz="4" w:space="0" w:color="D22A23"/>
            </w:tcBorders>
            <w:vAlign w:val="top"/>
            <w:hideMark/>
          </w:tcPr>
          <w:p w14:paraId="69E5C34A" w14:textId="77777777" w:rsidR="00901B4C" w:rsidRPr="00967AC5" w:rsidRDefault="00901B4C" w:rsidP="003D34A7">
            <w:pPr>
              <w:pStyle w:val="ECCTabletext"/>
              <w:keepNext/>
              <w:jc w:val="left"/>
            </w:pPr>
            <w:r w:rsidRPr="00967AC5">
              <w:t xml:space="preserve">Max(2 dBm – 160·( </w:t>
            </w:r>
            <w:proofErr w:type="spellStart"/>
            <w:r w:rsidRPr="00967AC5">
              <w:t>f_offset</w:t>
            </w:r>
            <w:proofErr w:type="spellEnd"/>
            <w:r w:rsidRPr="00967AC5">
              <w:t>/MHz – 0.065) dB + X dB, −14 dBm)</w:t>
            </w:r>
          </w:p>
        </w:tc>
        <w:tc>
          <w:tcPr>
            <w:tcW w:w="0" w:type="pct"/>
            <w:tcBorders>
              <w:top w:val="single" w:sz="4" w:space="0" w:color="D22A23"/>
              <w:left w:val="single" w:sz="4" w:space="0" w:color="D22A23"/>
              <w:bottom w:val="single" w:sz="4" w:space="0" w:color="D22A23"/>
              <w:right w:val="single" w:sz="4" w:space="0" w:color="D22A23"/>
            </w:tcBorders>
            <w:vAlign w:val="top"/>
            <w:hideMark/>
          </w:tcPr>
          <w:p w14:paraId="2E81E086" w14:textId="77777777" w:rsidR="00901B4C" w:rsidRPr="00967AC5" w:rsidRDefault="00901B4C" w:rsidP="003D34A7">
            <w:pPr>
              <w:pStyle w:val="ECCTabletext"/>
              <w:keepNext/>
            </w:pPr>
            <w:r w:rsidRPr="00967AC5">
              <w:t xml:space="preserve">30 kHz </w:t>
            </w:r>
          </w:p>
        </w:tc>
      </w:tr>
      <w:tr w:rsidR="00901B4C" w:rsidRPr="00967AC5" w14:paraId="12F54FA4" w14:textId="77777777" w:rsidTr="002505BC">
        <w:trPr>
          <w:trHeight w:val="265"/>
        </w:trPr>
        <w:tc>
          <w:tcPr>
            <w:tcW w:w="0" w:type="pct"/>
            <w:gridSpan w:val="4"/>
            <w:tcBorders>
              <w:top w:val="single" w:sz="4" w:space="0" w:color="D22A23"/>
              <w:left w:val="single" w:sz="4" w:space="0" w:color="D22A23"/>
              <w:bottom w:val="single" w:sz="4" w:space="0" w:color="D22A23"/>
              <w:right w:val="single" w:sz="4" w:space="0" w:color="D22A23"/>
            </w:tcBorders>
            <w:vAlign w:val="top"/>
          </w:tcPr>
          <w:p w14:paraId="2FE55D55" w14:textId="57639928" w:rsidR="00901B4C" w:rsidRPr="00967AC5" w:rsidRDefault="00DF7838" w:rsidP="002505BC">
            <w:pPr>
              <w:pStyle w:val="ECCTablenote"/>
            </w:pPr>
            <w:r w:rsidRPr="00967AC5">
              <w:t>Note</w:t>
            </w:r>
            <w:r w:rsidR="00901B4C" w:rsidRPr="00967AC5">
              <w:t xml:space="preserve"> 1: The limits in this table only apply for operation with a GSM/EDGE or standalone NB-IoT or an E-UTRA 1.4 or 3 MHz carrier adjacent to the Base Station RF Bandwidth edge.</w:t>
            </w:r>
          </w:p>
          <w:p w14:paraId="0D3A42E0" w14:textId="090368FF" w:rsidR="00901B4C" w:rsidRPr="00967AC5" w:rsidRDefault="00DF7838" w:rsidP="002505BC">
            <w:pPr>
              <w:pStyle w:val="ECCTablenote"/>
            </w:pPr>
            <w:r w:rsidRPr="00967AC5">
              <w:t>Note</w:t>
            </w:r>
            <w:r w:rsidR="00901B4C" w:rsidRPr="00967AC5">
              <w:t xml:space="preserve"> 2: For MSR BS supporting non-contiguous spectrum operation within any operating band the minimum requirement within sub-block gaps is calculated as a cumulative sum of contributions from adjacent sub blocks on each side of the sub block gap. </w:t>
            </w:r>
          </w:p>
          <w:p w14:paraId="0F24394F" w14:textId="3D95339E" w:rsidR="00901B4C" w:rsidRPr="00967AC5" w:rsidRDefault="00DF7838" w:rsidP="002505BC">
            <w:pPr>
              <w:pStyle w:val="ECCTablenote"/>
            </w:pPr>
            <w:r w:rsidRPr="00967AC5">
              <w:t>Note</w:t>
            </w:r>
            <w:r w:rsidR="00901B4C" w:rsidRPr="00967AC5">
              <w:t xml:space="preserve"> 3: For MSR BS supporting multi-band operation with Inter RF Bandwidth gap &lt; 2×</w:t>
            </w:r>
            <w:r w:rsidR="00901B4C" w:rsidRPr="00967AC5">
              <w:sym w:font="Symbol" w:char="F044"/>
            </w:r>
            <w:proofErr w:type="spellStart"/>
            <w:r w:rsidR="00901B4C" w:rsidRPr="00967AC5">
              <w:t>f</w:t>
            </w:r>
            <w:r w:rsidR="00901B4C" w:rsidRPr="00967AC5">
              <w:rPr>
                <w:rStyle w:val="ECCHLsubscript"/>
                <w:vertAlign w:val="baseline"/>
              </w:rPr>
              <w:t>OBUE</w:t>
            </w:r>
            <w:proofErr w:type="spellEnd"/>
            <w:r w:rsidR="00901B4C" w:rsidRPr="00967AC5">
              <w:t xml:space="preserve"> the minimum requirement within the Inter RF Bandwidth gaps is calculated as a cumulative sum of contributions from adjacent sub-blocks or RF Bandwidth on each side of the Inter RF Bandwidth gap.</w:t>
            </w:r>
          </w:p>
          <w:p w14:paraId="7BB74C6F" w14:textId="70B85143" w:rsidR="00901B4C" w:rsidRPr="00967AC5" w:rsidRDefault="00DF7838" w:rsidP="002505BC">
            <w:pPr>
              <w:pStyle w:val="ECCTablenote"/>
            </w:pPr>
            <w:r w:rsidRPr="00967AC5">
              <w:t>Note</w:t>
            </w:r>
            <w:r w:rsidR="00901B4C" w:rsidRPr="00967AC5">
              <w:t xml:space="preserve"> 4: In case the carrier adjacent to the Base Station RF Bandwidth edge is a GSM/EDGE carrier, the value of X = </w:t>
            </w:r>
            <w:proofErr w:type="spellStart"/>
            <w:r w:rsidR="00901B4C" w:rsidRPr="00967AC5">
              <w:t>P</w:t>
            </w:r>
            <w:r w:rsidR="00901B4C" w:rsidRPr="00967AC5">
              <w:rPr>
                <w:rStyle w:val="ECCHLsubscript"/>
                <w:vertAlign w:val="baseline"/>
              </w:rPr>
              <w:t>GSMcarrier</w:t>
            </w:r>
            <w:proofErr w:type="spellEnd"/>
            <w:r w:rsidR="00901B4C" w:rsidRPr="00967AC5">
              <w:t xml:space="preserve"> – 43, where </w:t>
            </w:r>
            <w:proofErr w:type="spellStart"/>
            <w:r w:rsidR="00901B4C" w:rsidRPr="00967AC5">
              <w:t>P</w:t>
            </w:r>
            <w:r w:rsidR="00901B4C" w:rsidRPr="00967AC5">
              <w:rPr>
                <w:rStyle w:val="ECCHLsubscript"/>
                <w:vertAlign w:val="baseline"/>
              </w:rPr>
              <w:t>GSMcarrier</w:t>
            </w:r>
            <w:proofErr w:type="spellEnd"/>
            <w:r w:rsidR="00901B4C" w:rsidRPr="00967AC5">
              <w:t xml:space="preserve"> is the power level of the GSM/EDGE carrier adjacent to the Base Station RF Bandwidth edge. In other cases, X = 0.</w:t>
            </w:r>
          </w:p>
          <w:p w14:paraId="41FC3C21" w14:textId="5EA10259" w:rsidR="00901B4C" w:rsidRPr="00967AC5" w:rsidRDefault="00DF7838" w:rsidP="002505BC">
            <w:pPr>
              <w:pStyle w:val="ECCTablenote"/>
            </w:pPr>
            <w:r w:rsidRPr="00967AC5">
              <w:t>Note</w:t>
            </w:r>
            <w:r w:rsidR="00901B4C" w:rsidRPr="00967AC5">
              <w:t xml:space="preserve"> 5: In case the carrier adjacent to the RF bandwidth edge is a NB-IoT carrier, the value of X = P</w:t>
            </w:r>
            <w:r w:rsidR="00901B4C" w:rsidRPr="00967AC5">
              <w:rPr>
                <w:rStyle w:val="ECCHLsubscript"/>
                <w:vertAlign w:val="baseline"/>
              </w:rPr>
              <w:t>NB-</w:t>
            </w:r>
            <w:proofErr w:type="spellStart"/>
            <w:r w:rsidR="00901B4C" w:rsidRPr="00967AC5">
              <w:rPr>
                <w:rStyle w:val="ECCHLsubscript"/>
                <w:vertAlign w:val="baseline"/>
              </w:rPr>
              <w:t>IoTcarrier</w:t>
            </w:r>
            <w:proofErr w:type="spellEnd"/>
            <w:r w:rsidR="00901B4C" w:rsidRPr="00967AC5">
              <w:t xml:space="preserve"> – 43, where P</w:t>
            </w:r>
            <w:r w:rsidR="00901B4C" w:rsidRPr="00967AC5">
              <w:rPr>
                <w:rStyle w:val="ECCHLsubscript"/>
                <w:vertAlign w:val="baseline"/>
              </w:rPr>
              <w:t>NB-</w:t>
            </w:r>
            <w:proofErr w:type="spellStart"/>
            <w:r w:rsidR="00901B4C" w:rsidRPr="00967AC5">
              <w:rPr>
                <w:rStyle w:val="ECCHLsubscript"/>
                <w:vertAlign w:val="baseline"/>
              </w:rPr>
              <w:t>IoTcarrier</w:t>
            </w:r>
            <w:proofErr w:type="spellEnd"/>
            <w:r w:rsidR="00901B4C" w:rsidRPr="00967AC5">
              <w:t xml:space="preserve"> is the power level of the NB-IoT carrier adjacent to the RF bandwidth edge. In other cases, X = 0.</w:t>
            </w:r>
          </w:p>
          <w:p w14:paraId="5FF9F33D" w14:textId="03755F4D" w:rsidR="00901B4C" w:rsidRPr="00967AC5" w:rsidRDefault="00DF7838" w:rsidP="002505BC">
            <w:pPr>
              <w:pStyle w:val="ECCTablenote"/>
            </w:pPr>
            <w:r w:rsidRPr="00967AC5">
              <w:t>Note</w:t>
            </w:r>
            <w:r w:rsidR="00901B4C" w:rsidRPr="00967AC5">
              <w:t xml:space="preserve"> 7: 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762E00A4" w14:textId="77777777" w:rsidR="00A459BF" w:rsidRPr="00967AC5" w:rsidRDefault="00A459BF" w:rsidP="00773854">
      <w:pPr>
        <w:pStyle w:val="ECCAnnexheading2"/>
        <w:rPr>
          <w:lang w:val="en-GB"/>
        </w:rPr>
      </w:pPr>
      <w:r w:rsidRPr="00967AC5">
        <w:rPr>
          <w:lang w:val="en-GB"/>
        </w:rPr>
        <w:t>ASSUMPTIONS FOR DERIVING LRTCS FOR AAS BS FROM ETSI TS CORE SPECIFICATIONS</w:t>
      </w:r>
    </w:p>
    <w:p w14:paraId="7200BD27" w14:textId="77777777" w:rsidR="006215B5" w:rsidRPr="00967AC5" w:rsidRDefault="006215B5" w:rsidP="006215B5">
      <w:pPr>
        <w:pStyle w:val="ECCParagraph"/>
        <w:rPr>
          <w:rFonts w:eastAsia="Calibri"/>
        </w:rPr>
      </w:pPr>
      <w:r w:rsidRPr="00967AC5">
        <w:rPr>
          <w:rFonts w:eastAsia="Calibri"/>
        </w:rPr>
        <w:t>For AAS:</w:t>
      </w:r>
    </w:p>
    <w:p w14:paraId="216576A8" w14:textId="77777777" w:rsidR="006215B5" w:rsidRPr="00967AC5" w:rsidRDefault="006215B5" w:rsidP="006215B5">
      <w:pPr>
        <w:pStyle w:val="ECCParagraph"/>
        <w:rPr>
          <w:rFonts w:eastAsia="Calibri"/>
        </w:rPr>
      </w:pPr>
      <w:r w:rsidRPr="00967AC5">
        <w:rPr>
          <w:rFonts w:eastAsia="Calibri"/>
        </w:rPr>
        <w:t xml:space="preserve">CEPT agreed to derive </w:t>
      </w:r>
      <w:r w:rsidR="005E6E47" w:rsidRPr="00967AC5">
        <w:rPr>
          <w:rFonts w:eastAsia="Calibri"/>
        </w:rPr>
        <w:t xml:space="preserve">a </w:t>
      </w:r>
      <w:r w:rsidRPr="00967AC5">
        <w:rPr>
          <w:rFonts w:eastAsia="Calibri"/>
        </w:rPr>
        <w:t>single BEM for AAS BS based on AAS MSR BS unwanted emissions supporting UMTS, LTE (1.4 and 3 MHz, 5 MHz), NR;</w:t>
      </w:r>
    </w:p>
    <w:p w14:paraId="4C85DDAD" w14:textId="6C2882C4" w:rsidR="006215B5" w:rsidRPr="00967AC5" w:rsidRDefault="006215B5">
      <w:pPr>
        <w:pStyle w:val="ECCParagraph"/>
        <w:rPr>
          <w:rFonts w:eastAsia="Calibri"/>
        </w:rPr>
      </w:pPr>
      <w:r w:rsidRPr="00967AC5">
        <w:rPr>
          <w:rFonts w:eastAsia="Calibri"/>
        </w:rPr>
        <w:t>Source for ETSI TS core requirements</w:t>
      </w:r>
      <w:r w:rsidR="00E16C2E" w:rsidRPr="00967AC5">
        <w:rPr>
          <w:rFonts w:eastAsia="Calibri"/>
        </w:rPr>
        <w:t xml:space="preserve"> for </w:t>
      </w:r>
      <w:r w:rsidRPr="00967AC5">
        <w:rPr>
          <w:rFonts w:eastAsia="Calibri"/>
        </w:rPr>
        <w:t>MSR AAS BS</w:t>
      </w:r>
      <w:r w:rsidR="00E16C2E" w:rsidRPr="00967AC5">
        <w:rPr>
          <w:rFonts w:eastAsia="Calibri"/>
        </w:rPr>
        <w:t>:</w:t>
      </w:r>
      <w:r w:rsidRPr="00967AC5">
        <w:rPr>
          <w:rFonts w:eastAsia="Calibri"/>
        </w:rPr>
        <w:t xml:space="preserve"> ETSI TS 137 105 (version 15.8.0)</w:t>
      </w:r>
      <w:r w:rsidR="005E6E47" w:rsidRPr="00967AC5">
        <w:rPr>
          <w:rFonts w:eastAsia="Calibri"/>
        </w:rPr>
        <w:t>,</w:t>
      </w:r>
      <w:r w:rsidRPr="00967AC5">
        <w:rPr>
          <w:rFonts w:eastAsia="Calibri"/>
        </w:rPr>
        <w:t xml:space="preserve"> Table 9.7.5.2.3-1 </w:t>
      </w:r>
      <w:r w:rsidR="00E142CB" w:rsidRPr="00967AC5">
        <w:rPr>
          <w:rFonts w:eastAsia="Calibri"/>
        </w:rPr>
        <w:t>(</w:t>
      </w:r>
      <w:r w:rsidR="005E6E47" w:rsidRPr="00967AC5">
        <w:rPr>
          <w:rFonts w:eastAsia="Calibri"/>
        </w:rPr>
        <w:t xml:space="preserve">see </w:t>
      </w:r>
      <w:r w:rsidR="00E142CB" w:rsidRPr="00967AC5">
        <w:rPr>
          <w:rFonts w:eastAsia="Calibri"/>
        </w:rPr>
        <w:fldChar w:fldCharType="begin"/>
      </w:r>
      <w:r w:rsidR="00E142CB" w:rsidRPr="00967AC5">
        <w:rPr>
          <w:rFonts w:eastAsia="Calibri"/>
        </w:rPr>
        <w:instrText xml:space="preserve"> REF _Ref63686230 \h </w:instrText>
      </w:r>
      <w:r w:rsidR="00B123BC" w:rsidRPr="00967AC5">
        <w:rPr>
          <w:rFonts w:eastAsia="Calibri"/>
        </w:rPr>
        <w:instrText xml:space="preserve"> \* MERGEFORMAT </w:instrText>
      </w:r>
      <w:r w:rsidR="00E142CB" w:rsidRPr="00967AC5">
        <w:rPr>
          <w:rFonts w:eastAsia="Calibri"/>
        </w:rPr>
      </w:r>
      <w:r w:rsidR="00E142CB" w:rsidRPr="00967AC5">
        <w:rPr>
          <w:rFonts w:eastAsia="Calibri"/>
        </w:rPr>
        <w:fldChar w:fldCharType="separate"/>
      </w:r>
      <w:r w:rsidR="00680BB5" w:rsidRPr="00967AC5">
        <w:t xml:space="preserve">Table </w:t>
      </w:r>
      <w:r w:rsidR="00680BB5" w:rsidRPr="00967AC5">
        <w:rPr>
          <w:noProof/>
        </w:rPr>
        <w:t>19</w:t>
      </w:r>
      <w:r w:rsidR="00E142CB" w:rsidRPr="00967AC5">
        <w:rPr>
          <w:rFonts w:eastAsia="Calibri"/>
        </w:rPr>
        <w:fldChar w:fldCharType="end"/>
      </w:r>
      <w:r w:rsidR="00E142CB" w:rsidRPr="00967AC5">
        <w:rPr>
          <w:rFonts w:eastAsia="Calibri"/>
        </w:rPr>
        <w:t xml:space="preserve"> below) </w:t>
      </w:r>
      <w:r w:rsidRPr="00967AC5">
        <w:rPr>
          <w:rFonts w:eastAsia="Calibri"/>
        </w:rPr>
        <w:t>and 9.7.5.2.3-2</w:t>
      </w:r>
      <w:r w:rsidR="00E142CB" w:rsidRPr="00967AC5">
        <w:rPr>
          <w:rFonts w:eastAsia="Calibri"/>
        </w:rPr>
        <w:t xml:space="preserve"> (</w:t>
      </w:r>
      <w:r w:rsidR="005E6E47" w:rsidRPr="00967AC5">
        <w:rPr>
          <w:rFonts w:eastAsia="Calibri"/>
        </w:rPr>
        <w:t>see</w:t>
      </w:r>
      <w:r w:rsidR="00952488">
        <w:rPr>
          <w:rFonts w:eastAsia="Calibri"/>
        </w:rPr>
        <w:t xml:space="preserve"> </w:t>
      </w:r>
      <w:r w:rsidR="00952488">
        <w:rPr>
          <w:rFonts w:eastAsia="Calibri"/>
        </w:rPr>
        <w:fldChar w:fldCharType="begin"/>
      </w:r>
      <w:r w:rsidR="00952488">
        <w:rPr>
          <w:rFonts w:eastAsia="Calibri"/>
        </w:rPr>
        <w:instrText xml:space="preserve"> REF _Ref75960471 \h </w:instrText>
      </w:r>
      <w:r w:rsidR="00952488">
        <w:rPr>
          <w:rFonts w:eastAsia="Calibri"/>
        </w:rPr>
      </w:r>
      <w:r w:rsidR="00952488">
        <w:rPr>
          <w:rFonts w:eastAsia="Calibri"/>
        </w:rPr>
        <w:fldChar w:fldCharType="separate"/>
      </w:r>
      <w:r w:rsidR="00952488" w:rsidRPr="00967AC5">
        <w:t xml:space="preserve">Table </w:t>
      </w:r>
      <w:r w:rsidR="00952488" w:rsidRPr="00967AC5">
        <w:rPr>
          <w:noProof/>
        </w:rPr>
        <w:t>20</w:t>
      </w:r>
      <w:r w:rsidR="00952488">
        <w:rPr>
          <w:rFonts w:eastAsia="Calibri"/>
        </w:rPr>
        <w:fldChar w:fldCharType="end"/>
      </w:r>
      <w:r w:rsidR="00E142CB" w:rsidRPr="00967AC5">
        <w:rPr>
          <w:rFonts w:eastAsia="Calibri"/>
        </w:rPr>
        <w:t xml:space="preserve"> below)</w:t>
      </w:r>
      <w:r w:rsidRPr="00967AC5">
        <w:rPr>
          <w:rFonts w:eastAsia="Calibri"/>
        </w:rPr>
        <w:t>.</w:t>
      </w:r>
    </w:p>
    <w:p w14:paraId="46961D19" w14:textId="00362F28" w:rsidR="006215B5" w:rsidRPr="00967AC5" w:rsidRDefault="006215B5" w:rsidP="006215B5">
      <w:pPr>
        <w:pStyle w:val="ECCParagraph"/>
        <w:rPr>
          <w:rFonts w:eastAsia="Calibri"/>
        </w:rPr>
      </w:pPr>
      <w:r w:rsidRPr="00967AC5">
        <w:rPr>
          <w:rFonts w:eastAsia="Calibri"/>
        </w:rPr>
        <w:t>The following include</w:t>
      </w:r>
      <w:r w:rsidR="005E6E47" w:rsidRPr="00967AC5">
        <w:rPr>
          <w:rFonts w:eastAsia="Calibri"/>
        </w:rPr>
        <w:t>d</w:t>
      </w:r>
      <w:r w:rsidRPr="00967AC5">
        <w:rPr>
          <w:rFonts w:eastAsia="Calibri"/>
        </w:rPr>
        <w:t xml:space="preserve"> extracts from ETSI </w:t>
      </w:r>
      <w:r w:rsidR="00F85070" w:rsidRPr="00967AC5">
        <w:rPr>
          <w:rFonts w:eastAsia="Calibri"/>
        </w:rPr>
        <w:t>TS</w:t>
      </w:r>
      <w:r w:rsidRPr="00967AC5">
        <w:rPr>
          <w:rFonts w:eastAsia="Calibri"/>
        </w:rPr>
        <w:t xml:space="preserve"> 137 105 V15.8.0 are relevant </w:t>
      </w:r>
      <w:r w:rsidR="005E6E47" w:rsidRPr="00967AC5">
        <w:rPr>
          <w:rFonts w:eastAsia="Calibri"/>
        </w:rPr>
        <w:t>for</w:t>
      </w:r>
      <w:r w:rsidRPr="00967AC5">
        <w:rPr>
          <w:rFonts w:eastAsia="Calibri"/>
        </w:rPr>
        <w:t xml:space="preserve"> the definition of technology neutral LRTCs for 1800 MHz AAS BS.</w:t>
      </w:r>
    </w:p>
    <w:p w14:paraId="63D086BA" w14:textId="39BBC190" w:rsidR="00EF42ED" w:rsidRPr="00967AC5" w:rsidRDefault="00EF42ED" w:rsidP="00EF42ED">
      <w:pPr>
        <w:rPr>
          <w:rFonts w:eastAsia="Calibri"/>
          <w:lang w:val="en-GB"/>
        </w:rPr>
      </w:pPr>
      <w:r w:rsidRPr="00967AC5">
        <w:rPr>
          <w:rFonts w:eastAsia="Calibri"/>
          <w:lang w:val="en-GB"/>
        </w:rPr>
        <w:t xml:space="preserve">The following section includes relevant parts of the definition of AAS BS operating band unwanted emissions from chapter 9.7.5 (OTA Operating band unwanted emission) of ETSI </w:t>
      </w:r>
      <w:r w:rsidR="00F85070" w:rsidRPr="00967AC5">
        <w:rPr>
          <w:rFonts w:eastAsia="Calibri"/>
          <w:lang w:val="en-GB"/>
        </w:rPr>
        <w:t>TS</w:t>
      </w:r>
      <w:r w:rsidRPr="00967AC5">
        <w:rPr>
          <w:rFonts w:eastAsia="Calibri"/>
          <w:lang w:val="en-GB"/>
        </w:rPr>
        <w:t xml:space="preserve"> 137 105 V15.8.0</w:t>
      </w:r>
      <w:r w:rsidR="004313A3" w:rsidRPr="00967AC5">
        <w:rPr>
          <w:rFonts w:eastAsia="Calibri"/>
          <w:lang w:val="en-GB"/>
        </w:rPr>
        <w:t xml:space="preserve">  </w:t>
      </w:r>
      <w:r w:rsidR="004313A3" w:rsidRPr="00967AC5">
        <w:rPr>
          <w:rFonts w:eastAsia="Calibri"/>
          <w:lang w:val="en-GB"/>
        </w:rPr>
        <w:fldChar w:fldCharType="begin"/>
      </w:r>
      <w:r w:rsidR="004313A3" w:rsidRPr="00967AC5">
        <w:rPr>
          <w:rFonts w:eastAsia="Calibri"/>
          <w:lang w:val="en-GB"/>
        </w:rPr>
        <w:instrText xml:space="preserve"> REF _Ref68702164 \r \h </w:instrText>
      </w:r>
      <w:r w:rsidR="00B123BC" w:rsidRPr="00967AC5">
        <w:rPr>
          <w:rFonts w:eastAsia="Calibri"/>
          <w:lang w:val="en-GB"/>
        </w:rPr>
        <w:instrText xml:space="preserve"> \* MERGEFORMAT </w:instrText>
      </w:r>
      <w:r w:rsidR="004313A3" w:rsidRPr="00967AC5">
        <w:rPr>
          <w:rFonts w:eastAsia="Calibri"/>
          <w:lang w:val="en-GB"/>
        </w:rPr>
      </w:r>
      <w:r w:rsidR="004313A3" w:rsidRPr="00967AC5">
        <w:rPr>
          <w:rFonts w:eastAsia="Calibri"/>
          <w:lang w:val="en-GB"/>
        </w:rPr>
        <w:fldChar w:fldCharType="separate"/>
      </w:r>
      <w:r w:rsidR="00680BB5" w:rsidRPr="00967AC5">
        <w:rPr>
          <w:rFonts w:eastAsia="Calibri"/>
          <w:lang w:val="en-GB"/>
        </w:rPr>
        <w:t>[24]</w:t>
      </w:r>
      <w:r w:rsidR="004313A3" w:rsidRPr="00967AC5">
        <w:rPr>
          <w:rFonts w:eastAsia="Calibri"/>
          <w:lang w:val="en-GB"/>
        </w:rPr>
        <w:fldChar w:fldCharType="end"/>
      </w:r>
      <w:r w:rsidRPr="00967AC5">
        <w:rPr>
          <w:rFonts w:eastAsia="Calibri"/>
          <w:lang w:val="en-GB"/>
        </w:rPr>
        <w:t>:</w:t>
      </w:r>
    </w:p>
    <w:p w14:paraId="50CE2842" w14:textId="77777777" w:rsidR="001F5CE4" w:rsidRPr="00967AC5" w:rsidRDefault="001F5CE4" w:rsidP="00EF42ED">
      <w:pPr>
        <w:rPr>
          <w:rFonts w:eastAsia="Calibri"/>
          <w:lang w:val="en-GB"/>
        </w:rPr>
      </w:pPr>
    </w:p>
    <w:p w14:paraId="51CD88FA" w14:textId="77777777" w:rsidR="00EF42ED" w:rsidRPr="00967AC5" w:rsidRDefault="00EF42ED" w:rsidP="00EF42ED">
      <w:pPr>
        <w:rPr>
          <w:rFonts w:eastAsia="Calibri"/>
          <w:lang w:val="en-GB"/>
        </w:rPr>
      </w:pPr>
      <w:r w:rsidRPr="00967AC5">
        <w:rPr>
          <w:rFonts w:eastAsia="Calibri"/>
          <w:lang w:val="en-GB"/>
        </w:rPr>
        <w:t>"</w:t>
      </w:r>
      <w:r w:rsidRPr="00967AC5">
        <w:rPr>
          <w:rFonts w:eastAsia="Calibri"/>
          <w:b/>
          <w:bCs/>
          <w:i/>
          <w:iCs/>
          <w:lang w:val="en-GB"/>
        </w:rPr>
        <w:t>9.7.5.1 General</w:t>
      </w:r>
    </w:p>
    <w:p w14:paraId="122EC574" w14:textId="2B4D41C5" w:rsidR="006F5B5A" w:rsidRPr="00967AC5" w:rsidRDefault="006F5B5A" w:rsidP="006F5B5A">
      <w:pPr>
        <w:pStyle w:val="ECCParagraph"/>
        <w:rPr>
          <w:rFonts w:eastAsia="Calibri"/>
          <w:i/>
          <w:iCs/>
        </w:rPr>
      </w:pPr>
      <w:r w:rsidRPr="00967AC5">
        <w:rPr>
          <w:rFonts w:eastAsia="Calibri"/>
          <w:i/>
          <w:iCs/>
        </w:rPr>
        <w:t xml:space="preserve">Unless otherwise stated, for E-UTRA single band and MSR the operating band unwanted emission limits are defined from </w:t>
      </w:r>
      <w:r w:rsidRPr="00967AC5">
        <w:rPr>
          <w:rFonts w:ascii="Symbol" w:eastAsia="Symbol" w:hAnsi="Symbol" w:cs="Symbol"/>
          <w:i/>
          <w:iCs/>
        </w:rPr>
        <w:t></w:t>
      </w:r>
      <w:proofErr w:type="spellStart"/>
      <w:r w:rsidRPr="00967AC5">
        <w:rPr>
          <w:rFonts w:eastAsia="Calibri"/>
          <w:i/>
          <w:iCs/>
        </w:rPr>
        <w:t>f</w:t>
      </w:r>
      <w:r w:rsidRPr="00967AC5">
        <w:rPr>
          <w:rFonts w:eastAsia="Calibri"/>
          <w:i/>
          <w:iCs/>
          <w:vertAlign w:val="subscript"/>
        </w:rPr>
        <w:t>OBUE</w:t>
      </w:r>
      <w:proofErr w:type="spellEnd"/>
      <w:r w:rsidRPr="00967AC5">
        <w:rPr>
          <w:rFonts w:eastAsia="Calibri"/>
          <w:i/>
          <w:iCs/>
        </w:rPr>
        <w:t xml:space="preserve"> below the lowest frequency of each supported downlink operating band to the lower Base Station RF Bandwidth edge located at FBW </w:t>
      </w:r>
      <w:proofErr w:type="spellStart"/>
      <w:r w:rsidRPr="00967AC5">
        <w:rPr>
          <w:rFonts w:eastAsia="Calibri"/>
          <w:i/>
          <w:iCs/>
        </w:rPr>
        <w:t>RF,low</w:t>
      </w:r>
      <w:proofErr w:type="spellEnd"/>
      <w:r w:rsidRPr="00967AC5">
        <w:rPr>
          <w:rFonts w:eastAsia="Calibri"/>
          <w:i/>
          <w:iCs/>
        </w:rPr>
        <w:t xml:space="preserve"> and from the upper Base Station RF Bandwidth edge located at FBW </w:t>
      </w:r>
      <w:proofErr w:type="spellStart"/>
      <w:r w:rsidRPr="00967AC5">
        <w:rPr>
          <w:rFonts w:eastAsia="Calibri"/>
          <w:i/>
          <w:iCs/>
        </w:rPr>
        <w:t>RF,high</w:t>
      </w:r>
      <w:proofErr w:type="spellEnd"/>
      <w:r w:rsidRPr="00967AC5">
        <w:rPr>
          <w:rFonts w:eastAsia="Calibri"/>
          <w:i/>
          <w:iCs/>
        </w:rPr>
        <w:t xml:space="preserve"> up to </w:t>
      </w:r>
      <w:r w:rsidRPr="00967AC5">
        <w:rPr>
          <w:rFonts w:ascii="Symbol" w:eastAsia="Symbol" w:hAnsi="Symbol" w:cs="Symbol"/>
          <w:i/>
          <w:iCs/>
        </w:rPr>
        <w:t></w:t>
      </w:r>
      <w:proofErr w:type="spellStart"/>
      <w:r w:rsidRPr="00967AC5">
        <w:rPr>
          <w:rFonts w:eastAsia="Calibri"/>
          <w:i/>
          <w:iCs/>
          <w:vertAlign w:val="subscript"/>
        </w:rPr>
        <w:t>fOBUE</w:t>
      </w:r>
      <w:proofErr w:type="spellEnd"/>
      <w:r w:rsidRPr="00967AC5">
        <w:rPr>
          <w:rFonts w:eastAsia="Calibri"/>
          <w:i/>
          <w:iCs/>
        </w:rPr>
        <w:t xml:space="preserve"> above the highest frequency of each supported downlink operating band. The values of </w:t>
      </w:r>
      <w:r w:rsidRPr="00967AC5">
        <w:rPr>
          <w:rFonts w:ascii="Symbol" w:eastAsia="Symbol" w:hAnsi="Symbol" w:cs="Symbol"/>
          <w:i/>
          <w:iCs/>
        </w:rPr>
        <w:t></w:t>
      </w:r>
      <w:proofErr w:type="spellStart"/>
      <w:r w:rsidRPr="00967AC5">
        <w:rPr>
          <w:rFonts w:eastAsia="Calibri"/>
          <w:i/>
          <w:iCs/>
          <w:vertAlign w:val="subscript"/>
        </w:rPr>
        <w:t>fOBUE</w:t>
      </w:r>
      <w:proofErr w:type="spellEnd"/>
      <w:r w:rsidRPr="00967AC5">
        <w:rPr>
          <w:rFonts w:eastAsia="Calibri"/>
          <w:i/>
          <w:iCs/>
        </w:rPr>
        <w:t xml:space="preserve"> are defined in table 9.7.1-1.</w:t>
      </w:r>
    </w:p>
    <w:p w14:paraId="27599F5A" w14:textId="77777777" w:rsidR="006F5B5A" w:rsidRPr="00967AC5" w:rsidRDefault="006F5B5A" w:rsidP="006F5B5A">
      <w:pPr>
        <w:pStyle w:val="ECCParagraph"/>
        <w:rPr>
          <w:rFonts w:eastAsia="Calibri"/>
          <w:i/>
          <w:iCs/>
        </w:rPr>
      </w:pPr>
      <w:r w:rsidRPr="00967AC5">
        <w:rPr>
          <w:rFonts w:eastAsia="Calibri"/>
          <w:i/>
          <w:iCs/>
        </w:rPr>
        <w:t>The requirements shall apply whatever the type of transmitter considered and for all transmission modes foreseen by the manufacturer's specification.</w:t>
      </w:r>
    </w:p>
    <w:p w14:paraId="3442F99E" w14:textId="77777777" w:rsidR="006F5B5A" w:rsidRPr="00967AC5" w:rsidRDefault="006F5B5A" w:rsidP="006F5B5A">
      <w:pPr>
        <w:pStyle w:val="ECCParagraph"/>
        <w:rPr>
          <w:rFonts w:eastAsia="Calibri"/>
          <w:i/>
          <w:iCs/>
        </w:rPr>
      </w:pPr>
      <w:r w:rsidRPr="00967AC5">
        <w:rPr>
          <w:rFonts w:eastAsia="Calibri"/>
          <w:i/>
          <w:iCs/>
        </w:rPr>
        <w:lastRenderedPageBreak/>
        <w:t>The operating band unwanted emissions minimum requirements are quoted as TRP per RIB unless otherwise stated.</w:t>
      </w:r>
    </w:p>
    <w:p w14:paraId="086EE58A" w14:textId="77777777" w:rsidR="006F5B5A" w:rsidRPr="00967AC5" w:rsidRDefault="006F5B5A" w:rsidP="006F5B5A">
      <w:pPr>
        <w:pStyle w:val="ECCParagraph"/>
        <w:rPr>
          <w:rFonts w:eastAsia="Calibri"/>
          <w:i/>
          <w:iCs/>
        </w:rPr>
      </w:pPr>
      <w:r w:rsidRPr="00967AC5">
        <w:rPr>
          <w:rFonts w:eastAsia="Calibri"/>
          <w:i/>
          <w:iCs/>
        </w:rPr>
        <w:t>The requirements shall apply whatever the type of RIB is considered (single carrier or multi-carrier) and for all transmission modes foreseen by the manufacturer's specification. In addition, for a RIB operating in non-contiguous spectrum, the requirements apply inside any sub-block gap. In addition, for a multi-band RIB the requirements apply inside any Inter RF Bandwidth gap.</w:t>
      </w:r>
    </w:p>
    <w:p w14:paraId="21688905" w14:textId="0BD9228F" w:rsidR="006F5B5A" w:rsidRPr="00967AC5" w:rsidRDefault="006F5B5A" w:rsidP="006F5B5A">
      <w:pPr>
        <w:pStyle w:val="ECCParagraph"/>
        <w:rPr>
          <w:rFonts w:eastAsia="Calibri"/>
          <w:i/>
          <w:iCs/>
        </w:rPr>
      </w:pPr>
      <w:r w:rsidRPr="00967AC5">
        <w:rPr>
          <w:rFonts w:eastAsia="Calibri"/>
          <w:i/>
          <w:iCs/>
        </w:rPr>
        <w:t xml:space="preserve">The unwanted emission limits in the part of the downlink operating band that falls in the spurious domain are consistent with ITU-R Recommendation SM.329 </w:t>
      </w:r>
      <w:r w:rsidRPr="00967AC5">
        <w:rPr>
          <w:rFonts w:eastAsia="Calibri"/>
          <w:i/>
          <w:iCs/>
        </w:rPr>
        <w:fldChar w:fldCharType="begin"/>
      </w:r>
      <w:r w:rsidRPr="00967AC5">
        <w:rPr>
          <w:rFonts w:eastAsia="Calibri"/>
          <w:i/>
          <w:iCs/>
        </w:rPr>
        <w:instrText xml:space="preserve"> REF _Ref63430230 \r \h </w:instrText>
      </w:r>
      <w:r w:rsidRPr="00967AC5">
        <w:rPr>
          <w:i/>
          <w:iCs/>
        </w:rPr>
        <w:instrText xml:space="preserve"> \* MERGEFORMAT </w:instrText>
      </w:r>
      <w:r w:rsidRPr="00967AC5">
        <w:rPr>
          <w:rFonts w:eastAsia="Calibri"/>
          <w:i/>
          <w:iCs/>
        </w:rPr>
      </w:r>
      <w:r w:rsidRPr="00967AC5">
        <w:rPr>
          <w:rFonts w:eastAsia="Calibri"/>
          <w:i/>
          <w:iCs/>
        </w:rPr>
        <w:fldChar w:fldCharType="separate"/>
      </w:r>
      <w:r w:rsidR="00680BB5" w:rsidRPr="00967AC5">
        <w:rPr>
          <w:rFonts w:eastAsia="Calibri"/>
          <w:i/>
          <w:iCs/>
        </w:rPr>
        <w:t>[48]</w:t>
      </w:r>
      <w:r w:rsidRPr="00967AC5">
        <w:rPr>
          <w:rFonts w:eastAsia="Calibri"/>
          <w:i/>
          <w:iCs/>
        </w:rPr>
        <w:fldChar w:fldCharType="end"/>
      </w:r>
      <w:r w:rsidRPr="00967AC5">
        <w:rPr>
          <w:rFonts w:eastAsia="Calibri"/>
          <w:i/>
          <w:iCs/>
        </w:rPr>
        <w:t>.</w:t>
      </w:r>
    </w:p>
    <w:p w14:paraId="425D4CE6" w14:textId="0F4659F2" w:rsidR="006F5B5A" w:rsidRPr="00967AC5" w:rsidRDefault="006F5B5A" w:rsidP="006F5B5A">
      <w:pPr>
        <w:pStyle w:val="ECCParagraph"/>
        <w:rPr>
          <w:rFonts w:eastAsia="Calibri"/>
          <w:i/>
          <w:iCs/>
        </w:rPr>
      </w:pPr>
      <w:r w:rsidRPr="00967AC5">
        <w:rPr>
          <w:rFonts w:eastAsia="Calibri"/>
          <w:i/>
          <w:iCs/>
        </w:rPr>
        <w:t>Emissions shall use the minimum requirements specified in the tables below</w:t>
      </w:r>
      <w:r w:rsidR="00F93767" w:rsidRPr="00967AC5">
        <w:rPr>
          <w:rFonts w:eastAsia="Calibri"/>
          <w:i/>
          <w:iCs/>
        </w:rPr>
        <w:t xml:space="preserve">, </w:t>
      </w:r>
      <w:r w:rsidR="00452069" w:rsidRPr="00967AC5">
        <w:rPr>
          <w:rFonts w:eastAsia="Calibri"/>
          <w:i/>
          <w:iCs/>
        </w:rPr>
        <w:t>w</w:t>
      </w:r>
      <w:r w:rsidRPr="00967AC5">
        <w:rPr>
          <w:rFonts w:eastAsia="Calibri"/>
          <w:i/>
          <w:iCs/>
        </w:rPr>
        <w:t>here:</w:t>
      </w:r>
    </w:p>
    <w:p w14:paraId="105BE35B" w14:textId="28171418" w:rsidR="006F5B5A" w:rsidRPr="00967AC5" w:rsidRDefault="006F5B5A" w:rsidP="00676A19">
      <w:pPr>
        <w:pStyle w:val="ECCBulletsLv1"/>
        <w:rPr>
          <w:i/>
          <w:iCs/>
        </w:rPr>
      </w:pPr>
      <w:r w:rsidRPr="00967AC5">
        <w:rPr>
          <w:rFonts w:ascii="Symbol" w:eastAsia="Symbol" w:hAnsi="Symbol" w:cs="Symbol"/>
          <w:i/>
          <w:iCs/>
        </w:rPr>
        <w:sym w:font="Symbol" w:char="F044"/>
      </w:r>
      <w:r w:rsidRPr="00967AC5">
        <w:rPr>
          <w:i/>
          <w:iCs/>
        </w:rPr>
        <w:t>f is the separation between the channel edge frequency and the nominal -3dB point of the measuring filter closest to the carrier frequency</w:t>
      </w:r>
      <w:r w:rsidR="002C1211" w:rsidRPr="00967AC5">
        <w:rPr>
          <w:i/>
          <w:iCs/>
        </w:rPr>
        <w:t>;</w:t>
      </w:r>
    </w:p>
    <w:p w14:paraId="302DDEB2" w14:textId="4D4CC743" w:rsidR="006F5B5A" w:rsidRPr="00967AC5" w:rsidRDefault="006F5B5A" w:rsidP="00676A19">
      <w:pPr>
        <w:pStyle w:val="ECCBulletsLv1"/>
        <w:rPr>
          <w:i/>
          <w:iCs/>
        </w:rPr>
      </w:pPr>
      <w:proofErr w:type="spellStart"/>
      <w:r w:rsidRPr="00967AC5">
        <w:rPr>
          <w:i/>
          <w:iCs/>
        </w:rPr>
        <w:t>f_offset</w:t>
      </w:r>
      <w:proofErr w:type="spellEnd"/>
      <w:r w:rsidRPr="00967AC5">
        <w:rPr>
          <w:i/>
          <w:iCs/>
        </w:rPr>
        <w:t xml:space="preserve"> is the separation between the channel edge frequency and the centre of the measuring filter</w:t>
      </w:r>
      <w:r w:rsidR="002C1211" w:rsidRPr="00967AC5">
        <w:rPr>
          <w:i/>
          <w:iCs/>
        </w:rPr>
        <w:t>;</w:t>
      </w:r>
    </w:p>
    <w:p w14:paraId="6AC514D3" w14:textId="4840D070" w:rsidR="006F5B5A" w:rsidRPr="00967AC5" w:rsidRDefault="006F5B5A" w:rsidP="00676A19">
      <w:pPr>
        <w:pStyle w:val="ECCBulletsLv1"/>
        <w:rPr>
          <w:i/>
          <w:iCs/>
        </w:rPr>
      </w:pPr>
      <w:proofErr w:type="spellStart"/>
      <w:r w:rsidRPr="00967AC5">
        <w:rPr>
          <w:i/>
          <w:iCs/>
        </w:rPr>
        <w:t>f_offset</w:t>
      </w:r>
      <w:r w:rsidRPr="00967AC5">
        <w:rPr>
          <w:i/>
          <w:iCs/>
          <w:vertAlign w:val="subscript"/>
        </w:rPr>
        <w:t>max</w:t>
      </w:r>
      <w:proofErr w:type="spellEnd"/>
      <w:r w:rsidRPr="00967AC5">
        <w:rPr>
          <w:i/>
          <w:iCs/>
        </w:rPr>
        <w:t xml:space="preserve"> is the offset to the frequency </w:t>
      </w:r>
      <w:r w:rsidR="002C1211" w:rsidRPr="00967AC5">
        <w:rPr>
          <w:rFonts w:ascii="Symbol" w:eastAsia="Symbol" w:hAnsi="Symbol" w:cs="Symbol"/>
          <w:i/>
          <w:iCs/>
        </w:rPr>
        <w:sym w:font="Symbol" w:char="F044"/>
      </w:r>
      <w:proofErr w:type="spellStart"/>
      <w:r w:rsidR="002C1211" w:rsidRPr="00967AC5">
        <w:rPr>
          <w:i/>
          <w:iCs/>
        </w:rPr>
        <w:t>f</w:t>
      </w:r>
      <w:r w:rsidR="002C1211" w:rsidRPr="00967AC5">
        <w:rPr>
          <w:i/>
          <w:iCs/>
          <w:vertAlign w:val="subscript"/>
        </w:rPr>
        <w:t>OBUE</w:t>
      </w:r>
      <w:proofErr w:type="spellEnd"/>
      <w:r w:rsidR="002C1211" w:rsidRPr="00967AC5">
        <w:rPr>
          <w:i/>
          <w:iCs/>
        </w:rPr>
        <w:t xml:space="preserve"> </w:t>
      </w:r>
      <w:r w:rsidRPr="00967AC5">
        <w:rPr>
          <w:i/>
          <w:iCs/>
        </w:rPr>
        <w:t>MHz outside the downlink operating band</w:t>
      </w:r>
      <w:r w:rsidR="002C1211" w:rsidRPr="00967AC5">
        <w:rPr>
          <w:i/>
          <w:iCs/>
        </w:rPr>
        <w:t>;</w:t>
      </w:r>
    </w:p>
    <w:p w14:paraId="25BCCB67" w14:textId="56F6333C" w:rsidR="006F5B5A" w:rsidRPr="00967AC5" w:rsidRDefault="006F5B5A" w:rsidP="00676A19">
      <w:pPr>
        <w:pStyle w:val="ECCBulletsLv1"/>
        <w:rPr>
          <w:i/>
          <w:iCs/>
        </w:rPr>
      </w:pPr>
      <w:r w:rsidRPr="00967AC5">
        <w:rPr>
          <w:rFonts w:ascii="Symbol" w:eastAsia="Symbol" w:hAnsi="Symbol" w:cs="Symbol"/>
          <w:i/>
          <w:iCs/>
        </w:rPr>
        <w:sym w:font="Symbol" w:char="F044"/>
      </w:r>
      <w:r w:rsidRPr="00967AC5">
        <w:rPr>
          <w:i/>
          <w:iCs/>
        </w:rPr>
        <w:t>f</w:t>
      </w:r>
      <w:r w:rsidRPr="00967AC5">
        <w:rPr>
          <w:i/>
          <w:iCs/>
          <w:vertAlign w:val="subscript"/>
        </w:rPr>
        <w:t>max</w:t>
      </w:r>
      <w:r w:rsidRPr="00967AC5">
        <w:rPr>
          <w:i/>
          <w:iCs/>
        </w:rPr>
        <w:t xml:space="preserve"> is equal to </w:t>
      </w:r>
      <w:proofErr w:type="spellStart"/>
      <w:r w:rsidRPr="00967AC5">
        <w:rPr>
          <w:i/>
          <w:iCs/>
        </w:rPr>
        <w:t>f_offset</w:t>
      </w:r>
      <w:r w:rsidRPr="00967AC5">
        <w:rPr>
          <w:i/>
          <w:iCs/>
          <w:vertAlign w:val="subscript"/>
        </w:rPr>
        <w:t>max</w:t>
      </w:r>
      <w:proofErr w:type="spellEnd"/>
      <w:r w:rsidRPr="00967AC5">
        <w:rPr>
          <w:i/>
          <w:iCs/>
        </w:rPr>
        <w:t xml:space="preserve"> minus half of the bandwidth of the measuring filter.</w:t>
      </w:r>
      <w:r w:rsidR="00793833" w:rsidRPr="00967AC5">
        <w:rPr>
          <w:i/>
          <w:iCs/>
        </w:rPr>
        <w:t>”</w:t>
      </w:r>
    </w:p>
    <w:p w14:paraId="450561AA" w14:textId="77777777" w:rsidR="001577EA" w:rsidRPr="00967AC5" w:rsidRDefault="001577EA" w:rsidP="00793833">
      <w:pPr>
        <w:pStyle w:val="ECCParagraph"/>
        <w:rPr>
          <w:rFonts w:eastAsia="Calibri"/>
        </w:rPr>
      </w:pPr>
      <w:bookmarkStart w:id="191" w:name="_Ref58159367"/>
    </w:p>
    <w:p w14:paraId="59435946" w14:textId="1EBFF421" w:rsidR="00A459BF" w:rsidRPr="00967AC5" w:rsidRDefault="00846D25" w:rsidP="00793833">
      <w:pPr>
        <w:pStyle w:val="ECCParagraph"/>
        <w:rPr>
          <w:rFonts w:eastAsia="Calibri"/>
          <w:b/>
          <w:bCs/>
          <w:i/>
          <w:iCs/>
        </w:rPr>
      </w:pPr>
      <w:r w:rsidRPr="00967AC5">
        <w:rPr>
          <w:rFonts w:eastAsia="Calibri"/>
        </w:rPr>
        <w:t xml:space="preserve">The following tables are extracted from </w:t>
      </w:r>
      <w:r w:rsidR="00A32342" w:rsidRPr="00967AC5">
        <w:rPr>
          <w:rFonts w:eastAsia="Calibri"/>
        </w:rPr>
        <w:t xml:space="preserve">ETSI TS </w:t>
      </w:r>
      <w:r w:rsidR="00E8385E" w:rsidRPr="00967AC5">
        <w:rPr>
          <w:rFonts w:eastAsia="Calibri"/>
        </w:rPr>
        <w:t xml:space="preserve">137 105 </w:t>
      </w:r>
      <w:r w:rsidRPr="00967AC5">
        <w:rPr>
          <w:rFonts w:eastAsia="Calibri"/>
        </w:rPr>
        <w:t xml:space="preserve">chapter </w:t>
      </w:r>
      <w:r w:rsidR="00A32342" w:rsidRPr="00967AC5">
        <w:rPr>
          <w:rFonts w:eastAsia="Calibri"/>
        </w:rPr>
        <w:t xml:space="preserve">9.7.5.2.3 </w:t>
      </w:r>
      <w:r w:rsidR="00A42E27" w:rsidRPr="00967AC5">
        <w:rPr>
          <w:rFonts w:eastAsia="Calibri"/>
        </w:rPr>
        <w:t>(</w:t>
      </w:r>
      <w:r w:rsidR="00A32342" w:rsidRPr="00967AC5">
        <w:rPr>
          <w:rFonts w:eastAsia="Calibri"/>
        </w:rPr>
        <w:t xml:space="preserve">Minimum requirement for </w:t>
      </w:r>
      <w:r w:rsidR="00A42E27" w:rsidRPr="00967AC5">
        <w:rPr>
          <w:rFonts w:eastAsia="Calibri"/>
        </w:rPr>
        <w:t xml:space="preserve">MSR operation, </w:t>
      </w:r>
      <w:r w:rsidR="00A32342" w:rsidRPr="00967AC5">
        <w:rPr>
          <w:rFonts w:eastAsia="Calibri"/>
        </w:rPr>
        <w:t>Band Category 2</w:t>
      </w:r>
      <w:r w:rsidR="00A42E27" w:rsidRPr="00967AC5">
        <w:rPr>
          <w:rFonts w:eastAsia="Calibri"/>
        </w:rPr>
        <w:t>)</w:t>
      </w:r>
      <w:r w:rsidR="00E8385E" w:rsidRPr="00967AC5">
        <w:rPr>
          <w:rFonts w:eastAsia="Calibri"/>
        </w:rPr>
        <w:t>:</w:t>
      </w:r>
      <w:r w:rsidR="00A32342" w:rsidRPr="00967AC5">
        <w:rPr>
          <w:rFonts w:eastAsia="Calibri"/>
        </w:rPr>
        <w:t xml:space="preserve"> </w:t>
      </w:r>
    </w:p>
    <w:p w14:paraId="07C4BD48" w14:textId="50DD65BB" w:rsidR="00A459BF" w:rsidRPr="00967AC5" w:rsidRDefault="003C512B" w:rsidP="00001EB9">
      <w:pPr>
        <w:pStyle w:val="Caption"/>
        <w:keepNext/>
        <w:rPr>
          <w:lang w:val="en-GB"/>
        </w:rPr>
      </w:pPr>
      <w:bookmarkStart w:id="192" w:name="_Ref63686230"/>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19</w:t>
      </w:r>
      <w:r w:rsidRPr="00967AC5">
        <w:rPr>
          <w:lang w:val="en-GB"/>
        </w:rPr>
        <w:fldChar w:fldCharType="end"/>
      </w:r>
      <w:bookmarkEnd w:id="192"/>
      <w:r w:rsidRPr="00967AC5">
        <w:rPr>
          <w:lang w:val="en-GB"/>
        </w:rPr>
        <w:t>:</w:t>
      </w:r>
      <w:r w:rsidR="00A459BF" w:rsidRPr="00967AC5">
        <w:rPr>
          <w:lang w:val="en-GB"/>
        </w:rPr>
        <w:t xml:space="preserve"> Wide Area operating band unwanted emission mask (UEM) for BC2 for BS not supporting NR or BS supporting NR in Band n3 or n8</w:t>
      </w:r>
      <w:r w:rsidR="00A42E27" w:rsidRPr="00967AC5">
        <w:rPr>
          <w:lang w:val="en-GB"/>
        </w:rPr>
        <w:t xml:space="preserve"> (</w:t>
      </w:r>
      <w:r w:rsidR="00A42E27" w:rsidRPr="00967AC5">
        <w:rPr>
          <w:rFonts w:eastAsia="Calibri"/>
          <w:lang w:val="en-GB"/>
        </w:rPr>
        <w:t xml:space="preserve">ETSI TS 137 105 Table </w:t>
      </w:r>
      <w:r w:rsidR="00147E30" w:rsidRPr="00967AC5">
        <w:rPr>
          <w:rFonts w:eastAsia="Calibri"/>
          <w:lang w:val="en-GB"/>
        </w:rPr>
        <w:t>9.7.5.2.3-1</w:t>
      </w:r>
      <w:r w:rsidR="00693D29" w:rsidRPr="00967AC5">
        <w:rPr>
          <w:rFonts w:eastAsia="Calibri"/>
          <w:lang w:val="en-GB"/>
        </w:rPr>
        <w:t xml:space="preserve"> </w:t>
      </w:r>
      <w:r w:rsidR="00693D29" w:rsidRPr="00967AC5">
        <w:rPr>
          <w:rFonts w:eastAsia="Calibri"/>
          <w:lang w:val="en-GB"/>
        </w:rPr>
        <w:fldChar w:fldCharType="begin"/>
      </w:r>
      <w:r w:rsidR="00693D29" w:rsidRPr="00967AC5">
        <w:rPr>
          <w:rFonts w:eastAsia="Calibri"/>
          <w:lang w:val="en-GB"/>
        </w:rPr>
        <w:instrText xml:space="preserve"> REF _Ref68702164 \r \h </w:instrText>
      </w:r>
      <w:r w:rsidR="002505BC" w:rsidRPr="00967AC5">
        <w:rPr>
          <w:rFonts w:eastAsia="Calibri"/>
          <w:lang w:val="en-GB"/>
        </w:rPr>
        <w:instrText xml:space="preserve"> \* MERGEFORMAT </w:instrText>
      </w:r>
      <w:r w:rsidR="00693D29" w:rsidRPr="00967AC5">
        <w:rPr>
          <w:rFonts w:eastAsia="Calibri"/>
          <w:lang w:val="en-GB"/>
        </w:rPr>
      </w:r>
      <w:r w:rsidR="00693D29" w:rsidRPr="00967AC5">
        <w:rPr>
          <w:rFonts w:eastAsia="Calibri"/>
          <w:lang w:val="en-GB"/>
        </w:rPr>
        <w:fldChar w:fldCharType="separate"/>
      </w:r>
      <w:r w:rsidR="00680BB5" w:rsidRPr="00967AC5">
        <w:rPr>
          <w:rFonts w:eastAsia="Calibri"/>
          <w:lang w:val="en-GB"/>
        </w:rPr>
        <w:t>[24]</w:t>
      </w:r>
      <w:r w:rsidR="00693D29" w:rsidRPr="00967AC5">
        <w:rPr>
          <w:rFonts w:eastAsia="Calibri"/>
          <w:lang w:val="en-GB"/>
        </w:rPr>
        <w:fldChar w:fldCharType="end"/>
      </w:r>
      <w:r w:rsidR="00147E30" w:rsidRPr="00967AC5">
        <w:rPr>
          <w:rFonts w:eastAsia="Calibri"/>
          <w:lang w:val="en-GB"/>
        </w:rPr>
        <w:t>)</w:t>
      </w:r>
    </w:p>
    <w:tbl>
      <w:tblPr>
        <w:tblStyle w:val="ECCTable-redheader2"/>
        <w:tblW w:w="5000" w:type="pct"/>
        <w:tblInd w:w="0" w:type="dxa"/>
        <w:tblLook w:val="04A0" w:firstRow="1" w:lastRow="0" w:firstColumn="1" w:lastColumn="0" w:noHBand="0" w:noVBand="1"/>
      </w:tblPr>
      <w:tblGrid>
        <w:gridCol w:w="2355"/>
        <w:gridCol w:w="2399"/>
        <w:gridCol w:w="2532"/>
        <w:gridCol w:w="2343"/>
      </w:tblGrid>
      <w:tr w:rsidR="00784B8D" w:rsidRPr="00967AC5" w14:paraId="4B8570A5" w14:textId="77777777" w:rsidTr="004E2E0D">
        <w:trPr>
          <w:cnfStyle w:val="100000000000" w:firstRow="1" w:lastRow="0" w:firstColumn="0" w:lastColumn="0" w:oddVBand="0" w:evenVBand="0" w:oddHBand="0" w:evenHBand="0" w:firstRowFirstColumn="0" w:firstRowLastColumn="0" w:lastRowFirstColumn="0" w:lastRowLastColumn="0"/>
        </w:trPr>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bookmarkEnd w:id="191"/>
          <w:p w14:paraId="219E2762" w14:textId="77777777" w:rsidR="00A459BF" w:rsidRPr="00967AC5" w:rsidRDefault="00A459BF" w:rsidP="00001EB9">
            <w:pPr>
              <w:pStyle w:val="ECCTableHeaderwhitefont"/>
              <w:keepNext/>
              <w:keepLines/>
              <w:rPr>
                <w:lang w:val="en-GB"/>
              </w:rPr>
            </w:pPr>
            <w:r w:rsidRPr="00967AC5">
              <w:rPr>
                <w:lang w:val="en-GB"/>
              </w:rPr>
              <w:t xml:space="preserve">Frequency offset of measurement filter –3dB point, </w:t>
            </w:r>
            <w:r w:rsidRPr="00967AC5">
              <w:rPr>
                <w:rFonts w:ascii="Symbol" w:eastAsia="Symbol" w:hAnsi="Symbol" w:cs="Symbol"/>
                <w:lang w:val="en-GB"/>
              </w:rPr>
              <w:sym w:font="Symbol" w:char="F044"/>
            </w:r>
            <w:r w:rsidRPr="00967AC5">
              <w:rPr>
                <w:lang w:val="en-GB"/>
              </w:rPr>
              <w:t>f</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4B59A53B" w14:textId="77777777" w:rsidR="00A459BF" w:rsidRPr="00967AC5" w:rsidRDefault="00A459BF" w:rsidP="00001EB9">
            <w:pPr>
              <w:pStyle w:val="ECCTableHeaderwhitefont"/>
              <w:keepNext/>
              <w:keepLines/>
              <w:rPr>
                <w:lang w:val="en-GB"/>
              </w:rPr>
            </w:pPr>
            <w:r w:rsidRPr="00967AC5">
              <w:rPr>
                <w:lang w:val="en-GB"/>
              </w:rPr>
              <w:t xml:space="preserve">Frequency offset of measurement filter centre frequency, </w:t>
            </w:r>
            <w:proofErr w:type="spellStart"/>
            <w:r w:rsidRPr="00967AC5">
              <w:rPr>
                <w:lang w:val="en-GB"/>
              </w:rPr>
              <w:t>f_offset</w:t>
            </w:r>
            <w:proofErr w:type="spellEnd"/>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49249EFA" w14:textId="77777777" w:rsidR="00A459BF" w:rsidRPr="00967AC5" w:rsidRDefault="00A459BF" w:rsidP="00001EB9">
            <w:pPr>
              <w:pStyle w:val="ECCTableHeaderwhitefont"/>
              <w:keepNext/>
              <w:keepLines/>
              <w:rPr>
                <w:lang w:val="en-GB"/>
              </w:rPr>
            </w:pPr>
            <w:r w:rsidRPr="00967AC5">
              <w:rPr>
                <w:lang w:val="en-GB"/>
              </w:rPr>
              <w:t>Minimum requirement</w:t>
            </w:r>
            <w:r w:rsidRPr="00967AC5">
              <w:rPr>
                <w:lang w:val="en-GB"/>
              </w:rPr>
              <w:br/>
              <w:t>(Note 2, 3)</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1CF3AECB" w14:textId="589487AB" w:rsidR="00A459BF" w:rsidRPr="00967AC5" w:rsidRDefault="00A459BF" w:rsidP="00001EB9">
            <w:pPr>
              <w:pStyle w:val="ECCTableHeaderwhitefont"/>
              <w:keepNext/>
              <w:keepLines/>
              <w:rPr>
                <w:lang w:val="en-GB"/>
              </w:rPr>
            </w:pPr>
            <w:r w:rsidRPr="00967AC5">
              <w:rPr>
                <w:lang w:val="en-GB"/>
              </w:rPr>
              <w:t>Measurement bandwidth</w:t>
            </w:r>
            <w:r w:rsidRPr="00967AC5">
              <w:rPr>
                <w:lang w:val="en-GB"/>
              </w:rPr>
              <w:br/>
              <w:t xml:space="preserve">(Note </w:t>
            </w:r>
            <w:r w:rsidR="00D80FF6" w:rsidRPr="00967AC5">
              <w:rPr>
                <w:lang w:val="en-GB"/>
              </w:rPr>
              <w:t>5</w:t>
            </w:r>
            <w:r w:rsidRPr="00967AC5">
              <w:rPr>
                <w:lang w:val="en-GB"/>
              </w:rPr>
              <w:t>)</w:t>
            </w:r>
          </w:p>
        </w:tc>
      </w:tr>
      <w:tr w:rsidR="00367403" w:rsidRPr="00967AC5" w14:paraId="1A591E47" w14:textId="77777777" w:rsidTr="00676A19">
        <w:trPr>
          <w:trHeight w:val="265"/>
        </w:trPr>
        <w:tc>
          <w:tcPr>
            <w:tcW w:w="0" w:type="pct"/>
            <w:tcBorders>
              <w:top w:val="single" w:sz="4" w:space="0" w:color="FFFFFF" w:themeColor="background1"/>
            </w:tcBorders>
            <w:vAlign w:val="top"/>
          </w:tcPr>
          <w:p w14:paraId="593F4E0B" w14:textId="77777777" w:rsidR="00A459BF" w:rsidRPr="00967AC5" w:rsidRDefault="00A459BF" w:rsidP="00001EB9">
            <w:pPr>
              <w:pStyle w:val="ECCTabletext"/>
              <w:keepNext/>
              <w:keepLines/>
            </w:pPr>
            <w:r w:rsidRPr="00967AC5">
              <w:t xml:space="preserve">0 MHz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f &lt; 0.2 MHz (Note 1)</w:t>
            </w:r>
          </w:p>
        </w:tc>
        <w:tc>
          <w:tcPr>
            <w:tcW w:w="0" w:type="pct"/>
            <w:tcBorders>
              <w:top w:val="single" w:sz="4" w:space="0" w:color="FFFFFF" w:themeColor="background1"/>
            </w:tcBorders>
            <w:vAlign w:val="top"/>
          </w:tcPr>
          <w:p w14:paraId="6CA1EF9C" w14:textId="77777777" w:rsidR="00A459BF" w:rsidRPr="00967AC5" w:rsidRDefault="00A459BF" w:rsidP="00001EB9">
            <w:pPr>
              <w:pStyle w:val="ECCTabletext"/>
              <w:keepNext/>
              <w:keepLines/>
            </w:pPr>
            <w:r w:rsidRPr="00967AC5">
              <w:t xml:space="preserve">0.015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0.215 MHz </w:t>
            </w:r>
          </w:p>
        </w:tc>
        <w:tc>
          <w:tcPr>
            <w:tcW w:w="0" w:type="pct"/>
            <w:tcBorders>
              <w:top w:val="single" w:sz="4" w:space="0" w:color="FFFFFF" w:themeColor="background1"/>
            </w:tcBorders>
            <w:vAlign w:val="top"/>
          </w:tcPr>
          <w:p w14:paraId="1B7217EE" w14:textId="77777777" w:rsidR="00A459BF" w:rsidRPr="00967AC5" w:rsidRDefault="00A459BF" w:rsidP="00001EB9">
            <w:pPr>
              <w:pStyle w:val="ECCTabletext"/>
              <w:keepNext/>
              <w:keepLines/>
            </w:pPr>
            <w:r w:rsidRPr="00967AC5">
              <w:t>–5 dBm</w:t>
            </w:r>
          </w:p>
        </w:tc>
        <w:tc>
          <w:tcPr>
            <w:tcW w:w="0" w:type="pct"/>
            <w:tcBorders>
              <w:top w:val="single" w:sz="4" w:space="0" w:color="FFFFFF" w:themeColor="background1"/>
            </w:tcBorders>
            <w:vAlign w:val="top"/>
          </w:tcPr>
          <w:p w14:paraId="030CBA70" w14:textId="77777777" w:rsidR="00A459BF" w:rsidRPr="00967AC5" w:rsidRDefault="00A459BF" w:rsidP="00001EB9">
            <w:pPr>
              <w:pStyle w:val="ECCTabletext"/>
              <w:keepNext/>
              <w:keepLines/>
            </w:pPr>
            <w:r w:rsidRPr="00967AC5">
              <w:t xml:space="preserve">30 kHz </w:t>
            </w:r>
          </w:p>
        </w:tc>
      </w:tr>
      <w:tr w:rsidR="00367403" w:rsidRPr="00967AC5" w14:paraId="35274906" w14:textId="77777777" w:rsidTr="002505BC">
        <w:trPr>
          <w:trHeight w:val="265"/>
        </w:trPr>
        <w:tc>
          <w:tcPr>
            <w:tcW w:w="0" w:type="pct"/>
            <w:vAlign w:val="top"/>
          </w:tcPr>
          <w:p w14:paraId="67EB3720" w14:textId="77777777" w:rsidR="00A459BF" w:rsidRPr="00967AC5" w:rsidRDefault="00A459BF" w:rsidP="00001EB9">
            <w:pPr>
              <w:pStyle w:val="ECCTabletext"/>
              <w:keepNext/>
              <w:keepLines/>
            </w:pPr>
            <w:r w:rsidRPr="00967AC5">
              <w:t xml:space="preserve">0.2 MHz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f &lt; 1 MHz</w:t>
            </w:r>
          </w:p>
        </w:tc>
        <w:tc>
          <w:tcPr>
            <w:tcW w:w="0" w:type="pct"/>
            <w:vAlign w:val="top"/>
          </w:tcPr>
          <w:p w14:paraId="45AEB359" w14:textId="77777777" w:rsidR="00A459BF" w:rsidRPr="00967AC5" w:rsidRDefault="00A459BF" w:rsidP="00001EB9">
            <w:pPr>
              <w:pStyle w:val="ECCTabletext"/>
              <w:keepNext/>
              <w:keepLines/>
            </w:pPr>
            <w:r w:rsidRPr="00967AC5">
              <w:t xml:space="preserve">0.215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1.015 MHz</w:t>
            </w:r>
          </w:p>
        </w:tc>
        <w:tc>
          <w:tcPr>
            <w:tcW w:w="0" w:type="pct"/>
            <w:vAlign w:val="top"/>
          </w:tcPr>
          <w:p w14:paraId="5A232650" w14:textId="77777777" w:rsidR="00A459BF" w:rsidRPr="00967AC5" w:rsidRDefault="00A459BF" w:rsidP="00001EB9">
            <w:pPr>
              <w:pStyle w:val="ECCTabletext"/>
              <w:keepNext/>
              <w:keepLines/>
            </w:pPr>
            <w:r w:rsidRPr="00967AC5">
              <w:t>–5 dBm – 15·(</w:t>
            </w:r>
            <w:proofErr w:type="spellStart"/>
            <w:r w:rsidRPr="00967AC5">
              <w:t>f_offset</w:t>
            </w:r>
            <w:proofErr w:type="spellEnd"/>
            <w:r w:rsidRPr="00967AC5">
              <w:t xml:space="preserve">/MHz – 0.215) dB </w:t>
            </w:r>
          </w:p>
        </w:tc>
        <w:tc>
          <w:tcPr>
            <w:tcW w:w="0" w:type="pct"/>
            <w:vAlign w:val="top"/>
          </w:tcPr>
          <w:p w14:paraId="1181A1C2" w14:textId="77777777" w:rsidR="00A459BF" w:rsidRPr="00967AC5" w:rsidRDefault="00A459BF" w:rsidP="00001EB9">
            <w:pPr>
              <w:pStyle w:val="ECCTabletext"/>
              <w:keepNext/>
              <w:keepLines/>
            </w:pPr>
            <w:r w:rsidRPr="00967AC5">
              <w:t xml:space="preserve">30 kHz </w:t>
            </w:r>
          </w:p>
        </w:tc>
      </w:tr>
      <w:tr w:rsidR="00367403" w:rsidRPr="00967AC5" w14:paraId="46134C51" w14:textId="77777777" w:rsidTr="002505BC">
        <w:trPr>
          <w:trHeight w:val="265"/>
        </w:trPr>
        <w:tc>
          <w:tcPr>
            <w:tcW w:w="0" w:type="pct"/>
            <w:vAlign w:val="top"/>
          </w:tcPr>
          <w:p w14:paraId="3F2931D6" w14:textId="55258D47" w:rsidR="00A459BF" w:rsidRPr="00967AC5" w:rsidRDefault="00A459BF" w:rsidP="00001EB9">
            <w:pPr>
              <w:pStyle w:val="ECCTabletext"/>
              <w:keepNext/>
              <w:keepLines/>
            </w:pPr>
            <w:r w:rsidRPr="00967AC5">
              <w:t xml:space="preserve">(Note </w:t>
            </w:r>
            <w:r w:rsidR="00D80FF6" w:rsidRPr="00967AC5">
              <w:t>4</w:t>
            </w:r>
            <w:r w:rsidRPr="00967AC5">
              <w:t>)</w:t>
            </w:r>
          </w:p>
        </w:tc>
        <w:tc>
          <w:tcPr>
            <w:tcW w:w="0" w:type="pct"/>
            <w:vAlign w:val="top"/>
          </w:tcPr>
          <w:p w14:paraId="2A69C399" w14:textId="77777777" w:rsidR="00A459BF" w:rsidRPr="00967AC5" w:rsidRDefault="00A459BF" w:rsidP="00001EB9">
            <w:pPr>
              <w:pStyle w:val="ECCTabletext"/>
              <w:keepNext/>
              <w:keepLines/>
            </w:pPr>
            <w:r w:rsidRPr="00967AC5">
              <w:t xml:space="preserve">1.015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1.5 MHz </w:t>
            </w:r>
          </w:p>
        </w:tc>
        <w:tc>
          <w:tcPr>
            <w:tcW w:w="0" w:type="pct"/>
            <w:vAlign w:val="top"/>
          </w:tcPr>
          <w:p w14:paraId="36818ACA" w14:textId="77777777" w:rsidR="00A459BF" w:rsidRPr="00967AC5" w:rsidRDefault="00A459BF" w:rsidP="00001EB9">
            <w:pPr>
              <w:pStyle w:val="ECCTabletext"/>
              <w:keepNext/>
              <w:keepLines/>
            </w:pPr>
            <w:r w:rsidRPr="00967AC5">
              <w:t>–17 dBm</w:t>
            </w:r>
          </w:p>
        </w:tc>
        <w:tc>
          <w:tcPr>
            <w:tcW w:w="0" w:type="pct"/>
            <w:vAlign w:val="top"/>
          </w:tcPr>
          <w:p w14:paraId="22B648CB" w14:textId="77777777" w:rsidR="00A459BF" w:rsidRPr="00967AC5" w:rsidRDefault="00A459BF" w:rsidP="00001EB9">
            <w:pPr>
              <w:pStyle w:val="ECCTabletext"/>
              <w:keepNext/>
              <w:keepLines/>
            </w:pPr>
            <w:r w:rsidRPr="00967AC5">
              <w:t xml:space="preserve">30 kHz </w:t>
            </w:r>
          </w:p>
        </w:tc>
      </w:tr>
      <w:tr w:rsidR="00367403" w:rsidRPr="00967AC5" w14:paraId="70B0F04D" w14:textId="77777777" w:rsidTr="002505BC">
        <w:trPr>
          <w:trHeight w:val="265"/>
        </w:trPr>
        <w:tc>
          <w:tcPr>
            <w:tcW w:w="0" w:type="pct"/>
            <w:vAlign w:val="top"/>
          </w:tcPr>
          <w:p w14:paraId="6D639E95" w14:textId="77777777" w:rsidR="00A459BF" w:rsidRPr="00AD3968" w:rsidRDefault="00A459BF" w:rsidP="00001EB9">
            <w:pPr>
              <w:pStyle w:val="ECCTabletext"/>
              <w:keepNext/>
              <w:keepLines/>
            </w:pPr>
            <w:r w:rsidRPr="00AD3968">
              <w:t xml:space="preserve">1 MHz </w:t>
            </w:r>
            <w:r w:rsidRPr="00967AC5">
              <w:rPr>
                <w:rFonts w:ascii="Symbol" w:eastAsia="Symbol" w:hAnsi="Symbol" w:cs="Symbol"/>
              </w:rPr>
              <w:sym w:font="Symbol" w:char="F0A3"/>
            </w:r>
            <w:r w:rsidRPr="00AD3968">
              <w:t xml:space="preserve"> </w:t>
            </w:r>
            <w:r w:rsidRPr="00967AC5">
              <w:rPr>
                <w:rFonts w:ascii="Symbol" w:eastAsia="Symbol" w:hAnsi="Symbol" w:cs="Symbol"/>
              </w:rPr>
              <w:sym w:font="Symbol" w:char="F044"/>
            </w:r>
            <w:r w:rsidRPr="00AD3968">
              <w:t xml:space="preserve">f </w:t>
            </w:r>
            <w:r w:rsidRPr="00967AC5">
              <w:rPr>
                <w:rFonts w:ascii="Symbol" w:eastAsia="Symbol" w:hAnsi="Symbol" w:cs="Symbol"/>
              </w:rPr>
              <w:sym w:font="Symbol" w:char="F0A3"/>
            </w:r>
            <w:r w:rsidRPr="00AD3968">
              <w:t xml:space="preserve"> min(</w:t>
            </w:r>
            <w:r w:rsidRPr="00967AC5">
              <w:rPr>
                <w:rFonts w:ascii="Symbol" w:eastAsia="Symbol" w:hAnsi="Symbol" w:cs="Symbol"/>
              </w:rPr>
              <w:sym w:font="Symbol" w:char="F044"/>
            </w:r>
            <w:r w:rsidRPr="00AD3968">
              <w:t>f</w:t>
            </w:r>
            <w:r w:rsidRPr="00AD3968">
              <w:rPr>
                <w:vertAlign w:val="subscript"/>
              </w:rPr>
              <w:t>max</w:t>
            </w:r>
            <w:r w:rsidRPr="00AD3968">
              <w:t>, 10 MHz)</w:t>
            </w:r>
          </w:p>
        </w:tc>
        <w:tc>
          <w:tcPr>
            <w:tcW w:w="0" w:type="pct"/>
            <w:vAlign w:val="top"/>
          </w:tcPr>
          <w:p w14:paraId="21C7AE32" w14:textId="77777777" w:rsidR="00A459BF" w:rsidRPr="00AD3968" w:rsidRDefault="00A459BF" w:rsidP="00FF2C59">
            <w:pPr>
              <w:pStyle w:val="ECCTabletext"/>
              <w:keepNext/>
              <w:keepLines/>
              <w:jc w:val="left"/>
            </w:pPr>
            <w:r w:rsidRPr="00AD3968">
              <w:t xml:space="preserve">1.5 MHz </w:t>
            </w:r>
            <w:r w:rsidRPr="00967AC5">
              <w:rPr>
                <w:rFonts w:ascii="Symbol" w:eastAsia="Symbol" w:hAnsi="Symbol" w:cs="Symbol"/>
              </w:rPr>
              <w:sym w:font="Symbol" w:char="F0A3"/>
            </w:r>
            <w:r w:rsidRPr="00AD3968">
              <w:t xml:space="preserve"> f_offset &lt; min(f_offset</w:t>
            </w:r>
            <w:r w:rsidRPr="00AD3968">
              <w:rPr>
                <w:vertAlign w:val="subscript"/>
              </w:rPr>
              <w:t>max</w:t>
            </w:r>
            <w:r w:rsidRPr="00AD3968">
              <w:t>, 10.5 MHz)</w:t>
            </w:r>
          </w:p>
        </w:tc>
        <w:tc>
          <w:tcPr>
            <w:tcW w:w="0" w:type="pct"/>
            <w:vAlign w:val="top"/>
          </w:tcPr>
          <w:p w14:paraId="04727595" w14:textId="77777777" w:rsidR="00A459BF" w:rsidRPr="00967AC5" w:rsidRDefault="00A459BF" w:rsidP="00001EB9">
            <w:pPr>
              <w:pStyle w:val="ECCTabletext"/>
              <w:keepNext/>
              <w:keepLines/>
            </w:pPr>
            <w:r w:rsidRPr="00967AC5">
              <w:t>–4 dBm</w:t>
            </w:r>
          </w:p>
        </w:tc>
        <w:tc>
          <w:tcPr>
            <w:tcW w:w="0" w:type="pct"/>
            <w:vAlign w:val="top"/>
          </w:tcPr>
          <w:p w14:paraId="36157832" w14:textId="77777777" w:rsidR="00A459BF" w:rsidRPr="00967AC5" w:rsidRDefault="00A459BF" w:rsidP="00001EB9">
            <w:pPr>
              <w:pStyle w:val="ECCTabletext"/>
              <w:keepNext/>
              <w:keepLines/>
            </w:pPr>
            <w:r w:rsidRPr="00967AC5">
              <w:t xml:space="preserve">1 MHz </w:t>
            </w:r>
          </w:p>
        </w:tc>
      </w:tr>
      <w:tr w:rsidR="00367403" w:rsidRPr="00967AC5" w14:paraId="2B4A8DF7" w14:textId="77777777" w:rsidTr="002505BC">
        <w:trPr>
          <w:trHeight w:val="265"/>
        </w:trPr>
        <w:tc>
          <w:tcPr>
            <w:tcW w:w="0" w:type="pct"/>
            <w:vAlign w:val="top"/>
          </w:tcPr>
          <w:p w14:paraId="4EFFA784" w14:textId="77777777" w:rsidR="00A459BF" w:rsidRPr="00967AC5" w:rsidRDefault="00A459BF" w:rsidP="00001EB9">
            <w:pPr>
              <w:pStyle w:val="ECCTabletext"/>
              <w:keepNext/>
              <w:keepLines/>
            </w:pPr>
            <w:r w:rsidRPr="00967AC5">
              <w:t xml:space="preserve">10 MHz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 xml:space="preserve">f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f</w:t>
            </w:r>
            <w:r w:rsidRPr="00967AC5">
              <w:rPr>
                <w:vertAlign w:val="subscript"/>
              </w:rPr>
              <w:t>max</w:t>
            </w:r>
          </w:p>
        </w:tc>
        <w:tc>
          <w:tcPr>
            <w:tcW w:w="0" w:type="pct"/>
            <w:vAlign w:val="top"/>
          </w:tcPr>
          <w:p w14:paraId="40CA625F" w14:textId="77777777" w:rsidR="00A459BF" w:rsidRPr="00967AC5" w:rsidRDefault="00A459BF" w:rsidP="00001EB9">
            <w:pPr>
              <w:pStyle w:val="ECCTabletext"/>
              <w:keepNext/>
              <w:keepLines/>
            </w:pPr>
            <w:r w:rsidRPr="00967AC5">
              <w:t xml:space="preserve">10.5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w:t>
            </w:r>
            <w:proofErr w:type="spellStart"/>
            <w:r w:rsidRPr="00967AC5">
              <w:t>f_offset</w:t>
            </w:r>
            <w:r w:rsidRPr="00967AC5">
              <w:rPr>
                <w:vertAlign w:val="subscript"/>
              </w:rPr>
              <w:t>max</w:t>
            </w:r>
            <w:proofErr w:type="spellEnd"/>
            <w:r w:rsidRPr="00967AC5">
              <w:rPr>
                <w:vertAlign w:val="subscript"/>
              </w:rPr>
              <w:t xml:space="preserve"> </w:t>
            </w:r>
          </w:p>
        </w:tc>
        <w:tc>
          <w:tcPr>
            <w:tcW w:w="0" w:type="pct"/>
            <w:vAlign w:val="top"/>
          </w:tcPr>
          <w:p w14:paraId="2F2CB42C" w14:textId="1CA9B4B0" w:rsidR="00A459BF" w:rsidRPr="00967AC5" w:rsidRDefault="00A459BF" w:rsidP="00001EB9">
            <w:pPr>
              <w:pStyle w:val="ECCTabletext"/>
              <w:keepNext/>
              <w:keepLines/>
            </w:pPr>
            <w:r w:rsidRPr="00967AC5">
              <w:t xml:space="preserve">–6 dBm (Note </w:t>
            </w:r>
            <w:r w:rsidR="00AD72DA" w:rsidRPr="00967AC5">
              <w:t>6</w:t>
            </w:r>
            <w:r w:rsidRPr="00967AC5">
              <w:t>)</w:t>
            </w:r>
          </w:p>
        </w:tc>
        <w:tc>
          <w:tcPr>
            <w:tcW w:w="0" w:type="pct"/>
            <w:vAlign w:val="top"/>
          </w:tcPr>
          <w:p w14:paraId="6108D7C5" w14:textId="77777777" w:rsidR="00A459BF" w:rsidRPr="00967AC5" w:rsidRDefault="00A459BF" w:rsidP="00001EB9">
            <w:pPr>
              <w:pStyle w:val="ECCTabletext"/>
              <w:keepNext/>
              <w:keepLines/>
            </w:pPr>
            <w:r w:rsidRPr="00967AC5">
              <w:t xml:space="preserve">1 MHz </w:t>
            </w:r>
          </w:p>
        </w:tc>
      </w:tr>
      <w:tr w:rsidR="00A459BF" w:rsidRPr="00967AC5" w14:paraId="6A4E32F4" w14:textId="77777777" w:rsidTr="002505BC">
        <w:trPr>
          <w:trHeight w:val="265"/>
        </w:trPr>
        <w:tc>
          <w:tcPr>
            <w:tcW w:w="0" w:type="pct"/>
            <w:gridSpan w:val="4"/>
            <w:vAlign w:val="top"/>
          </w:tcPr>
          <w:p w14:paraId="30F4A4DC" w14:textId="77777777" w:rsidR="00680BB5" w:rsidRPr="00967AC5" w:rsidRDefault="00A459BF" w:rsidP="00001EB9">
            <w:pPr>
              <w:pStyle w:val="ECCTablenote"/>
              <w:keepNext/>
              <w:keepLines/>
            </w:pPr>
            <w:r w:rsidRPr="00967AC5">
              <w:t xml:space="preserve">Note 1: For operation with an E-UTRA 1.4 or 3 MHz carrier adjacent to the Base Station RF Bandwidth edge, the limits in </w:t>
            </w:r>
            <w:r w:rsidR="00147E30" w:rsidRPr="00967AC5">
              <w:fldChar w:fldCharType="begin"/>
            </w:r>
            <w:r w:rsidR="00147E30" w:rsidRPr="00967AC5">
              <w:instrText xml:space="preserve"> REF _Ref63686243 \h </w:instrText>
            </w:r>
            <w:r w:rsidR="002505BC" w:rsidRPr="00967AC5">
              <w:instrText xml:space="preserve"> \* MERGEFORMAT </w:instrText>
            </w:r>
            <w:r w:rsidR="00147E30" w:rsidRPr="00967AC5">
              <w:fldChar w:fldCharType="separate"/>
            </w:r>
          </w:p>
          <w:p w14:paraId="190F65FF" w14:textId="5CA1CAE9" w:rsidR="00A459BF" w:rsidRPr="00967AC5" w:rsidRDefault="00680BB5" w:rsidP="00001EB9">
            <w:pPr>
              <w:pStyle w:val="ECCTablenote"/>
              <w:keepNext/>
              <w:keepLines/>
            </w:pPr>
            <w:r w:rsidRPr="00967AC5">
              <w:t>Table</w:t>
            </w:r>
            <w:r w:rsidRPr="00967AC5">
              <w:rPr>
                <w:noProof/>
              </w:rPr>
              <w:t xml:space="preserve"> 20</w:t>
            </w:r>
            <w:r w:rsidR="00147E30" w:rsidRPr="00967AC5">
              <w:fldChar w:fldCharType="end"/>
            </w:r>
            <w:r w:rsidR="00A459BF" w:rsidRPr="00967AC5">
              <w:t xml:space="preserve"> apply for 0 MHz </w:t>
            </w:r>
            <w:r w:rsidR="00A459BF" w:rsidRPr="00967AC5">
              <w:sym w:font="Symbol" w:char="F0A3"/>
            </w:r>
            <w:r w:rsidR="00A459BF" w:rsidRPr="00967AC5">
              <w:t xml:space="preserve"> </w:t>
            </w:r>
            <w:r w:rsidR="00A459BF" w:rsidRPr="00967AC5">
              <w:sym w:font="Symbol" w:char="F044"/>
            </w:r>
            <w:r w:rsidR="00A459BF" w:rsidRPr="00967AC5">
              <w:t>f &lt; 0.15 MHz.</w:t>
            </w:r>
          </w:p>
          <w:p w14:paraId="7EC8A48D" w14:textId="77777777" w:rsidR="00A459BF" w:rsidRPr="00967AC5" w:rsidRDefault="00A459BF" w:rsidP="00001EB9">
            <w:pPr>
              <w:pStyle w:val="ECCTablenote"/>
              <w:keepNext/>
              <w:keepLines/>
            </w:pPr>
            <w:r w:rsidRPr="00967AC5">
              <w:t xml:space="preserve">Note 2: For MSR RIB supporting non-contiguous spectrum operation within any operating band the minimum requirement within sub-block gaps is calculated as a cumulative sum of contributions from adjacent subblocks on each side of the sub-block gap, where the contribution from the far-end sub-block shall be scaled according to the measurement bandwidth of the near-end sub-block. Exception is </w:t>
            </w:r>
            <w:r w:rsidRPr="00967AC5">
              <w:sym w:font="Symbol" w:char="F044"/>
            </w:r>
            <w:r w:rsidRPr="00967AC5">
              <w:t>f ≥ 10MHz from both adjacent sub-blocks on each side of the sub-block gap, where the minimum requirement within sub-block gaps shall be -6dBm/MHz.</w:t>
            </w:r>
          </w:p>
          <w:p w14:paraId="725DA8E9" w14:textId="77777777" w:rsidR="00A459BF" w:rsidRPr="00967AC5" w:rsidRDefault="00A459BF" w:rsidP="00001EB9">
            <w:pPr>
              <w:pStyle w:val="ECCTablenote"/>
              <w:keepNext/>
              <w:keepLines/>
            </w:pPr>
            <w:r w:rsidRPr="00967AC5">
              <w:t>Note 3: For a MSR multi-band RIB with Inter RF Bandwidth gap &lt; 2×</w:t>
            </w:r>
            <w:r w:rsidRPr="00967AC5">
              <w:sym w:font="Symbol" w:char="F044"/>
            </w:r>
            <w:proofErr w:type="spellStart"/>
            <w:r w:rsidRPr="00967AC5">
              <w:t>fOBUE</w:t>
            </w:r>
            <w:proofErr w:type="spellEnd"/>
            <w:r w:rsidRPr="00967AC5">
              <w:t xml:space="preserve"> operation the minimum requirement within the Inter RF Bandwidth gaps is calculated as a cumulative sum of contributions from adjacent subblocks or Base Station RF Bandwidth on each side of the Inter RF Bandwidth gap, where the contribution from the far-end sub-block or Base Station RF Bandwidth shall be scaled according to the measurement bandwidth of the near-end sub-block or Base Station RF Bandwidth.</w:t>
            </w:r>
          </w:p>
          <w:p w14:paraId="0E25DDDF" w14:textId="45F2377E" w:rsidR="00A459BF" w:rsidRPr="00967AC5" w:rsidRDefault="00A459BF" w:rsidP="00001EB9">
            <w:pPr>
              <w:pStyle w:val="ECCTablenote"/>
              <w:keepNext/>
              <w:keepLines/>
            </w:pPr>
            <w:r w:rsidRPr="00967AC5">
              <w:t xml:space="preserve">Note </w:t>
            </w:r>
            <w:r w:rsidR="00AD72DA" w:rsidRPr="00967AC5">
              <w:t>4</w:t>
            </w:r>
            <w:r w:rsidRPr="00967AC5">
              <w:t xml:space="preserve">: This frequency range ensures that the range of values of </w:t>
            </w:r>
            <w:proofErr w:type="spellStart"/>
            <w:r w:rsidRPr="00967AC5">
              <w:t>f_offset</w:t>
            </w:r>
            <w:proofErr w:type="spellEnd"/>
            <w:r w:rsidRPr="00967AC5">
              <w:t xml:space="preserve"> is continuous.</w:t>
            </w:r>
          </w:p>
          <w:p w14:paraId="5DBD64CA" w14:textId="7847B75C" w:rsidR="00A459BF" w:rsidRPr="00967AC5" w:rsidRDefault="00A459BF" w:rsidP="00001EB9">
            <w:pPr>
              <w:pStyle w:val="ECCTablenote"/>
              <w:keepNext/>
              <w:keepLines/>
            </w:pPr>
            <w:r w:rsidRPr="00967AC5">
              <w:t xml:space="preserve">Note </w:t>
            </w:r>
            <w:r w:rsidR="00AD72DA" w:rsidRPr="00967AC5">
              <w:t>5</w:t>
            </w:r>
            <w:r w:rsidRPr="00967AC5">
              <w:t>: 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5D07CBD" w14:textId="72523569" w:rsidR="00A459BF" w:rsidRPr="00967AC5" w:rsidRDefault="00A459BF" w:rsidP="00001EB9">
            <w:pPr>
              <w:pStyle w:val="ECCTablenote"/>
              <w:keepNext/>
              <w:keepLines/>
            </w:pPr>
            <w:r w:rsidRPr="00967AC5">
              <w:t xml:space="preserve">Note </w:t>
            </w:r>
            <w:r w:rsidR="00AD72DA" w:rsidRPr="00967AC5">
              <w:t>6</w:t>
            </w:r>
            <w:r w:rsidRPr="00967AC5">
              <w:t xml:space="preserve">: The requirement is not applicable when </w:t>
            </w:r>
            <w:r w:rsidRPr="00967AC5">
              <w:sym w:font="Symbol" w:char="F044"/>
            </w:r>
            <w:r w:rsidRPr="00967AC5">
              <w:t>fmax &lt; 10 MHz.</w:t>
            </w:r>
          </w:p>
        </w:tc>
      </w:tr>
    </w:tbl>
    <w:p w14:paraId="2B7F697F" w14:textId="77777777" w:rsidR="001577EA" w:rsidRPr="00967AC5" w:rsidRDefault="001577EA" w:rsidP="00001EB9">
      <w:pPr>
        <w:rPr>
          <w:lang w:val="en-GB"/>
        </w:rPr>
      </w:pPr>
      <w:bookmarkStart w:id="193" w:name="_Ref63686243"/>
    </w:p>
    <w:p w14:paraId="541ACD77" w14:textId="49C4D96F" w:rsidR="00A459BF" w:rsidRPr="00967AC5" w:rsidRDefault="001F2249" w:rsidP="00001EB9">
      <w:pPr>
        <w:pStyle w:val="Caption"/>
        <w:keepNext/>
        <w:rPr>
          <w:lang w:val="en-GB"/>
        </w:rPr>
      </w:pPr>
      <w:bookmarkStart w:id="194" w:name="_Ref75960471"/>
      <w:r w:rsidRPr="00967AC5">
        <w:rPr>
          <w:lang w:val="en-GB"/>
        </w:rPr>
        <w:lastRenderedPageBreak/>
        <w:t xml:space="preserve">Table </w:t>
      </w:r>
      <w:r w:rsidRPr="00967AC5">
        <w:rPr>
          <w:lang w:val="en-GB"/>
        </w:rPr>
        <w:fldChar w:fldCharType="begin"/>
      </w:r>
      <w:r w:rsidRPr="00967AC5">
        <w:rPr>
          <w:lang w:val="en-GB"/>
        </w:rPr>
        <w:instrText xml:space="preserve"> SEQ Table \* ARABIC </w:instrText>
      </w:r>
      <w:r w:rsidRPr="00967AC5">
        <w:rPr>
          <w:lang w:val="en-GB"/>
        </w:rPr>
        <w:fldChar w:fldCharType="separate"/>
      </w:r>
      <w:r w:rsidR="00680BB5" w:rsidRPr="00967AC5">
        <w:rPr>
          <w:noProof/>
          <w:lang w:val="en-GB"/>
        </w:rPr>
        <w:t>20</w:t>
      </w:r>
      <w:r w:rsidRPr="00967AC5">
        <w:rPr>
          <w:lang w:val="en-GB"/>
        </w:rPr>
        <w:fldChar w:fldCharType="end"/>
      </w:r>
      <w:bookmarkEnd w:id="193"/>
      <w:bookmarkEnd w:id="194"/>
      <w:r w:rsidRPr="00967AC5">
        <w:rPr>
          <w:lang w:val="en-GB"/>
        </w:rPr>
        <w:t>:</w:t>
      </w:r>
      <w:r w:rsidR="00A459BF" w:rsidRPr="00967AC5">
        <w:rPr>
          <w:lang w:val="en-GB"/>
        </w:rPr>
        <w:t xml:space="preserve"> Wide Area operating band unwanted emission limits for operation in BC2 with E-UTRA 1.4 or 3 MHz carriers adjacent to the Base Station RF Bandwidth edge</w:t>
      </w:r>
      <w:r w:rsidR="00147E30" w:rsidRPr="00967AC5">
        <w:rPr>
          <w:lang w:val="en-GB"/>
        </w:rPr>
        <w:t xml:space="preserve"> (</w:t>
      </w:r>
      <w:r w:rsidR="00147E30" w:rsidRPr="00967AC5">
        <w:rPr>
          <w:rFonts w:eastAsia="Calibri"/>
          <w:lang w:val="en-GB"/>
        </w:rPr>
        <w:t>ETSI TS 137 105Table 9.7.5.2.3-2</w:t>
      </w:r>
      <w:r w:rsidR="00EB1B95" w:rsidRPr="00967AC5">
        <w:rPr>
          <w:rFonts w:eastAsia="Calibri"/>
          <w:lang w:val="en-GB"/>
        </w:rPr>
        <w:t xml:space="preserve"> </w:t>
      </w:r>
      <w:r w:rsidR="00EB1B95" w:rsidRPr="00967AC5">
        <w:rPr>
          <w:rFonts w:eastAsia="Calibri"/>
          <w:lang w:val="en-GB"/>
        </w:rPr>
        <w:fldChar w:fldCharType="begin"/>
      </w:r>
      <w:r w:rsidR="00EB1B95" w:rsidRPr="00967AC5">
        <w:rPr>
          <w:rFonts w:eastAsia="Calibri"/>
          <w:lang w:val="en-GB"/>
        </w:rPr>
        <w:instrText xml:space="preserve"> REF _Ref68702164 \r \h </w:instrText>
      </w:r>
      <w:r w:rsidR="002505BC" w:rsidRPr="00967AC5">
        <w:rPr>
          <w:rFonts w:eastAsia="Calibri"/>
          <w:lang w:val="en-GB"/>
        </w:rPr>
        <w:instrText xml:space="preserve"> \* MERGEFORMAT </w:instrText>
      </w:r>
      <w:r w:rsidR="00EB1B95" w:rsidRPr="00967AC5">
        <w:rPr>
          <w:rFonts w:eastAsia="Calibri"/>
          <w:lang w:val="en-GB"/>
        </w:rPr>
      </w:r>
      <w:r w:rsidR="00EB1B95" w:rsidRPr="00967AC5">
        <w:rPr>
          <w:rFonts w:eastAsia="Calibri"/>
          <w:lang w:val="en-GB"/>
        </w:rPr>
        <w:fldChar w:fldCharType="separate"/>
      </w:r>
      <w:r w:rsidR="00680BB5" w:rsidRPr="00967AC5">
        <w:rPr>
          <w:rFonts w:eastAsia="Calibri"/>
          <w:lang w:val="en-GB"/>
        </w:rPr>
        <w:t>[24]</w:t>
      </w:r>
      <w:r w:rsidR="00EB1B95" w:rsidRPr="00967AC5">
        <w:rPr>
          <w:rFonts w:eastAsia="Calibri"/>
          <w:lang w:val="en-GB"/>
        </w:rPr>
        <w:fldChar w:fldCharType="end"/>
      </w:r>
      <w:r w:rsidR="00147E30" w:rsidRPr="00967AC5">
        <w:rPr>
          <w:rFonts w:eastAsia="Calibri"/>
          <w:lang w:val="en-GB"/>
        </w:rPr>
        <w:t>)</w:t>
      </w:r>
    </w:p>
    <w:tbl>
      <w:tblPr>
        <w:tblStyle w:val="ECCTable-redheader2"/>
        <w:tblW w:w="5000" w:type="pct"/>
        <w:tblInd w:w="0" w:type="dxa"/>
        <w:tblLook w:val="04A0" w:firstRow="1" w:lastRow="0" w:firstColumn="1" w:lastColumn="0" w:noHBand="0" w:noVBand="1"/>
      </w:tblPr>
      <w:tblGrid>
        <w:gridCol w:w="2356"/>
        <w:gridCol w:w="2174"/>
        <w:gridCol w:w="3543"/>
        <w:gridCol w:w="1556"/>
      </w:tblGrid>
      <w:tr w:rsidR="00784B8D" w:rsidRPr="00967AC5" w14:paraId="43425399" w14:textId="77777777" w:rsidTr="00FE75BF">
        <w:trPr>
          <w:cnfStyle w:val="100000000000" w:firstRow="1" w:lastRow="0" w:firstColumn="0" w:lastColumn="0" w:oddVBand="0" w:evenVBand="0" w:oddHBand="0" w:evenHBand="0" w:firstRowFirstColumn="0" w:firstRowLastColumn="0" w:lastRowFirstColumn="0" w:lastRowLastColumn="0"/>
        </w:trPr>
        <w:tc>
          <w:tcPr>
            <w:tcW w:w="12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23492719" w14:textId="77777777" w:rsidR="00A459BF" w:rsidRPr="00967AC5" w:rsidRDefault="00A459BF" w:rsidP="00001EB9">
            <w:pPr>
              <w:pStyle w:val="ECCTableHeaderwhitefont"/>
              <w:keepNext/>
              <w:keepLines/>
              <w:rPr>
                <w:lang w:val="en-GB"/>
              </w:rPr>
            </w:pPr>
            <w:r w:rsidRPr="00967AC5">
              <w:rPr>
                <w:lang w:val="en-GB"/>
              </w:rPr>
              <w:t xml:space="preserve">Frequency offset of measurement filter –3dB point, </w:t>
            </w:r>
            <w:r w:rsidRPr="00967AC5">
              <w:rPr>
                <w:rFonts w:ascii="Symbol" w:eastAsia="Symbol" w:hAnsi="Symbol" w:cs="Symbol"/>
                <w:lang w:val="en-GB"/>
              </w:rPr>
              <w:sym w:font="Symbol" w:char="F044"/>
            </w:r>
            <w:r w:rsidRPr="00967AC5">
              <w:rPr>
                <w:lang w:val="en-GB"/>
              </w:rPr>
              <w:t>f</w:t>
            </w:r>
          </w:p>
        </w:tc>
        <w:tc>
          <w:tcPr>
            <w:tcW w:w="11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486DADE4" w14:textId="77777777" w:rsidR="00A459BF" w:rsidRPr="00967AC5" w:rsidRDefault="00A459BF" w:rsidP="00001EB9">
            <w:pPr>
              <w:pStyle w:val="ECCTableHeaderwhitefont"/>
              <w:keepNext/>
              <w:keepLines/>
              <w:rPr>
                <w:lang w:val="en-GB"/>
              </w:rPr>
            </w:pPr>
            <w:r w:rsidRPr="00967AC5">
              <w:rPr>
                <w:lang w:val="en-GB"/>
              </w:rPr>
              <w:t xml:space="preserve">Frequency offset of measurement filter centre frequency, </w:t>
            </w:r>
            <w:proofErr w:type="spellStart"/>
            <w:r w:rsidRPr="00967AC5">
              <w:rPr>
                <w:lang w:val="en-GB"/>
              </w:rPr>
              <w:t>f_offset</w:t>
            </w:r>
            <w:proofErr w:type="spellEnd"/>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32B4EC6E" w14:textId="77777777" w:rsidR="00A459BF" w:rsidRPr="00967AC5" w:rsidRDefault="00A459BF" w:rsidP="00001EB9">
            <w:pPr>
              <w:pStyle w:val="ECCTableHeaderwhitefont"/>
              <w:keepNext/>
              <w:keepLines/>
              <w:rPr>
                <w:lang w:val="en-GB"/>
              </w:rPr>
            </w:pPr>
            <w:r w:rsidRPr="00967AC5">
              <w:rPr>
                <w:lang w:val="en-GB"/>
              </w:rPr>
              <w:t>Minimum requirement</w:t>
            </w:r>
            <w:r w:rsidRPr="00967AC5">
              <w:rPr>
                <w:lang w:val="en-GB"/>
              </w:rPr>
              <w:br/>
              <w:t>(Note 2, 3)</w:t>
            </w:r>
          </w:p>
        </w:tc>
        <w:tc>
          <w:tcPr>
            <w:tcW w:w="8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61DF0150" w14:textId="1FD6574F" w:rsidR="00A459BF" w:rsidRPr="00967AC5" w:rsidRDefault="00A459BF" w:rsidP="00001EB9">
            <w:pPr>
              <w:pStyle w:val="ECCTableHeaderwhitefont"/>
              <w:keepNext/>
              <w:keepLines/>
              <w:rPr>
                <w:lang w:val="en-GB"/>
              </w:rPr>
            </w:pPr>
            <w:r w:rsidRPr="00967AC5">
              <w:rPr>
                <w:lang w:val="en-GB"/>
              </w:rPr>
              <w:t>Measurement bandwidth</w:t>
            </w:r>
            <w:r w:rsidRPr="00967AC5">
              <w:rPr>
                <w:lang w:val="en-GB"/>
              </w:rPr>
              <w:br/>
              <w:t xml:space="preserve">(Note </w:t>
            </w:r>
            <w:r w:rsidR="00A21846" w:rsidRPr="00967AC5">
              <w:rPr>
                <w:lang w:val="en-GB"/>
              </w:rPr>
              <w:t>4</w:t>
            </w:r>
            <w:r w:rsidRPr="00967AC5">
              <w:rPr>
                <w:lang w:val="en-GB"/>
              </w:rPr>
              <w:t>)</w:t>
            </w:r>
          </w:p>
        </w:tc>
      </w:tr>
      <w:tr w:rsidR="00367403" w:rsidRPr="00967AC5" w14:paraId="4EC1133B" w14:textId="77777777" w:rsidTr="00FE75BF">
        <w:trPr>
          <w:trHeight w:val="265"/>
        </w:trPr>
        <w:tc>
          <w:tcPr>
            <w:tcW w:w="1223" w:type="pct"/>
            <w:tcBorders>
              <w:top w:val="single" w:sz="4" w:space="0" w:color="FFFFFF" w:themeColor="background1"/>
            </w:tcBorders>
            <w:vAlign w:val="top"/>
          </w:tcPr>
          <w:p w14:paraId="628DDFE2" w14:textId="77777777" w:rsidR="00A459BF" w:rsidRPr="00967AC5" w:rsidRDefault="00A459BF" w:rsidP="00FE75BF">
            <w:pPr>
              <w:pStyle w:val="ECCTabletext"/>
              <w:keepNext/>
              <w:keepLines/>
              <w:jc w:val="left"/>
            </w:pPr>
            <w:r w:rsidRPr="00967AC5">
              <w:t xml:space="preserve">0 MHz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f &lt; 0.05 MHz</w:t>
            </w:r>
          </w:p>
        </w:tc>
        <w:tc>
          <w:tcPr>
            <w:tcW w:w="1129" w:type="pct"/>
            <w:tcBorders>
              <w:top w:val="single" w:sz="4" w:space="0" w:color="FFFFFF" w:themeColor="background1"/>
            </w:tcBorders>
            <w:vAlign w:val="top"/>
          </w:tcPr>
          <w:p w14:paraId="77D2CFFE" w14:textId="77777777" w:rsidR="00A459BF" w:rsidRPr="00967AC5" w:rsidRDefault="00A459BF" w:rsidP="00FE75BF">
            <w:pPr>
              <w:pStyle w:val="ECCTabletext"/>
              <w:keepNext/>
              <w:keepLines/>
              <w:jc w:val="left"/>
            </w:pPr>
            <w:r w:rsidRPr="00967AC5">
              <w:t xml:space="preserve">0.015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0.065 MHz </w:t>
            </w:r>
          </w:p>
        </w:tc>
        <w:tc>
          <w:tcPr>
            <w:tcW w:w="1840" w:type="pct"/>
            <w:tcBorders>
              <w:top w:val="single" w:sz="4" w:space="0" w:color="FFFFFF" w:themeColor="background1"/>
            </w:tcBorders>
            <w:vAlign w:val="top"/>
          </w:tcPr>
          <w:p w14:paraId="6D823CE1" w14:textId="77777777" w:rsidR="00A459BF" w:rsidRPr="00967AC5" w:rsidRDefault="00A459BF" w:rsidP="00FE75BF">
            <w:pPr>
              <w:pStyle w:val="ECCTabletext"/>
              <w:keepNext/>
              <w:keepLines/>
              <w:jc w:val="left"/>
            </w:pPr>
            <w:r w:rsidRPr="00967AC5">
              <w:t>Max(14 dBm − 60·(</w:t>
            </w:r>
            <w:proofErr w:type="spellStart"/>
            <w:r w:rsidRPr="00967AC5">
              <w:t>f_offset</w:t>
            </w:r>
            <w:proofErr w:type="spellEnd"/>
            <w:r w:rsidRPr="00967AC5">
              <w:t>/MHz – 0.015) dB, −5 dBm)</w:t>
            </w:r>
          </w:p>
        </w:tc>
        <w:tc>
          <w:tcPr>
            <w:tcW w:w="807" w:type="pct"/>
            <w:tcBorders>
              <w:top w:val="single" w:sz="4" w:space="0" w:color="FFFFFF" w:themeColor="background1"/>
            </w:tcBorders>
            <w:vAlign w:val="top"/>
          </w:tcPr>
          <w:p w14:paraId="38667C73" w14:textId="77777777" w:rsidR="00A459BF" w:rsidRPr="00967AC5" w:rsidRDefault="00A459BF" w:rsidP="00FE75BF">
            <w:pPr>
              <w:pStyle w:val="ECCTabletext"/>
              <w:keepNext/>
              <w:keepLines/>
              <w:jc w:val="left"/>
            </w:pPr>
            <w:r w:rsidRPr="00967AC5">
              <w:t xml:space="preserve">30 kHz </w:t>
            </w:r>
          </w:p>
        </w:tc>
      </w:tr>
      <w:tr w:rsidR="00EA4AE0" w:rsidRPr="00967AC5" w14:paraId="4589EE3E" w14:textId="77777777" w:rsidTr="00FE75BF">
        <w:trPr>
          <w:trHeight w:val="265"/>
        </w:trPr>
        <w:tc>
          <w:tcPr>
            <w:tcW w:w="1223" w:type="pct"/>
            <w:vAlign w:val="top"/>
          </w:tcPr>
          <w:p w14:paraId="600B94E6" w14:textId="77777777" w:rsidR="00A459BF" w:rsidRPr="00967AC5" w:rsidRDefault="00A459BF" w:rsidP="00FE75BF">
            <w:pPr>
              <w:pStyle w:val="ECCTabletext"/>
              <w:keepNext/>
              <w:keepLines/>
              <w:jc w:val="left"/>
            </w:pPr>
            <w:r w:rsidRPr="00967AC5">
              <w:t xml:space="preserve">0.05 MHz </w:t>
            </w:r>
            <w:r w:rsidRPr="00967AC5">
              <w:rPr>
                <w:rFonts w:ascii="Symbol" w:eastAsia="Symbol" w:hAnsi="Symbol" w:cs="Symbol"/>
              </w:rPr>
              <w:sym w:font="Symbol" w:char="F0A3"/>
            </w:r>
            <w:r w:rsidRPr="00967AC5">
              <w:t xml:space="preserve"> </w:t>
            </w:r>
            <w:r w:rsidRPr="00967AC5">
              <w:rPr>
                <w:rFonts w:ascii="Symbol" w:eastAsia="Symbol" w:hAnsi="Symbol" w:cs="Symbol"/>
              </w:rPr>
              <w:sym w:font="Symbol" w:char="F044"/>
            </w:r>
            <w:r w:rsidRPr="00967AC5">
              <w:t>f &lt; 0.15 MHz</w:t>
            </w:r>
          </w:p>
        </w:tc>
        <w:tc>
          <w:tcPr>
            <w:tcW w:w="1129" w:type="pct"/>
            <w:vAlign w:val="top"/>
          </w:tcPr>
          <w:p w14:paraId="375C2CEC" w14:textId="77777777" w:rsidR="00A459BF" w:rsidRPr="00967AC5" w:rsidRDefault="00A459BF" w:rsidP="00FE75BF">
            <w:pPr>
              <w:pStyle w:val="ECCTabletext"/>
              <w:keepNext/>
              <w:keepLines/>
              <w:jc w:val="left"/>
            </w:pPr>
            <w:r w:rsidRPr="00967AC5">
              <w:t xml:space="preserve">0.065 MHz </w:t>
            </w:r>
            <w:r w:rsidRPr="00967AC5">
              <w:rPr>
                <w:rFonts w:ascii="Symbol" w:eastAsia="Symbol" w:hAnsi="Symbol" w:cs="Symbol"/>
              </w:rPr>
              <w:sym w:font="Symbol" w:char="F0A3"/>
            </w:r>
            <w:r w:rsidRPr="00967AC5">
              <w:t xml:space="preserve"> </w:t>
            </w:r>
            <w:proofErr w:type="spellStart"/>
            <w:r w:rsidRPr="00967AC5">
              <w:t>f_offset</w:t>
            </w:r>
            <w:proofErr w:type="spellEnd"/>
            <w:r w:rsidRPr="00967AC5">
              <w:t xml:space="preserve"> &lt; 0.165 MHz </w:t>
            </w:r>
          </w:p>
        </w:tc>
        <w:tc>
          <w:tcPr>
            <w:tcW w:w="1840" w:type="pct"/>
            <w:vAlign w:val="top"/>
          </w:tcPr>
          <w:p w14:paraId="66342CC1" w14:textId="77777777" w:rsidR="00A459BF" w:rsidRPr="00967AC5" w:rsidRDefault="00A459BF" w:rsidP="00FE75BF">
            <w:pPr>
              <w:pStyle w:val="ECCTabletext"/>
              <w:keepNext/>
              <w:keepLines/>
              <w:jc w:val="left"/>
            </w:pPr>
            <w:r w:rsidRPr="00967AC5">
              <w:t xml:space="preserve">Max(11 dBm – 160·( </w:t>
            </w:r>
            <w:proofErr w:type="spellStart"/>
            <w:r w:rsidRPr="00967AC5">
              <w:t>f_offset</w:t>
            </w:r>
            <w:proofErr w:type="spellEnd"/>
            <w:r w:rsidRPr="00967AC5">
              <w:t>/MHz – 0.065) dB, −5 dBm)</w:t>
            </w:r>
          </w:p>
        </w:tc>
        <w:tc>
          <w:tcPr>
            <w:tcW w:w="807" w:type="pct"/>
            <w:vAlign w:val="top"/>
          </w:tcPr>
          <w:p w14:paraId="7AA5CBD7" w14:textId="77777777" w:rsidR="00A459BF" w:rsidRPr="00967AC5" w:rsidRDefault="00A459BF" w:rsidP="00FE75BF">
            <w:pPr>
              <w:pStyle w:val="ECCTabletext"/>
              <w:keepNext/>
              <w:keepLines/>
              <w:jc w:val="left"/>
            </w:pPr>
            <w:r w:rsidRPr="00967AC5">
              <w:t xml:space="preserve">30 kHz </w:t>
            </w:r>
          </w:p>
        </w:tc>
      </w:tr>
      <w:tr w:rsidR="00A459BF" w:rsidRPr="00967AC5" w14:paraId="0B51FC34" w14:textId="77777777" w:rsidTr="00FE75BF">
        <w:trPr>
          <w:trHeight w:val="265"/>
        </w:trPr>
        <w:tc>
          <w:tcPr>
            <w:tcW w:w="5000" w:type="pct"/>
            <w:gridSpan w:val="4"/>
            <w:vAlign w:val="top"/>
          </w:tcPr>
          <w:p w14:paraId="3A6BBFDF" w14:textId="77777777" w:rsidR="00A459BF" w:rsidRPr="00967AC5" w:rsidRDefault="00A459BF" w:rsidP="00001EB9">
            <w:pPr>
              <w:pStyle w:val="ECCTablenote"/>
              <w:keepNext/>
              <w:keepLines/>
            </w:pPr>
            <w:r w:rsidRPr="00967AC5">
              <w:t>Note 1: The limits in this table only apply for operation with an E-UTRA 1.4 or 3 MHz carrier adjacent to the Base Station RF Bandwidth edge.</w:t>
            </w:r>
          </w:p>
          <w:p w14:paraId="52ACB364" w14:textId="77777777" w:rsidR="00A459BF" w:rsidRPr="00967AC5" w:rsidRDefault="00A459BF" w:rsidP="00001EB9">
            <w:pPr>
              <w:pStyle w:val="ECCTablenote"/>
              <w:keepNext/>
              <w:keepLines/>
            </w:pPr>
            <w:r w:rsidRPr="00967AC5">
              <w:t>Note 2: For MSR RIB supporting non-contiguous spectrum operation within any operating band the minimum requirement within sub-block gaps is calculated as a cumulative sum of contributions from adjacent sub blocks on each side of the sub-block gap.</w:t>
            </w:r>
          </w:p>
          <w:p w14:paraId="09B99526" w14:textId="77777777" w:rsidR="00A459BF" w:rsidRPr="00967AC5" w:rsidRDefault="00A459BF" w:rsidP="00001EB9">
            <w:pPr>
              <w:pStyle w:val="ECCTablenote"/>
              <w:keepNext/>
              <w:keepLines/>
            </w:pPr>
            <w:r w:rsidRPr="00967AC5">
              <w:t>Note 3: For a MSR multi-band RIB with Inter RF Bandwidth gap &lt; 2×</w:t>
            </w:r>
            <w:r w:rsidRPr="00967AC5">
              <w:rPr>
                <w:rFonts w:ascii="Symbol" w:eastAsia="Symbol" w:hAnsi="Symbol" w:cs="Symbol"/>
              </w:rPr>
              <w:sym w:font="Symbol" w:char="F044"/>
            </w:r>
            <w:proofErr w:type="spellStart"/>
            <w:r w:rsidRPr="00967AC5">
              <w:t>f</w:t>
            </w:r>
            <w:r w:rsidRPr="00967AC5">
              <w:rPr>
                <w:vertAlign w:val="subscript"/>
              </w:rPr>
              <w:t>OBUE</w:t>
            </w:r>
            <w:proofErr w:type="spellEnd"/>
            <w:r w:rsidRPr="00967AC5">
              <w:t xml:space="preserve"> the minimum requirement within the Inter RF Bandwidth gaps is calculated as a cumulative sum of contributions from adjacent sub-blocks or Base Station RF Bandwidth on each side of the Inter RF Bandwidth gap.</w:t>
            </w:r>
          </w:p>
          <w:p w14:paraId="466AD3F3" w14:textId="1CB9C2A2" w:rsidR="00A21846" w:rsidRPr="00967AC5" w:rsidRDefault="00A21846" w:rsidP="00001EB9">
            <w:pPr>
              <w:pStyle w:val="ECCTablenote"/>
              <w:keepNext/>
              <w:keepLines/>
            </w:pPr>
            <w:r w:rsidRPr="00967AC5">
              <w:t>Note 4: 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tc>
      </w:tr>
      <w:bookmarkEnd w:id="188"/>
    </w:tbl>
    <w:p w14:paraId="3A84F70B" w14:textId="77777777" w:rsidR="00542C61" w:rsidRPr="00967AC5" w:rsidRDefault="00542C61" w:rsidP="00001EB9">
      <w:pPr>
        <w:spacing w:before="240" w:after="60"/>
        <w:jc w:val="both"/>
        <w:rPr>
          <w:lang w:val="en-GB"/>
        </w:rPr>
      </w:pPr>
    </w:p>
    <w:p w14:paraId="234DEEE7" w14:textId="333AFEC2" w:rsidR="00542C61" w:rsidRPr="00967AC5" w:rsidRDefault="00B04311" w:rsidP="00B937EA">
      <w:pPr>
        <w:pStyle w:val="ECCAnnexheading1"/>
      </w:pPr>
      <w:bookmarkStart w:id="195" w:name="_Toc71037846"/>
      <w:bookmarkStart w:id="196" w:name="_Ref71037848"/>
      <w:r w:rsidRPr="00967AC5">
        <w:lastRenderedPageBreak/>
        <w:t>High level principles used in this report</w:t>
      </w:r>
      <w:bookmarkEnd w:id="195"/>
      <w:bookmarkEnd w:id="196"/>
    </w:p>
    <w:p w14:paraId="2350D435" w14:textId="278A90F9" w:rsidR="00542C61" w:rsidRPr="00967AC5" w:rsidRDefault="00542C61" w:rsidP="00542C61">
      <w:pPr>
        <w:pStyle w:val="ECCParagraph"/>
      </w:pPr>
      <w:r w:rsidRPr="00967AC5">
        <w:t xml:space="preserve">This Report </w:t>
      </w:r>
      <w:r w:rsidR="0039220B" w:rsidRPr="00967AC5">
        <w:t xml:space="preserve">has been </w:t>
      </w:r>
      <w:proofErr w:type="spellStart"/>
      <w:r w:rsidR="00DC42BE" w:rsidRPr="00967AC5">
        <w:t>devoloped</w:t>
      </w:r>
      <w:proofErr w:type="spellEnd"/>
      <w:r w:rsidR="0039220B" w:rsidRPr="00967AC5">
        <w:t xml:space="preserve"> according </w:t>
      </w:r>
      <w:r w:rsidR="00DC42BE" w:rsidRPr="00967AC5">
        <w:t xml:space="preserve">to </w:t>
      </w:r>
      <w:r w:rsidR="0039220B" w:rsidRPr="00967AC5">
        <w:t>the</w:t>
      </w:r>
      <w:r w:rsidRPr="00967AC5">
        <w:t xml:space="preserve"> following </w:t>
      </w:r>
      <w:r w:rsidR="00A21846" w:rsidRPr="00967AC5">
        <w:t xml:space="preserve">high </w:t>
      </w:r>
      <w:r w:rsidRPr="00967AC5">
        <w:t>level principles and objectives”</w:t>
      </w:r>
      <w:r w:rsidR="0039220B" w:rsidRPr="00967AC5">
        <w:t xml:space="preserve"> agreed by CEPT ECC</w:t>
      </w:r>
      <w:r w:rsidRPr="00967AC5">
        <w:t>:</w:t>
      </w:r>
    </w:p>
    <w:p w14:paraId="16E3899F" w14:textId="3452A22F" w:rsidR="00542C61" w:rsidRPr="00967AC5" w:rsidRDefault="00542C61" w:rsidP="002505BC">
      <w:pPr>
        <w:pStyle w:val="ECCNumberedList"/>
        <w:numPr>
          <w:ilvl w:val="0"/>
          <w:numId w:val="55"/>
        </w:numPr>
        <w:rPr>
          <w:szCs w:val="16"/>
        </w:rPr>
      </w:pPr>
      <w:r w:rsidRPr="00967AC5">
        <w:t>A Block Edge Mask (BEM) is an essential component of LRTC</w:t>
      </w:r>
      <w:r w:rsidR="007352D7" w:rsidRPr="00967AC5">
        <w:t>s</w:t>
      </w:r>
      <w:r w:rsidRPr="00967AC5">
        <w:t xml:space="preserve"> and provides conditions necessary to ensure co-existence between neighbouring networks, in the absence of bilateral or multilateral agreements between operators of such neighbouring networks</w:t>
      </w:r>
      <w:r w:rsidR="00F01EFB" w:rsidRPr="00967AC5">
        <w:t xml:space="preserve">; </w:t>
      </w:r>
    </w:p>
    <w:p w14:paraId="3223681D" w14:textId="66707662" w:rsidR="00542C61" w:rsidRPr="00967AC5" w:rsidRDefault="00542C61" w:rsidP="002505BC">
      <w:pPr>
        <w:pStyle w:val="ECCNumberedList"/>
        <w:rPr>
          <w:szCs w:val="16"/>
        </w:rPr>
      </w:pPr>
      <w:r w:rsidRPr="00967AC5">
        <w:rPr>
          <w:szCs w:val="16"/>
        </w:rPr>
        <w:t xml:space="preserve">To develop BEM for </w:t>
      </w:r>
      <w:r w:rsidR="00014CC6" w:rsidRPr="00967AC5">
        <w:rPr>
          <w:szCs w:val="16"/>
        </w:rPr>
        <w:t xml:space="preserve">base stations </w:t>
      </w:r>
      <w:r w:rsidRPr="00967AC5">
        <w:rPr>
          <w:szCs w:val="16"/>
        </w:rPr>
        <w:t>and terminal stations including the following possible components, where appropriate:</w:t>
      </w:r>
    </w:p>
    <w:p w14:paraId="135DE1BA" w14:textId="6D25BDFE" w:rsidR="00542C61" w:rsidRPr="00967AC5" w:rsidRDefault="00542C61" w:rsidP="00FE75BF">
      <w:pPr>
        <w:pStyle w:val="ECCBulletsLv1"/>
        <w:spacing w:before="20"/>
        <w:ind w:firstLine="66"/>
      </w:pPr>
      <w:r w:rsidRPr="00967AC5">
        <w:t>Base stations</w:t>
      </w:r>
      <w:r w:rsidR="00F01EFB" w:rsidRPr="00967AC5">
        <w:t>:</w:t>
      </w:r>
    </w:p>
    <w:p w14:paraId="13A95119" w14:textId="5BF6A0D3" w:rsidR="00542C61" w:rsidRPr="00967AC5" w:rsidRDefault="00542C61" w:rsidP="00FE75BF">
      <w:pPr>
        <w:pStyle w:val="ECCBulletsLv1"/>
        <w:numPr>
          <w:ilvl w:val="1"/>
          <w:numId w:val="15"/>
        </w:numPr>
        <w:spacing w:before="20"/>
        <w:ind w:hanging="447"/>
      </w:pPr>
      <w:r w:rsidRPr="00967AC5">
        <w:t>In-block power limit (to be applied to an assigned block where needed</w:t>
      </w:r>
      <w:r w:rsidR="00F01EFB" w:rsidRPr="00967AC5">
        <w:t>);</w:t>
      </w:r>
    </w:p>
    <w:p w14:paraId="6198EC38" w14:textId="19EDEC0F" w:rsidR="00542C61" w:rsidRPr="00967AC5" w:rsidRDefault="00542C61" w:rsidP="00FE75BF">
      <w:pPr>
        <w:pStyle w:val="ECCBulletsLv1"/>
        <w:numPr>
          <w:ilvl w:val="1"/>
          <w:numId w:val="15"/>
        </w:numPr>
        <w:spacing w:before="20"/>
        <w:ind w:hanging="447"/>
      </w:pPr>
      <w:r w:rsidRPr="00967AC5">
        <w:t>Transitional region (</w:t>
      </w:r>
      <w:r w:rsidR="00CF354E" w:rsidRPr="00967AC5">
        <w:t>out-of-block</w:t>
      </w:r>
      <w:r w:rsidRPr="00967AC5">
        <w:t xml:space="preserve"> limits)</w:t>
      </w:r>
      <w:r w:rsidR="00F01EFB" w:rsidRPr="00967AC5">
        <w:t>;</w:t>
      </w:r>
    </w:p>
    <w:p w14:paraId="42AB0CC4" w14:textId="1521D829" w:rsidR="00542C61" w:rsidRPr="00967AC5" w:rsidRDefault="00542C61" w:rsidP="00FE75BF">
      <w:pPr>
        <w:pStyle w:val="ECCBulletsLv1"/>
        <w:numPr>
          <w:ilvl w:val="1"/>
          <w:numId w:val="15"/>
        </w:numPr>
        <w:spacing w:before="20"/>
        <w:ind w:hanging="447"/>
      </w:pPr>
      <w:r w:rsidRPr="00967AC5">
        <w:t>Baseline (</w:t>
      </w:r>
      <w:r w:rsidR="00CF354E" w:rsidRPr="00967AC5">
        <w:t>out-of-block</w:t>
      </w:r>
      <w:r w:rsidRPr="00967AC5">
        <w:t xml:space="preserve"> limits)</w:t>
      </w:r>
      <w:r w:rsidR="00F01EFB" w:rsidRPr="00967AC5">
        <w:t>;</w:t>
      </w:r>
    </w:p>
    <w:p w14:paraId="37158EAD" w14:textId="4E6E4F05" w:rsidR="00542C61" w:rsidRPr="00967AC5" w:rsidRDefault="00542C61" w:rsidP="00FE75BF">
      <w:pPr>
        <w:pStyle w:val="ECCBulletsLv1"/>
        <w:numPr>
          <w:ilvl w:val="1"/>
          <w:numId w:val="15"/>
        </w:numPr>
        <w:spacing w:before="20"/>
        <w:ind w:hanging="447"/>
      </w:pPr>
      <w:r w:rsidRPr="00967AC5">
        <w:t>Restricted baseline (only if needed, for restricted out-of-block limits)</w:t>
      </w:r>
      <w:r w:rsidR="00F01EFB" w:rsidRPr="00967AC5">
        <w:t>;</w:t>
      </w:r>
    </w:p>
    <w:p w14:paraId="510F43A9" w14:textId="78DA6082" w:rsidR="00542C61" w:rsidRPr="00967AC5" w:rsidRDefault="00542C61" w:rsidP="00FE75BF">
      <w:pPr>
        <w:pStyle w:val="ECCBulletsLv1"/>
        <w:numPr>
          <w:ilvl w:val="1"/>
          <w:numId w:val="15"/>
        </w:numPr>
        <w:spacing w:before="20"/>
        <w:ind w:hanging="447"/>
      </w:pPr>
      <w:r w:rsidRPr="00967AC5">
        <w:t>Out-of-block limit (coexistence between mobile operators)</w:t>
      </w:r>
      <w:r w:rsidR="00F01EFB" w:rsidRPr="00967AC5">
        <w:t>;</w:t>
      </w:r>
    </w:p>
    <w:p w14:paraId="51A388CE" w14:textId="64CBF288" w:rsidR="00542C61" w:rsidRPr="00967AC5" w:rsidRDefault="00542C61" w:rsidP="00FE75BF">
      <w:pPr>
        <w:pStyle w:val="ECCBulletsLv1"/>
        <w:spacing w:before="20"/>
        <w:ind w:firstLine="66"/>
      </w:pPr>
      <w:r w:rsidRPr="00967AC5">
        <w:t>Ensure coexistence with adjacent systems</w:t>
      </w:r>
      <w:r w:rsidR="00F01EFB" w:rsidRPr="00967AC5">
        <w:t>:</w:t>
      </w:r>
    </w:p>
    <w:p w14:paraId="09C41B95" w14:textId="040E61E2" w:rsidR="00542C61" w:rsidRPr="00967AC5" w:rsidRDefault="00542C61" w:rsidP="00FE75BF">
      <w:pPr>
        <w:pStyle w:val="ECCBulletsLv1"/>
        <w:numPr>
          <w:ilvl w:val="1"/>
          <w:numId w:val="15"/>
        </w:numPr>
        <w:spacing w:before="20"/>
        <w:ind w:hanging="447"/>
      </w:pPr>
      <w:r w:rsidRPr="00967AC5">
        <w:t>Out-of-band limits (to ensure coexistence with adjacent users) where needed if it differs from out</w:t>
      </w:r>
      <w:r w:rsidR="005155F6" w:rsidRPr="00967AC5">
        <w:t>-</w:t>
      </w:r>
      <w:r w:rsidR="00690DB3" w:rsidRPr="00967AC5">
        <w:t>o</w:t>
      </w:r>
      <w:r w:rsidRPr="00967AC5">
        <w:t>f</w:t>
      </w:r>
      <w:r w:rsidR="00D6314C" w:rsidRPr="00967AC5">
        <w:t>-of-</w:t>
      </w:r>
      <w:r w:rsidRPr="00967AC5">
        <w:t>block limits</w:t>
      </w:r>
      <w:r w:rsidR="00F01EFB" w:rsidRPr="00967AC5">
        <w:t>;</w:t>
      </w:r>
    </w:p>
    <w:p w14:paraId="4362E750" w14:textId="36CDE090" w:rsidR="00542C61" w:rsidRPr="00967AC5" w:rsidRDefault="00542C61" w:rsidP="00FE75BF">
      <w:pPr>
        <w:pStyle w:val="ECCBulletsLv1"/>
        <w:numPr>
          <w:ilvl w:val="1"/>
          <w:numId w:val="15"/>
        </w:numPr>
        <w:spacing w:before="20"/>
        <w:ind w:hanging="447"/>
      </w:pPr>
      <w:r w:rsidRPr="00967AC5">
        <w:t>Additional baseline (if needed to ensure coexistence with adjacent services)</w:t>
      </w:r>
      <w:r w:rsidR="00F01EFB" w:rsidRPr="00967AC5">
        <w:t>;</w:t>
      </w:r>
    </w:p>
    <w:p w14:paraId="4450CD24" w14:textId="132CB667" w:rsidR="00542C61" w:rsidRPr="00967AC5" w:rsidRDefault="00542C61" w:rsidP="00FE75BF">
      <w:pPr>
        <w:pStyle w:val="ECCBulletsLv1"/>
        <w:spacing w:before="20"/>
        <w:ind w:firstLine="66"/>
      </w:pPr>
      <w:r w:rsidRPr="00967AC5">
        <w:t>Terminal Stations</w:t>
      </w:r>
      <w:r w:rsidR="00F01EFB" w:rsidRPr="00967AC5">
        <w:t>:</w:t>
      </w:r>
    </w:p>
    <w:p w14:paraId="6ADAB930" w14:textId="355E48D6" w:rsidR="00542C61" w:rsidRPr="00967AC5" w:rsidRDefault="00542C61" w:rsidP="00FE75BF">
      <w:pPr>
        <w:pStyle w:val="ECCBulletsLv1"/>
        <w:numPr>
          <w:ilvl w:val="1"/>
          <w:numId w:val="15"/>
        </w:numPr>
        <w:spacing w:before="20"/>
        <w:ind w:hanging="447"/>
      </w:pPr>
      <w:r w:rsidRPr="00967AC5">
        <w:t>In-block power limit (to be applied to an assigned block)</w:t>
      </w:r>
      <w:r w:rsidR="00F01EFB" w:rsidRPr="00967AC5">
        <w:t>;</w:t>
      </w:r>
    </w:p>
    <w:p w14:paraId="63FF61D8" w14:textId="123C61AC" w:rsidR="00542C61" w:rsidRPr="00967AC5" w:rsidRDefault="00542C61" w:rsidP="00FE75BF">
      <w:pPr>
        <w:pStyle w:val="ECCBulletsLv1"/>
        <w:numPr>
          <w:ilvl w:val="1"/>
          <w:numId w:val="15"/>
        </w:numPr>
        <w:spacing w:before="20"/>
        <w:ind w:hanging="447"/>
      </w:pPr>
      <w:r w:rsidRPr="00967AC5">
        <w:t>To assess if other limits are needed to ensure coexistence with adjacent users</w:t>
      </w:r>
      <w:r w:rsidR="00F01EFB" w:rsidRPr="00967AC5">
        <w:t>;</w:t>
      </w:r>
    </w:p>
    <w:p w14:paraId="1EE79E83" w14:textId="1039EB5A" w:rsidR="00542C61" w:rsidRPr="00967AC5" w:rsidRDefault="00542C61" w:rsidP="002505BC">
      <w:pPr>
        <w:pStyle w:val="ECCNumberedList"/>
      </w:pPr>
      <w:r w:rsidRPr="00967AC5">
        <w:t>To express and implement the required frequency separation between NB</w:t>
      </w:r>
      <w:r w:rsidR="00B123BC" w:rsidRPr="00967AC5">
        <w:t xml:space="preserve"> systems</w:t>
      </w:r>
      <w:r w:rsidRPr="00967AC5">
        <w:t xml:space="preserve"> and WB</w:t>
      </w:r>
      <w:r w:rsidR="00BA047D">
        <w:t xml:space="preserve"> </w:t>
      </w:r>
      <w:r w:rsidRPr="00967AC5">
        <w:t xml:space="preserve">systems and between different NB systems under a technology neutral approach. Today the frequency separation is implemented in the EC framework on a technology based approached: GSM, LTE, </w:t>
      </w:r>
      <w:r w:rsidR="00323B1B" w:rsidRPr="00967AC5">
        <w:t>WiMAX</w:t>
      </w:r>
      <w:r w:rsidRPr="00967AC5">
        <w:t>, UMTS, and all IoT technologies (including standalone and non-standalone NB-IoT)</w:t>
      </w:r>
      <w:r w:rsidR="00F01EFB" w:rsidRPr="00967AC5">
        <w:t>;</w:t>
      </w:r>
    </w:p>
    <w:p w14:paraId="67B98F2C" w14:textId="190688F4" w:rsidR="00542C61" w:rsidRPr="00967AC5" w:rsidRDefault="00542C61" w:rsidP="002505BC">
      <w:pPr>
        <w:pStyle w:val="ECCNumberedList"/>
      </w:pPr>
      <w:r w:rsidRPr="00967AC5">
        <w:t>To implement a technology neutral BEM approach for NB</w:t>
      </w:r>
      <w:r w:rsidR="00D034DC" w:rsidRPr="00967AC5">
        <w:t xml:space="preserve"> systems</w:t>
      </w:r>
      <w:r w:rsidR="00A13948" w:rsidRPr="00967AC5">
        <w:t xml:space="preserve"> </w:t>
      </w:r>
      <w:r w:rsidR="00A13948" w:rsidRPr="00967AC5">
        <w:rPr>
          <w:rFonts w:eastAsia="Times New Roman"/>
          <w:szCs w:val="16"/>
        </w:rPr>
        <w:t>and WB</w:t>
      </w:r>
      <w:r w:rsidR="00BA047D">
        <w:rPr>
          <w:rFonts w:eastAsia="Times New Roman"/>
          <w:szCs w:val="16"/>
        </w:rPr>
        <w:t xml:space="preserve"> </w:t>
      </w:r>
      <w:r w:rsidRPr="00967AC5">
        <w:t>systems including, if needed, required frequency separation. Such approach should be derived as toolbox to be implemented at national level in order to respond</w:t>
      </w:r>
      <w:r w:rsidR="00F01EFB" w:rsidRPr="00967AC5">
        <w:t>;</w:t>
      </w:r>
    </w:p>
    <w:p w14:paraId="79938747" w14:textId="298C1F1A" w:rsidR="00542C61" w:rsidRPr="00967AC5" w:rsidRDefault="00542C61" w:rsidP="002505BC">
      <w:pPr>
        <w:pStyle w:val="ECCNumberedList"/>
      </w:pPr>
      <w:r w:rsidRPr="00967AC5">
        <w:t>GSM will not be considered in the development of the BEM. The CEPT Report explain</w:t>
      </w:r>
      <w:r w:rsidR="005C629C" w:rsidRPr="00967AC5">
        <w:t>s</w:t>
      </w:r>
      <w:r w:rsidRPr="00967AC5">
        <w:t xml:space="preserve"> why the BEM could not be applied to GSM and how</w:t>
      </w:r>
      <w:r w:rsidR="00A21846" w:rsidRPr="00967AC5">
        <w:t xml:space="preserve"> </w:t>
      </w:r>
      <w:r w:rsidRPr="00967AC5">
        <w:t xml:space="preserve">protection of GSM is to be managed </w:t>
      </w:r>
      <w:r w:rsidR="00C41AC0" w:rsidRPr="00967AC5">
        <w:t>regarding</w:t>
      </w:r>
      <w:r w:rsidRPr="00967AC5">
        <w:t xml:space="preserve"> the new BEM</w:t>
      </w:r>
      <w:r w:rsidR="00006892" w:rsidRPr="00967AC5">
        <w:rPr>
          <w:rStyle w:val="FootnoteReference"/>
        </w:rPr>
        <w:footnoteReference w:id="19"/>
      </w:r>
      <w:r w:rsidR="00F01EFB" w:rsidRPr="00967AC5">
        <w:t>;</w:t>
      </w:r>
    </w:p>
    <w:p w14:paraId="0F1EEB81" w14:textId="29C277E2" w:rsidR="00542C61" w:rsidRPr="00967AC5" w:rsidRDefault="00542C61" w:rsidP="002505BC">
      <w:pPr>
        <w:pStyle w:val="ECCNumberedList"/>
      </w:pPr>
      <w:r w:rsidRPr="00967AC5">
        <w:t>To avoid new additional studies in order to derive the LRTCs including the coexistence with adjacent services</w:t>
      </w:r>
      <w:r w:rsidR="00F01EFB" w:rsidRPr="00967AC5">
        <w:t>;</w:t>
      </w:r>
    </w:p>
    <w:p w14:paraId="417E0613" w14:textId="32EBA591" w:rsidR="00542C61" w:rsidRPr="00967AC5" w:rsidRDefault="00542C61" w:rsidP="002505BC">
      <w:pPr>
        <w:pStyle w:val="ECCNumberedList"/>
      </w:pPr>
      <w:r w:rsidRPr="00967AC5">
        <w:t>To confirm adjacent services to be considered as listed in ECC Report 297</w:t>
      </w:r>
      <w:r w:rsidR="002F1D55" w:rsidRPr="00967AC5">
        <w:t xml:space="preserve"> </w:t>
      </w:r>
      <w:r w:rsidR="002F1D55" w:rsidRPr="00967AC5">
        <w:fldChar w:fldCharType="begin"/>
      </w:r>
      <w:r w:rsidR="002F1D55" w:rsidRPr="00967AC5">
        <w:instrText xml:space="preserve"> REF _Ref63337314 \r \h </w:instrText>
      </w:r>
      <w:r w:rsidR="003F52A3" w:rsidRPr="00967AC5">
        <w:instrText xml:space="preserve"> \* MERGEFORMAT </w:instrText>
      </w:r>
      <w:r w:rsidR="002F1D55" w:rsidRPr="00967AC5">
        <w:fldChar w:fldCharType="separate"/>
      </w:r>
      <w:r w:rsidR="00680BB5" w:rsidRPr="00967AC5">
        <w:t>[3]</w:t>
      </w:r>
      <w:r w:rsidR="002F1D55" w:rsidRPr="00967AC5">
        <w:fldChar w:fldCharType="end"/>
      </w:r>
      <w:r w:rsidRPr="00967AC5">
        <w:t>. FRMCS is also included on the understanding that (1) no additional studies are required and (2) it should lead to no additional constraints for MFCN in the adjacent band. To address the coexistence issue in particular below 925</w:t>
      </w:r>
      <w:r w:rsidR="00177B03" w:rsidRPr="00967AC5">
        <w:rPr>
          <w:rFonts w:eastAsia="Times New Roman"/>
        </w:rPr>
        <w:t> </w:t>
      </w:r>
      <w:r w:rsidRPr="00967AC5">
        <w:t>MHz, above 960 MHz, below 1805 MHz and above 1880 MHz</w:t>
      </w:r>
      <w:r w:rsidR="00F01EFB" w:rsidRPr="00967AC5">
        <w:t>;</w:t>
      </w:r>
    </w:p>
    <w:p w14:paraId="360B3ACA" w14:textId="74C41F9E" w:rsidR="00542C61" w:rsidRPr="00967AC5" w:rsidRDefault="00542C61" w:rsidP="002505BC">
      <w:pPr>
        <w:pStyle w:val="ECCNumberedList"/>
      </w:pPr>
      <w:r w:rsidRPr="00967AC5">
        <w:t>To decide and justify which source should be used to derive LRTC</w:t>
      </w:r>
      <w:r w:rsidR="007352D7" w:rsidRPr="00967AC5">
        <w:t>s</w:t>
      </w:r>
      <w:r w:rsidRPr="00967AC5">
        <w:t xml:space="preserve"> limits: either ETSI HS referred to in EC/ECC </w:t>
      </w:r>
      <w:r w:rsidR="00C41AC0" w:rsidRPr="00967AC5">
        <w:t xml:space="preserve">Decisions </w:t>
      </w:r>
      <w:r w:rsidRPr="00967AC5">
        <w:t>annex</w:t>
      </w:r>
      <w:r w:rsidR="00C41AC0" w:rsidRPr="00967AC5">
        <w:t>es</w:t>
      </w:r>
      <w:r w:rsidRPr="00967AC5">
        <w:t xml:space="preserve"> or other references used in ECC studies such as ETSI TS core requirements or 3GPP TS core requirements</w:t>
      </w:r>
      <w:r w:rsidR="00F01EFB" w:rsidRPr="00967AC5">
        <w:t>;</w:t>
      </w:r>
    </w:p>
    <w:p w14:paraId="5DB19840" w14:textId="6C7F87AF" w:rsidR="00542C61" w:rsidRPr="00967AC5" w:rsidRDefault="00542C61" w:rsidP="002505BC">
      <w:pPr>
        <w:pStyle w:val="ECCNumberedList"/>
      </w:pPr>
      <w:r w:rsidRPr="00967AC5">
        <w:t>To assess how to improve the EC (ECC) current framework while avoiding additional constraints for systems deployed under the current regulatory framework</w:t>
      </w:r>
      <w:r w:rsidR="00F01EFB" w:rsidRPr="00967AC5">
        <w:t>;</w:t>
      </w:r>
    </w:p>
    <w:p w14:paraId="5E9CB265" w14:textId="257D55B3" w:rsidR="00542C61" w:rsidRPr="00967AC5" w:rsidRDefault="00542C61" w:rsidP="002505BC">
      <w:pPr>
        <w:pStyle w:val="ECCNumberedList"/>
      </w:pPr>
      <w:r w:rsidRPr="00967AC5">
        <w:t>To preserve spectrum efficiency when implementing frequency separation under technology neutral approach</w:t>
      </w:r>
      <w:r w:rsidR="00F01EFB" w:rsidRPr="00967AC5">
        <w:t>;</w:t>
      </w:r>
    </w:p>
    <w:p w14:paraId="1A063059" w14:textId="544D8746" w:rsidR="00542C61" w:rsidRPr="00967AC5" w:rsidRDefault="00542C61" w:rsidP="002505BC">
      <w:pPr>
        <w:pStyle w:val="ECCNumberedList"/>
      </w:pPr>
      <w:r w:rsidRPr="00967AC5">
        <w:t>Specific coordination issues, where needed, should still be handled on a national case-by-case basis</w:t>
      </w:r>
      <w:r w:rsidR="00F01EFB" w:rsidRPr="00967AC5">
        <w:t>.</w:t>
      </w:r>
    </w:p>
    <w:p w14:paraId="5AC2E238" w14:textId="2534E296" w:rsidR="00421E99" w:rsidRPr="00967AC5" w:rsidRDefault="006116D0" w:rsidP="00B50536">
      <w:pPr>
        <w:pStyle w:val="ECCAnnexheading1"/>
      </w:pPr>
      <w:bookmarkStart w:id="197" w:name="_Toc71037847"/>
      <w:r w:rsidRPr="00967AC5">
        <w:lastRenderedPageBreak/>
        <w:t>list of References</w:t>
      </w:r>
      <w:bookmarkEnd w:id="197"/>
    </w:p>
    <w:p w14:paraId="58D8A628" w14:textId="77777777" w:rsidR="00AC33C4" w:rsidRPr="00967AC5" w:rsidRDefault="006116D0" w:rsidP="0057129D">
      <w:pPr>
        <w:pStyle w:val="reference"/>
        <w:ind w:left="397"/>
        <w:rPr>
          <w:szCs w:val="20"/>
          <w:lang w:val="en-GB"/>
        </w:rPr>
      </w:pPr>
      <w:bookmarkStart w:id="198" w:name="_Ref49781524"/>
      <w:bookmarkStart w:id="199" w:name="_Ref63839661"/>
      <w:r w:rsidRPr="00967AC5">
        <w:rPr>
          <w:szCs w:val="20"/>
          <w:lang w:val="en-GB"/>
        </w:rPr>
        <w:t>CEPT Report 72</w:t>
      </w:r>
      <w:bookmarkEnd w:id="198"/>
      <w:r w:rsidR="00AC33C4" w:rsidRPr="00967AC5">
        <w:rPr>
          <w:szCs w:val="20"/>
          <w:lang w:val="en-GB"/>
        </w:rPr>
        <w:t>: Report from CEPT to the European Commission in response to the Mandate</w:t>
      </w:r>
      <w:bookmarkEnd w:id="199"/>
    </w:p>
    <w:p w14:paraId="0A6B2CF8" w14:textId="148691A8" w:rsidR="00AC33C4" w:rsidRPr="00967AC5" w:rsidRDefault="0057129D" w:rsidP="0057129D">
      <w:pPr>
        <w:pStyle w:val="reference"/>
        <w:numPr>
          <w:ilvl w:val="0"/>
          <w:numId w:val="0"/>
        </w:numPr>
        <w:tabs>
          <w:tab w:val="num" w:pos="965"/>
        </w:tabs>
        <w:ind w:left="397" w:hanging="397"/>
        <w:rPr>
          <w:szCs w:val="20"/>
          <w:lang w:val="en-GB"/>
        </w:rPr>
      </w:pPr>
      <w:r w:rsidRPr="00967AC5">
        <w:rPr>
          <w:szCs w:val="20"/>
          <w:lang w:val="en-GB"/>
        </w:rPr>
        <w:tab/>
      </w:r>
      <w:r w:rsidR="00AC33C4" w:rsidRPr="00967AC5">
        <w:rPr>
          <w:szCs w:val="20"/>
          <w:lang w:val="en-GB"/>
        </w:rPr>
        <w:t>“to review the harmonised technical conditions for certain EU-harmonised frequency bands and to develop least restrictive harmonised technical conditions suitable for next-generation (5G) terrestrial wireless systems”</w:t>
      </w:r>
    </w:p>
    <w:p w14:paraId="13C7DCEE" w14:textId="149C61BE" w:rsidR="00AC33C4" w:rsidRPr="00967AC5" w:rsidRDefault="0057129D" w:rsidP="0057129D">
      <w:pPr>
        <w:pStyle w:val="reference"/>
        <w:numPr>
          <w:ilvl w:val="0"/>
          <w:numId w:val="0"/>
        </w:numPr>
        <w:tabs>
          <w:tab w:val="num" w:pos="965"/>
        </w:tabs>
        <w:ind w:left="397" w:hanging="397"/>
        <w:rPr>
          <w:szCs w:val="20"/>
          <w:lang w:val="en-GB"/>
        </w:rPr>
      </w:pPr>
      <w:r w:rsidRPr="00967AC5">
        <w:rPr>
          <w:szCs w:val="20"/>
          <w:lang w:val="en-GB"/>
        </w:rPr>
        <w:tab/>
      </w:r>
      <w:r w:rsidR="00AC33C4" w:rsidRPr="00967AC5">
        <w:rPr>
          <w:szCs w:val="20"/>
          <w:lang w:val="en-GB"/>
        </w:rPr>
        <w:t>Report A: Review of technical conditions in the paired terrestrial 2 GHz and the 2.6 GHz frequency bands, and the usage feasibility of the 900 MHz and 1800 MHz frequency bands</w:t>
      </w:r>
      <w:r w:rsidR="00B3167C" w:rsidRPr="00967AC5">
        <w:rPr>
          <w:szCs w:val="20"/>
          <w:lang w:val="en-GB"/>
        </w:rPr>
        <w:t xml:space="preserve">, approved </w:t>
      </w:r>
      <w:r w:rsidR="00A91AC0" w:rsidRPr="00967AC5">
        <w:rPr>
          <w:szCs w:val="20"/>
          <w:lang w:val="en-GB"/>
        </w:rPr>
        <w:t>July 2019</w:t>
      </w:r>
    </w:p>
    <w:p w14:paraId="2DB5336A" w14:textId="66CE2469" w:rsidR="006116D0" w:rsidRPr="00967AC5" w:rsidRDefault="00912DED" w:rsidP="0057129D">
      <w:pPr>
        <w:pStyle w:val="reference"/>
        <w:ind w:left="397"/>
        <w:rPr>
          <w:szCs w:val="20"/>
          <w:lang w:val="en-GB"/>
        </w:rPr>
      </w:pPr>
      <w:bookmarkStart w:id="200" w:name="_Ref63337216"/>
      <w:r w:rsidRPr="00967AC5">
        <w:rPr>
          <w:rFonts w:eastAsia="Calibri"/>
          <w:szCs w:val="20"/>
          <w:lang w:val="en-GB"/>
        </w:rPr>
        <w:t>2009/766/EC: Commission Decision of 16 October 2009 on the harmonisation of the 900 MHz and 1800 MHz frequency bands for terrestrial systems capable of providing pan-European electronic communications services in the Community</w:t>
      </w:r>
      <w:bookmarkEnd w:id="200"/>
      <w:r w:rsidR="006116D0" w:rsidRPr="00967AC5">
        <w:rPr>
          <w:szCs w:val="20"/>
          <w:lang w:val="en-GB"/>
        </w:rPr>
        <w:t xml:space="preserve"> </w:t>
      </w:r>
    </w:p>
    <w:p w14:paraId="77953230" w14:textId="27C99751" w:rsidR="00987985" w:rsidRPr="00967AC5" w:rsidRDefault="006116D0" w:rsidP="0057129D">
      <w:pPr>
        <w:pStyle w:val="reference"/>
        <w:ind w:left="397"/>
        <w:rPr>
          <w:szCs w:val="20"/>
          <w:lang w:val="en-GB"/>
        </w:rPr>
      </w:pPr>
      <w:bookmarkStart w:id="201" w:name="_Ref63337314"/>
      <w:bookmarkStart w:id="202" w:name="_Ref63686742"/>
      <w:r w:rsidRPr="00967AC5">
        <w:rPr>
          <w:szCs w:val="20"/>
          <w:lang w:val="en-GB"/>
        </w:rPr>
        <w:t>ECC Report 297</w:t>
      </w:r>
      <w:bookmarkEnd w:id="201"/>
      <w:r w:rsidR="00AA7812" w:rsidRPr="00967AC5">
        <w:rPr>
          <w:szCs w:val="20"/>
          <w:lang w:val="en-GB"/>
        </w:rPr>
        <w:t>:</w:t>
      </w:r>
      <w:r w:rsidR="00987985" w:rsidRPr="00967AC5">
        <w:rPr>
          <w:szCs w:val="20"/>
          <w:lang w:val="en-GB"/>
        </w:rPr>
        <w:t xml:space="preserve"> “Analysis of the suitability and update of the regulatory technical conditions for 5G MFCN and AAS operation in the 900 MHz and 1800 MHz bands”</w:t>
      </w:r>
      <w:r w:rsidR="00B3167C" w:rsidRPr="00967AC5">
        <w:rPr>
          <w:szCs w:val="20"/>
          <w:lang w:val="en-GB"/>
        </w:rPr>
        <w:t xml:space="preserve">, approved </w:t>
      </w:r>
      <w:r w:rsidR="00987985" w:rsidRPr="00967AC5">
        <w:rPr>
          <w:szCs w:val="20"/>
          <w:lang w:val="en-GB"/>
        </w:rPr>
        <w:t>March 2019</w:t>
      </w:r>
      <w:bookmarkEnd w:id="202"/>
    </w:p>
    <w:p w14:paraId="53FF0AA8" w14:textId="3B04E115" w:rsidR="00A91AC0" w:rsidRPr="00967AC5" w:rsidRDefault="00AF33AF" w:rsidP="0057129D">
      <w:pPr>
        <w:pStyle w:val="reference"/>
        <w:ind w:left="397"/>
        <w:rPr>
          <w:szCs w:val="20"/>
          <w:lang w:val="en-GB"/>
        </w:rPr>
      </w:pPr>
      <w:bookmarkStart w:id="203" w:name="_Ref63337334"/>
      <w:bookmarkStart w:id="204" w:name="_Ref63843359"/>
      <w:r w:rsidRPr="00967AC5">
        <w:rPr>
          <w:szCs w:val="20"/>
          <w:lang w:val="en-GB"/>
        </w:rPr>
        <w:t>CEPT Report 40</w:t>
      </w:r>
      <w:bookmarkEnd w:id="203"/>
      <w:r w:rsidR="00A91AC0" w:rsidRPr="00967AC5">
        <w:rPr>
          <w:szCs w:val="20"/>
          <w:lang w:val="en-GB"/>
        </w:rPr>
        <w:t>: “Report from CEPT to European Commission in response to Task 2 of the Mandate to CEPT on the 900/1800 MHz bands</w:t>
      </w:r>
      <w:bookmarkEnd w:id="204"/>
    </w:p>
    <w:p w14:paraId="2118C97D" w14:textId="11D4325A" w:rsidR="00A91AC0" w:rsidRPr="00967AC5" w:rsidRDefault="0057129D" w:rsidP="0057129D">
      <w:pPr>
        <w:pStyle w:val="reference"/>
        <w:numPr>
          <w:ilvl w:val="0"/>
          <w:numId w:val="0"/>
        </w:numPr>
        <w:tabs>
          <w:tab w:val="num" w:pos="965"/>
        </w:tabs>
        <w:ind w:left="397" w:hanging="397"/>
        <w:rPr>
          <w:szCs w:val="20"/>
          <w:lang w:val="en-GB"/>
        </w:rPr>
      </w:pPr>
      <w:r w:rsidRPr="00967AC5">
        <w:rPr>
          <w:szCs w:val="20"/>
          <w:lang w:val="en-GB"/>
        </w:rPr>
        <w:tab/>
      </w:r>
      <w:r w:rsidR="00A91AC0" w:rsidRPr="00967AC5">
        <w:rPr>
          <w:szCs w:val="20"/>
          <w:lang w:val="en-GB"/>
        </w:rPr>
        <w:t>“Compatibility study for LTE and WiMAX operating within the bands 880-915 MHz / 925-960 MHz and 1710-1785 MHz / 1805-1880 MHz (900/1800 MHz bands)”</w:t>
      </w:r>
      <w:r w:rsidR="005900ED" w:rsidRPr="00967AC5">
        <w:rPr>
          <w:szCs w:val="20"/>
          <w:lang w:val="en-GB"/>
        </w:rPr>
        <w:t xml:space="preserve">, approved </w:t>
      </w:r>
      <w:r w:rsidR="00ED6FAF" w:rsidRPr="00967AC5">
        <w:rPr>
          <w:szCs w:val="20"/>
          <w:lang w:val="en-GB"/>
        </w:rPr>
        <w:t>November 2010</w:t>
      </w:r>
    </w:p>
    <w:p w14:paraId="14D3BB32" w14:textId="186CDE21" w:rsidR="009C7019" w:rsidRPr="00967AC5" w:rsidRDefault="004E07CE" w:rsidP="0057129D">
      <w:pPr>
        <w:pStyle w:val="reference"/>
        <w:ind w:left="397"/>
        <w:rPr>
          <w:szCs w:val="20"/>
          <w:lang w:val="en-GB"/>
        </w:rPr>
      </w:pPr>
      <w:bookmarkStart w:id="205" w:name="_Ref63337447"/>
      <w:bookmarkStart w:id="206" w:name="_Ref63686712"/>
      <w:r w:rsidRPr="00967AC5">
        <w:rPr>
          <w:szCs w:val="20"/>
          <w:lang w:val="en-GB"/>
        </w:rPr>
        <w:t>ECC Report 266</w:t>
      </w:r>
      <w:bookmarkEnd w:id="205"/>
      <w:r w:rsidR="009C7019" w:rsidRPr="00967AC5">
        <w:rPr>
          <w:szCs w:val="20"/>
          <w:lang w:val="en-GB"/>
        </w:rPr>
        <w:t>: “The suitability of the current ECC regulatory framework for the usage of Wideband and Narrowband M2M in the frequency bands 700 MHz, 800 MHz, 900 MHz, 1800 MHz, 2.1 GHz and 2.6 GHz”</w:t>
      </w:r>
      <w:r w:rsidR="005900ED" w:rsidRPr="00967AC5">
        <w:rPr>
          <w:szCs w:val="20"/>
          <w:lang w:val="en-GB"/>
        </w:rPr>
        <w:t xml:space="preserve">, approved </w:t>
      </w:r>
      <w:r w:rsidR="009C7019" w:rsidRPr="00967AC5">
        <w:rPr>
          <w:szCs w:val="20"/>
          <w:lang w:val="en-GB"/>
        </w:rPr>
        <w:t>June 2017</w:t>
      </w:r>
      <w:bookmarkEnd w:id="206"/>
    </w:p>
    <w:p w14:paraId="02CC0852" w14:textId="31EF58F3" w:rsidR="009C7019" w:rsidRPr="00967AC5" w:rsidRDefault="004E07CE" w:rsidP="0057129D">
      <w:pPr>
        <w:pStyle w:val="reference"/>
        <w:ind w:left="397"/>
        <w:rPr>
          <w:szCs w:val="20"/>
          <w:lang w:val="en-GB"/>
        </w:rPr>
      </w:pPr>
      <w:bookmarkStart w:id="207" w:name="_Ref63337460"/>
      <w:r w:rsidRPr="00967AC5">
        <w:rPr>
          <w:szCs w:val="20"/>
          <w:lang w:val="en-GB"/>
        </w:rPr>
        <w:t>ECC Report 229</w:t>
      </w:r>
      <w:bookmarkEnd w:id="207"/>
      <w:r w:rsidR="00CC2241" w:rsidRPr="00967AC5">
        <w:rPr>
          <w:szCs w:val="20"/>
          <w:lang w:val="en-GB"/>
        </w:rPr>
        <w:t>: “Guidance for improving coexistence between GSM-R and MFCN in the 900 MHz band”</w:t>
      </w:r>
      <w:r w:rsidR="005900ED" w:rsidRPr="00967AC5">
        <w:rPr>
          <w:szCs w:val="20"/>
          <w:lang w:val="en-GB"/>
        </w:rPr>
        <w:t xml:space="preserve">, approved </w:t>
      </w:r>
      <w:r w:rsidR="00CC2241" w:rsidRPr="00967AC5">
        <w:rPr>
          <w:szCs w:val="20"/>
          <w:lang w:val="en-GB"/>
        </w:rPr>
        <w:t>May 2015</w:t>
      </w:r>
    </w:p>
    <w:p w14:paraId="056000B9" w14:textId="3B56E78A" w:rsidR="00A90ED6" w:rsidRPr="00967AC5" w:rsidRDefault="00A90ED6" w:rsidP="0057129D">
      <w:pPr>
        <w:pStyle w:val="reference"/>
        <w:ind w:left="397"/>
        <w:rPr>
          <w:szCs w:val="20"/>
          <w:lang w:val="en-GB"/>
        </w:rPr>
      </w:pPr>
      <w:bookmarkStart w:id="208" w:name="_Ref63337465"/>
      <w:r w:rsidRPr="00967AC5">
        <w:rPr>
          <w:szCs w:val="20"/>
          <w:lang w:val="en-GB"/>
        </w:rPr>
        <w:t>ECC Report 146</w:t>
      </w:r>
      <w:bookmarkEnd w:id="208"/>
      <w:r w:rsidR="009F5F18" w:rsidRPr="00967AC5">
        <w:rPr>
          <w:szCs w:val="20"/>
          <w:lang w:val="en-GB"/>
        </w:rPr>
        <w:t>: “Compatibility between GSM MCBTS and other services (TRR, RSBN/PRMG, HC-SDMA, GSM-R, DME, MIDS, DECT) operating in the 900 and 1800 MHz frequency bands”</w:t>
      </w:r>
      <w:r w:rsidR="005900ED" w:rsidRPr="00967AC5">
        <w:rPr>
          <w:szCs w:val="20"/>
          <w:lang w:val="en-GB"/>
        </w:rPr>
        <w:t xml:space="preserve">, approved </w:t>
      </w:r>
      <w:r w:rsidR="009F5F18" w:rsidRPr="00967AC5">
        <w:rPr>
          <w:szCs w:val="20"/>
          <w:lang w:val="en-GB"/>
        </w:rPr>
        <w:t>July 2010</w:t>
      </w:r>
    </w:p>
    <w:p w14:paraId="7D2B1989" w14:textId="02427E0B" w:rsidR="00A90ED6" w:rsidRPr="00967AC5" w:rsidRDefault="00A90ED6" w:rsidP="0057129D">
      <w:pPr>
        <w:pStyle w:val="reference"/>
        <w:ind w:left="397"/>
        <w:rPr>
          <w:szCs w:val="20"/>
          <w:lang w:val="en-GB"/>
        </w:rPr>
      </w:pPr>
      <w:bookmarkStart w:id="209" w:name="_Ref63337472"/>
      <w:r w:rsidRPr="00967AC5">
        <w:rPr>
          <w:szCs w:val="20"/>
          <w:lang w:val="en-GB"/>
        </w:rPr>
        <w:t>ECC Report 82</w:t>
      </w:r>
      <w:bookmarkEnd w:id="209"/>
      <w:r w:rsidR="009F5F18" w:rsidRPr="00967AC5">
        <w:rPr>
          <w:szCs w:val="20"/>
          <w:lang w:val="en-GB"/>
        </w:rPr>
        <w:t>:</w:t>
      </w:r>
      <w:r w:rsidR="005448F3" w:rsidRPr="00967AC5">
        <w:rPr>
          <w:szCs w:val="20"/>
          <w:lang w:val="en-GB"/>
        </w:rPr>
        <w:t xml:space="preserve"> “Compatibility study for UMTS operating within the GSM 900 and GSM 1800 frequency bands”</w:t>
      </w:r>
      <w:r w:rsidR="005900ED" w:rsidRPr="00967AC5">
        <w:rPr>
          <w:szCs w:val="20"/>
          <w:lang w:val="en-GB"/>
        </w:rPr>
        <w:t xml:space="preserve">, approved </w:t>
      </w:r>
      <w:r w:rsidR="005448F3" w:rsidRPr="00967AC5">
        <w:rPr>
          <w:szCs w:val="20"/>
          <w:lang w:val="en-GB"/>
        </w:rPr>
        <w:t>June 2006</w:t>
      </w:r>
    </w:p>
    <w:p w14:paraId="3B3C2875" w14:textId="3FABF278" w:rsidR="00A90ED6" w:rsidRPr="00967AC5" w:rsidRDefault="00A90ED6" w:rsidP="0057129D">
      <w:pPr>
        <w:pStyle w:val="reference"/>
        <w:ind w:left="397"/>
        <w:rPr>
          <w:szCs w:val="20"/>
          <w:lang w:val="en-GB"/>
        </w:rPr>
      </w:pPr>
      <w:bookmarkStart w:id="210" w:name="_Ref63337476"/>
      <w:r w:rsidRPr="00967AC5">
        <w:rPr>
          <w:szCs w:val="20"/>
          <w:lang w:val="en-GB"/>
        </w:rPr>
        <w:t>ECC Report 96</w:t>
      </w:r>
      <w:bookmarkEnd w:id="210"/>
      <w:r w:rsidR="006610C6" w:rsidRPr="00967AC5">
        <w:rPr>
          <w:szCs w:val="20"/>
          <w:lang w:val="en-GB"/>
        </w:rPr>
        <w:t>: “Compatibility between UMTS 900/1800 and systems operating in adjacent bands”</w:t>
      </w:r>
      <w:r w:rsidR="005900ED" w:rsidRPr="00967AC5">
        <w:rPr>
          <w:szCs w:val="20"/>
          <w:lang w:val="en-GB"/>
        </w:rPr>
        <w:t xml:space="preserve">, approved </w:t>
      </w:r>
      <w:r w:rsidR="006610C6" w:rsidRPr="00967AC5">
        <w:rPr>
          <w:szCs w:val="20"/>
          <w:lang w:val="en-GB"/>
        </w:rPr>
        <w:t>April 2007</w:t>
      </w:r>
    </w:p>
    <w:p w14:paraId="40BCA4B7" w14:textId="77777777" w:rsidR="00603214" w:rsidRPr="00967AC5" w:rsidRDefault="00A90ED6" w:rsidP="0057129D">
      <w:pPr>
        <w:pStyle w:val="reference"/>
        <w:ind w:left="397"/>
        <w:rPr>
          <w:szCs w:val="20"/>
          <w:lang w:val="en-GB"/>
        </w:rPr>
      </w:pPr>
      <w:bookmarkStart w:id="211" w:name="_Ref63337482"/>
      <w:r w:rsidRPr="00967AC5">
        <w:rPr>
          <w:szCs w:val="20"/>
          <w:lang w:val="en-GB"/>
        </w:rPr>
        <w:t>CEPT Report 66</w:t>
      </w:r>
      <w:bookmarkEnd w:id="211"/>
      <w:r w:rsidR="00603214" w:rsidRPr="00967AC5">
        <w:rPr>
          <w:szCs w:val="20"/>
          <w:lang w:val="en-GB"/>
        </w:rPr>
        <w:t>: “Report from CEPT to the European Commission in response to the Mandate</w:t>
      </w:r>
    </w:p>
    <w:p w14:paraId="42C91AD0" w14:textId="4E5E6E98" w:rsidR="00603214" w:rsidRPr="00967AC5" w:rsidRDefault="0057129D" w:rsidP="0057129D">
      <w:pPr>
        <w:pStyle w:val="reference"/>
        <w:numPr>
          <w:ilvl w:val="0"/>
          <w:numId w:val="0"/>
        </w:numPr>
        <w:tabs>
          <w:tab w:val="num" w:pos="965"/>
        </w:tabs>
        <w:ind w:left="397" w:hanging="397"/>
        <w:rPr>
          <w:szCs w:val="20"/>
          <w:lang w:val="en-GB"/>
        </w:rPr>
      </w:pPr>
      <w:r w:rsidRPr="00967AC5">
        <w:rPr>
          <w:szCs w:val="20"/>
          <w:lang w:val="en-GB"/>
        </w:rPr>
        <w:tab/>
      </w:r>
      <w:r w:rsidR="00603214" w:rsidRPr="00967AC5">
        <w:rPr>
          <w:szCs w:val="20"/>
          <w:lang w:val="en-GB"/>
        </w:rPr>
        <w:t>“to review the harmonised technical conditions for use of the 900 MHz and 1800 MHz frequency bands for terrestrial wireless broadband electronic communications services in support of the Internet of Things in the Union””</w:t>
      </w:r>
      <w:r w:rsidR="005900ED" w:rsidRPr="00967AC5">
        <w:rPr>
          <w:szCs w:val="20"/>
          <w:lang w:val="en-GB"/>
        </w:rPr>
        <w:t xml:space="preserve">, approved </w:t>
      </w:r>
      <w:r w:rsidR="002B183F" w:rsidRPr="00967AC5">
        <w:rPr>
          <w:szCs w:val="20"/>
          <w:lang w:val="en-GB"/>
        </w:rPr>
        <w:t>March 2018</w:t>
      </w:r>
    </w:p>
    <w:p w14:paraId="1D753F4C" w14:textId="06B18C2C" w:rsidR="00F11838" w:rsidRPr="00967AC5" w:rsidRDefault="00A90ED6" w:rsidP="0057129D">
      <w:pPr>
        <w:pStyle w:val="reference"/>
        <w:ind w:left="397"/>
        <w:rPr>
          <w:szCs w:val="20"/>
          <w:lang w:val="en-GB"/>
        </w:rPr>
      </w:pPr>
      <w:bookmarkStart w:id="212" w:name="_Ref63337486"/>
      <w:r w:rsidRPr="00967AC5">
        <w:rPr>
          <w:szCs w:val="20"/>
          <w:lang w:val="en-GB"/>
        </w:rPr>
        <w:t>CEPT Report 42</w:t>
      </w:r>
      <w:bookmarkEnd w:id="212"/>
      <w:r w:rsidR="00F11838" w:rsidRPr="00967AC5">
        <w:rPr>
          <w:szCs w:val="20"/>
          <w:lang w:val="en-GB"/>
        </w:rPr>
        <w:t>: “Report from CEPT to European Commission in response to Task 3 of the Mandate to CEPT on the 900/1800 MHz bands.</w:t>
      </w:r>
    </w:p>
    <w:p w14:paraId="761E6EDF" w14:textId="17C59C61" w:rsidR="00356586" w:rsidRPr="00967AC5" w:rsidRDefault="0057129D" w:rsidP="0057129D">
      <w:pPr>
        <w:pStyle w:val="reference"/>
        <w:numPr>
          <w:ilvl w:val="0"/>
          <w:numId w:val="0"/>
        </w:numPr>
        <w:tabs>
          <w:tab w:val="num" w:pos="965"/>
        </w:tabs>
        <w:ind w:left="397" w:hanging="397"/>
        <w:rPr>
          <w:szCs w:val="20"/>
          <w:lang w:val="en-GB"/>
        </w:rPr>
      </w:pPr>
      <w:r w:rsidRPr="00967AC5">
        <w:rPr>
          <w:szCs w:val="20"/>
          <w:lang w:val="en-GB"/>
        </w:rPr>
        <w:tab/>
      </w:r>
      <w:r w:rsidR="00F11838" w:rsidRPr="00967AC5">
        <w:rPr>
          <w:szCs w:val="20"/>
          <w:lang w:val="en-GB"/>
        </w:rPr>
        <w:t>Compatibility between UMTS and existing and planned aeronautical systems above 960 MHz</w:t>
      </w:r>
      <w:r w:rsidR="005E501E" w:rsidRPr="00967AC5">
        <w:rPr>
          <w:szCs w:val="20"/>
          <w:lang w:val="en-GB"/>
        </w:rPr>
        <w:t xml:space="preserve">, approved </w:t>
      </w:r>
      <w:r w:rsidR="00F11838" w:rsidRPr="00967AC5">
        <w:rPr>
          <w:szCs w:val="20"/>
          <w:lang w:val="en-GB"/>
        </w:rPr>
        <w:t>November 2010</w:t>
      </w:r>
    </w:p>
    <w:p w14:paraId="011EDD22" w14:textId="3E50A8D3" w:rsidR="00ED6FAF" w:rsidRPr="00967AC5" w:rsidRDefault="00A90ED6" w:rsidP="0057129D">
      <w:pPr>
        <w:pStyle w:val="reference"/>
        <w:ind w:left="397"/>
        <w:rPr>
          <w:szCs w:val="20"/>
          <w:lang w:val="en-GB"/>
        </w:rPr>
      </w:pPr>
      <w:bookmarkStart w:id="213" w:name="_Ref63337493"/>
      <w:r w:rsidRPr="00967AC5">
        <w:rPr>
          <w:szCs w:val="20"/>
          <w:lang w:val="en-GB"/>
        </w:rPr>
        <w:t>CEPT Report 41</w:t>
      </w:r>
      <w:bookmarkEnd w:id="213"/>
      <w:r w:rsidR="00ED6FAF" w:rsidRPr="00967AC5">
        <w:rPr>
          <w:szCs w:val="20"/>
          <w:lang w:val="en-GB"/>
        </w:rPr>
        <w:t>: “Report from CEPT to European Commission in response to Task 2 of the Mandate to CEPT on the 900/1800 MHz bands</w:t>
      </w:r>
    </w:p>
    <w:p w14:paraId="63EC4508" w14:textId="130D02F1" w:rsidR="00ED6FAF" w:rsidRPr="00967AC5" w:rsidRDefault="0057129D" w:rsidP="0057129D">
      <w:pPr>
        <w:pStyle w:val="reference"/>
        <w:numPr>
          <w:ilvl w:val="0"/>
          <w:numId w:val="0"/>
        </w:numPr>
        <w:tabs>
          <w:tab w:val="num" w:pos="965"/>
        </w:tabs>
        <w:ind w:left="397" w:hanging="397"/>
        <w:rPr>
          <w:szCs w:val="20"/>
          <w:lang w:val="en-GB"/>
        </w:rPr>
      </w:pPr>
      <w:r w:rsidRPr="00967AC5">
        <w:rPr>
          <w:szCs w:val="20"/>
          <w:lang w:val="en-GB"/>
        </w:rPr>
        <w:tab/>
      </w:r>
      <w:r w:rsidR="00ED6FAF" w:rsidRPr="00967AC5">
        <w:rPr>
          <w:szCs w:val="20"/>
          <w:lang w:val="en-GB"/>
        </w:rPr>
        <w:t>Compatibility between LTE and WiMAX operating within the bands 880-915 MHz / 925-960 MHz and 1710-1785 MHz / 1805-1880 MHz (900/1800 MHz bands) and systems operating in adjacent bands”</w:t>
      </w:r>
      <w:r w:rsidR="000D19E8" w:rsidRPr="00967AC5">
        <w:rPr>
          <w:szCs w:val="20"/>
          <w:lang w:val="en-GB"/>
        </w:rPr>
        <w:t xml:space="preserve">, approved </w:t>
      </w:r>
      <w:r w:rsidR="00735988" w:rsidRPr="00967AC5">
        <w:rPr>
          <w:szCs w:val="20"/>
          <w:lang w:val="en-GB"/>
        </w:rPr>
        <w:t>November 2010</w:t>
      </w:r>
      <w:r w:rsidR="000D19E8" w:rsidRPr="00967AC5">
        <w:rPr>
          <w:szCs w:val="20"/>
          <w:lang w:val="en-GB"/>
        </w:rPr>
        <w:t xml:space="preserve"> </w:t>
      </w:r>
    </w:p>
    <w:p w14:paraId="4092141D" w14:textId="2A277ACB" w:rsidR="00810209" w:rsidRPr="00967AC5" w:rsidRDefault="00810209" w:rsidP="0057129D">
      <w:pPr>
        <w:pStyle w:val="reference"/>
        <w:ind w:left="397"/>
        <w:rPr>
          <w:szCs w:val="20"/>
          <w:lang w:val="en-GB"/>
        </w:rPr>
      </w:pPr>
      <w:bookmarkStart w:id="214" w:name="_Ref63427263"/>
      <w:bookmarkStart w:id="215" w:name="_Ref68881082"/>
      <w:r w:rsidRPr="00967AC5">
        <w:rPr>
          <w:szCs w:val="20"/>
          <w:lang w:val="en-GB"/>
        </w:rPr>
        <w:t>ERC</w:t>
      </w:r>
      <w:r w:rsidR="006610C6" w:rsidRPr="00967AC5">
        <w:rPr>
          <w:szCs w:val="20"/>
          <w:lang w:val="en-GB"/>
        </w:rPr>
        <w:t xml:space="preserve"> Decision </w:t>
      </w:r>
      <w:r w:rsidRPr="00967AC5">
        <w:rPr>
          <w:szCs w:val="20"/>
          <w:lang w:val="en-GB"/>
        </w:rPr>
        <w:t>(94)01</w:t>
      </w:r>
      <w:bookmarkEnd w:id="214"/>
      <w:r w:rsidR="00065F5E" w:rsidRPr="00967AC5">
        <w:rPr>
          <w:szCs w:val="20"/>
          <w:lang w:val="en-GB"/>
        </w:rPr>
        <w:t>: “</w:t>
      </w:r>
      <w:r w:rsidR="00A46B49" w:rsidRPr="00967AC5">
        <w:rPr>
          <w:szCs w:val="20"/>
          <w:lang w:val="en-GB"/>
        </w:rPr>
        <w:t>T</w:t>
      </w:r>
      <w:r w:rsidR="00065F5E" w:rsidRPr="00967AC5">
        <w:rPr>
          <w:szCs w:val="20"/>
          <w:lang w:val="en-GB"/>
        </w:rPr>
        <w:t>he frequency bands to be designated for the coordinated introduction of the GSM digital pan-European communications system”</w:t>
      </w:r>
      <w:r w:rsidR="001F38A8" w:rsidRPr="00967AC5">
        <w:rPr>
          <w:szCs w:val="20"/>
          <w:lang w:val="en-GB"/>
        </w:rPr>
        <w:t xml:space="preserve">, approved </w:t>
      </w:r>
      <w:r w:rsidR="002932F8" w:rsidRPr="00967AC5">
        <w:rPr>
          <w:szCs w:val="20"/>
          <w:lang w:val="en-GB"/>
        </w:rPr>
        <w:t>October 1994</w:t>
      </w:r>
      <w:bookmarkEnd w:id="215"/>
    </w:p>
    <w:p w14:paraId="0E24BDD7" w14:textId="20E8DD32" w:rsidR="00810209" w:rsidRPr="00967AC5" w:rsidRDefault="00810209" w:rsidP="0057129D">
      <w:pPr>
        <w:pStyle w:val="reference"/>
        <w:ind w:left="397"/>
        <w:rPr>
          <w:szCs w:val="20"/>
          <w:lang w:val="en-GB"/>
        </w:rPr>
      </w:pPr>
      <w:bookmarkStart w:id="216" w:name="_Ref63427268"/>
      <w:bookmarkStart w:id="217" w:name="_Ref68881094"/>
      <w:r w:rsidRPr="00967AC5">
        <w:rPr>
          <w:szCs w:val="20"/>
          <w:lang w:val="en-GB"/>
        </w:rPr>
        <w:t>ERC</w:t>
      </w:r>
      <w:r w:rsidR="006610C6" w:rsidRPr="00967AC5">
        <w:rPr>
          <w:szCs w:val="20"/>
          <w:lang w:val="en-GB"/>
        </w:rPr>
        <w:t xml:space="preserve"> Decision </w:t>
      </w:r>
      <w:r w:rsidRPr="00967AC5">
        <w:rPr>
          <w:szCs w:val="20"/>
          <w:lang w:val="en-GB"/>
        </w:rPr>
        <w:t>(97)02</w:t>
      </w:r>
      <w:bookmarkEnd w:id="216"/>
      <w:r w:rsidR="002932F8" w:rsidRPr="00967AC5">
        <w:rPr>
          <w:szCs w:val="20"/>
          <w:lang w:val="en-GB"/>
        </w:rPr>
        <w:t>: “</w:t>
      </w:r>
      <w:r w:rsidR="00A46B49" w:rsidRPr="00967AC5">
        <w:rPr>
          <w:szCs w:val="20"/>
          <w:lang w:val="en-GB"/>
        </w:rPr>
        <w:t>T</w:t>
      </w:r>
      <w:r w:rsidR="002932F8" w:rsidRPr="00967AC5">
        <w:rPr>
          <w:szCs w:val="20"/>
          <w:lang w:val="en-GB"/>
        </w:rPr>
        <w:t>he extended frequency bands to be used for the GSM Digital Pan-European Communications System”</w:t>
      </w:r>
      <w:r w:rsidR="00B3167C" w:rsidRPr="00967AC5">
        <w:rPr>
          <w:szCs w:val="20"/>
          <w:lang w:val="en-GB"/>
        </w:rPr>
        <w:t>, approved</w:t>
      </w:r>
      <w:r w:rsidR="002932F8" w:rsidRPr="00967AC5">
        <w:rPr>
          <w:szCs w:val="20"/>
          <w:lang w:val="en-GB"/>
        </w:rPr>
        <w:t xml:space="preserve"> </w:t>
      </w:r>
      <w:r w:rsidR="007C1563" w:rsidRPr="00967AC5">
        <w:rPr>
          <w:szCs w:val="20"/>
          <w:lang w:val="en-GB"/>
        </w:rPr>
        <w:t>March 1997</w:t>
      </w:r>
      <w:bookmarkEnd w:id="217"/>
    </w:p>
    <w:p w14:paraId="6FEB58AA" w14:textId="48AD71A2" w:rsidR="006116D0" w:rsidRPr="00967AC5" w:rsidRDefault="006116D0" w:rsidP="0057129D">
      <w:pPr>
        <w:pStyle w:val="reference"/>
        <w:ind w:left="397"/>
        <w:rPr>
          <w:szCs w:val="20"/>
          <w:lang w:val="en-GB"/>
        </w:rPr>
      </w:pPr>
      <w:bookmarkStart w:id="218" w:name="_Ref63427273"/>
      <w:r w:rsidRPr="00967AC5">
        <w:rPr>
          <w:szCs w:val="20"/>
          <w:lang w:val="en-GB"/>
        </w:rPr>
        <w:t xml:space="preserve">ECC Decision (06)13: “Designation of the bands 880-915 MHz, 925-960 MHz, 1710-1785 MHz and 1805-1880 MHz for terrestrial UMTS, LTE, WiMAX and IoT cellular systems”, </w:t>
      </w:r>
      <w:r w:rsidR="00B3167C" w:rsidRPr="00967AC5">
        <w:rPr>
          <w:szCs w:val="20"/>
          <w:lang w:val="en-GB"/>
        </w:rPr>
        <w:t>a</w:t>
      </w:r>
      <w:r w:rsidRPr="00967AC5">
        <w:rPr>
          <w:szCs w:val="20"/>
          <w:lang w:val="en-GB"/>
        </w:rPr>
        <w:t>mended 8 March 2019</w:t>
      </w:r>
      <w:bookmarkEnd w:id="218"/>
    </w:p>
    <w:p w14:paraId="2DA7AC5E" w14:textId="419B496D" w:rsidR="00810209" w:rsidRPr="00967AC5" w:rsidRDefault="00CE4AA7" w:rsidP="0057129D">
      <w:pPr>
        <w:pStyle w:val="reference"/>
        <w:ind w:left="397"/>
        <w:rPr>
          <w:szCs w:val="20"/>
          <w:lang w:val="en-GB"/>
        </w:rPr>
      </w:pPr>
      <w:bookmarkStart w:id="219" w:name="_Ref63427292"/>
      <w:r w:rsidRPr="00967AC5">
        <w:rPr>
          <w:szCs w:val="20"/>
          <w:lang w:val="en-GB"/>
        </w:rPr>
        <w:t>2011/251/EU: Commission Implementing Decision of 18 April 2011 amending Decision 2009/766/EC on the harmonisation of the 900 MHz and 1800 MHz frequency bands for terrestrial systems capable of providing pan-European electronic communications services in the Community</w:t>
      </w:r>
      <w:bookmarkEnd w:id="219"/>
    </w:p>
    <w:p w14:paraId="58B2469A" w14:textId="059B8F49" w:rsidR="00810209" w:rsidRPr="00967AC5" w:rsidRDefault="00810209" w:rsidP="0057129D">
      <w:pPr>
        <w:pStyle w:val="reference"/>
        <w:ind w:left="397"/>
        <w:rPr>
          <w:szCs w:val="20"/>
          <w:lang w:val="en-GB"/>
        </w:rPr>
      </w:pPr>
      <w:bookmarkStart w:id="220" w:name="_Ref63427321"/>
      <w:bookmarkStart w:id="221" w:name="_Ref63676709"/>
      <w:r w:rsidRPr="00967AC5">
        <w:rPr>
          <w:szCs w:val="20"/>
          <w:lang w:val="en-GB"/>
        </w:rPr>
        <w:t>ECC</w:t>
      </w:r>
      <w:r w:rsidR="00E02EC1" w:rsidRPr="00967AC5">
        <w:rPr>
          <w:szCs w:val="20"/>
          <w:lang w:val="en-GB"/>
        </w:rPr>
        <w:t xml:space="preserve"> Recommendation </w:t>
      </w:r>
      <w:r w:rsidRPr="00967AC5">
        <w:rPr>
          <w:szCs w:val="20"/>
          <w:lang w:val="en-GB"/>
        </w:rPr>
        <w:t>(05)08</w:t>
      </w:r>
      <w:bookmarkEnd w:id="220"/>
      <w:r w:rsidR="00CC6273" w:rsidRPr="00967AC5">
        <w:rPr>
          <w:szCs w:val="20"/>
          <w:lang w:val="en-GB"/>
        </w:rPr>
        <w:t xml:space="preserve">on frequency planning and cross-border coordination between GSM Land Mobile Systems (GSM 900, GSM 1800, and GSM-R), </w:t>
      </w:r>
      <w:r w:rsidR="00035D57" w:rsidRPr="00967AC5">
        <w:rPr>
          <w:szCs w:val="20"/>
          <w:lang w:val="en-GB"/>
        </w:rPr>
        <w:t xml:space="preserve">approved February 2006 </w:t>
      </w:r>
      <w:r w:rsidR="00CC6273" w:rsidRPr="00967AC5">
        <w:rPr>
          <w:szCs w:val="20"/>
          <w:lang w:val="en-GB"/>
        </w:rPr>
        <w:t>amended on 3 February 2017</w:t>
      </w:r>
      <w:bookmarkEnd w:id="221"/>
      <w:r w:rsidRPr="00967AC5">
        <w:rPr>
          <w:szCs w:val="20"/>
          <w:lang w:val="en-GB"/>
        </w:rPr>
        <w:t xml:space="preserve"> </w:t>
      </w:r>
    </w:p>
    <w:p w14:paraId="32F03285" w14:textId="2409C2D4" w:rsidR="00810209" w:rsidRPr="00967AC5" w:rsidRDefault="00810209" w:rsidP="0057129D">
      <w:pPr>
        <w:pStyle w:val="reference"/>
        <w:ind w:left="397"/>
        <w:rPr>
          <w:szCs w:val="20"/>
          <w:lang w:val="en-GB"/>
        </w:rPr>
      </w:pPr>
      <w:bookmarkStart w:id="222" w:name="_Ref63427327"/>
      <w:bookmarkStart w:id="223" w:name="_Ref63676686"/>
      <w:r w:rsidRPr="00967AC5">
        <w:rPr>
          <w:szCs w:val="20"/>
          <w:lang w:val="en-GB"/>
        </w:rPr>
        <w:t>ECC</w:t>
      </w:r>
      <w:r w:rsidR="00E02EC1" w:rsidRPr="00967AC5">
        <w:rPr>
          <w:szCs w:val="20"/>
          <w:lang w:val="en-GB"/>
        </w:rPr>
        <w:t xml:space="preserve"> Recommendation </w:t>
      </w:r>
      <w:r w:rsidRPr="00967AC5">
        <w:rPr>
          <w:szCs w:val="20"/>
          <w:lang w:val="en-GB"/>
        </w:rPr>
        <w:t>(08)02</w:t>
      </w:r>
      <w:bookmarkEnd w:id="222"/>
      <w:r w:rsidR="00292162" w:rsidRPr="00967AC5">
        <w:rPr>
          <w:szCs w:val="20"/>
          <w:lang w:val="en-GB"/>
        </w:rPr>
        <w:t xml:space="preserve">: </w:t>
      </w:r>
      <w:r w:rsidR="008864CB" w:rsidRPr="00967AC5">
        <w:rPr>
          <w:szCs w:val="20"/>
          <w:lang w:val="en-GB"/>
        </w:rPr>
        <w:t>“C</w:t>
      </w:r>
      <w:r w:rsidR="00292162" w:rsidRPr="00967AC5">
        <w:rPr>
          <w:szCs w:val="20"/>
          <w:lang w:val="en-GB"/>
        </w:rPr>
        <w:t xml:space="preserve">ross-border coordination for Mobile/Fixed Communications Networks (MFCN) in the frequency bands 900 MHz and 1800 MHz excluding GSM vs. GSM systems, </w:t>
      </w:r>
      <w:r w:rsidR="00D32176" w:rsidRPr="00967AC5">
        <w:rPr>
          <w:szCs w:val="20"/>
          <w:lang w:val="en-GB"/>
        </w:rPr>
        <w:t>approved February 2008,</w:t>
      </w:r>
      <w:r w:rsidR="00D02608" w:rsidRPr="00967AC5">
        <w:rPr>
          <w:szCs w:val="20"/>
          <w:lang w:val="en-GB"/>
        </w:rPr>
        <w:t xml:space="preserve"> latest </w:t>
      </w:r>
      <w:r w:rsidR="00292162" w:rsidRPr="00967AC5">
        <w:rPr>
          <w:szCs w:val="20"/>
          <w:lang w:val="en-GB"/>
        </w:rPr>
        <w:t xml:space="preserve"> amended on 8 February 2019</w:t>
      </w:r>
      <w:bookmarkEnd w:id="223"/>
      <w:r w:rsidR="00292162" w:rsidRPr="00967AC5">
        <w:rPr>
          <w:szCs w:val="20"/>
          <w:lang w:val="en-GB"/>
        </w:rPr>
        <w:t xml:space="preserve"> </w:t>
      </w:r>
    </w:p>
    <w:p w14:paraId="6CBDA2B2" w14:textId="54A3C115" w:rsidR="00810209" w:rsidRPr="00967AC5" w:rsidRDefault="00810209" w:rsidP="0057129D">
      <w:pPr>
        <w:pStyle w:val="reference"/>
        <w:ind w:left="397"/>
        <w:rPr>
          <w:szCs w:val="20"/>
          <w:lang w:val="en-GB"/>
        </w:rPr>
      </w:pPr>
      <w:bookmarkStart w:id="224" w:name="_Ref63427348"/>
      <w:bookmarkStart w:id="225" w:name="_Ref68881090"/>
      <w:r w:rsidRPr="00967AC5">
        <w:rPr>
          <w:szCs w:val="20"/>
          <w:lang w:val="en-GB"/>
        </w:rPr>
        <w:t>ERC</w:t>
      </w:r>
      <w:r w:rsidR="00CD3CCC" w:rsidRPr="00967AC5">
        <w:rPr>
          <w:szCs w:val="20"/>
          <w:lang w:val="en-GB"/>
        </w:rPr>
        <w:t xml:space="preserve"> Decision </w:t>
      </w:r>
      <w:r w:rsidRPr="00967AC5">
        <w:rPr>
          <w:szCs w:val="20"/>
          <w:lang w:val="en-GB"/>
        </w:rPr>
        <w:t>(95)03</w:t>
      </w:r>
      <w:bookmarkEnd w:id="224"/>
      <w:r w:rsidR="001F38A8" w:rsidRPr="00967AC5">
        <w:rPr>
          <w:szCs w:val="20"/>
          <w:lang w:val="en-GB"/>
        </w:rPr>
        <w:t>: “</w:t>
      </w:r>
      <w:r w:rsidR="0022787A" w:rsidRPr="00967AC5">
        <w:rPr>
          <w:szCs w:val="20"/>
          <w:lang w:val="en-GB"/>
        </w:rPr>
        <w:t>ERC Decision of 1 December 1995 on the frequency bands to be designated for the introduction of DCS 1800”, approved December 1995</w:t>
      </w:r>
      <w:bookmarkEnd w:id="225"/>
    </w:p>
    <w:p w14:paraId="00C267F8" w14:textId="5F9B9346" w:rsidR="00810209" w:rsidRPr="00967AC5" w:rsidRDefault="00F75236" w:rsidP="0057129D">
      <w:pPr>
        <w:pStyle w:val="reference"/>
        <w:ind w:left="397"/>
        <w:rPr>
          <w:szCs w:val="20"/>
          <w:lang w:val="en-GB"/>
        </w:rPr>
      </w:pPr>
      <w:bookmarkStart w:id="226" w:name="_Ref63427421"/>
      <w:r w:rsidRPr="00967AC5">
        <w:rPr>
          <w:szCs w:val="20"/>
          <w:lang w:val="en-GB"/>
        </w:rPr>
        <w:lastRenderedPageBreak/>
        <w:t>Commission Implementing Decision (EU) 2018/637 of 20 April 2018 amending Decision 2009/766/EC on the harmonisation of the 900 MHz and 1800 MHz frequency bands for terrestrial systems capable of providing pan-European electronic communications services in the Community as regards relevant technical conditions for the Internet of Things</w:t>
      </w:r>
      <w:bookmarkEnd w:id="226"/>
    </w:p>
    <w:p w14:paraId="66623078" w14:textId="2AB55FC5" w:rsidR="007D3698" w:rsidRPr="00967AC5" w:rsidRDefault="007D3698" w:rsidP="0057129D">
      <w:pPr>
        <w:pStyle w:val="reference"/>
        <w:ind w:left="397"/>
        <w:rPr>
          <w:szCs w:val="20"/>
          <w:lang w:val="en-GB"/>
        </w:rPr>
      </w:pPr>
      <w:bookmarkStart w:id="227" w:name="_Ref63427457"/>
      <w:r w:rsidRPr="00967AC5">
        <w:rPr>
          <w:szCs w:val="20"/>
          <w:lang w:val="en-GB"/>
        </w:rPr>
        <w:t>Council Directive 87/372/EEC as amended by Directive 2009/114/EC of the European Parliament and of the Council</w:t>
      </w:r>
      <w:bookmarkEnd w:id="227"/>
    </w:p>
    <w:p w14:paraId="74F7AB4E" w14:textId="4465FC82" w:rsidR="000210A9" w:rsidRPr="00967AC5" w:rsidRDefault="000210A9" w:rsidP="0057129D">
      <w:pPr>
        <w:pStyle w:val="reference"/>
        <w:ind w:left="397"/>
        <w:rPr>
          <w:szCs w:val="20"/>
          <w:lang w:val="en-GB"/>
        </w:rPr>
      </w:pPr>
      <w:bookmarkStart w:id="228" w:name="_Ref63427540"/>
      <w:bookmarkStart w:id="229" w:name="_Ref75957808"/>
      <w:r w:rsidRPr="00967AC5">
        <w:rPr>
          <w:rFonts w:eastAsia="Calibri"/>
          <w:bCs/>
          <w:szCs w:val="20"/>
          <w:lang w:val="en-GB"/>
        </w:rPr>
        <w:t>ETSI TS 137</w:t>
      </w:r>
      <w:r w:rsidR="007C31ED" w:rsidRPr="00967AC5">
        <w:rPr>
          <w:rFonts w:eastAsia="Calibri"/>
          <w:bCs/>
          <w:szCs w:val="20"/>
          <w:lang w:val="en-GB"/>
        </w:rPr>
        <w:t xml:space="preserve"> </w:t>
      </w:r>
      <w:r w:rsidRPr="00967AC5">
        <w:rPr>
          <w:rFonts w:eastAsia="Calibri"/>
          <w:bCs/>
          <w:szCs w:val="20"/>
          <w:lang w:val="en-GB"/>
        </w:rPr>
        <w:t>104 version 15.10.0</w:t>
      </w:r>
      <w:bookmarkEnd w:id="228"/>
      <w:r w:rsidR="00530A56" w:rsidRPr="00967AC5">
        <w:rPr>
          <w:rFonts w:eastAsia="Calibri"/>
          <w:bCs/>
          <w:szCs w:val="20"/>
          <w:lang w:val="en-GB"/>
        </w:rPr>
        <w:t>: “Digital cellular telecommunications system (Phase 2+) (GSM); Universal Mobile Telecommunications System (UMTS); LTE; 5G; NR, E-UTRA, UTRA and GSM/EDGE; Multi-Standard Radio (MSR) Base Station (BS) radio transmission and reception (3GPP TS 37.104 version 15.10.0 Release 15)</w:t>
      </w:r>
      <w:r w:rsidR="00BC590F" w:rsidRPr="00967AC5">
        <w:rPr>
          <w:rFonts w:eastAsia="Calibri"/>
          <w:bCs/>
          <w:szCs w:val="20"/>
          <w:lang w:val="en-GB"/>
        </w:rPr>
        <w:t>”</w:t>
      </w:r>
      <w:bookmarkEnd w:id="229"/>
    </w:p>
    <w:p w14:paraId="5C73CE7D" w14:textId="428E80F9" w:rsidR="000210A9" w:rsidRPr="00967AC5" w:rsidRDefault="000210A9" w:rsidP="0057129D">
      <w:pPr>
        <w:pStyle w:val="reference"/>
        <w:ind w:left="397"/>
        <w:rPr>
          <w:szCs w:val="20"/>
          <w:lang w:val="en-GB"/>
        </w:rPr>
      </w:pPr>
      <w:bookmarkStart w:id="230" w:name="_Ref63427580"/>
      <w:r w:rsidRPr="00967AC5">
        <w:rPr>
          <w:rFonts w:eastAsia="Calibri"/>
          <w:szCs w:val="20"/>
          <w:lang w:val="en-GB"/>
        </w:rPr>
        <w:t>ETSI TS 136</w:t>
      </w:r>
      <w:r w:rsidR="007C31ED" w:rsidRPr="00967AC5">
        <w:rPr>
          <w:rFonts w:eastAsia="Calibri"/>
          <w:szCs w:val="20"/>
          <w:lang w:val="en-GB"/>
        </w:rPr>
        <w:t xml:space="preserve"> </w:t>
      </w:r>
      <w:r w:rsidRPr="00967AC5">
        <w:rPr>
          <w:rFonts w:eastAsia="Calibri"/>
          <w:szCs w:val="20"/>
          <w:lang w:val="en-GB"/>
        </w:rPr>
        <w:t>104 V 15.3.0</w:t>
      </w:r>
      <w:bookmarkEnd w:id="230"/>
      <w:r w:rsidR="00B22F4B" w:rsidRPr="00967AC5">
        <w:rPr>
          <w:szCs w:val="20"/>
          <w:lang w:val="en-GB"/>
        </w:rPr>
        <w:t xml:space="preserve"> </w:t>
      </w:r>
      <w:r w:rsidR="00B22F4B" w:rsidRPr="00967AC5">
        <w:rPr>
          <w:rFonts w:eastAsia="Calibri"/>
          <w:bCs/>
          <w:szCs w:val="20"/>
          <w:lang w:val="en-GB"/>
        </w:rPr>
        <w:t>LTE; Evolved Universal Terrestrial Radio Access (E-UTRA); Base Station (BS) radio transmission and reception (3GPP TS 36.104 version 15.3.0 Release 15)</w:t>
      </w:r>
      <w:r w:rsidR="00BC590F" w:rsidRPr="00967AC5">
        <w:rPr>
          <w:rFonts w:eastAsia="Calibri"/>
          <w:bCs/>
          <w:szCs w:val="20"/>
          <w:lang w:val="en-GB"/>
        </w:rPr>
        <w:t>”</w:t>
      </w:r>
      <w:r w:rsidR="00B22F4B" w:rsidRPr="00967AC5">
        <w:rPr>
          <w:rFonts w:eastAsia="Calibri"/>
          <w:szCs w:val="20"/>
          <w:lang w:val="en-GB"/>
        </w:rPr>
        <w:t xml:space="preserve"> </w:t>
      </w:r>
    </w:p>
    <w:p w14:paraId="53977887" w14:textId="6B588C57" w:rsidR="000210A9" w:rsidRPr="00967AC5" w:rsidRDefault="006D5C1A" w:rsidP="0057129D">
      <w:pPr>
        <w:pStyle w:val="reference"/>
        <w:ind w:left="397"/>
        <w:rPr>
          <w:szCs w:val="20"/>
          <w:lang w:val="en-GB"/>
        </w:rPr>
      </w:pPr>
      <w:bookmarkStart w:id="231" w:name="_Ref63427627"/>
      <w:bookmarkStart w:id="232" w:name="_Ref68702164"/>
      <w:r w:rsidRPr="00967AC5">
        <w:rPr>
          <w:rFonts w:eastAsiaTheme="minorEastAsia"/>
          <w:bCs/>
          <w:szCs w:val="20"/>
          <w:lang w:val="en-GB"/>
        </w:rPr>
        <w:t>ETSI TS 137</w:t>
      </w:r>
      <w:r w:rsidR="007C31ED" w:rsidRPr="00967AC5">
        <w:rPr>
          <w:rFonts w:eastAsiaTheme="minorEastAsia"/>
          <w:bCs/>
          <w:szCs w:val="20"/>
          <w:lang w:val="en-GB"/>
        </w:rPr>
        <w:t xml:space="preserve"> </w:t>
      </w:r>
      <w:r w:rsidRPr="00967AC5">
        <w:rPr>
          <w:rFonts w:eastAsiaTheme="minorEastAsia"/>
          <w:bCs/>
          <w:szCs w:val="20"/>
          <w:lang w:val="en-GB"/>
        </w:rPr>
        <w:t xml:space="preserve">105 </w:t>
      </w:r>
      <w:r w:rsidR="00345286" w:rsidRPr="00967AC5">
        <w:rPr>
          <w:rFonts w:eastAsiaTheme="minorEastAsia"/>
          <w:bCs/>
          <w:szCs w:val="20"/>
          <w:lang w:val="en-GB"/>
        </w:rPr>
        <w:t>V</w:t>
      </w:r>
      <w:r w:rsidRPr="00967AC5">
        <w:rPr>
          <w:rFonts w:eastAsiaTheme="minorEastAsia"/>
          <w:bCs/>
          <w:szCs w:val="20"/>
          <w:lang w:val="en-GB"/>
        </w:rPr>
        <w:t xml:space="preserve"> 15.8.0</w:t>
      </w:r>
      <w:bookmarkEnd w:id="231"/>
      <w:r w:rsidR="003C560F" w:rsidRPr="00967AC5">
        <w:rPr>
          <w:rFonts w:eastAsiaTheme="minorEastAsia"/>
          <w:bCs/>
          <w:szCs w:val="20"/>
          <w:lang w:val="en-GB"/>
        </w:rPr>
        <w:t>: “Digital cellular telecommunications system (Phase 2+) (GSM); Universal Mobile Telecommunications System (UMTS); LTE; 5G; NR, E-UTRA, UTRA and GSM/EDGE; Multi-Standard Radio (MSR) Base Station (BS) radio transmission and reception (3GPP TS 37.104 version 15.8.0 Release 15)</w:t>
      </w:r>
      <w:r w:rsidR="00BC590F" w:rsidRPr="00967AC5">
        <w:rPr>
          <w:rFonts w:eastAsiaTheme="minorEastAsia"/>
          <w:bCs/>
          <w:szCs w:val="20"/>
          <w:lang w:val="en-GB"/>
        </w:rPr>
        <w:t>”</w:t>
      </w:r>
      <w:bookmarkEnd w:id="232"/>
    </w:p>
    <w:p w14:paraId="7C711935" w14:textId="28A91989" w:rsidR="004519EE" w:rsidRPr="00967AC5" w:rsidRDefault="004519EE" w:rsidP="0057129D">
      <w:pPr>
        <w:pStyle w:val="reference"/>
        <w:ind w:left="397"/>
        <w:rPr>
          <w:szCs w:val="20"/>
          <w:lang w:val="en-GB"/>
        </w:rPr>
      </w:pPr>
      <w:bookmarkStart w:id="233" w:name="_Ref63427693"/>
      <w:bookmarkStart w:id="234" w:name="_Ref63686447"/>
      <w:r w:rsidRPr="00967AC5">
        <w:rPr>
          <w:szCs w:val="20"/>
          <w:lang w:val="en-GB"/>
        </w:rPr>
        <w:t>ETSI EN 301 502</w:t>
      </w:r>
      <w:bookmarkEnd w:id="233"/>
      <w:r w:rsidR="000A68D7" w:rsidRPr="00967AC5">
        <w:rPr>
          <w:szCs w:val="20"/>
          <w:lang w:val="en-GB"/>
        </w:rPr>
        <w:t>: “Global System for Mobile communications (GSM); Base Station (BS) equipment; Harmonised Standard covering the essential requirements of article 3.2 of the Directive 2014/53/EU</w:t>
      </w:r>
      <w:bookmarkEnd w:id="234"/>
    </w:p>
    <w:p w14:paraId="2F1A2FC3" w14:textId="767573DA" w:rsidR="004519EE" w:rsidRPr="00967AC5" w:rsidRDefault="004519EE" w:rsidP="0057129D">
      <w:pPr>
        <w:pStyle w:val="reference"/>
        <w:ind w:left="397"/>
        <w:rPr>
          <w:szCs w:val="20"/>
          <w:lang w:val="en-GB"/>
        </w:rPr>
      </w:pPr>
      <w:bookmarkStart w:id="235" w:name="_Ref63427699"/>
      <w:bookmarkStart w:id="236" w:name="_Ref63686461"/>
      <w:r w:rsidRPr="00967AC5">
        <w:rPr>
          <w:szCs w:val="20"/>
          <w:lang w:val="en-GB"/>
        </w:rPr>
        <w:t>ETSI EN 301 511</w:t>
      </w:r>
      <w:bookmarkEnd w:id="235"/>
      <w:r w:rsidR="007B1C74" w:rsidRPr="00967AC5">
        <w:rPr>
          <w:szCs w:val="20"/>
          <w:lang w:val="en-GB"/>
        </w:rPr>
        <w:t>: “Global System for Mobile communications (GSM); Mobile Stations (MS) equipment; Harmonised Standard covering the essential requirements of article 3.2 of Directive 2014/53/EU”</w:t>
      </w:r>
      <w:bookmarkEnd w:id="236"/>
    </w:p>
    <w:p w14:paraId="7EB491EB" w14:textId="3AC21A56" w:rsidR="004519EE" w:rsidRPr="00967AC5" w:rsidRDefault="004519EE" w:rsidP="0057129D">
      <w:pPr>
        <w:pStyle w:val="reference"/>
        <w:ind w:left="397"/>
        <w:rPr>
          <w:szCs w:val="20"/>
          <w:lang w:val="en-GB"/>
        </w:rPr>
      </w:pPr>
      <w:bookmarkStart w:id="237" w:name="_Ref63427720"/>
      <w:bookmarkStart w:id="238" w:name="_Ref68783842"/>
      <w:r w:rsidRPr="00967AC5">
        <w:rPr>
          <w:szCs w:val="20"/>
          <w:lang w:val="en-GB"/>
        </w:rPr>
        <w:t>ETSI TS 136 101</w:t>
      </w:r>
      <w:bookmarkEnd w:id="237"/>
      <w:r w:rsidR="009338EB" w:rsidRPr="00967AC5">
        <w:rPr>
          <w:szCs w:val="20"/>
          <w:lang w:val="en-GB"/>
        </w:rPr>
        <w:t>: “LTE; Evolved Universal Terrestrial Radio Access (E-UTRA); User Equipment (UE) radio transmission and reception (3GPP TS 36.101 version 15.9.0 Release 15)”</w:t>
      </w:r>
      <w:bookmarkEnd w:id="238"/>
    </w:p>
    <w:p w14:paraId="06685E10" w14:textId="56FBD8E4" w:rsidR="00327F19" w:rsidRPr="00967AC5" w:rsidRDefault="00327F19" w:rsidP="0057129D">
      <w:pPr>
        <w:pStyle w:val="reference"/>
        <w:ind w:left="397"/>
        <w:rPr>
          <w:szCs w:val="20"/>
          <w:lang w:val="en-GB"/>
        </w:rPr>
      </w:pPr>
      <w:bookmarkStart w:id="239" w:name="_Ref63427896"/>
      <w:r w:rsidRPr="00967AC5">
        <w:rPr>
          <w:szCs w:val="20"/>
          <w:lang w:val="en-GB"/>
        </w:rPr>
        <w:t>ECO Report 03</w:t>
      </w:r>
      <w:bookmarkEnd w:id="239"/>
      <w:r w:rsidR="001977CE" w:rsidRPr="00967AC5">
        <w:rPr>
          <w:szCs w:val="20"/>
          <w:lang w:val="en-GB"/>
        </w:rPr>
        <w:t>: “The Licensing of "Mobile Bands" in CEPT”</w:t>
      </w:r>
    </w:p>
    <w:p w14:paraId="16BC8284" w14:textId="3FB601D5" w:rsidR="00132525" w:rsidRPr="00967AC5" w:rsidRDefault="00132525" w:rsidP="0057129D">
      <w:pPr>
        <w:pStyle w:val="reference"/>
        <w:ind w:left="397"/>
        <w:rPr>
          <w:szCs w:val="20"/>
          <w:lang w:val="en-GB"/>
        </w:rPr>
      </w:pPr>
      <w:bookmarkStart w:id="240" w:name="_Ref68778277"/>
      <w:r w:rsidRPr="00967AC5">
        <w:rPr>
          <w:lang w:val="en-GB"/>
        </w:rPr>
        <w:t>ECC PT1(19)101 Annex 27</w:t>
      </w:r>
      <w:r w:rsidR="00D86C3C" w:rsidRPr="00967AC5">
        <w:rPr>
          <w:lang w:val="en-GB"/>
        </w:rPr>
        <w:t>: “</w:t>
      </w:r>
      <w:r w:rsidRPr="00967AC5">
        <w:rPr>
          <w:lang w:val="en-GB"/>
        </w:rPr>
        <w:t>LS to ETSI on SDL-SUL pairing</w:t>
      </w:r>
      <w:bookmarkEnd w:id="240"/>
      <w:r w:rsidR="00D86C3C" w:rsidRPr="00967AC5">
        <w:rPr>
          <w:lang w:val="en-GB"/>
        </w:rPr>
        <w:t>”</w:t>
      </w:r>
    </w:p>
    <w:p w14:paraId="38D8196D" w14:textId="6B15D429" w:rsidR="00CF7199" w:rsidRPr="00967AC5" w:rsidRDefault="00696008" w:rsidP="00CF7199">
      <w:pPr>
        <w:pStyle w:val="reference"/>
        <w:ind w:left="397"/>
        <w:rPr>
          <w:szCs w:val="20"/>
          <w:lang w:val="en-GB"/>
        </w:rPr>
      </w:pPr>
      <w:bookmarkStart w:id="241" w:name="_Ref68784428"/>
      <w:r w:rsidRPr="00967AC5">
        <w:rPr>
          <w:lang w:val="en-GB"/>
        </w:rPr>
        <w:t>ETSI TS 125.101</w:t>
      </w:r>
      <w:bookmarkEnd w:id="241"/>
      <w:r w:rsidR="00F66621" w:rsidRPr="00967AC5">
        <w:rPr>
          <w:lang w:val="en-GB"/>
        </w:rPr>
        <w:t xml:space="preserve"> </w:t>
      </w:r>
      <w:r w:rsidR="00D061A0" w:rsidRPr="00967AC5">
        <w:rPr>
          <w:lang w:val="en-GB"/>
        </w:rPr>
        <w:t>V12.6.0</w:t>
      </w:r>
      <w:r w:rsidR="00D86C3C" w:rsidRPr="00967AC5">
        <w:rPr>
          <w:lang w:val="en-GB"/>
        </w:rPr>
        <w:t xml:space="preserve">: </w:t>
      </w:r>
      <w:r w:rsidR="00F66621" w:rsidRPr="00967AC5">
        <w:rPr>
          <w:lang w:val="en-GB"/>
        </w:rPr>
        <w:t>“Universal Mobile Telecommunications System (UMTS);User Equipment (UE) radio transmission and reception (FDD)”</w:t>
      </w:r>
    </w:p>
    <w:p w14:paraId="1B739E24" w14:textId="52C3F23B" w:rsidR="00CF7199" w:rsidRPr="00967AC5" w:rsidRDefault="00CF7199" w:rsidP="00CF7199">
      <w:pPr>
        <w:pStyle w:val="reference"/>
        <w:ind w:left="397"/>
        <w:rPr>
          <w:szCs w:val="20"/>
          <w:lang w:val="en-GB"/>
        </w:rPr>
      </w:pPr>
      <w:bookmarkStart w:id="242" w:name="_Ref68784489"/>
      <w:r w:rsidRPr="00967AC5">
        <w:rPr>
          <w:lang w:val="en-GB"/>
        </w:rPr>
        <w:t>ETSI TS 138 101-1</w:t>
      </w:r>
      <w:bookmarkEnd w:id="242"/>
      <w:r w:rsidR="00390A41" w:rsidRPr="00967AC5">
        <w:rPr>
          <w:lang w:val="en-GB"/>
        </w:rPr>
        <w:t xml:space="preserve"> V16.4.0</w:t>
      </w:r>
      <w:r w:rsidR="001C43AF" w:rsidRPr="00967AC5">
        <w:rPr>
          <w:lang w:val="en-GB"/>
        </w:rPr>
        <w:t>:</w:t>
      </w:r>
      <w:r w:rsidR="00390A41" w:rsidRPr="00967AC5">
        <w:rPr>
          <w:lang w:val="en-GB"/>
        </w:rPr>
        <w:t xml:space="preserve"> 5G; NR; User Equipment (UE) radio transmission and reception; Part 1: Range 1 Standalone</w:t>
      </w:r>
    </w:p>
    <w:p w14:paraId="3B8BA717" w14:textId="3E2A20E9" w:rsidR="00B10A68" w:rsidRPr="00967AC5" w:rsidRDefault="00B10A68" w:rsidP="0057129D">
      <w:pPr>
        <w:pStyle w:val="reference"/>
        <w:ind w:left="397"/>
        <w:rPr>
          <w:szCs w:val="20"/>
          <w:lang w:val="en-GB"/>
        </w:rPr>
      </w:pPr>
      <w:bookmarkStart w:id="243" w:name="_Ref63428132"/>
      <w:r w:rsidRPr="00967AC5">
        <w:rPr>
          <w:szCs w:val="20"/>
          <w:lang w:val="en-GB"/>
        </w:rPr>
        <w:t>3GPP TR 36.802</w:t>
      </w:r>
      <w:bookmarkEnd w:id="243"/>
      <w:r w:rsidR="004A46D4" w:rsidRPr="00967AC5">
        <w:rPr>
          <w:szCs w:val="20"/>
          <w:lang w:val="en-GB"/>
        </w:rPr>
        <w:t xml:space="preserve"> V13.0.0</w:t>
      </w:r>
      <w:r w:rsidR="00F013E6" w:rsidRPr="00967AC5">
        <w:rPr>
          <w:szCs w:val="20"/>
          <w:lang w:val="en-GB"/>
        </w:rPr>
        <w:t>: “</w:t>
      </w:r>
      <w:r w:rsidR="008F6502" w:rsidRPr="00967AC5">
        <w:rPr>
          <w:lang w:val="en-GB"/>
        </w:rPr>
        <w:t>Evolved Universal Terrestrial Radio Access (E-UTRA); NB-IOT; Technical Report for BS and UE radio transmission and reception</w:t>
      </w:r>
      <w:r w:rsidR="00F013E6" w:rsidRPr="00967AC5">
        <w:rPr>
          <w:szCs w:val="20"/>
          <w:lang w:val="en-GB"/>
        </w:rPr>
        <w:t>”</w:t>
      </w:r>
    </w:p>
    <w:p w14:paraId="1F7E0B61" w14:textId="4E4B44C1" w:rsidR="00BF7F93" w:rsidRPr="00967AC5" w:rsidRDefault="009836D2" w:rsidP="0057129D">
      <w:pPr>
        <w:pStyle w:val="reference"/>
        <w:ind w:left="397"/>
        <w:rPr>
          <w:szCs w:val="20"/>
          <w:lang w:val="en-GB"/>
        </w:rPr>
      </w:pPr>
      <w:bookmarkStart w:id="244" w:name="_Ref63428213"/>
      <w:r w:rsidRPr="00967AC5">
        <w:rPr>
          <w:szCs w:val="20"/>
          <w:lang w:val="en-GB"/>
        </w:rPr>
        <w:t>CEPT Report 76</w:t>
      </w:r>
      <w:bookmarkEnd w:id="244"/>
      <w:r w:rsidR="002B183F" w:rsidRPr="00967AC5">
        <w:rPr>
          <w:szCs w:val="20"/>
          <w:lang w:val="en-GB"/>
        </w:rPr>
        <w:t xml:space="preserve">: </w:t>
      </w:r>
      <w:r w:rsidR="00DB19A1" w:rsidRPr="00967AC5">
        <w:rPr>
          <w:szCs w:val="20"/>
          <w:lang w:val="en-GB"/>
        </w:rPr>
        <w:t>“Report from CEPT to the European Commission in response to the Mandate on spectrum for the future railway mobile communications system</w:t>
      </w:r>
      <w:r w:rsidR="00BF7F93" w:rsidRPr="00967AC5">
        <w:rPr>
          <w:szCs w:val="20"/>
          <w:lang w:val="en-GB"/>
        </w:rPr>
        <w:t xml:space="preserve">, </w:t>
      </w:r>
    </w:p>
    <w:p w14:paraId="77CCD692" w14:textId="1E5353E6" w:rsidR="00DB19A1" w:rsidRPr="00967AC5" w:rsidRDefault="0022451E" w:rsidP="0057129D">
      <w:pPr>
        <w:pStyle w:val="reference"/>
        <w:numPr>
          <w:ilvl w:val="0"/>
          <w:numId w:val="0"/>
        </w:numPr>
        <w:tabs>
          <w:tab w:val="num" w:pos="965"/>
        </w:tabs>
        <w:ind w:left="397" w:hanging="397"/>
        <w:rPr>
          <w:szCs w:val="20"/>
          <w:lang w:val="en-GB"/>
        </w:rPr>
      </w:pPr>
      <w:r w:rsidRPr="00967AC5">
        <w:rPr>
          <w:szCs w:val="20"/>
          <w:lang w:val="en-GB"/>
        </w:rPr>
        <w:tab/>
      </w:r>
      <w:r w:rsidR="00DB19A1" w:rsidRPr="00967AC5">
        <w:rPr>
          <w:szCs w:val="20"/>
          <w:lang w:val="en-GB"/>
        </w:rPr>
        <w:t>Report B: EU-harmonised technical conditions for the future railway mobile radio communications system (Task 5)</w:t>
      </w:r>
      <w:r w:rsidR="000B24D6" w:rsidRPr="00967AC5">
        <w:rPr>
          <w:szCs w:val="20"/>
          <w:lang w:val="en-GB"/>
        </w:rPr>
        <w:t xml:space="preserve">, </w:t>
      </w:r>
      <w:r w:rsidR="00BF7F93" w:rsidRPr="00967AC5">
        <w:rPr>
          <w:szCs w:val="20"/>
          <w:lang w:val="en-GB"/>
        </w:rPr>
        <w:t xml:space="preserve">approved </w:t>
      </w:r>
      <w:r w:rsidR="00811E56" w:rsidRPr="00967AC5">
        <w:rPr>
          <w:szCs w:val="20"/>
          <w:lang w:val="en-GB"/>
        </w:rPr>
        <w:t>November 2020</w:t>
      </w:r>
    </w:p>
    <w:p w14:paraId="23F4D435" w14:textId="29ACA115" w:rsidR="009836D2" w:rsidRPr="00967AC5" w:rsidRDefault="009836D2" w:rsidP="0057129D">
      <w:pPr>
        <w:pStyle w:val="reference"/>
        <w:ind w:left="397"/>
        <w:rPr>
          <w:szCs w:val="20"/>
          <w:lang w:val="en-GB"/>
        </w:rPr>
      </w:pPr>
      <w:bookmarkStart w:id="245" w:name="_Ref63428217"/>
      <w:r w:rsidRPr="00967AC5">
        <w:rPr>
          <w:szCs w:val="20"/>
          <w:lang w:val="en-GB"/>
        </w:rPr>
        <w:t>ECC Decision (20)02</w:t>
      </w:r>
      <w:bookmarkEnd w:id="245"/>
      <w:r w:rsidR="00A54F83" w:rsidRPr="00967AC5">
        <w:rPr>
          <w:szCs w:val="20"/>
          <w:lang w:val="en-GB"/>
        </w:rPr>
        <w:t>: “Harmonised use of the paired frequency bands 874.4-880.0 MHz and 919.4-925.0 MHz and of the unpaired frequency band 1900-1910 MHz for Railway Mobile Radio (RMR)”, approved November 2020</w:t>
      </w:r>
    </w:p>
    <w:p w14:paraId="7CBAFFA9" w14:textId="214618D9" w:rsidR="000F2B11" w:rsidRPr="00967AC5" w:rsidRDefault="0072042F" w:rsidP="0057129D">
      <w:pPr>
        <w:pStyle w:val="reference"/>
        <w:ind w:left="397"/>
        <w:rPr>
          <w:szCs w:val="20"/>
          <w:lang w:val="en-GB"/>
        </w:rPr>
      </w:pPr>
      <w:bookmarkStart w:id="246" w:name="_Ref63428405"/>
      <w:r w:rsidRPr="00967AC5">
        <w:rPr>
          <w:rFonts w:eastAsia="Calibri"/>
          <w:szCs w:val="20"/>
          <w:lang w:val="en-GB"/>
        </w:rPr>
        <w:t xml:space="preserve">ERC Recommendation 74-01 </w:t>
      </w:r>
      <w:r w:rsidR="000B24D6" w:rsidRPr="00967AC5">
        <w:rPr>
          <w:rFonts w:eastAsia="Calibri"/>
          <w:szCs w:val="20"/>
          <w:lang w:val="en-GB"/>
        </w:rPr>
        <w:t>of 1998 on unwanted Emissions in the Spurious Domain, latest amendment on 29 May 2019</w:t>
      </w:r>
    </w:p>
    <w:p w14:paraId="5240876F" w14:textId="77777777" w:rsidR="001E7927" w:rsidRPr="00967AC5" w:rsidRDefault="001E7927" w:rsidP="001E7927">
      <w:pPr>
        <w:pStyle w:val="reference"/>
        <w:tabs>
          <w:tab w:val="clear" w:pos="965"/>
          <w:tab w:val="num" w:pos="397"/>
        </w:tabs>
        <w:ind w:left="397"/>
        <w:rPr>
          <w:lang w:val="en-GB"/>
        </w:rPr>
      </w:pPr>
      <w:bookmarkStart w:id="247" w:name="_Ref68791151"/>
      <w:bookmarkStart w:id="248" w:name="_Ref68875183"/>
      <w:r w:rsidRPr="00967AC5">
        <w:rPr>
          <w:lang w:val="en-GB"/>
        </w:rPr>
        <w:t>ERC Report 25</w:t>
      </w:r>
      <w:bookmarkEnd w:id="247"/>
      <w:r w:rsidRPr="00967AC5">
        <w:rPr>
          <w:lang w:val="en-GB"/>
        </w:rPr>
        <w:t>: “The European table of frequency allocations and applications in the frequency range 8.3 kHz to 3000 GHz”, updated November 2020</w:t>
      </w:r>
      <w:bookmarkEnd w:id="248"/>
    </w:p>
    <w:p w14:paraId="186F81C7" w14:textId="3B48B561" w:rsidR="00704819" w:rsidRPr="00967AC5" w:rsidRDefault="00ED3F2A" w:rsidP="0057129D">
      <w:pPr>
        <w:pStyle w:val="reference"/>
        <w:ind w:left="397"/>
        <w:rPr>
          <w:rFonts w:cs="Arial"/>
          <w:szCs w:val="20"/>
          <w:lang w:val="en-GB"/>
        </w:rPr>
      </w:pPr>
      <w:bookmarkStart w:id="249" w:name="_Ref63428628"/>
      <w:bookmarkEnd w:id="246"/>
      <w:r w:rsidRPr="00967AC5">
        <w:rPr>
          <w:szCs w:val="20"/>
          <w:lang w:val="en-GB"/>
        </w:rPr>
        <w:t>ETSI TS 102 933-1 v1.3.1</w:t>
      </w:r>
      <w:bookmarkEnd w:id="249"/>
      <w:r w:rsidR="00C76805" w:rsidRPr="00967AC5">
        <w:rPr>
          <w:szCs w:val="20"/>
          <w:lang w:val="en-GB"/>
        </w:rPr>
        <w:t xml:space="preserve">: “Railway Telecommunications (RT); GSM-R improved receiver parameters; Part 1: Requirements for radio reception” </w:t>
      </w:r>
      <w:bookmarkStart w:id="250" w:name="_Ref63428739"/>
    </w:p>
    <w:p w14:paraId="6F35F6A2" w14:textId="5114723D" w:rsidR="00811E56" w:rsidRPr="00967AC5" w:rsidRDefault="00BE1F3C" w:rsidP="0057129D">
      <w:pPr>
        <w:pStyle w:val="reference"/>
        <w:ind w:left="397"/>
        <w:rPr>
          <w:rFonts w:cs="Arial"/>
          <w:szCs w:val="20"/>
          <w:lang w:val="en-GB"/>
        </w:rPr>
      </w:pPr>
      <w:r w:rsidRPr="00967AC5">
        <w:rPr>
          <w:rFonts w:cs="Arial"/>
          <w:szCs w:val="20"/>
          <w:lang w:val="en-GB"/>
        </w:rPr>
        <w:t>CEPT Report 74</w:t>
      </w:r>
      <w:bookmarkEnd w:id="250"/>
      <w:r w:rsidR="00811E56" w:rsidRPr="00967AC5">
        <w:rPr>
          <w:rFonts w:cs="Arial"/>
          <w:szCs w:val="20"/>
          <w:lang w:val="en-GB"/>
        </w:rPr>
        <w:t>: “Report from CEPT to the European Commission in response to the Mandate on spectrum for the future railway mobile communications system</w:t>
      </w:r>
    </w:p>
    <w:p w14:paraId="16C8F5B0" w14:textId="7DC65A7E" w:rsidR="00811E56" w:rsidRPr="00967AC5" w:rsidRDefault="0022451E" w:rsidP="0057129D">
      <w:pPr>
        <w:pStyle w:val="reference"/>
        <w:numPr>
          <w:ilvl w:val="0"/>
          <w:numId w:val="0"/>
        </w:numPr>
        <w:tabs>
          <w:tab w:val="num" w:pos="965"/>
        </w:tabs>
        <w:ind w:left="397" w:hanging="397"/>
        <w:rPr>
          <w:szCs w:val="20"/>
          <w:lang w:val="en-GB"/>
        </w:rPr>
      </w:pPr>
      <w:r w:rsidRPr="00967AC5">
        <w:rPr>
          <w:rFonts w:cs="Arial"/>
          <w:szCs w:val="20"/>
          <w:lang w:val="en-GB"/>
        </w:rPr>
        <w:tab/>
      </w:r>
      <w:r w:rsidR="00811E56" w:rsidRPr="00967AC5">
        <w:rPr>
          <w:rFonts w:cs="Arial"/>
          <w:szCs w:val="20"/>
          <w:lang w:val="en-GB"/>
        </w:rPr>
        <w:t>Report A: Spectrum needs and feasibility (tasks 1 to 4)</w:t>
      </w:r>
      <w:r w:rsidR="006864D3" w:rsidRPr="00967AC5">
        <w:rPr>
          <w:rFonts w:cs="Arial"/>
          <w:szCs w:val="20"/>
          <w:lang w:val="en-GB"/>
        </w:rPr>
        <w:t>, a</w:t>
      </w:r>
      <w:r w:rsidR="00704819" w:rsidRPr="00967AC5">
        <w:rPr>
          <w:szCs w:val="20"/>
          <w:lang w:val="en-GB"/>
        </w:rPr>
        <w:t xml:space="preserve">pproved </w:t>
      </w:r>
      <w:r w:rsidR="000010DD" w:rsidRPr="00967AC5">
        <w:rPr>
          <w:szCs w:val="20"/>
          <w:lang w:val="en-GB"/>
        </w:rPr>
        <w:t>July 2020</w:t>
      </w:r>
    </w:p>
    <w:p w14:paraId="28094ED9" w14:textId="38E2B18C" w:rsidR="00BE1F3C" w:rsidRPr="00967AC5" w:rsidRDefault="00BE1F3C" w:rsidP="0057129D">
      <w:pPr>
        <w:pStyle w:val="reference"/>
        <w:ind w:left="397"/>
        <w:rPr>
          <w:szCs w:val="20"/>
          <w:lang w:val="en-GB"/>
        </w:rPr>
      </w:pPr>
      <w:bookmarkStart w:id="251" w:name="_Ref63428761"/>
      <w:bookmarkStart w:id="252" w:name="_Ref63428768"/>
      <w:r w:rsidRPr="00967AC5">
        <w:rPr>
          <w:rFonts w:cs="Arial"/>
          <w:szCs w:val="20"/>
          <w:lang w:val="en-GB"/>
        </w:rPr>
        <w:t>ECC Report 313</w:t>
      </w:r>
      <w:bookmarkEnd w:id="251"/>
      <w:bookmarkEnd w:id="252"/>
      <w:r w:rsidR="008E18B6" w:rsidRPr="00967AC5">
        <w:rPr>
          <w:rFonts w:cs="Arial"/>
          <w:szCs w:val="20"/>
          <w:lang w:val="en-GB"/>
        </w:rPr>
        <w:t>: “</w:t>
      </w:r>
      <w:r w:rsidR="00AD3F3F" w:rsidRPr="00967AC5">
        <w:rPr>
          <w:rFonts w:cs="Arial"/>
          <w:szCs w:val="20"/>
          <w:lang w:val="en-GB"/>
        </w:rPr>
        <w:t xml:space="preserve">Technical study for co-existence between RMR in the 900 MHz range and other applications in adjacent bands”, </w:t>
      </w:r>
      <w:r w:rsidR="006864D3" w:rsidRPr="00967AC5">
        <w:rPr>
          <w:rFonts w:cs="Arial"/>
          <w:szCs w:val="20"/>
          <w:lang w:val="en-GB"/>
        </w:rPr>
        <w:t xml:space="preserve">approved </w:t>
      </w:r>
      <w:r w:rsidR="00AD3F3F" w:rsidRPr="00967AC5">
        <w:rPr>
          <w:rFonts w:cs="Arial"/>
          <w:szCs w:val="20"/>
          <w:lang w:val="en-GB"/>
        </w:rPr>
        <w:t>May2020</w:t>
      </w:r>
    </w:p>
    <w:p w14:paraId="00D6EAD7" w14:textId="78FD5947" w:rsidR="00604FD9" w:rsidRPr="00967AC5" w:rsidRDefault="00604FD9" w:rsidP="0057129D">
      <w:pPr>
        <w:pStyle w:val="reference"/>
        <w:ind w:left="397"/>
        <w:rPr>
          <w:szCs w:val="20"/>
          <w:lang w:val="en-GB"/>
        </w:rPr>
      </w:pPr>
      <w:bookmarkStart w:id="253" w:name="_Ref63429611"/>
      <w:r w:rsidRPr="00967AC5">
        <w:rPr>
          <w:rFonts w:cs="Arial"/>
          <w:szCs w:val="20"/>
          <w:lang w:val="en-GB"/>
        </w:rPr>
        <w:t>ITU Radio Regulations Edition of 2020</w:t>
      </w:r>
      <w:bookmarkEnd w:id="253"/>
    </w:p>
    <w:p w14:paraId="569D8634" w14:textId="36694818" w:rsidR="001126AA" w:rsidRPr="00967AC5" w:rsidRDefault="001126AA" w:rsidP="0057129D">
      <w:pPr>
        <w:pStyle w:val="reference"/>
        <w:ind w:left="397"/>
        <w:rPr>
          <w:szCs w:val="20"/>
          <w:lang w:val="en-GB"/>
        </w:rPr>
      </w:pPr>
      <w:bookmarkStart w:id="254" w:name="_Ref63429715"/>
      <w:r w:rsidRPr="00967AC5">
        <w:rPr>
          <w:szCs w:val="20"/>
          <w:lang w:val="en-GB"/>
        </w:rPr>
        <w:t>ECC Report 191</w:t>
      </w:r>
      <w:bookmarkEnd w:id="254"/>
      <w:r w:rsidR="00621700" w:rsidRPr="00967AC5">
        <w:rPr>
          <w:szCs w:val="20"/>
          <w:lang w:val="en-GB"/>
        </w:rPr>
        <w:t>: “Adjacent band compatibility between MFCN and PMSE audio applications in the 1785-1805 MHz frequency range”</w:t>
      </w:r>
      <w:r w:rsidR="006864D3" w:rsidRPr="00967AC5">
        <w:rPr>
          <w:szCs w:val="20"/>
          <w:lang w:val="en-GB"/>
        </w:rPr>
        <w:t>, approved</w:t>
      </w:r>
      <w:r w:rsidR="008E18B6" w:rsidRPr="00967AC5">
        <w:rPr>
          <w:szCs w:val="20"/>
          <w:lang w:val="en-GB"/>
        </w:rPr>
        <w:t xml:space="preserve"> September 2013</w:t>
      </w:r>
    </w:p>
    <w:p w14:paraId="24033A86" w14:textId="1EE99C70" w:rsidR="000010DD" w:rsidRPr="00967AC5" w:rsidRDefault="001126AA" w:rsidP="0057129D">
      <w:pPr>
        <w:pStyle w:val="reference"/>
        <w:ind w:left="397"/>
        <w:rPr>
          <w:szCs w:val="20"/>
          <w:lang w:val="en-GB"/>
        </w:rPr>
      </w:pPr>
      <w:bookmarkStart w:id="255" w:name="_Ref63429720"/>
      <w:r w:rsidRPr="00967AC5">
        <w:rPr>
          <w:szCs w:val="20"/>
          <w:lang w:val="en-GB"/>
        </w:rPr>
        <w:t>CEPT Report 50</w:t>
      </w:r>
      <w:bookmarkEnd w:id="255"/>
      <w:r w:rsidR="000010DD" w:rsidRPr="00967AC5">
        <w:rPr>
          <w:szCs w:val="20"/>
          <w:lang w:val="en-GB"/>
        </w:rPr>
        <w:t>: “Report A from CEPT to the European Commission in response to the Mandate “On technical conditions regarding spectrum harmonisation options for wireless radio microphones and cordless video-cameras (PMSE equipment)”.</w:t>
      </w:r>
    </w:p>
    <w:p w14:paraId="76F982BA" w14:textId="3D8A9FF7" w:rsidR="000010DD" w:rsidRPr="00967AC5" w:rsidRDefault="0022451E" w:rsidP="0057129D">
      <w:pPr>
        <w:pStyle w:val="reference"/>
        <w:numPr>
          <w:ilvl w:val="0"/>
          <w:numId w:val="0"/>
        </w:numPr>
        <w:tabs>
          <w:tab w:val="num" w:pos="965"/>
        </w:tabs>
        <w:ind w:left="397" w:hanging="397"/>
        <w:rPr>
          <w:szCs w:val="20"/>
          <w:lang w:val="en-GB"/>
        </w:rPr>
      </w:pPr>
      <w:r w:rsidRPr="00967AC5">
        <w:rPr>
          <w:szCs w:val="20"/>
          <w:lang w:val="en-GB"/>
        </w:rPr>
        <w:tab/>
      </w:r>
      <w:r w:rsidR="000010DD" w:rsidRPr="00967AC5">
        <w:rPr>
          <w:szCs w:val="20"/>
          <w:lang w:val="en-GB"/>
        </w:rPr>
        <w:t>Technical conditions for the use of the bands 821-832 MHz and 1785-1805 MHz for wireless radio microphones in the EU</w:t>
      </w:r>
      <w:r w:rsidR="00571118" w:rsidRPr="00967AC5">
        <w:rPr>
          <w:szCs w:val="20"/>
          <w:lang w:val="en-GB"/>
        </w:rPr>
        <w:t xml:space="preserve">, approved </w:t>
      </w:r>
      <w:r w:rsidR="00EB48CE" w:rsidRPr="00967AC5">
        <w:rPr>
          <w:szCs w:val="20"/>
          <w:lang w:val="en-GB"/>
        </w:rPr>
        <w:t>March 2013</w:t>
      </w:r>
    </w:p>
    <w:p w14:paraId="4DADBB5A" w14:textId="09FFE7D7" w:rsidR="007D30E7" w:rsidRPr="00967AC5" w:rsidRDefault="007D30E7" w:rsidP="0057129D">
      <w:pPr>
        <w:pStyle w:val="reference"/>
        <w:ind w:left="397"/>
        <w:rPr>
          <w:szCs w:val="20"/>
          <w:lang w:val="en-GB"/>
        </w:rPr>
      </w:pPr>
      <w:bookmarkStart w:id="256" w:name="_Ref63429905"/>
      <w:r w:rsidRPr="00967AC5">
        <w:rPr>
          <w:szCs w:val="20"/>
          <w:lang w:val="en-GB"/>
        </w:rPr>
        <w:t>ERC Report 63</w:t>
      </w:r>
      <w:bookmarkEnd w:id="256"/>
      <w:r w:rsidR="00B257A3" w:rsidRPr="00967AC5">
        <w:rPr>
          <w:szCs w:val="20"/>
          <w:lang w:val="en-GB"/>
        </w:rPr>
        <w:t>: “Introduction of radio microphone applications in the frequency range 1785 - 1800 MHz”</w:t>
      </w:r>
      <w:r w:rsidR="00571118" w:rsidRPr="00967AC5">
        <w:rPr>
          <w:szCs w:val="20"/>
          <w:lang w:val="en-GB"/>
        </w:rPr>
        <w:t>, approved</w:t>
      </w:r>
      <w:r w:rsidR="00B257A3" w:rsidRPr="00967AC5">
        <w:rPr>
          <w:szCs w:val="20"/>
          <w:lang w:val="en-GB"/>
        </w:rPr>
        <w:t xml:space="preserve"> May</w:t>
      </w:r>
      <w:r w:rsidR="00571118" w:rsidRPr="00967AC5">
        <w:rPr>
          <w:szCs w:val="20"/>
          <w:lang w:val="en-GB"/>
        </w:rPr>
        <w:t xml:space="preserve"> </w:t>
      </w:r>
      <w:r w:rsidR="00B257A3" w:rsidRPr="00967AC5">
        <w:rPr>
          <w:szCs w:val="20"/>
          <w:lang w:val="en-GB"/>
        </w:rPr>
        <w:t>1998</w:t>
      </w:r>
    </w:p>
    <w:p w14:paraId="4181A942" w14:textId="614175F4" w:rsidR="007D30E7" w:rsidRPr="00967AC5" w:rsidRDefault="007D30E7" w:rsidP="0057129D">
      <w:pPr>
        <w:pStyle w:val="reference"/>
        <w:ind w:left="397"/>
        <w:rPr>
          <w:szCs w:val="20"/>
          <w:lang w:val="en-GB"/>
        </w:rPr>
      </w:pPr>
      <w:bookmarkStart w:id="257" w:name="_Ref63429910"/>
      <w:r w:rsidRPr="00967AC5">
        <w:rPr>
          <w:szCs w:val="20"/>
          <w:lang w:val="en-GB"/>
        </w:rPr>
        <w:t>ERC Recommendation 70-03</w:t>
      </w:r>
      <w:bookmarkEnd w:id="257"/>
      <w:r w:rsidR="009A29AD" w:rsidRPr="00967AC5">
        <w:rPr>
          <w:szCs w:val="20"/>
          <w:lang w:val="en-GB"/>
        </w:rPr>
        <w:t xml:space="preserve"> of 1997 on relating to the use of Short Range Devices (SRD), latest amended on 23 October 2020</w:t>
      </w:r>
    </w:p>
    <w:p w14:paraId="180013A0" w14:textId="5CCF208A" w:rsidR="005039C7" w:rsidRPr="00967AC5" w:rsidRDefault="00666988" w:rsidP="0057129D">
      <w:pPr>
        <w:pStyle w:val="reference"/>
        <w:ind w:left="397"/>
        <w:rPr>
          <w:szCs w:val="20"/>
          <w:lang w:val="en-GB"/>
        </w:rPr>
      </w:pPr>
      <w:bookmarkStart w:id="258" w:name="_Ref63429973"/>
      <w:bookmarkStart w:id="259" w:name="_Ref68876239"/>
      <w:r w:rsidRPr="00967AC5">
        <w:rPr>
          <w:szCs w:val="20"/>
          <w:lang w:val="en-GB"/>
        </w:rPr>
        <w:lastRenderedPageBreak/>
        <w:t>ERC Report 64</w:t>
      </w:r>
      <w:bookmarkEnd w:id="258"/>
      <w:r w:rsidR="000E539E" w:rsidRPr="00967AC5">
        <w:rPr>
          <w:szCs w:val="20"/>
          <w:lang w:val="en-GB"/>
        </w:rPr>
        <w:t>: “Frequency sharing between UMTS and existing fixed services”</w:t>
      </w:r>
      <w:r w:rsidR="009A29AD" w:rsidRPr="00967AC5">
        <w:rPr>
          <w:szCs w:val="20"/>
          <w:lang w:val="en-GB"/>
        </w:rPr>
        <w:t xml:space="preserve">, approved </w:t>
      </w:r>
      <w:r w:rsidR="005039C7" w:rsidRPr="00967AC5">
        <w:rPr>
          <w:szCs w:val="20"/>
          <w:lang w:val="en-GB"/>
        </w:rPr>
        <w:t>May 1999</w:t>
      </w:r>
      <w:bookmarkEnd w:id="259"/>
    </w:p>
    <w:p w14:paraId="331E424E" w14:textId="5D0414F2" w:rsidR="00666988" w:rsidRPr="00967AC5" w:rsidRDefault="00666988" w:rsidP="0057129D">
      <w:pPr>
        <w:pStyle w:val="reference"/>
        <w:ind w:left="397"/>
        <w:rPr>
          <w:szCs w:val="20"/>
          <w:lang w:val="en-GB"/>
        </w:rPr>
      </w:pPr>
      <w:bookmarkStart w:id="260" w:name="_Ref63429978"/>
      <w:bookmarkStart w:id="261" w:name="_Ref68876245"/>
      <w:r w:rsidRPr="00967AC5">
        <w:rPr>
          <w:szCs w:val="20"/>
          <w:lang w:val="en-GB"/>
        </w:rPr>
        <w:t>ERC Report 65</w:t>
      </w:r>
      <w:bookmarkEnd w:id="260"/>
      <w:r w:rsidR="00372254" w:rsidRPr="00967AC5">
        <w:rPr>
          <w:szCs w:val="20"/>
          <w:lang w:val="en-GB"/>
        </w:rPr>
        <w:t xml:space="preserve">: “Adjacent band compatibility between UMTS and other services in the 2 GHz band”, </w:t>
      </w:r>
      <w:r w:rsidR="009A29AD" w:rsidRPr="00967AC5">
        <w:rPr>
          <w:szCs w:val="20"/>
          <w:lang w:val="en-GB"/>
        </w:rPr>
        <w:t xml:space="preserve">approved </w:t>
      </w:r>
      <w:r w:rsidR="00372254" w:rsidRPr="00967AC5">
        <w:rPr>
          <w:szCs w:val="20"/>
          <w:lang w:val="en-GB"/>
        </w:rPr>
        <w:t>November 1999</w:t>
      </w:r>
      <w:bookmarkEnd w:id="261"/>
    </w:p>
    <w:p w14:paraId="559683D8" w14:textId="6792E572" w:rsidR="00A8208D" w:rsidRPr="00967AC5" w:rsidRDefault="009C63CF" w:rsidP="0057129D">
      <w:pPr>
        <w:pStyle w:val="reference"/>
        <w:ind w:left="397"/>
        <w:rPr>
          <w:szCs w:val="20"/>
          <w:lang w:val="en-GB"/>
        </w:rPr>
      </w:pPr>
      <w:bookmarkStart w:id="262" w:name="_Ref63430134"/>
      <w:r w:rsidRPr="00967AC5">
        <w:rPr>
          <w:szCs w:val="20"/>
          <w:lang w:val="en-GB"/>
        </w:rPr>
        <w:t xml:space="preserve">Directive </w:t>
      </w:r>
      <w:r w:rsidR="00474E07" w:rsidRPr="00967AC5">
        <w:rPr>
          <w:szCs w:val="20"/>
          <w:lang w:val="en-GB"/>
        </w:rPr>
        <w:t xml:space="preserve">2014/53/EU </w:t>
      </w:r>
      <w:r w:rsidRPr="00967AC5">
        <w:rPr>
          <w:szCs w:val="20"/>
          <w:lang w:val="en-GB"/>
        </w:rPr>
        <w:t xml:space="preserve">of the European Parliament and of the Council </w:t>
      </w:r>
      <w:r w:rsidR="00474E07" w:rsidRPr="00967AC5">
        <w:rPr>
          <w:szCs w:val="20"/>
          <w:lang w:val="en-GB"/>
        </w:rPr>
        <w:t>of 16 April 2014 on the harmonisation of the laws of the Member States relating to the making available on the market of radio equipment and repealing Directive 1999/5/EC</w:t>
      </w:r>
      <w:bookmarkEnd w:id="262"/>
    </w:p>
    <w:p w14:paraId="7A38F775" w14:textId="5D742CF5" w:rsidR="009675D2" w:rsidRPr="00967AC5" w:rsidRDefault="006156BF" w:rsidP="0057129D">
      <w:pPr>
        <w:pStyle w:val="reference"/>
        <w:ind w:left="397"/>
        <w:rPr>
          <w:szCs w:val="20"/>
          <w:lang w:val="en-GB"/>
        </w:rPr>
      </w:pPr>
      <w:bookmarkStart w:id="263" w:name="_Ref63430230"/>
      <w:r w:rsidRPr="00967AC5">
        <w:rPr>
          <w:rFonts w:eastAsia="Calibri"/>
          <w:szCs w:val="20"/>
          <w:lang w:val="en-GB"/>
        </w:rPr>
        <w:t>Recommendation ITU-R SM.329-12 (09/2012): “Unwanted emissions in the spurious domain”</w:t>
      </w:r>
      <w:bookmarkEnd w:id="263"/>
    </w:p>
    <w:p w14:paraId="74819426" w14:textId="079E88F7" w:rsidR="007D3698" w:rsidRPr="00967AC5" w:rsidRDefault="006116D0" w:rsidP="0057129D">
      <w:pPr>
        <w:pStyle w:val="reference"/>
        <w:ind w:left="397"/>
        <w:rPr>
          <w:szCs w:val="20"/>
          <w:lang w:val="en-GB"/>
        </w:rPr>
      </w:pPr>
      <w:r w:rsidRPr="00967AC5">
        <w:rPr>
          <w:szCs w:val="20"/>
          <w:lang w:val="en-GB"/>
        </w:rPr>
        <w:t xml:space="preserve">ECC Decision (06)01: “The harmonised utilisation of the bands 1920-1980 MHz and 2110-2170 MHz for mobile/fixed communications networks (MFCN) including terrestrial IMT systems”, </w:t>
      </w:r>
      <w:r w:rsidR="006156BF" w:rsidRPr="00967AC5">
        <w:rPr>
          <w:szCs w:val="20"/>
          <w:lang w:val="en-GB"/>
        </w:rPr>
        <w:t>a</w:t>
      </w:r>
      <w:r w:rsidRPr="00967AC5">
        <w:rPr>
          <w:szCs w:val="20"/>
          <w:lang w:val="en-GB"/>
        </w:rPr>
        <w:t>mended 8 March 2019</w:t>
      </w:r>
    </w:p>
    <w:p w14:paraId="15E859B6" w14:textId="77777777" w:rsidR="006116D0" w:rsidRPr="00967AC5" w:rsidRDefault="006116D0" w:rsidP="0057129D">
      <w:pPr>
        <w:pStyle w:val="reference"/>
        <w:ind w:left="397"/>
        <w:rPr>
          <w:szCs w:val="20"/>
          <w:lang w:val="en-GB"/>
        </w:rPr>
      </w:pPr>
      <w:r w:rsidRPr="00967AC5">
        <w:rPr>
          <w:szCs w:val="20"/>
          <w:lang w:val="en-GB"/>
        </w:rPr>
        <w:t>ETSI TS 137 141 V15.8.0 (2019-10), “Digital cellular telecommunications system (Phase 2+) (GSM); Universal Mobile Telecommunications System (UMTS); LTE; 5G; NR, E-UTRA, UTRA and GSM/EDGE; Multi-Standard Radio (MSR) Base Station (BS) conformance testing (3GPP TS 37.141 version 15.8.0 Release 15)”, Table 6.6.2.5.2-1 and Table 6.6.2.5.2-2</w:t>
      </w:r>
    </w:p>
    <w:p w14:paraId="14622BB3" w14:textId="3F805EAD" w:rsidR="008F6695" w:rsidRPr="00967AC5" w:rsidDel="0017118A" w:rsidRDefault="006116D0" w:rsidP="00F14571">
      <w:pPr>
        <w:pStyle w:val="reference"/>
        <w:ind w:left="397"/>
        <w:rPr>
          <w:szCs w:val="20"/>
          <w:lang w:val="en-GB"/>
        </w:rPr>
      </w:pPr>
      <w:r w:rsidRPr="00967AC5">
        <w:rPr>
          <w:szCs w:val="20"/>
          <w:lang w:val="en-GB"/>
        </w:rPr>
        <w:t>ETSI TS 138 141-2 V15.3.0</w:t>
      </w:r>
      <w:r w:rsidR="00F75236" w:rsidRPr="00967AC5">
        <w:rPr>
          <w:szCs w:val="20"/>
          <w:lang w:val="en-GB"/>
        </w:rPr>
        <w:t xml:space="preserve">: </w:t>
      </w:r>
      <w:r w:rsidRPr="00967AC5">
        <w:rPr>
          <w:szCs w:val="20"/>
          <w:lang w:val="en-GB"/>
        </w:rPr>
        <w:t>“5G; NR; Base Station (BS) conformance testing Part 2: Radiated conformance testing (3GPP TS 38.141-2 version 15.3.0 Release 15)”, Table 6.7.4.5.1.3-1</w:t>
      </w:r>
    </w:p>
    <w:sectPr w:rsidR="008F6695" w:rsidRPr="00967AC5" w:rsidDel="0017118A" w:rsidSect="00645D85">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1430" w14:textId="77777777" w:rsidR="004D4E62" w:rsidRDefault="004D4E62">
      <w:r>
        <w:separator/>
      </w:r>
    </w:p>
  </w:endnote>
  <w:endnote w:type="continuationSeparator" w:id="0">
    <w:p w14:paraId="02870002" w14:textId="77777777" w:rsidR="004D4E62" w:rsidRDefault="004D4E62">
      <w:r>
        <w:continuationSeparator/>
      </w:r>
    </w:p>
  </w:endnote>
  <w:endnote w:type="continuationNotice" w:id="1">
    <w:p w14:paraId="01263B17" w14:textId="77777777" w:rsidR="004D4E62" w:rsidRDefault="004D4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65E4" w14:textId="77777777" w:rsidR="004D4E62" w:rsidRDefault="004D4E62">
      <w:r>
        <w:separator/>
      </w:r>
    </w:p>
  </w:footnote>
  <w:footnote w:type="continuationSeparator" w:id="0">
    <w:p w14:paraId="53D3C3FA" w14:textId="77777777" w:rsidR="004D4E62" w:rsidRDefault="004D4E62">
      <w:r>
        <w:continuationSeparator/>
      </w:r>
    </w:p>
  </w:footnote>
  <w:footnote w:type="continuationNotice" w:id="1">
    <w:p w14:paraId="1A1DC958" w14:textId="77777777" w:rsidR="004D4E62" w:rsidRDefault="004D4E62"/>
  </w:footnote>
  <w:footnote w:id="2">
    <w:p w14:paraId="307DC672" w14:textId="0A7790DE" w:rsidR="00680BB5" w:rsidRPr="002505BC" w:rsidRDefault="00680BB5" w:rsidP="00513529">
      <w:pPr>
        <w:pStyle w:val="ECCFootnote"/>
        <w:rPr>
          <w:lang w:val="en-GB"/>
        </w:rPr>
      </w:pPr>
      <w:r w:rsidRPr="002505BC">
        <w:rPr>
          <w:rStyle w:val="FootnoteReference"/>
        </w:rPr>
        <w:footnoteRef/>
      </w:r>
      <w:r w:rsidRPr="002505BC">
        <w:t xml:space="preserve"> RMR NB systems are RMR systems operating in 200 kHz channels</w:t>
      </w:r>
    </w:p>
  </w:footnote>
  <w:footnote w:id="3">
    <w:p w14:paraId="2786CD7B" w14:textId="255F6268" w:rsidR="00680BB5" w:rsidRPr="002505BC" w:rsidRDefault="00680BB5" w:rsidP="00513529">
      <w:pPr>
        <w:pStyle w:val="ECCFootnote"/>
        <w:rPr>
          <w:lang w:val="en-GB"/>
        </w:rPr>
      </w:pPr>
      <w:r w:rsidRPr="002505BC">
        <w:rPr>
          <w:rStyle w:val="FootnoteReference"/>
        </w:rPr>
        <w:footnoteRef/>
      </w:r>
      <w:r w:rsidRPr="002505BC">
        <w:t xml:space="preserve"> RMR WB systems are RMR systems operating in channels larger than 200 kHz</w:t>
      </w:r>
    </w:p>
  </w:footnote>
  <w:footnote w:id="4">
    <w:p w14:paraId="6374B696" w14:textId="1417363D" w:rsidR="00680BB5" w:rsidRDefault="00680BB5" w:rsidP="00513529">
      <w:pPr>
        <w:pStyle w:val="ECCFootnote"/>
        <w:rPr>
          <w:lang w:val="en-GB"/>
        </w:rPr>
      </w:pPr>
      <w:r w:rsidRPr="00E23744">
        <w:rPr>
          <w:rStyle w:val="FootnoteReference"/>
        </w:rPr>
        <w:footnoteRef/>
      </w:r>
      <w:r w:rsidRPr="00E23744">
        <w:t xml:space="preserve"> </w:t>
      </w:r>
      <w:r w:rsidRPr="00E23744">
        <w:rPr>
          <w:lang w:val="en-GB"/>
        </w:rPr>
        <w:t>See ECC Report 297</w:t>
      </w:r>
      <w:r w:rsidR="00074339">
        <w:rPr>
          <w:lang w:val="en-GB"/>
        </w:rPr>
        <w:t>,</w:t>
      </w:r>
      <w:r w:rsidRPr="00E23744">
        <w:rPr>
          <w:lang w:val="en-GB"/>
        </w:rPr>
        <w:t xml:space="preserve"> section 2.1.2 on existing MFCN regulatory framework prior this update</w:t>
      </w:r>
    </w:p>
  </w:footnote>
  <w:footnote w:id="5">
    <w:p w14:paraId="72AE4E4A" w14:textId="77777777" w:rsidR="00680BB5" w:rsidRPr="002505BC" w:rsidRDefault="00680BB5" w:rsidP="00513529">
      <w:pPr>
        <w:pStyle w:val="ECCFootnote"/>
        <w:rPr>
          <w:lang w:val="en-GB"/>
        </w:rPr>
      </w:pPr>
      <w:r w:rsidRPr="002505BC">
        <w:rPr>
          <w:rStyle w:val="FootnoteReference"/>
          <w:lang w:val="en-GB"/>
        </w:rPr>
        <w:footnoteRef/>
      </w:r>
      <w:r w:rsidRPr="002505BC">
        <w:rPr>
          <w:lang w:val="en-GB"/>
        </w:rPr>
        <w:t xml:space="preserve"> Nominal channel refers to the nominal channel bandwidth defined in the relevant harmonised standard.</w:t>
      </w:r>
    </w:p>
  </w:footnote>
  <w:footnote w:id="6">
    <w:p w14:paraId="534ACB22" w14:textId="2AA2E60E" w:rsidR="00680BB5" w:rsidRPr="002505BC" w:rsidRDefault="00680BB5" w:rsidP="00AD3968">
      <w:pPr>
        <w:pStyle w:val="ECCFootnote"/>
        <w:ind w:left="142" w:hanging="142"/>
        <w:rPr>
          <w:lang w:val="en-GB"/>
        </w:rPr>
      </w:pPr>
      <w:r w:rsidRPr="002505BC">
        <w:rPr>
          <w:rStyle w:val="FootnoteReference"/>
          <w:lang w:val="en-GB"/>
        </w:rPr>
        <w:footnoteRef/>
      </w:r>
      <w:r w:rsidRPr="002505BC">
        <w:rPr>
          <w:lang w:val="en-GB"/>
        </w:rPr>
        <w:t xml:space="preserve"> The 880-915 MHz range or portions thereof, can be used for uplink-only operation without paired spectrum within the 925-960 MHz range;</w:t>
      </w:r>
      <w:r w:rsidR="00BB23D2">
        <w:rPr>
          <w:lang w:val="en-GB"/>
        </w:rPr>
        <w:t xml:space="preserve"> </w:t>
      </w:r>
      <w:r w:rsidRPr="002505BC">
        <w:rPr>
          <w:lang w:val="en-GB"/>
        </w:rPr>
        <w:t>the 925-960 MHz range or portions thereof, can be used for downlink-only operation without paired spectrum within the 880-915 MHz range</w:t>
      </w:r>
    </w:p>
  </w:footnote>
  <w:footnote w:id="7">
    <w:p w14:paraId="775FBA41" w14:textId="75FA7554" w:rsidR="00680BB5" w:rsidRPr="009A4C8F" w:rsidRDefault="00680BB5" w:rsidP="00AD3968">
      <w:pPr>
        <w:pStyle w:val="ECCFootnote"/>
        <w:ind w:left="142" w:hanging="142"/>
        <w:rPr>
          <w:highlight w:val="green"/>
          <w:lang w:val="en-GB"/>
        </w:rPr>
      </w:pPr>
      <w:r w:rsidRPr="002505BC">
        <w:rPr>
          <w:rStyle w:val="FootnoteReference"/>
          <w:lang w:val="en-GB"/>
        </w:rPr>
        <w:footnoteRef/>
      </w:r>
      <w:r w:rsidRPr="002505BC">
        <w:rPr>
          <w:lang w:val="en-GB"/>
        </w:rPr>
        <w:t xml:space="preserve"> The 1710-1785 MHz range or portions thereof, can be used for uplink-only operation without paired spectrum within the 1805-1880 MHz range;</w:t>
      </w:r>
      <w:r w:rsidR="00BB23D2">
        <w:rPr>
          <w:lang w:val="en-GB"/>
        </w:rPr>
        <w:t xml:space="preserve"> </w:t>
      </w:r>
      <w:r w:rsidRPr="002505BC">
        <w:rPr>
          <w:lang w:val="en-GB"/>
        </w:rPr>
        <w:t>the 1805-1880</w:t>
      </w:r>
      <w:r w:rsidR="002E38F4">
        <w:rPr>
          <w:lang w:val="en-GB"/>
        </w:rPr>
        <w:t xml:space="preserve"> MHz </w:t>
      </w:r>
      <w:r w:rsidRPr="002505BC">
        <w:rPr>
          <w:lang w:val="en-GB"/>
        </w:rPr>
        <w:t>range or portions thereof, can be used for downlink-only operation without paired spectrum within the 1710-1785 MHz range</w:t>
      </w:r>
    </w:p>
  </w:footnote>
  <w:footnote w:id="8">
    <w:p w14:paraId="6C274372" w14:textId="0FE7447B" w:rsidR="00680BB5" w:rsidRDefault="00680BB5" w:rsidP="00513529">
      <w:pPr>
        <w:pStyle w:val="ECCFootnote"/>
      </w:pPr>
      <w:r w:rsidRPr="002C7D44">
        <w:rPr>
          <w:rStyle w:val="FootnoteReference"/>
        </w:rPr>
        <w:footnoteRef/>
      </w:r>
      <w:r w:rsidRPr="002C7D44">
        <w:t xml:space="preserve"> Parameter ‘X’ is defined in Annex </w:t>
      </w:r>
      <w:r w:rsidRPr="002C7D44">
        <w:fldChar w:fldCharType="begin"/>
      </w:r>
      <w:r w:rsidRPr="002C7D44">
        <w:instrText xml:space="preserve"> REF _Ref60763647 \n \h </w:instrText>
      </w:r>
      <w:r>
        <w:instrText xml:space="preserve"> \* MERGEFORMAT </w:instrText>
      </w:r>
      <w:r w:rsidRPr="002C7D44">
        <w:fldChar w:fldCharType="separate"/>
      </w:r>
      <w:r>
        <w:fldChar w:fldCharType="begin"/>
      </w:r>
      <w:r>
        <w:instrText xml:space="preserve"> REF _Ref60763647 \r \h </w:instrText>
      </w:r>
      <w:r w:rsidR="00C07E90">
        <w:instrText xml:space="preserve"> \* MERGEFORMAT </w:instrText>
      </w:r>
      <w:r>
        <w:fldChar w:fldCharType="separate"/>
      </w:r>
      <w:r>
        <w:t>A3.2</w:t>
      </w:r>
      <w:r>
        <w:fldChar w:fldCharType="end"/>
      </w:r>
      <w:r w:rsidRPr="002C7D44">
        <w:fldChar w:fldCharType="end"/>
      </w:r>
    </w:p>
  </w:footnote>
  <w:footnote w:id="9">
    <w:p w14:paraId="20DF85B6" w14:textId="59FEFFFF" w:rsidR="00680BB5" w:rsidRPr="00BA477E" w:rsidRDefault="00680BB5" w:rsidP="00AD3968">
      <w:pPr>
        <w:pStyle w:val="ECCFootnote"/>
        <w:ind w:left="284" w:hanging="284"/>
      </w:pPr>
      <w:r>
        <w:rPr>
          <w:rStyle w:val="FootnoteReference"/>
        </w:rPr>
        <w:footnoteRef/>
      </w:r>
      <w:r>
        <w:t xml:space="preserve"> </w:t>
      </w:r>
      <w:r w:rsidRPr="003D3AF2">
        <w:rPr>
          <w:lang w:val="en-GB"/>
        </w:rPr>
        <w:t>The UE maximum output power including tolerance of up to +2 dB has been derived from the UE maximum output power value and tolerance value defined in ETSI TS 125.101 Table 6.1 (for UMTS terminals)</w:t>
      </w:r>
      <w:r>
        <w:rPr>
          <w:lang w:val="en-GB"/>
        </w:rPr>
        <w:t xml:space="preserve"> </w:t>
      </w:r>
      <w:r>
        <w:rPr>
          <w:lang w:val="en-GB"/>
        </w:rPr>
        <w:fldChar w:fldCharType="begin"/>
      </w:r>
      <w:r>
        <w:rPr>
          <w:lang w:val="en-GB"/>
        </w:rPr>
        <w:instrText xml:space="preserve"> REF _Ref68784428 \r \h </w:instrText>
      </w:r>
      <w:r>
        <w:rPr>
          <w:lang w:val="en-GB"/>
        </w:rPr>
      </w:r>
      <w:r>
        <w:rPr>
          <w:lang w:val="en-GB"/>
        </w:rPr>
        <w:fldChar w:fldCharType="separate"/>
      </w:r>
      <w:r>
        <w:rPr>
          <w:lang w:val="en-GB"/>
        </w:rPr>
        <w:t>[30]</w:t>
      </w:r>
      <w:r>
        <w:rPr>
          <w:lang w:val="en-GB"/>
        </w:rPr>
        <w:fldChar w:fldCharType="end"/>
      </w:r>
      <w:r w:rsidRPr="003D3AF2">
        <w:rPr>
          <w:lang w:val="en-GB"/>
        </w:rPr>
        <w:t>, ETSI TS 136.101 Table 6.2.2-1 (for LTE terminals)</w:t>
      </w:r>
      <w:r>
        <w:rPr>
          <w:lang w:val="en-GB"/>
        </w:rPr>
        <w:t xml:space="preserve"> </w:t>
      </w:r>
      <w:r>
        <w:rPr>
          <w:lang w:val="en-GB"/>
        </w:rPr>
        <w:fldChar w:fldCharType="begin"/>
      </w:r>
      <w:r>
        <w:rPr>
          <w:lang w:val="en-GB"/>
        </w:rPr>
        <w:instrText xml:space="preserve"> REF _Ref68783842 \r \h </w:instrText>
      </w:r>
      <w:r>
        <w:rPr>
          <w:lang w:val="en-GB"/>
        </w:rPr>
      </w:r>
      <w:r>
        <w:rPr>
          <w:lang w:val="en-GB"/>
        </w:rPr>
        <w:fldChar w:fldCharType="separate"/>
      </w:r>
      <w:r>
        <w:rPr>
          <w:lang w:val="en-GB"/>
        </w:rPr>
        <w:t>[27]</w:t>
      </w:r>
      <w:r>
        <w:rPr>
          <w:lang w:val="en-GB"/>
        </w:rPr>
        <w:fldChar w:fldCharType="end"/>
      </w:r>
      <w:r w:rsidRPr="003D3AF2">
        <w:rPr>
          <w:lang w:val="en-GB"/>
        </w:rPr>
        <w:t xml:space="preserve"> and ETSI TS 138 101-1 Table 6.2.1-1 (for NR terminals)</w:t>
      </w:r>
      <w:r>
        <w:rPr>
          <w:lang w:val="en-GB"/>
        </w:rPr>
        <w:t xml:space="preserve"> </w:t>
      </w:r>
      <w:r>
        <w:rPr>
          <w:lang w:val="en-GB"/>
        </w:rPr>
        <w:fldChar w:fldCharType="begin"/>
      </w:r>
      <w:r>
        <w:rPr>
          <w:lang w:val="en-GB"/>
        </w:rPr>
        <w:instrText xml:space="preserve"> REF _Ref68784489 \r \h </w:instrText>
      </w:r>
      <w:r>
        <w:rPr>
          <w:lang w:val="en-GB"/>
        </w:rPr>
      </w:r>
      <w:r>
        <w:rPr>
          <w:lang w:val="en-GB"/>
        </w:rPr>
        <w:fldChar w:fldCharType="separate"/>
      </w:r>
      <w:r>
        <w:rPr>
          <w:lang w:val="en-GB"/>
        </w:rPr>
        <w:t>[31]</w:t>
      </w:r>
      <w:r>
        <w:rPr>
          <w:lang w:val="en-GB"/>
        </w:rPr>
        <w:fldChar w:fldCharType="end"/>
      </w:r>
      <w:r w:rsidRPr="003D3AF2">
        <w:t>.</w:t>
      </w:r>
    </w:p>
  </w:footnote>
  <w:footnote w:id="10">
    <w:p w14:paraId="39FE4ADB" w14:textId="34E1252E" w:rsidR="00680BB5" w:rsidRPr="00001EB9" w:rsidRDefault="00680BB5" w:rsidP="00513529">
      <w:pPr>
        <w:pStyle w:val="ECCFootnote"/>
        <w:rPr>
          <w:lang w:val="en-GB"/>
        </w:rPr>
      </w:pPr>
      <w:r w:rsidRPr="00961EE4">
        <w:rPr>
          <w:rStyle w:val="FootnoteReference"/>
          <w:lang w:val="en-GB"/>
        </w:rPr>
        <w:footnoteRef/>
      </w:r>
      <w:r w:rsidRPr="00001EB9">
        <w:rPr>
          <w:lang w:val="en-GB"/>
        </w:rPr>
        <w:t xml:space="preserve"> Nominal channel refers to the nominal channel bandwidth defined in the relevant harmonised standard.</w:t>
      </w:r>
    </w:p>
  </w:footnote>
  <w:footnote w:id="11">
    <w:p w14:paraId="2AEF054B" w14:textId="77777777" w:rsidR="00680BB5" w:rsidRPr="00001EB9" w:rsidRDefault="00680BB5" w:rsidP="00513529">
      <w:pPr>
        <w:pStyle w:val="ECCFootnote"/>
        <w:rPr>
          <w:lang w:val="en-GB"/>
        </w:rPr>
      </w:pPr>
      <w:r w:rsidRPr="00001EB9">
        <w:rPr>
          <w:rStyle w:val="FootnoteReference"/>
          <w:lang w:val="en-GB"/>
        </w:rPr>
        <w:footnoteRef/>
      </w:r>
      <w:r w:rsidRPr="00001EB9">
        <w:rPr>
          <w:lang w:val="en-GB"/>
        </w:rPr>
        <w:t xml:space="preserve"> Nominal channel refers to the nominal channel bandwidth defined in the relevant harmonised standard.</w:t>
      </w:r>
    </w:p>
  </w:footnote>
  <w:footnote w:id="12">
    <w:p w14:paraId="5581F85C" w14:textId="42BBD197" w:rsidR="00680BB5" w:rsidRPr="000721B2" w:rsidRDefault="00680BB5" w:rsidP="00513529">
      <w:pPr>
        <w:pStyle w:val="ECCFootnote"/>
        <w:rPr>
          <w:lang w:val="en-GB"/>
        </w:rPr>
      </w:pPr>
      <w:r w:rsidRPr="00001EB9">
        <w:rPr>
          <w:rStyle w:val="FootnoteReference"/>
        </w:rPr>
        <w:footnoteRef/>
      </w:r>
      <w:r w:rsidRPr="00001EB9">
        <w:t xml:space="preserve"> </w:t>
      </w:r>
      <w:r w:rsidRPr="00001EB9">
        <w:rPr>
          <w:lang w:val="en-GB"/>
        </w:rPr>
        <w:t>Assuming a nominal channel of 5 MHz for UMTS as defined in the relevant harmonised standard.</w:t>
      </w:r>
    </w:p>
  </w:footnote>
  <w:footnote w:id="13">
    <w:p w14:paraId="3A7F74D6" w14:textId="056FE450" w:rsidR="00680BB5" w:rsidRDefault="00680BB5" w:rsidP="00513529">
      <w:pPr>
        <w:pStyle w:val="ECCFootnote"/>
      </w:pPr>
      <w:r w:rsidRPr="00D760A1">
        <w:rPr>
          <w:rStyle w:val="FootnoteReference"/>
        </w:rPr>
        <w:footnoteRef/>
      </w:r>
      <w:r w:rsidRPr="00D760A1">
        <w:t xml:space="preserve"> </w:t>
      </w:r>
      <w:r w:rsidRPr="00001EB9">
        <w:t>Note: the same approach applies in the case where a GSM system is adjacent to a WB system, as shown in</w:t>
      </w:r>
      <w:r w:rsidRPr="00775A4E">
        <w:t xml:space="preserve"> </w:t>
      </w:r>
      <w:r>
        <w:fldChar w:fldCharType="begin"/>
      </w:r>
      <w:r>
        <w:instrText xml:space="preserve"> REF _Ref70356720 \h </w:instrText>
      </w:r>
      <w:r>
        <w:fldChar w:fldCharType="separate"/>
      </w:r>
      <w:r w:rsidRPr="002505BC" w:rsidDel="0017118A">
        <w:rPr>
          <w:lang w:val="en-GB"/>
        </w:rPr>
        <w:t xml:space="preserve">Figure </w:t>
      </w:r>
      <w:r w:rsidRPr="002505BC">
        <w:rPr>
          <w:noProof/>
          <w:lang w:val="en-GB"/>
        </w:rPr>
        <w:t>8</w:t>
      </w:r>
      <w:r>
        <w:fldChar w:fldCharType="end"/>
      </w:r>
      <w:r w:rsidRPr="00775A4E">
        <w:t>.</w:t>
      </w:r>
    </w:p>
  </w:footnote>
  <w:footnote w:id="14">
    <w:p w14:paraId="1D29DF10" w14:textId="77777777" w:rsidR="005A247B" w:rsidRPr="000721B2" w:rsidRDefault="005A247B" w:rsidP="00513529">
      <w:pPr>
        <w:pStyle w:val="ECCFootnote"/>
        <w:rPr>
          <w:lang w:val="en-GB"/>
        </w:rPr>
      </w:pPr>
      <w:r w:rsidRPr="00001EB9">
        <w:rPr>
          <w:rStyle w:val="FootnoteReference"/>
        </w:rPr>
        <w:footnoteRef/>
      </w:r>
      <w:r w:rsidRPr="00001EB9">
        <w:t xml:space="preserve"> </w:t>
      </w:r>
      <w:r w:rsidRPr="00001EB9">
        <w:rPr>
          <w:lang w:val="en-GB"/>
        </w:rPr>
        <w:t>ECO Frequency Information System: https://efis.cept.org/</w:t>
      </w:r>
    </w:p>
  </w:footnote>
  <w:footnote w:id="15">
    <w:p w14:paraId="09B31E2B" w14:textId="658E576A" w:rsidR="00680BB5" w:rsidRPr="00202CA9" w:rsidRDefault="00680BB5" w:rsidP="00513529">
      <w:pPr>
        <w:pStyle w:val="ECCFootnote"/>
      </w:pPr>
      <w:r w:rsidRPr="00202CA9">
        <w:rPr>
          <w:rStyle w:val="FootnoteReference"/>
        </w:rPr>
        <w:footnoteRef/>
      </w:r>
      <w:r w:rsidRPr="00202CA9">
        <w:t xml:space="preserve"> RMR NB systems are RMR systems operating in 200 kHz channels</w:t>
      </w:r>
    </w:p>
  </w:footnote>
  <w:footnote w:id="16">
    <w:p w14:paraId="05E216A2" w14:textId="7072E5AB" w:rsidR="00680BB5" w:rsidRPr="005F3DA4" w:rsidRDefault="00680BB5" w:rsidP="00513529">
      <w:pPr>
        <w:pStyle w:val="ECCFootnote"/>
      </w:pPr>
      <w:r w:rsidRPr="00202CA9">
        <w:rPr>
          <w:rStyle w:val="FootnoteReference"/>
        </w:rPr>
        <w:footnoteRef/>
      </w:r>
      <w:r w:rsidRPr="00202CA9">
        <w:t xml:space="preserve"> RMR WB systems are RMR systems operating in channels larger than 200 kHz</w:t>
      </w:r>
    </w:p>
  </w:footnote>
  <w:footnote w:id="17">
    <w:p w14:paraId="1C70322F" w14:textId="30967FD2" w:rsidR="00680BB5" w:rsidRPr="00001EB9" w:rsidRDefault="00680BB5" w:rsidP="00513529">
      <w:pPr>
        <w:pStyle w:val="ECCFootnote"/>
      </w:pPr>
      <w:r w:rsidRPr="00377325">
        <w:rPr>
          <w:rStyle w:val="FootnoteReference"/>
        </w:rPr>
        <w:footnoteRef/>
      </w:r>
      <w:r w:rsidRPr="00377325">
        <w:t xml:space="preserve"> The </w:t>
      </w:r>
      <w:r w:rsidRPr="00001EB9">
        <w:t>880-915 MHz range or portions thereof can be used for uplink-only operation without paired spectrum within the 925-960 MHz range;</w:t>
      </w:r>
      <w:r w:rsidRPr="00001EB9">
        <w:br/>
        <w:t>the 925-960 MHz range or portions thereof, can be used for downlink-only operation without paired spectrum within the 880-915 MHz range.</w:t>
      </w:r>
    </w:p>
  </w:footnote>
  <w:footnote w:id="18">
    <w:p w14:paraId="1741EC86" w14:textId="3C5C37A5" w:rsidR="00680BB5" w:rsidRDefault="00680BB5" w:rsidP="00513529">
      <w:pPr>
        <w:pStyle w:val="ECCFootnote"/>
      </w:pPr>
      <w:r w:rsidRPr="00001EB9">
        <w:rPr>
          <w:rStyle w:val="FootnoteReference"/>
        </w:rPr>
        <w:footnoteRef/>
      </w:r>
      <w:r w:rsidRPr="00001EB9">
        <w:t xml:space="preserve"> The 1710-1785 MHz range or portions thereof, can be used for uplink-only operation without paired spectrum within the 1805-1880 MHz </w:t>
      </w:r>
      <w:proofErr w:type="gramStart"/>
      <w:r w:rsidRPr="00001EB9">
        <w:t>range ;</w:t>
      </w:r>
      <w:proofErr w:type="gramEnd"/>
      <w:r w:rsidRPr="00001EB9">
        <w:br/>
        <w:t>the 1805-1880 MHz range or portions thereof, can be used for downlink-only operation without paired spectrum within the 1710-1785 MHz range.</w:t>
      </w:r>
    </w:p>
  </w:footnote>
  <w:footnote w:id="19">
    <w:p w14:paraId="2D0A812D" w14:textId="35EC6BD7" w:rsidR="00680BB5" w:rsidRPr="00006892" w:rsidRDefault="00680BB5" w:rsidP="00513529">
      <w:pPr>
        <w:pStyle w:val="ECCFootnote"/>
        <w:rPr>
          <w:lang w:val="en-GB"/>
        </w:rPr>
      </w:pPr>
      <w:r w:rsidRPr="001633CE">
        <w:rPr>
          <w:rStyle w:val="FootnoteReference"/>
        </w:rPr>
        <w:footnoteRef/>
      </w:r>
      <w:r w:rsidRPr="001633CE">
        <w:t xml:space="preserve"> </w:t>
      </w:r>
      <w:r w:rsidRPr="00B07998">
        <w:t>See EC Decision 2009/</w:t>
      </w:r>
      <w:r w:rsidRPr="00001EB9">
        <w:t xml:space="preserve">766/EC </w:t>
      </w:r>
      <w:r w:rsidRPr="00001EB9">
        <w:fldChar w:fldCharType="begin"/>
      </w:r>
      <w:r w:rsidRPr="00001EB9">
        <w:instrText xml:space="preserve"> REF _Ref63337216 \r \h  \* MERGEFORMAT </w:instrText>
      </w:r>
      <w:r w:rsidRPr="00001EB9">
        <w:fldChar w:fldCharType="separate"/>
      </w:r>
      <w:r w:rsidRPr="00001EB9">
        <w:t>[2]</w:t>
      </w:r>
      <w:r w:rsidRPr="00001EB9">
        <w:fldChar w:fldCharType="end"/>
      </w:r>
      <w:r w:rsidRPr="00001EB9">
        <w:t xml:space="preserve">, amended by 2011/251/EU </w:t>
      </w:r>
      <w:r w:rsidRPr="00001EB9">
        <w:fldChar w:fldCharType="begin"/>
      </w:r>
      <w:r w:rsidRPr="00001EB9">
        <w:instrText xml:space="preserve"> REF _Ref63427292 \r \h  \* MERGEFORMAT </w:instrText>
      </w:r>
      <w:r w:rsidRPr="00001EB9">
        <w:fldChar w:fldCharType="separate"/>
      </w:r>
      <w:r w:rsidRPr="00001EB9">
        <w:t>[16]</w:t>
      </w:r>
      <w:r w:rsidRPr="00001EB9">
        <w:fldChar w:fldCharType="end"/>
      </w:r>
      <w:r w:rsidRPr="00001EB9">
        <w:t xml:space="preserve"> and 2018/637/EU </w:t>
      </w:r>
      <w:r w:rsidRPr="00001EB9">
        <w:fldChar w:fldCharType="begin"/>
      </w:r>
      <w:r w:rsidRPr="00001EB9">
        <w:instrText xml:space="preserve"> REF _Ref63427421 \r \h  \* MERGEFORMAT </w:instrText>
      </w:r>
      <w:r w:rsidRPr="00001EB9">
        <w:fldChar w:fldCharType="separate"/>
      </w:r>
      <w:r w:rsidRPr="00001EB9">
        <w:t>[20]</w:t>
      </w:r>
      <w:r w:rsidRPr="00001EB9">
        <w:fldChar w:fldCharType="end"/>
      </w:r>
      <w:r w:rsidRPr="00001EB9">
        <w:t xml:space="preserve">, as well as ERC Decision (94)01 </w:t>
      </w:r>
      <w:r w:rsidRPr="00001EB9">
        <w:fldChar w:fldCharType="begin"/>
      </w:r>
      <w:r w:rsidRPr="00001EB9">
        <w:instrText xml:space="preserve"> REF _Ref68881082 \r \h  \* MERGEFORMAT </w:instrText>
      </w:r>
      <w:r w:rsidRPr="00001EB9">
        <w:fldChar w:fldCharType="separate"/>
      </w:r>
      <w:r w:rsidRPr="00001EB9">
        <w:t>[13]</w:t>
      </w:r>
      <w:r w:rsidRPr="00001EB9">
        <w:fldChar w:fldCharType="end"/>
      </w:r>
      <w:r w:rsidRPr="00001EB9">
        <w:t xml:space="preserve">, ERC Decision (95)03 </w:t>
      </w:r>
      <w:r w:rsidRPr="00001EB9">
        <w:fldChar w:fldCharType="begin"/>
      </w:r>
      <w:r w:rsidRPr="00001EB9">
        <w:instrText xml:space="preserve"> REF _Ref68881090 \r \h  \* MERGEFORMAT </w:instrText>
      </w:r>
      <w:r w:rsidRPr="00001EB9">
        <w:fldChar w:fldCharType="separate"/>
      </w:r>
      <w:r w:rsidRPr="00001EB9">
        <w:t>[19]</w:t>
      </w:r>
      <w:r w:rsidRPr="00001EB9">
        <w:fldChar w:fldCharType="end"/>
      </w:r>
      <w:r w:rsidRPr="00001EB9">
        <w:t xml:space="preserve">, ERC Decision (97)02 </w:t>
      </w:r>
      <w:r w:rsidRPr="00001EB9">
        <w:fldChar w:fldCharType="begin"/>
      </w:r>
      <w:r w:rsidRPr="00001EB9">
        <w:instrText xml:space="preserve"> REF _Ref68881094 \r \h  \* MERGEFORMAT </w:instrText>
      </w:r>
      <w:r w:rsidRPr="00001EB9">
        <w:fldChar w:fldCharType="separate"/>
      </w:r>
      <w:r w:rsidRPr="00001EB9">
        <w:t>[14]</w:t>
      </w:r>
      <w:r w:rsidRPr="00001EB9">
        <w:fldChar w:fldCharType="end"/>
      </w:r>
      <w:r w:rsidRPr="00001EB9">
        <w:t xml:space="preserve"> and ECC Decision (06)13 </w:t>
      </w:r>
      <w:r w:rsidRPr="00001EB9">
        <w:fldChar w:fldCharType="begin"/>
      </w:r>
      <w:r w:rsidRPr="00001EB9">
        <w:instrText xml:space="preserve"> REF _Ref63427273 \r \h  \* MERGEFORMAT </w:instrText>
      </w:r>
      <w:r w:rsidRPr="00001EB9">
        <w:fldChar w:fldCharType="separate"/>
      </w:r>
      <w:r w:rsidRPr="00001EB9">
        <w:t>[15]</w:t>
      </w:r>
      <w:r w:rsidRPr="00001EB9">
        <w:fldChar w:fldCharType="end"/>
      </w:r>
      <w:r w:rsidRPr="00001EB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4281" w14:textId="43BA2869" w:rsidR="00680BB5" w:rsidRDefault="00680BB5">
    <w:pPr>
      <w:pStyle w:val="Header"/>
      <w:rPr>
        <w:b w:val="0"/>
        <w:lang w:val="da-DK"/>
      </w:rPr>
    </w:pPr>
    <w:r>
      <w:rPr>
        <w:b w:val="0"/>
        <w:lang w:val="da-DK"/>
      </w:rPr>
      <w:t>Draft ECC REPORT XXX</w:t>
    </w:r>
  </w:p>
  <w:p w14:paraId="473631B2" w14:textId="77777777" w:rsidR="00680BB5" w:rsidRDefault="00680BB5">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Pr="00C8120C">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0915" w14:textId="57AD1285" w:rsidR="00680BB5" w:rsidRDefault="00680BB5">
    <w:pPr>
      <w:pStyle w:val="Header"/>
      <w:jc w:val="right"/>
      <w:rPr>
        <w:b w:val="0"/>
        <w:lang w:val="da-DK"/>
      </w:rPr>
    </w:pPr>
    <w:r>
      <w:rPr>
        <w:b w:val="0"/>
        <w:lang w:val="da-DK"/>
      </w:rPr>
      <w:t>Draft ECC REPORT XXX</w:t>
    </w:r>
  </w:p>
  <w:p w14:paraId="122A3F73" w14:textId="77777777" w:rsidR="00680BB5" w:rsidRDefault="00680BB5">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4E4E" w14:textId="73673737" w:rsidR="00680BB5" w:rsidRDefault="00680BB5" w:rsidP="00AA5A03">
    <w:pPr>
      <w:pStyle w:val="Header"/>
      <w:rPr>
        <w:szCs w:val="16"/>
        <w:lang w:val="da-DK"/>
      </w:rPr>
    </w:pPr>
    <w:r>
      <w:rPr>
        <w:lang w:val="da-DK"/>
      </w:rPr>
      <w:t xml:space="preserve">CEPT REPORT 80 - </w:t>
    </w:r>
    <w:r>
      <w:rPr>
        <w:szCs w:val="16"/>
        <w:lang w:val="da-DK"/>
      </w:rPr>
      <w:t xml:space="preserve">Page </w:t>
    </w:r>
    <w:r>
      <w:fldChar w:fldCharType="begin"/>
    </w:r>
    <w:r>
      <w:instrText xml:space="preserve"> PAGE  \* Arabic  \* MERGEFORMAT </w:instrText>
    </w:r>
    <w:r>
      <w:fldChar w:fldCharType="separate"/>
    </w:r>
    <w:r w:rsidRPr="00D35780">
      <w:rPr>
        <w:noProof/>
        <w:szCs w:val="16"/>
      </w:rPr>
      <w:t>60</w:t>
    </w:r>
    <w:r>
      <w:rPr>
        <w:noProof/>
        <w:szCs w:val="16"/>
        <w:lang w:val="da-DK"/>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77AB" w14:textId="023D9DA7" w:rsidR="00680BB5" w:rsidRDefault="00680BB5" w:rsidP="00A7590B">
    <w:pPr>
      <w:pStyle w:val="Header"/>
      <w:jc w:val="right"/>
      <w:rPr>
        <w:szCs w:val="16"/>
        <w:lang w:val="da-DK"/>
      </w:rPr>
    </w:pPr>
    <w:r>
      <w:rPr>
        <w:lang w:val="da-DK"/>
      </w:rPr>
      <w:t xml:space="preserve">CEPT REPORT 80 - </w:t>
    </w:r>
    <w:r>
      <w:rPr>
        <w:szCs w:val="16"/>
        <w:lang w:val="da-DK"/>
      </w:rPr>
      <w:t xml:space="preserve">Page </w:t>
    </w:r>
    <w:r>
      <w:fldChar w:fldCharType="begin"/>
    </w:r>
    <w:r>
      <w:instrText xml:space="preserve"> PAGE  \* Arabic  \* MERGEFORMAT </w:instrText>
    </w:r>
    <w:r>
      <w:fldChar w:fldCharType="separate"/>
    </w:r>
    <w:r w:rsidRPr="00D35780">
      <w:rPr>
        <w:noProof/>
        <w:szCs w:val="16"/>
      </w:rPr>
      <w:t>59</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3426" w14:textId="25AC5202" w:rsidR="00680BB5" w:rsidRDefault="00680BB5">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60DE28"/>
    <w:lvl w:ilvl="0">
      <w:start w:val="1"/>
      <w:numFmt w:val="decimal"/>
      <w:pStyle w:val="ListNumber"/>
      <w:lvlText w:val="%1."/>
      <w:lvlJc w:val="left"/>
      <w:pPr>
        <w:tabs>
          <w:tab w:val="num" w:pos="360"/>
        </w:tabs>
        <w:ind w:left="360" w:hanging="360"/>
      </w:pPr>
    </w:lvl>
  </w:abstractNum>
  <w:abstractNum w:abstractNumId="1" w15:restartNumberingAfterBreak="0">
    <w:nsid w:val="06AA607E"/>
    <w:multiLevelType w:val="hybridMultilevel"/>
    <w:tmpl w:val="A2424D78"/>
    <w:lvl w:ilvl="0" w:tplc="38F432C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375AC"/>
    <w:multiLevelType w:val="hybridMultilevel"/>
    <w:tmpl w:val="0CC2D42C"/>
    <w:lvl w:ilvl="0" w:tplc="49B86D42">
      <w:start w:val="1"/>
      <w:numFmt w:val="decimal"/>
      <w:lvlText w:val="%1."/>
      <w:lvlJc w:val="left"/>
      <w:pPr>
        <w:ind w:left="937" w:hanging="291"/>
      </w:pPr>
      <w:rPr>
        <w:rFonts w:ascii="Times New Roman" w:eastAsia="Times New Roman" w:hAnsi="Times New Roman" w:cs="Times New Roman" w:hint="default"/>
        <w:w w:val="100"/>
        <w:sz w:val="24"/>
        <w:szCs w:val="24"/>
        <w:lang w:val="en-GB" w:eastAsia="en-US" w:bidi="ar-SA"/>
      </w:rPr>
    </w:lvl>
    <w:lvl w:ilvl="1" w:tplc="E26AB986">
      <w:numFmt w:val="bullet"/>
      <w:lvlText w:val="•"/>
      <w:lvlJc w:val="left"/>
      <w:pPr>
        <w:ind w:left="1848" w:hanging="291"/>
      </w:pPr>
      <w:rPr>
        <w:rFonts w:hint="default"/>
        <w:lang w:val="en-GB" w:eastAsia="en-US" w:bidi="ar-SA"/>
      </w:rPr>
    </w:lvl>
    <w:lvl w:ilvl="2" w:tplc="EAF69ADE">
      <w:numFmt w:val="bullet"/>
      <w:lvlText w:val="•"/>
      <w:lvlJc w:val="left"/>
      <w:pPr>
        <w:ind w:left="2757" w:hanging="291"/>
      </w:pPr>
      <w:rPr>
        <w:rFonts w:hint="default"/>
        <w:lang w:val="en-GB" w:eastAsia="en-US" w:bidi="ar-SA"/>
      </w:rPr>
    </w:lvl>
    <w:lvl w:ilvl="3" w:tplc="B442F1DA">
      <w:numFmt w:val="bullet"/>
      <w:lvlText w:val="•"/>
      <w:lvlJc w:val="left"/>
      <w:pPr>
        <w:ind w:left="3665" w:hanging="291"/>
      </w:pPr>
      <w:rPr>
        <w:rFonts w:hint="default"/>
        <w:lang w:val="en-GB" w:eastAsia="en-US" w:bidi="ar-SA"/>
      </w:rPr>
    </w:lvl>
    <w:lvl w:ilvl="4" w:tplc="B8F63AC4">
      <w:numFmt w:val="bullet"/>
      <w:lvlText w:val="•"/>
      <w:lvlJc w:val="left"/>
      <w:pPr>
        <w:ind w:left="4574" w:hanging="291"/>
      </w:pPr>
      <w:rPr>
        <w:rFonts w:hint="default"/>
        <w:lang w:val="en-GB" w:eastAsia="en-US" w:bidi="ar-SA"/>
      </w:rPr>
    </w:lvl>
    <w:lvl w:ilvl="5" w:tplc="B9DE29F0">
      <w:numFmt w:val="bullet"/>
      <w:lvlText w:val="•"/>
      <w:lvlJc w:val="left"/>
      <w:pPr>
        <w:ind w:left="5483" w:hanging="291"/>
      </w:pPr>
      <w:rPr>
        <w:rFonts w:hint="default"/>
        <w:lang w:val="en-GB" w:eastAsia="en-US" w:bidi="ar-SA"/>
      </w:rPr>
    </w:lvl>
    <w:lvl w:ilvl="6" w:tplc="4DB0C57E">
      <w:numFmt w:val="bullet"/>
      <w:lvlText w:val="•"/>
      <w:lvlJc w:val="left"/>
      <w:pPr>
        <w:ind w:left="6391" w:hanging="291"/>
      </w:pPr>
      <w:rPr>
        <w:rFonts w:hint="default"/>
        <w:lang w:val="en-GB" w:eastAsia="en-US" w:bidi="ar-SA"/>
      </w:rPr>
    </w:lvl>
    <w:lvl w:ilvl="7" w:tplc="0A5606C2">
      <w:numFmt w:val="bullet"/>
      <w:lvlText w:val="•"/>
      <w:lvlJc w:val="left"/>
      <w:pPr>
        <w:ind w:left="7300" w:hanging="291"/>
      </w:pPr>
      <w:rPr>
        <w:rFonts w:hint="default"/>
        <w:lang w:val="en-GB" w:eastAsia="en-US" w:bidi="ar-SA"/>
      </w:rPr>
    </w:lvl>
    <w:lvl w:ilvl="8" w:tplc="9CEA5084">
      <w:numFmt w:val="bullet"/>
      <w:lvlText w:val="•"/>
      <w:lvlJc w:val="left"/>
      <w:pPr>
        <w:ind w:left="8209" w:hanging="291"/>
      </w:pPr>
      <w:rPr>
        <w:rFonts w:hint="default"/>
        <w:lang w:val="en-GB" w:eastAsia="en-US" w:bidi="ar-SA"/>
      </w:rPr>
    </w:lvl>
  </w:abstractNum>
  <w:abstractNum w:abstractNumId="3" w15:restartNumberingAfterBreak="0">
    <w:nsid w:val="0B1A1A1A"/>
    <w:multiLevelType w:val="hybridMultilevel"/>
    <w:tmpl w:val="71040F56"/>
    <w:lvl w:ilvl="0" w:tplc="AAE24EE8">
      <w:start w:val="1"/>
      <w:numFmt w:val="bullet"/>
      <w:lvlText w:val=""/>
      <w:lvlJc w:val="left"/>
      <w:pPr>
        <w:ind w:left="2760" w:hanging="360"/>
      </w:pPr>
      <w:rPr>
        <w:rFonts w:ascii="Wingdings" w:hAnsi="Wingdings" w:hint="default"/>
        <w:color w:val="D2232A"/>
      </w:rPr>
    </w:lvl>
    <w:lvl w:ilvl="1" w:tplc="48F08A10">
      <w:start w:val="1"/>
      <w:numFmt w:val="bullet"/>
      <w:lvlText w:val=""/>
      <w:lvlJc w:val="left"/>
      <w:pPr>
        <w:ind w:left="3480" w:hanging="360"/>
      </w:pPr>
      <w:rPr>
        <w:rFonts w:ascii="Wingdings" w:hAnsi="Wingdings" w:hint="default"/>
        <w:color w:val="D2232A"/>
      </w:rPr>
    </w:lvl>
    <w:lvl w:ilvl="2" w:tplc="08090005">
      <w:start w:val="1"/>
      <w:numFmt w:val="bullet"/>
      <w:lvlText w:val=""/>
      <w:lvlJc w:val="left"/>
      <w:pPr>
        <w:ind w:left="4200" w:hanging="360"/>
      </w:pPr>
      <w:rPr>
        <w:rFonts w:ascii="Wingdings" w:hAnsi="Wingdings" w:hint="default"/>
      </w:rPr>
    </w:lvl>
    <w:lvl w:ilvl="3" w:tplc="08090001">
      <w:start w:val="1"/>
      <w:numFmt w:val="bullet"/>
      <w:lvlText w:val=""/>
      <w:lvlJc w:val="left"/>
      <w:pPr>
        <w:ind w:left="4920" w:hanging="360"/>
      </w:pPr>
      <w:rPr>
        <w:rFonts w:ascii="Symbol" w:hAnsi="Symbol" w:hint="default"/>
      </w:rPr>
    </w:lvl>
    <w:lvl w:ilvl="4" w:tplc="08090003">
      <w:start w:val="1"/>
      <w:numFmt w:val="bullet"/>
      <w:lvlText w:val="o"/>
      <w:lvlJc w:val="left"/>
      <w:pPr>
        <w:ind w:left="5640" w:hanging="360"/>
      </w:pPr>
      <w:rPr>
        <w:rFonts w:ascii="Courier New" w:hAnsi="Courier New" w:cs="Courier New" w:hint="default"/>
      </w:rPr>
    </w:lvl>
    <w:lvl w:ilvl="5" w:tplc="08090005">
      <w:start w:val="1"/>
      <w:numFmt w:val="bullet"/>
      <w:lvlText w:val=""/>
      <w:lvlJc w:val="left"/>
      <w:pPr>
        <w:ind w:left="6360" w:hanging="360"/>
      </w:pPr>
      <w:rPr>
        <w:rFonts w:ascii="Wingdings" w:hAnsi="Wingdings" w:hint="default"/>
      </w:rPr>
    </w:lvl>
    <w:lvl w:ilvl="6" w:tplc="08090001">
      <w:start w:val="1"/>
      <w:numFmt w:val="bullet"/>
      <w:lvlText w:val=""/>
      <w:lvlJc w:val="left"/>
      <w:pPr>
        <w:ind w:left="7080" w:hanging="360"/>
      </w:pPr>
      <w:rPr>
        <w:rFonts w:ascii="Symbol" w:hAnsi="Symbol" w:hint="default"/>
      </w:rPr>
    </w:lvl>
    <w:lvl w:ilvl="7" w:tplc="08090003">
      <w:start w:val="1"/>
      <w:numFmt w:val="bullet"/>
      <w:lvlText w:val="o"/>
      <w:lvlJc w:val="left"/>
      <w:pPr>
        <w:ind w:left="7800" w:hanging="360"/>
      </w:pPr>
      <w:rPr>
        <w:rFonts w:ascii="Courier New" w:hAnsi="Courier New" w:cs="Courier New" w:hint="default"/>
      </w:rPr>
    </w:lvl>
    <w:lvl w:ilvl="8" w:tplc="08090005">
      <w:start w:val="1"/>
      <w:numFmt w:val="bullet"/>
      <w:lvlText w:val=""/>
      <w:lvlJc w:val="left"/>
      <w:pPr>
        <w:ind w:left="8520" w:hanging="360"/>
      </w:pPr>
      <w:rPr>
        <w:rFonts w:ascii="Wingdings" w:hAnsi="Wingdings" w:hint="default"/>
      </w:rPr>
    </w:lvl>
  </w:abstractNum>
  <w:abstractNum w:abstractNumId="4" w15:restartNumberingAfterBreak="0">
    <w:nsid w:val="0D55179F"/>
    <w:multiLevelType w:val="hybridMultilevel"/>
    <w:tmpl w:val="9D4CD92E"/>
    <w:lvl w:ilvl="0" w:tplc="9BA4911E">
      <w:start w:val="2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B4A7C"/>
    <w:multiLevelType w:val="hybridMultilevel"/>
    <w:tmpl w:val="5FD84EC6"/>
    <w:lvl w:ilvl="0" w:tplc="91C4760E">
      <w:start w:val="1"/>
      <w:numFmt w:val="bullet"/>
      <w:pStyle w:val="ECCBulletsLv1"/>
      <w:lvlText w:val=""/>
      <w:lvlJc w:val="left"/>
      <w:pPr>
        <w:ind w:left="360" w:hanging="360"/>
      </w:pPr>
      <w:rPr>
        <w:rFonts w:ascii="Wingdings" w:hAnsi="Wingdings" w:hint="default"/>
        <w:color w:val="D2232A"/>
      </w:rPr>
    </w:lvl>
    <w:lvl w:ilvl="1" w:tplc="61B83010">
      <w:start w:val="1"/>
      <w:numFmt w:val="bullet"/>
      <w:lvlText w:val=""/>
      <w:lvlJc w:val="left"/>
      <w:pPr>
        <w:ind w:left="1440" w:hanging="360"/>
      </w:pPr>
      <w:rPr>
        <w:rFonts w:ascii="Wingdings" w:hAnsi="Wingdings" w:hint="default"/>
        <w:color w:val="D2232A"/>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F03CF2"/>
    <w:multiLevelType w:val="hybridMultilevel"/>
    <w:tmpl w:val="7FC2B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8" w15:restartNumberingAfterBreak="0">
    <w:nsid w:val="17F00679"/>
    <w:multiLevelType w:val="hybridMultilevel"/>
    <w:tmpl w:val="204ED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F9D7EA3"/>
    <w:multiLevelType w:val="hybridMultilevel"/>
    <w:tmpl w:val="0774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06667"/>
    <w:multiLevelType w:val="hybridMultilevel"/>
    <w:tmpl w:val="9B3A6F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E1494F"/>
    <w:multiLevelType w:val="hybridMultilevel"/>
    <w:tmpl w:val="4E6E46A0"/>
    <w:lvl w:ilvl="0" w:tplc="8C808F16">
      <w:start w:val="1"/>
      <w:numFmt w:val="upperLetter"/>
      <w:lvlText w:val="%1."/>
      <w:lvlJc w:val="left"/>
      <w:pPr>
        <w:tabs>
          <w:tab w:val="num" w:pos="340"/>
        </w:tabs>
        <w:ind w:left="340" w:hanging="340"/>
      </w:pPr>
      <w:rPr>
        <w:rFonts w:hint="default"/>
        <w:b w:val="0"/>
        <w:i w:val="0"/>
        <w:color w:val="D2232A"/>
        <w:sz w:val="20"/>
      </w:rPr>
    </w:lvl>
    <w:lvl w:ilvl="1" w:tplc="C1962734">
      <w:start w:val="1"/>
      <w:numFmt w:val="lowerLetter"/>
      <w:lvlText w:val="%2)"/>
      <w:lvlJc w:val="left"/>
      <w:pPr>
        <w:tabs>
          <w:tab w:val="num" w:pos="680"/>
        </w:tabs>
        <w:ind w:left="680" w:hanging="340"/>
      </w:pPr>
      <w:rPr>
        <w:rFonts w:ascii="Arial" w:hAnsi="Arial" w:hint="default"/>
        <w:b w:val="0"/>
        <w:i w:val="0"/>
        <w:color w:val="D2232A"/>
        <w:sz w:val="20"/>
      </w:rPr>
    </w:lvl>
    <w:lvl w:ilvl="2" w:tplc="82707C0E">
      <w:start w:val="1"/>
      <w:numFmt w:val="bullet"/>
      <w:lvlText w:val=""/>
      <w:lvlJc w:val="left"/>
      <w:pPr>
        <w:tabs>
          <w:tab w:val="num" w:pos="1021"/>
        </w:tabs>
        <w:ind w:left="1021" w:hanging="341"/>
      </w:pPr>
      <w:rPr>
        <w:rFonts w:ascii="Wingdings" w:hAnsi="Wingdings" w:hint="default"/>
        <w:color w:val="D2232A"/>
      </w:rPr>
    </w:lvl>
    <w:lvl w:ilvl="3" w:tplc="CB4CC3D0">
      <w:start w:val="1"/>
      <w:numFmt w:val="none"/>
      <w:lvlText w:val=""/>
      <w:lvlJc w:val="left"/>
      <w:pPr>
        <w:tabs>
          <w:tab w:val="num" w:pos="1077"/>
        </w:tabs>
        <w:ind w:left="1728" w:hanging="648"/>
      </w:pPr>
      <w:rPr>
        <w:rFonts w:hint="default"/>
      </w:rPr>
    </w:lvl>
    <w:lvl w:ilvl="4" w:tplc="A5A6703A">
      <w:start w:val="1"/>
      <w:numFmt w:val="none"/>
      <w:lvlText w:val=""/>
      <w:lvlJc w:val="left"/>
      <w:pPr>
        <w:ind w:left="2232" w:hanging="792"/>
      </w:pPr>
      <w:rPr>
        <w:rFonts w:hint="default"/>
      </w:rPr>
    </w:lvl>
    <w:lvl w:ilvl="5" w:tplc="C6BE0F52">
      <w:start w:val="1"/>
      <w:numFmt w:val="none"/>
      <w:lvlText w:val=""/>
      <w:lvlJc w:val="left"/>
      <w:pPr>
        <w:ind w:left="2736" w:hanging="936"/>
      </w:pPr>
      <w:rPr>
        <w:rFonts w:hint="default"/>
      </w:rPr>
    </w:lvl>
    <w:lvl w:ilvl="6" w:tplc="02E20816">
      <w:start w:val="1"/>
      <w:numFmt w:val="none"/>
      <w:lvlText w:val=""/>
      <w:lvlJc w:val="left"/>
      <w:pPr>
        <w:ind w:left="3240" w:hanging="1080"/>
      </w:pPr>
      <w:rPr>
        <w:rFonts w:hint="default"/>
      </w:rPr>
    </w:lvl>
    <w:lvl w:ilvl="7" w:tplc="9FAAA374">
      <w:start w:val="1"/>
      <w:numFmt w:val="none"/>
      <w:lvlText w:val=""/>
      <w:lvlJc w:val="left"/>
      <w:pPr>
        <w:ind w:left="3744" w:hanging="1224"/>
      </w:pPr>
      <w:rPr>
        <w:rFonts w:hint="default"/>
      </w:rPr>
    </w:lvl>
    <w:lvl w:ilvl="8" w:tplc="023C29F2">
      <w:start w:val="1"/>
      <w:numFmt w:val="none"/>
      <w:lvlText w:val=""/>
      <w:lvlJc w:val="left"/>
      <w:pPr>
        <w:ind w:left="4320" w:hanging="1440"/>
      </w:pPr>
      <w:rPr>
        <w:rFonts w:hint="default"/>
      </w:rPr>
    </w:lvl>
  </w:abstractNum>
  <w:abstractNum w:abstractNumId="14" w15:restartNumberingAfterBreak="0">
    <w:nsid w:val="24FE5379"/>
    <w:multiLevelType w:val="hybridMultilevel"/>
    <w:tmpl w:val="1EA64798"/>
    <w:lvl w:ilvl="0" w:tplc="040C0001">
      <w:start w:val="1"/>
      <w:numFmt w:val="bullet"/>
      <w:lvlText w:val=""/>
      <w:lvlJc w:val="left"/>
      <w:pPr>
        <w:ind w:left="778" w:hanging="360"/>
      </w:pPr>
      <w:rPr>
        <w:rFonts w:ascii="Symbol" w:hAnsi="Symbol" w:hint="default"/>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5" w15:restartNumberingAfterBreak="0">
    <w:nsid w:val="25A7273F"/>
    <w:multiLevelType w:val="hybridMultilevel"/>
    <w:tmpl w:val="8A6CD256"/>
    <w:lvl w:ilvl="0" w:tplc="4A400CAC">
      <w:numFmt w:val="bullet"/>
      <w:lvlText w:val="-"/>
      <w:lvlJc w:val="left"/>
      <w:pPr>
        <w:ind w:left="720" w:hanging="360"/>
      </w:pPr>
      <w:rPr>
        <w:rFonts w:ascii="Times New Roman" w:eastAsia="Times New Roman" w:hAnsi="Times New Roman"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2440E2"/>
    <w:multiLevelType w:val="hybridMultilevel"/>
    <w:tmpl w:val="0122C030"/>
    <w:styleLink w:val="ECCNumbers-Letters"/>
    <w:lvl w:ilvl="0" w:tplc="F4AAD39E">
      <w:start w:val="1"/>
      <w:numFmt w:val="decimal"/>
      <w:pStyle w:val="ECCNumbered-LetteredList"/>
      <w:lvlText w:val="%1."/>
      <w:lvlJc w:val="left"/>
      <w:pPr>
        <w:tabs>
          <w:tab w:val="num" w:pos="680"/>
        </w:tabs>
        <w:ind w:left="680" w:hanging="340"/>
      </w:pPr>
      <w:rPr>
        <w:rFonts w:ascii="Arial" w:hAnsi="Arial" w:hint="default"/>
        <w:b w:val="0"/>
        <w:i w:val="0"/>
        <w:color w:val="D2232A"/>
        <w:sz w:val="20"/>
      </w:rPr>
    </w:lvl>
    <w:lvl w:ilvl="1" w:tplc="E4D0BC46">
      <w:start w:val="1"/>
      <w:numFmt w:val="lowerLetter"/>
      <w:lvlText w:val="%2)"/>
      <w:lvlJc w:val="left"/>
      <w:pPr>
        <w:tabs>
          <w:tab w:val="num" w:pos="1020"/>
        </w:tabs>
        <w:ind w:left="1020" w:hanging="340"/>
      </w:pPr>
      <w:rPr>
        <w:rFonts w:ascii="Arial" w:hAnsi="Arial" w:hint="default"/>
        <w:b w:val="0"/>
        <w:i w:val="0"/>
        <w:color w:val="D2232A"/>
        <w:sz w:val="20"/>
      </w:rPr>
    </w:lvl>
    <w:lvl w:ilvl="2" w:tplc="78A603E8">
      <w:start w:val="1"/>
      <w:numFmt w:val="bullet"/>
      <w:lvlText w:val=""/>
      <w:lvlJc w:val="left"/>
      <w:pPr>
        <w:tabs>
          <w:tab w:val="num" w:pos="1361"/>
        </w:tabs>
        <w:ind w:left="1361" w:hanging="341"/>
      </w:pPr>
      <w:rPr>
        <w:rFonts w:ascii="Wingdings" w:hAnsi="Wingdings" w:hint="default"/>
        <w:color w:val="D2232A"/>
      </w:rPr>
    </w:lvl>
    <w:lvl w:ilvl="3" w:tplc="3E30356E">
      <w:start w:val="1"/>
      <w:numFmt w:val="none"/>
      <w:lvlText w:val=""/>
      <w:lvlJc w:val="left"/>
      <w:pPr>
        <w:tabs>
          <w:tab w:val="num" w:pos="1417"/>
        </w:tabs>
        <w:ind w:left="2068" w:hanging="648"/>
      </w:pPr>
      <w:rPr>
        <w:rFonts w:hint="default"/>
      </w:rPr>
    </w:lvl>
    <w:lvl w:ilvl="4" w:tplc="4C3E401E">
      <w:start w:val="1"/>
      <w:numFmt w:val="none"/>
      <w:lvlText w:val=""/>
      <w:lvlJc w:val="left"/>
      <w:pPr>
        <w:ind w:left="2572" w:hanging="792"/>
      </w:pPr>
      <w:rPr>
        <w:rFonts w:hint="default"/>
      </w:rPr>
    </w:lvl>
    <w:lvl w:ilvl="5" w:tplc="2AECF896">
      <w:start w:val="1"/>
      <w:numFmt w:val="none"/>
      <w:lvlText w:val=""/>
      <w:lvlJc w:val="left"/>
      <w:pPr>
        <w:ind w:left="3076" w:hanging="936"/>
      </w:pPr>
      <w:rPr>
        <w:rFonts w:hint="default"/>
      </w:rPr>
    </w:lvl>
    <w:lvl w:ilvl="6" w:tplc="594E9226">
      <w:start w:val="1"/>
      <w:numFmt w:val="none"/>
      <w:lvlText w:val=""/>
      <w:lvlJc w:val="left"/>
      <w:pPr>
        <w:ind w:left="3580" w:hanging="1080"/>
      </w:pPr>
      <w:rPr>
        <w:rFonts w:hint="default"/>
      </w:rPr>
    </w:lvl>
    <w:lvl w:ilvl="7" w:tplc="25CEDC1C">
      <w:start w:val="1"/>
      <w:numFmt w:val="none"/>
      <w:lvlText w:val=""/>
      <w:lvlJc w:val="left"/>
      <w:pPr>
        <w:ind w:left="4084" w:hanging="1224"/>
      </w:pPr>
      <w:rPr>
        <w:rFonts w:hint="default"/>
      </w:rPr>
    </w:lvl>
    <w:lvl w:ilvl="8" w:tplc="A1F014B8">
      <w:start w:val="1"/>
      <w:numFmt w:val="none"/>
      <w:lvlText w:val=""/>
      <w:lvlJc w:val="left"/>
      <w:pPr>
        <w:ind w:left="4660" w:hanging="1440"/>
      </w:pPr>
      <w:rPr>
        <w:rFonts w:hint="default"/>
      </w:rPr>
    </w:lvl>
  </w:abstractNum>
  <w:abstractNum w:abstractNumId="17" w15:restartNumberingAfterBreak="0">
    <w:nsid w:val="28A618D9"/>
    <w:multiLevelType w:val="hybridMultilevel"/>
    <w:tmpl w:val="54AE183E"/>
    <w:lvl w:ilvl="0" w:tplc="59C8C4A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8" w15:restartNumberingAfterBreak="0">
    <w:nsid w:val="2A0A7C33"/>
    <w:multiLevelType w:val="hybridMultilevel"/>
    <w:tmpl w:val="97F29FE4"/>
    <w:lvl w:ilvl="0" w:tplc="67DAA430">
      <w:start w:val="1"/>
      <w:numFmt w:val="decimal"/>
      <w:pStyle w:val="ECCEditorsNote"/>
      <w:lvlText w:val="Editor's Note %1:"/>
      <w:lvlJc w:val="left"/>
      <w:pPr>
        <w:tabs>
          <w:tab w:val="num" w:pos="2639"/>
        </w:tabs>
        <w:ind w:left="2639" w:hanging="1559"/>
      </w:pPr>
      <w:rPr>
        <w:rFonts w:hint="default"/>
        <w:caps w:val="0"/>
        <w:strike w:val="0"/>
        <w:dstrike w:val="0"/>
        <w:vanish w:val="0"/>
        <w:color w:val="auto"/>
        <w:u w:color="FFFF00"/>
        <w:vertAlign w:val="baseline"/>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410574"/>
    <w:multiLevelType w:val="hybridMultilevel"/>
    <w:tmpl w:val="BACA7078"/>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0" w15:restartNumberingAfterBreak="0">
    <w:nsid w:val="2DF673A5"/>
    <w:multiLevelType w:val="hybridMultilevel"/>
    <w:tmpl w:val="D8DC1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36E47"/>
    <w:multiLevelType w:val="hybridMultilevel"/>
    <w:tmpl w:val="B9603398"/>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2" w15:restartNumberingAfterBreak="0">
    <w:nsid w:val="331D2CAF"/>
    <w:multiLevelType w:val="hybridMultilevel"/>
    <w:tmpl w:val="67C69F3A"/>
    <w:lvl w:ilvl="0" w:tplc="228EF6E0">
      <w:start w:val="1"/>
      <w:numFmt w:val="decimal"/>
      <w:pStyle w:val="ECCNumberedList"/>
      <w:lvlText w:val="%1"/>
      <w:lvlJc w:val="left"/>
      <w:pPr>
        <w:ind w:left="360" w:hanging="360"/>
      </w:pPr>
      <w:rPr>
        <w:rFonts w:hint="default"/>
        <w:b w:val="0"/>
        <w:i w:val="0"/>
        <w:color w:val="D2232A"/>
        <w:sz w:val="20"/>
      </w:rPr>
    </w:lvl>
    <w:lvl w:ilvl="1" w:tplc="781C665A">
      <w:start w:val="1"/>
      <w:numFmt w:val="bullet"/>
      <w:lvlText w:val=""/>
      <w:lvlJc w:val="left"/>
      <w:pPr>
        <w:tabs>
          <w:tab w:val="num" w:pos="680"/>
        </w:tabs>
        <w:ind w:left="680" w:hanging="340"/>
      </w:pPr>
      <w:rPr>
        <w:rFonts w:ascii="Wingdings" w:hAnsi="Wingdings" w:hint="default"/>
        <w:color w:val="D2232A"/>
      </w:rPr>
    </w:lvl>
    <w:lvl w:ilvl="2" w:tplc="012A1C80">
      <w:start w:val="1"/>
      <w:numFmt w:val="bullet"/>
      <w:lvlText w:val=""/>
      <w:lvlJc w:val="left"/>
      <w:pPr>
        <w:tabs>
          <w:tab w:val="num" w:pos="1021"/>
        </w:tabs>
        <w:ind w:left="1021" w:hanging="341"/>
      </w:pPr>
      <w:rPr>
        <w:rFonts w:ascii="Wingdings" w:hAnsi="Wingdings" w:hint="default"/>
        <w:color w:val="D2232A"/>
      </w:rPr>
    </w:lvl>
    <w:lvl w:ilvl="3" w:tplc="D2EA1B88">
      <w:start w:val="1"/>
      <w:numFmt w:val="decimal"/>
      <w:lvlText w:val="(%4)"/>
      <w:lvlJc w:val="left"/>
      <w:pPr>
        <w:ind w:left="1043" w:hanging="360"/>
      </w:pPr>
      <w:rPr>
        <w:rFonts w:hint="default"/>
      </w:rPr>
    </w:lvl>
    <w:lvl w:ilvl="4" w:tplc="73983340">
      <w:start w:val="1"/>
      <w:numFmt w:val="lowerLetter"/>
      <w:lvlText w:val="(%5)"/>
      <w:lvlJc w:val="left"/>
      <w:pPr>
        <w:ind w:left="1403" w:hanging="360"/>
      </w:pPr>
      <w:rPr>
        <w:rFonts w:hint="default"/>
      </w:rPr>
    </w:lvl>
    <w:lvl w:ilvl="5" w:tplc="B06CBF84">
      <w:start w:val="1"/>
      <w:numFmt w:val="lowerRoman"/>
      <w:lvlText w:val="(%6)"/>
      <w:lvlJc w:val="left"/>
      <w:pPr>
        <w:ind w:left="1763" w:hanging="360"/>
      </w:pPr>
      <w:rPr>
        <w:rFonts w:hint="default"/>
      </w:rPr>
    </w:lvl>
    <w:lvl w:ilvl="6" w:tplc="C0842E4A">
      <w:start w:val="1"/>
      <w:numFmt w:val="decimal"/>
      <w:lvlText w:val="%7."/>
      <w:lvlJc w:val="left"/>
      <w:pPr>
        <w:ind w:left="2123" w:hanging="360"/>
      </w:pPr>
      <w:rPr>
        <w:rFonts w:hint="default"/>
      </w:rPr>
    </w:lvl>
    <w:lvl w:ilvl="7" w:tplc="3E8A86F4">
      <w:start w:val="1"/>
      <w:numFmt w:val="lowerLetter"/>
      <w:lvlText w:val="%8."/>
      <w:lvlJc w:val="left"/>
      <w:pPr>
        <w:ind w:left="2483" w:hanging="360"/>
      </w:pPr>
      <w:rPr>
        <w:rFonts w:hint="default"/>
      </w:rPr>
    </w:lvl>
    <w:lvl w:ilvl="8" w:tplc="C78CEE5C">
      <w:start w:val="1"/>
      <w:numFmt w:val="lowerRoman"/>
      <w:lvlText w:val="%9."/>
      <w:lvlJc w:val="left"/>
      <w:pPr>
        <w:ind w:left="2843" w:hanging="360"/>
      </w:pPr>
      <w:rPr>
        <w:rFonts w:hint="default"/>
      </w:rPr>
    </w:lvl>
  </w:abstractNum>
  <w:abstractNum w:abstractNumId="23" w15:restartNumberingAfterBreak="0">
    <w:nsid w:val="34321D14"/>
    <w:multiLevelType w:val="hybridMultilevel"/>
    <w:tmpl w:val="630C4876"/>
    <w:lvl w:ilvl="0" w:tplc="5AE22D6C">
      <w:start w:val="1"/>
      <w:numFmt w:val="decimal"/>
      <w:lvlText w:val="%1."/>
      <w:lvlJc w:val="left"/>
      <w:pPr>
        <w:ind w:left="708" w:hanging="481"/>
      </w:pPr>
      <w:rPr>
        <w:rFonts w:ascii="Times New Roman" w:eastAsia="Times New Roman" w:hAnsi="Times New Roman" w:cs="Times New Roman" w:hint="default"/>
        <w:b/>
        <w:bCs/>
        <w:w w:val="100"/>
        <w:sz w:val="24"/>
        <w:szCs w:val="24"/>
        <w:lang w:val="en-GB" w:eastAsia="en-US" w:bidi="ar-SA"/>
      </w:rPr>
    </w:lvl>
    <w:lvl w:ilvl="1" w:tplc="D67626EA">
      <w:numFmt w:val="bullet"/>
      <w:lvlText w:val=""/>
      <w:lvlJc w:val="left"/>
      <w:pPr>
        <w:ind w:left="948" w:hanging="360"/>
      </w:pPr>
      <w:rPr>
        <w:rFonts w:ascii="Symbol" w:eastAsia="Symbol" w:hAnsi="Symbol" w:cs="Symbol" w:hint="default"/>
        <w:w w:val="100"/>
        <w:sz w:val="24"/>
        <w:szCs w:val="24"/>
        <w:lang w:val="en-GB" w:eastAsia="en-US" w:bidi="ar-SA"/>
      </w:rPr>
    </w:lvl>
    <w:lvl w:ilvl="2" w:tplc="59DA819E">
      <w:numFmt w:val="bullet"/>
      <w:lvlText w:val="•"/>
      <w:lvlJc w:val="left"/>
      <w:pPr>
        <w:ind w:left="1949" w:hanging="360"/>
      </w:pPr>
      <w:rPr>
        <w:rFonts w:hint="default"/>
        <w:lang w:val="en-GB" w:eastAsia="en-US" w:bidi="ar-SA"/>
      </w:rPr>
    </w:lvl>
    <w:lvl w:ilvl="3" w:tplc="F1421F88">
      <w:numFmt w:val="bullet"/>
      <w:lvlText w:val="•"/>
      <w:lvlJc w:val="left"/>
      <w:pPr>
        <w:ind w:left="2959" w:hanging="360"/>
      </w:pPr>
      <w:rPr>
        <w:rFonts w:hint="default"/>
        <w:lang w:val="en-GB" w:eastAsia="en-US" w:bidi="ar-SA"/>
      </w:rPr>
    </w:lvl>
    <w:lvl w:ilvl="4" w:tplc="FE48BC3A">
      <w:numFmt w:val="bullet"/>
      <w:lvlText w:val="•"/>
      <w:lvlJc w:val="left"/>
      <w:pPr>
        <w:ind w:left="3968" w:hanging="360"/>
      </w:pPr>
      <w:rPr>
        <w:rFonts w:hint="default"/>
        <w:lang w:val="en-GB" w:eastAsia="en-US" w:bidi="ar-SA"/>
      </w:rPr>
    </w:lvl>
    <w:lvl w:ilvl="5" w:tplc="AFF2523C">
      <w:numFmt w:val="bullet"/>
      <w:lvlText w:val="•"/>
      <w:lvlJc w:val="left"/>
      <w:pPr>
        <w:ind w:left="4978" w:hanging="360"/>
      </w:pPr>
      <w:rPr>
        <w:rFonts w:hint="default"/>
        <w:lang w:val="en-GB" w:eastAsia="en-US" w:bidi="ar-SA"/>
      </w:rPr>
    </w:lvl>
    <w:lvl w:ilvl="6" w:tplc="326A54DC">
      <w:numFmt w:val="bullet"/>
      <w:lvlText w:val="•"/>
      <w:lvlJc w:val="left"/>
      <w:pPr>
        <w:ind w:left="5988" w:hanging="360"/>
      </w:pPr>
      <w:rPr>
        <w:rFonts w:hint="default"/>
        <w:lang w:val="en-GB" w:eastAsia="en-US" w:bidi="ar-SA"/>
      </w:rPr>
    </w:lvl>
    <w:lvl w:ilvl="7" w:tplc="16A87812">
      <w:numFmt w:val="bullet"/>
      <w:lvlText w:val="•"/>
      <w:lvlJc w:val="left"/>
      <w:pPr>
        <w:ind w:left="6997" w:hanging="360"/>
      </w:pPr>
      <w:rPr>
        <w:rFonts w:hint="default"/>
        <w:lang w:val="en-GB" w:eastAsia="en-US" w:bidi="ar-SA"/>
      </w:rPr>
    </w:lvl>
    <w:lvl w:ilvl="8" w:tplc="AAEC907A">
      <w:numFmt w:val="bullet"/>
      <w:lvlText w:val="•"/>
      <w:lvlJc w:val="left"/>
      <w:pPr>
        <w:ind w:left="8007" w:hanging="360"/>
      </w:pPr>
      <w:rPr>
        <w:rFonts w:hint="default"/>
        <w:lang w:val="en-GB" w:eastAsia="en-US" w:bidi="ar-SA"/>
      </w:rPr>
    </w:lvl>
  </w:abstractNum>
  <w:abstractNum w:abstractNumId="24" w15:restartNumberingAfterBreak="0">
    <w:nsid w:val="35C34798"/>
    <w:multiLevelType w:val="hybridMultilevel"/>
    <w:tmpl w:val="9E327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75450B"/>
    <w:multiLevelType w:val="hybridMultilevel"/>
    <w:tmpl w:val="DF2E6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A9798A"/>
    <w:multiLevelType w:val="hybridMultilevel"/>
    <w:tmpl w:val="F12E08A8"/>
    <w:lvl w:ilvl="0" w:tplc="0809000F">
      <w:start w:val="1"/>
      <w:numFmt w:val="decimal"/>
      <w:lvlText w:val="%1."/>
      <w:lvlJc w:val="left"/>
      <w:pPr>
        <w:ind w:left="720" w:hanging="360"/>
      </w:pPr>
    </w:lvl>
    <w:lvl w:ilvl="1" w:tplc="8CE22B46">
      <w:start w:val="66"/>
      <w:numFmt w:val="bullet"/>
      <w:lvlText w:val=""/>
      <w:lvlJc w:val="left"/>
      <w:pPr>
        <w:ind w:left="1440" w:hanging="360"/>
      </w:pPr>
      <w:rPr>
        <w:rFonts w:ascii="Wingdings" w:eastAsia="Calibri" w:hAnsi="Wingdings"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8CA601C"/>
    <w:multiLevelType w:val="hybridMultilevel"/>
    <w:tmpl w:val="ACE2C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163F7A"/>
    <w:multiLevelType w:val="multilevel"/>
    <w:tmpl w:val="0F0E12F2"/>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4644"/>
        </w:tabs>
        <w:ind w:left="464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ascii="Arial Bold" w:hAnsi="Arial Bold" w:hint="default"/>
        <w:sz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D256B7D"/>
    <w:multiLevelType w:val="hybridMultilevel"/>
    <w:tmpl w:val="73A2B310"/>
    <w:styleLink w:val="ECCNumbers-Bullets"/>
    <w:lvl w:ilvl="0" w:tplc="B2AC089A">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tplc="52481140">
      <w:start w:val="1"/>
      <w:numFmt w:val="bullet"/>
      <w:lvlText w:val=""/>
      <w:lvlJc w:val="left"/>
      <w:pPr>
        <w:tabs>
          <w:tab w:val="num" w:pos="680"/>
        </w:tabs>
        <w:ind w:left="680" w:hanging="340"/>
      </w:pPr>
      <w:rPr>
        <w:rFonts w:ascii="Wingdings" w:hAnsi="Wingdings" w:hint="default"/>
        <w:color w:val="D2232A"/>
      </w:rPr>
    </w:lvl>
    <w:lvl w:ilvl="2" w:tplc="4B9AC5B2">
      <w:start w:val="1"/>
      <w:numFmt w:val="bullet"/>
      <w:lvlText w:val=""/>
      <w:lvlJc w:val="left"/>
      <w:pPr>
        <w:tabs>
          <w:tab w:val="num" w:pos="1021"/>
        </w:tabs>
        <w:ind w:left="1021" w:hanging="341"/>
      </w:pPr>
      <w:rPr>
        <w:rFonts w:ascii="Wingdings" w:hAnsi="Wingdings" w:hint="default"/>
        <w:color w:val="D2232A"/>
      </w:rPr>
    </w:lvl>
    <w:lvl w:ilvl="3" w:tplc="CBC4CF8C">
      <w:start w:val="1"/>
      <w:numFmt w:val="decimal"/>
      <w:lvlText w:val="(%4)"/>
      <w:lvlJc w:val="left"/>
      <w:pPr>
        <w:ind w:left="1043" w:hanging="360"/>
      </w:pPr>
      <w:rPr>
        <w:rFonts w:hint="default"/>
      </w:rPr>
    </w:lvl>
    <w:lvl w:ilvl="4" w:tplc="C240BD88">
      <w:start w:val="1"/>
      <w:numFmt w:val="lowerLetter"/>
      <w:lvlText w:val="(%5)"/>
      <w:lvlJc w:val="left"/>
      <w:pPr>
        <w:ind w:left="1403" w:hanging="360"/>
      </w:pPr>
      <w:rPr>
        <w:rFonts w:hint="default"/>
      </w:rPr>
    </w:lvl>
    <w:lvl w:ilvl="5" w:tplc="C060A42C">
      <w:start w:val="1"/>
      <w:numFmt w:val="lowerRoman"/>
      <w:lvlText w:val="(%6)"/>
      <w:lvlJc w:val="left"/>
      <w:pPr>
        <w:ind w:left="1763" w:hanging="360"/>
      </w:pPr>
      <w:rPr>
        <w:rFonts w:hint="default"/>
      </w:rPr>
    </w:lvl>
    <w:lvl w:ilvl="6" w:tplc="B316E5F8">
      <w:start w:val="1"/>
      <w:numFmt w:val="decimal"/>
      <w:lvlText w:val="%7."/>
      <w:lvlJc w:val="left"/>
      <w:pPr>
        <w:ind w:left="2123" w:hanging="360"/>
      </w:pPr>
      <w:rPr>
        <w:rFonts w:hint="default"/>
      </w:rPr>
    </w:lvl>
    <w:lvl w:ilvl="7" w:tplc="10169EE2">
      <w:start w:val="1"/>
      <w:numFmt w:val="lowerLetter"/>
      <w:lvlText w:val="%8."/>
      <w:lvlJc w:val="left"/>
      <w:pPr>
        <w:ind w:left="2483" w:hanging="360"/>
      </w:pPr>
      <w:rPr>
        <w:rFonts w:hint="default"/>
      </w:rPr>
    </w:lvl>
    <w:lvl w:ilvl="8" w:tplc="DB9C7B34">
      <w:start w:val="1"/>
      <w:numFmt w:val="lowerRoman"/>
      <w:lvlText w:val="%9."/>
      <w:lvlJc w:val="left"/>
      <w:pPr>
        <w:ind w:left="2843" w:hanging="360"/>
      </w:pPr>
      <w:rPr>
        <w:rFonts w:hint="default"/>
      </w:rPr>
    </w:lvl>
  </w:abstractNum>
  <w:abstractNum w:abstractNumId="30" w15:restartNumberingAfterBreak="0">
    <w:nsid w:val="428415E7"/>
    <w:multiLevelType w:val="hybridMultilevel"/>
    <w:tmpl w:val="92100ADA"/>
    <w:lvl w:ilvl="0" w:tplc="04E04A6C">
      <w:start w:val="1"/>
      <w:numFmt w:val="decimal"/>
      <w:lvlText w:val="(%1)"/>
      <w:lvlJc w:val="left"/>
      <w:pPr>
        <w:tabs>
          <w:tab w:val="num" w:pos="709"/>
        </w:tabs>
        <w:ind w:left="709" w:hanging="709"/>
      </w:pPr>
    </w:lvl>
    <w:lvl w:ilvl="1" w:tplc="9AC29CF0">
      <w:start w:val="1"/>
      <w:numFmt w:val="lowerLetter"/>
      <w:pStyle w:val="ListNumberLevel2"/>
      <w:lvlText w:val="(%2)"/>
      <w:lvlJc w:val="left"/>
      <w:pPr>
        <w:tabs>
          <w:tab w:val="num" w:pos="1417"/>
        </w:tabs>
        <w:ind w:left="1417" w:hanging="708"/>
      </w:pPr>
    </w:lvl>
    <w:lvl w:ilvl="2" w:tplc="17963FCA">
      <w:start w:val="1"/>
      <w:numFmt w:val="bullet"/>
      <w:pStyle w:val="ListNumberLevel3"/>
      <w:lvlText w:val="–"/>
      <w:lvlJc w:val="left"/>
      <w:pPr>
        <w:tabs>
          <w:tab w:val="num" w:pos="2126"/>
        </w:tabs>
        <w:ind w:left="2126" w:hanging="709"/>
      </w:pPr>
      <w:rPr>
        <w:rFonts w:ascii="Times New Roman" w:hAnsi="Times New Roman"/>
      </w:rPr>
    </w:lvl>
    <w:lvl w:ilvl="3" w:tplc="9640BD2A">
      <w:start w:val="1"/>
      <w:numFmt w:val="bullet"/>
      <w:pStyle w:val="ListNumberLevel4"/>
      <w:lvlText w:val=""/>
      <w:lvlJc w:val="left"/>
      <w:pPr>
        <w:tabs>
          <w:tab w:val="num" w:pos="2835"/>
        </w:tabs>
        <w:ind w:left="2835" w:hanging="709"/>
      </w:pPr>
      <w:rPr>
        <w:rFonts w:ascii="Symbol" w:hAnsi="Symbol"/>
      </w:rPr>
    </w:lvl>
    <w:lvl w:ilvl="4" w:tplc="78D61D0A">
      <w:start w:val="1"/>
      <w:numFmt w:val="lowerLetter"/>
      <w:lvlText w:val="(%5)"/>
      <w:lvlJc w:val="left"/>
      <w:pPr>
        <w:tabs>
          <w:tab w:val="num" w:pos="1800"/>
        </w:tabs>
        <w:ind w:left="1800" w:hanging="360"/>
      </w:pPr>
    </w:lvl>
    <w:lvl w:ilvl="5" w:tplc="64300C02">
      <w:start w:val="1"/>
      <w:numFmt w:val="lowerRoman"/>
      <w:lvlText w:val="(%6)"/>
      <w:lvlJc w:val="left"/>
      <w:pPr>
        <w:tabs>
          <w:tab w:val="num" w:pos="2160"/>
        </w:tabs>
        <w:ind w:left="2160" w:hanging="360"/>
      </w:pPr>
    </w:lvl>
    <w:lvl w:ilvl="6" w:tplc="2C02C1F0">
      <w:start w:val="1"/>
      <w:numFmt w:val="decimal"/>
      <w:lvlText w:val="%7."/>
      <w:lvlJc w:val="left"/>
      <w:pPr>
        <w:tabs>
          <w:tab w:val="num" w:pos="2520"/>
        </w:tabs>
        <w:ind w:left="2520" w:hanging="360"/>
      </w:pPr>
    </w:lvl>
    <w:lvl w:ilvl="7" w:tplc="B36A8EB4">
      <w:start w:val="1"/>
      <w:numFmt w:val="lowerLetter"/>
      <w:lvlText w:val="%8."/>
      <w:lvlJc w:val="left"/>
      <w:pPr>
        <w:tabs>
          <w:tab w:val="num" w:pos="2880"/>
        </w:tabs>
        <w:ind w:left="2880" w:hanging="360"/>
      </w:pPr>
    </w:lvl>
    <w:lvl w:ilvl="8" w:tplc="250E117C">
      <w:start w:val="1"/>
      <w:numFmt w:val="lowerRoman"/>
      <w:lvlText w:val="%9."/>
      <w:lvlJc w:val="left"/>
      <w:pPr>
        <w:tabs>
          <w:tab w:val="num" w:pos="3240"/>
        </w:tabs>
        <w:ind w:left="3240" w:hanging="360"/>
      </w:pPr>
    </w:lvl>
  </w:abstractNum>
  <w:abstractNum w:abstractNumId="31" w15:restartNumberingAfterBreak="0">
    <w:nsid w:val="46E6242A"/>
    <w:multiLevelType w:val="hybridMultilevel"/>
    <w:tmpl w:val="BA721A08"/>
    <w:lvl w:ilvl="0" w:tplc="EFBC925C">
      <w:start w:val="1"/>
      <w:numFmt w:val="decimal"/>
      <w:pStyle w:val="reference"/>
      <w:lvlText w:val="[%1]"/>
      <w:lvlJc w:val="left"/>
      <w:pPr>
        <w:tabs>
          <w:tab w:val="num" w:pos="965"/>
        </w:tabs>
        <w:ind w:left="965" w:hanging="397"/>
      </w:pPr>
      <w:rPr>
        <w:b w:val="0"/>
        <w:bCs w:val="0"/>
        <w:i w:val="0"/>
        <w:iCs w:val="0"/>
        <w:caps w:val="0"/>
        <w:smallCaps w:val="0"/>
        <w:strike w:val="0"/>
        <w:dstrike w:val="0"/>
        <w:outline w:val="0"/>
        <w:shadow w:val="0"/>
        <w:emboss w:val="0"/>
        <w:imprint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9B11C1"/>
    <w:multiLevelType w:val="hybridMultilevel"/>
    <w:tmpl w:val="CF28CB36"/>
    <w:lvl w:ilvl="0" w:tplc="40FE9FE4">
      <w:start w:val="1"/>
      <w:numFmt w:val="decimal"/>
      <w:pStyle w:val="ECCFiguretitle"/>
      <w:suff w:val="space"/>
      <w:lvlText w:val="Figure %1:"/>
      <w:lvlJc w:val="left"/>
      <w:pPr>
        <w:ind w:left="360" w:hanging="360"/>
      </w:pPr>
      <w:rPr>
        <w:rFonts w:ascii="Arial" w:hAnsi="Arial" w:hint="default"/>
        <w:b/>
        <w:i w:val="0"/>
        <w:color w:val="D2232A"/>
        <w:sz w:val="20"/>
      </w:rPr>
    </w:lvl>
    <w:lvl w:ilvl="1" w:tplc="739E11A4">
      <w:start w:val="1"/>
      <w:numFmt w:val="lowerLetter"/>
      <w:lvlText w:val="%2)"/>
      <w:lvlJc w:val="left"/>
      <w:pPr>
        <w:tabs>
          <w:tab w:val="num" w:pos="720"/>
        </w:tabs>
        <w:ind w:left="720" w:hanging="360"/>
      </w:pPr>
      <w:rPr>
        <w:rFonts w:hint="default"/>
      </w:rPr>
    </w:lvl>
    <w:lvl w:ilvl="2" w:tplc="3AFC4DB4">
      <w:start w:val="1"/>
      <w:numFmt w:val="lowerRoman"/>
      <w:lvlText w:val="%3)"/>
      <w:lvlJc w:val="left"/>
      <w:pPr>
        <w:tabs>
          <w:tab w:val="num" w:pos="1080"/>
        </w:tabs>
        <w:ind w:left="1080" w:hanging="360"/>
      </w:pPr>
      <w:rPr>
        <w:rFonts w:hint="default"/>
      </w:rPr>
    </w:lvl>
    <w:lvl w:ilvl="3" w:tplc="885E1744">
      <w:start w:val="1"/>
      <w:numFmt w:val="decimal"/>
      <w:lvlText w:val="(%4)"/>
      <w:lvlJc w:val="left"/>
      <w:pPr>
        <w:tabs>
          <w:tab w:val="num" w:pos="1440"/>
        </w:tabs>
        <w:ind w:left="1440" w:hanging="360"/>
      </w:pPr>
      <w:rPr>
        <w:rFonts w:hint="default"/>
      </w:rPr>
    </w:lvl>
    <w:lvl w:ilvl="4" w:tplc="D2C08670">
      <w:start w:val="1"/>
      <w:numFmt w:val="lowerLetter"/>
      <w:lvlText w:val="(%5)"/>
      <w:lvlJc w:val="left"/>
      <w:pPr>
        <w:tabs>
          <w:tab w:val="num" w:pos="1800"/>
        </w:tabs>
        <w:ind w:left="1800" w:hanging="360"/>
      </w:pPr>
      <w:rPr>
        <w:rFonts w:hint="default"/>
      </w:rPr>
    </w:lvl>
    <w:lvl w:ilvl="5" w:tplc="1E064658">
      <w:start w:val="1"/>
      <w:numFmt w:val="lowerRoman"/>
      <w:lvlText w:val="(%6)"/>
      <w:lvlJc w:val="left"/>
      <w:pPr>
        <w:tabs>
          <w:tab w:val="num" w:pos="2160"/>
        </w:tabs>
        <w:ind w:left="2160" w:hanging="360"/>
      </w:pPr>
      <w:rPr>
        <w:rFonts w:hint="default"/>
      </w:rPr>
    </w:lvl>
    <w:lvl w:ilvl="6" w:tplc="34645F4C">
      <w:start w:val="1"/>
      <w:numFmt w:val="decimal"/>
      <w:lvlText w:val="%7."/>
      <w:lvlJc w:val="left"/>
      <w:pPr>
        <w:tabs>
          <w:tab w:val="num" w:pos="2520"/>
        </w:tabs>
        <w:ind w:left="2520" w:hanging="360"/>
      </w:pPr>
      <w:rPr>
        <w:rFonts w:hint="default"/>
      </w:rPr>
    </w:lvl>
    <w:lvl w:ilvl="7" w:tplc="50AC6974">
      <w:start w:val="1"/>
      <w:numFmt w:val="lowerLetter"/>
      <w:lvlText w:val="%8."/>
      <w:lvlJc w:val="left"/>
      <w:pPr>
        <w:tabs>
          <w:tab w:val="num" w:pos="2880"/>
        </w:tabs>
        <w:ind w:left="2880" w:hanging="360"/>
      </w:pPr>
      <w:rPr>
        <w:rFonts w:hint="default"/>
      </w:rPr>
    </w:lvl>
    <w:lvl w:ilvl="8" w:tplc="17AECE46">
      <w:start w:val="1"/>
      <w:numFmt w:val="lowerRoman"/>
      <w:lvlText w:val="%9."/>
      <w:lvlJc w:val="left"/>
      <w:pPr>
        <w:tabs>
          <w:tab w:val="num" w:pos="3240"/>
        </w:tabs>
        <w:ind w:left="3240" w:hanging="360"/>
      </w:pPr>
      <w:rPr>
        <w:rFonts w:hint="default"/>
      </w:rPr>
    </w:lvl>
  </w:abstractNum>
  <w:abstractNum w:abstractNumId="33" w15:restartNumberingAfterBreak="0">
    <w:nsid w:val="4A432656"/>
    <w:multiLevelType w:val="multilevel"/>
    <w:tmpl w:val="2BEA22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AFB208E"/>
    <w:multiLevelType w:val="hybridMultilevel"/>
    <w:tmpl w:val="AE102640"/>
    <w:lvl w:ilvl="0" w:tplc="0809000F">
      <w:start w:val="1"/>
      <w:numFmt w:val="decimal"/>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35" w15:restartNumberingAfterBreak="0">
    <w:nsid w:val="5BD13D2C"/>
    <w:multiLevelType w:val="hybridMultilevel"/>
    <w:tmpl w:val="F438A9A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6" w15:restartNumberingAfterBreak="0">
    <w:nsid w:val="5D380921"/>
    <w:multiLevelType w:val="hybridMultilevel"/>
    <w:tmpl w:val="F7205312"/>
    <w:lvl w:ilvl="0" w:tplc="5F2A65D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7" w15:restartNumberingAfterBreak="0">
    <w:nsid w:val="70303870"/>
    <w:multiLevelType w:val="hybridMultilevel"/>
    <w:tmpl w:val="BBF67C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55354D3"/>
    <w:multiLevelType w:val="hybridMultilevel"/>
    <w:tmpl w:val="5C32675A"/>
    <w:lvl w:ilvl="0" w:tplc="6E58B00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9" w15:restartNumberingAfterBreak="0">
    <w:nsid w:val="760A2EDF"/>
    <w:multiLevelType w:val="hybridMultilevel"/>
    <w:tmpl w:val="C5307268"/>
    <w:lvl w:ilvl="0" w:tplc="3D10FC9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0" w15:restartNumberingAfterBreak="0">
    <w:nsid w:val="7B3212E4"/>
    <w:multiLevelType w:val="multilevel"/>
    <w:tmpl w:val="FDFC59F8"/>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4027F7"/>
    <w:multiLevelType w:val="hybridMultilevel"/>
    <w:tmpl w:val="A110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32"/>
  </w:num>
  <w:num w:numId="4">
    <w:abstractNumId w:val="12"/>
  </w:num>
  <w:num w:numId="5">
    <w:abstractNumId w:val="31"/>
  </w:num>
  <w:num w:numId="6">
    <w:abstractNumId w:val="7"/>
  </w:num>
  <w:num w:numId="7">
    <w:abstractNumId w:val="29"/>
  </w:num>
  <w:num w:numId="8">
    <w:abstractNumId w:val="16"/>
  </w:num>
  <w:num w:numId="9">
    <w:abstractNumId w:val="3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1"/>
  </w:num>
  <w:num w:numId="13">
    <w:abstractNumId w:val="34"/>
  </w:num>
  <w:num w:numId="14">
    <w:abstractNumId w:val="0"/>
  </w:num>
  <w:num w:numId="15">
    <w:abstractNumId w:val="5"/>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27"/>
  </w:num>
  <w:num w:numId="21">
    <w:abstractNumId w:val="24"/>
  </w:num>
  <w:num w:numId="22">
    <w:abstractNumId w:val="35"/>
  </w:num>
  <w:num w:numId="23">
    <w:abstractNumId w:val="14"/>
  </w:num>
  <w:num w:numId="24">
    <w:abstractNumId w:val="21"/>
  </w:num>
  <w:num w:numId="25">
    <w:abstractNumId w:val="19"/>
  </w:num>
  <w:num w:numId="26">
    <w:abstractNumId w:val="8"/>
  </w:num>
  <w:num w:numId="27">
    <w:abstractNumId w:val="15"/>
  </w:num>
  <w:num w:numId="28">
    <w:abstractNumId w:val="1"/>
  </w:num>
  <w:num w:numId="29">
    <w:abstractNumId w:val="38"/>
  </w:num>
  <w:num w:numId="30">
    <w:abstractNumId w:val="36"/>
  </w:num>
  <w:num w:numId="31">
    <w:abstractNumId w:val="20"/>
  </w:num>
  <w:num w:numId="32">
    <w:abstractNumId w:val="3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9"/>
  </w:num>
  <w:num w:numId="36">
    <w:abstractNumId w:val="25"/>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22"/>
  </w:num>
  <w:num w:numId="4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1"/>
  </w:num>
  <w:num w:numId="50">
    <w:abstractNumId w:val="6"/>
  </w:num>
  <w:num w:numId="51">
    <w:abstractNumId w:val="5"/>
  </w:num>
  <w:num w:numId="52">
    <w:abstractNumId w:val="2"/>
  </w:num>
  <w:num w:numId="53">
    <w:abstractNumId w:val="23"/>
  </w:num>
  <w:num w:numId="54">
    <w:abstractNumId w:val="28"/>
    <w:lvlOverride w:ilvl="0">
      <w:startOverride w:val="12"/>
    </w:lvlOverride>
  </w:num>
  <w:num w:numId="55">
    <w:abstractNumId w:val="22"/>
    <w:lvlOverride w:ilvl="0">
      <w:startOverride w:val="1"/>
    </w:lvlOverride>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activeWritingStyle w:appName="MSWord" w:lang="sv-SE" w:vendorID="64" w:dllVersion="0" w:nlCheck="1" w:checkStyle="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27"/>
    <w:rsid w:val="0000051A"/>
    <w:rsid w:val="00000D89"/>
    <w:rsid w:val="00000EA1"/>
    <w:rsid w:val="000010DD"/>
    <w:rsid w:val="0000125F"/>
    <w:rsid w:val="00001EB9"/>
    <w:rsid w:val="0000201A"/>
    <w:rsid w:val="00002243"/>
    <w:rsid w:val="000032CC"/>
    <w:rsid w:val="000040A1"/>
    <w:rsid w:val="000066B7"/>
    <w:rsid w:val="000066FD"/>
    <w:rsid w:val="00006831"/>
    <w:rsid w:val="00006892"/>
    <w:rsid w:val="00006C38"/>
    <w:rsid w:val="000077A1"/>
    <w:rsid w:val="000077A4"/>
    <w:rsid w:val="00007E66"/>
    <w:rsid w:val="00010408"/>
    <w:rsid w:val="00010BF4"/>
    <w:rsid w:val="00010CFA"/>
    <w:rsid w:val="0001113F"/>
    <w:rsid w:val="00014CC6"/>
    <w:rsid w:val="00015B3B"/>
    <w:rsid w:val="000162CC"/>
    <w:rsid w:val="00016719"/>
    <w:rsid w:val="000201ED"/>
    <w:rsid w:val="000204A7"/>
    <w:rsid w:val="00020895"/>
    <w:rsid w:val="000210A9"/>
    <w:rsid w:val="0002127D"/>
    <w:rsid w:val="00021635"/>
    <w:rsid w:val="0002235A"/>
    <w:rsid w:val="0002244F"/>
    <w:rsid w:val="00022CFB"/>
    <w:rsid w:val="00023746"/>
    <w:rsid w:val="00024035"/>
    <w:rsid w:val="0002427E"/>
    <w:rsid w:val="00024609"/>
    <w:rsid w:val="00024B48"/>
    <w:rsid w:val="00024E97"/>
    <w:rsid w:val="0002540D"/>
    <w:rsid w:val="00025DD2"/>
    <w:rsid w:val="00025E45"/>
    <w:rsid w:val="000264F4"/>
    <w:rsid w:val="00030613"/>
    <w:rsid w:val="00030727"/>
    <w:rsid w:val="00030EC3"/>
    <w:rsid w:val="00031C4C"/>
    <w:rsid w:val="00031EEF"/>
    <w:rsid w:val="000330F0"/>
    <w:rsid w:val="00033311"/>
    <w:rsid w:val="000347AC"/>
    <w:rsid w:val="00034868"/>
    <w:rsid w:val="00034BBA"/>
    <w:rsid w:val="00034F33"/>
    <w:rsid w:val="00035185"/>
    <w:rsid w:val="000351C4"/>
    <w:rsid w:val="00035499"/>
    <w:rsid w:val="00035706"/>
    <w:rsid w:val="000358CE"/>
    <w:rsid w:val="00035D57"/>
    <w:rsid w:val="00035FFB"/>
    <w:rsid w:val="00037F74"/>
    <w:rsid w:val="00040055"/>
    <w:rsid w:val="000403A6"/>
    <w:rsid w:val="00040C54"/>
    <w:rsid w:val="00041411"/>
    <w:rsid w:val="000417C4"/>
    <w:rsid w:val="00041922"/>
    <w:rsid w:val="0004268C"/>
    <w:rsid w:val="00042C36"/>
    <w:rsid w:val="00043162"/>
    <w:rsid w:val="00043902"/>
    <w:rsid w:val="0004393E"/>
    <w:rsid w:val="00043A03"/>
    <w:rsid w:val="00044218"/>
    <w:rsid w:val="00044851"/>
    <w:rsid w:val="0004533B"/>
    <w:rsid w:val="00045704"/>
    <w:rsid w:val="00045DB5"/>
    <w:rsid w:val="00046335"/>
    <w:rsid w:val="00046357"/>
    <w:rsid w:val="00046603"/>
    <w:rsid w:val="0004774E"/>
    <w:rsid w:val="0004789C"/>
    <w:rsid w:val="00047C7B"/>
    <w:rsid w:val="00047FFC"/>
    <w:rsid w:val="00050059"/>
    <w:rsid w:val="00050D7D"/>
    <w:rsid w:val="00050E81"/>
    <w:rsid w:val="0005111E"/>
    <w:rsid w:val="000523A2"/>
    <w:rsid w:val="000529F7"/>
    <w:rsid w:val="00052AA3"/>
    <w:rsid w:val="00053329"/>
    <w:rsid w:val="00054DCF"/>
    <w:rsid w:val="00055EE8"/>
    <w:rsid w:val="0005643A"/>
    <w:rsid w:val="000564B5"/>
    <w:rsid w:val="000604A6"/>
    <w:rsid w:val="000605B3"/>
    <w:rsid w:val="00060776"/>
    <w:rsid w:val="00060BB4"/>
    <w:rsid w:val="0006164E"/>
    <w:rsid w:val="00062052"/>
    <w:rsid w:val="00063153"/>
    <w:rsid w:val="00065179"/>
    <w:rsid w:val="00065A28"/>
    <w:rsid w:val="00065C77"/>
    <w:rsid w:val="00065F5E"/>
    <w:rsid w:val="0006621C"/>
    <w:rsid w:val="00067158"/>
    <w:rsid w:val="0006717C"/>
    <w:rsid w:val="00067E4E"/>
    <w:rsid w:val="000707AD"/>
    <w:rsid w:val="00070E83"/>
    <w:rsid w:val="000712E9"/>
    <w:rsid w:val="00072051"/>
    <w:rsid w:val="000721B2"/>
    <w:rsid w:val="0007229F"/>
    <w:rsid w:val="00073707"/>
    <w:rsid w:val="0007377D"/>
    <w:rsid w:val="00074339"/>
    <w:rsid w:val="0007447F"/>
    <w:rsid w:val="000745B2"/>
    <w:rsid w:val="00074606"/>
    <w:rsid w:val="00075030"/>
    <w:rsid w:val="000751A3"/>
    <w:rsid w:val="00075B77"/>
    <w:rsid w:val="00075E28"/>
    <w:rsid w:val="00077DEB"/>
    <w:rsid w:val="000807C4"/>
    <w:rsid w:val="000808ED"/>
    <w:rsid w:val="00080AE4"/>
    <w:rsid w:val="00081DED"/>
    <w:rsid w:val="000826E9"/>
    <w:rsid w:val="000827B9"/>
    <w:rsid w:val="000830DD"/>
    <w:rsid w:val="00083C5F"/>
    <w:rsid w:val="000866CB"/>
    <w:rsid w:val="00086C3B"/>
    <w:rsid w:val="00087537"/>
    <w:rsid w:val="0008765E"/>
    <w:rsid w:val="00087D9F"/>
    <w:rsid w:val="00090378"/>
    <w:rsid w:val="00090A28"/>
    <w:rsid w:val="00090F6F"/>
    <w:rsid w:val="000917E8"/>
    <w:rsid w:val="00091A5D"/>
    <w:rsid w:val="00091C7F"/>
    <w:rsid w:val="00092152"/>
    <w:rsid w:val="00092462"/>
    <w:rsid w:val="00092542"/>
    <w:rsid w:val="00093237"/>
    <w:rsid w:val="000937DF"/>
    <w:rsid w:val="00093DA5"/>
    <w:rsid w:val="000944D6"/>
    <w:rsid w:val="00095A50"/>
    <w:rsid w:val="00096385"/>
    <w:rsid w:val="0009779D"/>
    <w:rsid w:val="000A0BC0"/>
    <w:rsid w:val="000A114E"/>
    <w:rsid w:val="000A12FF"/>
    <w:rsid w:val="000A167D"/>
    <w:rsid w:val="000A198B"/>
    <w:rsid w:val="000A3A83"/>
    <w:rsid w:val="000A4824"/>
    <w:rsid w:val="000A6845"/>
    <w:rsid w:val="000A68D7"/>
    <w:rsid w:val="000A726D"/>
    <w:rsid w:val="000A7D0B"/>
    <w:rsid w:val="000B0265"/>
    <w:rsid w:val="000B0E0A"/>
    <w:rsid w:val="000B150F"/>
    <w:rsid w:val="000B1707"/>
    <w:rsid w:val="000B1919"/>
    <w:rsid w:val="000B1F2A"/>
    <w:rsid w:val="000B24D6"/>
    <w:rsid w:val="000B2E7E"/>
    <w:rsid w:val="000B39B5"/>
    <w:rsid w:val="000B3DEF"/>
    <w:rsid w:val="000B3EAC"/>
    <w:rsid w:val="000B4FA7"/>
    <w:rsid w:val="000B619C"/>
    <w:rsid w:val="000B689D"/>
    <w:rsid w:val="000B691B"/>
    <w:rsid w:val="000B6F32"/>
    <w:rsid w:val="000B764B"/>
    <w:rsid w:val="000C038D"/>
    <w:rsid w:val="000C1FE3"/>
    <w:rsid w:val="000C2131"/>
    <w:rsid w:val="000C2357"/>
    <w:rsid w:val="000C24DB"/>
    <w:rsid w:val="000C29C0"/>
    <w:rsid w:val="000C3BC4"/>
    <w:rsid w:val="000C3CE4"/>
    <w:rsid w:val="000C3FBF"/>
    <w:rsid w:val="000C4E8B"/>
    <w:rsid w:val="000C5311"/>
    <w:rsid w:val="000C6CF5"/>
    <w:rsid w:val="000C6E1D"/>
    <w:rsid w:val="000C7819"/>
    <w:rsid w:val="000D0172"/>
    <w:rsid w:val="000D0C64"/>
    <w:rsid w:val="000D19E8"/>
    <w:rsid w:val="000D29DA"/>
    <w:rsid w:val="000D383B"/>
    <w:rsid w:val="000D41E0"/>
    <w:rsid w:val="000D4A25"/>
    <w:rsid w:val="000D5630"/>
    <w:rsid w:val="000D5667"/>
    <w:rsid w:val="000D5F9E"/>
    <w:rsid w:val="000D608D"/>
    <w:rsid w:val="000D6661"/>
    <w:rsid w:val="000D674E"/>
    <w:rsid w:val="000D6CB5"/>
    <w:rsid w:val="000D7500"/>
    <w:rsid w:val="000E071C"/>
    <w:rsid w:val="000E07B2"/>
    <w:rsid w:val="000E30E9"/>
    <w:rsid w:val="000E33E0"/>
    <w:rsid w:val="000E39FD"/>
    <w:rsid w:val="000E3DF8"/>
    <w:rsid w:val="000E47B6"/>
    <w:rsid w:val="000E486A"/>
    <w:rsid w:val="000E539E"/>
    <w:rsid w:val="000E53A1"/>
    <w:rsid w:val="000E5CA2"/>
    <w:rsid w:val="000E5DF5"/>
    <w:rsid w:val="000E60E9"/>
    <w:rsid w:val="000E6380"/>
    <w:rsid w:val="000E6C03"/>
    <w:rsid w:val="000E75D9"/>
    <w:rsid w:val="000F1059"/>
    <w:rsid w:val="000F105E"/>
    <w:rsid w:val="000F1C88"/>
    <w:rsid w:val="000F1F50"/>
    <w:rsid w:val="000F2200"/>
    <w:rsid w:val="000F2293"/>
    <w:rsid w:val="000F2B11"/>
    <w:rsid w:val="000F3C5E"/>
    <w:rsid w:val="000F44C9"/>
    <w:rsid w:val="000F458C"/>
    <w:rsid w:val="000F5D57"/>
    <w:rsid w:val="000F5E76"/>
    <w:rsid w:val="000F5F93"/>
    <w:rsid w:val="000F7003"/>
    <w:rsid w:val="000F7578"/>
    <w:rsid w:val="001015E3"/>
    <w:rsid w:val="00101CAE"/>
    <w:rsid w:val="0010304E"/>
    <w:rsid w:val="00103E13"/>
    <w:rsid w:val="00103E2D"/>
    <w:rsid w:val="00105A03"/>
    <w:rsid w:val="00105A88"/>
    <w:rsid w:val="00105E22"/>
    <w:rsid w:val="001061B3"/>
    <w:rsid w:val="0010639B"/>
    <w:rsid w:val="001065F9"/>
    <w:rsid w:val="00111200"/>
    <w:rsid w:val="0011149D"/>
    <w:rsid w:val="001114D3"/>
    <w:rsid w:val="00111CB8"/>
    <w:rsid w:val="00112392"/>
    <w:rsid w:val="00112539"/>
    <w:rsid w:val="001126AA"/>
    <w:rsid w:val="00113304"/>
    <w:rsid w:val="0011338A"/>
    <w:rsid w:val="00113860"/>
    <w:rsid w:val="001139A9"/>
    <w:rsid w:val="00113DBF"/>
    <w:rsid w:val="0011458E"/>
    <w:rsid w:val="001155F2"/>
    <w:rsid w:val="00116480"/>
    <w:rsid w:val="00116995"/>
    <w:rsid w:val="00116B29"/>
    <w:rsid w:val="00117093"/>
    <w:rsid w:val="00117697"/>
    <w:rsid w:val="0012096E"/>
    <w:rsid w:val="00120CCD"/>
    <w:rsid w:val="0012157D"/>
    <w:rsid w:val="001225F0"/>
    <w:rsid w:val="00122D64"/>
    <w:rsid w:val="00122DD0"/>
    <w:rsid w:val="0012303E"/>
    <w:rsid w:val="00123458"/>
    <w:rsid w:val="00124FFB"/>
    <w:rsid w:val="00125521"/>
    <w:rsid w:val="00126269"/>
    <w:rsid w:val="00126A18"/>
    <w:rsid w:val="00127F5F"/>
    <w:rsid w:val="0013091B"/>
    <w:rsid w:val="00131ACF"/>
    <w:rsid w:val="00132525"/>
    <w:rsid w:val="00132B28"/>
    <w:rsid w:val="00132D5C"/>
    <w:rsid w:val="00133CDB"/>
    <w:rsid w:val="0013433A"/>
    <w:rsid w:val="0013534F"/>
    <w:rsid w:val="0013572B"/>
    <w:rsid w:val="00135EC9"/>
    <w:rsid w:val="001360C4"/>
    <w:rsid w:val="0013610E"/>
    <w:rsid w:val="001368EF"/>
    <w:rsid w:val="00137385"/>
    <w:rsid w:val="0013790A"/>
    <w:rsid w:val="00137D52"/>
    <w:rsid w:val="00137F25"/>
    <w:rsid w:val="0014067B"/>
    <w:rsid w:val="00141227"/>
    <w:rsid w:val="00141626"/>
    <w:rsid w:val="001416E8"/>
    <w:rsid w:val="00141D53"/>
    <w:rsid w:val="00143AB1"/>
    <w:rsid w:val="00144999"/>
    <w:rsid w:val="00144B85"/>
    <w:rsid w:val="001459AA"/>
    <w:rsid w:val="001467B8"/>
    <w:rsid w:val="00146B61"/>
    <w:rsid w:val="00146D75"/>
    <w:rsid w:val="00147E30"/>
    <w:rsid w:val="0015157D"/>
    <w:rsid w:val="00151927"/>
    <w:rsid w:val="00151940"/>
    <w:rsid w:val="001521D1"/>
    <w:rsid w:val="00152245"/>
    <w:rsid w:val="001526BB"/>
    <w:rsid w:val="001531F2"/>
    <w:rsid w:val="00153969"/>
    <w:rsid w:val="00153AFB"/>
    <w:rsid w:val="00154A1C"/>
    <w:rsid w:val="001553FA"/>
    <w:rsid w:val="001554AB"/>
    <w:rsid w:val="00155744"/>
    <w:rsid w:val="0015741C"/>
    <w:rsid w:val="001577EA"/>
    <w:rsid w:val="00157D43"/>
    <w:rsid w:val="00160375"/>
    <w:rsid w:val="001605EF"/>
    <w:rsid w:val="00160699"/>
    <w:rsid w:val="001612D2"/>
    <w:rsid w:val="00161350"/>
    <w:rsid w:val="00161384"/>
    <w:rsid w:val="00161564"/>
    <w:rsid w:val="00161865"/>
    <w:rsid w:val="00161B3A"/>
    <w:rsid w:val="00161B42"/>
    <w:rsid w:val="00162933"/>
    <w:rsid w:val="00162C10"/>
    <w:rsid w:val="00162CFB"/>
    <w:rsid w:val="00163379"/>
    <w:rsid w:val="001633CE"/>
    <w:rsid w:val="00163EF9"/>
    <w:rsid w:val="001649EC"/>
    <w:rsid w:val="00164E0D"/>
    <w:rsid w:val="00165179"/>
    <w:rsid w:val="00165C32"/>
    <w:rsid w:val="00166569"/>
    <w:rsid w:val="001665C6"/>
    <w:rsid w:val="00167351"/>
    <w:rsid w:val="00167649"/>
    <w:rsid w:val="00167D37"/>
    <w:rsid w:val="00167F58"/>
    <w:rsid w:val="00170387"/>
    <w:rsid w:val="0017118A"/>
    <w:rsid w:val="00171195"/>
    <w:rsid w:val="00171382"/>
    <w:rsid w:val="001713A4"/>
    <w:rsid w:val="00171D32"/>
    <w:rsid w:val="00172BEB"/>
    <w:rsid w:val="00173409"/>
    <w:rsid w:val="0017371A"/>
    <w:rsid w:val="00175317"/>
    <w:rsid w:val="00176005"/>
    <w:rsid w:val="0017674F"/>
    <w:rsid w:val="00176BCE"/>
    <w:rsid w:val="00177B03"/>
    <w:rsid w:val="001804F0"/>
    <w:rsid w:val="00180533"/>
    <w:rsid w:val="00180A12"/>
    <w:rsid w:val="00180D44"/>
    <w:rsid w:val="00182BF6"/>
    <w:rsid w:val="00182C20"/>
    <w:rsid w:val="00182F05"/>
    <w:rsid w:val="00183BC5"/>
    <w:rsid w:val="0018445C"/>
    <w:rsid w:val="00184605"/>
    <w:rsid w:val="0018498F"/>
    <w:rsid w:val="001902B7"/>
    <w:rsid w:val="0019101B"/>
    <w:rsid w:val="00191C41"/>
    <w:rsid w:val="00192079"/>
    <w:rsid w:val="00192747"/>
    <w:rsid w:val="001950E2"/>
    <w:rsid w:val="0019558F"/>
    <w:rsid w:val="001955FB"/>
    <w:rsid w:val="00195843"/>
    <w:rsid w:val="001962B5"/>
    <w:rsid w:val="00196865"/>
    <w:rsid w:val="0019718D"/>
    <w:rsid w:val="0019727F"/>
    <w:rsid w:val="001975AD"/>
    <w:rsid w:val="001977CE"/>
    <w:rsid w:val="00197A17"/>
    <w:rsid w:val="00197B7A"/>
    <w:rsid w:val="00197BD9"/>
    <w:rsid w:val="001A05E7"/>
    <w:rsid w:val="001A0A46"/>
    <w:rsid w:val="001A11C2"/>
    <w:rsid w:val="001A2668"/>
    <w:rsid w:val="001A26E1"/>
    <w:rsid w:val="001A2C3E"/>
    <w:rsid w:val="001A3C4B"/>
    <w:rsid w:val="001A46FD"/>
    <w:rsid w:val="001A686D"/>
    <w:rsid w:val="001A690C"/>
    <w:rsid w:val="001A6F66"/>
    <w:rsid w:val="001A6F7B"/>
    <w:rsid w:val="001B07BA"/>
    <w:rsid w:val="001B0B7E"/>
    <w:rsid w:val="001B15E2"/>
    <w:rsid w:val="001B1764"/>
    <w:rsid w:val="001B1DB3"/>
    <w:rsid w:val="001B3611"/>
    <w:rsid w:val="001B3E6F"/>
    <w:rsid w:val="001B414E"/>
    <w:rsid w:val="001B46A7"/>
    <w:rsid w:val="001B4B13"/>
    <w:rsid w:val="001B4C09"/>
    <w:rsid w:val="001B5901"/>
    <w:rsid w:val="001B6E2E"/>
    <w:rsid w:val="001B7BFE"/>
    <w:rsid w:val="001B7CCB"/>
    <w:rsid w:val="001C048A"/>
    <w:rsid w:val="001C081B"/>
    <w:rsid w:val="001C10C0"/>
    <w:rsid w:val="001C37EF"/>
    <w:rsid w:val="001C3DFB"/>
    <w:rsid w:val="001C402B"/>
    <w:rsid w:val="001C41C5"/>
    <w:rsid w:val="001C43AF"/>
    <w:rsid w:val="001C4CFE"/>
    <w:rsid w:val="001C5BEF"/>
    <w:rsid w:val="001C5C09"/>
    <w:rsid w:val="001C6009"/>
    <w:rsid w:val="001C6010"/>
    <w:rsid w:val="001C6532"/>
    <w:rsid w:val="001C65AB"/>
    <w:rsid w:val="001C65F8"/>
    <w:rsid w:val="001C6DAA"/>
    <w:rsid w:val="001C75B8"/>
    <w:rsid w:val="001C78E2"/>
    <w:rsid w:val="001C7C80"/>
    <w:rsid w:val="001D023E"/>
    <w:rsid w:val="001D0A21"/>
    <w:rsid w:val="001D0B81"/>
    <w:rsid w:val="001D1BB3"/>
    <w:rsid w:val="001D2DDE"/>
    <w:rsid w:val="001D345C"/>
    <w:rsid w:val="001D382C"/>
    <w:rsid w:val="001D390F"/>
    <w:rsid w:val="001D45EF"/>
    <w:rsid w:val="001D4B99"/>
    <w:rsid w:val="001D6372"/>
    <w:rsid w:val="001D717F"/>
    <w:rsid w:val="001D7467"/>
    <w:rsid w:val="001D769B"/>
    <w:rsid w:val="001D7748"/>
    <w:rsid w:val="001E0F9D"/>
    <w:rsid w:val="001E2441"/>
    <w:rsid w:val="001E2524"/>
    <w:rsid w:val="001E3430"/>
    <w:rsid w:val="001E3F08"/>
    <w:rsid w:val="001E479E"/>
    <w:rsid w:val="001E47FB"/>
    <w:rsid w:val="001E4912"/>
    <w:rsid w:val="001E4C94"/>
    <w:rsid w:val="001E60EC"/>
    <w:rsid w:val="001E6569"/>
    <w:rsid w:val="001E68B7"/>
    <w:rsid w:val="001E6A03"/>
    <w:rsid w:val="001E72FE"/>
    <w:rsid w:val="001E77E8"/>
    <w:rsid w:val="001E7927"/>
    <w:rsid w:val="001F01E4"/>
    <w:rsid w:val="001F02D2"/>
    <w:rsid w:val="001F173A"/>
    <w:rsid w:val="001F1988"/>
    <w:rsid w:val="001F2249"/>
    <w:rsid w:val="001F2FB6"/>
    <w:rsid w:val="001F3254"/>
    <w:rsid w:val="001F32AD"/>
    <w:rsid w:val="001F38A8"/>
    <w:rsid w:val="001F3AA0"/>
    <w:rsid w:val="001F4B2E"/>
    <w:rsid w:val="001F4DDB"/>
    <w:rsid w:val="001F5564"/>
    <w:rsid w:val="001F5CE4"/>
    <w:rsid w:val="001F5DDB"/>
    <w:rsid w:val="001F6701"/>
    <w:rsid w:val="001F6942"/>
    <w:rsid w:val="001F6DAD"/>
    <w:rsid w:val="00200539"/>
    <w:rsid w:val="0020069D"/>
    <w:rsid w:val="00201376"/>
    <w:rsid w:val="00201E0A"/>
    <w:rsid w:val="00202CA9"/>
    <w:rsid w:val="002035F5"/>
    <w:rsid w:val="00203680"/>
    <w:rsid w:val="0020406F"/>
    <w:rsid w:val="00205129"/>
    <w:rsid w:val="00205B5C"/>
    <w:rsid w:val="00205E68"/>
    <w:rsid w:val="00206188"/>
    <w:rsid w:val="002061A0"/>
    <w:rsid w:val="00206F14"/>
    <w:rsid w:val="0020772D"/>
    <w:rsid w:val="00210643"/>
    <w:rsid w:val="00210C8D"/>
    <w:rsid w:val="002112AF"/>
    <w:rsid w:val="0021199E"/>
    <w:rsid w:val="00211ADC"/>
    <w:rsid w:val="002122A1"/>
    <w:rsid w:val="00212BA7"/>
    <w:rsid w:val="00212BDA"/>
    <w:rsid w:val="00213C45"/>
    <w:rsid w:val="00214752"/>
    <w:rsid w:val="002147ED"/>
    <w:rsid w:val="00214B1C"/>
    <w:rsid w:val="00215347"/>
    <w:rsid w:val="002157FF"/>
    <w:rsid w:val="0021582C"/>
    <w:rsid w:val="00215830"/>
    <w:rsid w:val="00215F5A"/>
    <w:rsid w:val="0021629D"/>
    <w:rsid w:val="00216B41"/>
    <w:rsid w:val="00217096"/>
    <w:rsid w:val="002200DE"/>
    <w:rsid w:val="002209D8"/>
    <w:rsid w:val="00221386"/>
    <w:rsid w:val="00221881"/>
    <w:rsid w:val="00221945"/>
    <w:rsid w:val="00221B87"/>
    <w:rsid w:val="002221CE"/>
    <w:rsid w:val="0022234B"/>
    <w:rsid w:val="00222AB9"/>
    <w:rsid w:val="00222DDA"/>
    <w:rsid w:val="002230FC"/>
    <w:rsid w:val="0022342D"/>
    <w:rsid w:val="002234C4"/>
    <w:rsid w:val="00223F4E"/>
    <w:rsid w:val="0022451E"/>
    <w:rsid w:val="00224D23"/>
    <w:rsid w:val="00226DEB"/>
    <w:rsid w:val="002276B2"/>
    <w:rsid w:val="0022787A"/>
    <w:rsid w:val="00227896"/>
    <w:rsid w:val="00227E53"/>
    <w:rsid w:val="00230B87"/>
    <w:rsid w:val="00232C97"/>
    <w:rsid w:val="002336D1"/>
    <w:rsid w:val="002341FE"/>
    <w:rsid w:val="00235934"/>
    <w:rsid w:val="00236F77"/>
    <w:rsid w:val="00236FCB"/>
    <w:rsid w:val="00237047"/>
    <w:rsid w:val="002375FD"/>
    <w:rsid w:val="002402FD"/>
    <w:rsid w:val="002403B3"/>
    <w:rsid w:val="0024079A"/>
    <w:rsid w:val="00241203"/>
    <w:rsid w:val="0024171E"/>
    <w:rsid w:val="00242349"/>
    <w:rsid w:val="00242DDD"/>
    <w:rsid w:val="00242E85"/>
    <w:rsid w:val="0024368B"/>
    <w:rsid w:val="00243E58"/>
    <w:rsid w:val="0024537F"/>
    <w:rsid w:val="0024543C"/>
    <w:rsid w:val="002455F3"/>
    <w:rsid w:val="0024577A"/>
    <w:rsid w:val="00245E06"/>
    <w:rsid w:val="002466A5"/>
    <w:rsid w:val="002473A9"/>
    <w:rsid w:val="00247B0B"/>
    <w:rsid w:val="00247E5D"/>
    <w:rsid w:val="002502E2"/>
    <w:rsid w:val="002505BC"/>
    <w:rsid w:val="00252117"/>
    <w:rsid w:val="002523A4"/>
    <w:rsid w:val="0025256C"/>
    <w:rsid w:val="002527BD"/>
    <w:rsid w:val="00253499"/>
    <w:rsid w:val="0025353C"/>
    <w:rsid w:val="00254503"/>
    <w:rsid w:val="00254CE2"/>
    <w:rsid w:val="00254DBE"/>
    <w:rsid w:val="00255562"/>
    <w:rsid w:val="00255B2B"/>
    <w:rsid w:val="00255BBC"/>
    <w:rsid w:val="0025673D"/>
    <w:rsid w:val="0026035B"/>
    <w:rsid w:val="0026054C"/>
    <w:rsid w:val="00260BA2"/>
    <w:rsid w:val="0026151B"/>
    <w:rsid w:val="00261827"/>
    <w:rsid w:val="00261CB8"/>
    <w:rsid w:val="00262FD9"/>
    <w:rsid w:val="00262FE5"/>
    <w:rsid w:val="00263C8F"/>
    <w:rsid w:val="00263D69"/>
    <w:rsid w:val="00263E34"/>
    <w:rsid w:val="00263EDE"/>
    <w:rsid w:val="00264DE5"/>
    <w:rsid w:val="00265739"/>
    <w:rsid w:val="00266CEC"/>
    <w:rsid w:val="00266E60"/>
    <w:rsid w:val="00267301"/>
    <w:rsid w:val="00267EAC"/>
    <w:rsid w:val="00270926"/>
    <w:rsid w:val="00271B65"/>
    <w:rsid w:val="00272080"/>
    <w:rsid w:val="002723CE"/>
    <w:rsid w:val="00272603"/>
    <w:rsid w:val="00272DF7"/>
    <w:rsid w:val="0027370F"/>
    <w:rsid w:val="00273F5A"/>
    <w:rsid w:val="002740CF"/>
    <w:rsid w:val="002750A9"/>
    <w:rsid w:val="0027585D"/>
    <w:rsid w:val="00275C0D"/>
    <w:rsid w:val="00276243"/>
    <w:rsid w:val="00277516"/>
    <w:rsid w:val="002777FA"/>
    <w:rsid w:val="0027793A"/>
    <w:rsid w:val="00277A95"/>
    <w:rsid w:val="00280144"/>
    <w:rsid w:val="00280AF2"/>
    <w:rsid w:val="00280D01"/>
    <w:rsid w:val="00281282"/>
    <w:rsid w:val="002812AF"/>
    <w:rsid w:val="002814E2"/>
    <w:rsid w:val="002815ED"/>
    <w:rsid w:val="0028213E"/>
    <w:rsid w:val="0028231C"/>
    <w:rsid w:val="0028413B"/>
    <w:rsid w:val="0028429D"/>
    <w:rsid w:val="00285220"/>
    <w:rsid w:val="002874D3"/>
    <w:rsid w:val="0028760A"/>
    <w:rsid w:val="00287BB1"/>
    <w:rsid w:val="002918BB"/>
    <w:rsid w:val="00292162"/>
    <w:rsid w:val="002932F8"/>
    <w:rsid w:val="002938EA"/>
    <w:rsid w:val="002961A5"/>
    <w:rsid w:val="00296E83"/>
    <w:rsid w:val="002A04B6"/>
    <w:rsid w:val="002A07CC"/>
    <w:rsid w:val="002A1362"/>
    <w:rsid w:val="002A17A3"/>
    <w:rsid w:val="002A1DB5"/>
    <w:rsid w:val="002A1F57"/>
    <w:rsid w:val="002A26E7"/>
    <w:rsid w:val="002A2D46"/>
    <w:rsid w:val="002A354E"/>
    <w:rsid w:val="002A3A41"/>
    <w:rsid w:val="002A3F34"/>
    <w:rsid w:val="002A402F"/>
    <w:rsid w:val="002A4397"/>
    <w:rsid w:val="002A44FE"/>
    <w:rsid w:val="002A5BF0"/>
    <w:rsid w:val="002A5F37"/>
    <w:rsid w:val="002A69EA"/>
    <w:rsid w:val="002A6BCC"/>
    <w:rsid w:val="002A6BF9"/>
    <w:rsid w:val="002A6CBB"/>
    <w:rsid w:val="002A6D3E"/>
    <w:rsid w:val="002A6F57"/>
    <w:rsid w:val="002A7C39"/>
    <w:rsid w:val="002B001B"/>
    <w:rsid w:val="002B0769"/>
    <w:rsid w:val="002B0C14"/>
    <w:rsid w:val="002B0F9B"/>
    <w:rsid w:val="002B11FF"/>
    <w:rsid w:val="002B15A3"/>
    <w:rsid w:val="002B183F"/>
    <w:rsid w:val="002B1C90"/>
    <w:rsid w:val="002B35DD"/>
    <w:rsid w:val="002B43FE"/>
    <w:rsid w:val="002B4414"/>
    <w:rsid w:val="002B441F"/>
    <w:rsid w:val="002B469D"/>
    <w:rsid w:val="002B4912"/>
    <w:rsid w:val="002B4B4F"/>
    <w:rsid w:val="002B5662"/>
    <w:rsid w:val="002B5CAA"/>
    <w:rsid w:val="002B6B31"/>
    <w:rsid w:val="002B77F3"/>
    <w:rsid w:val="002C0AF0"/>
    <w:rsid w:val="002C1211"/>
    <w:rsid w:val="002C18E9"/>
    <w:rsid w:val="002C1F78"/>
    <w:rsid w:val="002C305C"/>
    <w:rsid w:val="002C37EB"/>
    <w:rsid w:val="002C3CC1"/>
    <w:rsid w:val="002C449D"/>
    <w:rsid w:val="002C4ECE"/>
    <w:rsid w:val="002C57E9"/>
    <w:rsid w:val="002C5B2F"/>
    <w:rsid w:val="002C5E84"/>
    <w:rsid w:val="002C68BF"/>
    <w:rsid w:val="002C6C76"/>
    <w:rsid w:val="002C7AA5"/>
    <w:rsid w:val="002C7B09"/>
    <w:rsid w:val="002C7D44"/>
    <w:rsid w:val="002D0222"/>
    <w:rsid w:val="002D1544"/>
    <w:rsid w:val="002D155E"/>
    <w:rsid w:val="002D1921"/>
    <w:rsid w:val="002D1B16"/>
    <w:rsid w:val="002D208D"/>
    <w:rsid w:val="002D22BF"/>
    <w:rsid w:val="002D23B1"/>
    <w:rsid w:val="002D37E0"/>
    <w:rsid w:val="002D4905"/>
    <w:rsid w:val="002D7421"/>
    <w:rsid w:val="002D779B"/>
    <w:rsid w:val="002E1A51"/>
    <w:rsid w:val="002E1BFA"/>
    <w:rsid w:val="002E297E"/>
    <w:rsid w:val="002E2D21"/>
    <w:rsid w:val="002E38F4"/>
    <w:rsid w:val="002E3FD5"/>
    <w:rsid w:val="002E44B7"/>
    <w:rsid w:val="002E4A73"/>
    <w:rsid w:val="002E50BE"/>
    <w:rsid w:val="002E53BF"/>
    <w:rsid w:val="002E5A9E"/>
    <w:rsid w:val="002E76E9"/>
    <w:rsid w:val="002E7AE5"/>
    <w:rsid w:val="002F0914"/>
    <w:rsid w:val="002F0A81"/>
    <w:rsid w:val="002F0C0B"/>
    <w:rsid w:val="002F1D55"/>
    <w:rsid w:val="002F25CC"/>
    <w:rsid w:val="002F2A0B"/>
    <w:rsid w:val="002F307A"/>
    <w:rsid w:val="002F4278"/>
    <w:rsid w:val="002F517F"/>
    <w:rsid w:val="002F56CB"/>
    <w:rsid w:val="002F57C7"/>
    <w:rsid w:val="002F5811"/>
    <w:rsid w:val="002F5E94"/>
    <w:rsid w:val="002F6929"/>
    <w:rsid w:val="002F6ACE"/>
    <w:rsid w:val="002F6F68"/>
    <w:rsid w:val="002F7657"/>
    <w:rsid w:val="002F78B6"/>
    <w:rsid w:val="002F7BB6"/>
    <w:rsid w:val="00300E94"/>
    <w:rsid w:val="00302469"/>
    <w:rsid w:val="00302AB8"/>
    <w:rsid w:val="003037B0"/>
    <w:rsid w:val="00303846"/>
    <w:rsid w:val="00303BC5"/>
    <w:rsid w:val="0030459A"/>
    <w:rsid w:val="00304CFB"/>
    <w:rsid w:val="00305119"/>
    <w:rsid w:val="00305C8E"/>
    <w:rsid w:val="0030622B"/>
    <w:rsid w:val="003064FF"/>
    <w:rsid w:val="00306E31"/>
    <w:rsid w:val="00310038"/>
    <w:rsid w:val="00311507"/>
    <w:rsid w:val="00311580"/>
    <w:rsid w:val="00311BCF"/>
    <w:rsid w:val="00313984"/>
    <w:rsid w:val="00314125"/>
    <w:rsid w:val="00314645"/>
    <w:rsid w:val="00315819"/>
    <w:rsid w:val="00315EB7"/>
    <w:rsid w:val="00317A7D"/>
    <w:rsid w:val="00320C05"/>
    <w:rsid w:val="00320EE8"/>
    <w:rsid w:val="0032104F"/>
    <w:rsid w:val="00321429"/>
    <w:rsid w:val="00321D5F"/>
    <w:rsid w:val="00321D7A"/>
    <w:rsid w:val="00322473"/>
    <w:rsid w:val="00322804"/>
    <w:rsid w:val="003228C5"/>
    <w:rsid w:val="003232F7"/>
    <w:rsid w:val="003235E8"/>
    <w:rsid w:val="00323A81"/>
    <w:rsid w:val="00323B1B"/>
    <w:rsid w:val="0032487C"/>
    <w:rsid w:val="003248A6"/>
    <w:rsid w:val="00326105"/>
    <w:rsid w:val="00326790"/>
    <w:rsid w:val="00326DB9"/>
    <w:rsid w:val="0032723E"/>
    <w:rsid w:val="00327371"/>
    <w:rsid w:val="0032761C"/>
    <w:rsid w:val="00327F19"/>
    <w:rsid w:val="00330225"/>
    <w:rsid w:val="003307B8"/>
    <w:rsid w:val="00330BFE"/>
    <w:rsid w:val="0033143C"/>
    <w:rsid w:val="003319DA"/>
    <w:rsid w:val="00331FAB"/>
    <w:rsid w:val="00332187"/>
    <w:rsid w:val="00332240"/>
    <w:rsid w:val="00333A7A"/>
    <w:rsid w:val="00333D81"/>
    <w:rsid w:val="003355E9"/>
    <w:rsid w:val="00335B88"/>
    <w:rsid w:val="00335C95"/>
    <w:rsid w:val="00336D3E"/>
    <w:rsid w:val="00337C31"/>
    <w:rsid w:val="00337D8A"/>
    <w:rsid w:val="00337F2F"/>
    <w:rsid w:val="003416AF"/>
    <w:rsid w:val="00343224"/>
    <w:rsid w:val="003435E0"/>
    <w:rsid w:val="00345286"/>
    <w:rsid w:val="00345297"/>
    <w:rsid w:val="00345998"/>
    <w:rsid w:val="003459FD"/>
    <w:rsid w:val="00345D7A"/>
    <w:rsid w:val="00346526"/>
    <w:rsid w:val="00346623"/>
    <w:rsid w:val="003469D0"/>
    <w:rsid w:val="00350405"/>
    <w:rsid w:val="0035133E"/>
    <w:rsid w:val="00351C83"/>
    <w:rsid w:val="003527A3"/>
    <w:rsid w:val="0035426F"/>
    <w:rsid w:val="00354F57"/>
    <w:rsid w:val="00356200"/>
    <w:rsid w:val="00356586"/>
    <w:rsid w:val="003600A5"/>
    <w:rsid w:val="0036032D"/>
    <w:rsid w:val="00360C86"/>
    <w:rsid w:val="003612D0"/>
    <w:rsid w:val="00361DDD"/>
    <w:rsid w:val="00361FEA"/>
    <w:rsid w:val="0036218C"/>
    <w:rsid w:val="003630AB"/>
    <w:rsid w:val="00366B00"/>
    <w:rsid w:val="00367403"/>
    <w:rsid w:val="00367EFB"/>
    <w:rsid w:val="00372254"/>
    <w:rsid w:val="00372430"/>
    <w:rsid w:val="00372B44"/>
    <w:rsid w:val="00373C14"/>
    <w:rsid w:val="003749A7"/>
    <w:rsid w:val="00374B59"/>
    <w:rsid w:val="00375482"/>
    <w:rsid w:val="00375709"/>
    <w:rsid w:val="00375C74"/>
    <w:rsid w:val="003762EF"/>
    <w:rsid w:val="00376953"/>
    <w:rsid w:val="00376B1F"/>
    <w:rsid w:val="00377325"/>
    <w:rsid w:val="003802C5"/>
    <w:rsid w:val="00381927"/>
    <w:rsid w:val="00381CCD"/>
    <w:rsid w:val="00382736"/>
    <w:rsid w:val="00384571"/>
    <w:rsid w:val="0038480C"/>
    <w:rsid w:val="003855C5"/>
    <w:rsid w:val="00386207"/>
    <w:rsid w:val="0038630E"/>
    <w:rsid w:val="00387A3D"/>
    <w:rsid w:val="00387F1A"/>
    <w:rsid w:val="00390A41"/>
    <w:rsid w:val="00390B73"/>
    <w:rsid w:val="00390D85"/>
    <w:rsid w:val="003911AB"/>
    <w:rsid w:val="00391E5A"/>
    <w:rsid w:val="0039220B"/>
    <w:rsid w:val="00392687"/>
    <w:rsid w:val="003927D2"/>
    <w:rsid w:val="003938EF"/>
    <w:rsid w:val="00393CE1"/>
    <w:rsid w:val="00393DF7"/>
    <w:rsid w:val="003950A5"/>
    <w:rsid w:val="00395EF7"/>
    <w:rsid w:val="00396093"/>
    <w:rsid w:val="003962DB"/>
    <w:rsid w:val="003A1521"/>
    <w:rsid w:val="003A155C"/>
    <w:rsid w:val="003A19B5"/>
    <w:rsid w:val="003A1C3F"/>
    <w:rsid w:val="003A25AA"/>
    <w:rsid w:val="003A2C42"/>
    <w:rsid w:val="003A37ED"/>
    <w:rsid w:val="003A473B"/>
    <w:rsid w:val="003A4762"/>
    <w:rsid w:val="003A595A"/>
    <w:rsid w:val="003A677B"/>
    <w:rsid w:val="003A68A3"/>
    <w:rsid w:val="003A6A60"/>
    <w:rsid w:val="003A75C8"/>
    <w:rsid w:val="003B00D7"/>
    <w:rsid w:val="003B0653"/>
    <w:rsid w:val="003B094F"/>
    <w:rsid w:val="003B18C3"/>
    <w:rsid w:val="003B2407"/>
    <w:rsid w:val="003B31DA"/>
    <w:rsid w:val="003B4F78"/>
    <w:rsid w:val="003B5973"/>
    <w:rsid w:val="003B6D88"/>
    <w:rsid w:val="003B722E"/>
    <w:rsid w:val="003B7294"/>
    <w:rsid w:val="003B7531"/>
    <w:rsid w:val="003C0340"/>
    <w:rsid w:val="003C03D7"/>
    <w:rsid w:val="003C0A27"/>
    <w:rsid w:val="003C0F87"/>
    <w:rsid w:val="003C12C6"/>
    <w:rsid w:val="003C1569"/>
    <w:rsid w:val="003C1B34"/>
    <w:rsid w:val="003C212C"/>
    <w:rsid w:val="003C2D6A"/>
    <w:rsid w:val="003C351B"/>
    <w:rsid w:val="003C3706"/>
    <w:rsid w:val="003C4976"/>
    <w:rsid w:val="003C4CC3"/>
    <w:rsid w:val="003C512B"/>
    <w:rsid w:val="003C52C3"/>
    <w:rsid w:val="003C560F"/>
    <w:rsid w:val="003C5B18"/>
    <w:rsid w:val="003C6AE0"/>
    <w:rsid w:val="003C767F"/>
    <w:rsid w:val="003C7DBE"/>
    <w:rsid w:val="003C7EE4"/>
    <w:rsid w:val="003D1E06"/>
    <w:rsid w:val="003D25D5"/>
    <w:rsid w:val="003D27FD"/>
    <w:rsid w:val="003D2A16"/>
    <w:rsid w:val="003D3187"/>
    <w:rsid w:val="003D34A7"/>
    <w:rsid w:val="003D3852"/>
    <w:rsid w:val="003D39EB"/>
    <w:rsid w:val="003D3AF2"/>
    <w:rsid w:val="003D3BB1"/>
    <w:rsid w:val="003D3BBE"/>
    <w:rsid w:val="003D4077"/>
    <w:rsid w:val="003D47EF"/>
    <w:rsid w:val="003D4D5E"/>
    <w:rsid w:val="003D5596"/>
    <w:rsid w:val="003D5938"/>
    <w:rsid w:val="003D5A83"/>
    <w:rsid w:val="003D68AE"/>
    <w:rsid w:val="003D71C3"/>
    <w:rsid w:val="003D7794"/>
    <w:rsid w:val="003E12E2"/>
    <w:rsid w:val="003E1D46"/>
    <w:rsid w:val="003E20EB"/>
    <w:rsid w:val="003E3DF5"/>
    <w:rsid w:val="003E6370"/>
    <w:rsid w:val="003E6B69"/>
    <w:rsid w:val="003E6C50"/>
    <w:rsid w:val="003E6DFE"/>
    <w:rsid w:val="003E739C"/>
    <w:rsid w:val="003F030C"/>
    <w:rsid w:val="003F057C"/>
    <w:rsid w:val="003F0772"/>
    <w:rsid w:val="003F0A49"/>
    <w:rsid w:val="003F0E21"/>
    <w:rsid w:val="003F15B5"/>
    <w:rsid w:val="003F1815"/>
    <w:rsid w:val="003F1A4D"/>
    <w:rsid w:val="003F1B69"/>
    <w:rsid w:val="003F1E6C"/>
    <w:rsid w:val="003F2088"/>
    <w:rsid w:val="003F2859"/>
    <w:rsid w:val="003F2A70"/>
    <w:rsid w:val="003F38D9"/>
    <w:rsid w:val="003F3942"/>
    <w:rsid w:val="003F3DA7"/>
    <w:rsid w:val="003F3DE5"/>
    <w:rsid w:val="003F480F"/>
    <w:rsid w:val="003F4C04"/>
    <w:rsid w:val="003F52A3"/>
    <w:rsid w:val="003F56FB"/>
    <w:rsid w:val="003F61A8"/>
    <w:rsid w:val="003F644C"/>
    <w:rsid w:val="003F672A"/>
    <w:rsid w:val="003F6791"/>
    <w:rsid w:val="003F6E3F"/>
    <w:rsid w:val="00401C95"/>
    <w:rsid w:val="00401E6F"/>
    <w:rsid w:val="00401E85"/>
    <w:rsid w:val="0040275B"/>
    <w:rsid w:val="00403344"/>
    <w:rsid w:val="004042DB"/>
    <w:rsid w:val="00405C9E"/>
    <w:rsid w:val="00406186"/>
    <w:rsid w:val="004076B3"/>
    <w:rsid w:val="00410383"/>
    <w:rsid w:val="004111DC"/>
    <w:rsid w:val="0041125D"/>
    <w:rsid w:val="004118EF"/>
    <w:rsid w:val="00411909"/>
    <w:rsid w:val="004126C0"/>
    <w:rsid w:val="004130E8"/>
    <w:rsid w:val="00413237"/>
    <w:rsid w:val="00413767"/>
    <w:rsid w:val="004140EA"/>
    <w:rsid w:val="0041527A"/>
    <w:rsid w:val="00415BA5"/>
    <w:rsid w:val="004163F6"/>
    <w:rsid w:val="00416A39"/>
    <w:rsid w:val="00416B2C"/>
    <w:rsid w:val="00416D70"/>
    <w:rsid w:val="00420AFB"/>
    <w:rsid w:val="00420CEF"/>
    <w:rsid w:val="00421E99"/>
    <w:rsid w:val="00422DF5"/>
    <w:rsid w:val="00424276"/>
    <w:rsid w:val="004266B0"/>
    <w:rsid w:val="00426C97"/>
    <w:rsid w:val="00426E35"/>
    <w:rsid w:val="004274FC"/>
    <w:rsid w:val="004279DD"/>
    <w:rsid w:val="00430223"/>
    <w:rsid w:val="004305E4"/>
    <w:rsid w:val="00430D83"/>
    <w:rsid w:val="00430E2A"/>
    <w:rsid w:val="00430F20"/>
    <w:rsid w:val="004313A3"/>
    <w:rsid w:val="00431492"/>
    <w:rsid w:val="00431EFA"/>
    <w:rsid w:val="00432D55"/>
    <w:rsid w:val="00432EFD"/>
    <w:rsid w:val="004338D5"/>
    <w:rsid w:val="00433ABF"/>
    <w:rsid w:val="00433CC8"/>
    <w:rsid w:val="00433DD7"/>
    <w:rsid w:val="00434AA9"/>
    <w:rsid w:val="00434E58"/>
    <w:rsid w:val="004356BF"/>
    <w:rsid w:val="0043783E"/>
    <w:rsid w:val="004378F8"/>
    <w:rsid w:val="004403FD"/>
    <w:rsid w:val="0044142E"/>
    <w:rsid w:val="00441435"/>
    <w:rsid w:val="00441A8F"/>
    <w:rsid w:val="0044263D"/>
    <w:rsid w:val="00442A9C"/>
    <w:rsid w:val="00443544"/>
    <w:rsid w:val="00443644"/>
    <w:rsid w:val="00445050"/>
    <w:rsid w:val="00445AF2"/>
    <w:rsid w:val="00445B07"/>
    <w:rsid w:val="00445FD5"/>
    <w:rsid w:val="004470B5"/>
    <w:rsid w:val="004507C1"/>
    <w:rsid w:val="004511C4"/>
    <w:rsid w:val="00451227"/>
    <w:rsid w:val="004516F1"/>
    <w:rsid w:val="004519EE"/>
    <w:rsid w:val="00451AB8"/>
    <w:rsid w:val="00452069"/>
    <w:rsid w:val="00452B51"/>
    <w:rsid w:val="004530E1"/>
    <w:rsid w:val="00453B83"/>
    <w:rsid w:val="00453D0B"/>
    <w:rsid w:val="00453D4E"/>
    <w:rsid w:val="00455292"/>
    <w:rsid w:val="004561DF"/>
    <w:rsid w:val="004568D3"/>
    <w:rsid w:val="00456ABA"/>
    <w:rsid w:val="00456D32"/>
    <w:rsid w:val="00457370"/>
    <w:rsid w:val="00457837"/>
    <w:rsid w:val="00460896"/>
    <w:rsid w:val="004608E1"/>
    <w:rsid w:val="00460E20"/>
    <w:rsid w:val="00461967"/>
    <w:rsid w:val="00461D15"/>
    <w:rsid w:val="00463A09"/>
    <w:rsid w:val="0046423E"/>
    <w:rsid w:val="00464F23"/>
    <w:rsid w:val="0046524A"/>
    <w:rsid w:val="00465B00"/>
    <w:rsid w:val="0046709E"/>
    <w:rsid w:val="0047049E"/>
    <w:rsid w:val="00470A1D"/>
    <w:rsid w:val="00470B63"/>
    <w:rsid w:val="00470CAF"/>
    <w:rsid w:val="00470EAF"/>
    <w:rsid w:val="00471727"/>
    <w:rsid w:val="00471B2C"/>
    <w:rsid w:val="00471D11"/>
    <w:rsid w:val="00472D47"/>
    <w:rsid w:val="00472E50"/>
    <w:rsid w:val="00473CCD"/>
    <w:rsid w:val="0047406F"/>
    <w:rsid w:val="004748FB"/>
    <w:rsid w:val="00474E07"/>
    <w:rsid w:val="00475040"/>
    <w:rsid w:val="0047565D"/>
    <w:rsid w:val="00475B3C"/>
    <w:rsid w:val="00475B51"/>
    <w:rsid w:val="004761AB"/>
    <w:rsid w:val="00476276"/>
    <w:rsid w:val="00476DAC"/>
    <w:rsid w:val="00476F1C"/>
    <w:rsid w:val="004772CE"/>
    <w:rsid w:val="00477BE2"/>
    <w:rsid w:val="00480DF0"/>
    <w:rsid w:val="004820FA"/>
    <w:rsid w:val="00482125"/>
    <w:rsid w:val="004823CD"/>
    <w:rsid w:val="004827D0"/>
    <w:rsid w:val="00482E91"/>
    <w:rsid w:val="004837E8"/>
    <w:rsid w:val="00483A72"/>
    <w:rsid w:val="004840C3"/>
    <w:rsid w:val="004842C9"/>
    <w:rsid w:val="004849C1"/>
    <w:rsid w:val="00485236"/>
    <w:rsid w:val="0048527D"/>
    <w:rsid w:val="00486424"/>
    <w:rsid w:val="004868BA"/>
    <w:rsid w:val="00487D9D"/>
    <w:rsid w:val="00487F7E"/>
    <w:rsid w:val="004906F1"/>
    <w:rsid w:val="00491247"/>
    <w:rsid w:val="00491B4C"/>
    <w:rsid w:val="00491D2A"/>
    <w:rsid w:val="0049210A"/>
    <w:rsid w:val="00494026"/>
    <w:rsid w:val="004942D7"/>
    <w:rsid w:val="004955D7"/>
    <w:rsid w:val="00495601"/>
    <w:rsid w:val="004976A2"/>
    <w:rsid w:val="00497FFA"/>
    <w:rsid w:val="004A0AC4"/>
    <w:rsid w:val="004A13C0"/>
    <w:rsid w:val="004A2F45"/>
    <w:rsid w:val="004A317C"/>
    <w:rsid w:val="004A3D63"/>
    <w:rsid w:val="004A46D4"/>
    <w:rsid w:val="004A4A04"/>
    <w:rsid w:val="004A531A"/>
    <w:rsid w:val="004A5568"/>
    <w:rsid w:val="004A5996"/>
    <w:rsid w:val="004A5A6C"/>
    <w:rsid w:val="004A5E42"/>
    <w:rsid w:val="004A662C"/>
    <w:rsid w:val="004A7265"/>
    <w:rsid w:val="004B0EEB"/>
    <w:rsid w:val="004B0F52"/>
    <w:rsid w:val="004B10CE"/>
    <w:rsid w:val="004B157F"/>
    <w:rsid w:val="004B20C4"/>
    <w:rsid w:val="004B22EB"/>
    <w:rsid w:val="004B2FB6"/>
    <w:rsid w:val="004B399B"/>
    <w:rsid w:val="004B45B4"/>
    <w:rsid w:val="004C0187"/>
    <w:rsid w:val="004C0BA8"/>
    <w:rsid w:val="004C0C28"/>
    <w:rsid w:val="004C1A2C"/>
    <w:rsid w:val="004C1ADB"/>
    <w:rsid w:val="004C2CF0"/>
    <w:rsid w:val="004C3809"/>
    <w:rsid w:val="004C47BD"/>
    <w:rsid w:val="004C4A84"/>
    <w:rsid w:val="004C4E46"/>
    <w:rsid w:val="004C52FD"/>
    <w:rsid w:val="004C5460"/>
    <w:rsid w:val="004C685E"/>
    <w:rsid w:val="004C69F5"/>
    <w:rsid w:val="004C6CEA"/>
    <w:rsid w:val="004C7157"/>
    <w:rsid w:val="004C7E97"/>
    <w:rsid w:val="004D1EEF"/>
    <w:rsid w:val="004D20CA"/>
    <w:rsid w:val="004D34D7"/>
    <w:rsid w:val="004D3E69"/>
    <w:rsid w:val="004D4252"/>
    <w:rsid w:val="004D47E1"/>
    <w:rsid w:val="004D4E62"/>
    <w:rsid w:val="004D50CB"/>
    <w:rsid w:val="004D580C"/>
    <w:rsid w:val="004D5C3C"/>
    <w:rsid w:val="004D5F69"/>
    <w:rsid w:val="004D5FD6"/>
    <w:rsid w:val="004D739E"/>
    <w:rsid w:val="004E010F"/>
    <w:rsid w:val="004E034A"/>
    <w:rsid w:val="004E07CE"/>
    <w:rsid w:val="004E0C76"/>
    <w:rsid w:val="004E20C0"/>
    <w:rsid w:val="004E24B0"/>
    <w:rsid w:val="004E2E0D"/>
    <w:rsid w:val="004E2EA6"/>
    <w:rsid w:val="004E3BD3"/>
    <w:rsid w:val="004E3CD6"/>
    <w:rsid w:val="004E3D73"/>
    <w:rsid w:val="004E3DB1"/>
    <w:rsid w:val="004E5244"/>
    <w:rsid w:val="004E6C9F"/>
    <w:rsid w:val="004E6DA8"/>
    <w:rsid w:val="004F0D94"/>
    <w:rsid w:val="004F1081"/>
    <w:rsid w:val="004F115B"/>
    <w:rsid w:val="004F2B24"/>
    <w:rsid w:val="004F2EAD"/>
    <w:rsid w:val="004F2EC8"/>
    <w:rsid w:val="004F2FC4"/>
    <w:rsid w:val="004F368F"/>
    <w:rsid w:val="004F39A9"/>
    <w:rsid w:val="004F3A96"/>
    <w:rsid w:val="004F44D5"/>
    <w:rsid w:val="004F55B2"/>
    <w:rsid w:val="004F55C8"/>
    <w:rsid w:val="004F5C31"/>
    <w:rsid w:val="004F6730"/>
    <w:rsid w:val="004F68F3"/>
    <w:rsid w:val="004F6A44"/>
    <w:rsid w:val="004F744A"/>
    <w:rsid w:val="004F7F06"/>
    <w:rsid w:val="00500148"/>
    <w:rsid w:val="00500386"/>
    <w:rsid w:val="00500C46"/>
    <w:rsid w:val="00500FB7"/>
    <w:rsid w:val="0050127D"/>
    <w:rsid w:val="00501699"/>
    <w:rsid w:val="00501D79"/>
    <w:rsid w:val="0050245A"/>
    <w:rsid w:val="00502C7B"/>
    <w:rsid w:val="0050394B"/>
    <w:rsid w:val="005039C7"/>
    <w:rsid w:val="00503E70"/>
    <w:rsid w:val="00505FBF"/>
    <w:rsid w:val="00507165"/>
    <w:rsid w:val="00507A81"/>
    <w:rsid w:val="00507AE3"/>
    <w:rsid w:val="00507CB2"/>
    <w:rsid w:val="00510270"/>
    <w:rsid w:val="00510527"/>
    <w:rsid w:val="005109F7"/>
    <w:rsid w:val="0051175F"/>
    <w:rsid w:val="00512760"/>
    <w:rsid w:val="00512FC8"/>
    <w:rsid w:val="00513529"/>
    <w:rsid w:val="005155F6"/>
    <w:rsid w:val="00516935"/>
    <w:rsid w:val="00516E37"/>
    <w:rsid w:val="00517F97"/>
    <w:rsid w:val="00520A1F"/>
    <w:rsid w:val="00520F77"/>
    <w:rsid w:val="005219BD"/>
    <w:rsid w:val="005233D5"/>
    <w:rsid w:val="0052394C"/>
    <w:rsid w:val="00524D7E"/>
    <w:rsid w:val="00524FEE"/>
    <w:rsid w:val="005253CA"/>
    <w:rsid w:val="00526183"/>
    <w:rsid w:val="00526566"/>
    <w:rsid w:val="00527AF5"/>
    <w:rsid w:val="00530332"/>
    <w:rsid w:val="005308E3"/>
    <w:rsid w:val="00530A56"/>
    <w:rsid w:val="00530F24"/>
    <w:rsid w:val="00531D45"/>
    <w:rsid w:val="00533014"/>
    <w:rsid w:val="005332B7"/>
    <w:rsid w:val="005332EB"/>
    <w:rsid w:val="0053344A"/>
    <w:rsid w:val="00533546"/>
    <w:rsid w:val="005335FA"/>
    <w:rsid w:val="0053391C"/>
    <w:rsid w:val="00533D3F"/>
    <w:rsid w:val="00534766"/>
    <w:rsid w:val="00534C81"/>
    <w:rsid w:val="00534EB0"/>
    <w:rsid w:val="00535936"/>
    <w:rsid w:val="00535F87"/>
    <w:rsid w:val="00535FAB"/>
    <w:rsid w:val="00536CAA"/>
    <w:rsid w:val="005370DA"/>
    <w:rsid w:val="0053753F"/>
    <w:rsid w:val="00537A9B"/>
    <w:rsid w:val="00537DAE"/>
    <w:rsid w:val="00540320"/>
    <w:rsid w:val="0054085F"/>
    <w:rsid w:val="005409B5"/>
    <w:rsid w:val="00540C62"/>
    <w:rsid w:val="005414F9"/>
    <w:rsid w:val="00542C61"/>
    <w:rsid w:val="00542FA2"/>
    <w:rsid w:val="005431A9"/>
    <w:rsid w:val="005432C4"/>
    <w:rsid w:val="00543BFD"/>
    <w:rsid w:val="005448F3"/>
    <w:rsid w:val="00545306"/>
    <w:rsid w:val="00546977"/>
    <w:rsid w:val="00546BDE"/>
    <w:rsid w:val="00546D39"/>
    <w:rsid w:val="0055063F"/>
    <w:rsid w:val="005513F8"/>
    <w:rsid w:val="00551402"/>
    <w:rsid w:val="005515A8"/>
    <w:rsid w:val="00551CE4"/>
    <w:rsid w:val="00553ECD"/>
    <w:rsid w:val="0055553B"/>
    <w:rsid w:val="00555764"/>
    <w:rsid w:val="00555EAE"/>
    <w:rsid w:val="0055650B"/>
    <w:rsid w:val="0055729F"/>
    <w:rsid w:val="0055778C"/>
    <w:rsid w:val="00557829"/>
    <w:rsid w:val="005578A8"/>
    <w:rsid w:val="00557CF2"/>
    <w:rsid w:val="00560616"/>
    <w:rsid w:val="00560826"/>
    <w:rsid w:val="00560E22"/>
    <w:rsid w:val="00561AFC"/>
    <w:rsid w:val="00561E65"/>
    <w:rsid w:val="005628F2"/>
    <w:rsid w:val="00562DAD"/>
    <w:rsid w:val="00563792"/>
    <w:rsid w:val="00563B44"/>
    <w:rsid w:val="0056418D"/>
    <w:rsid w:val="0056491C"/>
    <w:rsid w:val="00567936"/>
    <w:rsid w:val="005703D6"/>
    <w:rsid w:val="005709F9"/>
    <w:rsid w:val="00570ACE"/>
    <w:rsid w:val="00570FE9"/>
    <w:rsid w:val="00571118"/>
    <w:rsid w:val="0057129D"/>
    <w:rsid w:val="00571381"/>
    <w:rsid w:val="00571FD5"/>
    <w:rsid w:val="005721B8"/>
    <w:rsid w:val="00573F56"/>
    <w:rsid w:val="0057713C"/>
    <w:rsid w:val="0057798D"/>
    <w:rsid w:val="0058023C"/>
    <w:rsid w:val="00580293"/>
    <w:rsid w:val="0058163C"/>
    <w:rsid w:val="00581ED2"/>
    <w:rsid w:val="00582032"/>
    <w:rsid w:val="005823ED"/>
    <w:rsid w:val="00583C0C"/>
    <w:rsid w:val="00583F93"/>
    <w:rsid w:val="00584688"/>
    <w:rsid w:val="00585129"/>
    <w:rsid w:val="005851E9"/>
    <w:rsid w:val="00585D45"/>
    <w:rsid w:val="00586CD3"/>
    <w:rsid w:val="00587116"/>
    <w:rsid w:val="0058725D"/>
    <w:rsid w:val="0058788A"/>
    <w:rsid w:val="00587C7A"/>
    <w:rsid w:val="005900ED"/>
    <w:rsid w:val="00591147"/>
    <w:rsid w:val="0059185B"/>
    <w:rsid w:val="0059212D"/>
    <w:rsid w:val="00592588"/>
    <w:rsid w:val="00592939"/>
    <w:rsid w:val="005931B9"/>
    <w:rsid w:val="0059372D"/>
    <w:rsid w:val="00595CD0"/>
    <w:rsid w:val="00596BFE"/>
    <w:rsid w:val="005977C7"/>
    <w:rsid w:val="005A015D"/>
    <w:rsid w:val="005A0617"/>
    <w:rsid w:val="005A06FE"/>
    <w:rsid w:val="005A14DF"/>
    <w:rsid w:val="005A247B"/>
    <w:rsid w:val="005A252A"/>
    <w:rsid w:val="005A28ED"/>
    <w:rsid w:val="005A2B4F"/>
    <w:rsid w:val="005A2E77"/>
    <w:rsid w:val="005A3C32"/>
    <w:rsid w:val="005A4765"/>
    <w:rsid w:val="005A49F9"/>
    <w:rsid w:val="005A4A65"/>
    <w:rsid w:val="005A5987"/>
    <w:rsid w:val="005A650E"/>
    <w:rsid w:val="005B0B5D"/>
    <w:rsid w:val="005B262E"/>
    <w:rsid w:val="005B28CB"/>
    <w:rsid w:val="005B2925"/>
    <w:rsid w:val="005B423A"/>
    <w:rsid w:val="005B5FC5"/>
    <w:rsid w:val="005B628D"/>
    <w:rsid w:val="005B6FD7"/>
    <w:rsid w:val="005B7915"/>
    <w:rsid w:val="005C05DA"/>
    <w:rsid w:val="005C08AC"/>
    <w:rsid w:val="005C14BD"/>
    <w:rsid w:val="005C4604"/>
    <w:rsid w:val="005C488A"/>
    <w:rsid w:val="005C4982"/>
    <w:rsid w:val="005C4D55"/>
    <w:rsid w:val="005C4E39"/>
    <w:rsid w:val="005C5036"/>
    <w:rsid w:val="005C50B0"/>
    <w:rsid w:val="005C5511"/>
    <w:rsid w:val="005C5692"/>
    <w:rsid w:val="005C629C"/>
    <w:rsid w:val="005C6E80"/>
    <w:rsid w:val="005C75D8"/>
    <w:rsid w:val="005D0724"/>
    <w:rsid w:val="005D1374"/>
    <w:rsid w:val="005D1376"/>
    <w:rsid w:val="005D16EF"/>
    <w:rsid w:val="005D2780"/>
    <w:rsid w:val="005D2A0D"/>
    <w:rsid w:val="005D3013"/>
    <w:rsid w:val="005D34D9"/>
    <w:rsid w:val="005D3613"/>
    <w:rsid w:val="005D361B"/>
    <w:rsid w:val="005D373A"/>
    <w:rsid w:val="005D3B25"/>
    <w:rsid w:val="005D49F8"/>
    <w:rsid w:val="005D55F1"/>
    <w:rsid w:val="005D6846"/>
    <w:rsid w:val="005D696E"/>
    <w:rsid w:val="005D6E36"/>
    <w:rsid w:val="005D769B"/>
    <w:rsid w:val="005E071B"/>
    <w:rsid w:val="005E1614"/>
    <w:rsid w:val="005E175F"/>
    <w:rsid w:val="005E2AC5"/>
    <w:rsid w:val="005E4739"/>
    <w:rsid w:val="005E47BA"/>
    <w:rsid w:val="005E48C5"/>
    <w:rsid w:val="005E4ADD"/>
    <w:rsid w:val="005E501E"/>
    <w:rsid w:val="005E57D3"/>
    <w:rsid w:val="005E6493"/>
    <w:rsid w:val="005E683B"/>
    <w:rsid w:val="005E6E47"/>
    <w:rsid w:val="005E6EFB"/>
    <w:rsid w:val="005E7222"/>
    <w:rsid w:val="005E7307"/>
    <w:rsid w:val="005E771A"/>
    <w:rsid w:val="005E776A"/>
    <w:rsid w:val="005E7D68"/>
    <w:rsid w:val="005F1272"/>
    <w:rsid w:val="005F19D1"/>
    <w:rsid w:val="005F1B8A"/>
    <w:rsid w:val="005F1F92"/>
    <w:rsid w:val="005F2278"/>
    <w:rsid w:val="005F3A08"/>
    <w:rsid w:val="005F3DA4"/>
    <w:rsid w:val="005F45EA"/>
    <w:rsid w:val="005F4830"/>
    <w:rsid w:val="005F523F"/>
    <w:rsid w:val="005F5406"/>
    <w:rsid w:val="005F5DC1"/>
    <w:rsid w:val="005F602F"/>
    <w:rsid w:val="005F6031"/>
    <w:rsid w:val="005F77E7"/>
    <w:rsid w:val="005F7989"/>
    <w:rsid w:val="005F7B4A"/>
    <w:rsid w:val="0060095A"/>
    <w:rsid w:val="00601E64"/>
    <w:rsid w:val="00601F1B"/>
    <w:rsid w:val="00602328"/>
    <w:rsid w:val="00603214"/>
    <w:rsid w:val="0060409F"/>
    <w:rsid w:val="00604605"/>
    <w:rsid w:val="00604FD9"/>
    <w:rsid w:val="0060520D"/>
    <w:rsid w:val="00605AAE"/>
    <w:rsid w:val="006063BA"/>
    <w:rsid w:val="0060732A"/>
    <w:rsid w:val="006116D0"/>
    <w:rsid w:val="00611A4C"/>
    <w:rsid w:val="00611C1D"/>
    <w:rsid w:val="006124C0"/>
    <w:rsid w:val="00612B2B"/>
    <w:rsid w:val="006141BA"/>
    <w:rsid w:val="006144B2"/>
    <w:rsid w:val="00614662"/>
    <w:rsid w:val="00614956"/>
    <w:rsid w:val="006156BF"/>
    <w:rsid w:val="006158CA"/>
    <w:rsid w:val="00615C3F"/>
    <w:rsid w:val="00615FB6"/>
    <w:rsid w:val="006164C8"/>
    <w:rsid w:val="00616DE1"/>
    <w:rsid w:val="006178FC"/>
    <w:rsid w:val="006200C9"/>
    <w:rsid w:val="006212E4"/>
    <w:rsid w:val="006215B5"/>
    <w:rsid w:val="00621700"/>
    <w:rsid w:val="00621C95"/>
    <w:rsid w:val="00621D3B"/>
    <w:rsid w:val="00622520"/>
    <w:rsid w:val="00625765"/>
    <w:rsid w:val="00625F69"/>
    <w:rsid w:val="00625F77"/>
    <w:rsid w:val="00626549"/>
    <w:rsid w:val="00626670"/>
    <w:rsid w:val="00626A9C"/>
    <w:rsid w:val="0062770F"/>
    <w:rsid w:val="00627B52"/>
    <w:rsid w:val="006303EC"/>
    <w:rsid w:val="006309FE"/>
    <w:rsid w:val="00631061"/>
    <w:rsid w:val="0063176C"/>
    <w:rsid w:val="006323AD"/>
    <w:rsid w:val="006326D2"/>
    <w:rsid w:val="00633812"/>
    <w:rsid w:val="00633F4B"/>
    <w:rsid w:val="00633FA5"/>
    <w:rsid w:val="00634186"/>
    <w:rsid w:val="00634AD8"/>
    <w:rsid w:val="006365F0"/>
    <w:rsid w:val="00637C11"/>
    <w:rsid w:val="006423DE"/>
    <w:rsid w:val="00642B33"/>
    <w:rsid w:val="00644520"/>
    <w:rsid w:val="00644E54"/>
    <w:rsid w:val="006450E2"/>
    <w:rsid w:val="00645D85"/>
    <w:rsid w:val="006460E6"/>
    <w:rsid w:val="006464F0"/>
    <w:rsid w:val="0064688B"/>
    <w:rsid w:val="00647941"/>
    <w:rsid w:val="006479E5"/>
    <w:rsid w:val="006503F0"/>
    <w:rsid w:val="00650F40"/>
    <w:rsid w:val="00652ADB"/>
    <w:rsid w:val="00652D20"/>
    <w:rsid w:val="00653124"/>
    <w:rsid w:val="006540C4"/>
    <w:rsid w:val="00654433"/>
    <w:rsid w:val="0065445E"/>
    <w:rsid w:val="00654DAF"/>
    <w:rsid w:val="00655AD0"/>
    <w:rsid w:val="006565F8"/>
    <w:rsid w:val="006568C5"/>
    <w:rsid w:val="00656B56"/>
    <w:rsid w:val="00657A8E"/>
    <w:rsid w:val="00657EE4"/>
    <w:rsid w:val="006610C6"/>
    <w:rsid w:val="006611BB"/>
    <w:rsid w:val="006611F3"/>
    <w:rsid w:val="0066152C"/>
    <w:rsid w:val="006615B0"/>
    <w:rsid w:val="006628CE"/>
    <w:rsid w:val="00664EB1"/>
    <w:rsid w:val="00665287"/>
    <w:rsid w:val="00665754"/>
    <w:rsid w:val="0066625F"/>
    <w:rsid w:val="00666453"/>
    <w:rsid w:val="00666988"/>
    <w:rsid w:val="006678F9"/>
    <w:rsid w:val="00667930"/>
    <w:rsid w:val="00667A9E"/>
    <w:rsid w:val="0067010E"/>
    <w:rsid w:val="006711CB"/>
    <w:rsid w:val="006714E7"/>
    <w:rsid w:val="0067214B"/>
    <w:rsid w:val="006724E0"/>
    <w:rsid w:val="006744FA"/>
    <w:rsid w:val="006751AE"/>
    <w:rsid w:val="00675ADE"/>
    <w:rsid w:val="00675C31"/>
    <w:rsid w:val="00676A19"/>
    <w:rsid w:val="0067738D"/>
    <w:rsid w:val="00677511"/>
    <w:rsid w:val="00680BB5"/>
    <w:rsid w:val="006811C7"/>
    <w:rsid w:val="00682A72"/>
    <w:rsid w:val="00682E01"/>
    <w:rsid w:val="00683D89"/>
    <w:rsid w:val="0068405F"/>
    <w:rsid w:val="006843EE"/>
    <w:rsid w:val="0068567D"/>
    <w:rsid w:val="0068601A"/>
    <w:rsid w:val="006864D3"/>
    <w:rsid w:val="00686532"/>
    <w:rsid w:val="00686C74"/>
    <w:rsid w:val="00686F41"/>
    <w:rsid w:val="00687001"/>
    <w:rsid w:val="006871CC"/>
    <w:rsid w:val="0068740A"/>
    <w:rsid w:val="00687C3C"/>
    <w:rsid w:val="00690DB3"/>
    <w:rsid w:val="0069137D"/>
    <w:rsid w:val="006935E2"/>
    <w:rsid w:val="00693D29"/>
    <w:rsid w:val="00693DA8"/>
    <w:rsid w:val="00693F56"/>
    <w:rsid w:val="006949F2"/>
    <w:rsid w:val="00696008"/>
    <w:rsid w:val="00696872"/>
    <w:rsid w:val="006972C2"/>
    <w:rsid w:val="00697706"/>
    <w:rsid w:val="00697EE9"/>
    <w:rsid w:val="006A031F"/>
    <w:rsid w:val="006A03DE"/>
    <w:rsid w:val="006A04F8"/>
    <w:rsid w:val="006A1156"/>
    <w:rsid w:val="006A1833"/>
    <w:rsid w:val="006A2BDE"/>
    <w:rsid w:val="006A2FF9"/>
    <w:rsid w:val="006A35A4"/>
    <w:rsid w:val="006A461F"/>
    <w:rsid w:val="006A4A77"/>
    <w:rsid w:val="006A50A3"/>
    <w:rsid w:val="006A517F"/>
    <w:rsid w:val="006A52DF"/>
    <w:rsid w:val="006A5B1B"/>
    <w:rsid w:val="006A60DF"/>
    <w:rsid w:val="006A61BB"/>
    <w:rsid w:val="006A65A4"/>
    <w:rsid w:val="006A664C"/>
    <w:rsid w:val="006A6E9A"/>
    <w:rsid w:val="006A7FB6"/>
    <w:rsid w:val="006B00BC"/>
    <w:rsid w:val="006B12E6"/>
    <w:rsid w:val="006B184B"/>
    <w:rsid w:val="006B2056"/>
    <w:rsid w:val="006B28C6"/>
    <w:rsid w:val="006B308D"/>
    <w:rsid w:val="006B325D"/>
    <w:rsid w:val="006B3BD4"/>
    <w:rsid w:val="006B3DB6"/>
    <w:rsid w:val="006B3DDF"/>
    <w:rsid w:val="006B4565"/>
    <w:rsid w:val="006B5324"/>
    <w:rsid w:val="006B56AF"/>
    <w:rsid w:val="006B648E"/>
    <w:rsid w:val="006B6749"/>
    <w:rsid w:val="006B72B3"/>
    <w:rsid w:val="006B7526"/>
    <w:rsid w:val="006B7B0F"/>
    <w:rsid w:val="006C0004"/>
    <w:rsid w:val="006C0B22"/>
    <w:rsid w:val="006C2047"/>
    <w:rsid w:val="006C2AB0"/>
    <w:rsid w:val="006C3B73"/>
    <w:rsid w:val="006C4BCA"/>
    <w:rsid w:val="006C4E7A"/>
    <w:rsid w:val="006C5CDE"/>
    <w:rsid w:val="006C5E78"/>
    <w:rsid w:val="006C5F3D"/>
    <w:rsid w:val="006C64E2"/>
    <w:rsid w:val="006C69AB"/>
    <w:rsid w:val="006C6B49"/>
    <w:rsid w:val="006C76B1"/>
    <w:rsid w:val="006C7810"/>
    <w:rsid w:val="006C7F74"/>
    <w:rsid w:val="006D0BCA"/>
    <w:rsid w:val="006D132C"/>
    <w:rsid w:val="006D1365"/>
    <w:rsid w:val="006D1B62"/>
    <w:rsid w:val="006D2188"/>
    <w:rsid w:val="006D247F"/>
    <w:rsid w:val="006D2E7F"/>
    <w:rsid w:val="006D4E61"/>
    <w:rsid w:val="006D5A78"/>
    <w:rsid w:val="006D5BE3"/>
    <w:rsid w:val="006D5C1A"/>
    <w:rsid w:val="006D6915"/>
    <w:rsid w:val="006D764C"/>
    <w:rsid w:val="006E006A"/>
    <w:rsid w:val="006E12EB"/>
    <w:rsid w:val="006E1543"/>
    <w:rsid w:val="006E1DC5"/>
    <w:rsid w:val="006E37E0"/>
    <w:rsid w:val="006E3AE7"/>
    <w:rsid w:val="006E439C"/>
    <w:rsid w:val="006E458E"/>
    <w:rsid w:val="006E4684"/>
    <w:rsid w:val="006E4824"/>
    <w:rsid w:val="006E53BD"/>
    <w:rsid w:val="006E66AB"/>
    <w:rsid w:val="006E68E5"/>
    <w:rsid w:val="006E6F93"/>
    <w:rsid w:val="006E722A"/>
    <w:rsid w:val="006E7511"/>
    <w:rsid w:val="006E75C2"/>
    <w:rsid w:val="006E79C6"/>
    <w:rsid w:val="006F0133"/>
    <w:rsid w:val="006F0933"/>
    <w:rsid w:val="006F0CB1"/>
    <w:rsid w:val="006F1032"/>
    <w:rsid w:val="006F16C0"/>
    <w:rsid w:val="006F42D3"/>
    <w:rsid w:val="006F44C7"/>
    <w:rsid w:val="006F5B5A"/>
    <w:rsid w:val="006F5C18"/>
    <w:rsid w:val="006F6922"/>
    <w:rsid w:val="006F6E04"/>
    <w:rsid w:val="006F7269"/>
    <w:rsid w:val="00700875"/>
    <w:rsid w:val="00700B1A"/>
    <w:rsid w:val="00700FDD"/>
    <w:rsid w:val="0070388D"/>
    <w:rsid w:val="00704468"/>
    <w:rsid w:val="00704685"/>
    <w:rsid w:val="00704819"/>
    <w:rsid w:val="00704B16"/>
    <w:rsid w:val="00705015"/>
    <w:rsid w:val="00705318"/>
    <w:rsid w:val="00706274"/>
    <w:rsid w:val="00706770"/>
    <w:rsid w:val="007071EF"/>
    <w:rsid w:val="00707A04"/>
    <w:rsid w:val="00710756"/>
    <w:rsid w:val="007108B1"/>
    <w:rsid w:val="00710BC3"/>
    <w:rsid w:val="0071112A"/>
    <w:rsid w:val="007112FB"/>
    <w:rsid w:val="00711320"/>
    <w:rsid w:val="00711B90"/>
    <w:rsid w:val="00711CBC"/>
    <w:rsid w:val="00711DB6"/>
    <w:rsid w:val="00712476"/>
    <w:rsid w:val="007126FE"/>
    <w:rsid w:val="00712FB6"/>
    <w:rsid w:val="00713A53"/>
    <w:rsid w:val="00714621"/>
    <w:rsid w:val="0071496C"/>
    <w:rsid w:val="00715073"/>
    <w:rsid w:val="007150E5"/>
    <w:rsid w:val="00715296"/>
    <w:rsid w:val="007154A6"/>
    <w:rsid w:val="0071562E"/>
    <w:rsid w:val="00715CB9"/>
    <w:rsid w:val="00715E77"/>
    <w:rsid w:val="00716455"/>
    <w:rsid w:val="00716DBB"/>
    <w:rsid w:val="00716E12"/>
    <w:rsid w:val="00717FDC"/>
    <w:rsid w:val="0072042F"/>
    <w:rsid w:val="00720621"/>
    <w:rsid w:val="007225B0"/>
    <w:rsid w:val="00722B0E"/>
    <w:rsid w:val="00722B17"/>
    <w:rsid w:val="00722C49"/>
    <w:rsid w:val="007241FA"/>
    <w:rsid w:val="00724B80"/>
    <w:rsid w:val="00725A46"/>
    <w:rsid w:val="00726CE8"/>
    <w:rsid w:val="007270B0"/>
    <w:rsid w:val="00727226"/>
    <w:rsid w:val="00727FC6"/>
    <w:rsid w:val="007306E7"/>
    <w:rsid w:val="00730EFE"/>
    <w:rsid w:val="007315BD"/>
    <w:rsid w:val="00731E51"/>
    <w:rsid w:val="00732109"/>
    <w:rsid w:val="0073293A"/>
    <w:rsid w:val="00732CC7"/>
    <w:rsid w:val="00733439"/>
    <w:rsid w:val="007337CE"/>
    <w:rsid w:val="00733B19"/>
    <w:rsid w:val="00735024"/>
    <w:rsid w:val="007352D7"/>
    <w:rsid w:val="0073587C"/>
    <w:rsid w:val="00735988"/>
    <w:rsid w:val="00736A99"/>
    <w:rsid w:val="0073741A"/>
    <w:rsid w:val="00737815"/>
    <w:rsid w:val="00737C74"/>
    <w:rsid w:val="00737D77"/>
    <w:rsid w:val="00740703"/>
    <w:rsid w:val="00740C64"/>
    <w:rsid w:val="00741066"/>
    <w:rsid w:val="0074147A"/>
    <w:rsid w:val="00741A4A"/>
    <w:rsid w:val="007424D4"/>
    <w:rsid w:val="00742705"/>
    <w:rsid w:val="00742CF2"/>
    <w:rsid w:val="00742F0B"/>
    <w:rsid w:val="00742F3A"/>
    <w:rsid w:val="00743B24"/>
    <w:rsid w:val="00743CC6"/>
    <w:rsid w:val="00743D12"/>
    <w:rsid w:val="00744BEC"/>
    <w:rsid w:val="00746048"/>
    <w:rsid w:val="0074669C"/>
    <w:rsid w:val="00746780"/>
    <w:rsid w:val="00746843"/>
    <w:rsid w:val="00746EE9"/>
    <w:rsid w:val="00746F98"/>
    <w:rsid w:val="00747188"/>
    <w:rsid w:val="00750DF0"/>
    <w:rsid w:val="00751015"/>
    <w:rsid w:val="007523D3"/>
    <w:rsid w:val="00752C87"/>
    <w:rsid w:val="00754283"/>
    <w:rsid w:val="007552D2"/>
    <w:rsid w:val="00755369"/>
    <w:rsid w:val="00755B7F"/>
    <w:rsid w:val="00760449"/>
    <w:rsid w:val="0076192E"/>
    <w:rsid w:val="00761A89"/>
    <w:rsid w:val="00761AE5"/>
    <w:rsid w:val="00761B4D"/>
    <w:rsid w:val="00762304"/>
    <w:rsid w:val="0076319B"/>
    <w:rsid w:val="00763350"/>
    <w:rsid w:val="00764AE1"/>
    <w:rsid w:val="007650E6"/>
    <w:rsid w:val="007653E7"/>
    <w:rsid w:val="00765AA3"/>
    <w:rsid w:val="00766524"/>
    <w:rsid w:val="007665F8"/>
    <w:rsid w:val="007668E9"/>
    <w:rsid w:val="0076770B"/>
    <w:rsid w:val="007678D8"/>
    <w:rsid w:val="007679F9"/>
    <w:rsid w:val="00767ADB"/>
    <w:rsid w:val="00767AF8"/>
    <w:rsid w:val="00767DD7"/>
    <w:rsid w:val="00767FCC"/>
    <w:rsid w:val="00770846"/>
    <w:rsid w:val="0077111A"/>
    <w:rsid w:val="0077120A"/>
    <w:rsid w:val="0077357D"/>
    <w:rsid w:val="00773854"/>
    <w:rsid w:val="0077445C"/>
    <w:rsid w:val="00774AD1"/>
    <w:rsid w:val="00774C00"/>
    <w:rsid w:val="00774E5D"/>
    <w:rsid w:val="00775654"/>
    <w:rsid w:val="00775A4E"/>
    <w:rsid w:val="0077623D"/>
    <w:rsid w:val="007763F0"/>
    <w:rsid w:val="007769F4"/>
    <w:rsid w:val="00776B92"/>
    <w:rsid w:val="00776EA9"/>
    <w:rsid w:val="0077712E"/>
    <w:rsid w:val="0078021D"/>
    <w:rsid w:val="00780B80"/>
    <w:rsid w:val="007818AE"/>
    <w:rsid w:val="00781EEB"/>
    <w:rsid w:val="00784A5A"/>
    <w:rsid w:val="00784B8D"/>
    <w:rsid w:val="007875FB"/>
    <w:rsid w:val="00787B23"/>
    <w:rsid w:val="00787D29"/>
    <w:rsid w:val="00791A59"/>
    <w:rsid w:val="00791B10"/>
    <w:rsid w:val="00791DC9"/>
    <w:rsid w:val="00791EE4"/>
    <w:rsid w:val="007920EE"/>
    <w:rsid w:val="007926F4"/>
    <w:rsid w:val="00792F62"/>
    <w:rsid w:val="00793833"/>
    <w:rsid w:val="0079629A"/>
    <w:rsid w:val="007A0506"/>
    <w:rsid w:val="007A063F"/>
    <w:rsid w:val="007A0C9E"/>
    <w:rsid w:val="007A1341"/>
    <w:rsid w:val="007A1EE4"/>
    <w:rsid w:val="007A25A8"/>
    <w:rsid w:val="007A2664"/>
    <w:rsid w:val="007A2679"/>
    <w:rsid w:val="007A3B93"/>
    <w:rsid w:val="007A3CC6"/>
    <w:rsid w:val="007A4BC2"/>
    <w:rsid w:val="007A4BDB"/>
    <w:rsid w:val="007A536A"/>
    <w:rsid w:val="007A5675"/>
    <w:rsid w:val="007A587E"/>
    <w:rsid w:val="007A5AB8"/>
    <w:rsid w:val="007A6580"/>
    <w:rsid w:val="007A7AD5"/>
    <w:rsid w:val="007A7D91"/>
    <w:rsid w:val="007B0B34"/>
    <w:rsid w:val="007B12F1"/>
    <w:rsid w:val="007B154E"/>
    <w:rsid w:val="007B17C4"/>
    <w:rsid w:val="007B1C74"/>
    <w:rsid w:val="007B2814"/>
    <w:rsid w:val="007B2FCD"/>
    <w:rsid w:val="007B3190"/>
    <w:rsid w:val="007B3BE8"/>
    <w:rsid w:val="007B3C67"/>
    <w:rsid w:val="007B3FB5"/>
    <w:rsid w:val="007B6ACF"/>
    <w:rsid w:val="007B7320"/>
    <w:rsid w:val="007C02E0"/>
    <w:rsid w:val="007C107E"/>
    <w:rsid w:val="007C137B"/>
    <w:rsid w:val="007C139E"/>
    <w:rsid w:val="007C1494"/>
    <w:rsid w:val="007C1563"/>
    <w:rsid w:val="007C2B17"/>
    <w:rsid w:val="007C31ED"/>
    <w:rsid w:val="007C4912"/>
    <w:rsid w:val="007C4CAE"/>
    <w:rsid w:val="007C59FE"/>
    <w:rsid w:val="007C5FEB"/>
    <w:rsid w:val="007C636B"/>
    <w:rsid w:val="007C6F2C"/>
    <w:rsid w:val="007C7434"/>
    <w:rsid w:val="007C7E01"/>
    <w:rsid w:val="007D0410"/>
    <w:rsid w:val="007D0D59"/>
    <w:rsid w:val="007D1138"/>
    <w:rsid w:val="007D2E15"/>
    <w:rsid w:val="007D30B1"/>
    <w:rsid w:val="007D30E7"/>
    <w:rsid w:val="007D3698"/>
    <w:rsid w:val="007D3C18"/>
    <w:rsid w:val="007D422A"/>
    <w:rsid w:val="007D49EF"/>
    <w:rsid w:val="007D4BC8"/>
    <w:rsid w:val="007D4EB5"/>
    <w:rsid w:val="007D59B6"/>
    <w:rsid w:val="007D630D"/>
    <w:rsid w:val="007D7012"/>
    <w:rsid w:val="007D7ABD"/>
    <w:rsid w:val="007E0FE0"/>
    <w:rsid w:val="007E20A0"/>
    <w:rsid w:val="007E2191"/>
    <w:rsid w:val="007E2BF6"/>
    <w:rsid w:val="007E3599"/>
    <w:rsid w:val="007E505F"/>
    <w:rsid w:val="007E515F"/>
    <w:rsid w:val="007E5F4F"/>
    <w:rsid w:val="007E6010"/>
    <w:rsid w:val="007E6969"/>
    <w:rsid w:val="007E703C"/>
    <w:rsid w:val="007E7C78"/>
    <w:rsid w:val="007E7E4B"/>
    <w:rsid w:val="007F005E"/>
    <w:rsid w:val="007F06FE"/>
    <w:rsid w:val="007F135D"/>
    <w:rsid w:val="007F15C3"/>
    <w:rsid w:val="007F16CA"/>
    <w:rsid w:val="007F29FE"/>
    <w:rsid w:val="007F2E79"/>
    <w:rsid w:val="007F2FF6"/>
    <w:rsid w:val="007F35D4"/>
    <w:rsid w:val="007F3FCC"/>
    <w:rsid w:val="007F461E"/>
    <w:rsid w:val="007F475D"/>
    <w:rsid w:val="007F5050"/>
    <w:rsid w:val="007F5D33"/>
    <w:rsid w:val="007F5FE2"/>
    <w:rsid w:val="007F6B4F"/>
    <w:rsid w:val="007F6E6B"/>
    <w:rsid w:val="007F70F0"/>
    <w:rsid w:val="007F74CC"/>
    <w:rsid w:val="00800BD2"/>
    <w:rsid w:val="008017FA"/>
    <w:rsid w:val="0080288A"/>
    <w:rsid w:val="00803B43"/>
    <w:rsid w:val="00803E45"/>
    <w:rsid w:val="00803F5C"/>
    <w:rsid w:val="00804602"/>
    <w:rsid w:val="008048F4"/>
    <w:rsid w:val="00804905"/>
    <w:rsid w:val="008049BE"/>
    <w:rsid w:val="00805434"/>
    <w:rsid w:val="0080716D"/>
    <w:rsid w:val="00807387"/>
    <w:rsid w:val="00807B63"/>
    <w:rsid w:val="00810209"/>
    <w:rsid w:val="00810E5C"/>
    <w:rsid w:val="00811688"/>
    <w:rsid w:val="00811E56"/>
    <w:rsid w:val="00812110"/>
    <w:rsid w:val="00812A0A"/>
    <w:rsid w:val="00813007"/>
    <w:rsid w:val="00814691"/>
    <w:rsid w:val="00814A22"/>
    <w:rsid w:val="00815438"/>
    <w:rsid w:val="0081637D"/>
    <w:rsid w:val="00816EDC"/>
    <w:rsid w:val="008179C3"/>
    <w:rsid w:val="00821010"/>
    <w:rsid w:val="00821932"/>
    <w:rsid w:val="00821FD9"/>
    <w:rsid w:val="008230C2"/>
    <w:rsid w:val="008235A2"/>
    <w:rsid w:val="008238D4"/>
    <w:rsid w:val="00823A35"/>
    <w:rsid w:val="00823BFD"/>
    <w:rsid w:val="008249DB"/>
    <w:rsid w:val="0082577A"/>
    <w:rsid w:val="00825C1A"/>
    <w:rsid w:val="0082694C"/>
    <w:rsid w:val="00827FF4"/>
    <w:rsid w:val="008303B9"/>
    <w:rsid w:val="00830448"/>
    <w:rsid w:val="0083073C"/>
    <w:rsid w:val="0083081D"/>
    <w:rsid w:val="00830D92"/>
    <w:rsid w:val="00830F68"/>
    <w:rsid w:val="0083148E"/>
    <w:rsid w:val="0083166B"/>
    <w:rsid w:val="00831B56"/>
    <w:rsid w:val="00832354"/>
    <w:rsid w:val="008330A0"/>
    <w:rsid w:val="00833E80"/>
    <w:rsid w:val="00834080"/>
    <w:rsid w:val="00834536"/>
    <w:rsid w:val="008357AD"/>
    <w:rsid w:val="0083644D"/>
    <w:rsid w:val="008378E5"/>
    <w:rsid w:val="008409AD"/>
    <w:rsid w:val="00840A04"/>
    <w:rsid w:val="00840B05"/>
    <w:rsid w:val="00841122"/>
    <w:rsid w:val="0084125F"/>
    <w:rsid w:val="00841504"/>
    <w:rsid w:val="00843134"/>
    <w:rsid w:val="008439C8"/>
    <w:rsid w:val="00844266"/>
    <w:rsid w:val="0084426E"/>
    <w:rsid w:val="00845831"/>
    <w:rsid w:val="0084591E"/>
    <w:rsid w:val="00845C7D"/>
    <w:rsid w:val="00845FA8"/>
    <w:rsid w:val="008469EF"/>
    <w:rsid w:val="00846A67"/>
    <w:rsid w:val="00846CA4"/>
    <w:rsid w:val="00846D20"/>
    <w:rsid w:val="00846D25"/>
    <w:rsid w:val="008470AF"/>
    <w:rsid w:val="0084798A"/>
    <w:rsid w:val="00847C4D"/>
    <w:rsid w:val="008520A0"/>
    <w:rsid w:val="00852292"/>
    <w:rsid w:val="00853E9F"/>
    <w:rsid w:val="00853F66"/>
    <w:rsid w:val="00853F7B"/>
    <w:rsid w:val="00854349"/>
    <w:rsid w:val="00854C4B"/>
    <w:rsid w:val="0085551F"/>
    <w:rsid w:val="008560E8"/>
    <w:rsid w:val="00857397"/>
    <w:rsid w:val="008578A2"/>
    <w:rsid w:val="00857E73"/>
    <w:rsid w:val="00860DBC"/>
    <w:rsid w:val="00860FB5"/>
    <w:rsid w:val="00861558"/>
    <w:rsid w:val="008639C9"/>
    <w:rsid w:val="0086405E"/>
    <w:rsid w:val="00864325"/>
    <w:rsid w:val="0086497A"/>
    <w:rsid w:val="00865022"/>
    <w:rsid w:val="0086509F"/>
    <w:rsid w:val="0086560B"/>
    <w:rsid w:val="00866160"/>
    <w:rsid w:val="0086617E"/>
    <w:rsid w:val="008663A1"/>
    <w:rsid w:val="0086643B"/>
    <w:rsid w:val="0086675A"/>
    <w:rsid w:val="00867001"/>
    <w:rsid w:val="00870245"/>
    <w:rsid w:val="008703E5"/>
    <w:rsid w:val="00871031"/>
    <w:rsid w:val="00871046"/>
    <w:rsid w:val="008731E6"/>
    <w:rsid w:val="00874DF1"/>
    <w:rsid w:val="00874E2A"/>
    <w:rsid w:val="00874F65"/>
    <w:rsid w:val="00875DF0"/>
    <w:rsid w:val="00875ED4"/>
    <w:rsid w:val="00877DD6"/>
    <w:rsid w:val="00880200"/>
    <w:rsid w:val="008811D4"/>
    <w:rsid w:val="0088166D"/>
    <w:rsid w:val="00881846"/>
    <w:rsid w:val="00881A96"/>
    <w:rsid w:val="00881B27"/>
    <w:rsid w:val="00881F07"/>
    <w:rsid w:val="00882C09"/>
    <w:rsid w:val="00883523"/>
    <w:rsid w:val="00883918"/>
    <w:rsid w:val="008844A5"/>
    <w:rsid w:val="00884660"/>
    <w:rsid w:val="00884F85"/>
    <w:rsid w:val="00885120"/>
    <w:rsid w:val="0088532B"/>
    <w:rsid w:val="00885385"/>
    <w:rsid w:val="00886340"/>
    <w:rsid w:val="008864C3"/>
    <w:rsid w:val="008864CB"/>
    <w:rsid w:val="00886F51"/>
    <w:rsid w:val="0088700E"/>
    <w:rsid w:val="00887FA4"/>
    <w:rsid w:val="0089012D"/>
    <w:rsid w:val="00890405"/>
    <w:rsid w:val="008912B6"/>
    <w:rsid w:val="00891BDC"/>
    <w:rsid w:val="00891CD7"/>
    <w:rsid w:val="00891E64"/>
    <w:rsid w:val="008920E8"/>
    <w:rsid w:val="00892777"/>
    <w:rsid w:val="00893049"/>
    <w:rsid w:val="008935B0"/>
    <w:rsid w:val="008936CB"/>
    <w:rsid w:val="008959B1"/>
    <w:rsid w:val="00897856"/>
    <w:rsid w:val="00897F26"/>
    <w:rsid w:val="008A1630"/>
    <w:rsid w:val="008A1A44"/>
    <w:rsid w:val="008A1EF5"/>
    <w:rsid w:val="008A24BC"/>
    <w:rsid w:val="008A2AC7"/>
    <w:rsid w:val="008A3172"/>
    <w:rsid w:val="008A3ABA"/>
    <w:rsid w:val="008A3C51"/>
    <w:rsid w:val="008A3E84"/>
    <w:rsid w:val="008A3FA8"/>
    <w:rsid w:val="008A49F8"/>
    <w:rsid w:val="008A5526"/>
    <w:rsid w:val="008A5F32"/>
    <w:rsid w:val="008A73EB"/>
    <w:rsid w:val="008B171D"/>
    <w:rsid w:val="008B1CD2"/>
    <w:rsid w:val="008B1D57"/>
    <w:rsid w:val="008B2684"/>
    <w:rsid w:val="008B3531"/>
    <w:rsid w:val="008B45DD"/>
    <w:rsid w:val="008B4792"/>
    <w:rsid w:val="008B5604"/>
    <w:rsid w:val="008B5B3B"/>
    <w:rsid w:val="008B600D"/>
    <w:rsid w:val="008B6E3F"/>
    <w:rsid w:val="008B7BAE"/>
    <w:rsid w:val="008B7D84"/>
    <w:rsid w:val="008B7F1C"/>
    <w:rsid w:val="008C07E3"/>
    <w:rsid w:val="008C2AE8"/>
    <w:rsid w:val="008C2FAB"/>
    <w:rsid w:val="008C4CEA"/>
    <w:rsid w:val="008C57D1"/>
    <w:rsid w:val="008C6DCA"/>
    <w:rsid w:val="008C7E5F"/>
    <w:rsid w:val="008D09D7"/>
    <w:rsid w:val="008D0A00"/>
    <w:rsid w:val="008D11F7"/>
    <w:rsid w:val="008D1A47"/>
    <w:rsid w:val="008D29D3"/>
    <w:rsid w:val="008D2CE4"/>
    <w:rsid w:val="008D2F95"/>
    <w:rsid w:val="008D3435"/>
    <w:rsid w:val="008D3919"/>
    <w:rsid w:val="008D515E"/>
    <w:rsid w:val="008D59E4"/>
    <w:rsid w:val="008D60B0"/>
    <w:rsid w:val="008D7072"/>
    <w:rsid w:val="008E02FA"/>
    <w:rsid w:val="008E18B6"/>
    <w:rsid w:val="008E21CD"/>
    <w:rsid w:val="008E2F5D"/>
    <w:rsid w:val="008E3178"/>
    <w:rsid w:val="008E472A"/>
    <w:rsid w:val="008E6343"/>
    <w:rsid w:val="008E646F"/>
    <w:rsid w:val="008E67B0"/>
    <w:rsid w:val="008E6AFD"/>
    <w:rsid w:val="008E7C87"/>
    <w:rsid w:val="008F0048"/>
    <w:rsid w:val="008F0AEE"/>
    <w:rsid w:val="008F230A"/>
    <w:rsid w:val="008F2A2B"/>
    <w:rsid w:val="008F2FBC"/>
    <w:rsid w:val="008F4622"/>
    <w:rsid w:val="008F473D"/>
    <w:rsid w:val="008F490F"/>
    <w:rsid w:val="008F51CE"/>
    <w:rsid w:val="008F5352"/>
    <w:rsid w:val="008F5B4D"/>
    <w:rsid w:val="008F5CC9"/>
    <w:rsid w:val="008F5F25"/>
    <w:rsid w:val="008F6380"/>
    <w:rsid w:val="008F6502"/>
    <w:rsid w:val="008F6695"/>
    <w:rsid w:val="008F7129"/>
    <w:rsid w:val="008F71CE"/>
    <w:rsid w:val="008F7656"/>
    <w:rsid w:val="008F7AB6"/>
    <w:rsid w:val="00900377"/>
    <w:rsid w:val="009008F8"/>
    <w:rsid w:val="0090152A"/>
    <w:rsid w:val="00901B4C"/>
    <w:rsid w:val="00901EB3"/>
    <w:rsid w:val="00902071"/>
    <w:rsid w:val="00902B90"/>
    <w:rsid w:val="00903156"/>
    <w:rsid w:val="009032A5"/>
    <w:rsid w:val="00903446"/>
    <w:rsid w:val="00906F9F"/>
    <w:rsid w:val="00910D27"/>
    <w:rsid w:val="00910F9E"/>
    <w:rsid w:val="0091105E"/>
    <w:rsid w:val="00911BAB"/>
    <w:rsid w:val="0091244C"/>
    <w:rsid w:val="00912DED"/>
    <w:rsid w:val="00912DFB"/>
    <w:rsid w:val="00913351"/>
    <w:rsid w:val="00914851"/>
    <w:rsid w:val="009167FC"/>
    <w:rsid w:val="00916CDF"/>
    <w:rsid w:val="00916E0B"/>
    <w:rsid w:val="00917575"/>
    <w:rsid w:val="00917BA9"/>
    <w:rsid w:val="00917BB0"/>
    <w:rsid w:val="00917D5F"/>
    <w:rsid w:val="00917DA8"/>
    <w:rsid w:val="009204C6"/>
    <w:rsid w:val="0092085B"/>
    <w:rsid w:val="00921C05"/>
    <w:rsid w:val="0092227F"/>
    <w:rsid w:val="00922DDC"/>
    <w:rsid w:val="00923840"/>
    <w:rsid w:val="00923C65"/>
    <w:rsid w:val="009244F5"/>
    <w:rsid w:val="009249B9"/>
    <w:rsid w:val="0092593F"/>
    <w:rsid w:val="00926186"/>
    <w:rsid w:val="009267B1"/>
    <w:rsid w:val="00927065"/>
    <w:rsid w:val="009303D5"/>
    <w:rsid w:val="009311FB"/>
    <w:rsid w:val="00931407"/>
    <w:rsid w:val="009331E7"/>
    <w:rsid w:val="009332A9"/>
    <w:rsid w:val="00933562"/>
    <w:rsid w:val="0093371A"/>
    <w:rsid w:val="009338EB"/>
    <w:rsid w:val="00933E25"/>
    <w:rsid w:val="009344E4"/>
    <w:rsid w:val="00934D9D"/>
    <w:rsid w:val="00935B39"/>
    <w:rsid w:val="00935DE5"/>
    <w:rsid w:val="00936241"/>
    <w:rsid w:val="0093628B"/>
    <w:rsid w:val="009369E1"/>
    <w:rsid w:val="00937847"/>
    <w:rsid w:val="009403EB"/>
    <w:rsid w:val="009404CB"/>
    <w:rsid w:val="00940676"/>
    <w:rsid w:val="00940C03"/>
    <w:rsid w:val="0094125D"/>
    <w:rsid w:val="009413E2"/>
    <w:rsid w:val="009424EB"/>
    <w:rsid w:val="00942859"/>
    <w:rsid w:val="00942984"/>
    <w:rsid w:val="00942E8E"/>
    <w:rsid w:val="00943D1C"/>
    <w:rsid w:val="00943D33"/>
    <w:rsid w:val="00944312"/>
    <w:rsid w:val="00945FD6"/>
    <w:rsid w:val="00947028"/>
    <w:rsid w:val="00947189"/>
    <w:rsid w:val="0094730D"/>
    <w:rsid w:val="009479C4"/>
    <w:rsid w:val="009502E6"/>
    <w:rsid w:val="009505D0"/>
    <w:rsid w:val="0095099B"/>
    <w:rsid w:val="00951626"/>
    <w:rsid w:val="0095200E"/>
    <w:rsid w:val="00952488"/>
    <w:rsid w:val="0095310B"/>
    <w:rsid w:val="0095343F"/>
    <w:rsid w:val="00953ADF"/>
    <w:rsid w:val="00953D75"/>
    <w:rsid w:val="009541CE"/>
    <w:rsid w:val="00956620"/>
    <w:rsid w:val="009568BB"/>
    <w:rsid w:val="00956A9A"/>
    <w:rsid w:val="00956CE1"/>
    <w:rsid w:val="00960F47"/>
    <w:rsid w:val="009611D2"/>
    <w:rsid w:val="00961365"/>
    <w:rsid w:val="00961EE4"/>
    <w:rsid w:val="00961F89"/>
    <w:rsid w:val="00962276"/>
    <w:rsid w:val="00962523"/>
    <w:rsid w:val="00962636"/>
    <w:rsid w:val="00962AFA"/>
    <w:rsid w:val="00963A61"/>
    <w:rsid w:val="00964332"/>
    <w:rsid w:val="00964BEA"/>
    <w:rsid w:val="00965517"/>
    <w:rsid w:val="009658B4"/>
    <w:rsid w:val="00966D24"/>
    <w:rsid w:val="00966E5C"/>
    <w:rsid w:val="009673FA"/>
    <w:rsid w:val="009675D2"/>
    <w:rsid w:val="009676B2"/>
    <w:rsid w:val="00967AC5"/>
    <w:rsid w:val="00967E6A"/>
    <w:rsid w:val="00967FC3"/>
    <w:rsid w:val="0097091A"/>
    <w:rsid w:val="00971399"/>
    <w:rsid w:val="009716B1"/>
    <w:rsid w:val="0097262D"/>
    <w:rsid w:val="0097326E"/>
    <w:rsid w:val="009738DC"/>
    <w:rsid w:val="00973F69"/>
    <w:rsid w:val="0097440F"/>
    <w:rsid w:val="00975D72"/>
    <w:rsid w:val="00976220"/>
    <w:rsid w:val="00977220"/>
    <w:rsid w:val="00977759"/>
    <w:rsid w:val="00977ECE"/>
    <w:rsid w:val="00980E96"/>
    <w:rsid w:val="00982320"/>
    <w:rsid w:val="009827A5"/>
    <w:rsid w:val="009828F4"/>
    <w:rsid w:val="009836D2"/>
    <w:rsid w:val="009863ED"/>
    <w:rsid w:val="00986A9E"/>
    <w:rsid w:val="00986C45"/>
    <w:rsid w:val="0098700B"/>
    <w:rsid w:val="00987985"/>
    <w:rsid w:val="00987D52"/>
    <w:rsid w:val="00990334"/>
    <w:rsid w:val="009910F0"/>
    <w:rsid w:val="00991A35"/>
    <w:rsid w:val="009949E4"/>
    <w:rsid w:val="0099584B"/>
    <w:rsid w:val="00996559"/>
    <w:rsid w:val="009977C8"/>
    <w:rsid w:val="009A0E30"/>
    <w:rsid w:val="009A1B7A"/>
    <w:rsid w:val="009A20D3"/>
    <w:rsid w:val="009A29AD"/>
    <w:rsid w:val="009A34B3"/>
    <w:rsid w:val="009A41C2"/>
    <w:rsid w:val="009A42C3"/>
    <w:rsid w:val="009A42D8"/>
    <w:rsid w:val="009A43A2"/>
    <w:rsid w:val="009A4AAB"/>
    <w:rsid w:val="009A4C49"/>
    <w:rsid w:val="009A4C8F"/>
    <w:rsid w:val="009A5704"/>
    <w:rsid w:val="009A5B40"/>
    <w:rsid w:val="009A6C43"/>
    <w:rsid w:val="009A6E4C"/>
    <w:rsid w:val="009A7D69"/>
    <w:rsid w:val="009B0433"/>
    <w:rsid w:val="009B05B4"/>
    <w:rsid w:val="009B0CA1"/>
    <w:rsid w:val="009B1566"/>
    <w:rsid w:val="009B2C32"/>
    <w:rsid w:val="009B3925"/>
    <w:rsid w:val="009B4E19"/>
    <w:rsid w:val="009B4FDC"/>
    <w:rsid w:val="009B5634"/>
    <w:rsid w:val="009B65F4"/>
    <w:rsid w:val="009B67F5"/>
    <w:rsid w:val="009B6DB8"/>
    <w:rsid w:val="009B6F23"/>
    <w:rsid w:val="009B719A"/>
    <w:rsid w:val="009C0AB8"/>
    <w:rsid w:val="009C0DBF"/>
    <w:rsid w:val="009C13DF"/>
    <w:rsid w:val="009C1E91"/>
    <w:rsid w:val="009C1E94"/>
    <w:rsid w:val="009C20FA"/>
    <w:rsid w:val="009C217B"/>
    <w:rsid w:val="009C24B9"/>
    <w:rsid w:val="009C25B3"/>
    <w:rsid w:val="009C2632"/>
    <w:rsid w:val="009C267E"/>
    <w:rsid w:val="009C2FFF"/>
    <w:rsid w:val="009C4034"/>
    <w:rsid w:val="009C41AE"/>
    <w:rsid w:val="009C4609"/>
    <w:rsid w:val="009C61D0"/>
    <w:rsid w:val="009C63CF"/>
    <w:rsid w:val="009C6717"/>
    <w:rsid w:val="009C69C6"/>
    <w:rsid w:val="009C7019"/>
    <w:rsid w:val="009C7EC5"/>
    <w:rsid w:val="009D08C5"/>
    <w:rsid w:val="009D1736"/>
    <w:rsid w:val="009D3CAB"/>
    <w:rsid w:val="009D3D8B"/>
    <w:rsid w:val="009D3D96"/>
    <w:rsid w:val="009D45A8"/>
    <w:rsid w:val="009D4A86"/>
    <w:rsid w:val="009D4AE3"/>
    <w:rsid w:val="009D4B35"/>
    <w:rsid w:val="009D4C77"/>
    <w:rsid w:val="009D53E8"/>
    <w:rsid w:val="009D54DA"/>
    <w:rsid w:val="009D637F"/>
    <w:rsid w:val="009D7D6E"/>
    <w:rsid w:val="009E0623"/>
    <w:rsid w:val="009E12B4"/>
    <w:rsid w:val="009E1EB6"/>
    <w:rsid w:val="009E441A"/>
    <w:rsid w:val="009E5170"/>
    <w:rsid w:val="009E5ED2"/>
    <w:rsid w:val="009E6120"/>
    <w:rsid w:val="009E7B58"/>
    <w:rsid w:val="009F00F3"/>
    <w:rsid w:val="009F0525"/>
    <w:rsid w:val="009F0604"/>
    <w:rsid w:val="009F066C"/>
    <w:rsid w:val="009F0D60"/>
    <w:rsid w:val="009F1F06"/>
    <w:rsid w:val="009F2F05"/>
    <w:rsid w:val="009F32D2"/>
    <w:rsid w:val="009F376C"/>
    <w:rsid w:val="009F3A04"/>
    <w:rsid w:val="009F4BB1"/>
    <w:rsid w:val="009F52F9"/>
    <w:rsid w:val="009F5625"/>
    <w:rsid w:val="009F5ACD"/>
    <w:rsid w:val="009F5F18"/>
    <w:rsid w:val="009F652A"/>
    <w:rsid w:val="009F65AF"/>
    <w:rsid w:val="009F6800"/>
    <w:rsid w:val="009F694A"/>
    <w:rsid w:val="009F6AA8"/>
    <w:rsid w:val="009F76F5"/>
    <w:rsid w:val="009F7A52"/>
    <w:rsid w:val="009F7E99"/>
    <w:rsid w:val="00A001B1"/>
    <w:rsid w:val="00A00266"/>
    <w:rsid w:val="00A0065A"/>
    <w:rsid w:val="00A0071B"/>
    <w:rsid w:val="00A038AF"/>
    <w:rsid w:val="00A038CC"/>
    <w:rsid w:val="00A038D4"/>
    <w:rsid w:val="00A03C55"/>
    <w:rsid w:val="00A04404"/>
    <w:rsid w:val="00A053BC"/>
    <w:rsid w:val="00A05B5C"/>
    <w:rsid w:val="00A05B87"/>
    <w:rsid w:val="00A05DA0"/>
    <w:rsid w:val="00A05E94"/>
    <w:rsid w:val="00A05EEA"/>
    <w:rsid w:val="00A06290"/>
    <w:rsid w:val="00A069A8"/>
    <w:rsid w:val="00A07243"/>
    <w:rsid w:val="00A075C4"/>
    <w:rsid w:val="00A078F6"/>
    <w:rsid w:val="00A07F6B"/>
    <w:rsid w:val="00A10D38"/>
    <w:rsid w:val="00A112FC"/>
    <w:rsid w:val="00A11300"/>
    <w:rsid w:val="00A11386"/>
    <w:rsid w:val="00A11879"/>
    <w:rsid w:val="00A118E1"/>
    <w:rsid w:val="00A12778"/>
    <w:rsid w:val="00A12C43"/>
    <w:rsid w:val="00A13508"/>
    <w:rsid w:val="00A13948"/>
    <w:rsid w:val="00A139AB"/>
    <w:rsid w:val="00A14045"/>
    <w:rsid w:val="00A1467B"/>
    <w:rsid w:val="00A147C6"/>
    <w:rsid w:val="00A1496E"/>
    <w:rsid w:val="00A14A7D"/>
    <w:rsid w:val="00A1501B"/>
    <w:rsid w:val="00A1629B"/>
    <w:rsid w:val="00A17436"/>
    <w:rsid w:val="00A179E9"/>
    <w:rsid w:val="00A203A9"/>
    <w:rsid w:val="00A20ACA"/>
    <w:rsid w:val="00A2135C"/>
    <w:rsid w:val="00A21779"/>
    <w:rsid w:val="00A217EA"/>
    <w:rsid w:val="00A217F6"/>
    <w:rsid w:val="00A21846"/>
    <w:rsid w:val="00A229C5"/>
    <w:rsid w:val="00A22EE3"/>
    <w:rsid w:val="00A236C4"/>
    <w:rsid w:val="00A23F21"/>
    <w:rsid w:val="00A240E6"/>
    <w:rsid w:val="00A245CA"/>
    <w:rsid w:val="00A2528F"/>
    <w:rsid w:val="00A256DD"/>
    <w:rsid w:val="00A25C31"/>
    <w:rsid w:val="00A2673F"/>
    <w:rsid w:val="00A26764"/>
    <w:rsid w:val="00A30615"/>
    <w:rsid w:val="00A30E83"/>
    <w:rsid w:val="00A30F72"/>
    <w:rsid w:val="00A32342"/>
    <w:rsid w:val="00A33B20"/>
    <w:rsid w:val="00A33D49"/>
    <w:rsid w:val="00A349F8"/>
    <w:rsid w:val="00A35C00"/>
    <w:rsid w:val="00A35E10"/>
    <w:rsid w:val="00A3663E"/>
    <w:rsid w:val="00A37909"/>
    <w:rsid w:val="00A37AEE"/>
    <w:rsid w:val="00A401D3"/>
    <w:rsid w:val="00A40823"/>
    <w:rsid w:val="00A40CB5"/>
    <w:rsid w:val="00A41391"/>
    <w:rsid w:val="00A4166A"/>
    <w:rsid w:val="00A41808"/>
    <w:rsid w:val="00A41B33"/>
    <w:rsid w:val="00A41DF2"/>
    <w:rsid w:val="00A42AE9"/>
    <w:rsid w:val="00A42E27"/>
    <w:rsid w:val="00A437B7"/>
    <w:rsid w:val="00A43D19"/>
    <w:rsid w:val="00A442FD"/>
    <w:rsid w:val="00A446BD"/>
    <w:rsid w:val="00A45359"/>
    <w:rsid w:val="00A459BF"/>
    <w:rsid w:val="00A46B49"/>
    <w:rsid w:val="00A46CA2"/>
    <w:rsid w:val="00A4738B"/>
    <w:rsid w:val="00A477E1"/>
    <w:rsid w:val="00A50E93"/>
    <w:rsid w:val="00A50F34"/>
    <w:rsid w:val="00A5102B"/>
    <w:rsid w:val="00A51099"/>
    <w:rsid w:val="00A5138C"/>
    <w:rsid w:val="00A5152E"/>
    <w:rsid w:val="00A524B3"/>
    <w:rsid w:val="00A526DA"/>
    <w:rsid w:val="00A52D8E"/>
    <w:rsid w:val="00A53B42"/>
    <w:rsid w:val="00A542CA"/>
    <w:rsid w:val="00A54F83"/>
    <w:rsid w:val="00A571BF"/>
    <w:rsid w:val="00A57320"/>
    <w:rsid w:val="00A57BE7"/>
    <w:rsid w:val="00A61985"/>
    <w:rsid w:val="00A61CD9"/>
    <w:rsid w:val="00A62154"/>
    <w:rsid w:val="00A6275E"/>
    <w:rsid w:val="00A6295A"/>
    <w:rsid w:val="00A6310E"/>
    <w:rsid w:val="00A64153"/>
    <w:rsid w:val="00A650FC"/>
    <w:rsid w:val="00A654AF"/>
    <w:rsid w:val="00A65747"/>
    <w:rsid w:val="00A665BC"/>
    <w:rsid w:val="00A705C6"/>
    <w:rsid w:val="00A708FC"/>
    <w:rsid w:val="00A71167"/>
    <w:rsid w:val="00A7179C"/>
    <w:rsid w:val="00A719F2"/>
    <w:rsid w:val="00A735A9"/>
    <w:rsid w:val="00A73977"/>
    <w:rsid w:val="00A742A9"/>
    <w:rsid w:val="00A74C05"/>
    <w:rsid w:val="00A75525"/>
    <w:rsid w:val="00A7590B"/>
    <w:rsid w:val="00A75A5C"/>
    <w:rsid w:val="00A75B84"/>
    <w:rsid w:val="00A75BBD"/>
    <w:rsid w:val="00A76732"/>
    <w:rsid w:val="00A7742A"/>
    <w:rsid w:val="00A776F6"/>
    <w:rsid w:val="00A77F78"/>
    <w:rsid w:val="00A8044C"/>
    <w:rsid w:val="00A80B73"/>
    <w:rsid w:val="00A80C16"/>
    <w:rsid w:val="00A8119D"/>
    <w:rsid w:val="00A816E7"/>
    <w:rsid w:val="00A81D99"/>
    <w:rsid w:val="00A81DB4"/>
    <w:rsid w:val="00A8208D"/>
    <w:rsid w:val="00A8283A"/>
    <w:rsid w:val="00A83933"/>
    <w:rsid w:val="00A85395"/>
    <w:rsid w:val="00A864EA"/>
    <w:rsid w:val="00A87097"/>
    <w:rsid w:val="00A87D28"/>
    <w:rsid w:val="00A90ED6"/>
    <w:rsid w:val="00A9114F"/>
    <w:rsid w:val="00A9126E"/>
    <w:rsid w:val="00A91568"/>
    <w:rsid w:val="00A91AC0"/>
    <w:rsid w:val="00A92BDE"/>
    <w:rsid w:val="00A933F1"/>
    <w:rsid w:val="00A93608"/>
    <w:rsid w:val="00A94287"/>
    <w:rsid w:val="00A96DCF"/>
    <w:rsid w:val="00A9782C"/>
    <w:rsid w:val="00AA0330"/>
    <w:rsid w:val="00AA06C9"/>
    <w:rsid w:val="00AA0B9D"/>
    <w:rsid w:val="00AA0D9B"/>
    <w:rsid w:val="00AA14C6"/>
    <w:rsid w:val="00AA165D"/>
    <w:rsid w:val="00AA20FD"/>
    <w:rsid w:val="00AA2A25"/>
    <w:rsid w:val="00AA3CFE"/>
    <w:rsid w:val="00AA3FF4"/>
    <w:rsid w:val="00AA46B2"/>
    <w:rsid w:val="00AA5417"/>
    <w:rsid w:val="00AA545E"/>
    <w:rsid w:val="00AA55D5"/>
    <w:rsid w:val="00AA5A03"/>
    <w:rsid w:val="00AA5A46"/>
    <w:rsid w:val="00AA5C27"/>
    <w:rsid w:val="00AA6146"/>
    <w:rsid w:val="00AA61BD"/>
    <w:rsid w:val="00AA61EF"/>
    <w:rsid w:val="00AA64B2"/>
    <w:rsid w:val="00AA64B5"/>
    <w:rsid w:val="00AA6909"/>
    <w:rsid w:val="00AA7812"/>
    <w:rsid w:val="00AA7830"/>
    <w:rsid w:val="00AA7BF2"/>
    <w:rsid w:val="00AA7F5E"/>
    <w:rsid w:val="00AB0906"/>
    <w:rsid w:val="00AB1472"/>
    <w:rsid w:val="00AB23F7"/>
    <w:rsid w:val="00AB276C"/>
    <w:rsid w:val="00AB3A84"/>
    <w:rsid w:val="00AB4AFB"/>
    <w:rsid w:val="00AB5E28"/>
    <w:rsid w:val="00AB64C0"/>
    <w:rsid w:val="00AB6F1C"/>
    <w:rsid w:val="00AB6F90"/>
    <w:rsid w:val="00AB71B9"/>
    <w:rsid w:val="00AB737C"/>
    <w:rsid w:val="00AC0841"/>
    <w:rsid w:val="00AC19AF"/>
    <w:rsid w:val="00AC1DFF"/>
    <w:rsid w:val="00AC1E8A"/>
    <w:rsid w:val="00AC33C4"/>
    <w:rsid w:val="00AC3811"/>
    <w:rsid w:val="00AC4011"/>
    <w:rsid w:val="00AC4CD9"/>
    <w:rsid w:val="00AC527A"/>
    <w:rsid w:val="00AC52AF"/>
    <w:rsid w:val="00AC555E"/>
    <w:rsid w:val="00AC5CBA"/>
    <w:rsid w:val="00AC651E"/>
    <w:rsid w:val="00AD01F0"/>
    <w:rsid w:val="00AD0256"/>
    <w:rsid w:val="00AD08C8"/>
    <w:rsid w:val="00AD135B"/>
    <w:rsid w:val="00AD140A"/>
    <w:rsid w:val="00AD2221"/>
    <w:rsid w:val="00AD26E3"/>
    <w:rsid w:val="00AD27E1"/>
    <w:rsid w:val="00AD28F1"/>
    <w:rsid w:val="00AD30FA"/>
    <w:rsid w:val="00AD3968"/>
    <w:rsid w:val="00AD3B77"/>
    <w:rsid w:val="00AD3F3F"/>
    <w:rsid w:val="00AD48DD"/>
    <w:rsid w:val="00AD497A"/>
    <w:rsid w:val="00AD5B27"/>
    <w:rsid w:val="00AD5DE1"/>
    <w:rsid w:val="00AD72DA"/>
    <w:rsid w:val="00AE089C"/>
    <w:rsid w:val="00AE09ED"/>
    <w:rsid w:val="00AE0D44"/>
    <w:rsid w:val="00AE111A"/>
    <w:rsid w:val="00AE1BB6"/>
    <w:rsid w:val="00AE1D51"/>
    <w:rsid w:val="00AE24F8"/>
    <w:rsid w:val="00AE26D2"/>
    <w:rsid w:val="00AE273C"/>
    <w:rsid w:val="00AE2BDD"/>
    <w:rsid w:val="00AE4785"/>
    <w:rsid w:val="00AE4B56"/>
    <w:rsid w:val="00AE4BB0"/>
    <w:rsid w:val="00AE506D"/>
    <w:rsid w:val="00AE517C"/>
    <w:rsid w:val="00AE5892"/>
    <w:rsid w:val="00AE618C"/>
    <w:rsid w:val="00AE6713"/>
    <w:rsid w:val="00AE7F5D"/>
    <w:rsid w:val="00AF07A5"/>
    <w:rsid w:val="00AF0ECD"/>
    <w:rsid w:val="00AF22C7"/>
    <w:rsid w:val="00AF33AF"/>
    <w:rsid w:val="00AF3483"/>
    <w:rsid w:val="00AF3FC2"/>
    <w:rsid w:val="00AF429C"/>
    <w:rsid w:val="00AF5002"/>
    <w:rsid w:val="00AF5232"/>
    <w:rsid w:val="00AF554D"/>
    <w:rsid w:val="00AF5894"/>
    <w:rsid w:val="00AF609B"/>
    <w:rsid w:val="00AF7100"/>
    <w:rsid w:val="00AF7128"/>
    <w:rsid w:val="00AF7D83"/>
    <w:rsid w:val="00B008E1"/>
    <w:rsid w:val="00B00CFF"/>
    <w:rsid w:val="00B010D2"/>
    <w:rsid w:val="00B016D3"/>
    <w:rsid w:val="00B01FCE"/>
    <w:rsid w:val="00B0296E"/>
    <w:rsid w:val="00B02A78"/>
    <w:rsid w:val="00B02B6E"/>
    <w:rsid w:val="00B02D5E"/>
    <w:rsid w:val="00B02F31"/>
    <w:rsid w:val="00B03527"/>
    <w:rsid w:val="00B0377F"/>
    <w:rsid w:val="00B03B23"/>
    <w:rsid w:val="00B03F30"/>
    <w:rsid w:val="00B0427D"/>
    <w:rsid w:val="00B04311"/>
    <w:rsid w:val="00B049D6"/>
    <w:rsid w:val="00B051EB"/>
    <w:rsid w:val="00B05D69"/>
    <w:rsid w:val="00B066BC"/>
    <w:rsid w:val="00B06CB5"/>
    <w:rsid w:val="00B06DE0"/>
    <w:rsid w:val="00B07151"/>
    <w:rsid w:val="00B0763F"/>
    <w:rsid w:val="00B07998"/>
    <w:rsid w:val="00B07BD3"/>
    <w:rsid w:val="00B07DFD"/>
    <w:rsid w:val="00B100E0"/>
    <w:rsid w:val="00B10368"/>
    <w:rsid w:val="00B10A68"/>
    <w:rsid w:val="00B115F1"/>
    <w:rsid w:val="00B11FAD"/>
    <w:rsid w:val="00B1200E"/>
    <w:rsid w:val="00B123BC"/>
    <w:rsid w:val="00B12698"/>
    <w:rsid w:val="00B1287F"/>
    <w:rsid w:val="00B13847"/>
    <w:rsid w:val="00B152DC"/>
    <w:rsid w:val="00B17FA6"/>
    <w:rsid w:val="00B20F57"/>
    <w:rsid w:val="00B21650"/>
    <w:rsid w:val="00B22461"/>
    <w:rsid w:val="00B22F4B"/>
    <w:rsid w:val="00B234F4"/>
    <w:rsid w:val="00B2413D"/>
    <w:rsid w:val="00B246BC"/>
    <w:rsid w:val="00B248C2"/>
    <w:rsid w:val="00B257A3"/>
    <w:rsid w:val="00B25E09"/>
    <w:rsid w:val="00B26B79"/>
    <w:rsid w:val="00B3167C"/>
    <w:rsid w:val="00B32EAC"/>
    <w:rsid w:val="00B34013"/>
    <w:rsid w:val="00B3455A"/>
    <w:rsid w:val="00B354BF"/>
    <w:rsid w:val="00B3592C"/>
    <w:rsid w:val="00B35C2F"/>
    <w:rsid w:val="00B3683E"/>
    <w:rsid w:val="00B3694E"/>
    <w:rsid w:val="00B36DDB"/>
    <w:rsid w:val="00B36DF4"/>
    <w:rsid w:val="00B37081"/>
    <w:rsid w:val="00B37F0E"/>
    <w:rsid w:val="00B4055F"/>
    <w:rsid w:val="00B40C7D"/>
    <w:rsid w:val="00B41886"/>
    <w:rsid w:val="00B420B3"/>
    <w:rsid w:val="00B42E98"/>
    <w:rsid w:val="00B433DE"/>
    <w:rsid w:val="00B43DFF"/>
    <w:rsid w:val="00B44569"/>
    <w:rsid w:val="00B451C2"/>
    <w:rsid w:val="00B468D1"/>
    <w:rsid w:val="00B46E6F"/>
    <w:rsid w:val="00B472EA"/>
    <w:rsid w:val="00B47827"/>
    <w:rsid w:val="00B47B4F"/>
    <w:rsid w:val="00B502B5"/>
    <w:rsid w:val="00B50536"/>
    <w:rsid w:val="00B50564"/>
    <w:rsid w:val="00B50EFA"/>
    <w:rsid w:val="00B510F5"/>
    <w:rsid w:val="00B51156"/>
    <w:rsid w:val="00B524B5"/>
    <w:rsid w:val="00B52D98"/>
    <w:rsid w:val="00B530C0"/>
    <w:rsid w:val="00B53F74"/>
    <w:rsid w:val="00B54528"/>
    <w:rsid w:val="00B54529"/>
    <w:rsid w:val="00B550A1"/>
    <w:rsid w:val="00B554E3"/>
    <w:rsid w:val="00B55C54"/>
    <w:rsid w:val="00B57C57"/>
    <w:rsid w:val="00B57F1D"/>
    <w:rsid w:val="00B6025F"/>
    <w:rsid w:val="00B60A55"/>
    <w:rsid w:val="00B62237"/>
    <w:rsid w:val="00B624D9"/>
    <w:rsid w:val="00B62A58"/>
    <w:rsid w:val="00B6316F"/>
    <w:rsid w:val="00B635A9"/>
    <w:rsid w:val="00B648DB"/>
    <w:rsid w:val="00B658AE"/>
    <w:rsid w:val="00B6697F"/>
    <w:rsid w:val="00B66D65"/>
    <w:rsid w:val="00B66DD8"/>
    <w:rsid w:val="00B70100"/>
    <w:rsid w:val="00B7138A"/>
    <w:rsid w:val="00B71582"/>
    <w:rsid w:val="00B716EB"/>
    <w:rsid w:val="00B71922"/>
    <w:rsid w:val="00B71CAE"/>
    <w:rsid w:val="00B72814"/>
    <w:rsid w:val="00B7348D"/>
    <w:rsid w:val="00B737A1"/>
    <w:rsid w:val="00B7389D"/>
    <w:rsid w:val="00B73AC2"/>
    <w:rsid w:val="00B74293"/>
    <w:rsid w:val="00B742F6"/>
    <w:rsid w:val="00B74B28"/>
    <w:rsid w:val="00B74DF6"/>
    <w:rsid w:val="00B753B3"/>
    <w:rsid w:val="00B755C3"/>
    <w:rsid w:val="00B757CE"/>
    <w:rsid w:val="00B76DDE"/>
    <w:rsid w:val="00B77674"/>
    <w:rsid w:val="00B80108"/>
    <w:rsid w:val="00B8079F"/>
    <w:rsid w:val="00B80974"/>
    <w:rsid w:val="00B809CF"/>
    <w:rsid w:val="00B80A06"/>
    <w:rsid w:val="00B812CE"/>
    <w:rsid w:val="00B82BFD"/>
    <w:rsid w:val="00B86093"/>
    <w:rsid w:val="00B8631E"/>
    <w:rsid w:val="00B86EB1"/>
    <w:rsid w:val="00B87A1B"/>
    <w:rsid w:val="00B910C3"/>
    <w:rsid w:val="00B92030"/>
    <w:rsid w:val="00B926A5"/>
    <w:rsid w:val="00B92C43"/>
    <w:rsid w:val="00B92D2D"/>
    <w:rsid w:val="00B935AD"/>
    <w:rsid w:val="00B937EA"/>
    <w:rsid w:val="00B940E3"/>
    <w:rsid w:val="00B95FC4"/>
    <w:rsid w:val="00B96119"/>
    <w:rsid w:val="00B96159"/>
    <w:rsid w:val="00B966FC"/>
    <w:rsid w:val="00B97DE4"/>
    <w:rsid w:val="00BA047D"/>
    <w:rsid w:val="00BA12D6"/>
    <w:rsid w:val="00BA13F3"/>
    <w:rsid w:val="00BA15A0"/>
    <w:rsid w:val="00BA21BD"/>
    <w:rsid w:val="00BA325D"/>
    <w:rsid w:val="00BA3AB1"/>
    <w:rsid w:val="00BA3B40"/>
    <w:rsid w:val="00BA41F5"/>
    <w:rsid w:val="00BA477E"/>
    <w:rsid w:val="00BA4D59"/>
    <w:rsid w:val="00BA5060"/>
    <w:rsid w:val="00BA52B2"/>
    <w:rsid w:val="00BA5B31"/>
    <w:rsid w:val="00BA6242"/>
    <w:rsid w:val="00BA6D4E"/>
    <w:rsid w:val="00BA6FDF"/>
    <w:rsid w:val="00BA70A7"/>
    <w:rsid w:val="00BA7477"/>
    <w:rsid w:val="00BA7E62"/>
    <w:rsid w:val="00BB01D9"/>
    <w:rsid w:val="00BB01FD"/>
    <w:rsid w:val="00BB042A"/>
    <w:rsid w:val="00BB0E59"/>
    <w:rsid w:val="00BB1E18"/>
    <w:rsid w:val="00BB2186"/>
    <w:rsid w:val="00BB23D2"/>
    <w:rsid w:val="00BB2E6A"/>
    <w:rsid w:val="00BB301D"/>
    <w:rsid w:val="00BB3546"/>
    <w:rsid w:val="00BB41B2"/>
    <w:rsid w:val="00BB458C"/>
    <w:rsid w:val="00BB47A9"/>
    <w:rsid w:val="00BB5E27"/>
    <w:rsid w:val="00BB6305"/>
    <w:rsid w:val="00BB6969"/>
    <w:rsid w:val="00BB6D59"/>
    <w:rsid w:val="00BB6F57"/>
    <w:rsid w:val="00BB74D5"/>
    <w:rsid w:val="00BB7643"/>
    <w:rsid w:val="00BB7BD8"/>
    <w:rsid w:val="00BB7E4A"/>
    <w:rsid w:val="00BC01B5"/>
    <w:rsid w:val="00BC0E7F"/>
    <w:rsid w:val="00BC2F07"/>
    <w:rsid w:val="00BC4173"/>
    <w:rsid w:val="00BC4934"/>
    <w:rsid w:val="00BC50C4"/>
    <w:rsid w:val="00BC5740"/>
    <w:rsid w:val="00BC590F"/>
    <w:rsid w:val="00BC5AEB"/>
    <w:rsid w:val="00BC60D1"/>
    <w:rsid w:val="00BC61C5"/>
    <w:rsid w:val="00BC6C50"/>
    <w:rsid w:val="00BC6C77"/>
    <w:rsid w:val="00BC6E6D"/>
    <w:rsid w:val="00BC719D"/>
    <w:rsid w:val="00BD061A"/>
    <w:rsid w:val="00BD12E7"/>
    <w:rsid w:val="00BD12F9"/>
    <w:rsid w:val="00BD2BF4"/>
    <w:rsid w:val="00BD3AA4"/>
    <w:rsid w:val="00BD3B2C"/>
    <w:rsid w:val="00BD534E"/>
    <w:rsid w:val="00BD7301"/>
    <w:rsid w:val="00BD768D"/>
    <w:rsid w:val="00BD7FA7"/>
    <w:rsid w:val="00BE065E"/>
    <w:rsid w:val="00BE081E"/>
    <w:rsid w:val="00BE0ACF"/>
    <w:rsid w:val="00BE0EFF"/>
    <w:rsid w:val="00BE1F3C"/>
    <w:rsid w:val="00BE2BDD"/>
    <w:rsid w:val="00BE3849"/>
    <w:rsid w:val="00BE44EE"/>
    <w:rsid w:val="00BE4DBF"/>
    <w:rsid w:val="00BE4F21"/>
    <w:rsid w:val="00BE52BC"/>
    <w:rsid w:val="00BE597A"/>
    <w:rsid w:val="00BE5A80"/>
    <w:rsid w:val="00BE6321"/>
    <w:rsid w:val="00BE67E8"/>
    <w:rsid w:val="00BE7077"/>
    <w:rsid w:val="00BE7914"/>
    <w:rsid w:val="00BF113B"/>
    <w:rsid w:val="00BF124A"/>
    <w:rsid w:val="00BF1559"/>
    <w:rsid w:val="00BF2CF2"/>
    <w:rsid w:val="00BF2FCF"/>
    <w:rsid w:val="00BF306D"/>
    <w:rsid w:val="00BF33F4"/>
    <w:rsid w:val="00BF38CE"/>
    <w:rsid w:val="00BF3A75"/>
    <w:rsid w:val="00BF4AD2"/>
    <w:rsid w:val="00BF65ED"/>
    <w:rsid w:val="00BF6D4D"/>
    <w:rsid w:val="00BF6D4F"/>
    <w:rsid w:val="00BF7F93"/>
    <w:rsid w:val="00C01E70"/>
    <w:rsid w:val="00C02454"/>
    <w:rsid w:val="00C02ECF"/>
    <w:rsid w:val="00C034FF"/>
    <w:rsid w:val="00C03F90"/>
    <w:rsid w:val="00C03F9C"/>
    <w:rsid w:val="00C04619"/>
    <w:rsid w:val="00C0473E"/>
    <w:rsid w:val="00C04E0E"/>
    <w:rsid w:val="00C07E90"/>
    <w:rsid w:val="00C10946"/>
    <w:rsid w:val="00C10A48"/>
    <w:rsid w:val="00C11501"/>
    <w:rsid w:val="00C11AC9"/>
    <w:rsid w:val="00C11DCC"/>
    <w:rsid w:val="00C123CF"/>
    <w:rsid w:val="00C12481"/>
    <w:rsid w:val="00C12B2B"/>
    <w:rsid w:val="00C12CA0"/>
    <w:rsid w:val="00C12FFA"/>
    <w:rsid w:val="00C144FA"/>
    <w:rsid w:val="00C1463A"/>
    <w:rsid w:val="00C14724"/>
    <w:rsid w:val="00C14D6F"/>
    <w:rsid w:val="00C14EA7"/>
    <w:rsid w:val="00C15D25"/>
    <w:rsid w:val="00C16225"/>
    <w:rsid w:val="00C163F5"/>
    <w:rsid w:val="00C16793"/>
    <w:rsid w:val="00C16C34"/>
    <w:rsid w:val="00C17754"/>
    <w:rsid w:val="00C17B38"/>
    <w:rsid w:val="00C17E9C"/>
    <w:rsid w:val="00C2040D"/>
    <w:rsid w:val="00C20BE4"/>
    <w:rsid w:val="00C216BF"/>
    <w:rsid w:val="00C22649"/>
    <w:rsid w:val="00C2275E"/>
    <w:rsid w:val="00C22A2B"/>
    <w:rsid w:val="00C24184"/>
    <w:rsid w:val="00C25090"/>
    <w:rsid w:val="00C25AEC"/>
    <w:rsid w:val="00C2698A"/>
    <w:rsid w:val="00C26D37"/>
    <w:rsid w:val="00C27107"/>
    <w:rsid w:val="00C27DE0"/>
    <w:rsid w:val="00C305F4"/>
    <w:rsid w:val="00C31524"/>
    <w:rsid w:val="00C31AAD"/>
    <w:rsid w:val="00C33134"/>
    <w:rsid w:val="00C3344B"/>
    <w:rsid w:val="00C343AF"/>
    <w:rsid w:val="00C35E75"/>
    <w:rsid w:val="00C36650"/>
    <w:rsid w:val="00C366B6"/>
    <w:rsid w:val="00C3748A"/>
    <w:rsid w:val="00C37A84"/>
    <w:rsid w:val="00C40A93"/>
    <w:rsid w:val="00C4117A"/>
    <w:rsid w:val="00C41AC0"/>
    <w:rsid w:val="00C41FC3"/>
    <w:rsid w:val="00C427E8"/>
    <w:rsid w:val="00C428BB"/>
    <w:rsid w:val="00C4467D"/>
    <w:rsid w:val="00C44735"/>
    <w:rsid w:val="00C44A07"/>
    <w:rsid w:val="00C454D3"/>
    <w:rsid w:val="00C45AB0"/>
    <w:rsid w:val="00C4617B"/>
    <w:rsid w:val="00C4693D"/>
    <w:rsid w:val="00C469E3"/>
    <w:rsid w:val="00C47031"/>
    <w:rsid w:val="00C478DC"/>
    <w:rsid w:val="00C47A1B"/>
    <w:rsid w:val="00C47A4D"/>
    <w:rsid w:val="00C50BA3"/>
    <w:rsid w:val="00C513E9"/>
    <w:rsid w:val="00C518D6"/>
    <w:rsid w:val="00C51AB4"/>
    <w:rsid w:val="00C51B68"/>
    <w:rsid w:val="00C5337E"/>
    <w:rsid w:val="00C53423"/>
    <w:rsid w:val="00C54510"/>
    <w:rsid w:val="00C54D52"/>
    <w:rsid w:val="00C54D5C"/>
    <w:rsid w:val="00C55049"/>
    <w:rsid w:val="00C55070"/>
    <w:rsid w:val="00C55250"/>
    <w:rsid w:val="00C55D8F"/>
    <w:rsid w:val="00C56285"/>
    <w:rsid w:val="00C56336"/>
    <w:rsid w:val="00C563B6"/>
    <w:rsid w:val="00C56DCE"/>
    <w:rsid w:val="00C56E8E"/>
    <w:rsid w:val="00C57169"/>
    <w:rsid w:val="00C5752A"/>
    <w:rsid w:val="00C6055C"/>
    <w:rsid w:val="00C60666"/>
    <w:rsid w:val="00C6101E"/>
    <w:rsid w:val="00C61391"/>
    <w:rsid w:val="00C61852"/>
    <w:rsid w:val="00C620DD"/>
    <w:rsid w:val="00C6218E"/>
    <w:rsid w:val="00C626B4"/>
    <w:rsid w:val="00C64834"/>
    <w:rsid w:val="00C64897"/>
    <w:rsid w:val="00C64B6B"/>
    <w:rsid w:val="00C64D16"/>
    <w:rsid w:val="00C6562A"/>
    <w:rsid w:val="00C65E30"/>
    <w:rsid w:val="00C66217"/>
    <w:rsid w:val="00C66313"/>
    <w:rsid w:val="00C66951"/>
    <w:rsid w:val="00C66A96"/>
    <w:rsid w:val="00C6700D"/>
    <w:rsid w:val="00C676EC"/>
    <w:rsid w:val="00C679FB"/>
    <w:rsid w:val="00C67F55"/>
    <w:rsid w:val="00C704D0"/>
    <w:rsid w:val="00C73F72"/>
    <w:rsid w:val="00C74543"/>
    <w:rsid w:val="00C75157"/>
    <w:rsid w:val="00C76805"/>
    <w:rsid w:val="00C8029B"/>
    <w:rsid w:val="00C8120C"/>
    <w:rsid w:val="00C813AB"/>
    <w:rsid w:val="00C826A8"/>
    <w:rsid w:val="00C84978"/>
    <w:rsid w:val="00C84F01"/>
    <w:rsid w:val="00C85D99"/>
    <w:rsid w:val="00C8775B"/>
    <w:rsid w:val="00C87F3D"/>
    <w:rsid w:val="00C900B1"/>
    <w:rsid w:val="00C9091C"/>
    <w:rsid w:val="00C911BF"/>
    <w:rsid w:val="00C91D2F"/>
    <w:rsid w:val="00C921B5"/>
    <w:rsid w:val="00C9295D"/>
    <w:rsid w:val="00C92975"/>
    <w:rsid w:val="00C92C4E"/>
    <w:rsid w:val="00C932B1"/>
    <w:rsid w:val="00C938BA"/>
    <w:rsid w:val="00C93C75"/>
    <w:rsid w:val="00C93FEB"/>
    <w:rsid w:val="00C94466"/>
    <w:rsid w:val="00C94494"/>
    <w:rsid w:val="00C94B5D"/>
    <w:rsid w:val="00C95486"/>
    <w:rsid w:val="00C95E93"/>
    <w:rsid w:val="00C96DE9"/>
    <w:rsid w:val="00C975A6"/>
    <w:rsid w:val="00C97708"/>
    <w:rsid w:val="00C9775F"/>
    <w:rsid w:val="00CA0817"/>
    <w:rsid w:val="00CA0AEE"/>
    <w:rsid w:val="00CA1938"/>
    <w:rsid w:val="00CA1C3D"/>
    <w:rsid w:val="00CA215F"/>
    <w:rsid w:val="00CA2358"/>
    <w:rsid w:val="00CA2440"/>
    <w:rsid w:val="00CA2453"/>
    <w:rsid w:val="00CA283D"/>
    <w:rsid w:val="00CA3390"/>
    <w:rsid w:val="00CA33E6"/>
    <w:rsid w:val="00CA34DA"/>
    <w:rsid w:val="00CA3937"/>
    <w:rsid w:val="00CA4496"/>
    <w:rsid w:val="00CA463D"/>
    <w:rsid w:val="00CA46DE"/>
    <w:rsid w:val="00CA4D9C"/>
    <w:rsid w:val="00CA5117"/>
    <w:rsid w:val="00CA7125"/>
    <w:rsid w:val="00CA72A9"/>
    <w:rsid w:val="00CA778D"/>
    <w:rsid w:val="00CA7C51"/>
    <w:rsid w:val="00CA7F1A"/>
    <w:rsid w:val="00CB0CC0"/>
    <w:rsid w:val="00CB1179"/>
    <w:rsid w:val="00CB1E1B"/>
    <w:rsid w:val="00CB1F5B"/>
    <w:rsid w:val="00CB2909"/>
    <w:rsid w:val="00CB355F"/>
    <w:rsid w:val="00CB399E"/>
    <w:rsid w:val="00CB3D08"/>
    <w:rsid w:val="00CB4307"/>
    <w:rsid w:val="00CB4DF7"/>
    <w:rsid w:val="00CB507E"/>
    <w:rsid w:val="00CB7D71"/>
    <w:rsid w:val="00CC04F9"/>
    <w:rsid w:val="00CC0640"/>
    <w:rsid w:val="00CC0702"/>
    <w:rsid w:val="00CC0AAE"/>
    <w:rsid w:val="00CC1B5F"/>
    <w:rsid w:val="00CC1CBD"/>
    <w:rsid w:val="00CC1DAB"/>
    <w:rsid w:val="00CC2241"/>
    <w:rsid w:val="00CC2711"/>
    <w:rsid w:val="00CC2F87"/>
    <w:rsid w:val="00CC3178"/>
    <w:rsid w:val="00CC37DD"/>
    <w:rsid w:val="00CC397A"/>
    <w:rsid w:val="00CC3CB8"/>
    <w:rsid w:val="00CC3D46"/>
    <w:rsid w:val="00CC470A"/>
    <w:rsid w:val="00CC4785"/>
    <w:rsid w:val="00CC4876"/>
    <w:rsid w:val="00CC48F8"/>
    <w:rsid w:val="00CC4CE1"/>
    <w:rsid w:val="00CC5B77"/>
    <w:rsid w:val="00CC5D97"/>
    <w:rsid w:val="00CC6273"/>
    <w:rsid w:val="00CC628B"/>
    <w:rsid w:val="00CC681D"/>
    <w:rsid w:val="00CC7298"/>
    <w:rsid w:val="00CC7C7D"/>
    <w:rsid w:val="00CC7E35"/>
    <w:rsid w:val="00CC7EEF"/>
    <w:rsid w:val="00CD0301"/>
    <w:rsid w:val="00CD1665"/>
    <w:rsid w:val="00CD2FC8"/>
    <w:rsid w:val="00CD3CCC"/>
    <w:rsid w:val="00CD3FF7"/>
    <w:rsid w:val="00CD4043"/>
    <w:rsid w:val="00CD4698"/>
    <w:rsid w:val="00CD4E46"/>
    <w:rsid w:val="00CD54E9"/>
    <w:rsid w:val="00CD5895"/>
    <w:rsid w:val="00CD5EF3"/>
    <w:rsid w:val="00CE0138"/>
    <w:rsid w:val="00CE0E19"/>
    <w:rsid w:val="00CE23AA"/>
    <w:rsid w:val="00CE2690"/>
    <w:rsid w:val="00CE2935"/>
    <w:rsid w:val="00CE38F5"/>
    <w:rsid w:val="00CE39ED"/>
    <w:rsid w:val="00CE3C27"/>
    <w:rsid w:val="00CE431E"/>
    <w:rsid w:val="00CE448D"/>
    <w:rsid w:val="00CE4AA7"/>
    <w:rsid w:val="00CE5412"/>
    <w:rsid w:val="00CE672E"/>
    <w:rsid w:val="00CE7003"/>
    <w:rsid w:val="00CE72F2"/>
    <w:rsid w:val="00CF0065"/>
    <w:rsid w:val="00CF00B6"/>
    <w:rsid w:val="00CF1A4D"/>
    <w:rsid w:val="00CF23EE"/>
    <w:rsid w:val="00CF354E"/>
    <w:rsid w:val="00CF362A"/>
    <w:rsid w:val="00CF3B44"/>
    <w:rsid w:val="00CF3E84"/>
    <w:rsid w:val="00CF4231"/>
    <w:rsid w:val="00CF4314"/>
    <w:rsid w:val="00CF4DD4"/>
    <w:rsid w:val="00CF5395"/>
    <w:rsid w:val="00CF5608"/>
    <w:rsid w:val="00CF5C73"/>
    <w:rsid w:val="00CF5D1B"/>
    <w:rsid w:val="00CF69A6"/>
    <w:rsid w:val="00CF69E7"/>
    <w:rsid w:val="00CF6D77"/>
    <w:rsid w:val="00CF6DF7"/>
    <w:rsid w:val="00CF7199"/>
    <w:rsid w:val="00CF7C46"/>
    <w:rsid w:val="00D002F5"/>
    <w:rsid w:val="00D011C8"/>
    <w:rsid w:val="00D01880"/>
    <w:rsid w:val="00D02608"/>
    <w:rsid w:val="00D02958"/>
    <w:rsid w:val="00D034DC"/>
    <w:rsid w:val="00D03545"/>
    <w:rsid w:val="00D03917"/>
    <w:rsid w:val="00D03981"/>
    <w:rsid w:val="00D03D0D"/>
    <w:rsid w:val="00D03FA1"/>
    <w:rsid w:val="00D03FE9"/>
    <w:rsid w:val="00D0417B"/>
    <w:rsid w:val="00D04EC8"/>
    <w:rsid w:val="00D04FA2"/>
    <w:rsid w:val="00D061A0"/>
    <w:rsid w:val="00D068C7"/>
    <w:rsid w:val="00D07C98"/>
    <w:rsid w:val="00D07E77"/>
    <w:rsid w:val="00D10440"/>
    <w:rsid w:val="00D1069D"/>
    <w:rsid w:val="00D10BF3"/>
    <w:rsid w:val="00D11380"/>
    <w:rsid w:val="00D11D2B"/>
    <w:rsid w:val="00D1229E"/>
    <w:rsid w:val="00D125A3"/>
    <w:rsid w:val="00D1372E"/>
    <w:rsid w:val="00D13F3C"/>
    <w:rsid w:val="00D13FB6"/>
    <w:rsid w:val="00D14C84"/>
    <w:rsid w:val="00D15904"/>
    <w:rsid w:val="00D160BC"/>
    <w:rsid w:val="00D16293"/>
    <w:rsid w:val="00D16ECD"/>
    <w:rsid w:val="00D170D8"/>
    <w:rsid w:val="00D20C2B"/>
    <w:rsid w:val="00D22060"/>
    <w:rsid w:val="00D22428"/>
    <w:rsid w:val="00D22C10"/>
    <w:rsid w:val="00D22C84"/>
    <w:rsid w:val="00D22CDE"/>
    <w:rsid w:val="00D2387E"/>
    <w:rsid w:val="00D242D5"/>
    <w:rsid w:val="00D25139"/>
    <w:rsid w:val="00D25585"/>
    <w:rsid w:val="00D26E25"/>
    <w:rsid w:val="00D26F0B"/>
    <w:rsid w:val="00D26F38"/>
    <w:rsid w:val="00D27116"/>
    <w:rsid w:val="00D276CD"/>
    <w:rsid w:val="00D27BA6"/>
    <w:rsid w:val="00D3084B"/>
    <w:rsid w:val="00D31449"/>
    <w:rsid w:val="00D32176"/>
    <w:rsid w:val="00D3232A"/>
    <w:rsid w:val="00D3232C"/>
    <w:rsid w:val="00D3234F"/>
    <w:rsid w:val="00D32B66"/>
    <w:rsid w:val="00D32FBA"/>
    <w:rsid w:val="00D33BF5"/>
    <w:rsid w:val="00D3438C"/>
    <w:rsid w:val="00D34BA1"/>
    <w:rsid w:val="00D35780"/>
    <w:rsid w:val="00D366A2"/>
    <w:rsid w:val="00D370CB"/>
    <w:rsid w:val="00D3715E"/>
    <w:rsid w:val="00D37BB2"/>
    <w:rsid w:val="00D40207"/>
    <w:rsid w:val="00D40B3C"/>
    <w:rsid w:val="00D4159A"/>
    <w:rsid w:val="00D41A96"/>
    <w:rsid w:val="00D41B4D"/>
    <w:rsid w:val="00D41E60"/>
    <w:rsid w:val="00D4388E"/>
    <w:rsid w:val="00D43FBE"/>
    <w:rsid w:val="00D44733"/>
    <w:rsid w:val="00D44761"/>
    <w:rsid w:val="00D467C5"/>
    <w:rsid w:val="00D47667"/>
    <w:rsid w:val="00D50674"/>
    <w:rsid w:val="00D51FF3"/>
    <w:rsid w:val="00D5221F"/>
    <w:rsid w:val="00D5339F"/>
    <w:rsid w:val="00D5366F"/>
    <w:rsid w:val="00D53E26"/>
    <w:rsid w:val="00D5458C"/>
    <w:rsid w:val="00D547BA"/>
    <w:rsid w:val="00D548BD"/>
    <w:rsid w:val="00D5566A"/>
    <w:rsid w:val="00D5626D"/>
    <w:rsid w:val="00D56425"/>
    <w:rsid w:val="00D565E2"/>
    <w:rsid w:val="00D56FAB"/>
    <w:rsid w:val="00D5762A"/>
    <w:rsid w:val="00D61A5A"/>
    <w:rsid w:val="00D6314C"/>
    <w:rsid w:val="00D63340"/>
    <w:rsid w:val="00D634C0"/>
    <w:rsid w:val="00D63B84"/>
    <w:rsid w:val="00D64008"/>
    <w:rsid w:val="00D648E3"/>
    <w:rsid w:val="00D64CC0"/>
    <w:rsid w:val="00D66985"/>
    <w:rsid w:val="00D67204"/>
    <w:rsid w:val="00D67B40"/>
    <w:rsid w:val="00D708F0"/>
    <w:rsid w:val="00D7164B"/>
    <w:rsid w:val="00D71CF5"/>
    <w:rsid w:val="00D72A6C"/>
    <w:rsid w:val="00D73DA3"/>
    <w:rsid w:val="00D73DD4"/>
    <w:rsid w:val="00D74198"/>
    <w:rsid w:val="00D74852"/>
    <w:rsid w:val="00D749C4"/>
    <w:rsid w:val="00D75755"/>
    <w:rsid w:val="00D75C36"/>
    <w:rsid w:val="00D75C5D"/>
    <w:rsid w:val="00D760A1"/>
    <w:rsid w:val="00D768AF"/>
    <w:rsid w:val="00D769CB"/>
    <w:rsid w:val="00D77B1A"/>
    <w:rsid w:val="00D80FF6"/>
    <w:rsid w:val="00D8132D"/>
    <w:rsid w:val="00D81EDC"/>
    <w:rsid w:val="00D82108"/>
    <w:rsid w:val="00D82F07"/>
    <w:rsid w:val="00D836A6"/>
    <w:rsid w:val="00D8430D"/>
    <w:rsid w:val="00D844C7"/>
    <w:rsid w:val="00D84D3F"/>
    <w:rsid w:val="00D850E9"/>
    <w:rsid w:val="00D8545C"/>
    <w:rsid w:val="00D856AC"/>
    <w:rsid w:val="00D862F4"/>
    <w:rsid w:val="00D867B4"/>
    <w:rsid w:val="00D86905"/>
    <w:rsid w:val="00D86C3C"/>
    <w:rsid w:val="00D86EAD"/>
    <w:rsid w:val="00D87116"/>
    <w:rsid w:val="00D87217"/>
    <w:rsid w:val="00D874EB"/>
    <w:rsid w:val="00D876C2"/>
    <w:rsid w:val="00D87FA5"/>
    <w:rsid w:val="00D9044C"/>
    <w:rsid w:val="00D90BBB"/>
    <w:rsid w:val="00D90CBF"/>
    <w:rsid w:val="00D90FF0"/>
    <w:rsid w:val="00D916C5"/>
    <w:rsid w:val="00D925E5"/>
    <w:rsid w:val="00D92D55"/>
    <w:rsid w:val="00D93078"/>
    <w:rsid w:val="00D9366D"/>
    <w:rsid w:val="00D94987"/>
    <w:rsid w:val="00D94C8B"/>
    <w:rsid w:val="00D94FF6"/>
    <w:rsid w:val="00D96D32"/>
    <w:rsid w:val="00D96DBF"/>
    <w:rsid w:val="00D9771A"/>
    <w:rsid w:val="00DA115A"/>
    <w:rsid w:val="00DA1407"/>
    <w:rsid w:val="00DA2ACC"/>
    <w:rsid w:val="00DA2B47"/>
    <w:rsid w:val="00DA2EB9"/>
    <w:rsid w:val="00DA3566"/>
    <w:rsid w:val="00DA37A9"/>
    <w:rsid w:val="00DA48E0"/>
    <w:rsid w:val="00DA4C34"/>
    <w:rsid w:val="00DA628B"/>
    <w:rsid w:val="00DA64FF"/>
    <w:rsid w:val="00DA703D"/>
    <w:rsid w:val="00DA767F"/>
    <w:rsid w:val="00DB0922"/>
    <w:rsid w:val="00DB0DD2"/>
    <w:rsid w:val="00DB19A1"/>
    <w:rsid w:val="00DB22F6"/>
    <w:rsid w:val="00DB279B"/>
    <w:rsid w:val="00DB2A4F"/>
    <w:rsid w:val="00DB2C42"/>
    <w:rsid w:val="00DB2CDD"/>
    <w:rsid w:val="00DB3366"/>
    <w:rsid w:val="00DB3428"/>
    <w:rsid w:val="00DB45D9"/>
    <w:rsid w:val="00DB466A"/>
    <w:rsid w:val="00DB6389"/>
    <w:rsid w:val="00DC00C6"/>
    <w:rsid w:val="00DC132B"/>
    <w:rsid w:val="00DC1AE1"/>
    <w:rsid w:val="00DC298A"/>
    <w:rsid w:val="00DC42BE"/>
    <w:rsid w:val="00DC453D"/>
    <w:rsid w:val="00DC596E"/>
    <w:rsid w:val="00DC65C4"/>
    <w:rsid w:val="00DC7289"/>
    <w:rsid w:val="00DD18CE"/>
    <w:rsid w:val="00DD2033"/>
    <w:rsid w:val="00DD2BE6"/>
    <w:rsid w:val="00DD2E60"/>
    <w:rsid w:val="00DD3064"/>
    <w:rsid w:val="00DD37A8"/>
    <w:rsid w:val="00DD3A66"/>
    <w:rsid w:val="00DD3E08"/>
    <w:rsid w:val="00DD4B59"/>
    <w:rsid w:val="00DD4B80"/>
    <w:rsid w:val="00DD4C03"/>
    <w:rsid w:val="00DD5086"/>
    <w:rsid w:val="00DD5131"/>
    <w:rsid w:val="00DD5B08"/>
    <w:rsid w:val="00DD5D79"/>
    <w:rsid w:val="00DD6C42"/>
    <w:rsid w:val="00DD7288"/>
    <w:rsid w:val="00DE064C"/>
    <w:rsid w:val="00DE0B43"/>
    <w:rsid w:val="00DE1B62"/>
    <w:rsid w:val="00DE242E"/>
    <w:rsid w:val="00DE2B81"/>
    <w:rsid w:val="00DE2CA9"/>
    <w:rsid w:val="00DE38BE"/>
    <w:rsid w:val="00DE3CC1"/>
    <w:rsid w:val="00DE4E3E"/>
    <w:rsid w:val="00DE4FD3"/>
    <w:rsid w:val="00DE5B61"/>
    <w:rsid w:val="00DE5DC6"/>
    <w:rsid w:val="00DE6332"/>
    <w:rsid w:val="00DE6AC1"/>
    <w:rsid w:val="00DE758D"/>
    <w:rsid w:val="00DF0739"/>
    <w:rsid w:val="00DF1757"/>
    <w:rsid w:val="00DF2039"/>
    <w:rsid w:val="00DF2641"/>
    <w:rsid w:val="00DF3007"/>
    <w:rsid w:val="00DF344A"/>
    <w:rsid w:val="00DF3E6F"/>
    <w:rsid w:val="00DF4C4D"/>
    <w:rsid w:val="00DF4CB4"/>
    <w:rsid w:val="00DF4FA2"/>
    <w:rsid w:val="00DF5E35"/>
    <w:rsid w:val="00DF6370"/>
    <w:rsid w:val="00DF6BE4"/>
    <w:rsid w:val="00DF6E92"/>
    <w:rsid w:val="00DF743C"/>
    <w:rsid w:val="00DF7838"/>
    <w:rsid w:val="00E010A8"/>
    <w:rsid w:val="00E0278C"/>
    <w:rsid w:val="00E02EC1"/>
    <w:rsid w:val="00E03123"/>
    <w:rsid w:val="00E033A5"/>
    <w:rsid w:val="00E03482"/>
    <w:rsid w:val="00E04BB5"/>
    <w:rsid w:val="00E05A12"/>
    <w:rsid w:val="00E05FD4"/>
    <w:rsid w:val="00E06585"/>
    <w:rsid w:val="00E073CE"/>
    <w:rsid w:val="00E103A9"/>
    <w:rsid w:val="00E10C91"/>
    <w:rsid w:val="00E10D1A"/>
    <w:rsid w:val="00E111C9"/>
    <w:rsid w:val="00E1155C"/>
    <w:rsid w:val="00E11B62"/>
    <w:rsid w:val="00E12B1E"/>
    <w:rsid w:val="00E130F4"/>
    <w:rsid w:val="00E1325E"/>
    <w:rsid w:val="00E13D0B"/>
    <w:rsid w:val="00E140AF"/>
    <w:rsid w:val="00E1429D"/>
    <w:rsid w:val="00E142CB"/>
    <w:rsid w:val="00E14483"/>
    <w:rsid w:val="00E14658"/>
    <w:rsid w:val="00E146FD"/>
    <w:rsid w:val="00E153DB"/>
    <w:rsid w:val="00E15473"/>
    <w:rsid w:val="00E15C65"/>
    <w:rsid w:val="00E1643C"/>
    <w:rsid w:val="00E166EA"/>
    <w:rsid w:val="00E16C2E"/>
    <w:rsid w:val="00E16DC6"/>
    <w:rsid w:val="00E175E8"/>
    <w:rsid w:val="00E20BAC"/>
    <w:rsid w:val="00E2109E"/>
    <w:rsid w:val="00E21A8D"/>
    <w:rsid w:val="00E21A98"/>
    <w:rsid w:val="00E220D0"/>
    <w:rsid w:val="00E22893"/>
    <w:rsid w:val="00E233B9"/>
    <w:rsid w:val="00E2343B"/>
    <w:rsid w:val="00E23EA9"/>
    <w:rsid w:val="00E244D4"/>
    <w:rsid w:val="00E24883"/>
    <w:rsid w:val="00E24ABB"/>
    <w:rsid w:val="00E2592E"/>
    <w:rsid w:val="00E26DC0"/>
    <w:rsid w:val="00E278CF"/>
    <w:rsid w:val="00E27BA1"/>
    <w:rsid w:val="00E30151"/>
    <w:rsid w:val="00E30AB8"/>
    <w:rsid w:val="00E30DE1"/>
    <w:rsid w:val="00E30E91"/>
    <w:rsid w:val="00E31170"/>
    <w:rsid w:val="00E3139D"/>
    <w:rsid w:val="00E3149C"/>
    <w:rsid w:val="00E32CFB"/>
    <w:rsid w:val="00E32D84"/>
    <w:rsid w:val="00E33631"/>
    <w:rsid w:val="00E34169"/>
    <w:rsid w:val="00E3426A"/>
    <w:rsid w:val="00E34D79"/>
    <w:rsid w:val="00E34E87"/>
    <w:rsid w:val="00E34FFB"/>
    <w:rsid w:val="00E3542B"/>
    <w:rsid w:val="00E35507"/>
    <w:rsid w:val="00E36333"/>
    <w:rsid w:val="00E37B2E"/>
    <w:rsid w:val="00E37CE8"/>
    <w:rsid w:val="00E40A60"/>
    <w:rsid w:val="00E40DEF"/>
    <w:rsid w:val="00E4118F"/>
    <w:rsid w:val="00E425B5"/>
    <w:rsid w:val="00E42A1A"/>
    <w:rsid w:val="00E42B50"/>
    <w:rsid w:val="00E431A4"/>
    <w:rsid w:val="00E446E5"/>
    <w:rsid w:val="00E44985"/>
    <w:rsid w:val="00E44C73"/>
    <w:rsid w:val="00E4577F"/>
    <w:rsid w:val="00E471A7"/>
    <w:rsid w:val="00E472F8"/>
    <w:rsid w:val="00E479BC"/>
    <w:rsid w:val="00E51E04"/>
    <w:rsid w:val="00E5288E"/>
    <w:rsid w:val="00E529DB"/>
    <w:rsid w:val="00E53324"/>
    <w:rsid w:val="00E535DB"/>
    <w:rsid w:val="00E537AC"/>
    <w:rsid w:val="00E538F3"/>
    <w:rsid w:val="00E539A5"/>
    <w:rsid w:val="00E53A6E"/>
    <w:rsid w:val="00E53B37"/>
    <w:rsid w:val="00E54C83"/>
    <w:rsid w:val="00E54D12"/>
    <w:rsid w:val="00E5527C"/>
    <w:rsid w:val="00E55EA7"/>
    <w:rsid w:val="00E56C62"/>
    <w:rsid w:val="00E56EDD"/>
    <w:rsid w:val="00E57608"/>
    <w:rsid w:val="00E6019D"/>
    <w:rsid w:val="00E605B7"/>
    <w:rsid w:val="00E61286"/>
    <w:rsid w:val="00E61597"/>
    <w:rsid w:val="00E615EC"/>
    <w:rsid w:val="00E616FA"/>
    <w:rsid w:val="00E632BD"/>
    <w:rsid w:val="00E63970"/>
    <w:rsid w:val="00E6462E"/>
    <w:rsid w:val="00E64D50"/>
    <w:rsid w:val="00E65254"/>
    <w:rsid w:val="00E6615F"/>
    <w:rsid w:val="00E66959"/>
    <w:rsid w:val="00E67C00"/>
    <w:rsid w:val="00E70D2B"/>
    <w:rsid w:val="00E71A3B"/>
    <w:rsid w:val="00E72531"/>
    <w:rsid w:val="00E736B9"/>
    <w:rsid w:val="00E73A52"/>
    <w:rsid w:val="00E73FE1"/>
    <w:rsid w:val="00E74415"/>
    <w:rsid w:val="00E75FB4"/>
    <w:rsid w:val="00E764A1"/>
    <w:rsid w:val="00E764D6"/>
    <w:rsid w:val="00E765DC"/>
    <w:rsid w:val="00E76D0A"/>
    <w:rsid w:val="00E76E82"/>
    <w:rsid w:val="00E76FE4"/>
    <w:rsid w:val="00E77748"/>
    <w:rsid w:val="00E803DB"/>
    <w:rsid w:val="00E8090F"/>
    <w:rsid w:val="00E81209"/>
    <w:rsid w:val="00E8149E"/>
    <w:rsid w:val="00E81719"/>
    <w:rsid w:val="00E81D9A"/>
    <w:rsid w:val="00E83209"/>
    <w:rsid w:val="00E8385E"/>
    <w:rsid w:val="00E838DC"/>
    <w:rsid w:val="00E83D40"/>
    <w:rsid w:val="00E840E2"/>
    <w:rsid w:val="00E85579"/>
    <w:rsid w:val="00E859A6"/>
    <w:rsid w:val="00E85A08"/>
    <w:rsid w:val="00E863C7"/>
    <w:rsid w:val="00E86BB9"/>
    <w:rsid w:val="00E86D3B"/>
    <w:rsid w:val="00E873A8"/>
    <w:rsid w:val="00E8760E"/>
    <w:rsid w:val="00E8762B"/>
    <w:rsid w:val="00E90F02"/>
    <w:rsid w:val="00E91240"/>
    <w:rsid w:val="00E92949"/>
    <w:rsid w:val="00E92BCC"/>
    <w:rsid w:val="00E92D0C"/>
    <w:rsid w:val="00E92D92"/>
    <w:rsid w:val="00E9313D"/>
    <w:rsid w:val="00E93429"/>
    <w:rsid w:val="00E938A5"/>
    <w:rsid w:val="00E93C38"/>
    <w:rsid w:val="00E9572D"/>
    <w:rsid w:val="00E95BD1"/>
    <w:rsid w:val="00E95EEF"/>
    <w:rsid w:val="00E964F1"/>
    <w:rsid w:val="00E9752F"/>
    <w:rsid w:val="00E9778A"/>
    <w:rsid w:val="00E9780E"/>
    <w:rsid w:val="00EA06D8"/>
    <w:rsid w:val="00EA0DF8"/>
    <w:rsid w:val="00EA1201"/>
    <w:rsid w:val="00EA1C0B"/>
    <w:rsid w:val="00EA1F2B"/>
    <w:rsid w:val="00EA2CB8"/>
    <w:rsid w:val="00EA2D0B"/>
    <w:rsid w:val="00EA3997"/>
    <w:rsid w:val="00EA485B"/>
    <w:rsid w:val="00EA4AE0"/>
    <w:rsid w:val="00EA591E"/>
    <w:rsid w:val="00EA5D75"/>
    <w:rsid w:val="00EA678A"/>
    <w:rsid w:val="00EA67E3"/>
    <w:rsid w:val="00EA6E42"/>
    <w:rsid w:val="00EA7131"/>
    <w:rsid w:val="00EA74AE"/>
    <w:rsid w:val="00EA7DB9"/>
    <w:rsid w:val="00EB063A"/>
    <w:rsid w:val="00EB0B81"/>
    <w:rsid w:val="00EB0E34"/>
    <w:rsid w:val="00EB1B95"/>
    <w:rsid w:val="00EB2720"/>
    <w:rsid w:val="00EB3965"/>
    <w:rsid w:val="00EB3B70"/>
    <w:rsid w:val="00EB3F52"/>
    <w:rsid w:val="00EB466B"/>
    <w:rsid w:val="00EB475F"/>
    <w:rsid w:val="00EB48CE"/>
    <w:rsid w:val="00EB52D0"/>
    <w:rsid w:val="00EB5466"/>
    <w:rsid w:val="00EB5CBA"/>
    <w:rsid w:val="00EB66D4"/>
    <w:rsid w:val="00EB784E"/>
    <w:rsid w:val="00EB791C"/>
    <w:rsid w:val="00EB79FD"/>
    <w:rsid w:val="00EB7C3B"/>
    <w:rsid w:val="00EB7CA9"/>
    <w:rsid w:val="00EC04D6"/>
    <w:rsid w:val="00EC11ED"/>
    <w:rsid w:val="00EC2062"/>
    <w:rsid w:val="00EC2168"/>
    <w:rsid w:val="00EC2537"/>
    <w:rsid w:val="00EC29E5"/>
    <w:rsid w:val="00EC2B19"/>
    <w:rsid w:val="00EC2C65"/>
    <w:rsid w:val="00EC3437"/>
    <w:rsid w:val="00EC426D"/>
    <w:rsid w:val="00EC4397"/>
    <w:rsid w:val="00EC4A05"/>
    <w:rsid w:val="00EC6152"/>
    <w:rsid w:val="00EC6C11"/>
    <w:rsid w:val="00EC6D0E"/>
    <w:rsid w:val="00EC6F86"/>
    <w:rsid w:val="00EC7599"/>
    <w:rsid w:val="00EC761B"/>
    <w:rsid w:val="00EC7681"/>
    <w:rsid w:val="00EC7D04"/>
    <w:rsid w:val="00EC7DFE"/>
    <w:rsid w:val="00ED2009"/>
    <w:rsid w:val="00ED3079"/>
    <w:rsid w:val="00ED3C2A"/>
    <w:rsid w:val="00ED3E87"/>
    <w:rsid w:val="00ED3F2A"/>
    <w:rsid w:val="00ED4499"/>
    <w:rsid w:val="00ED4692"/>
    <w:rsid w:val="00ED4D15"/>
    <w:rsid w:val="00ED540F"/>
    <w:rsid w:val="00ED568E"/>
    <w:rsid w:val="00ED5A31"/>
    <w:rsid w:val="00ED5F9C"/>
    <w:rsid w:val="00ED6B55"/>
    <w:rsid w:val="00ED6CA9"/>
    <w:rsid w:val="00ED6FAF"/>
    <w:rsid w:val="00ED7172"/>
    <w:rsid w:val="00ED7BDB"/>
    <w:rsid w:val="00EE0D36"/>
    <w:rsid w:val="00EE11F6"/>
    <w:rsid w:val="00EE1432"/>
    <w:rsid w:val="00EE1920"/>
    <w:rsid w:val="00EE1E49"/>
    <w:rsid w:val="00EE1F2D"/>
    <w:rsid w:val="00EE2006"/>
    <w:rsid w:val="00EE32B1"/>
    <w:rsid w:val="00EE5520"/>
    <w:rsid w:val="00EE5682"/>
    <w:rsid w:val="00EE7B41"/>
    <w:rsid w:val="00EE7F4F"/>
    <w:rsid w:val="00EE7FEC"/>
    <w:rsid w:val="00EF08E6"/>
    <w:rsid w:val="00EF1114"/>
    <w:rsid w:val="00EF2107"/>
    <w:rsid w:val="00EF25EF"/>
    <w:rsid w:val="00EF2D84"/>
    <w:rsid w:val="00EF33BC"/>
    <w:rsid w:val="00EF3E10"/>
    <w:rsid w:val="00EF42ED"/>
    <w:rsid w:val="00EF4474"/>
    <w:rsid w:val="00EF48F7"/>
    <w:rsid w:val="00EF53D2"/>
    <w:rsid w:val="00EF5C9D"/>
    <w:rsid w:val="00EF62D5"/>
    <w:rsid w:val="00EF6D53"/>
    <w:rsid w:val="00EF6E1B"/>
    <w:rsid w:val="00EF7881"/>
    <w:rsid w:val="00F0060C"/>
    <w:rsid w:val="00F007D9"/>
    <w:rsid w:val="00F013E6"/>
    <w:rsid w:val="00F01991"/>
    <w:rsid w:val="00F01EFB"/>
    <w:rsid w:val="00F02E1F"/>
    <w:rsid w:val="00F03B0E"/>
    <w:rsid w:val="00F049D9"/>
    <w:rsid w:val="00F056FF"/>
    <w:rsid w:val="00F05BFF"/>
    <w:rsid w:val="00F06639"/>
    <w:rsid w:val="00F0666A"/>
    <w:rsid w:val="00F06BD5"/>
    <w:rsid w:val="00F11245"/>
    <w:rsid w:val="00F114D1"/>
    <w:rsid w:val="00F11838"/>
    <w:rsid w:val="00F11C10"/>
    <w:rsid w:val="00F126C2"/>
    <w:rsid w:val="00F12A67"/>
    <w:rsid w:val="00F13B75"/>
    <w:rsid w:val="00F14571"/>
    <w:rsid w:val="00F1486A"/>
    <w:rsid w:val="00F1519B"/>
    <w:rsid w:val="00F15616"/>
    <w:rsid w:val="00F15AC3"/>
    <w:rsid w:val="00F15DF5"/>
    <w:rsid w:val="00F160B5"/>
    <w:rsid w:val="00F16EFA"/>
    <w:rsid w:val="00F17B8F"/>
    <w:rsid w:val="00F17E01"/>
    <w:rsid w:val="00F20024"/>
    <w:rsid w:val="00F203D3"/>
    <w:rsid w:val="00F21852"/>
    <w:rsid w:val="00F22973"/>
    <w:rsid w:val="00F22CDC"/>
    <w:rsid w:val="00F22F3A"/>
    <w:rsid w:val="00F23F65"/>
    <w:rsid w:val="00F2448E"/>
    <w:rsid w:val="00F247D7"/>
    <w:rsid w:val="00F250E9"/>
    <w:rsid w:val="00F2566C"/>
    <w:rsid w:val="00F26C14"/>
    <w:rsid w:val="00F2721E"/>
    <w:rsid w:val="00F27458"/>
    <w:rsid w:val="00F2780A"/>
    <w:rsid w:val="00F27A85"/>
    <w:rsid w:val="00F27AC4"/>
    <w:rsid w:val="00F30BBC"/>
    <w:rsid w:val="00F30D1E"/>
    <w:rsid w:val="00F313E9"/>
    <w:rsid w:val="00F314C4"/>
    <w:rsid w:val="00F31759"/>
    <w:rsid w:val="00F318D0"/>
    <w:rsid w:val="00F31EB4"/>
    <w:rsid w:val="00F3298F"/>
    <w:rsid w:val="00F32B3A"/>
    <w:rsid w:val="00F32DC5"/>
    <w:rsid w:val="00F33C05"/>
    <w:rsid w:val="00F33C9A"/>
    <w:rsid w:val="00F33E5F"/>
    <w:rsid w:val="00F344F6"/>
    <w:rsid w:val="00F354FA"/>
    <w:rsid w:val="00F357A6"/>
    <w:rsid w:val="00F35F71"/>
    <w:rsid w:val="00F401C4"/>
    <w:rsid w:val="00F40D25"/>
    <w:rsid w:val="00F42ABB"/>
    <w:rsid w:val="00F43004"/>
    <w:rsid w:val="00F4303D"/>
    <w:rsid w:val="00F4376F"/>
    <w:rsid w:val="00F43D11"/>
    <w:rsid w:val="00F43EED"/>
    <w:rsid w:val="00F4424B"/>
    <w:rsid w:val="00F458D0"/>
    <w:rsid w:val="00F462C4"/>
    <w:rsid w:val="00F4655C"/>
    <w:rsid w:val="00F47586"/>
    <w:rsid w:val="00F502DD"/>
    <w:rsid w:val="00F50902"/>
    <w:rsid w:val="00F512B5"/>
    <w:rsid w:val="00F51870"/>
    <w:rsid w:val="00F51B23"/>
    <w:rsid w:val="00F52987"/>
    <w:rsid w:val="00F533E1"/>
    <w:rsid w:val="00F548BA"/>
    <w:rsid w:val="00F54A79"/>
    <w:rsid w:val="00F56981"/>
    <w:rsid w:val="00F600F3"/>
    <w:rsid w:val="00F609BE"/>
    <w:rsid w:val="00F60BE9"/>
    <w:rsid w:val="00F61443"/>
    <w:rsid w:val="00F6179B"/>
    <w:rsid w:val="00F61C5D"/>
    <w:rsid w:val="00F6220C"/>
    <w:rsid w:val="00F6408C"/>
    <w:rsid w:val="00F6436A"/>
    <w:rsid w:val="00F64CFF"/>
    <w:rsid w:val="00F65026"/>
    <w:rsid w:val="00F65571"/>
    <w:rsid w:val="00F65952"/>
    <w:rsid w:val="00F65CF5"/>
    <w:rsid w:val="00F65F18"/>
    <w:rsid w:val="00F66094"/>
    <w:rsid w:val="00F66264"/>
    <w:rsid w:val="00F66621"/>
    <w:rsid w:val="00F674A2"/>
    <w:rsid w:val="00F67850"/>
    <w:rsid w:val="00F702DD"/>
    <w:rsid w:val="00F70997"/>
    <w:rsid w:val="00F70F8F"/>
    <w:rsid w:val="00F71425"/>
    <w:rsid w:val="00F71842"/>
    <w:rsid w:val="00F718D8"/>
    <w:rsid w:val="00F71B47"/>
    <w:rsid w:val="00F721A8"/>
    <w:rsid w:val="00F72D9F"/>
    <w:rsid w:val="00F73AF6"/>
    <w:rsid w:val="00F74250"/>
    <w:rsid w:val="00F745A7"/>
    <w:rsid w:val="00F74884"/>
    <w:rsid w:val="00F75236"/>
    <w:rsid w:val="00F75F2A"/>
    <w:rsid w:val="00F760B4"/>
    <w:rsid w:val="00F77ACE"/>
    <w:rsid w:val="00F77FE2"/>
    <w:rsid w:val="00F80883"/>
    <w:rsid w:val="00F80D95"/>
    <w:rsid w:val="00F81219"/>
    <w:rsid w:val="00F81234"/>
    <w:rsid w:val="00F81242"/>
    <w:rsid w:val="00F813CD"/>
    <w:rsid w:val="00F8181C"/>
    <w:rsid w:val="00F8190E"/>
    <w:rsid w:val="00F819B9"/>
    <w:rsid w:val="00F81D7B"/>
    <w:rsid w:val="00F828CF"/>
    <w:rsid w:val="00F82918"/>
    <w:rsid w:val="00F82FBB"/>
    <w:rsid w:val="00F83A14"/>
    <w:rsid w:val="00F83B7A"/>
    <w:rsid w:val="00F83D8D"/>
    <w:rsid w:val="00F847FD"/>
    <w:rsid w:val="00F84DB2"/>
    <w:rsid w:val="00F85070"/>
    <w:rsid w:val="00F861F6"/>
    <w:rsid w:val="00F86820"/>
    <w:rsid w:val="00F86A9B"/>
    <w:rsid w:val="00F876DD"/>
    <w:rsid w:val="00F900E1"/>
    <w:rsid w:val="00F90DC8"/>
    <w:rsid w:val="00F9103B"/>
    <w:rsid w:val="00F910E0"/>
    <w:rsid w:val="00F91806"/>
    <w:rsid w:val="00F918C1"/>
    <w:rsid w:val="00F9219E"/>
    <w:rsid w:val="00F92FD0"/>
    <w:rsid w:val="00F93767"/>
    <w:rsid w:val="00F940C2"/>
    <w:rsid w:val="00F95B24"/>
    <w:rsid w:val="00F95D32"/>
    <w:rsid w:val="00F95FC7"/>
    <w:rsid w:val="00F9640C"/>
    <w:rsid w:val="00F977A0"/>
    <w:rsid w:val="00FA0412"/>
    <w:rsid w:val="00FA0B49"/>
    <w:rsid w:val="00FA1B62"/>
    <w:rsid w:val="00FA1FA1"/>
    <w:rsid w:val="00FA2726"/>
    <w:rsid w:val="00FA3790"/>
    <w:rsid w:val="00FA3DE5"/>
    <w:rsid w:val="00FA3E38"/>
    <w:rsid w:val="00FA432C"/>
    <w:rsid w:val="00FA49AB"/>
    <w:rsid w:val="00FA596E"/>
    <w:rsid w:val="00FA5DA0"/>
    <w:rsid w:val="00FA6510"/>
    <w:rsid w:val="00FA7042"/>
    <w:rsid w:val="00FA76B1"/>
    <w:rsid w:val="00FA7807"/>
    <w:rsid w:val="00FA7986"/>
    <w:rsid w:val="00FB09BD"/>
    <w:rsid w:val="00FB0B57"/>
    <w:rsid w:val="00FB0CC5"/>
    <w:rsid w:val="00FB1577"/>
    <w:rsid w:val="00FB3124"/>
    <w:rsid w:val="00FB3555"/>
    <w:rsid w:val="00FB4081"/>
    <w:rsid w:val="00FB45CD"/>
    <w:rsid w:val="00FB489B"/>
    <w:rsid w:val="00FB4E85"/>
    <w:rsid w:val="00FB4F8A"/>
    <w:rsid w:val="00FB57AA"/>
    <w:rsid w:val="00FB57AD"/>
    <w:rsid w:val="00FB68CD"/>
    <w:rsid w:val="00FB7138"/>
    <w:rsid w:val="00FC04F1"/>
    <w:rsid w:val="00FC05C8"/>
    <w:rsid w:val="00FC136C"/>
    <w:rsid w:val="00FC2660"/>
    <w:rsid w:val="00FC29AA"/>
    <w:rsid w:val="00FC3287"/>
    <w:rsid w:val="00FC33AB"/>
    <w:rsid w:val="00FC42E7"/>
    <w:rsid w:val="00FC4D17"/>
    <w:rsid w:val="00FC5731"/>
    <w:rsid w:val="00FC5B12"/>
    <w:rsid w:val="00FC5BB9"/>
    <w:rsid w:val="00FC617F"/>
    <w:rsid w:val="00FC71DD"/>
    <w:rsid w:val="00FC72C3"/>
    <w:rsid w:val="00FD0183"/>
    <w:rsid w:val="00FD01E6"/>
    <w:rsid w:val="00FD068A"/>
    <w:rsid w:val="00FD06EC"/>
    <w:rsid w:val="00FD12CB"/>
    <w:rsid w:val="00FD141A"/>
    <w:rsid w:val="00FD14F1"/>
    <w:rsid w:val="00FD1857"/>
    <w:rsid w:val="00FD278B"/>
    <w:rsid w:val="00FD287E"/>
    <w:rsid w:val="00FD383D"/>
    <w:rsid w:val="00FD5503"/>
    <w:rsid w:val="00FD617B"/>
    <w:rsid w:val="00FD6571"/>
    <w:rsid w:val="00FD67EA"/>
    <w:rsid w:val="00FD6A3A"/>
    <w:rsid w:val="00FE042D"/>
    <w:rsid w:val="00FE0522"/>
    <w:rsid w:val="00FE1777"/>
    <w:rsid w:val="00FE22FE"/>
    <w:rsid w:val="00FE397E"/>
    <w:rsid w:val="00FE4068"/>
    <w:rsid w:val="00FE431D"/>
    <w:rsid w:val="00FE4917"/>
    <w:rsid w:val="00FE4EC0"/>
    <w:rsid w:val="00FE505F"/>
    <w:rsid w:val="00FE52BA"/>
    <w:rsid w:val="00FE5442"/>
    <w:rsid w:val="00FE5F01"/>
    <w:rsid w:val="00FE5F4C"/>
    <w:rsid w:val="00FE6ADF"/>
    <w:rsid w:val="00FE6E8C"/>
    <w:rsid w:val="00FE7427"/>
    <w:rsid w:val="00FE7541"/>
    <w:rsid w:val="00FE7561"/>
    <w:rsid w:val="00FE75BF"/>
    <w:rsid w:val="00FF21D2"/>
    <w:rsid w:val="00FF257C"/>
    <w:rsid w:val="00FF2835"/>
    <w:rsid w:val="00FF2C59"/>
    <w:rsid w:val="00FF3AFA"/>
    <w:rsid w:val="00FF4400"/>
    <w:rsid w:val="00FF4C7C"/>
    <w:rsid w:val="00FF596B"/>
    <w:rsid w:val="00FF6DB0"/>
    <w:rsid w:val="00FF7FF9"/>
    <w:rsid w:val="351B267D"/>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martTagType w:namespaceuri="urn:schemas-microsoft-com:office:smarttags" w:name="date"/>
  <w:shapeDefaults>
    <o:shapedefaults v:ext="edit" spidmax="2050">
      <o:colormru v:ext="edit" colors="#7b6c58,#887e6e,#b0a696,#828282"/>
    </o:shapedefaults>
    <o:shapelayout v:ext="edit">
      <o:idmap v:ext="edit" data="2"/>
    </o:shapelayout>
  </w:shapeDefaults>
  <w:decimalSymbol w:val="."/>
  <w:listSeparator w:val=","/>
  <w14:docId w14:val="4D1FC948"/>
  <w15:docId w15:val="{9DA448A2-3040-4278-B20B-9BF2249B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uiPriority w:val="9"/>
    <w:qFormat/>
    <w:rsid w:val="00DD5131"/>
    <w:pPr>
      <w:keepNext/>
      <w:pageBreakBefore/>
      <w:numPr>
        <w:numId w:val="1"/>
      </w:numPr>
      <w:spacing w:before="100" w:beforeAutospacing="1" w:after="240"/>
      <w:ind w:left="431" w:hanging="431"/>
      <w:outlineLvl w:val="0"/>
    </w:pPr>
    <w:rPr>
      <w:rFonts w:cs="Arial"/>
      <w:b/>
      <w:bCs/>
      <w:caps/>
      <w:color w:val="D2232A"/>
      <w:kern w:val="32"/>
      <w:szCs w:val="32"/>
      <w:lang w:val="en-GB"/>
    </w:rPr>
  </w:style>
  <w:style w:type="paragraph" w:styleId="Heading2">
    <w:name w:val="heading 2"/>
    <w:aliases w:val="ECC Heading 2,h2,H2,h21,Heading Two,R2,l2,Sub-section,Head2A,2,UNDERRUBRIK 1-2,2nd level,†berschrift 2,DO NOT USE_h2,heading8,h 2"/>
    <w:basedOn w:val="Normal"/>
    <w:next w:val="ECCParagraph"/>
    <w:link w:val="Heading2Char"/>
    <w:autoRedefine/>
    <w:uiPriority w:val="9"/>
    <w:qFormat/>
    <w:rsid w:val="00E20BAC"/>
    <w:pPr>
      <w:keepNext/>
      <w:numPr>
        <w:ilvl w:val="1"/>
        <w:numId w:val="1"/>
      </w:numPr>
      <w:spacing w:before="480" w:after="240"/>
      <w:jc w:val="both"/>
      <w:outlineLvl w:val="1"/>
    </w:pPr>
    <w:rPr>
      <w:rFonts w:cs="Arial"/>
      <w:b/>
      <w:bCs/>
      <w:iCs/>
      <w:caps/>
      <w:szCs w:val="28"/>
    </w:rPr>
  </w:style>
  <w:style w:type="paragraph" w:styleId="Heading3">
    <w:name w:val="heading 3"/>
    <w:aliases w:val="ECC Heading 3,h3,3,Underrubrik2,H3,Memo Heading 3,no break,Heading 3 Char1 Char,Heading 3 Char Char Char,Heading 3 Char1 Char Char Char,Heading 3 Char Char Char Char Char,Heading 3 Char Char1 Char,Heading 3 Char2 Char,0H,标题 3 Char"/>
    <w:basedOn w:val="Normal"/>
    <w:next w:val="ECCParagraph"/>
    <w:autoRedefine/>
    <w:qFormat/>
    <w:rsid w:val="00F91806"/>
    <w:pPr>
      <w:keepNext/>
      <w:numPr>
        <w:ilvl w:val="2"/>
        <w:numId w:val="1"/>
      </w:numPr>
      <w:spacing w:before="360" w:after="120"/>
      <w:outlineLvl w:val="2"/>
    </w:pPr>
    <w:rPr>
      <w:rFonts w:eastAsia="Calibri" w:cs="Arial"/>
      <w:b/>
      <w:bCs/>
      <w:szCs w:val="26"/>
    </w:rPr>
  </w:style>
  <w:style w:type="paragraph" w:styleId="Heading4">
    <w:name w:val="heading 4"/>
    <w:aliases w:val="ECC Heading 4,h4,H4,H41,h41,H42,h42,H43,h43,H411,h411,H421,h421,H44,h44,H412,h412,H422,h422,H431,h431,H45,h45,H413,h413,H423,h423,H432,h432,H46,h46,H47,h47,Memo Heading 4,Memo Heading 5,Heading,4,Memo,5,段1.2.,heading 4,heading 41,heading 42"/>
    <w:basedOn w:val="Normal"/>
    <w:next w:val="ECCParagraph"/>
    <w:link w:val="Heading4Char"/>
    <w:autoRedefine/>
    <w:qFormat/>
    <w:rsid w:val="00001EB9"/>
    <w:pPr>
      <w:keepNext/>
      <w:keepLines/>
      <w:numPr>
        <w:ilvl w:val="3"/>
        <w:numId w:val="1"/>
      </w:numPr>
      <w:tabs>
        <w:tab w:val="clear" w:pos="4644"/>
        <w:tab w:val="num" w:pos="851"/>
      </w:tabs>
      <w:spacing w:before="360" w:after="120"/>
      <w:ind w:left="862" w:hanging="862"/>
      <w:outlineLvl w:val="3"/>
    </w:pPr>
    <w:rPr>
      <w:rFonts w:eastAsia="Calibri" w:cs="Arial"/>
      <w:bCs/>
      <w:i/>
      <w:iCs/>
      <w:color w:val="D2232A"/>
      <w:szCs w:val="26"/>
      <w:lang w:val="en-GB"/>
    </w:rPr>
  </w:style>
  <w:style w:type="paragraph" w:styleId="Heading5">
    <w:name w:val="heading 5"/>
    <w:basedOn w:val="Normal"/>
    <w:next w:val="Normal"/>
    <w:qFormat/>
    <w:rsid w:val="00534EB0"/>
    <w:pPr>
      <w:numPr>
        <w:ilvl w:val="4"/>
        <w:numId w:val="1"/>
      </w:numPr>
      <w:spacing w:before="240" w:after="6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FD67EA"/>
    <w:pPr>
      <w:spacing w:after="240"/>
      <w:jc w:val="both"/>
    </w:pPr>
    <w:rPr>
      <w:lang w:val="en-GB"/>
    </w:rPr>
  </w:style>
  <w:style w:type="paragraph" w:styleId="Header">
    <w:name w:val="header"/>
    <w:basedOn w:val="Normal"/>
    <w:link w:val="HeaderChar"/>
    <w:pPr>
      <w:tabs>
        <w:tab w:val="center" w:pos="4320"/>
        <w:tab w:val="right" w:pos="8640"/>
      </w:tabs>
    </w:pPr>
    <w:rPr>
      <w:b/>
      <w:sz w:val="16"/>
    </w:rPr>
  </w:style>
  <w:style w:type="paragraph" w:styleId="Footer">
    <w:name w:val="footer"/>
    <w:basedOn w:val="Normal"/>
    <w:semiHidden/>
    <w:pPr>
      <w:tabs>
        <w:tab w:val="center" w:pos="4320"/>
        <w:tab w:val="right" w:pos="8640"/>
      </w:tabs>
    </w:pPr>
  </w:style>
  <w:style w:type="paragraph" w:customStyle="1" w:styleId="ECCAnnexheading1">
    <w:name w:val="ECC Annex heading1"/>
    <w:basedOn w:val="Heading1"/>
    <w:next w:val="ECCParagraph"/>
    <w:qFormat/>
    <w:pPr>
      <w:numPr>
        <w:numId w:val="4"/>
      </w:numPr>
    </w:pPr>
  </w:style>
  <w:style w:type="paragraph" w:styleId="TOC1">
    <w:name w:val="toc 1"/>
    <w:basedOn w:val="Normal"/>
    <w:next w:val="Normal"/>
    <w:autoRedefine/>
    <w:uiPriority w:val="39"/>
    <w:rsid w:val="00886F51"/>
    <w:pPr>
      <w:tabs>
        <w:tab w:val="left" w:pos="360"/>
        <w:tab w:val="right" w:leader="dot" w:pos="9629"/>
      </w:tabs>
      <w:spacing w:before="240"/>
    </w:pPr>
    <w:rPr>
      <w:b/>
      <w:caps/>
    </w:rPr>
  </w:style>
  <w:style w:type="character" w:styleId="Hyperlink">
    <w:name w:val="Hyperlink"/>
    <w:basedOn w:val="DefaultParagraphFont"/>
    <w:uiPriority w:val="99"/>
    <w:rPr>
      <w:color w:val="0000FF"/>
      <w:u w:val="single"/>
    </w:rPr>
  </w:style>
  <w:style w:type="paragraph" w:styleId="TOC2">
    <w:name w:val="toc 2"/>
    <w:basedOn w:val="Normal"/>
    <w:next w:val="Normal"/>
    <w:autoRedefine/>
    <w:uiPriority w:val="39"/>
    <w:pPr>
      <w:tabs>
        <w:tab w:val="left" w:pos="900"/>
        <w:tab w:val="right" w:leader="dot" w:pos="9629"/>
      </w:tabs>
      <w:ind w:left="360"/>
    </w:pPr>
  </w:style>
  <w:style w:type="paragraph" w:styleId="TOC3">
    <w:name w:val="toc 3"/>
    <w:basedOn w:val="Normal"/>
    <w:next w:val="Normal"/>
    <w:autoRedefine/>
    <w:uiPriority w:val="39"/>
    <w:pPr>
      <w:tabs>
        <w:tab w:val="left" w:pos="1440"/>
        <w:tab w:val="right" w:leader="dot" w:pos="9629"/>
      </w:tabs>
      <w:ind w:left="900"/>
    </w:pPr>
  </w:style>
  <w:style w:type="paragraph" w:styleId="TOC4">
    <w:name w:val="toc 4"/>
    <w:basedOn w:val="Normal"/>
    <w:next w:val="Normal"/>
    <w:autoRedefine/>
    <w:uiPriority w:val="39"/>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pPr>
      <w:keepNext/>
      <w:numPr>
        <w:numId w:val="2"/>
      </w:numPr>
      <w:spacing w:before="360" w:after="240"/>
    </w:pPr>
  </w:style>
  <w:style w:type="paragraph" w:customStyle="1" w:styleId="ECCFootnote">
    <w:name w:val="ECC Footnote"/>
    <w:basedOn w:val="Normal"/>
    <w:autoRedefine/>
    <w:rsid w:val="00513529"/>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Footnote Text Char3"/>
    <w:basedOn w:val="Normal"/>
    <w:link w:val="FootnoteTextChar"/>
    <w:qFormat/>
    <w:rPr>
      <w:szCs w:val="20"/>
    </w:rPr>
  </w:style>
  <w:style w:type="character" w:styleId="FootnoteReference">
    <w:name w:val="footnote reference"/>
    <w:aliases w:val="Appel note de bas de p,Nota,Footnote symbol,Footnote,ECC Footnote number,Fussnotenzeichen,Appel note de bas de p + (Asian) Batang,Black,Footnote Reference/,(NECG) Footnote Reference,Times 10 Point,Exposant 3 Point,fr,o,Style 6"/>
    <w:basedOn w:val="DefaultParagraphFont"/>
    <w:uiPriority w:val="99"/>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2505BC"/>
    <w:pPr>
      <w:spacing w:before="60" w:after="60"/>
      <w:ind w:left="45"/>
    </w:pPr>
    <w:rPr>
      <w:rFonts w:eastAsia="Calibri"/>
      <w:sz w:val="16"/>
      <w:szCs w:val="16"/>
      <w:lang w:eastAsia="de-DE"/>
    </w:rPr>
  </w:style>
  <w:style w:type="paragraph" w:customStyle="1" w:styleId="reference">
    <w:name w:val="reference"/>
    <w:basedOn w:val="Normal"/>
    <w:pPr>
      <w:numPr>
        <w:numId w:val="5"/>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pPr>
      <w:spacing w:before="120" w:after="120"/>
      <w:ind w:left="3402"/>
    </w:pPr>
    <w:rPr>
      <w:bCs/>
      <w:sz w:val="18"/>
    </w:rPr>
  </w:style>
  <w:style w:type="paragraph" w:customStyle="1" w:styleId="Reporttitledescription">
    <w:name w:val="Report title/description"/>
    <w:basedOn w:val="Normal"/>
    <w:pPr>
      <w:spacing w:before="600" w:line="288" w:lineRule="auto"/>
      <w:ind w:left="3402"/>
    </w:pPr>
    <w:rPr>
      <w:sz w:val="24"/>
    </w:rPr>
  </w:style>
  <w:style w:type="paragraph" w:customStyle="1" w:styleId="Default">
    <w:name w:val="Default"/>
    <w:pPr>
      <w:autoSpaceDE w:val="0"/>
      <w:autoSpaceDN w:val="0"/>
      <w:adjustRightInd w:val="0"/>
    </w:pPr>
    <w:rPr>
      <w:color w:val="000000"/>
      <w:sz w:val="24"/>
      <w:szCs w:val="24"/>
      <w:lang w:val="en-US"/>
    </w:rPr>
  </w:style>
  <w:style w:type="numbering" w:customStyle="1" w:styleId="ECCBullets">
    <w:name w:val="ECC Bullets"/>
    <w:basedOn w:val="NoList"/>
    <w:pPr>
      <w:numPr>
        <w:numId w:val="6"/>
      </w:numPr>
    </w:pPr>
  </w:style>
  <w:style w:type="paragraph" w:customStyle="1" w:styleId="ECCNumbered-LetteredList">
    <w:name w:val="ECC Numbered-Lettered List"/>
    <w:basedOn w:val="Normal"/>
    <w:qFormat/>
    <w:rsid w:val="002505BC"/>
    <w:pPr>
      <w:numPr>
        <w:numId w:val="8"/>
      </w:numPr>
    </w:pPr>
  </w:style>
  <w:style w:type="paragraph" w:customStyle="1" w:styleId="ECCNumberedBullets">
    <w:name w:val="ECC Numbered Bullets"/>
    <w:basedOn w:val="Normal"/>
    <w:pPr>
      <w:numPr>
        <w:numId w:val="7"/>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numbering" w:customStyle="1" w:styleId="ECCNumbers-Bullets">
    <w:name w:val="ECC Numbers-Bullets"/>
    <w:uiPriority w:val="99"/>
    <w:pPr>
      <w:numPr>
        <w:numId w:val="7"/>
      </w:numPr>
    </w:pPr>
  </w:style>
  <w:style w:type="numbering" w:customStyle="1" w:styleId="ECCNumbers-Letters">
    <w:name w:val="ECC Numbers-Letters"/>
    <w:uiPriority w:val="99"/>
    <w:pPr>
      <w:numPr>
        <w:numId w:val="8"/>
      </w:numPr>
    </w:pPr>
  </w:style>
  <w:style w:type="paragraph" w:styleId="ListNumber">
    <w:name w:val="List Number"/>
    <w:basedOn w:val="Normal"/>
    <w:pPr>
      <w:numPr>
        <w:numId w:val="14"/>
      </w:numPr>
      <w:tabs>
        <w:tab w:val="clear" w:pos="360"/>
        <w:tab w:val="num" w:pos="709"/>
      </w:tabs>
      <w:spacing w:after="240"/>
      <w:ind w:left="709" w:hanging="709"/>
      <w:jc w:val="both"/>
    </w:pPr>
    <w:rPr>
      <w:rFonts w:ascii="Times New Roman" w:hAnsi="Times New Roman"/>
      <w:sz w:val="24"/>
      <w:szCs w:val="20"/>
      <w:lang w:val="en-GB" w:eastAsia="fr-BE"/>
    </w:rPr>
  </w:style>
  <w:style w:type="paragraph" w:customStyle="1" w:styleId="ListNumberLevel2">
    <w:name w:val="List Number (Level 2)"/>
    <w:basedOn w:val="Normal"/>
    <w:pPr>
      <w:numPr>
        <w:ilvl w:val="1"/>
        <w:numId w:val="9"/>
      </w:numPr>
      <w:spacing w:after="240"/>
      <w:jc w:val="both"/>
    </w:pPr>
    <w:rPr>
      <w:rFonts w:ascii="Times New Roman" w:hAnsi="Times New Roman"/>
      <w:sz w:val="24"/>
      <w:szCs w:val="20"/>
      <w:lang w:val="en-GB" w:eastAsia="fr-BE"/>
    </w:rPr>
  </w:style>
  <w:style w:type="paragraph" w:customStyle="1" w:styleId="ListNumberLevel3">
    <w:name w:val="List Number (Level 3)"/>
    <w:basedOn w:val="Normal"/>
    <w:pPr>
      <w:numPr>
        <w:ilvl w:val="2"/>
        <w:numId w:val="9"/>
      </w:numPr>
      <w:spacing w:after="240"/>
      <w:jc w:val="both"/>
    </w:pPr>
    <w:rPr>
      <w:rFonts w:ascii="Times New Roman" w:hAnsi="Times New Roman"/>
      <w:sz w:val="24"/>
      <w:szCs w:val="20"/>
      <w:lang w:val="en-GB" w:eastAsia="fr-BE"/>
    </w:rPr>
  </w:style>
  <w:style w:type="paragraph" w:customStyle="1" w:styleId="ListNumberLevel4">
    <w:name w:val="List Number (Level 4)"/>
    <w:basedOn w:val="Normal"/>
    <w:pPr>
      <w:numPr>
        <w:ilvl w:val="3"/>
        <w:numId w:val="9"/>
      </w:numPr>
      <w:spacing w:after="240"/>
      <w:jc w:val="both"/>
    </w:pPr>
    <w:rPr>
      <w:rFonts w:ascii="Times New Roman" w:hAnsi="Times New Roman"/>
      <w:sz w:val="24"/>
      <w:szCs w:val="20"/>
      <w:lang w:val="en-GB" w:eastAsia="fr-BE"/>
    </w:rPr>
  </w:style>
  <w:style w:type="character" w:styleId="PageNumber">
    <w:name w:val="page number"/>
    <w:basedOn w:val="DefaultParagraphFont"/>
  </w:style>
  <w:style w:type="paragraph" w:customStyle="1" w:styleId="ECCBulletsLv1">
    <w:name w:val="ECC Bullets Lv1"/>
    <w:basedOn w:val="Normal"/>
    <w:qFormat/>
    <w:rsid w:val="000721B2"/>
    <w:pPr>
      <w:numPr>
        <w:numId w:val="15"/>
      </w:numPr>
      <w:tabs>
        <w:tab w:val="left" w:pos="340"/>
      </w:tabs>
      <w:spacing w:before="60"/>
      <w:jc w:val="both"/>
    </w:pPr>
    <w:rPr>
      <w:rFonts w:eastAsia="Calibri"/>
      <w:szCs w:val="22"/>
      <w:lang w:val="en-GB"/>
    </w:rPr>
  </w:style>
  <w:style w:type="paragraph" w:styleId="ListParagraph">
    <w:name w:val="List Paragraph"/>
    <w:basedOn w:val="Normal"/>
    <w:uiPriority w:val="1"/>
    <w:qFormat/>
    <w:pPr>
      <w:spacing w:before="240" w:after="60"/>
      <w:ind w:left="720"/>
      <w:contextualSpacing/>
      <w:jc w:val="both"/>
    </w:pPr>
    <w:rPr>
      <w:rFonts w:eastAsia="Calibri"/>
      <w:szCs w:val="22"/>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customStyle="1" w:styleId="ECCReference">
    <w:name w:val="ECC Reference"/>
    <w:basedOn w:val="Normal"/>
    <w:pPr>
      <w:tabs>
        <w:tab w:val="num" w:pos="397"/>
      </w:tabs>
      <w:ind w:left="397" w:hanging="397"/>
      <w:jc w:val="both"/>
    </w:pPr>
    <w:rPr>
      <w:rFonts w:eastAsia="Calibri"/>
      <w:szCs w:val="22"/>
      <w:lang w:val="en-GB" w:eastAsia="ja-JP"/>
    </w:rPr>
  </w:style>
  <w:style w:type="character" w:customStyle="1" w:styleId="ECCHLcyan">
    <w:name w:val="ECC HL cyan"/>
    <w:basedOn w:val="DefaultParagraphFont"/>
    <w:uiPriority w:val="1"/>
    <w:qFormat/>
    <w:rPr>
      <w:iCs w:val="0"/>
      <w:bdr w:val="none" w:sz="0" w:space="0" w:color="auto"/>
      <w:shd w:val="solid" w:color="00FFFF" w:fill="auto"/>
      <w:lang w:val="en-GB"/>
    </w:rPr>
  </w:style>
  <w:style w:type="character" w:customStyle="1" w:styleId="ECCHLbold">
    <w:name w:val="ECC HL bold"/>
    <w:uiPriority w:val="1"/>
    <w:qFormat/>
    <w:rPr>
      <w:b/>
      <w:bCs w:val="0"/>
    </w:rPr>
  </w:style>
  <w:style w:type="character" w:customStyle="1" w:styleId="FootnoteTextChar">
    <w:name w:val="Footnote Text Char"/>
    <w:aliases w:val="footnote text Char1,ALTS FOOTNOTE Char1,Footnote Text Char1 Char Char1,Footnote Text Char Char Char Char1,ALTS FOOTNOTE Char Char Char Char1,footnote text Char Char Char Char1,Footnote Text Char3 Char Char Char Char1"/>
    <w:basedOn w:val="DefaultParagraphFont"/>
    <w:link w:val="FootnoteText"/>
    <w:rPr>
      <w:rFonts w:ascii="Arial" w:hAnsi="Arial"/>
      <w:lang w:val="en-US"/>
    </w:rPr>
  </w:style>
  <w:style w:type="character" w:customStyle="1" w:styleId="ECCHLsuperscript">
    <w:name w:val="ECC HL superscript"/>
    <w:uiPriority w:val="1"/>
    <w:rPr>
      <w:vertAlign w:val="superscript"/>
    </w:rPr>
  </w:style>
  <w:style w:type="character" w:customStyle="1" w:styleId="ECCHLorange">
    <w:name w:val="ECC HL orange"/>
    <w:basedOn w:val="DefaultParagraphFont"/>
    <w:uiPriority w:val="1"/>
    <w:qFormat/>
    <w:rPr>
      <w:bdr w:val="none" w:sz="0" w:space="0" w:color="auto"/>
      <w:shd w:val="solid" w:color="FFC000" w:fill="auto"/>
    </w:rPr>
  </w:style>
  <w:style w:type="table" w:customStyle="1" w:styleId="ECCTable-redheader">
    <w:name w:val="ECC Table - red header"/>
    <w:basedOn w:val="TableNormal"/>
    <w:uiPriority w:val="9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whitefont">
    <w:name w:val="ECC Table Header white font"/>
    <w:qFormat/>
    <w:rsid w:val="002505BC"/>
    <w:pPr>
      <w:spacing w:before="120" w:after="120"/>
      <w:jc w:val="center"/>
    </w:pPr>
    <w:rPr>
      <w:rFonts w:ascii="Arial" w:eastAsia="Calibri" w:hAnsi="Arial"/>
      <w:bCs/>
      <w:color w:val="FFFFFF" w:themeColor="background1"/>
      <w:lang w:eastAsia="de-DE"/>
    </w:rPr>
  </w:style>
  <w:style w:type="paragraph" w:styleId="Caption">
    <w:name w:val="caption"/>
    <w:aliases w:val="ECC Caption,cap,cap Char,Caption Char,Caption Char1 Char,cap Char Char1,Caption Char Char1 Char,cap Char2 Char,Ca,RptCaption,cap1,cap2,cap11"/>
    <w:next w:val="Normal"/>
    <w:qFormat/>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text">
    <w:name w:val="ECC Table text"/>
    <w:basedOn w:val="Normal"/>
    <w:qFormat/>
    <w:pPr>
      <w:spacing w:after="60"/>
      <w:jc w:val="both"/>
    </w:pPr>
    <w:rPr>
      <w:rFonts w:eastAsia="Calibri"/>
      <w:szCs w:val="22"/>
      <w:lang w:val="en-GB"/>
    </w:rPr>
  </w:style>
  <w:style w:type="character" w:customStyle="1" w:styleId="ECCHLbrown">
    <w:name w:val="ECC HL brown"/>
    <w:basedOn w:val="DefaultParagraphFont"/>
    <w:uiPriority w:val="1"/>
    <w:qFormat/>
    <w:rPr>
      <w:color w:val="D9D9D9" w:themeColor="background1" w:themeShade="D9"/>
      <w:bdr w:val="none" w:sz="0" w:space="0" w:color="auto"/>
      <w:shd w:val="solid" w:color="B95807" w:fill="auto"/>
    </w:rPr>
  </w:style>
  <w:style w:type="paragraph" w:customStyle="1" w:styleId="ECCEditorsNote">
    <w:name w:val="ECC Editor's Note"/>
    <w:next w:val="Normal"/>
    <w:qFormat/>
    <w:rsid w:val="00314645"/>
    <w:pPr>
      <w:numPr>
        <w:numId w:val="16"/>
      </w:numPr>
      <w:shd w:val="solid" w:color="FFFF00" w:fill="auto"/>
      <w:spacing w:before="120" w:after="60"/>
      <w:ind w:left="1559"/>
      <w:jc w:val="both"/>
    </w:pPr>
    <w:rPr>
      <w:rFonts w:ascii="Arial" w:eastAsia="Calibri" w:hAnsi="Arial"/>
      <w:szCs w:val="22"/>
      <w:lang w:val="da-DK" w:eastAsia="de-DE"/>
    </w:rPr>
  </w:style>
  <w:style w:type="character" w:customStyle="1" w:styleId="Heading1Char">
    <w:name w:val="Heading 1 Char"/>
    <w:aliases w:val="ECC Heading 1 Char"/>
    <w:basedOn w:val="DefaultParagraphFont"/>
    <w:link w:val="Heading1"/>
    <w:uiPriority w:val="9"/>
    <w:rsid w:val="00DD5131"/>
    <w:rPr>
      <w:rFonts w:ascii="Arial" w:hAnsi="Arial" w:cs="Arial"/>
      <w:b/>
      <w:bCs/>
      <w:caps/>
      <w:color w:val="D2232A"/>
      <w:kern w:val="32"/>
      <w:szCs w:val="32"/>
    </w:rPr>
  </w:style>
  <w:style w:type="paragraph" w:styleId="Revision">
    <w:name w:val="Revision"/>
    <w:hidden/>
    <w:uiPriority w:val="99"/>
    <w:semiHidden/>
    <w:rPr>
      <w:rFonts w:ascii="Arial" w:hAnsi="Arial"/>
      <w:szCs w:val="24"/>
      <w:lang w:val="en-US"/>
    </w:rPr>
  </w:style>
  <w:style w:type="character" w:styleId="Strong">
    <w:name w:val="Strong"/>
    <w:basedOn w:val="DefaultParagraphFont"/>
    <w:uiPriority w:val="22"/>
    <w:qFormat/>
    <w:rPr>
      <w:b/>
      <w:bCs/>
    </w:rPr>
  </w:style>
  <w:style w:type="character" w:customStyle="1" w:styleId="ECCHLunderlined">
    <w:name w:val="ECC HL underlined"/>
    <w:uiPriority w:val="1"/>
    <w:qFormat/>
    <w:rPr>
      <w:u w:val="single"/>
    </w:rPr>
  </w:style>
  <w:style w:type="paragraph" w:customStyle="1" w:styleId="ECCFiguregraphcentered">
    <w:name w:val="ECC Figure/graph centered"/>
    <w:next w:val="Normal"/>
    <w:qFormat/>
    <w:pPr>
      <w:spacing w:before="240" w:after="240"/>
      <w:jc w:val="center"/>
    </w:pPr>
    <w:rPr>
      <w:rFonts w:ascii="Arial" w:hAnsi="Arial"/>
      <w:noProof/>
      <w:lang w:val="de-DE" w:eastAsia="de-DE"/>
      <w14:cntxtAlts/>
    </w:rPr>
  </w:style>
  <w:style w:type="character" w:styleId="Emphasis">
    <w:name w:val="Emphasis"/>
    <w:aliases w:val="ECC HL italics"/>
    <w:uiPriority w:val="1"/>
    <w:qFormat/>
    <w:rPr>
      <w:i/>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semiHidden/>
    <w:rPr>
      <w:rFonts w:ascii="Arial" w:hAnsi="Arial"/>
      <w:lang w:val="en-US"/>
    </w:rPr>
  </w:style>
  <w:style w:type="paragraph" w:customStyle="1" w:styleId="ECCAnnex-heading1">
    <w:name w:val="ECC Annex - heading1"/>
    <w:basedOn w:val="Heading1"/>
    <w:next w:val="ECCParagraph"/>
    <w:pPr>
      <w:numPr>
        <w:numId w:val="0"/>
      </w:numPr>
      <w:spacing w:before="400"/>
    </w:p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lang w:val="sv-SE" w:eastAsia="sv-SE"/>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CCHLyellow">
    <w:name w:val="ECC HL yellow"/>
    <w:basedOn w:val="DefaultParagraphFont"/>
    <w:uiPriority w:val="1"/>
    <w:qFormat/>
    <w:rPr>
      <w:rFonts w:eastAsia="Calibri"/>
      <w:i w:val="0"/>
      <w:szCs w:val="22"/>
      <w:bdr w:val="none" w:sz="0" w:space="0" w:color="auto"/>
      <w:shd w:val="solid" w:color="FFFF00" w:fill="auto"/>
      <w:lang w:val="en-GB"/>
    </w:rPr>
  </w:style>
  <w:style w:type="table" w:customStyle="1" w:styleId="ECCTable-redheader1">
    <w:name w:val="ECC Table - red header1"/>
    <w:basedOn w:val="TableNormal"/>
    <w:uiPriority w:val="99"/>
    <w:rsid w:val="00DE242E"/>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TAH">
    <w:name w:val="TAH"/>
    <w:basedOn w:val="TAC"/>
    <w:link w:val="TAHCar"/>
    <w:rsid w:val="00D71CF5"/>
    <w:rPr>
      <w:b/>
    </w:rPr>
  </w:style>
  <w:style w:type="paragraph" w:customStyle="1" w:styleId="TAC">
    <w:name w:val="TAC"/>
    <w:basedOn w:val="Normal"/>
    <w:link w:val="TACChar"/>
    <w:qFormat/>
    <w:rsid w:val="00D71CF5"/>
    <w:pPr>
      <w:keepNext/>
      <w:keepLines/>
      <w:jc w:val="center"/>
    </w:pPr>
    <w:rPr>
      <w:rFonts w:eastAsia="Malgun Gothic"/>
      <w:sz w:val="18"/>
      <w:szCs w:val="20"/>
      <w:lang w:val="en-GB"/>
    </w:rPr>
  </w:style>
  <w:style w:type="character" w:customStyle="1" w:styleId="TACChar">
    <w:name w:val="TAC Char"/>
    <w:link w:val="TAC"/>
    <w:qFormat/>
    <w:rsid w:val="00D71CF5"/>
    <w:rPr>
      <w:rFonts w:ascii="Arial" w:eastAsia="Malgun Gothic" w:hAnsi="Arial"/>
      <w:sz w:val="18"/>
    </w:rPr>
  </w:style>
  <w:style w:type="character" w:customStyle="1" w:styleId="TAHCar">
    <w:name w:val="TAH Car"/>
    <w:link w:val="TAH"/>
    <w:rsid w:val="00D71CF5"/>
    <w:rPr>
      <w:rFonts w:ascii="Arial" w:eastAsia="Malgun Gothic" w:hAnsi="Arial"/>
      <w:b/>
      <w:sz w:val="18"/>
    </w:rPr>
  </w:style>
  <w:style w:type="character" w:customStyle="1" w:styleId="ECCParagraphChar">
    <w:name w:val="ECC Paragraph Char"/>
    <w:link w:val="ECCParagraph"/>
    <w:locked/>
    <w:rsid w:val="00FD67EA"/>
    <w:rPr>
      <w:rFonts w:ascii="Arial" w:hAnsi="Arial"/>
      <w:szCs w:val="24"/>
    </w:rPr>
  </w:style>
  <w:style w:type="paragraph" w:customStyle="1" w:styleId="EQ">
    <w:name w:val="EQ"/>
    <w:basedOn w:val="Normal"/>
    <w:next w:val="Normal"/>
    <w:rsid w:val="00D71CF5"/>
    <w:pPr>
      <w:keepLines/>
      <w:tabs>
        <w:tab w:val="center" w:pos="4536"/>
        <w:tab w:val="right" w:pos="9072"/>
      </w:tabs>
      <w:spacing w:after="180"/>
    </w:pPr>
    <w:rPr>
      <w:rFonts w:ascii="Times New Roman" w:eastAsia="Malgun Gothic" w:hAnsi="Times New Roman"/>
      <w:noProof/>
      <w:szCs w:val="20"/>
      <w:lang w:val="en-GB"/>
    </w:rPr>
  </w:style>
  <w:style w:type="paragraph" w:customStyle="1" w:styleId="TH">
    <w:name w:val="TH"/>
    <w:basedOn w:val="Normal"/>
    <w:link w:val="THChar"/>
    <w:qFormat/>
    <w:rsid w:val="00D71CF5"/>
    <w:pPr>
      <w:keepNext/>
      <w:keepLines/>
      <w:spacing w:before="60" w:after="180"/>
      <w:jc w:val="center"/>
    </w:pPr>
    <w:rPr>
      <w:rFonts w:eastAsia="Malgun Gothic"/>
      <w:b/>
      <w:szCs w:val="20"/>
      <w:lang w:val="en-GB"/>
    </w:rPr>
  </w:style>
  <w:style w:type="paragraph" w:customStyle="1" w:styleId="TAN">
    <w:name w:val="TAN"/>
    <w:basedOn w:val="Normal"/>
    <w:link w:val="TANChar"/>
    <w:qFormat/>
    <w:rsid w:val="00D71CF5"/>
    <w:pPr>
      <w:keepNext/>
      <w:keepLines/>
      <w:ind w:left="851" w:hanging="851"/>
    </w:pPr>
    <w:rPr>
      <w:rFonts w:eastAsia="Malgun Gothic"/>
      <w:sz w:val="18"/>
      <w:szCs w:val="20"/>
      <w:lang w:val="en-GB"/>
    </w:rPr>
  </w:style>
  <w:style w:type="character" w:customStyle="1" w:styleId="THChar">
    <w:name w:val="TH Char"/>
    <w:link w:val="TH"/>
    <w:qFormat/>
    <w:rsid w:val="00D71CF5"/>
    <w:rPr>
      <w:rFonts w:ascii="Arial" w:eastAsia="Malgun Gothic" w:hAnsi="Arial"/>
      <w:b/>
    </w:rPr>
  </w:style>
  <w:style w:type="character" w:customStyle="1" w:styleId="TANChar">
    <w:name w:val="TAN Char"/>
    <w:link w:val="TAN"/>
    <w:qFormat/>
    <w:rsid w:val="00D71CF5"/>
    <w:rPr>
      <w:rFonts w:ascii="Arial" w:eastAsia="Malgun Gothic" w:hAnsi="Arial"/>
      <w:sz w:val="18"/>
    </w:rPr>
  </w:style>
  <w:style w:type="paragraph" w:customStyle="1" w:styleId="Point0number">
    <w:name w:val="Point 0 (number)"/>
    <w:basedOn w:val="Normal"/>
    <w:rsid w:val="00583C0C"/>
    <w:pPr>
      <w:numPr>
        <w:numId w:val="17"/>
      </w:numPr>
      <w:spacing w:before="120" w:after="120"/>
      <w:jc w:val="both"/>
    </w:pPr>
    <w:rPr>
      <w:rFonts w:ascii="Times New Roman" w:eastAsiaTheme="minorHAnsi" w:hAnsi="Times New Roman"/>
      <w:sz w:val="24"/>
      <w:szCs w:val="22"/>
      <w:lang w:val="en-GB"/>
    </w:rPr>
  </w:style>
  <w:style w:type="paragraph" w:customStyle="1" w:styleId="Point1number">
    <w:name w:val="Point 1 (number)"/>
    <w:basedOn w:val="Normal"/>
    <w:rsid w:val="00583C0C"/>
    <w:pPr>
      <w:numPr>
        <w:ilvl w:val="2"/>
        <w:numId w:val="17"/>
      </w:numPr>
      <w:spacing w:before="120" w:after="120"/>
      <w:jc w:val="both"/>
    </w:pPr>
    <w:rPr>
      <w:rFonts w:ascii="Times New Roman" w:eastAsiaTheme="minorHAnsi" w:hAnsi="Times New Roman"/>
      <w:sz w:val="24"/>
      <w:szCs w:val="22"/>
      <w:lang w:val="en-GB"/>
    </w:rPr>
  </w:style>
  <w:style w:type="paragraph" w:customStyle="1" w:styleId="Point2number">
    <w:name w:val="Point 2 (number)"/>
    <w:basedOn w:val="Normal"/>
    <w:rsid w:val="00583C0C"/>
    <w:pPr>
      <w:numPr>
        <w:ilvl w:val="4"/>
        <w:numId w:val="17"/>
      </w:numPr>
      <w:spacing w:before="120" w:after="120"/>
      <w:jc w:val="both"/>
    </w:pPr>
    <w:rPr>
      <w:rFonts w:ascii="Times New Roman" w:eastAsiaTheme="minorHAnsi" w:hAnsi="Times New Roman"/>
      <w:sz w:val="24"/>
      <w:szCs w:val="22"/>
      <w:lang w:val="en-GB"/>
    </w:rPr>
  </w:style>
  <w:style w:type="paragraph" w:customStyle="1" w:styleId="Point3number">
    <w:name w:val="Point 3 (number)"/>
    <w:basedOn w:val="Normal"/>
    <w:rsid w:val="00583C0C"/>
    <w:pPr>
      <w:numPr>
        <w:ilvl w:val="6"/>
        <w:numId w:val="17"/>
      </w:numPr>
      <w:spacing w:before="120" w:after="120"/>
      <w:jc w:val="both"/>
    </w:pPr>
    <w:rPr>
      <w:rFonts w:ascii="Times New Roman" w:eastAsiaTheme="minorHAnsi" w:hAnsi="Times New Roman"/>
      <w:sz w:val="24"/>
      <w:szCs w:val="22"/>
      <w:lang w:val="en-GB"/>
    </w:rPr>
  </w:style>
  <w:style w:type="paragraph" w:customStyle="1" w:styleId="Point0letter">
    <w:name w:val="Point 0 (letter)"/>
    <w:basedOn w:val="Normal"/>
    <w:rsid w:val="00583C0C"/>
    <w:pPr>
      <w:numPr>
        <w:ilvl w:val="1"/>
        <w:numId w:val="17"/>
      </w:numPr>
      <w:spacing w:before="120" w:after="120"/>
      <w:jc w:val="both"/>
    </w:pPr>
    <w:rPr>
      <w:rFonts w:ascii="Times New Roman" w:eastAsiaTheme="minorHAnsi" w:hAnsi="Times New Roman"/>
      <w:sz w:val="24"/>
      <w:szCs w:val="22"/>
      <w:lang w:val="en-GB"/>
    </w:rPr>
  </w:style>
  <w:style w:type="paragraph" w:customStyle="1" w:styleId="Point1letter">
    <w:name w:val="Point 1 (letter)"/>
    <w:basedOn w:val="Normal"/>
    <w:rsid w:val="00583C0C"/>
    <w:pPr>
      <w:numPr>
        <w:ilvl w:val="3"/>
        <w:numId w:val="17"/>
      </w:numPr>
      <w:spacing w:before="120" w:after="120"/>
      <w:jc w:val="both"/>
    </w:pPr>
    <w:rPr>
      <w:rFonts w:ascii="Times New Roman" w:eastAsiaTheme="minorHAnsi" w:hAnsi="Times New Roman"/>
      <w:sz w:val="24"/>
      <w:szCs w:val="22"/>
      <w:lang w:val="en-GB"/>
    </w:rPr>
  </w:style>
  <w:style w:type="paragraph" w:customStyle="1" w:styleId="Point2letter">
    <w:name w:val="Point 2 (letter)"/>
    <w:basedOn w:val="Normal"/>
    <w:rsid w:val="00583C0C"/>
    <w:pPr>
      <w:numPr>
        <w:ilvl w:val="5"/>
        <w:numId w:val="17"/>
      </w:numPr>
      <w:spacing w:before="120" w:after="120"/>
      <w:jc w:val="both"/>
    </w:pPr>
    <w:rPr>
      <w:rFonts w:ascii="Times New Roman" w:eastAsiaTheme="minorHAnsi" w:hAnsi="Times New Roman"/>
      <w:sz w:val="24"/>
      <w:szCs w:val="22"/>
      <w:lang w:val="en-GB"/>
    </w:rPr>
  </w:style>
  <w:style w:type="paragraph" w:customStyle="1" w:styleId="Point3letter">
    <w:name w:val="Point 3 (letter)"/>
    <w:basedOn w:val="Normal"/>
    <w:rsid w:val="00583C0C"/>
    <w:pPr>
      <w:numPr>
        <w:ilvl w:val="7"/>
        <w:numId w:val="17"/>
      </w:numPr>
      <w:spacing w:before="120" w:after="120"/>
      <w:jc w:val="both"/>
    </w:pPr>
    <w:rPr>
      <w:rFonts w:ascii="Times New Roman" w:eastAsiaTheme="minorHAnsi" w:hAnsi="Times New Roman"/>
      <w:sz w:val="24"/>
      <w:szCs w:val="22"/>
      <w:lang w:val="en-GB"/>
    </w:rPr>
  </w:style>
  <w:style w:type="paragraph" w:customStyle="1" w:styleId="Point4letter">
    <w:name w:val="Point 4 (letter)"/>
    <w:basedOn w:val="Normal"/>
    <w:rsid w:val="00583C0C"/>
    <w:pPr>
      <w:numPr>
        <w:ilvl w:val="8"/>
        <w:numId w:val="17"/>
      </w:numPr>
      <w:spacing w:before="120" w:after="120"/>
      <w:jc w:val="both"/>
    </w:pPr>
    <w:rPr>
      <w:rFonts w:ascii="Times New Roman" w:eastAsiaTheme="minorHAnsi" w:hAnsi="Times New Roman"/>
      <w:sz w:val="24"/>
      <w:szCs w:val="22"/>
      <w:lang w:val="en-GB"/>
    </w:rPr>
  </w:style>
  <w:style w:type="character" w:customStyle="1" w:styleId="Heading2Char">
    <w:name w:val="Heading 2 Char"/>
    <w:aliases w:val="ECC Heading 2 Char,h2 Char,H2 Char,h21 Char,Heading Two Char,R2 Char,l2 Char,Sub-section Char,Head2A Char,2 Char,UNDERRUBRIK 1-2 Char,2nd level Char,†berschrift 2 Char,DO NOT USE_h2 Char,heading8 Char,h 2 Char"/>
    <w:basedOn w:val="DefaultParagraphFont"/>
    <w:link w:val="Heading2"/>
    <w:rsid w:val="00E93429"/>
    <w:rPr>
      <w:rFonts w:ascii="Arial" w:hAnsi="Arial" w:cs="Arial"/>
      <w:b/>
      <w:bCs/>
      <w:iCs/>
      <w:caps/>
      <w:szCs w:val="28"/>
      <w:lang w:val="en-US"/>
    </w:rPr>
  </w:style>
  <w:style w:type="character" w:customStyle="1" w:styleId="tlid-translation">
    <w:name w:val="tlid-translation"/>
    <w:basedOn w:val="DefaultParagraphFont"/>
    <w:rsid w:val="0032761C"/>
  </w:style>
  <w:style w:type="character" w:styleId="FollowedHyperlink">
    <w:name w:val="FollowedHyperlink"/>
    <w:basedOn w:val="DefaultParagraphFont"/>
    <w:uiPriority w:val="99"/>
    <w:semiHidden/>
    <w:unhideWhenUsed/>
    <w:rsid w:val="001B3611"/>
    <w:rPr>
      <w:color w:val="800080" w:themeColor="followedHyperlink"/>
      <w:u w:val="single"/>
    </w:rPr>
  </w:style>
  <w:style w:type="character" w:customStyle="1" w:styleId="HeaderChar">
    <w:name w:val="Header Char"/>
    <w:basedOn w:val="DefaultParagraphFont"/>
    <w:link w:val="Header"/>
    <w:rsid w:val="009D4B35"/>
    <w:rPr>
      <w:rFonts w:ascii="Arial" w:hAnsi="Arial"/>
      <w:b/>
      <w:sz w:val="16"/>
      <w:szCs w:val="24"/>
      <w:lang w:val="en-US"/>
    </w:rPr>
  </w:style>
  <w:style w:type="character" w:customStyle="1" w:styleId="Heading4Char">
    <w:name w:val="Heading 4 Char"/>
    <w:aliases w:val="ECC Heading 4 Char,h4 Char,H4 Char,H41 Char,h41 Char,H42 Char,h42 Char,H43 Char,h43 Char,H411 Char,h411 Char,H421 Char,h421 Char,H44 Char,h44 Char,H412 Char,h412 Char,H422 Char,h422 Char,H431 Char,h431 Char,H45 Char,h45 Char,H413 Char"/>
    <w:basedOn w:val="DefaultParagraphFont"/>
    <w:link w:val="Heading4"/>
    <w:rsid w:val="00001EB9"/>
    <w:rPr>
      <w:rFonts w:ascii="Arial" w:eastAsia="Calibri" w:hAnsi="Arial" w:cs="Arial"/>
      <w:bCs/>
      <w:i/>
      <w:iCs/>
      <w:color w:val="D2232A"/>
      <w:szCs w:val="26"/>
    </w:rPr>
  </w:style>
  <w:style w:type="character" w:customStyle="1" w:styleId="ECCHLsubscript">
    <w:name w:val="ECC HL subscript"/>
    <w:uiPriority w:val="1"/>
    <w:qFormat/>
    <w:rsid w:val="00901B4C"/>
    <w:rPr>
      <w:vertAlign w:val="subscript"/>
    </w:rPr>
  </w:style>
  <w:style w:type="character" w:customStyle="1" w:styleId="ECCHLgreen">
    <w:name w:val="ECC HL green"/>
    <w:basedOn w:val="DefaultParagraphFont"/>
    <w:uiPriority w:val="1"/>
    <w:qFormat/>
    <w:rsid w:val="004507C1"/>
    <w:rPr>
      <w:bdr w:val="none" w:sz="0" w:space="0" w:color="auto"/>
      <w:shd w:val="solid" w:color="92D050" w:fill="auto"/>
      <w:lang w:val="en-GB"/>
    </w:rPr>
  </w:style>
  <w:style w:type="table" w:customStyle="1" w:styleId="ECCTable-redheader2">
    <w:name w:val="ECC Table - red header2"/>
    <w:basedOn w:val="TableNormal"/>
    <w:uiPriority w:val="99"/>
    <w:rsid w:val="00A459BF"/>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NumberedList">
    <w:name w:val="ECC Numbered List"/>
    <w:basedOn w:val="Normal"/>
    <w:qFormat/>
    <w:rsid w:val="00041922"/>
    <w:pPr>
      <w:numPr>
        <w:numId w:val="46"/>
      </w:numPr>
      <w:spacing w:before="240"/>
      <w:jc w:val="both"/>
    </w:pPr>
    <w:rPr>
      <w:rFonts w:eastAsia="Calibri"/>
      <w:szCs w:val="20"/>
      <w:lang w:val="en-GB"/>
    </w:rPr>
  </w:style>
  <w:style w:type="paragraph" w:customStyle="1" w:styleId="ECCBulletsLv2">
    <w:name w:val="ECC Bullets Lv2"/>
    <w:basedOn w:val="ECCBulletsLv1"/>
    <w:rsid w:val="00E53324"/>
    <w:pPr>
      <w:numPr>
        <w:numId w:val="0"/>
      </w:numPr>
      <w:tabs>
        <w:tab w:val="clear" w:pos="340"/>
        <w:tab w:val="left" w:pos="680"/>
      </w:tabs>
      <w:spacing w:line="288" w:lineRule="auto"/>
      <w:ind w:left="680" w:hanging="340"/>
      <w:contextualSpacing/>
    </w:pPr>
  </w:style>
  <w:style w:type="paragraph" w:styleId="BodyText">
    <w:name w:val="Body Text"/>
    <w:basedOn w:val="Normal"/>
    <w:link w:val="BodyTextChar"/>
    <w:uiPriority w:val="1"/>
    <w:qFormat/>
    <w:rsid w:val="007F16CA"/>
    <w:pPr>
      <w:widowControl w:val="0"/>
      <w:autoSpaceDE w:val="0"/>
      <w:autoSpaceDN w:val="0"/>
    </w:pPr>
    <w:rPr>
      <w:rFonts w:ascii="Times New Roman" w:hAnsi="Times New Roman"/>
      <w:sz w:val="24"/>
      <w:lang w:val="en-GB"/>
    </w:rPr>
  </w:style>
  <w:style w:type="character" w:customStyle="1" w:styleId="BodyTextChar">
    <w:name w:val="Body Text Char"/>
    <w:basedOn w:val="DefaultParagraphFont"/>
    <w:link w:val="BodyText"/>
    <w:uiPriority w:val="1"/>
    <w:rsid w:val="007F16CA"/>
    <w:rPr>
      <w:sz w:val="24"/>
      <w:szCs w:val="24"/>
    </w:rPr>
  </w:style>
  <w:style w:type="paragraph" w:styleId="Title">
    <w:name w:val="Title"/>
    <w:basedOn w:val="Normal"/>
    <w:link w:val="TitleChar"/>
    <w:uiPriority w:val="10"/>
    <w:qFormat/>
    <w:rsid w:val="007F16CA"/>
    <w:pPr>
      <w:widowControl w:val="0"/>
      <w:autoSpaceDE w:val="0"/>
      <w:autoSpaceDN w:val="0"/>
      <w:spacing w:before="87"/>
      <w:ind w:left="180" w:right="1130"/>
      <w:jc w:val="center"/>
    </w:pPr>
    <w:rPr>
      <w:rFonts w:ascii="Times New Roman" w:hAnsi="Times New Roman"/>
      <w:b/>
      <w:bCs/>
      <w:sz w:val="32"/>
      <w:szCs w:val="32"/>
      <w:lang w:val="en-GB"/>
    </w:rPr>
  </w:style>
  <w:style w:type="character" w:customStyle="1" w:styleId="TitleChar">
    <w:name w:val="Title Char"/>
    <w:basedOn w:val="DefaultParagraphFont"/>
    <w:link w:val="Title"/>
    <w:uiPriority w:val="10"/>
    <w:rsid w:val="007F16CA"/>
    <w:rPr>
      <w:b/>
      <w:bCs/>
      <w:sz w:val="32"/>
      <w:szCs w:val="32"/>
    </w:rPr>
  </w:style>
  <w:style w:type="paragraph" w:customStyle="1" w:styleId="TableParagraph">
    <w:name w:val="Table Paragraph"/>
    <w:basedOn w:val="Normal"/>
    <w:uiPriority w:val="1"/>
    <w:qFormat/>
    <w:rsid w:val="00E838DC"/>
    <w:pPr>
      <w:widowControl w:val="0"/>
      <w:autoSpaceDE w:val="0"/>
      <w:autoSpaceDN w:val="0"/>
      <w:spacing w:before="110"/>
      <w:ind w:left="71"/>
    </w:pPr>
    <w:rPr>
      <w:rFonts w:ascii="Times New Roman" w:hAnsi="Times New Roman"/>
      <w:sz w:val="22"/>
      <w:szCs w:val="22"/>
      <w:lang w:val="en-GB"/>
    </w:rPr>
  </w:style>
  <w:style w:type="character" w:customStyle="1" w:styleId="acopre">
    <w:name w:val="acopre"/>
    <w:basedOn w:val="DefaultParagraphFont"/>
    <w:rsid w:val="00884660"/>
  </w:style>
  <w:style w:type="character" w:customStyle="1" w:styleId="hgkelc">
    <w:name w:val="hgkelc"/>
    <w:basedOn w:val="DefaultParagraphFont"/>
    <w:rsid w:val="00A2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922">
      <w:bodyDiv w:val="1"/>
      <w:marLeft w:val="0"/>
      <w:marRight w:val="0"/>
      <w:marTop w:val="0"/>
      <w:marBottom w:val="0"/>
      <w:divBdr>
        <w:top w:val="none" w:sz="0" w:space="0" w:color="auto"/>
        <w:left w:val="none" w:sz="0" w:space="0" w:color="auto"/>
        <w:bottom w:val="none" w:sz="0" w:space="0" w:color="auto"/>
        <w:right w:val="none" w:sz="0" w:space="0" w:color="auto"/>
      </w:divBdr>
    </w:div>
    <w:div w:id="59136211">
      <w:bodyDiv w:val="1"/>
      <w:marLeft w:val="0"/>
      <w:marRight w:val="0"/>
      <w:marTop w:val="0"/>
      <w:marBottom w:val="0"/>
      <w:divBdr>
        <w:top w:val="none" w:sz="0" w:space="0" w:color="auto"/>
        <w:left w:val="none" w:sz="0" w:space="0" w:color="auto"/>
        <w:bottom w:val="none" w:sz="0" w:space="0" w:color="auto"/>
        <w:right w:val="none" w:sz="0" w:space="0" w:color="auto"/>
      </w:divBdr>
    </w:div>
    <w:div w:id="156268525">
      <w:bodyDiv w:val="1"/>
      <w:marLeft w:val="0"/>
      <w:marRight w:val="0"/>
      <w:marTop w:val="0"/>
      <w:marBottom w:val="0"/>
      <w:divBdr>
        <w:top w:val="none" w:sz="0" w:space="0" w:color="auto"/>
        <w:left w:val="none" w:sz="0" w:space="0" w:color="auto"/>
        <w:bottom w:val="none" w:sz="0" w:space="0" w:color="auto"/>
        <w:right w:val="none" w:sz="0" w:space="0" w:color="auto"/>
      </w:divBdr>
    </w:div>
    <w:div w:id="160394124">
      <w:bodyDiv w:val="1"/>
      <w:marLeft w:val="0"/>
      <w:marRight w:val="0"/>
      <w:marTop w:val="0"/>
      <w:marBottom w:val="0"/>
      <w:divBdr>
        <w:top w:val="none" w:sz="0" w:space="0" w:color="auto"/>
        <w:left w:val="none" w:sz="0" w:space="0" w:color="auto"/>
        <w:bottom w:val="none" w:sz="0" w:space="0" w:color="auto"/>
        <w:right w:val="none" w:sz="0" w:space="0" w:color="auto"/>
      </w:divBdr>
    </w:div>
    <w:div w:id="237176548">
      <w:bodyDiv w:val="1"/>
      <w:marLeft w:val="0"/>
      <w:marRight w:val="0"/>
      <w:marTop w:val="0"/>
      <w:marBottom w:val="0"/>
      <w:divBdr>
        <w:top w:val="none" w:sz="0" w:space="0" w:color="auto"/>
        <w:left w:val="none" w:sz="0" w:space="0" w:color="auto"/>
        <w:bottom w:val="none" w:sz="0" w:space="0" w:color="auto"/>
        <w:right w:val="none" w:sz="0" w:space="0" w:color="auto"/>
      </w:divBdr>
    </w:div>
    <w:div w:id="262960434">
      <w:bodyDiv w:val="1"/>
      <w:marLeft w:val="0"/>
      <w:marRight w:val="0"/>
      <w:marTop w:val="0"/>
      <w:marBottom w:val="0"/>
      <w:divBdr>
        <w:top w:val="none" w:sz="0" w:space="0" w:color="auto"/>
        <w:left w:val="none" w:sz="0" w:space="0" w:color="auto"/>
        <w:bottom w:val="none" w:sz="0" w:space="0" w:color="auto"/>
        <w:right w:val="none" w:sz="0" w:space="0" w:color="auto"/>
      </w:divBdr>
    </w:div>
    <w:div w:id="265700373">
      <w:bodyDiv w:val="1"/>
      <w:marLeft w:val="0"/>
      <w:marRight w:val="0"/>
      <w:marTop w:val="0"/>
      <w:marBottom w:val="0"/>
      <w:divBdr>
        <w:top w:val="none" w:sz="0" w:space="0" w:color="auto"/>
        <w:left w:val="none" w:sz="0" w:space="0" w:color="auto"/>
        <w:bottom w:val="none" w:sz="0" w:space="0" w:color="auto"/>
        <w:right w:val="none" w:sz="0" w:space="0" w:color="auto"/>
      </w:divBdr>
    </w:div>
    <w:div w:id="278952711">
      <w:bodyDiv w:val="1"/>
      <w:marLeft w:val="0"/>
      <w:marRight w:val="0"/>
      <w:marTop w:val="0"/>
      <w:marBottom w:val="0"/>
      <w:divBdr>
        <w:top w:val="none" w:sz="0" w:space="0" w:color="auto"/>
        <w:left w:val="none" w:sz="0" w:space="0" w:color="auto"/>
        <w:bottom w:val="none" w:sz="0" w:space="0" w:color="auto"/>
        <w:right w:val="none" w:sz="0" w:space="0" w:color="auto"/>
      </w:divBdr>
    </w:div>
    <w:div w:id="281232387">
      <w:bodyDiv w:val="1"/>
      <w:marLeft w:val="0"/>
      <w:marRight w:val="0"/>
      <w:marTop w:val="0"/>
      <w:marBottom w:val="0"/>
      <w:divBdr>
        <w:top w:val="none" w:sz="0" w:space="0" w:color="auto"/>
        <w:left w:val="none" w:sz="0" w:space="0" w:color="auto"/>
        <w:bottom w:val="none" w:sz="0" w:space="0" w:color="auto"/>
        <w:right w:val="none" w:sz="0" w:space="0" w:color="auto"/>
      </w:divBdr>
    </w:div>
    <w:div w:id="316035090">
      <w:bodyDiv w:val="1"/>
      <w:marLeft w:val="0"/>
      <w:marRight w:val="0"/>
      <w:marTop w:val="0"/>
      <w:marBottom w:val="0"/>
      <w:divBdr>
        <w:top w:val="none" w:sz="0" w:space="0" w:color="auto"/>
        <w:left w:val="none" w:sz="0" w:space="0" w:color="auto"/>
        <w:bottom w:val="none" w:sz="0" w:space="0" w:color="auto"/>
        <w:right w:val="none" w:sz="0" w:space="0" w:color="auto"/>
      </w:divBdr>
    </w:div>
    <w:div w:id="330840650">
      <w:bodyDiv w:val="1"/>
      <w:marLeft w:val="0"/>
      <w:marRight w:val="0"/>
      <w:marTop w:val="0"/>
      <w:marBottom w:val="0"/>
      <w:divBdr>
        <w:top w:val="none" w:sz="0" w:space="0" w:color="auto"/>
        <w:left w:val="none" w:sz="0" w:space="0" w:color="auto"/>
        <w:bottom w:val="none" w:sz="0" w:space="0" w:color="auto"/>
        <w:right w:val="none" w:sz="0" w:space="0" w:color="auto"/>
      </w:divBdr>
    </w:div>
    <w:div w:id="333803181">
      <w:bodyDiv w:val="1"/>
      <w:marLeft w:val="0"/>
      <w:marRight w:val="0"/>
      <w:marTop w:val="0"/>
      <w:marBottom w:val="0"/>
      <w:divBdr>
        <w:top w:val="none" w:sz="0" w:space="0" w:color="auto"/>
        <w:left w:val="none" w:sz="0" w:space="0" w:color="auto"/>
        <w:bottom w:val="none" w:sz="0" w:space="0" w:color="auto"/>
        <w:right w:val="none" w:sz="0" w:space="0" w:color="auto"/>
      </w:divBdr>
      <w:divsChild>
        <w:div w:id="201986253">
          <w:marLeft w:val="0"/>
          <w:marRight w:val="0"/>
          <w:marTop w:val="0"/>
          <w:marBottom w:val="0"/>
          <w:divBdr>
            <w:top w:val="none" w:sz="0" w:space="0" w:color="auto"/>
            <w:left w:val="none" w:sz="0" w:space="0" w:color="auto"/>
            <w:bottom w:val="none" w:sz="0" w:space="0" w:color="auto"/>
            <w:right w:val="none" w:sz="0" w:space="0" w:color="auto"/>
          </w:divBdr>
        </w:div>
        <w:div w:id="378482664">
          <w:marLeft w:val="0"/>
          <w:marRight w:val="0"/>
          <w:marTop w:val="0"/>
          <w:marBottom w:val="0"/>
          <w:divBdr>
            <w:top w:val="none" w:sz="0" w:space="0" w:color="auto"/>
            <w:left w:val="none" w:sz="0" w:space="0" w:color="auto"/>
            <w:bottom w:val="none" w:sz="0" w:space="0" w:color="auto"/>
            <w:right w:val="none" w:sz="0" w:space="0" w:color="auto"/>
          </w:divBdr>
        </w:div>
        <w:div w:id="1257710845">
          <w:marLeft w:val="0"/>
          <w:marRight w:val="0"/>
          <w:marTop w:val="0"/>
          <w:marBottom w:val="0"/>
          <w:divBdr>
            <w:top w:val="none" w:sz="0" w:space="0" w:color="auto"/>
            <w:left w:val="none" w:sz="0" w:space="0" w:color="auto"/>
            <w:bottom w:val="none" w:sz="0" w:space="0" w:color="auto"/>
            <w:right w:val="none" w:sz="0" w:space="0" w:color="auto"/>
          </w:divBdr>
        </w:div>
        <w:div w:id="1451625052">
          <w:marLeft w:val="0"/>
          <w:marRight w:val="0"/>
          <w:marTop w:val="0"/>
          <w:marBottom w:val="0"/>
          <w:divBdr>
            <w:top w:val="none" w:sz="0" w:space="0" w:color="auto"/>
            <w:left w:val="none" w:sz="0" w:space="0" w:color="auto"/>
            <w:bottom w:val="none" w:sz="0" w:space="0" w:color="auto"/>
            <w:right w:val="none" w:sz="0" w:space="0" w:color="auto"/>
          </w:divBdr>
        </w:div>
        <w:div w:id="1671247743">
          <w:marLeft w:val="0"/>
          <w:marRight w:val="0"/>
          <w:marTop w:val="0"/>
          <w:marBottom w:val="0"/>
          <w:divBdr>
            <w:top w:val="none" w:sz="0" w:space="0" w:color="auto"/>
            <w:left w:val="none" w:sz="0" w:space="0" w:color="auto"/>
            <w:bottom w:val="none" w:sz="0" w:space="0" w:color="auto"/>
            <w:right w:val="none" w:sz="0" w:space="0" w:color="auto"/>
          </w:divBdr>
        </w:div>
        <w:div w:id="1769930824">
          <w:marLeft w:val="0"/>
          <w:marRight w:val="0"/>
          <w:marTop w:val="0"/>
          <w:marBottom w:val="0"/>
          <w:divBdr>
            <w:top w:val="none" w:sz="0" w:space="0" w:color="auto"/>
            <w:left w:val="none" w:sz="0" w:space="0" w:color="auto"/>
            <w:bottom w:val="none" w:sz="0" w:space="0" w:color="auto"/>
            <w:right w:val="none" w:sz="0" w:space="0" w:color="auto"/>
          </w:divBdr>
        </w:div>
        <w:div w:id="2143955496">
          <w:marLeft w:val="0"/>
          <w:marRight w:val="0"/>
          <w:marTop w:val="0"/>
          <w:marBottom w:val="0"/>
          <w:divBdr>
            <w:top w:val="none" w:sz="0" w:space="0" w:color="auto"/>
            <w:left w:val="none" w:sz="0" w:space="0" w:color="auto"/>
            <w:bottom w:val="none" w:sz="0" w:space="0" w:color="auto"/>
            <w:right w:val="none" w:sz="0" w:space="0" w:color="auto"/>
          </w:divBdr>
        </w:div>
      </w:divsChild>
    </w:div>
    <w:div w:id="340549428">
      <w:bodyDiv w:val="1"/>
      <w:marLeft w:val="0"/>
      <w:marRight w:val="0"/>
      <w:marTop w:val="0"/>
      <w:marBottom w:val="0"/>
      <w:divBdr>
        <w:top w:val="none" w:sz="0" w:space="0" w:color="auto"/>
        <w:left w:val="none" w:sz="0" w:space="0" w:color="auto"/>
        <w:bottom w:val="none" w:sz="0" w:space="0" w:color="auto"/>
        <w:right w:val="none" w:sz="0" w:space="0" w:color="auto"/>
      </w:divBdr>
      <w:divsChild>
        <w:div w:id="205458689">
          <w:marLeft w:val="965"/>
          <w:marRight w:val="0"/>
          <w:marTop w:val="0"/>
          <w:marBottom w:val="0"/>
          <w:divBdr>
            <w:top w:val="none" w:sz="0" w:space="0" w:color="auto"/>
            <w:left w:val="none" w:sz="0" w:space="0" w:color="auto"/>
            <w:bottom w:val="none" w:sz="0" w:space="0" w:color="auto"/>
            <w:right w:val="none" w:sz="0" w:space="0" w:color="auto"/>
          </w:divBdr>
        </w:div>
        <w:div w:id="434327688">
          <w:marLeft w:val="965"/>
          <w:marRight w:val="0"/>
          <w:marTop w:val="0"/>
          <w:marBottom w:val="0"/>
          <w:divBdr>
            <w:top w:val="none" w:sz="0" w:space="0" w:color="auto"/>
            <w:left w:val="none" w:sz="0" w:space="0" w:color="auto"/>
            <w:bottom w:val="none" w:sz="0" w:space="0" w:color="auto"/>
            <w:right w:val="none" w:sz="0" w:space="0" w:color="auto"/>
          </w:divBdr>
        </w:div>
        <w:div w:id="1169373301">
          <w:marLeft w:val="965"/>
          <w:marRight w:val="0"/>
          <w:marTop w:val="0"/>
          <w:marBottom w:val="0"/>
          <w:divBdr>
            <w:top w:val="none" w:sz="0" w:space="0" w:color="auto"/>
            <w:left w:val="none" w:sz="0" w:space="0" w:color="auto"/>
            <w:bottom w:val="none" w:sz="0" w:space="0" w:color="auto"/>
            <w:right w:val="none" w:sz="0" w:space="0" w:color="auto"/>
          </w:divBdr>
        </w:div>
        <w:div w:id="1615096427">
          <w:marLeft w:val="446"/>
          <w:marRight w:val="0"/>
          <w:marTop w:val="0"/>
          <w:marBottom w:val="0"/>
          <w:divBdr>
            <w:top w:val="none" w:sz="0" w:space="0" w:color="auto"/>
            <w:left w:val="none" w:sz="0" w:space="0" w:color="auto"/>
            <w:bottom w:val="none" w:sz="0" w:space="0" w:color="auto"/>
            <w:right w:val="none" w:sz="0" w:space="0" w:color="auto"/>
          </w:divBdr>
        </w:div>
        <w:div w:id="1640300624">
          <w:marLeft w:val="965"/>
          <w:marRight w:val="0"/>
          <w:marTop w:val="0"/>
          <w:marBottom w:val="0"/>
          <w:divBdr>
            <w:top w:val="none" w:sz="0" w:space="0" w:color="auto"/>
            <w:left w:val="none" w:sz="0" w:space="0" w:color="auto"/>
            <w:bottom w:val="none" w:sz="0" w:space="0" w:color="auto"/>
            <w:right w:val="none" w:sz="0" w:space="0" w:color="auto"/>
          </w:divBdr>
        </w:div>
      </w:divsChild>
    </w:div>
    <w:div w:id="346172943">
      <w:bodyDiv w:val="1"/>
      <w:marLeft w:val="0"/>
      <w:marRight w:val="0"/>
      <w:marTop w:val="0"/>
      <w:marBottom w:val="0"/>
      <w:divBdr>
        <w:top w:val="none" w:sz="0" w:space="0" w:color="auto"/>
        <w:left w:val="none" w:sz="0" w:space="0" w:color="auto"/>
        <w:bottom w:val="none" w:sz="0" w:space="0" w:color="auto"/>
        <w:right w:val="none" w:sz="0" w:space="0" w:color="auto"/>
      </w:divBdr>
    </w:div>
    <w:div w:id="358245430">
      <w:bodyDiv w:val="1"/>
      <w:marLeft w:val="0"/>
      <w:marRight w:val="0"/>
      <w:marTop w:val="0"/>
      <w:marBottom w:val="0"/>
      <w:divBdr>
        <w:top w:val="none" w:sz="0" w:space="0" w:color="auto"/>
        <w:left w:val="none" w:sz="0" w:space="0" w:color="auto"/>
        <w:bottom w:val="none" w:sz="0" w:space="0" w:color="auto"/>
        <w:right w:val="none" w:sz="0" w:space="0" w:color="auto"/>
      </w:divBdr>
    </w:div>
    <w:div w:id="377824032">
      <w:bodyDiv w:val="1"/>
      <w:marLeft w:val="0"/>
      <w:marRight w:val="0"/>
      <w:marTop w:val="0"/>
      <w:marBottom w:val="0"/>
      <w:divBdr>
        <w:top w:val="none" w:sz="0" w:space="0" w:color="auto"/>
        <w:left w:val="none" w:sz="0" w:space="0" w:color="auto"/>
        <w:bottom w:val="none" w:sz="0" w:space="0" w:color="auto"/>
        <w:right w:val="none" w:sz="0" w:space="0" w:color="auto"/>
      </w:divBdr>
    </w:div>
    <w:div w:id="435760562">
      <w:bodyDiv w:val="1"/>
      <w:marLeft w:val="0"/>
      <w:marRight w:val="0"/>
      <w:marTop w:val="0"/>
      <w:marBottom w:val="0"/>
      <w:divBdr>
        <w:top w:val="none" w:sz="0" w:space="0" w:color="auto"/>
        <w:left w:val="none" w:sz="0" w:space="0" w:color="auto"/>
        <w:bottom w:val="none" w:sz="0" w:space="0" w:color="auto"/>
        <w:right w:val="none" w:sz="0" w:space="0" w:color="auto"/>
      </w:divBdr>
      <w:divsChild>
        <w:div w:id="629215769">
          <w:marLeft w:val="446"/>
          <w:marRight w:val="0"/>
          <w:marTop w:val="0"/>
          <w:marBottom w:val="0"/>
          <w:divBdr>
            <w:top w:val="none" w:sz="0" w:space="0" w:color="auto"/>
            <w:left w:val="none" w:sz="0" w:space="0" w:color="auto"/>
            <w:bottom w:val="none" w:sz="0" w:space="0" w:color="auto"/>
            <w:right w:val="none" w:sz="0" w:space="0" w:color="auto"/>
          </w:divBdr>
        </w:div>
        <w:div w:id="1504317165">
          <w:marLeft w:val="446"/>
          <w:marRight w:val="0"/>
          <w:marTop w:val="0"/>
          <w:marBottom w:val="0"/>
          <w:divBdr>
            <w:top w:val="none" w:sz="0" w:space="0" w:color="auto"/>
            <w:left w:val="none" w:sz="0" w:space="0" w:color="auto"/>
            <w:bottom w:val="none" w:sz="0" w:space="0" w:color="auto"/>
            <w:right w:val="none" w:sz="0" w:space="0" w:color="auto"/>
          </w:divBdr>
        </w:div>
        <w:div w:id="1835757272">
          <w:marLeft w:val="446"/>
          <w:marRight w:val="0"/>
          <w:marTop w:val="0"/>
          <w:marBottom w:val="0"/>
          <w:divBdr>
            <w:top w:val="none" w:sz="0" w:space="0" w:color="auto"/>
            <w:left w:val="none" w:sz="0" w:space="0" w:color="auto"/>
            <w:bottom w:val="none" w:sz="0" w:space="0" w:color="auto"/>
            <w:right w:val="none" w:sz="0" w:space="0" w:color="auto"/>
          </w:divBdr>
        </w:div>
      </w:divsChild>
    </w:div>
    <w:div w:id="480469149">
      <w:bodyDiv w:val="1"/>
      <w:marLeft w:val="0"/>
      <w:marRight w:val="0"/>
      <w:marTop w:val="0"/>
      <w:marBottom w:val="0"/>
      <w:divBdr>
        <w:top w:val="none" w:sz="0" w:space="0" w:color="auto"/>
        <w:left w:val="none" w:sz="0" w:space="0" w:color="auto"/>
        <w:bottom w:val="none" w:sz="0" w:space="0" w:color="auto"/>
        <w:right w:val="none" w:sz="0" w:space="0" w:color="auto"/>
      </w:divBdr>
      <w:divsChild>
        <w:div w:id="1049034784">
          <w:marLeft w:val="446"/>
          <w:marRight w:val="0"/>
          <w:marTop w:val="62"/>
          <w:marBottom w:val="0"/>
          <w:divBdr>
            <w:top w:val="none" w:sz="0" w:space="0" w:color="auto"/>
            <w:left w:val="none" w:sz="0" w:space="0" w:color="auto"/>
            <w:bottom w:val="none" w:sz="0" w:space="0" w:color="auto"/>
            <w:right w:val="none" w:sz="0" w:space="0" w:color="auto"/>
          </w:divBdr>
        </w:div>
        <w:div w:id="1226141264">
          <w:marLeft w:val="446"/>
          <w:marRight w:val="0"/>
          <w:marTop w:val="62"/>
          <w:marBottom w:val="0"/>
          <w:divBdr>
            <w:top w:val="none" w:sz="0" w:space="0" w:color="auto"/>
            <w:left w:val="none" w:sz="0" w:space="0" w:color="auto"/>
            <w:bottom w:val="none" w:sz="0" w:space="0" w:color="auto"/>
            <w:right w:val="none" w:sz="0" w:space="0" w:color="auto"/>
          </w:divBdr>
        </w:div>
      </w:divsChild>
    </w:div>
    <w:div w:id="492767585">
      <w:bodyDiv w:val="1"/>
      <w:marLeft w:val="0"/>
      <w:marRight w:val="0"/>
      <w:marTop w:val="0"/>
      <w:marBottom w:val="0"/>
      <w:divBdr>
        <w:top w:val="none" w:sz="0" w:space="0" w:color="auto"/>
        <w:left w:val="none" w:sz="0" w:space="0" w:color="auto"/>
        <w:bottom w:val="none" w:sz="0" w:space="0" w:color="auto"/>
        <w:right w:val="none" w:sz="0" w:space="0" w:color="auto"/>
      </w:divBdr>
    </w:div>
    <w:div w:id="580256015">
      <w:bodyDiv w:val="1"/>
      <w:marLeft w:val="0"/>
      <w:marRight w:val="0"/>
      <w:marTop w:val="0"/>
      <w:marBottom w:val="0"/>
      <w:divBdr>
        <w:top w:val="none" w:sz="0" w:space="0" w:color="auto"/>
        <w:left w:val="none" w:sz="0" w:space="0" w:color="auto"/>
        <w:bottom w:val="none" w:sz="0" w:space="0" w:color="auto"/>
        <w:right w:val="none" w:sz="0" w:space="0" w:color="auto"/>
      </w:divBdr>
    </w:div>
    <w:div w:id="656765502">
      <w:bodyDiv w:val="1"/>
      <w:marLeft w:val="0"/>
      <w:marRight w:val="0"/>
      <w:marTop w:val="0"/>
      <w:marBottom w:val="0"/>
      <w:divBdr>
        <w:top w:val="none" w:sz="0" w:space="0" w:color="auto"/>
        <w:left w:val="none" w:sz="0" w:space="0" w:color="auto"/>
        <w:bottom w:val="none" w:sz="0" w:space="0" w:color="auto"/>
        <w:right w:val="none" w:sz="0" w:space="0" w:color="auto"/>
      </w:divBdr>
    </w:div>
    <w:div w:id="682438339">
      <w:bodyDiv w:val="1"/>
      <w:marLeft w:val="45"/>
      <w:marRight w:val="45"/>
      <w:marTop w:val="45"/>
      <w:marBottom w:val="45"/>
      <w:divBdr>
        <w:top w:val="none" w:sz="0" w:space="0" w:color="auto"/>
        <w:left w:val="none" w:sz="0" w:space="0" w:color="auto"/>
        <w:bottom w:val="none" w:sz="0" w:space="0" w:color="auto"/>
        <w:right w:val="none" w:sz="0" w:space="0" w:color="auto"/>
      </w:divBdr>
      <w:divsChild>
        <w:div w:id="527334059">
          <w:marLeft w:val="0"/>
          <w:marRight w:val="0"/>
          <w:marTop w:val="0"/>
          <w:marBottom w:val="75"/>
          <w:divBdr>
            <w:top w:val="none" w:sz="0" w:space="0" w:color="auto"/>
            <w:left w:val="none" w:sz="0" w:space="0" w:color="auto"/>
            <w:bottom w:val="none" w:sz="0" w:space="0" w:color="auto"/>
            <w:right w:val="none" w:sz="0" w:space="0" w:color="auto"/>
          </w:divBdr>
        </w:div>
      </w:divsChild>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7778111">
      <w:bodyDiv w:val="1"/>
      <w:marLeft w:val="0"/>
      <w:marRight w:val="0"/>
      <w:marTop w:val="0"/>
      <w:marBottom w:val="0"/>
      <w:divBdr>
        <w:top w:val="none" w:sz="0" w:space="0" w:color="auto"/>
        <w:left w:val="none" w:sz="0" w:space="0" w:color="auto"/>
        <w:bottom w:val="none" w:sz="0" w:space="0" w:color="auto"/>
        <w:right w:val="none" w:sz="0" w:space="0" w:color="auto"/>
      </w:divBdr>
    </w:div>
    <w:div w:id="720253300">
      <w:bodyDiv w:val="1"/>
      <w:marLeft w:val="0"/>
      <w:marRight w:val="0"/>
      <w:marTop w:val="0"/>
      <w:marBottom w:val="0"/>
      <w:divBdr>
        <w:top w:val="none" w:sz="0" w:space="0" w:color="auto"/>
        <w:left w:val="none" w:sz="0" w:space="0" w:color="auto"/>
        <w:bottom w:val="none" w:sz="0" w:space="0" w:color="auto"/>
        <w:right w:val="none" w:sz="0" w:space="0" w:color="auto"/>
      </w:divBdr>
    </w:div>
    <w:div w:id="758451552">
      <w:bodyDiv w:val="1"/>
      <w:marLeft w:val="0"/>
      <w:marRight w:val="0"/>
      <w:marTop w:val="0"/>
      <w:marBottom w:val="0"/>
      <w:divBdr>
        <w:top w:val="none" w:sz="0" w:space="0" w:color="auto"/>
        <w:left w:val="none" w:sz="0" w:space="0" w:color="auto"/>
        <w:bottom w:val="none" w:sz="0" w:space="0" w:color="auto"/>
        <w:right w:val="none" w:sz="0" w:space="0" w:color="auto"/>
      </w:divBdr>
    </w:div>
    <w:div w:id="779180321">
      <w:bodyDiv w:val="1"/>
      <w:marLeft w:val="0"/>
      <w:marRight w:val="0"/>
      <w:marTop w:val="0"/>
      <w:marBottom w:val="0"/>
      <w:divBdr>
        <w:top w:val="none" w:sz="0" w:space="0" w:color="auto"/>
        <w:left w:val="none" w:sz="0" w:space="0" w:color="auto"/>
        <w:bottom w:val="none" w:sz="0" w:space="0" w:color="auto"/>
        <w:right w:val="none" w:sz="0" w:space="0" w:color="auto"/>
      </w:divBdr>
    </w:div>
    <w:div w:id="797381205">
      <w:bodyDiv w:val="1"/>
      <w:marLeft w:val="0"/>
      <w:marRight w:val="0"/>
      <w:marTop w:val="0"/>
      <w:marBottom w:val="0"/>
      <w:divBdr>
        <w:top w:val="none" w:sz="0" w:space="0" w:color="auto"/>
        <w:left w:val="none" w:sz="0" w:space="0" w:color="auto"/>
        <w:bottom w:val="none" w:sz="0" w:space="0" w:color="auto"/>
        <w:right w:val="none" w:sz="0" w:space="0" w:color="auto"/>
      </w:divBdr>
    </w:div>
    <w:div w:id="831215032">
      <w:bodyDiv w:val="1"/>
      <w:marLeft w:val="0"/>
      <w:marRight w:val="0"/>
      <w:marTop w:val="0"/>
      <w:marBottom w:val="0"/>
      <w:divBdr>
        <w:top w:val="none" w:sz="0" w:space="0" w:color="auto"/>
        <w:left w:val="none" w:sz="0" w:space="0" w:color="auto"/>
        <w:bottom w:val="none" w:sz="0" w:space="0" w:color="auto"/>
        <w:right w:val="none" w:sz="0" w:space="0" w:color="auto"/>
      </w:divBdr>
    </w:div>
    <w:div w:id="856312594">
      <w:bodyDiv w:val="1"/>
      <w:marLeft w:val="0"/>
      <w:marRight w:val="0"/>
      <w:marTop w:val="0"/>
      <w:marBottom w:val="0"/>
      <w:divBdr>
        <w:top w:val="none" w:sz="0" w:space="0" w:color="auto"/>
        <w:left w:val="none" w:sz="0" w:space="0" w:color="auto"/>
        <w:bottom w:val="none" w:sz="0" w:space="0" w:color="auto"/>
        <w:right w:val="none" w:sz="0" w:space="0" w:color="auto"/>
      </w:divBdr>
    </w:div>
    <w:div w:id="897934179">
      <w:bodyDiv w:val="1"/>
      <w:marLeft w:val="0"/>
      <w:marRight w:val="0"/>
      <w:marTop w:val="0"/>
      <w:marBottom w:val="0"/>
      <w:divBdr>
        <w:top w:val="none" w:sz="0" w:space="0" w:color="auto"/>
        <w:left w:val="none" w:sz="0" w:space="0" w:color="auto"/>
        <w:bottom w:val="none" w:sz="0" w:space="0" w:color="auto"/>
        <w:right w:val="none" w:sz="0" w:space="0" w:color="auto"/>
      </w:divBdr>
    </w:div>
    <w:div w:id="964122731">
      <w:bodyDiv w:val="1"/>
      <w:marLeft w:val="0"/>
      <w:marRight w:val="0"/>
      <w:marTop w:val="0"/>
      <w:marBottom w:val="0"/>
      <w:divBdr>
        <w:top w:val="none" w:sz="0" w:space="0" w:color="auto"/>
        <w:left w:val="none" w:sz="0" w:space="0" w:color="auto"/>
        <w:bottom w:val="none" w:sz="0" w:space="0" w:color="auto"/>
        <w:right w:val="none" w:sz="0" w:space="0" w:color="auto"/>
      </w:divBdr>
    </w:div>
    <w:div w:id="973366690">
      <w:bodyDiv w:val="1"/>
      <w:marLeft w:val="0"/>
      <w:marRight w:val="0"/>
      <w:marTop w:val="0"/>
      <w:marBottom w:val="0"/>
      <w:divBdr>
        <w:top w:val="none" w:sz="0" w:space="0" w:color="auto"/>
        <w:left w:val="none" w:sz="0" w:space="0" w:color="auto"/>
        <w:bottom w:val="none" w:sz="0" w:space="0" w:color="auto"/>
        <w:right w:val="none" w:sz="0" w:space="0" w:color="auto"/>
      </w:divBdr>
    </w:div>
    <w:div w:id="1018460580">
      <w:bodyDiv w:val="1"/>
      <w:marLeft w:val="0"/>
      <w:marRight w:val="0"/>
      <w:marTop w:val="0"/>
      <w:marBottom w:val="0"/>
      <w:divBdr>
        <w:top w:val="none" w:sz="0" w:space="0" w:color="auto"/>
        <w:left w:val="none" w:sz="0" w:space="0" w:color="auto"/>
        <w:bottom w:val="none" w:sz="0" w:space="0" w:color="auto"/>
        <w:right w:val="none" w:sz="0" w:space="0" w:color="auto"/>
      </w:divBdr>
    </w:div>
    <w:div w:id="1049494185">
      <w:bodyDiv w:val="1"/>
      <w:marLeft w:val="0"/>
      <w:marRight w:val="0"/>
      <w:marTop w:val="0"/>
      <w:marBottom w:val="0"/>
      <w:divBdr>
        <w:top w:val="none" w:sz="0" w:space="0" w:color="auto"/>
        <w:left w:val="none" w:sz="0" w:space="0" w:color="auto"/>
        <w:bottom w:val="none" w:sz="0" w:space="0" w:color="auto"/>
        <w:right w:val="none" w:sz="0" w:space="0" w:color="auto"/>
      </w:divBdr>
    </w:div>
    <w:div w:id="1051347750">
      <w:bodyDiv w:val="1"/>
      <w:marLeft w:val="0"/>
      <w:marRight w:val="0"/>
      <w:marTop w:val="0"/>
      <w:marBottom w:val="0"/>
      <w:divBdr>
        <w:top w:val="none" w:sz="0" w:space="0" w:color="auto"/>
        <w:left w:val="none" w:sz="0" w:space="0" w:color="auto"/>
        <w:bottom w:val="none" w:sz="0" w:space="0" w:color="auto"/>
        <w:right w:val="none" w:sz="0" w:space="0" w:color="auto"/>
      </w:divBdr>
    </w:div>
    <w:div w:id="1088385366">
      <w:bodyDiv w:val="1"/>
      <w:marLeft w:val="0"/>
      <w:marRight w:val="0"/>
      <w:marTop w:val="0"/>
      <w:marBottom w:val="0"/>
      <w:divBdr>
        <w:top w:val="none" w:sz="0" w:space="0" w:color="auto"/>
        <w:left w:val="none" w:sz="0" w:space="0" w:color="auto"/>
        <w:bottom w:val="none" w:sz="0" w:space="0" w:color="auto"/>
        <w:right w:val="none" w:sz="0" w:space="0" w:color="auto"/>
      </w:divBdr>
      <w:divsChild>
        <w:div w:id="89394214">
          <w:marLeft w:val="0"/>
          <w:marRight w:val="0"/>
          <w:marTop w:val="0"/>
          <w:marBottom w:val="0"/>
          <w:divBdr>
            <w:top w:val="none" w:sz="0" w:space="0" w:color="auto"/>
            <w:left w:val="none" w:sz="0" w:space="0" w:color="auto"/>
            <w:bottom w:val="none" w:sz="0" w:space="0" w:color="auto"/>
            <w:right w:val="none" w:sz="0" w:space="0" w:color="auto"/>
          </w:divBdr>
        </w:div>
        <w:div w:id="103230951">
          <w:marLeft w:val="0"/>
          <w:marRight w:val="0"/>
          <w:marTop w:val="0"/>
          <w:marBottom w:val="0"/>
          <w:divBdr>
            <w:top w:val="none" w:sz="0" w:space="0" w:color="auto"/>
            <w:left w:val="none" w:sz="0" w:space="0" w:color="auto"/>
            <w:bottom w:val="none" w:sz="0" w:space="0" w:color="auto"/>
            <w:right w:val="none" w:sz="0" w:space="0" w:color="auto"/>
          </w:divBdr>
        </w:div>
        <w:div w:id="687101170">
          <w:marLeft w:val="0"/>
          <w:marRight w:val="0"/>
          <w:marTop w:val="0"/>
          <w:marBottom w:val="0"/>
          <w:divBdr>
            <w:top w:val="none" w:sz="0" w:space="0" w:color="auto"/>
            <w:left w:val="none" w:sz="0" w:space="0" w:color="auto"/>
            <w:bottom w:val="none" w:sz="0" w:space="0" w:color="auto"/>
            <w:right w:val="none" w:sz="0" w:space="0" w:color="auto"/>
          </w:divBdr>
        </w:div>
        <w:div w:id="1799839655">
          <w:marLeft w:val="0"/>
          <w:marRight w:val="0"/>
          <w:marTop w:val="0"/>
          <w:marBottom w:val="0"/>
          <w:divBdr>
            <w:top w:val="none" w:sz="0" w:space="0" w:color="auto"/>
            <w:left w:val="none" w:sz="0" w:space="0" w:color="auto"/>
            <w:bottom w:val="none" w:sz="0" w:space="0" w:color="auto"/>
            <w:right w:val="none" w:sz="0" w:space="0" w:color="auto"/>
          </w:divBdr>
        </w:div>
      </w:divsChild>
    </w:div>
    <w:div w:id="1105998947">
      <w:bodyDiv w:val="1"/>
      <w:marLeft w:val="0"/>
      <w:marRight w:val="0"/>
      <w:marTop w:val="0"/>
      <w:marBottom w:val="0"/>
      <w:divBdr>
        <w:top w:val="none" w:sz="0" w:space="0" w:color="auto"/>
        <w:left w:val="none" w:sz="0" w:space="0" w:color="auto"/>
        <w:bottom w:val="none" w:sz="0" w:space="0" w:color="auto"/>
        <w:right w:val="none" w:sz="0" w:space="0" w:color="auto"/>
      </w:divBdr>
    </w:div>
    <w:div w:id="1123187617">
      <w:bodyDiv w:val="1"/>
      <w:marLeft w:val="0"/>
      <w:marRight w:val="0"/>
      <w:marTop w:val="0"/>
      <w:marBottom w:val="0"/>
      <w:divBdr>
        <w:top w:val="none" w:sz="0" w:space="0" w:color="auto"/>
        <w:left w:val="none" w:sz="0" w:space="0" w:color="auto"/>
        <w:bottom w:val="none" w:sz="0" w:space="0" w:color="auto"/>
        <w:right w:val="none" w:sz="0" w:space="0" w:color="auto"/>
      </w:divBdr>
    </w:div>
    <w:div w:id="1149052687">
      <w:bodyDiv w:val="1"/>
      <w:marLeft w:val="0"/>
      <w:marRight w:val="0"/>
      <w:marTop w:val="0"/>
      <w:marBottom w:val="0"/>
      <w:divBdr>
        <w:top w:val="none" w:sz="0" w:space="0" w:color="auto"/>
        <w:left w:val="none" w:sz="0" w:space="0" w:color="auto"/>
        <w:bottom w:val="none" w:sz="0" w:space="0" w:color="auto"/>
        <w:right w:val="none" w:sz="0" w:space="0" w:color="auto"/>
      </w:divBdr>
    </w:div>
    <w:div w:id="1154300459">
      <w:bodyDiv w:val="1"/>
      <w:marLeft w:val="0"/>
      <w:marRight w:val="0"/>
      <w:marTop w:val="0"/>
      <w:marBottom w:val="0"/>
      <w:divBdr>
        <w:top w:val="none" w:sz="0" w:space="0" w:color="auto"/>
        <w:left w:val="none" w:sz="0" w:space="0" w:color="auto"/>
        <w:bottom w:val="none" w:sz="0" w:space="0" w:color="auto"/>
        <w:right w:val="none" w:sz="0" w:space="0" w:color="auto"/>
      </w:divBdr>
      <w:divsChild>
        <w:div w:id="18357101">
          <w:marLeft w:val="0"/>
          <w:marRight w:val="0"/>
          <w:marTop w:val="0"/>
          <w:marBottom w:val="0"/>
          <w:divBdr>
            <w:top w:val="none" w:sz="0" w:space="0" w:color="auto"/>
            <w:left w:val="none" w:sz="0" w:space="0" w:color="auto"/>
            <w:bottom w:val="none" w:sz="0" w:space="0" w:color="auto"/>
            <w:right w:val="none" w:sz="0" w:space="0" w:color="auto"/>
          </w:divBdr>
        </w:div>
        <w:div w:id="75907646">
          <w:marLeft w:val="0"/>
          <w:marRight w:val="0"/>
          <w:marTop w:val="0"/>
          <w:marBottom w:val="0"/>
          <w:divBdr>
            <w:top w:val="none" w:sz="0" w:space="0" w:color="auto"/>
            <w:left w:val="none" w:sz="0" w:space="0" w:color="auto"/>
            <w:bottom w:val="none" w:sz="0" w:space="0" w:color="auto"/>
            <w:right w:val="none" w:sz="0" w:space="0" w:color="auto"/>
          </w:divBdr>
        </w:div>
        <w:div w:id="106050030">
          <w:marLeft w:val="0"/>
          <w:marRight w:val="0"/>
          <w:marTop w:val="0"/>
          <w:marBottom w:val="0"/>
          <w:divBdr>
            <w:top w:val="none" w:sz="0" w:space="0" w:color="auto"/>
            <w:left w:val="none" w:sz="0" w:space="0" w:color="auto"/>
            <w:bottom w:val="none" w:sz="0" w:space="0" w:color="auto"/>
            <w:right w:val="none" w:sz="0" w:space="0" w:color="auto"/>
          </w:divBdr>
        </w:div>
        <w:div w:id="129325568">
          <w:marLeft w:val="0"/>
          <w:marRight w:val="0"/>
          <w:marTop w:val="0"/>
          <w:marBottom w:val="0"/>
          <w:divBdr>
            <w:top w:val="none" w:sz="0" w:space="0" w:color="auto"/>
            <w:left w:val="none" w:sz="0" w:space="0" w:color="auto"/>
            <w:bottom w:val="none" w:sz="0" w:space="0" w:color="auto"/>
            <w:right w:val="none" w:sz="0" w:space="0" w:color="auto"/>
          </w:divBdr>
        </w:div>
        <w:div w:id="134299958">
          <w:marLeft w:val="0"/>
          <w:marRight w:val="0"/>
          <w:marTop w:val="0"/>
          <w:marBottom w:val="0"/>
          <w:divBdr>
            <w:top w:val="none" w:sz="0" w:space="0" w:color="auto"/>
            <w:left w:val="none" w:sz="0" w:space="0" w:color="auto"/>
            <w:bottom w:val="none" w:sz="0" w:space="0" w:color="auto"/>
            <w:right w:val="none" w:sz="0" w:space="0" w:color="auto"/>
          </w:divBdr>
        </w:div>
        <w:div w:id="143859792">
          <w:marLeft w:val="0"/>
          <w:marRight w:val="0"/>
          <w:marTop w:val="0"/>
          <w:marBottom w:val="0"/>
          <w:divBdr>
            <w:top w:val="none" w:sz="0" w:space="0" w:color="auto"/>
            <w:left w:val="none" w:sz="0" w:space="0" w:color="auto"/>
            <w:bottom w:val="none" w:sz="0" w:space="0" w:color="auto"/>
            <w:right w:val="none" w:sz="0" w:space="0" w:color="auto"/>
          </w:divBdr>
        </w:div>
        <w:div w:id="145247698">
          <w:marLeft w:val="0"/>
          <w:marRight w:val="0"/>
          <w:marTop w:val="0"/>
          <w:marBottom w:val="0"/>
          <w:divBdr>
            <w:top w:val="none" w:sz="0" w:space="0" w:color="auto"/>
            <w:left w:val="none" w:sz="0" w:space="0" w:color="auto"/>
            <w:bottom w:val="none" w:sz="0" w:space="0" w:color="auto"/>
            <w:right w:val="none" w:sz="0" w:space="0" w:color="auto"/>
          </w:divBdr>
        </w:div>
        <w:div w:id="164169179">
          <w:marLeft w:val="0"/>
          <w:marRight w:val="0"/>
          <w:marTop w:val="0"/>
          <w:marBottom w:val="0"/>
          <w:divBdr>
            <w:top w:val="none" w:sz="0" w:space="0" w:color="auto"/>
            <w:left w:val="none" w:sz="0" w:space="0" w:color="auto"/>
            <w:bottom w:val="none" w:sz="0" w:space="0" w:color="auto"/>
            <w:right w:val="none" w:sz="0" w:space="0" w:color="auto"/>
          </w:divBdr>
        </w:div>
        <w:div w:id="189687660">
          <w:marLeft w:val="0"/>
          <w:marRight w:val="0"/>
          <w:marTop w:val="0"/>
          <w:marBottom w:val="0"/>
          <w:divBdr>
            <w:top w:val="none" w:sz="0" w:space="0" w:color="auto"/>
            <w:left w:val="none" w:sz="0" w:space="0" w:color="auto"/>
            <w:bottom w:val="none" w:sz="0" w:space="0" w:color="auto"/>
            <w:right w:val="none" w:sz="0" w:space="0" w:color="auto"/>
          </w:divBdr>
        </w:div>
        <w:div w:id="192571918">
          <w:marLeft w:val="0"/>
          <w:marRight w:val="0"/>
          <w:marTop w:val="0"/>
          <w:marBottom w:val="0"/>
          <w:divBdr>
            <w:top w:val="none" w:sz="0" w:space="0" w:color="auto"/>
            <w:left w:val="none" w:sz="0" w:space="0" w:color="auto"/>
            <w:bottom w:val="none" w:sz="0" w:space="0" w:color="auto"/>
            <w:right w:val="none" w:sz="0" w:space="0" w:color="auto"/>
          </w:divBdr>
        </w:div>
        <w:div w:id="198015414">
          <w:marLeft w:val="0"/>
          <w:marRight w:val="0"/>
          <w:marTop w:val="0"/>
          <w:marBottom w:val="0"/>
          <w:divBdr>
            <w:top w:val="none" w:sz="0" w:space="0" w:color="auto"/>
            <w:left w:val="none" w:sz="0" w:space="0" w:color="auto"/>
            <w:bottom w:val="none" w:sz="0" w:space="0" w:color="auto"/>
            <w:right w:val="none" w:sz="0" w:space="0" w:color="auto"/>
          </w:divBdr>
        </w:div>
        <w:div w:id="239796505">
          <w:marLeft w:val="0"/>
          <w:marRight w:val="0"/>
          <w:marTop w:val="0"/>
          <w:marBottom w:val="0"/>
          <w:divBdr>
            <w:top w:val="none" w:sz="0" w:space="0" w:color="auto"/>
            <w:left w:val="none" w:sz="0" w:space="0" w:color="auto"/>
            <w:bottom w:val="none" w:sz="0" w:space="0" w:color="auto"/>
            <w:right w:val="none" w:sz="0" w:space="0" w:color="auto"/>
          </w:divBdr>
        </w:div>
        <w:div w:id="241449309">
          <w:marLeft w:val="0"/>
          <w:marRight w:val="0"/>
          <w:marTop w:val="0"/>
          <w:marBottom w:val="0"/>
          <w:divBdr>
            <w:top w:val="none" w:sz="0" w:space="0" w:color="auto"/>
            <w:left w:val="none" w:sz="0" w:space="0" w:color="auto"/>
            <w:bottom w:val="none" w:sz="0" w:space="0" w:color="auto"/>
            <w:right w:val="none" w:sz="0" w:space="0" w:color="auto"/>
          </w:divBdr>
        </w:div>
        <w:div w:id="246575477">
          <w:marLeft w:val="0"/>
          <w:marRight w:val="0"/>
          <w:marTop w:val="0"/>
          <w:marBottom w:val="0"/>
          <w:divBdr>
            <w:top w:val="none" w:sz="0" w:space="0" w:color="auto"/>
            <w:left w:val="none" w:sz="0" w:space="0" w:color="auto"/>
            <w:bottom w:val="none" w:sz="0" w:space="0" w:color="auto"/>
            <w:right w:val="none" w:sz="0" w:space="0" w:color="auto"/>
          </w:divBdr>
        </w:div>
        <w:div w:id="260842035">
          <w:marLeft w:val="0"/>
          <w:marRight w:val="0"/>
          <w:marTop w:val="0"/>
          <w:marBottom w:val="0"/>
          <w:divBdr>
            <w:top w:val="none" w:sz="0" w:space="0" w:color="auto"/>
            <w:left w:val="none" w:sz="0" w:space="0" w:color="auto"/>
            <w:bottom w:val="none" w:sz="0" w:space="0" w:color="auto"/>
            <w:right w:val="none" w:sz="0" w:space="0" w:color="auto"/>
          </w:divBdr>
        </w:div>
        <w:div w:id="274799398">
          <w:marLeft w:val="0"/>
          <w:marRight w:val="0"/>
          <w:marTop w:val="0"/>
          <w:marBottom w:val="0"/>
          <w:divBdr>
            <w:top w:val="none" w:sz="0" w:space="0" w:color="auto"/>
            <w:left w:val="none" w:sz="0" w:space="0" w:color="auto"/>
            <w:bottom w:val="none" w:sz="0" w:space="0" w:color="auto"/>
            <w:right w:val="none" w:sz="0" w:space="0" w:color="auto"/>
          </w:divBdr>
        </w:div>
        <w:div w:id="278798028">
          <w:marLeft w:val="0"/>
          <w:marRight w:val="0"/>
          <w:marTop w:val="0"/>
          <w:marBottom w:val="0"/>
          <w:divBdr>
            <w:top w:val="none" w:sz="0" w:space="0" w:color="auto"/>
            <w:left w:val="none" w:sz="0" w:space="0" w:color="auto"/>
            <w:bottom w:val="none" w:sz="0" w:space="0" w:color="auto"/>
            <w:right w:val="none" w:sz="0" w:space="0" w:color="auto"/>
          </w:divBdr>
        </w:div>
        <w:div w:id="285353364">
          <w:marLeft w:val="0"/>
          <w:marRight w:val="0"/>
          <w:marTop w:val="0"/>
          <w:marBottom w:val="0"/>
          <w:divBdr>
            <w:top w:val="none" w:sz="0" w:space="0" w:color="auto"/>
            <w:left w:val="none" w:sz="0" w:space="0" w:color="auto"/>
            <w:bottom w:val="none" w:sz="0" w:space="0" w:color="auto"/>
            <w:right w:val="none" w:sz="0" w:space="0" w:color="auto"/>
          </w:divBdr>
        </w:div>
        <w:div w:id="289018117">
          <w:marLeft w:val="0"/>
          <w:marRight w:val="0"/>
          <w:marTop w:val="0"/>
          <w:marBottom w:val="0"/>
          <w:divBdr>
            <w:top w:val="none" w:sz="0" w:space="0" w:color="auto"/>
            <w:left w:val="none" w:sz="0" w:space="0" w:color="auto"/>
            <w:bottom w:val="none" w:sz="0" w:space="0" w:color="auto"/>
            <w:right w:val="none" w:sz="0" w:space="0" w:color="auto"/>
          </w:divBdr>
        </w:div>
        <w:div w:id="313989881">
          <w:marLeft w:val="0"/>
          <w:marRight w:val="0"/>
          <w:marTop w:val="0"/>
          <w:marBottom w:val="0"/>
          <w:divBdr>
            <w:top w:val="none" w:sz="0" w:space="0" w:color="auto"/>
            <w:left w:val="none" w:sz="0" w:space="0" w:color="auto"/>
            <w:bottom w:val="none" w:sz="0" w:space="0" w:color="auto"/>
            <w:right w:val="none" w:sz="0" w:space="0" w:color="auto"/>
          </w:divBdr>
        </w:div>
        <w:div w:id="320231485">
          <w:marLeft w:val="0"/>
          <w:marRight w:val="0"/>
          <w:marTop w:val="0"/>
          <w:marBottom w:val="0"/>
          <w:divBdr>
            <w:top w:val="none" w:sz="0" w:space="0" w:color="auto"/>
            <w:left w:val="none" w:sz="0" w:space="0" w:color="auto"/>
            <w:bottom w:val="none" w:sz="0" w:space="0" w:color="auto"/>
            <w:right w:val="none" w:sz="0" w:space="0" w:color="auto"/>
          </w:divBdr>
        </w:div>
        <w:div w:id="322855923">
          <w:marLeft w:val="0"/>
          <w:marRight w:val="0"/>
          <w:marTop w:val="0"/>
          <w:marBottom w:val="0"/>
          <w:divBdr>
            <w:top w:val="none" w:sz="0" w:space="0" w:color="auto"/>
            <w:left w:val="none" w:sz="0" w:space="0" w:color="auto"/>
            <w:bottom w:val="none" w:sz="0" w:space="0" w:color="auto"/>
            <w:right w:val="none" w:sz="0" w:space="0" w:color="auto"/>
          </w:divBdr>
        </w:div>
        <w:div w:id="341976077">
          <w:marLeft w:val="0"/>
          <w:marRight w:val="0"/>
          <w:marTop w:val="0"/>
          <w:marBottom w:val="0"/>
          <w:divBdr>
            <w:top w:val="none" w:sz="0" w:space="0" w:color="auto"/>
            <w:left w:val="none" w:sz="0" w:space="0" w:color="auto"/>
            <w:bottom w:val="none" w:sz="0" w:space="0" w:color="auto"/>
            <w:right w:val="none" w:sz="0" w:space="0" w:color="auto"/>
          </w:divBdr>
        </w:div>
        <w:div w:id="362169983">
          <w:marLeft w:val="0"/>
          <w:marRight w:val="0"/>
          <w:marTop w:val="0"/>
          <w:marBottom w:val="0"/>
          <w:divBdr>
            <w:top w:val="none" w:sz="0" w:space="0" w:color="auto"/>
            <w:left w:val="none" w:sz="0" w:space="0" w:color="auto"/>
            <w:bottom w:val="none" w:sz="0" w:space="0" w:color="auto"/>
            <w:right w:val="none" w:sz="0" w:space="0" w:color="auto"/>
          </w:divBdr>
        </w:div>
        <w:div w:id="369188611">
          <w:marLeft w:val="0"/>
          <w:marRight w:val="0"/>
          <w:marTop w:val="0"/>
          <w:marBottom w:val="0"/>
          <w:divBdr>
            <w:top w:val="none" w:sz="0" w:space="0" w:color="auto"/>
            <w:left w:val="none" w:sz="0" w:space="0" w:color="auto"/>
            <w:bottom w:val="none" w:sz="0" w:space="0" w:color="auto"/>
            <w:right w:val="none" w:sz="0" w:space="0" w:color="auto"/>
          </w:divBdr>
        </w:div>
        <w:div w:id="372078001">
          <w:marLeft w:val="0"/>
          <w:marRight w:val="0"/>
          <w:marTop w:val="0"/>
          <w:marBottom w:val="0"/>
          <w:divBdr>
            <w:top w:val="none" w:sz="0" w:space="0" w:color="auto"/>
            <w:left w:val="none" w:sz="0" w:space="0" w:color="auto"/>
            <w:bottom w:val="none" w:sz="0" w:space="0" w:color="auto"/>
            <w:right w:val="none" w:sz="0" w:space="0" w:color="auto"/>
          </w:divBdr>
        </w:div>
        <w:div w:id="381365204">
          <w:marLeft w:val="0"/>
          <w:marRight w:val="0"/>
          <w:marTop w:val="0"/>
          <w:marBottom w:val="0"/>
          <w:divBdr>
            <w:top w:val="none" w:sz="0" w:space="0" w:color="auto"/>
            <w:left w:val="none" w:sz="0" w:space="0" w:color="auto"/>
            <w:bottom w:val="none" w:sz="0" w:space="0" w:color="auto"/>
            <w:right w:val="none" w:sz="0" w:space="0" w:color="auto"/>
          </w:divBdr>
        </w:div>
        <w:div w:id="382947841">
          <w:marLeft w:val="0"/>
          <w:marRight w:val="0"/>
          <w:marTop w:val="0"/>
          <w:marBottom w:val="0"/>
          <w:divBdr>
            <w:top w:val="none" w:sz="0" w:space="0" w:color="auto"/>
            <w:left w:val="none" w:sz="0" w:space="0" w:color="auto"/>
            <w:bottom w:val="none" w:sz="0" w:space="0" w:color="auto"/>
            <w:right w:val="none" w:sz="0" w:space="0" w:color="auto"/>
          </w:divBdr>
        </w:div>
        <w:div w:id="407969855">
          <w:marLeft w:val="0"/>
          <w:marRight w:val="0"/>
          <w:marTop w:val="0"/>
          <w:marBottom w:val="0"/>
          <w:divBdr>
            <w:top w:val="none" w:sz="0" w:space="0" w:color="auto"/>
            <w:left w:val="none" w:sz="0" w:space="0" w:color="auto"/>
            <w:bottom w:val="none" w:sz="0" w:space="0" w:color="auto"/>
            <w:right w:val="none" w:sz="0" w:space="0" w:color="auto"/>
          </w:divBdr>
        </w:div>
        <w:div w:id="414401817">
          <w:marLeft w:val="0"/>
          <w:marRight w:val="0"/>
          <w:marTop w:val="0"/>
          <w:marBottom w:val="0"/>
          <w:divBdr>
            <w:top w:val="none" w:sz="0" w:space="0" w:color="auto"/>
            <w:left w:val="none" w:sz="0" w:space="0" w:color="auto"/>
            <w:bottom w:val="none" w:sz="0" w:space="0" w:color="auto"/>
            <w:right w:val="none" w:sz="0" w:space="0" w:color="auto"/>
          </w:divBdr>
        </w:div>
        <w:div w:id="436828722">
          <w:marLeft w:val="0"/>
          <w:marRight w:val="0"/>
          <w:marTop w:val="0"/>
          <w:marBottom w:val="0"/>
          <w:divBdr>
            <w:top w:val="none" w:sz="0" w:space="0" w:color="auto"/>
            <w:left w:val="none" w:sz="0" w:space="0" w:color="auto"/>
            <w:bottom w:val="none" w:sz="0" w:space="0" w:color="auto"/>
            <w:right w:val="none" w:sz="0" w:space="0" w:color="auto"/>
          </w:divBdr>
        </w:div>
        <w:div w:id="442457270">
          <w:marLeft w:val="0"/>
          <w:marRight w:val="0"/>
          <w:marTop w:val="0"/>
          <w:marBottom w:val="0"/>
          <w:divBdr>
            <w:top w:val="none" w:sz="0" w:space="0" w:color="auto"/>
            <w:left w:val="none" w:sz="0" w:space="0" w:color="auto"/>
            <w:bottom w:val="none" w:sz="0" w:space="0" w:color="auto"/>
            <w:right w:val="none" w:sz="0" w:space="0" w:color="auto"/>
          </w:divBdr>
        </w:div>
        <w:div w:id="460072609">
          <w:marLeft w:val="0"/>
          <w:marRight w:val="0"/>
          <w:marTop w:val="0"/>
          <w:marBottom w:val="0"/>
          <w:divBdr>
            <w:top w:val="none" w:sz="0" w:space="0" w:color="auto"/>
            <w:left w:val="none" w:sz="0" w:space="0" w:color="auto"/>
            <w:bottom w:val="none" w:sz="0" w:space="0" w:color="auto"/>
            <w:right w:val="none" w:sz="0" w:space="0" w:color="auto"/>
          </w:divBdr>
        </w:div>
        <w:div w:id="467012332">
          <w:marLeft w:val="0"/>
          <w:marRight w:val="0"/>
          <w:marTop w:val="0"/>
          <w:marBottom w:val="0"/>
          <w:divBdr>
            <w:top w:val="none" w:sz="0" w:space="0" w:color="auto"/>
            <w:left w:val="none" w:sz="0" w:space="0" w:color="auto"/>
            <w:bottom w:val="none" w:sz="0" w:space="0" w:color="auto"/>
            <w:right w:val="none" w:sz="0" w:space="0" w:color="auto"/>
          </w:divBdr>
        </w:div>
        <w:div w:id="489322719">
          <w:marLeft w:val="0"/>
          <w:marRight w:val="0"/>
          <w:marTop w:val="0"/>
          <w:marBottom w:val="0"/>
          <w:divBdr>
            <w:top w:val="none" w:sz="0" w:space="0" w:color="auto"/>
            <w:left w:val="none" w:sz="0" w:space="0" w:color="auto"/>
            <w:bottom w:val="none" w:sz="0" w:space="0" w:color="auto"/>
            <w:right w:val="none" w:sz="0" w:space="0" w:color="auto"/>
          </w:divBdr>
        </w:div>
        <w:div w:id="511576992">
          <w:marLeft w:val="0"/>
          <w:marRight w:val="0"/>
          <w:marTop w:val="0"/>
          <w:marBottom w:val="0"/>
          <w:divBdr>
            <w:top w:val="none" w:sz="0" w:space="0" w:color="auto"/>
            <w:left w:val="none" w:sz="0" w:space="0" w:color="auto"/>
            <w:bottom w:val="none" w:sz="0" w:space="0" w:color="auto"/>
            <w:right w:val="none" w:sz="0" w:space="0" w:color="auto"/>
          </w:divBdr>
        </w:div>
        <w:div w:id="548345057">
          <w:marLeft w:val="0"/>
          <w:marRight w:val="0"/>
          <w:marTop w:val="0"/>
          <w:marBottom w:val="0"/>
          <w:divBdr>
            <w:top w:val="none" w:sz="0" w:space="0" w:color="auto"/>
            <w:left w:val="none" w:sz="0" w:space="0" w:color="auto"/>
            <w:bottom w:val="none" w:sz="0" w:space="0" w:color="auto"/>
            <w:right w:val="none" w:sz="0" w:space="0" w:color="auto"/>
          </w:divBdr>
        </w:div>
        <w:div w:id="551309243">
          <w:marLeft w:val="0"/>
          <w:marRight w:val="0"/>
          <w:marTop w:val="0"/>
          <w:marBottom w:val="0"/>
          <w:divBdr>
            <w:top w:val="none" w:sz="0" w:space="0" w:color="auto"/>
            <w:left w:val="none" w:sz="0" w:space="0" w:color="auto"/>
            <w:bottom w:val="none" w:sz="0" w:space="0" w:color="auto"/>
            <w:right w:val="none" w:sz="0" w:space="0" w:color="auto"/>
          </w:divBdr>
        </w:div>
        <w:div w:id="551623608">
          <w:marLeft w:val="0"/>
          <w:marRight w:val="0"/>
          <w:marTop w:val="0"/>
          <w:marBottom w:val="0"/>
          <w:divBdr>
            <w:top w:val="none" w:sz="0" w:space="0" w:color="auto"/>
            <w:left w:val="none" w:sz="0" w:space="0" w:color="auto"/>
            <w:bottom w:val="none" w:sz="0" w:space="0" w:color="auto"/>
            <w:right w:val="none" w:sz="0" w:space="0" w:color="auto"/>
          </w:divBdr>
        </w:div>
        <w:div w:id="555356191">
          <w:marLeft w:val="0"/>
          <w:marRight w:val="0"/>
          <w:marTop w:val="0"/>
          <w:marBottom w:val="0"/>
          <w:divBdr>
            <w:top w:val="none" w:sz="0" w:space="0" w:color="auto"/>
            <w:left w:val="none" w:sz="0" w:space="0" w:color="auto"/>
            <w:bottom w:val="none" w:sz="0" w:space="0" w:color="auto"/>
            <w:right w:val="none" w:sz="0" w:space="0" w:color="auto"/>
          </w:divBdr>
        </w:div>
        <w:div w:id="556360633">
          <w:marLeft w:val="0"/>
          <w:marRight w:val="0"/>
          <w:marTop w:val="0"/>
          <w:marBottom w:val="0"/>
          <w:divBdr>
            <w:top w:val="none" w:sz="0" w:space="0" w:color="auto"/>
            <w:left w:val="none" w:sz="0" w:space="0" w:color="auto"/>
            <w:bottom w:val="none" w:sz="0" w:space="0" w:color="auto"/>
            <w:right w:val="none" w:sz="0" w:space="0" w:color="auto"/>
          </w:divBdr>
        </w:div>
        <w:div w:id="586620646">
          <w:marLeft w:val="0"/>
          <w:marRight w:val="0"/>
          <w:marTop w:val="0"/>
          <w:marBottom w:val="0"/>
          <w:divBdr>
            <w:top w:val="none" w:sz="0" w:space="0" w:color="auto"/>
            <w:left w:val="none" w:sz="0" w:space="0" w:color="auto"/>
            <w:bottom w:val="none" w:sz="0" w:space="0" w:color="auto"/>
            <w:right w:val="none" w:sz="0" w:space="0" w:color="auto"/>
          </w:divBdr>
        </w:div>
        <w:div w:id="593560865">
          <w:marLeft w:val="0"/>
          <w:marRight w:val="0"/>
          <w:marTop w:val="0"/>
          <w:marBottom w:val="0"/>
          <w:divBdr>
            <w:top w:val="none" w:sz="0" w:space="0" w:color="auto"/>
            <w:left w:val="none" w:sz="0" w:space="0" w:color="auto"/>
            <w:bottom w:val="none" w:sz="0" w:space="0" w:color="auto"/>
            <w:right w:val="none" w:sz="0" w:space="0" w:color="auto"/>
          </w:divBdr>
        </w:div>
        <w:div w:id="593629513">
          <w:marLeft w:val="0"/>
          <w:marRight w:val="0"/>
          <w:marTop w:val="0"/>
          <w:marBottom w:val="0"/>
          <w:divBdr>
            <w:top w:val="none" w:sz="0" w:space="0" w:color="auto"/>
            <w:left w:val="none" w:sz="0" w:space="0" w:color="auto"/>
            <w:bottom w:val="none" w:sz="0" w:space="0" w:color="auto"/>
            <w:right w:val="none" w:sz="0" w:space="0" w:color="auto"/>
          </w:divBdr>
        </w:div>
        <w:div w:id="611060245">
          <w:marLeft w:val="0"/>
          <w:marRight w:val="0"/>
          <w:marTop w:val="0"/>
          <w:marBottom w:val="0"/>
          <w:divBdr>
            <w:top w:val="none" w:sz="0" w:space="0" w:color="auto"/>
            <w:left w:val="none" w:sz="0" w:space="0" w:color="auto"/>
            <w:bottom w:val="none" w:sz="0" w:space="0" w:color="auto"/>
            <w:right w:val="none" w:sz="0" w:space="0" w:color="auto"/>
          </w:divBdr>
        </w:div>
        <w:div w:id="615722092">
          <w:marLeft w:val="0"/>
          <w:marRight w:val="0"/>
          <w:marTop w:val="0"/>
          <w:marBottom w:val="0"/>
          <w:divBdr>
            <w:top w:val="none" w:sz="0" w:space="0" w:color="auto"/>
            <w:left w:val="none" w:sz="0" w:space="0" w:color="auto"/>
            <w:bottom w:val="none" w:sz="0" w:space="0" w:color="auto"/>
            <w:right w:val="none" w:sz="0" w:space="0" w:color="auto"/>
          </w:divBdr>
        </w:div>
        <w:div w:id="648442739">
          <w:marLeft w:val="0"/>
          <w:marRight w:val="0"/>
          <w:marTop w:val="0"/>
          <w:marBottom w:val="0"/>
          <w:divBdr>
            <w:top w:val="none" w:sz="0" w:space="0" w:color="auto"/>
            <w:left w:val="none" w:sz="0" w:space="0" w:color="auto"/>
            <w:bottom w:val="none" w:sz="0" w:space="0" w:color="auto"/>
            <w:right w:val="none" w:sz="0" w:space="0" w:color="auto"/>
          </w:divBdr>
        </w:div>
        <w:div w:id="649023988">
          <w:marLeft w:val="0"/>
          <w:marRight w:val="0"/>
          <w:marTop w:val="0"/>
          <w:marBottom w:val="0"/>
          <w:divBdr>
            <w:top w:val="none" w:sz="0" w:space="0" w:color="auto"/>
            <w:left w:val="none" w:sz="0" w:space="0" w:color="auto"/>
            <w:bottom w:val="none" w:sz="0" w:space="0" w:color="auto"/>
            <w:right w:val="none" w:sz="0" w:space="0" w:color="auto"/>
          </w:divBdr>
        </w:div>
        <w:div w:id="671446679">
          <w:marLeft w:val="0"/>
          <w:marRight w:val="0"/>
          <w:marTop w:val="0"/>
          <w:marBottom w:val="0"/>
          <w:divBdr>
            <w:top w:val="none" w:sz="0" w:space="0" w:color="auto"/>
            <w:left w:val="none" w:sz="0" w:space="0" w:color="auto"/>
            <w:bottom w:val="none" w:sz="0" w:space="0" w:color="auto"/>
            <w:right w:val="none" w:sz="0" w:space="0" w:color="auto"/>
          </w:divBdr>
        </w:div>
        <w:div w:id="695352547">
          <w:marLeft w:val="0"/>
          <w:marRight w:val="0"/>
          <w:marTop w:val="0"/>
          <w:marBottom w:val="0"/>
          <w:divBdr>
            <w:top w:val="none" w:sz="0" w:space="0" w:color="auto"/>
            <w:left w:val="none" w:sz="0" w:space="0" w:color="auto"/>
            <w:bottom w:val="none" w:sz="0" w:space="0" w:color="auto"/>
            <w:right w:val="none" w:sz="0" w:space="0" w:color="auto"/>
          </w:divBdr>
        </w:div>
        <w:div w:id="763653414">
          <w:marLeft w:val="0"/>
          <w:marRight w:val="0"/>
          <w:marTop w:val="0"/>
          <w:marBottom w:val="0"/>
          <w:divBdr>
            <w:top w:val="none" w:sz="0" w:space="0" w:color="auto"/>
            <w:left w:val="none" w:sz="0" w:space="0" w:color="auto"/>
            <w:bottom w:val="none" w:sz="0" w:space="0" w:color="auto"/>
            <w:right w:val="none" w:sz="0" w:space="0" w:color="auto"/>
          </w:divBdr>
        </w:div>
        <w:div w:id="778336108">
          <w:marLeft w:val="0"/>
          <w:marRight w:val="0"/>
          <w:marTop w:val="0"/>
          <w:marBottom w:val="0"/>
          <w:divBdr>
            <w:top w:val="none" w:sz="0" w:space="0" w:color="auto"/>
            <w:left w:val="none" w:sz="0" w:space="0" w:color="auto"/>
            <w:bottom w:val="none" w:sz="0" w:space="0" w:color="auto"/>
            <w:right w:val="none" w:sz="0" w:space="0" w:color="auto"/>
          </w:divBdr>
        </w:div>
        <w:div w:id="778525587">
          <w:marLeft w:val="0"/>
          <w:marRight w:val="0"/>
          <w:marTop w:val="0"/>
          <w:marBottom w:val="0"/>
          <w:divBdr>
            <w:top w:val="none" w:sz="0" w:space="0" w:color="auto"/>
            <w:left w:val="none" w:sz="0" w:space="0" w:color="auto"/>
            <w:bottom w:val="none" w:sz="0" w:space="0" w:color="auto"/>
            <w:right w:val="none" w:sz="0" w:space="0" w:color="auto"/>
          </w:divBdr>
        </w:div>
        <w:div w:id="828834436">
          <w:marLeft w:val="0"/>
          <w:marRight w:val="0"/>
          <w:marTop w:val="0"/>
          <w:marBottom w:val="0"/>
          <w:divBdr>
            <w:top w:val="none" w:sz="0" w:space="0" w:color="auto"/>
            <w:left w:val="none" w:sz="0" w:space="0" w:color="auto"/>
            <w:bottom w:val="none" w:sz="0" w:space="0" w:color="auto"/>
            <w:right w:val="none" w:sz="0" w:space="0" w:color="auto"/>
          </w:divBdr>
        </w:div>
        <w:div w:id="839539340">
          <w:marLeft w:val="0"/>
          <w:marRight w:val="0"/>
          <w:marTop w:val="0"/>
          <w:marBottom w:val="0"/>
          <w:divBdr>
            <w:top w:val="none" w:sz="0" w:space="0" w:color="auto"/>
            <w:left w:val="none" w:sz="0" w:space="0" w:color="auto"/>
            <w:bottom w:val="none" w:sz="0" w:space="0" w:color="auto"/>
            <w:right w:val="none" w:sz="0" w:space="0" w:color="auto"/>
          </w:divBdr>
        </w:div>
        <w:div w:id="882131555">
          <w:marLeft w:val="0"/>
          <w:marRight w:val="0"/>
          <w:marTop w:val="0"/>
          <w:marBottom w:val="0"/>
          <w:divBdr>
            <w:top w:val="none" w:sz="0" w:space="0" w:color="auto"/>
            <w:left w:val="none" w:sz="0" w:space="0" w:color="auto"/>
            <w:bottom w:val="none" w:sz="0" w:space="0" w:color="auto"/>
            <w:right w:val="none" w:sz="0" w:space="0" w:color="auto"/>
          </w:divBdr>
        </w:div>
        <w:div w:id="883559841">
          <w:marLeft w:val="0"/>
          <w:marRight w:val="0"/>
          <w:marTop w:val="0"/>
          <w:marBottom w:val="0"/>
          <w:divBdr>
            <w:top w:val="none" w:sz="0" w:space="0" w:color="auto"/>
            <w:left w:val="none" w:sz="0" w:space="0" w:color="auto"/>
            <w:bottom w:val="none" w:sz="0" w:space="0" w:color="auto"/>
            <w:right w:val="none" w:sz="0" w:space="0" w:color="auto"/>
          </w:divBdr>
        </w:div>
        <w:div w:id="895118885">
          <w:marLeft w:val="0"/>
          <w:marRight w:val="0"/>
          <w:marTop w:val="0"/>
          <w:marBottom w:val="0"/>
          <w:divBdr>
            <w:top w:val="none" w:sz="0" w:space="0" w:color="auto"/>
            <w:left w:val="none" w:sz="0" w:space="0" w:color="auto"/>
            <w:bottom w:val="none" w:sz="0" w:space="0" w:color="auto"/>
            <w:right w:val="none" w:sz="0" w:space="0" w:color="auto"/>
          </w:divBdr>
        </w:div>
        <w:div w:id="897059431">
          <w:marLeft w:val="0"/>
          <w:marRight w:val="0"/>
          <w:marTop w:val="0"/>
          <w:marBottom w:val="0"/>
          <w:divBdr>
            <w:top w:val="none" w:sz="0" w:space="0" w:color="auto"/>
            <w:left w:val="none" w:sz="0" w:space="0" w:color="auto"/>
            <w:bottom w:val="none" w:sz="0" w:space="0" w:color="auto"/>
            <w:right w:val="none" w:sz="0" w:space="0" w:color="auto"/>
          </w:divBdr>
        </w:div>
        <w:div w:id="912592920">
          <w:marLeft w:val="0"/>
          <w:marRight w:val="0"/>
          <w:marTop w:val="0"/>
          <w:marBottom w:val="0"/>
          <w:divBdr>
            <w:top w:val="none" w:sz="0" w:space="0" w:color="auto"/>
            <w:left w:val="none" w:sz="0" w:space="0" w:color="auto"/>
            <w:bottom w:val="none" w:sz="0" w:space="0" w:color="auto"/>
            <w:right w:val="none" w:sz="0" w:space="0" w:color="auto"/>
          </w:divBdr>
        </w:div>
        <w:div w:id="916480016">
          <w:marLeft w:val="0"/>
          <w:marRight w:val="0"/>
          <w:marTop w:val="0"/>
          <w:marBottom w:val="0"/>
          <w:divBdr>
            <w:top w:val="none" w:sz="0" w:space="0" w:color="auto"/>
            <w:left w:val="none" w:sz="0" w:space="0" w:color="auto"/>
            <w:bottom w:val="none" w:sz="0" w:space="0" w:color="auto"/>
            <w:right w:val="none" w:sz="0" w:space="0" w:color="auto"/>
          </w:divBdr>
        </w:div>
        <w:div w:id="927153715">
          <w:marLeft w:val="0"/>
          <w:marRight w:val="0"/>
          <w:marTop w:val="0"/>
          <w:marBottom w:val="0"/>
          <w:divBdr>
            <w:top w:val="none" w:sz="0" w:space="0" w:color="auto"/>
            <w:left w:val="none" w:sz="0" w:space="0" w:color="auto"/>
            <w:bottom w:val="none" w:sz="0" w:space="0" w:color="auto"/>
            <w:right w:val="none" w:sz="0" w:space="0" w:color="auto"/>
          </w:divBdr>
        </w:div>
        <w:div w:id="968164057">
          <w:marLeft w:val="0"/>
          <w:marRight w:val="0"/>
          <w:marTop w:val="0"/>
          <w:marBottom w:val="0"/>
          <w:divBdr>
            <w:top w:val="none" w:sz="0" w:space="0" w:color="auto"/>
            <w:left w:val="none" w:sz="0" w:space="0" w:color="auto"/>
            <w:bottom w:val="none" w:sz="0" w:space="0" w:color="auto"/>
            <w:right w:val="none" w:sz="0" w:space="0" w:color="auto"/>
          </w:divBdr>
        </w:div>
        <w:div w:id="977952833">
          <w:marLeft w:val="0"/>
          <w:marRight w:val="0"/>
          <w:marTop w:val="0"/>
          <w:marBottom w:val="0"/>
          <w:divBdr>
            <w:top w:val="none" w:sz="0" w:space="0" w:color="auto"/>
            <w:left w:val="none" w:sz="0" w:space="0" w:color="auto"/>
            <w:bottom w:val="none" w:sz="0" w:space="0" w:color="auto"/>
            <w:right w:val="none" w:sz="0" w:space="0" w:color="auto"/>
          </w:divBdr>
        </w:div>
        <w:div w:id="995720837">
          <w:marLeft w:val="0"/>
          <w:marRight w:val="0"/>
          <w:marTop w:val="0"/>
          <w:marBottom w:val="0"/>
          <w:divBdr>
            <w:top w:val="none" w:sz="0" w:space="0" w:color="auto"/>
            <w:left w:val="none" w:sz="0" w:space="0" w:color="auto"/>
            <w:bottom w:val="none" w:sz="0" w:space="0" w:color="auto"/>
            <w:right w:val="none" w:sz="0" w:space="0" w:color="auto"/>
          </w:divBdr>
        </w:div>
        <w:div w:id="999390140">
          <w:marLeft w:val="0"/>
          <w:marRight w:val="0"/>
          <w:marTop w:val="0"/>
          <w:marBottom w:val="0"/>
          <w:divBdr>
            <w:top w:val="none" w:sz="0" w:space="0" w:color="auto"/>
            <w:left w:val="none" w:sz="0" w:space="0" w:color="auto"/>
            <w:bottom w:val="none" w:sz="0" w:space="0" w:color="auto"/>
            <w:right w:val="none" w:sz="0" w:space="0" w:color="auto"/>
          </w:divBdr>
        </w:div>
        <w:div w:id="1009678780">
          <w:marLeft w:val="0"/>
          <w:marRight w:val="0"/>
          <w:marTop w:val="0"/>
          <w:marBottom w:val="0"/>
          <w:divBdr>
            <w:top w:val="none" w:sz="0" w:space="0" w:color="auto"/>
            <w:left w:val="none" w:sz="0" w:space="0" w:color="auto"/>
            <w:bottom w:val="none" w:sz="0" w:space="0" w:color="auto"/>
            <w:right w:val="none" w:sz="0" w:space="0" w:color="auto"/>
          </w:divBdr>
        </w:div>
        <w:div w:id="1017543932">
          <w:marLeft w:val="0"/>
          <w:marRight w:val="0"/>
          <w:marTop w:val="0"/>
          <w:marBottom w:val="0"/>
          <w:divBdr>
            <w:top w:val="none" w:sz="0" w:space="0" w:color="auto"/>
            <w:left w:val="none" w:sz="0" w:space="0" w:color="auto"/>
            <w:bottom w:val="none" w:sz="0" w:space="0" w:color="auto"/>
            <w:right w:val="none" w:sz="0" w:space="0" w:color="auto"/>
          </w:divBdr>
        </w:div>
        <w:div w:id="1031344289">
          <w:marLeft w:val="0"/>
          <w:marRight w:val="0"/>
          <w:marTop w:val="0"/>
          <w:marBottom w:val="0"/>
          <w:divBdr>
            <w:top w:val="none" w:sz="0" w:space="0" w:color="auto"/>
            <w:left w:val="none" w:sz="0" w:space="0" w:color="auto"/>
            <w:bottom w:val="none" w:sz="0" w:space="0" w:color="auto"/>
            <w:right w:val="none" w:sz="0" w:space="0" w:color="auto"/>
          </w:divBdr>
        </w:div>
        <w:div w:id="1036080802">
          <w:marLeft w:val="0"/>
          <w:marRight w:val="0"/>
          <w:marTop w:val="0"/>
          <w:marBottom w:val="0"/>
          <w:divBdr>
            <w:top w:val="none" w:sz="0" w:space="0" w:color="auto"/>
            <w:left w:val="none" w:sz="0" w:space="0" w:color="auto"/>
            <w:bottom w:val="none" w:sz="0" w:space="0" w:color="auto"/>
            <w:right w:val="none" w:sz="0" w:space="0" w:color="auto"/>
          </w:divBdr>
        </w:div>
        <w:div w:id="1057510942">
          <w:marLeft w:val="0"/>
          <w:marRight w:val="0"/>
          <w:marTop w:val="0"/>
          <w:marBottom w:val="0"/>
          <w:divBdr>
            <w:top w:val="none" w:sz="0" w:space="0" w:color="auto"/>
            <w:left w:val="none" w:sz="0" w:space="0" w:color="auto"/>
            <w:bottom w:val="none" w:sz="0" w:space="0" w:color="auto"/>
            <w:right w:val="none" w:sz="0" w:space="0" w:color="auto"/>
          </w:divBdr>
        </w:div>
        <w:div w:id="1059937832">
          <w:marLeft w:val="0"/>
          <w:marRight w:val="0"/>
          <w:marTop w:val="0"/>
          <w:marBottom w:val="0"/>
          <w:divBdr>
            <w:top w:val="none" w:sz="0" w:space="0" w:color="auto"/>
            <w:left w:val="none" w:sz="0" w:space="0" w:color="auto"/>
            <w:bottom w:val="none" w:sz="0" w:space="0" w:color="auto"/>
            <w:right w:val="none" w:sz="0" w:space="0" w:color="auto"/>
          </w:divBdr>
        </w:div>
        <w:div w:id="1075199300">
          <w:marLeft w:val="0"/>
          <w:marRight w:val="0"/>
          <w:marTop w:val="0"/>
          <w:marBottom w:val="0"/>
          <w:divBdr>
            <w:top w:val="none" w:sz="0" w:space="0" w:color="auto"/>
            <w:left w:val="none" w:sz="0" w:space="0" w:color="auto"/>
            <w:bottom w:val="none" w:sz="0" w:space="0" w:color="auto"/>
            <w:right w:val="none" w:sz="0" w:space="0" w:color="auto"/>
          </w:divBdr>
        </w:div>
        <w:div w:id="1076053937">
          <w:marLeft w:val="0"/>
          <w:marRight w:val="0"/>
          <w:marTop w:val="0"/>
          <w:marBottom w:val="0"/>
          <w:divBdr>
            <w:top w:val="none" w:sz="0" w:space="0" w:color="auto"/>
            <w:left w:val="none" w:sz="0" w:space="0" w:color="auto"/>
            <w:bottom w:val="none" w:sz="0" w:space="0" w:color="auto"/>
            <w:right w:val="none" w:sz="0" w:space="0" w:color="auto"/>
          </w:divBdr>
        </w:div>
        <w:div w:id="1088774278">
          <w:marLeft w:val="0"/>
          <w:marRight w:val="0"/>
          <w:marTop w:val="0"/>
          <w:marBottom w:val="0"/>
          <w:divBdr>
            <w:top w:val="none" w:sz="0" w:space="0" w:color="auto"/>
            <w:left w:val="none" w:sz="0" w:space="0" w:color="auto"/>
            <w:bottom w:val="none" w:sz="0" w:space="0" w:color="auto"/>
            <w:right w:val="none" w:sz="0" w:space="0" w:color="auto"/>
          </w:divBdr>
        </w:div>
        <w:div w:id="1098990092">
          <w:marLeft w:val="0"/>
          <w:marRight w:val="0"/>
          <w:marTop w:val="0"/>
          <w:marBottom w:val="0"/>
          <w:divBdr>
            <w:top w:val="none" w:sz="0" w:space="0" w:color="auto"/>
            <w:left w:val="none" w:sz="0" w:space="0" w:color="auto"/>
            <w:bottom w:val="none" w:sz="0" w:space="0" w:color="auto"/>
            <w:right w:val="none" w:sz="0" w:space="0" w:color="auto"/>
          </w:divBdr>
        </w:div>
        <w:div w:id="1110783066">
          <w:marLeft w:val="0"/>
          <w:marRight w:val="0"/>
          <w:marTop w:val="0"/>
          <w:marBottom w:val="0"/>
          <w:divBdr>
            <w:top w:val="none" w:sz="0" w:space="0" w:color="auto"/>
            <w:left w:val="none" w:sz="0" w:space="0" w:color="auto"/>
            <w:bottom w:val="none" w:sz="0" w:space="0" w:color="auto"/>
            <w:right w:val="none" w:sz="0" w:space="0" w:color="auto"/>
          </w:divBdr>
        </w:div>
        <w:div w:id="1167137339">
          <w:marLeft w:val="0"/>
          <w:marRight w:val="0"/>
          <w:marTop w:val="0"/>
          <w:marBottom w:val="0"/>
          <w:divBdr>
            <w:top w:val="none" w:sz="0" w:space="0" w:color="auto"/>
            <w:left w:val="none" w:sz="0" w:space="0" w:color="auto"/>
            <w:bottom w:val="none" w:sz="0" w:space="0" w:color="auto"/>
            <w:right w:val="none" w:sz="0" w:space="0" w:color="auto"/>
          </w:divBdr>
        </w:div>
        <w:div w:id="1179849906">
          <w:marLeft w:val="0"/>
          <w:marRight w:val="0"/>
          <w:marTop w:val="0"/>
          <w:marBottom w:val="0"/>
          <w:divBdr>
            <w:top w:val="none" w:sz="0" w:space="0" w:color="auto"/>
            <w:left w:val="none" w:sz="0" w:space="0" w:color="auto"/>
            <w:bottom w:val="none" w:sz="0" w:space="0" w:color="auto"/>
            <w:right w:val="none" w:sz="0" w:space="0" w:color="auto"/>
          </w:divBdr>
        </w:div>
        <w:div w:id="1188980217">
          <w:marLeft w:val="0"/>
          <w:marRight w:val="0"/>
          <w:marTop w:val="0"/>
          <w:marBottom w:val="0"/>
          <w:divBdr>
            <w:top w:val="none" w:sz="0" w:space="0" w:color="auto"/>
            <w:left w:val="none" w:sz="0" w:space="0" w:color="auto"/>
            <w:bottom w:val="none" w:sz="0" w:space="0" w:color="auto"/>
            <w:right w:val="none" w:sz="0" w:space="0" w:color="auto"/>
          </w:divBdr>
        </w:div>
        <w:div w:id="1189416353">
          <w:marLeft w:val="0"/>
          <w:marRight w:val="0"/>
          <w:marTop w:val="0"/>
          <w:marBottom w:val="0"/>
          <w:divBdr>
            <w:top w:val="none" w:sz="0" w:space="0" w:color="auto"/>
            <w:left w:val="none" w:sz="0" w:space="0" w:color="auto"/>
            <w:bottom w:val="none" w:sz="0" w:space="0" w:color="auto"/>
            <w:right w:val="none" w:sz="0" w:space="0" w:color="auto"/>
          </w:divBdr>
        </w:div>
        <w:div w:id="1189566076">
          <w:marLeft w:val="0"/>
          <w:marRight w:val="0"/>
          <w:marTop w:val="0"/>
          <w:marBottom w:val="0"/>
          <w:divBdr>
            <w:top w:val="none" w:sz="0" w:space="0" w:color="auto"/>
            <w:left w:val="none" w:sz="0" w:space="0" w:color="auto"/>
            <w:bottom w:val="none" w:sz="0" w:space="0" w:color="auto"/>
            <w:right w:val="none" w:sz="0" w:space="0" w:color="auto"/>
          </w:divBdr>
        </w:div>
        <w:div w:id="1195928320">
          <w:marLeft w:val="0"/>
          <w:marRight w:val="0"/>
          <w:marTop w:val="0"/>
          <w:marBottom w:val="0"/>
          <w:divBdr>
            <w:top w:val="none" w:sz="0" w:space="0" w:color="auto"/>
            <w:left w:val="none" w:sz="0" w:space="0" w:color="auto"/>
            <w:bottom w:val="none" w:sz="0" w:space="0" w:color="auto"/>
            <w:right w:val="none" w:sz="0" w:space="0" w:color="auto"/>
          </w:divBdr>
        </w:div>
        <w:div w:id="1198159028">
          <w:marLeft w:val="0"/>
          <w:marRight w:val="0"/>
          <w:marTop w:val="0"/>
          <w:marBottom w:val="0"/>
          <w:divBdr>
            <w:top w:val="none" w:sz="0" w:space="0" w:color="auto"/>
            <w:left w:val="none" w:sz="0" w:space="0" w:color="auto"/>
            <w:bottom w:val="none" w:sz="0" w:space="0" w:color="auto"/>
            <w:right w:val="none" w:sz="0" w:space="0" w:color="auto"/>
          </w:divBdr>
        </w:div>
        <w:div w:id="1216698094">
          <w:marLeft w:val="0"/>
          <w:marRight w:val="0"/>
          <w:marTop w:val="0"/>
          <w:marBottom w:val="0"/>
          <w:divBdr>
            <w:top w:val="none" w:sz="0" w:space="0" w:color="auto"/>
            <w:left w:val="none" w:sz="0" w:space="0" w:color="auto"/>
            <w:bottom w:val="none" w:sz="0" w:space="0" w:color="auto"/>
            <w:right w:val="none" w:sz="0" w:space="0" w:color="auto"/>
          </w:divBdr>
        </w:div>
        <w:div w:id="1220246742">
          <w:marLeft w:val="0"/>
          <w:marRight w:val="0"/>
          <w:marTop w:val="0"/>
          <w:marBottom w:val="0"/>
          <w:divBdr>
            <w:top w:val="none" w:sz="0" w:space="0" w:color="auto"/>
            <w:left w:val="none" w:sz="0" w:space="0" w:color="auto"/>
            <w:bottom w:val="none" w:sz="0" w:space="0" w:color="auto"/>
            <w:right w:val="none" w:sz="0" w:space="0" w:color="auto"/>
          </w:divBdr>
        </w:div>
        <w:div w:id="1225415489">
          <w:marLeft w:val="0"/>
          <w:marRight w:val="0"/>
          <w:marTop w:val="0"/>
          <w:marBottom w:val="0"/>
          <w:divBdr>
            <w:top w:val="none" w:sz="0" w:space="0" w:color="auto"/>
            <w:left w:val="none" w:sz="0" w:space="0" w:color="auto"/>
            <w:bottom w:val="none" w:sz="0" w:space="0" w:color="auto"/>
            <w:right w:val="none" w:sz="0" w:space="0" w:color="auto"/>
          </w:divBdr>
        </w:div>
        <w:div w:id="1242714886">
          <w:marLeft w:val="0"/>
          <w:marRight w:val="0"/>
          <w:marTop w:val="0"/>
          <w:marBottom w:val="0"/>
          <w:divBdr>
            <w:top w:val="none" w:sz="0" w:space="0" w:color="auto"/>
            <w:left w:val="none" w:sz="0" w:space="0" w:color="auto"/>
            <w:bottom w:val="none" w:sz="0" w:space="0" w:color="auto"/>
            <w:right w:val="none" w:sz="0" w:space="0" w:color="auto"/>
          </w:divBdr>
        </w:div>
        <w:div w:id="1249119160">
          <w:marLeft w:val="0"/>
          <w:marRight w:val="0"/>
          <w:marTop w:val="0"/>
          <w:marBottom w:val="0"/>
          <w:divBdr>
            <w:top w:val="none" w:sz="0" w:space="0" w:color="auto"/>
            <w:left w:val="none" w:sz="0" w:space="0" w:color="auto"/>
            <w:bottom w:val="none" w:sz="0" w:space="0" w:color="auto"/>
            <w:right w:val="none" w:sz="0" w:space="0" w:color="auto"/>
          </w:divBdr>
        </w:div>
        <w:div w:id="1261721191">
          <w:marLeft w:val="0"/>
          <w:marRight w:val="0"/>
          <w:marTop w:val="0"/>
          <w:marBottom w:val="0"/>
          <w:divBdr>
            <w:top w:val="none" w:sz="0" w:space="0" w:color="auto"/>
            <w:left w:val="none" w:sz="0" w:space="0" w:color="auto"/>
            <w:bottom w:val="none" w:sz="0" w:space="0" w:color="auto"/>
            <w:right w:val="none" w:sz="0" w:space="0" w:color="auto"/>
          </w:divBdr>
        </w:div>
        <w:div w:id="1269194440">
          <w:marLeft w:val="0"/>
          <w:marRight w:val="0"/>
          <w:marTop w:val="0"/>
          <w:marBottom w:val="0"/>
          <w:divBdr>
            <w:top w:val="none" w:sz="0" w:space="0" w:color="auto"/>
            <w:left w:val="none" w:sz="0" w:space="0" w:color="auto"/>
            <w:bottom w:val="none" w:sz="0" w:space="0" w:color="auto"/>
            <w:right w:val="none" w:sz="0" w:space="0" w:color="auto"/>
          </w:divBdr>
        </w:div>
        <w:div w:id="1288656286">
          <w:marLeft w:val="0"/>
          <w:marRight w:val="0"/>
          <w:marTop w:val="0"/>
          <w:marBottom w:val="0"/>
          <w:divBdr>
            <w:top w:val="none" w:sz="0" w:space="0" w:color="auto"/>
            <w:left w:val="none" w:sz="0" w:space="0" w:color="auto"/>
            <w:bottom w:val="none" w:sz="0" w:space="0" w:color="auto"/>
            <w:right w:val="none" w:sz="0" w:space="0" w:color="auto"/>
          </w:divBdr>
        </w:div>
        <w:div w:id="1293828272">
          <w:marLeft w:val="0"/>
          <w:marRight w:val="0"/>
          <w:marTop w:val="0"/>
          <w:marBottom w:val="0"/>
          <w:divBdr>
            <w:top w:val="none" w:sz="0" w:space="0" w:color="auto"/>
            <w:left w:val="none" w:sz="0" w:space="0" w:color="auto"/>
            <w:bottom w:val="none" w:sz="0" w:space="0" w:color="auto"/>
            <w:right w:val="none" w:sz="0" w:space="0" w:color="auto"/>
          </w:divBdr>
        </w:div>
        <w:div w:id="1299067599">
          <w:marLeft w:val="0"/>
          <w:marRight w:val="0"/>
          <w:marTop w:val="0"/>
          <w:marBottom w:val="0"/>
          <w:divBdr>
            <w:top w:val="none" w:sz="0" w:space="0" w:color="auto"/>
            <w:left w:val="none" w:sz="0" w:space="0" w:color="auto"/>
            <w:bottom w:val="none" w:sz="0" w:space="0" w:color="auto"/>
            <w:right w:val="none" w:sz="0" w:space="0" w:color="auto"/>
          </w:divBdr>
        </w:div>
        <w:div w:id="1322656717">
          <w:marLeft w:val="0"/>
          <w:marRight w:val="0"/>
          <w:marTop w:val="0"/>
          <w:marBottom w:val="0"/>
          <w:divBdr>
            <w:top w:val="none" w:sz="0" w:space="0" w:color="auto"/>
            <w:left w:val="none" w:sz="0" w:space="0" w:color="auto"/>
            <w:bottom w:val="none" w:sz="0" w:space="0" w:color="auto"/>
            <w:right w:val="none" w:sz="0" w:space="0" w:color="auto"/>
          </w:divBdr>
        </w:div>
        <w:div w:id="1343167742">
          <w:marLeft w:val="0"/>
          <w:marRight w:val="0"/>
          <w:marTop w:val="0"/>
          <w:marBottom w:val="0"/>
          <w:divBdr>
            <w:top w:val="none" w:sz="0" w:space="0" w:color="auto"/>
            <w:left w:val="none" w:sz="0" w:space="0" w:color="auto"/>
            <w:bottom w:val="none" w:sz="0" w:space="0" w:color="auto"/>
            <w:right w:val="none" w:sz="0" w:space="0" w:color="auto"/>
          </w:divBdr>
        </w:div>
        <w:div w:id="1365596488">
          <w:marLeft w:val="0"/>
          <w:marRight w:val="0"/>
          <w:marTop w:val="0"/>
          <w:marBottom w:val="0"/>
          <w:divBdr>
            <w:top w:val="none" w:sz="0" w:space="0" w:color="auto"/>
            <w:left w:val="none" w:sz="0" w:space="0" w:color="auto"/>
            <w:bottom w:val="none" w:sz="0" w:space="0" w:color="auto"/>
            <w:right w:val="none" w:sz="0" w:space="0" w:color="auto"/>
          </w:divBdr>
        </w:div>
        <w:div w:id="1377389176">
          <w:marLeft w:val="0"/>
          <w:marRight w:val="0"/>
          <w:marTop w:val="0"/>
          <w:marBottom w:val="0"/>
          <w:divBdr>
            <w:top w:val="none" w:sz="0" w:space="0" w:color="auto"/>
            <w:left w:val="none" w:sz="0" w:space="0" w:color="auto"/>
            <w:bottom w:val="none" w:sz="0" w:space="0" w:color="auto"/>
            <w:right w:val="none" w:sz="0" w:space="0" w:color="auto"/>
          </w:divBdr>
        </w:div>
        <w:div w:id="1397506018">
          <w:marLeft w:val="0"/>
          <w:marRight w:val="0"/>
          <w:marTop w:val="0"/>
          <w:marBottom w:val="0"/>
          <w:divBdr>
            <w:top w:val="none" w:sz="0" w:space="0" w:color="auto"/>
            <w:left w:val="none" w:sz="0" w:space="0" w:color="auto"/>
            <w:bottom w:val="none" w:sz="0" w:space="0" w:color="auto"/>
            <w:right w:val="none" w:sz="0" w:space="0" w:color="auto"/>
          </w:divBdr>
        </w:div>
        <w:div w:id="1397976382">
          <w:marLeft w:val="0"/>
          <w:marRight w:val="0"/>
          <w:marTop w:val="0"/>
          <w:marBottom w:val="0"/>
          <w:divBdr>
            <w:top w:val="none" w:sz="0" w:space="0" w:color="auto"/>
            <w:left w:val="none" w:sz="0" w:space="0" w:color="auto"/>
            <w:bottom w:val="none" w:sz="0" w:space="0" w:color="auto"/>
            <w:right w:val="none" w:sz="0" w:space="0" w:color="auto"/>
          </w:divBdr>
        </w:div>
        <w:div w:id="1415979932">
          <w:marLeft w:val="0"/>
          <w:marRight w:val="0"/>
          <w:marTop w:val="0"/>
          <w:marBottom w:val="0"/>
          <w:divBdr>
            <w:top w:val="none" w:sz="0" w:space="0" w:color="auto"/>
            <w:left w:val="none" w:sz="0" w:space="0" w:color="auto"/>
            <w:bottom w:val="none" w:sz="0" w:space="0" w:color="auto"/>
            <w:right w:val="none" w:sz="0" w:space="0" w:color="auto"/>
          </w:divBdr>
        </w:div>
        <w:div w:id="1420637648">
          <w:marLeft w:val="0"/>
          <w:marRight w:val="0"/>
          <w:marTop w:val="0"/>
          <w:marBottom w:val="0"/>
          <w:divBdr>
            <w:top w:val="none" w:sz="0" w:space="0" w:color="auto"/>
            <w:left w:val="none" w:sz="0" w:space="0" w:color="auto"/>
            <w:bottom w:val="none" w:sz="0" w:space="0" w:color="auto"/>
            <w:right w:val="none" w:sz="0" w:space="0" w:color="auto"/>
          </w:divBdr>
        </w:div>
        <w:div w:id="1420709812">
          <w:marLeft w:val="0"/>
          <w:marRight w:val="0"/>
          <w:marTop w:val="0"/>
          <w:marBottom w:val="0"/>
          <w:divBdr>
            <w:top w:val="none" w:sz="0" w:space="0" w:color="auto"/>
            <w:left w:val="none" w:sz="0" w:space="0" w:color="auto"/>
            <w:bottom w:val="none" w:sz="0" w:space="0" w:color="auto"/>
            <w:right w:val="none" w:sz="0" w:space="0" w:color="auto"/>
          </w:divBdr>
        </w:div>
        <w:div w:id="1432243628">
          <w:marLeft w:val="0"/>
          <w:marRight w:val="0"/>
          <w:marTop w:val="0"/>
          <w:marBottom w:val="0"/>
          <w:divBdr>
            <w:top w:val="none" w:sz="0" w:space="0" w:color="auto"/>
            <w:left w:val="none" w:sz="0" w:space="0" w:color="auto"/>
            <w:bottom w:val="none" w:sz="0" w:space="0" w:color="auto"/>
            <w:right w:val="none" w:sz="0" w:space="0" w:color="auto"/>
          </w:divBdr>
        </w:div>
        <w:div w:id="1450474179">
          <w:marLeft w:val="0"/>
          <w:marRight w:val="0"/>
          <w:marTop w:val="0"/>
          <w:marBottom w:val="0"/>
          <w:divBdr>
            <w:top w:val="none" w:sz="0" w:space="0" w:color="auto"/>
            <w:left w:val="none" w:sz="0" w:space="0" w:color="auto"/>
            <w:bottom w:val="none" w:sz="0" w:space="0" w:color="auto"/>
            <w:right w:val="none" w:sz="0" w:space="0" w:color="auto"/>
          </w:divBdr>
        </w:div>
        <w:div w:id="1475293780">
          <w:marLeft w:val="0"/>
          <w:marRight w:val="0"/>
          <w:marTop w:val="0"/>
          <w:marBottom w:val="0"/>
          <w:divBdr>
            <w:top w:val="none" w:sz="0" w:space="0" w:color="auto"/>
            <w:left w:val="none" w:sz="0" w:space="0" w:color="auto"/>
            <w:bottom w:val="none" w:sz="0" w:space="0" w:color="auto"/>
            <w:right w:val="none" w:sz="0" w:space="0" w:color="auto"/>
          </w:divBdr>
        </w:div>
        <w:div w:id="1487429512">
          <w:marLeft w:val="0"/>
          <w:marRight w:val="0"/>
          <w:marTop w:val="0"/>
          <w:marBottom w:val="0"/>
          <w:divBdr>
            <w:top w:val="none" w:sz="0" w:space="0" w:color="auto"/>
            <w:left w:val="none" w:sz="0" w:space="0" w:color="auto"/>
            <w:bottom w:val="none" w:sz="0" w:space="0" w:color="auto"/>
            <w:right w:val="none" w:sz="0" w:space="0" w:color="auto"/>
          </w:divBdr>
        </w:div>
        <w:div w:id="1490902737">
          <w:marLeft w:val="0"/>
          <w:marRight w:val="0"/>
          <w:marTop w:val="0"/>
          <w:marBottom w:val="0"/>
          <w:divBdr>
            <w:top w:val="none" w:sz="0" w:space="0" w:color="auto"/>
            <w:left w:val="none" w:sz="0" w:space="0" w:color="auto"/>
            <w:bottom w:val="none" w:sz="0" w:space="0" w:color="auto"/>
            <w:right w:val="none" w:sz="0" w:space="0" w:color="auto"/>
          </w:divBdr>
        </w:div>
        <w:div w:id="1524855445">
          <w:marLeft w:val="0"/>
          <w:marRight w:val="0"/>
          <w:marTop w:val="0"/>
          <w:marBottom w:val="0"/>
          <w:divBdr>
            <w:top w:val="none" w:sz="0" w:space="0" w:color="auto"/>
            <w:left w:val="none" w:sz="0" w:space="0" w:color="auto"/>
            <w:bottom w:val="none" w:sz="0" w:space="0" w:color="auto"/>
            <w:right w:val="none" w:sz="0" w:space="0" w:color="auto"/>
          </w:divBdr>
        </w:div>
        <w:div w:id="1553544569">
          <w:marLeft w:val="0"/>
          <w:marRight w:val="0"/>
          <w:marTop w:val="0"/>
          <w:marBottom w:val="0"/>
          <w:divBdr>
            <w:top w:val="none" w:sz="0" w:space="0" w:color="auto"/>
            <w:left w:val="none" w:sz="0" w:space="0" w:color="auto"/>
            <w:bottom w:val="none" w:sz="0" w:space="0" w:color="auto"/>
            <w:right w:val="none" w:sz="0" w:space="0" w:color="auto"/>
          </w:divBdr>
        </w:div>
        <w:div w:id="1560048486">
          <w:marLeft w:val="0"/>
          <w:marRight w:val="0"/>
          <w:marTop w:val="0"/>
          <w:marBottom w:val="0"/>
          <w:divBdr>
            <w:top w:val="none" w:sz="0" w:space="0" w:color="auto"/>
            <w:left w:val="none" w:sz="0" w:space="0" w:color="auto"/>
            <w:bottom w:val="none" w:sz="0" w:space="0" w:color="auto"/>
            <w:right w:val="none" w:sz="0" w:space="0" w:color="auto"/>
          </w:divBdr>
        </w:div>
        <w:div w:id="1568607005">
          <w:marLeft w:val="0"/>
          <w:marRight w:val="0"/>
          <w:marTop w:val="0"/>
          <w:marBottom w:val="0"/>
          <w:divBdr>
            <w:top w:val="none" w:sz="0" w:space="0" w:color="auto"/>
            <w:left w:val="none" w:sz="0" w:space="0" w:color="auto"/>
            <w:bottom w:val="none" w:sz="0" w:space="0" w:color="auto"/>
            <w:right w:val="none" w:sz="0" w:space="0" w:color="auto"/>
          </w:divBdr>
        </w:div>
        <w:div w:id="1573274001">
          <w:marLeft w:val="0"/>
          <w:marRight w:val="0"/>
          <w:marTop w:val="0"/>
          <w:marBottom w:val="0"/>
          <w:divBdr>
            <w:top w:val="none" w:sz="0" w:space="0" w:color="auto"/>
            <w:left w:val="none" w:sz="0" w:space="0" w:color="auto"/>
            <w:bottom w:val="none" w:sz="0" w:space="0" w:color="auto"/>
            <w:right w:val="none" w:sz="0" w:space="0" w:color="auto"/>
          </w:divBdr>
        </w:div>
        <w:div w:id="1584030738">
          <w:marLeft w:val="0"/>
          <w:marRight w:val="0"/>
          <w:marTop w:val="0"/>
          <w:marBottom w:val="0"/>
          <w:divBdr>
            <w:top w:val="none" w:sz="0" w:space="0" w:color="auto"/>
            <w:left w:val="none" w:sz="0" w:space="0" w:color="auto"/>
            <w:bottom w:val="none" w:sz="0" w:space="0" w:color="auto"/>
            <w:right w:val="none" w:sz="0" w:space="0" w:color="auto"/>
          </w:divBdr>
        </w:div>
        <w:div w:id="1588609044">
          <w:marLeft w:val="0"/>
          <w:marRight w:val="0"/>
          <w:marTop w:val="0"/>
          <w:marBottom w:val="0"/>
          <w:divBdr>
            <w:top w:val="none" w:sz="0" w:space="0" w:color="auto"/>
            <w:left w:val="none" w:sz="0" w:space="0" w:color="auto"/>
            <w:bottom w:val="none" w:sz="0" w:space="0" w:color="auto"/>
            <w:right w:val="none" w:sz="0" w:space="0" w:color="auto"/>
          </w:divBdr>
        </w:div>
        <w:div w:id="1594123415">
          <w:marLeft w:val="0"/>
          <w:marRight w:val="0"/>
          <w:marTop w:val="0"/>
          <w:marBottom w:val="0"/>
          <w:divBdr>
            <w:top w:val="none" w:sz="0" w:space="0" w:color="auto"/>
            <w:left w:val="none" w:sz="0" w:space="0" w:color="auto"/>
            <w:bottom w:val="none" w:sz="0" w:space="0" w:color="auto"/>
            <w:right w:val="none" w:sz="0" w:space="0" w:color="auto"/>
          </w:divBdr>
        </w:div>
        <w:div w:id="1597404856">
          <w:marLeft w:val="0"/>
          <w:marRight w:val="0"/>
          <w:marTop w:val="0"/>
          <w:marBottom w:val="0"/>
          <w:divBdr>
            <w:top w:val="none" w:sz="0" w:space="0" w:color="auto"/>
            <w:left w:val="none" w:sz="0" w:space="0" w:color="auto"/>
            <w:bottom w:val="none" w:sz="0" w:space="0" w:color="auto"/>
            <w:right w:val="none" w:sz="0" w:space="0" w:color="auto"/>
          </w:divBdr>
        </w:div>
        <w:div w:id="1663268413">
          <w:marLeft w:val="0"/>
          <w:marRight w:val="0"/>
          <w:marTop w:val="0"/>
          <w:marBottom w:val="0"/>
          <w:divBdr>
            <w:top w:val="none" w:sz="0" w:space="0" w:color="auto"/>
            <w:left w:val="none" w:sz="0" w:space="0" w:color="auto"/>
            <w:bottom w:val="none" w:sz="0" w:space="0" w:color="auto"/>
            <w:right w:val="none" w:sz="0" w:space="0" w:color="auto"/>
          </w:divBdr>
        </w:div>
        <w:div w:id="1676491341">
          <w:marLeft w:val="0"/>
          <w:marRight w:val="0"/>
          <w:marTop w:val="0"/>
          <w:marBottom w:val="0"/>
          <w:divBdr>
            <w:top w:val="none" w:sz="0" w:space="0" w:color="auto"/>
            <w:left w:val="none" w:sz="0" w:space="0" w:color="auto"/>
            <w:bottom w:val="none" w:sz="0" w:space="0" w:color="auto"/>
            <w:right w:val="none" w:sz="0" w:space="0" w:color="auto"/>
          </w:divBdr>
        </w:div>
        <w:div w:id="1731801599">
          <w:marLeft w:val="0"/>
          <w:marRight w:val="0"/>
          <w:marTop w:val="0"/>
          <w:marBottom w:val="0"/>
          <w:divBdr>
            <w:top w:val="none" w:sz="0" w:space="0" w:color="auto"/>
            <w:left w:val="none" w:sz="0" w:space="0" w:color="auto"/>
            <w:bottom w:val="none" w:sz="0" w:space="0" w:color="auto"/>
            <w:right w:val="none" w:sz="0" w:space="0" w:color="auto"/>
          </w:divBdr>
        </w:div>
        <w:div w:id="1745906110">
          <w:marLeft w:val="0"/>
          <w:marRight w:val="0"/>
          <w:marTop w:val="0"/>
          <w:marBottom w:val="0"/>
          <w:divBdr>
            <w:top w:val="none" w:sz="0" w:space="0" w:color="auto"/>
            <w:left w:val="none" w:sz="0" w:space="0" w:color="auto"/>
            <w:bottom w:val="none" w:sz="0" w:space="0" w:color="auto"/>
            <w:right w:val="none" w:sz="0" w:space="0" w:color="auto"/>
          </w:divBdr>
        </w:div>
        <w:div w:id="1771658128">
          <w:marLeft w:val="0"/>
          <w:marRight w:val="0"/>
          <w:marTop w:val="0"/>
          <w:marBottom w:val="0"/>
          <w:divBdr>
            <w:top w:val="none" w:sz="0" w:space="0" w:color="auto"/>
            <w:left w:val="none" w:sz="0" w:space="0" w:color="auto"/>
            <w:bottom w:val="none" w:sz="0" w:space="0" w:color="auto"/>
            <w:right w:val="none" w:sz="0" w:space="0" w:color="auto"/>
          </w:divBdr>
        </w:div>
        <w:div w:id="1776241714">
          <w:marLeft w:val="0"/>
          <w:marRight w:val="0"/>
          <w:marTop w:val="0"/>
          <w:marBottom w:val="0"/>
          <w:divBdr>
            <w:top w:val="none" w:sz="0" w:space="0" w:color="auto"/>
            <w:left w:val="none" w:sz="0" w:space="0" w:color="auto"/>
            <w:bottom w:val="none" w:sz="0" w:space="0" w:color="auto"/>
            <w:right w:val="none" w:sz="0" w:space="0" w:color="auto"/>
          </w:divBdr>
        </w:div>
        <w:div w:id="1799180006">
          <w:marLeft w:val="0"/>
          <w:marRight w:val="0"/>
          <w:marTop w:val="0"/>
          <w:marBottom w:val="0"/>
          <w:divBdr>
            <w:top w:val="none" w:sz="0" w:space="0" w:color="auto"/>
            <w:left w:val="none" w:sz="0" w:space="0" w:color="auto"/>
            <w:bottom w:val="none" w:sz="0" w:space="0" w:color="auto"/>
            <w:right w:val="none" w:sz="0" w:space="0" w:color="auto"/>
          </w:divBdr>
        </w:div>
        <w:div w:id="1811168586">
          <w:marLeft w:val="0"/>
          <w:marRight w:val="0"/>
          <w:marTop w:val="0"/>
          <w:marBottom w:val="0"/>
          <w:divBdr>
            <w:top w:val="none" w:sz="0" w:space="0" w:color="auto"/>
            <w:left w:val="none" w:sz="0" w:space="0" w:color="auto"/>
            <w:bottom w:val="none" w:sz="0" w:space="0" w:color="auto"/>
            <w:right w:val="none" w:sz="0" w:space="0" w:color="auto"/>
          </w:divBdr>
        </w:div>
        <w:div w:id="1818842004">
          <w:marLeft w:val="0"/>
          <w:marRight w:val="0"/>
          <w:marTop w:val="0"/>
          <w:marBottom w:val="0"/>
          <w:divBdr>
            <w:top w:val="none" w:sz="0" w:space="0" w:color="auto"/>
            <w:left w:val="none" w:sz="0" w:space="0" w:color="auto"/>
            <w:bottom w:val="none" w:sz="0" w:space="0" w:color="auto"/>
            <w:right w:val="none" w:sz="0" w:space="0" w:color="auto"/>
          </w:divBdr>
        </w:div>
        <w:div w:id="1844782313">
          <w:marLeft w:val="0"/>
          <w:marRight w:val="0"/>
          <w:marTop w:val="0"/>
          <w:marBottom w:val="0"/>
          <w:divBdr>
            <w:top w:val="none" w:sz="0" w:space="0" w:color="auto"/>
            <w:left w:val="none" w:sz="0" w:space="0" w:color="auto"/>
            <w:bottom w:val="none" w:sz="0" w:space="0" w:color="auto"/>
            <w:right w:val="none" w:sz="0" w:space="0" w:color="auto"/>
          </w:divBdr>
        </w:div>
        <w:div w:id="1848861060">
          <w:marLeft w:val="0"/>
          <w:marRight w:val="0"/>
          <w:marTop w:val="0"/>
          <w:marBottom w:val="0"/>
          <w:divBdr>
            <w:top w:val="none" w:sz="0" w:space="0" w:color="auto"/>
            <w:left w:val="none" w:sz="0" w:space="0" w:color="auto"/>
            <w:bottom w:val="none" w:sz="0" w:space="0" w:color="auto"/>
            <w:right w:val="none" w:sz="0" w:space="0" w:color="auto"/>
          </w:divBdr>
        </w:div>
        <w:div w:id="1863593272">
          <w:marLeft w:val="0"/>
          <w:marRight w:val="0"/>
          <w:marTop w:val="0"/>
          <w:marBottom w:val="0"/>
          <w:divBdr>
            <w:top w:val="none" w:sz="0" w:space="0" w:color="auto"/>
            <w:left w:val="none" w:sz="0" w:space="0" w:color="auto"/>
            <w:bottom w:val="none" w:sz="0" w:space="0" w:color="auto"/>
            <w:right w:val="none" w:sz="0" w:space="0" w:color="auto"/>
          </w:divBdr>
        </w:div>
        <w:div w:id="1868790063">
          <w:marLeft w:val="0"/>
          <w:marRight w:val="0"/>
          <w:marTop w:val="0"/>
          <w:marBottom w:val="0"/>
          <w:divBdr>
            <w:top w:val="none" w:sz="0" w:space="0" w:color="auto"/>
            <w:left w:val="none" w:sz="0" w:space="0" w:color="auto"/>
            <w:bottom w:val="none" w:sz="0" w:space="0" w:color="auto"/>
            <w:right w:val="none" w:sz="0" w:space="0" w:color="auto"/>
          </w:divBdr>
        </w:div>
        <w:div w:id="1883856928">
          <w:marLeft w:val="0"/>
          <w:marRight w:val="0"/>
          <w:marTop w:val="0"/>
          <w:marBottom w:val="0"/>
          <w:divBdr>
            <w:top w:val="none" w:sz="0" w:space="0" w:color="auto"/>
            <w:left w:val="none" w:sz="0" w:space="0" w:color="auto"/>
            <w:bottom w:val="none" w:sz="0" w:space="0" w:color="auto"/>
            <w:right w:val="none" w:sz="0" w:space="0" w:color="auto"/>
          </w:divBdr>
        </w:div>
        <w:div w:id="1892963670">
          <w:marLeft w:val="0"/>
          <w:marRight w:val="0"/>
          <w:marTop w:val="0"/>
          <w:marBottom w:val="0"/>
          <w:divBdr>
            <w:top w:val="none" w:sz="0" w:space="0" w:color="auto"/>
            <w:left w:val="none" w:sz="0" w:space="0" w:color="auto"/>
            <w:bottom w:val="none" w:sz="0" w:space="0" w:color="auto"/>
            <w:right w:val="none" w:sz="0" w:space="0" w:color="auto"/>
          </w:divBdr>
        </w:div>
        <w:div w:id="1901163258">
          <w:marLeft w:val="0"/>
          <w:marRight w:val="0"/>
          <w:marTop w:val="0"/>
          <w:marBottom w:val="0"/>
          <w:divBdr>
            <w:top w:val="none" w:sz="0" w:space="0" w:color="auto"/>
            <w:left w:val="none" w:sz="0" w:space="0" w:color="auto"/>
            <w:bottom w:val="none" w:sz="0" w:space="0" w:color="auto"/>
            <w:right w:val="none" w:sz="0" w:space="0" w:color="auto"/>
          </w:divBdr>
        </w:div>
        <w:div w:id="1912033424">
          <w:marLeft w:val="0"/>
          <w:marRight w:val="0"/>
          <w:marTop w:val="0"/>
          <w:marBottom w:val="0"/>
          <w:divBdr>
            <w:top w:val="none" w:sz="0" w:space="0" w:color="auto"/>
            <w:left w:val="none" w:sz="0" w:space="0" w:color="auto"/>
            <w:bottom w:val="none" w:sz="0" w:space="0" w:color="auto"/>
            <w:right w:val="none" w:sz="0" w:space="0" w:color="auto"/>
          </w:divBdr>
        </w:div>
        <w:div w:id="1916544568">
          <w:marLeft w:val="0"/>
          <w:marRight w:val="0"/>
          <w:marTop w:val="0"/>
          <w:marBottom w:val="0"/>
          <w:divBdr>
            <w:top w:val="none" w:sz="0" w:space="0" w:color="auto"/>
            <w:left w:val="none" w:sz="0" w:space="0" w:color="auto"/>
            <w:bottom w:val="none" w:sz="0" w:space="0" w:color="auto"/>
            <w:right w:val="none" w:sz="0" w:space="0" w:color="auto"/>
          </w:divBdr>
        </w:div>
        <w:div w:id="1936011787">
          <w:marLeft w:val="0"/>
          <w:marRight w:val="0"/>
          <w:marTop w:val="0"/>
          <w:marBottom w:val="0"/>
          <w:divBdr>
            <w:top w:val="none" w:sz="0" w:space="0" w:color="auto"/>
            <w:left w:val="none" w:sz="0" w:space="0" w:color="auto"/>
            <w:bottom w:val="none" w:sz="0" w:space="0" w:color="auto"/>
            <w:right w:val="none" w:sz="0" w:space="0" w:color="auto"/>
          </w:divBdr>
        </w:div>
        <w:div w:id="1944337456">
          <w:marLeft w:val="0"/>
          <w:marRight w:val="0"/>
          <w:marTop w:val="0"/>
          <w:marBottom w:val="0"/>
          <w:divBdr>
            <w:top w:val="none" w:sz="0" w:space="0" w:color="auto"/>
            <w:left w:val="none" w:sz="0" w:space="0" w:color="auto"/>
            <w:bottom w:val="none" w:sz="0" w:space="0" w:color="auto"/>
            <w:right w:val="none" w:sz="0" w:space="0" w:color="auto"/>
          </w:divBdr>
        </w:div>
        <w:div w:id="1986203583">
          <w:marLeft w:val="0"/>
          <w:marRight w:val="0"/>
          <w:marTop w:val="0"/>
          <w:marBottom w:val="0"/>
          <w:divBdr>
            <w:top w:val="none" w:sz="0" w:space="0" w:color="auto"/>
            <w:left w:val="none" w:sz="0" w:space="0" w:color="auto"/>
            <w:bottom w:val="none" w:sz="0" w:space="0" w:color="auto"/>
            <w:right w:val="none" w:sz="0" w:space="0" w:color="auto"/>
          </w:divBdr>
        </w:div>
        <w:div w:id="1990011594">
          <w:marLeft w:val="0"/>
          <w:marRight w:val="0"/>
          <w:marTop w:val="0"/>
          <w:marBottom w:val="0"/>
          <w:divBdr>
            <w:top w:val="none" w:sz="0" w:space="0" w:color="auto"/>
            <w:left w:val="none" w:sz="0" w:space="0" w:color="auto"/>
            <w:bottom w:val="none" w:sz="0" w:space="0" w:color="auto"/>
            <w:right w:val="none" w:sz="0" w:space="0" w:color="auto"/>
          </w:divBdr>
        </w:div>
        <w:div w:id="2013870783">
          <w:marLeft w:val="0"/>
          <w:marRight w:val="0"/>
          <w:marTop w:val="0"/>
          <w:marBottom w:val="0"/>
          <w:divBdr>
            <w:top w:val="none" w:sz="0" w:space="0" w:color="auto"/>
            <w:left w:val="none" w:sz="0" w:space="0" w:color="auto"/>
            <w:bottom w:val="none" w:sz="0" w:space="0" w:color="auto"/>
            <w:right w:val="none" w:sz="0" w:space="0" w:color="auto"/>
          </w:divBdr>
        </w:div>
        <w:div w:id="2040423915">
          <w:marLeft w:val="0"/>
          <w:marRight w:val="0"/>
          <w:marTop w:val="0"/>
          <w:marBottom w:val="0"/>
          <w:divBdr>
            <w:top w:val="none" w:sz="0" w:space="0" w:color="auto"/>
            <w:left w:val="none" w:sz="0" w:space="0" w:color="auto"/>
            <w:bottom w:val="none" w:sz="0" w:space="0" w:color="auto"/>
            <w:right w:val="none" w:sz="0" w:space="0" w:color="auto"/>
          </w:divBdr>
        </w:div>
        <w:div w:id="2040810479">
          <w:marLeft w:val="0"/>
          <w:marRight w:val="0"/>
          <w:marTop w:val="0"/>
          <w:marBottom w:val="0"/>
          <w:divBdr>
            <w:top w:val="none" w:sz="0" w:space="0" w:color="auto"/>
            <w:left w:val="none" w:sz="0" w:space="0" w:color="auto"/>
            <w:bottom w:val="none" w:sz="0" w:space="0" w:color="auto"/>
            <w:right w:val="none" w:sz="0" w:space="0" w:color="auto"/>
          </w:divBdr>
        </w:div>
        <w:div w:id="2054184465">
          <w:marLeft w:val="0"/>
          <w:marRight w:val="0"/>
          <w:marTop w:val="0"/>
          <w:marBottom w:val="0"/>
          <w:divBdr>
            <w:top w:val="none" w:sz="0" w:space="0" w:color="auto"/>
            <w:left w:val="none" w:sz="0" w:space="0" w:color="auto"/>
            <w:bottom w:val="none" w:sz="0" w:space="0" w:color="auto"/>
            <w:right w:val="none" w:sz="0" w:space="0" w:color="auto"/>
          </w:divBdr>
        </w:div>
        <w:div w:id="2054502820">
          <w:marLeft w:val="0"/>
          <w:marRight w:val="0"/>
          <w:marTop w:val="0"/>
          <w:marBottom w:val="0"/>
          <w:divBdr>
            <w:top w:val="none" w:sz="0" w:space="0" w:color="auto"/>
            <w:left w:val="none" w:sz="0" w:space="0" w:color="auto"/>
            <w:bottom w:val="none" w:sz="0" w:space="0" w:color="auto"/>
            <w:right w:val="none" w:sz="0" w:space="0" w:color="auto"/>
          </w:divBdr>
        </w:div>
        <w:div w:id="2075815414">
          <w:marLeft w:val="0"/>
          <w:marRight w:val="0"/>
          <w:marTop w:val="0"/>
          <w:marBottom w:val="0"/>
          <w:divBdr>
            <w:top w:val="none" w:sz="0" w:space="0" w:color="auto"/>
            <w:left w:val="none" w:sz="0" w:space="0" w:color="auto"/>
            <w:bottom w:val="none" w:sz="0" w:space="0" w:color="auto"/>
            <w:right w:val="none" w:sz="0" w:space="0" w:color="auto"/>
          </w:divBdr>
        </w:div>
        <w:div w:id="2080444302">
          <w:marLeft w:val="0"/>
          <w:marRight w:val="0"/>
          <w:marTop w:val="0"/>
          <w:marBottom w:val="0"/>
          <w:divBdr>
            <w:top w:val="none" w:sz="0" w:space="0" w:color="auto"/>
            <w:left w:val="none" w:sz="0" w:space="0" w:color="auto"/>
            <w:bottom w:val="none" w:sz="0" w:space="0" w:color="auto"/>
            <w:right w:val="none" w:sz="0" w:space="0" w:color="auto"/>
          </w:divBdr>
        </w:div>
        <w:div w:id="2081250268">
          <w:marLeft w:val="0"/>
          <w:marRight w:val="0"/>
          <w:marTop w:val="0"/>
          <w:marBottom w:val="0"/>
          <w:divBdr>
            <w:top w:val="none" w:sz="0" w:space="0" w:color="auto"/>
            <w:left w:val="none" w:sz="0" w:space="0" w:color="auto"/>
            <w:bottom w:val="none" w:sz="0" w:space="0" w:color="auto"/>
            <w:right w:val="none" w:sz="0" w:space="0" w:color="auto"/>
          </w:divBdr>
        </w:div>
        <w:div w:id="2083483490">
          <w:marLeft w:val="0"/>
          <w:marRight w:val="0"/>
          <w:marTop w:val="0"/>
          <w:marBottom w:val="0"/>
          <w:divBdr>
            <w:top w:val="none" w:sz="0" w:space="0" w:color="auto"/>
            <w:left w:val="none" w:sz="0" w:space="0" w:color="auto"/>
            <w:bottom w:val="none" w:sz="0" w:space="0" w:color="auto"/>
            <w:right w:val="none" w:sz="0" w:space="0" w:color="auto"/>
          </w:divBdr>
        </w:div>
        <w:div w:id="2087871818">
          <w:marLeft w:val="0"/>
          <w:marRight w:val="0"/>
          <w:marTop w:val="0"/>
          <w:marBottom w:val="0"/>
          <w:divBdr>
            <w:top w:val="none" w:sz="0" w:space="0" w:color="auto"/>
            <w:left w:val="none" w:sz="0" w:space="0" w:color="auto"/>
            <w:bottom w:val="none" w:sz="0" w:space="0" w:color="auto"/>
            <w:right w:val="none" w:sz="0" w:space="0" w:color="auto"/>
          </w:divBdr>
        </w:div>
        <w:div w:id="2097745716">
          <w:marLeft w:val="0"/>
          <w:marRight w:val="0"/>
          <w:marTop w:val="0"/>
          <w:marBottom w:val="0"/>
          <w:divBdr>
            <w:top w:val="none" w:sz="0" w:space="0" w:color="auto"/>
            <w:left w:val="none" w:sz="0" w:space="0" w:color="auto"/>
            <w:bottom w:val="none" w:sz="0" w:space="0" w:color="auto"/>
            <w:right w:val="none" w:sz="0" w:space="0" w:color="auto"/>
          </w:divBdr>
        </w:div>
        <w:div w:id="2098818190">
          <w:marLeft w:val="0"/>
          <w:marRight w:val="0"/>
          <w:marTop w:val="0"/>
          <w:marBottom w:val="0"/>
          <w:divBdr>
            <w:top w:val="none" w:sz="0" w:space="0" w:color="auto"/>
            <w:left w:val="none" w:sz="0" w:space="0" w:color="auto"/>
            <w:bottom w:val="none" w:sz="0" w:space="0" w:color="auto"/>
            <w:right w:val="none" w:sz="0" w:space="0" w:color="auto"/>
          </w:divBdr>
        </w:div>
        <w:div w:id="2139256763">
          <w:marLeft w:val="0"/>
          <w:marRight w:val="0"/>
          <w:marTop w:val="0"/>
          <w:marBottom w:val="0"/>
          <w:divBdr>
            <w:top w:val="none" w:sz="0" w:space="0" w:color="auto"/>
            <w:left w:val="none" w:sz="0" w:space="0" w:color="auto"/>
            <w:bottom w:val="none" w:sz="0" w:space="0" w:color="auto"/>
            <w:right w:val="none" w:sz="0" w:space="0" w:color="auto"/>
          </w:divBdr>
        </w:div>
        <w:div w:id="2140103440">
          <w:marLeft w:val="0"/>
          <w:marRight w:val="0"/>
          <w:marTop w:val="0"/>
          <w:marBottom w:val="0"/>
          <w:divBdr>
            <w:top w:val="none" w:sz="0" w:space="0" w:color="auto"/>
            <w:left w:val="none" w:sz="0" w:space="0" w:color="auto"/>
            <w:bottom w:val="none" w:sz="0" w:space="0" w:color="auto"/>
            <w:right w:val="none" w:sz="0" w:space="0" w:color="auto"/>
          </w:divBdr>
        </w:div>
      </w:divsChild>
    </w:div>
    <w:div w:id="1265649723">
      <w:bodyDiv w:val="1"/>
      <w:marLeft w:val="0"/>
      <w:marRight w:val="0"/>
      <w:marTop w:val="0"/>
      <w:marBottom w:val="0"/>
      <w:divBdr>
        <w:top w:val="none" w:sz="0" w:space="0" w:color="auto"/>
        <w:left w:val="none" w:sz="0" w:space="0" w:color="auto"/>
        <w:bottom w:val="none" w:sz="0" w:space="0" w:color="auto"/>
        <w:right w:val="none" w:sz="0" w:space="0" w:color="auto"/>
      </w:divBdr>
      <w:divsChild>
        <w:div w:id="907766496">
          <w:marLeft w:val="0"/>
          <w:marRight w:val="0"/>
          <w:marTop w:val="0"/>
          <w:marBottom w:val="0"/>
          <w:divBdr>
            <w:top w:val="none" w:sz="0" w:space="0" w:color="auto"/>
            <w:left w:val="none" w:sz="0" w:space="0" w:color="auto"/>
            <w:bottom w:val="none" w:sz="0" w:space="0" w:color="auto"/>
            <w:right w:val="none" w:sz="0" w:space="0" w:color="auto"/>
          </w:divBdr>
        </w:div>
      </w:divsChild>
    </w:div>
    <w:div w:id="1268779995">
      <w:bodyDiv w:val="1"/>
      <w:marLeft w:val="0"/>
      <w:marRight w:val="0"/>
      <w:marTop w:val="0"/>
      <w:marBottom w:val="0"/>
      <w:divBdr>
        <w:top w:val="none" w:sz="0" w:space="0" w:color="auto"/>
        <w:left w:val="none" w:sz="0" w:space="0" w:color="auto"/>
        <w:bottom w:val="none" w:sz="0" w:space="0" w:color="auto"/>
        <w:right w:val="none" w:sz="0" w:space="0" w:color="auto"/>
      </w:divBdr>
    </w:div>
    <w:div w:id="1308508859">
      <w:bodyDiv w:val="1"/>
      <w:marLeft w:val="0"/>
      <w:marRight w:val="0"/>
      <w:marTop w:val="0"/>
      <w:marBottom w:val="0"/>
      <w:divBdr>
        <w:top w:val="none" w:sz="0" w:space="0" w:color="auto"/>
        <w:left w:val="none" w:sz="0" w:space="0" w:color="auto"/>
        <w:bottom w:val="none" w:sz="0" w:space="0" w:color="auto"/>
        <w:right w:val="none" w:sz="0" w:space="0" w:color="auto"/>
      </w:divBdr>
    </w:div>
    <w:div w:id="1385831046">
      <w:bodyDiv w:val="1"/>
      <w:marLeft w:val="0"/>
      <w:marRight w:val="0"/>
      <w:marTop w:val="0"/>
      <w:marBottom w:val="0"/>
      <w:divBdr>
        <w:top w:val="none" w:sz="0" w:space="0" w:color="auto"/>
        <w:left w:val="none" w:sz="0" w:space="0" w:color="auto"/>
        <w:bottom w:val="none" w:sz="0" w:space="0" w:color="auto"/>
        <w:right w:val="none" w:sz="0" w:space="0" w:color="auto"/>
      </w:divBdr>
    </w:div>
    <w:div w:id="1465780179">
      <w:bodyDiv w:val="1"/>
      <w:marLeft w:val="0"/>
      <w:marRight w:val="0"/>
      <w:marTop w:val="0"/>
      <w:marBottom w:val="0"/>
      <w:divBdr>
        <w:top w:val="none" w:sz="0" w:space="0" w:color="auto"/>
        <w:left w:val="none" w:sz="0" w:space="0" w:color="auto"/>
        <w:bottom w:val="none" w:sz="0" w:space="0" w:color="auto"/>
        <w:right w:val="none" w:sz="0" w:space="0" w:color="auto"/>
      </w:divBdr>
    </w:div>
    <w:div w:id="1492865594">
      <w:bodyDiv w:val="1"/>
      <w:marLeft w:val="0"/>
      <w:marRight w:val="0"/>
      <w:marTop w:val="0"/>
      <w:marBottom w:val="0"/>
      <w:divBdr>
        <w:top w:val="none" w:sz="0" w:space="0" w:color="auto"/>
        <w:left w:val="none" w:sz="0" w:space="0" w:color="auto"/>
        <w:bottom w:val="none" w:sz="0" w:space="0" w:color="auto"/>
        <w:right w:val="none" w:sz="0" w:space="0" w:color="auto"/>
      </w:divBdr>
    </w:div>
    <w:div w:id="1555193521">
      <w:bodyDiv w:val="1"/>
      <w:marLeft w:val="0"/>
      <w:marRight w:val="0"/>
      <w:marTop w:val="0"/>
      <w:marBottom w:val="0"/>
      <w:divBdr>
        <w:top w:val="none" w:sz="0" w:space="0" w:color="auto"/>
        <w:left w:val="none" w:sz="0" w:space="0" w:color="auto"/>
        <w:bottom w:val="none" w:sz="0" w:space="0" w:color="auto"/>
        <w:right w:val="none" w:sz="0" w:space="0" w:color="auto"/>
      </w:divBdr>
    </w:div>
    <w:div w:id="1693919863">
      <w:bodyDiv w:val="1"/>
      <w:marLeft w:val="0"/>
      <w:marRight w:val="0"/>
      <w:marTop w:val="0"/>
      <w:marBottom w:val="0"/>
      <w:divBdr>
        <w:top w:val="none" w:sz="0" w:space="0" w:color="auto"/>
        <w:left w:val="none" w:sz="0" w:space="0" w:color="auto"/>
        <w:bottom w:val="none" w:sz="0" w:space="0" w:color="auto"/>
        <w:right w:val="none" w:sz="0" w:space="0" w:color="auto"/>
      </w:divBdr>
    </w:div>
    <w:div w:id="1767843469">
      <w:bodyDiv w:val="1"/>
      <w:marLeft w:val="0"/>
      <w:marRight w:val="0"/>
      <w:marTop w:val="0"/>
      <w:marBottom w:val="0"/>
      <w:divBdr>
        <w:top w:val="none" w:sz="0" w:space="0" w:color="auto"/>
        <w:left w:val="none" w:sz="0" w:space="0" w:color="auto"/>
        <w:bottom w:val="none" w:sz="0" w:space="0" w:color="auto"/>
        <w:right w:val="none" w:sz="0" w:space="0" w:color="auto"/>
      </w:divBdr>
      <w:divsChild>
        <w:div w:id="1899851903">
          <w:marLeft w:val="0"/>
          <w:marRight w:val="0"/>
          <w:marTop w:val="0"/>
          <w:marBottom w:val="0"/>
          <w:divBdr>
            <w:top w:val="none" w:sz="0" w:space="0" w:color="auto"/>
            <w:left w:val="none" w:sz="0" w:space="0" w:color="auto"/>
            <w:bottom w:val="none" w:sz="0" w:space="0" w:color="auto"/>
            <w:right w:val="none" w:sz="0" w:space="0" w:color="auto"/>
          </w:divBdr>
        </w:div>
      </w:divsChild>
    </w:div>
    <w:div w:id="1775781391">
      <w:bodyDiv w:val="1"/>
      <w:marLeft w:val="0"/>
      <w:marRight w:val="0"/>
      <w:marTop w:val="0"/>
      <w:marBottom w:val="0"/>
      <w:divBdr>
        <w:top w:val="none" w:sz="0" w:space="0" w:color="auto"/>
        <w:left w:val="none" w:sz="0" w:space="0" w:color="auto"/>
        <w:bottom w:val="none" w:sz="0" w:space="0" w:color="auto"/>
        <w:right w:val="none" w:sz="0" w:space="0" w:color="auto"/>
      </w:divBdr>
      <w:divsChild>
        <w:div w:id="949553392">
          <w:marLeft w:val="446"/>
          <w:marRight w:val="0"/>
          <w:marTop w:val="62"/>
          <w:marBottom w:val="0"/>
          <w:divBdr>
            <w:top w:val="none" w:sz="0" w:space="0" w:color="auto"/>
            <w:left w:val="none" w:sz="0" w:space="0" w:color="auto"/>
            <w:bottom w:val="none" w:sz="0" w:space="0" w:color="auto"/>
            <w:right w:val="none" w:sz="0" w:space="0" w:color="auto"/>
          </w:divBdr>
        </w:div>
      </w:divsChild>
    </w:div>
    <w:div w:id="1837039718">
      <w:bodyDiv w:val="1"/>
      <w:marLeft w:val="0"/>
      <w:marRight w:val="0"/>
      <w:marTop w:val="0"/>
      <w:marBottom w:val="0"/>
      <w:divBdr>
        <w:top w:val="none" w:sz="0" w:space="0" w:color="auto"/>
        <w:left w:val="none" w:sz="0" w:space="0" w:color="auto"/>
        <w:bottom w:val="none" w:sz="0" w:space="0" w:color="auto"/>
        <w:right w:val="none" w:sz="0" w:space="0" w:color="auto"/>
      </w:divBdr>
    </w:div>
    <w:div w:id="1848589822">
      <w:bodyDiv w:val="1"/>
      <w:marLeft w:val="0"/>
      <w:marRight w:val="0"/>
      <w:marTop w:val="0"/>
      <w:marBottom w:val="0"/>
      <w:divBdr>
        <w:top w:val="none" w:sz="0" w:space="0" w:color="auto"/>
        <w:left w:val="none" w:sz="0" w:space="0" w:color="auto"/>
        <w:bottom w:val="none" w:sz="0" w:space="0" w:color="auto"/>
        <w:right w:val="none" w:sz="0" w:space="0" w:color="auto"/>
      </w:divBdr>
    </w:div>
    <w:div w:id="1860316401">
      <w:bodyDiv w:val="1"/>
      <w:marLeft w:val="0"/>
      <w:marRight w:val="0"/>
      <w:marTop w:val="0"/>
      <w:marBottom w:val="0"/>
      <w:divBdr>
        <w:top w:val="none" w:sz="0" w:space="0" w:color="auto"/>
        <w:left w:val="none" w:sz="0" w:space="0" w:color="auto"/>
        <w:bottom w:val="none" w:sz="0" w:space="0" w:color="auto"/>
        <w:right w:val="none" w:sz="0" w:space="0" w:color="auto"/>
      </w:divBdr>
      <w:divsChild>
        <w:div w:id="42100703">
          <w:marLeft w:val="547"/>
          <w:marRight w:val="0"/>
          <w:marTop w:val="0"/>
          <w:marBottom w:val="0"/>
          <w:divBdr>
            <w:top w:val="none" w:sz="0" w:space="0" w:color="auto"/>
            <w:left w:val="none" w:sz="0" w:space="0" w:color="auto"/>
            <w:bottom w:val="none" w:sz="0" w:space="0" w:color="auto"/>
            <w:right w:val="none" w:sz="0" w:space="0" w:color="auto"/>
          </w:divBdr>
        </w:div>
        <w:div w:id="528489293">
          <w:marLeft w:val="720"/>
          <w:marRight w:val="0"/>
          <w:marTop w:val="0"/>
          <w:marBottom w:val="0"/>
          <w:divBdr>
            <w:top w:val="none" w:sz="0" w:space="0" w:color="auto"/>
            <w:left w:val="none" w:sz="0" w:space="0" w:color="auto"/>
            <w:bottom w:val="none" w:sz="0" w:space="0" w:color="auto"/>
            <w:right w:val="none" w:sz="0" w:space="0" w:color="auto"/>
          </w:divBdr>
        </w:div>
        <w:div w:id="1434277391">
          <w:marLeft w:val="547"/>
          <w:marRight w:val="0"/>
          <w:marTop w:val="0"/>
          <w:marBottom w:val="0"/>
          <w:divBdr>
            <w:top w:val="none" w:sz="0" w:space="0" w:color="auto"/>
            <w:left w:val="none" w:sz="0" w:space="0" w:color="auto"/>
            <w:bottom w:val="none" w:sz="0" w:space="0" w:color="auto"/>
            <w:right w:val="none" w:sz="0" w:space="0" w:color="auto"/>
          </w:divBdr>
        </w:div>
        <w:div w:id="1727529923">
          <w:marLeft w:val="720"/>
          <w:marRight w:val="0"/>
          <w:marTop w:val="0"/>
          <w:marBottom w:val="0"/>
          <w:divBdr>
            <w:top w:val="none" w:sz="0" w:space="0" w:color="auto"/>
            <w:left w:val="none" w:sz="0" w:space="0" w:color="auto"/>
            <w:bottom w:val="none" w:sz="0" w:space="0" w:color="auto"/>
            <w:right w:val="none" w:sz="0" w:space="0" w:color="auto"/>
          </w:divBdr>
        </w:div>
      </w:divsChild>
    </w:div>
    <w:div w:id="1940990677">
      <w:bodyDiv w:val="1"/>
      <w:marLeft w:val="0"/>
      <w:marRight w:val="0"/>
      <w:marTop w:val="0"/>
      <w:marBottom w:val="0"/>
      <w:divBdr>
        <w:top w:val="none" w:sz="0" w:space="0" w:color="auto"/>
        <w:left w:val="none" w:sz="0" w:space="0" w:color="auto"/>
        <w:bottom w:val="none" w:sz="0" w:space="0" w:color="auto"/>
        <w:right w:val="none" w:sz="0" w:space="0" w:color="auto"/>
      </w:divBdr>
      <w:divsChild>
        <w:div w:id="67920265">
          <w:marLeft w:val="0"/>
          <w:marRight w:val="0"/>
          <w:marTop w:val="0"/>
          <w:marBottom w:val="0"/>
          <w:divBdr>
            <w:top w:val="none" w:sz="0" w:space="0" w:color="auto"/>
            <w:left w:val="none" w:sz="0" w:space="0" w:color="auto"/>
            <w:bottom w:val="none" w:sz="0" w:space="0" w:color="auto"/>
            <w:right w:val="none" w:sz="0" w:space="0" w:color="auto"/>
          </w:divBdr>
        </w:div>
      </w:divsChild>
    </w:div>
    <w:div w:id="1999797219">
      <w:bodyDiv w:val="1"/>
      <w:marLeft w:val="0"/>
      <w:marRight w:val="0"/>
      <w:marTop w:val="0"/>
      <w:marBottom w:val="0"/>
      <w:divBdr>
        <w:top w:val="none" w:sz="0" w:space="0" w:color="auto"/>
        <w:left w:val="none" w:sz="0" w:space="0" w:color="auto"/>
        <w:bottom w:val="none" w:sz="0" w:space="0" w:color="auto"/>
        <w:right w:val="none" w:sz="0" w:space="0" w:color="auto"/>
      </w:divBdr>
    </w:div>
    <w:div w:id="2021009926">
      <w:bodyDiv w:val="1"/>
      <w:marLeft w:val="0"/>
      <w:marRight w:val="0"/>
      <w:marTop w:val="0"/>
      <w:marBottom w:val="0"/>
      <w:divBdr>
        <w:top w:val="none" w:sz="0" w:space="0" w:color="auto"/>
        <w:left w:val="none" w:sz="0" w:space="0" w:color="auto"/>
        <w:bottom w:val="none" w:sz="0" w:space="0" w:color="auto"/>
        <w:right w:val="none" w:sz="0" w:space="0" w:color="auto"/>
      </w:divBdr>
    </w:div>
    <w:div w:id="2029519527">
      <w:bodyDiv w:val="1"/>
      <w:marLeft w:val="0"/>
      <w:marRight w:val="0"/>
      <w:marTop w:val="0"/>
      <w:marBottom w:val="0"/>
      <w:divBdr>
        <w:top w:val="none" w:sz="0" w:space="0" w:color="auto"/>
        <w:left w:val="none" w:sz="0" w:space="0" w:color="auto"/>
        <w:bottom w:val="none" w:sz="0" w:space="0" w:color="auto"/>
        <w:right w:val="none" w:sz="0" w:space="0" w:color="auto"/>
      </w:divBdr>
    </w:div>
    <w:div w:id="2099595891">
      <w:bodyDiv w:val="1"/>
      <w:marLeft w:val="0"/>
      <w:marRight w:val="0"/>
      <w:marTop w:val="0"/>
      <w:marBottom w:val="0"/>
      <w:divBdr>
        <w:top w:val="none" w:sz="0" w:space="0" w:color="auto"/>
        <w:left w:val="none" w:sz="0" w:space="0" w:color="auto"/>
        <w:bottom w:val="none" w:sz="0" w:space="0" w:color="auto"/>
        <w:right w:val="none" w:sz="0" w:space="0" w:color="auto"/>
      </w:divBdr>
    </w:div>
    <w:div w:id="2103722379">
      <w:bodyDiv w:val="1"/>
      <w:marLeft w:val="0"/>
      <w:marRight w:val="0"/>
      <w:marTop w:val="0"/>
      <w:marBottom w:val="0"/>
      <w:divBdr>
        <w:top w:val="none" w:sz="0" w:space="0" w:color="auto"/>
        <w:left w:val="none" w:sz="0" w:space="0" w:color="auto"/>
        <w:bottom w:val="none" w:sz="0" w:space="0" w:color="auto"/>
        <w:right w:val="none" w:sz="0" w:space="0" w:color="auto"/>
      </w:divBdr>
    </w:div>
    <w:div w:id="2111118114">
      <w:bodyDiv w:val="1"/>
      <w:marLeft w:val="0"/>
      <w:marRight w:val="0"/>
      <w:marTop w:val="0"/>
      <w:marBottom w:val="0"/>
      <w:divBdr>
        <w:top w:val="none" w:sz="0" w:space="0" w:color="auto"/>
        <w:left w:val="none" w:sz="0" w:space="0" w:color="auto"/>
        <w:bottom w:val="none" w:sz="0" w:space="0" w:color="auto"/>
        <w:right w:val="none" w:sz="0" w:space="0" w:color="auto"/>
      </w:divBdr>
    </w:div>
    <w:div w:id="2143112794">
      <w:bodyDiv w:val="1"/>
      <w:marLeft w:val="45"/>
      <w:marRight w:val="45"/>
      <w:marTop w:val="45"/>
      <w:marBottom w:val="45"/>
      <w:divBdr>
        <w:top w:val="none" w:sz="0" w:space="0" w:color="auto"/>
        <w:left w:val="none" w:sz="0" w:space="0" w:color="auto"/>
        <w:bottom w:val="none" w:sz="0" w:space="0" w:color="auto"/>
        <w:right w:val="none" w:sz="0" w:space="0" w:color="auto"/>
      </w:divBdr>
      <w:divsChild>
        <w:div w:id="151514769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sv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png"/><Relationship Id="rId29" Type="http://schemas.openxmlformats.org/officeDocument/2006/relationships/hyperlink" Target="mailto:cnect-rsc@ec.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32" Type="http://schemas.openxmlformats.org/officeDocument/2006/relationships/hyperlink" Target="https://ec.europa.eu/digital-single-market/en/5g-europe-action-plan"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5g-pp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hyperlink" Target="https://www.itu.int/dms_pubrec/itu-r/rec/m/R-REC-M.2083-0-201509-I!!PDF-E.pdf"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13" ma:contentTypeDescription="Opret et nyt dokument." ma:contentTypeScope="" ma:versionID="5d5d0c1fde7714b7931655350c170616">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e8c169a09e3faa99b9fa3eee6bd30e56"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AB09-5870-4A3E-BF49-6D13239B8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439905-07C0-4483-A642-FE4C32BA1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C386A-C9B1-4E5A-ADC3-936156427141}">
  <ds:schemaRefs>
    <ds:schemaRef ds:uri="http://schemas.microsoft.com/sharepoint/v3/contenttype/forms"/>
  </ds:schemaRefs>
</ds:datastoreItem>
</file>

<file path=customXml/itemProps4.xml><?xml version="1.0" encoding="utf-8"?>
<ds:datastoreItem xmlns:ds="http://schemas.openxmlformats.org/officeDocument/2006/customXml" ds:itemID="{49CAA584-38D0-4972-BB54-FEB033C8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Template>
  <TotalTime>1</TotalTime>
  <Pages>67</Pages>
  <Words>27619</Words>
  <Characters>157434</Characters>
  <Application>Microsoft Office Word</Application>
  <DocSecurity>0</DocSecurity>
  <Lines>1311</Lines>
  <Paragraphs>369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Rubrik</vt:lpstr>
      </vt:variant>
      <vt:variant>
        <vt:i4>1</vt:i4>
      </vt:variant>
    </vt:vector>
  </HeadingPairs>
  <TitlesOfParts>
    <vt:vector size="4" baseType="lpstr">
      <vt:lpstr>New ECC Report Style</vt:lpstr>
      <vt:lpstr>New ECC Report Style</vt:lpstr>
      <vt:lpstr>New ECC Report Style</vt:lpstr>
      <vt:lpstr>New ECC Report Style</vt:lpstr>
    </vt:vector>
  </TitlesOfParts>
  <Company>ECO</Company>
  <LinksUpToDate>false</LinksUpToDate>
  <CharactersWithSpaces>184684</CharactersWithSpaces>
  <SharedDoc>false</SharedDoc>
  <HLinks>
    <vt:vector size="342" baseType="variant">
      <vt:variant>
        <vt:i4>2293841</vt:i4>
      </vt:variant>
      <vt:variant>
        <vt:i4>1152</vt:i4>
      </vt:variant>
      <vt:variant>
        <vt:i4>0</vt:i4>
      </vt:variant>
      <vt:variant>
        <vt:i4>5</vt:i4>
      </vt:variant>
      <vt:variant>
        <vt:lpwstr/>
      </vt:variant>
      <vt:variant>
        <vt:lpwstr>_bookmark1</vt:lpwstr>
      </vt:variant>
      <vt:variant>
        <vt:i4>2228305</vt:i4>
      </vt:variant>
      <vt:variant>
        <vt:i4>1149</vt:i4>
      </vt:variant>
      <vt:variant>
        <vt:i4>0</vt:i4>
      </vt:variant>
      <vt:variant>
        <vt:i4>5</vt:i4>
      </vt:variant>
      <vt:variant>
        <vt:lpwstr/>
      </vt:variant>
      <vt:variant>
        <vt:lpwstr>_bookmark0</vt:lpwstr>
      </vt:variant>
      <vt:variant>
        <vt:i4>6619258</vt:i4>
      </vt:variant>
      <vt:variant>
        <vt:i4>1146</vt:i4>
      </vt:variant>
      <vt:variant>
        <vt:i4>0</vt:i4>
      </vt:variant>
      <vt:variant>
        <vt:i4>5</vt:i4>
      </vt:variant>
      <vt:variant>
        <vt:lpwstr>https://ec.europa.eu/digital-single-market/en/5g-europe-action-plan</vt:lpwstr>
      </vt:variant>
      <vt:variant>
        <vt:lpwstr/>
      </vt:variant>
      <vt:variant>
        <vt:i4>3932275</vt:i4>
      </vt:variant>
      <vt:variant>
        <vt:i4>1143</vt:i4>
      </vt:variant>
      <vt:variant>
        <vt:i4>0</vt:i4>
      </vt:variant>
      <vt:variant>
        <vt:i4>5</vt:i4>
      </vt:variant>
      <vt:variant>
        <vt:lpwstr>https://5g-ppp.eu/</vt:lpwstr>
      </vt:variant>
      <vt:variant>
        <vt:lpwstr/>
      </vt:variant>
      <vt:variant>
        <vt:i4>6553689</vt:i4>
      </vt:variant>
      <vt:variant>
        <vt:i4>1140</vt:i4>
      </vt:variant>
      <vt:variant>
        <vt:i4>0</vt:i4>
      </vt:variant>
      <vt:variant>
        <vt:i4>5</vt:i4>
      </vt:variant>
      <vt:variant>
        <vt:lpwstr>https://www.itu.int/dms_pubrec/itu-r/rec/m/R-REC-M.2083-0-201509-I!!PDF-E.pdf</vt:lpwstr>
      </vt:variant>
      <vt:variant>
        <vt:lpwstr/>
      </vt:variant>
      <vt:variant>
        <vt:i4>5505139</vt:i4>
      </vt:variant>
      <vt:variant>
        <vt:i4>1137</vt:i4>
      </vt:variant>
      <vt:variant>
        <vt:i4>0</vt:i4>
      </vt:variant>
      <vt:variant>
        <vt:i4>5</vt:i4>
      </vt:variant>
      <vt:variant>
        <vt:lpwstr>mailto:cnect-rsc@ec.europa.eu</vt:lpwstr>
      </vt:variant>
      <vt:variant>
        <vt:lpwstr/>
      </vt:variant>
      <vt:variant>
        <vt:i4>1703988</vt:i4>
      </vt:variant>
      <vt:variant>
        <vt:i4>329</vt:i4>
      </vt:variant>
      <vt:variant>
        <vt:i4>0</vt:i4>
      </vt:variant>
      <vt:variant>
        <vt:i4>5</vt:i4>
      </vt:variant>
      <vt:variant>
        <vt:lpwstr/>
      </vt:variant>
      <vt:variant>
        <vt:lpwstr>_Toc71037847</vt:lpwstr>
      </vt:variant>
      <vt:variant>
        <vt:i4>1769524</vt:i4>
      </vt:variant>
      <vt:variant>
        <vt:i4>323</vt:i4>
      </vt:variant>
      <vt:variant>
        <vt:i4>0</vt:i4>
      </vt:variant>
      <vt:variant>
        <vt:i4>5</vt:i4>
      </vt:variant>
      <vt:variant>
        <vt:lpwstr/>
      </vt:variant>
      <vt:variant>
        <vt:lpwstr>_Toc71037846</vt:lpwstr>
      </vt:variant>
      <vt:variant>
        <vt:i4>1638452</vt:i4>
      </vt:variant>
      <vt:variant>
        <vt:i4>317</vt:i4>
      </vt:variant>
      <vt:variant>
        <vt:i4>0</vt:i4>
      </vt:variant>
      <vt:variant>
        <vt:i4>5</vt:i4>
      </vt:variant>
      <vt:variant>
        <vt:lpwstr/>
      </vt:variant>
      <vt:variant>
        <vt:lpwstr>_Toc71037844</vt:lpwstr>
      </vt:variant>
      <vt:variant>
        <vt:i4>2031668</vt:i4>
      </vt:variant>
      <vt:variant>
        <vt:i4>311</vt:i4>
      </vt:variant>
      <vt:variant>
        <vt:i4>0</vt:i4>
      </vt:variant>
      <vt:variant>
        <vt:i4>5</vt:i4>
      </vt:variant>
      <vt:variant>
        <vt:lpwstr/>
      </vt:variant>
      <vt:variant>
        <vt:lpwstr>_Toc71037842</vt:lpwstr>
      </vt:variant>
      <vt:variant>
        <vt:i4>1835060</vt:i4>
      </vt:variant>
      <vt:variant>
        <vt:i4>305</vt:i4>
      </vt:variant>
      <vt:variant>
        <vt:i4>0</vt:i4>
      </vt:variant>
      <vt:variant>
        <vt:i4>5</vt:i4>
      </vt:variant>
      <vt:variant>
        <vt:lpwstr/>
      </vt:variant>
      <vt:variant>
        <vt:lpwstr>_Toc71037841</vt:lpwstr>
      </vt:variant>
      <vt:variant>
        <vt:i4>1900596</vt:i4>
      </vt:variant>
      <vt:variant>
        <vt:i4>299</vt:i4>
      </vt:variant>
      <vt:variant>
        <vt:i4>0</vt:i4>
      </vt:variant>
      <vt:variant>
        <vt:i4>5</vt:i4>
      </vt:variant>
      <vt:variant>
        <vt:lpwstr/>
      </vt:variant>
      <vt:variant>
        <vt:lpwstr>_Toc71037840</vt:lpwstr>
      </vt:variant>
      <vt:variant>
        <vt:i4>1310771</vt:i4>
      </vt:variant>
      <vt:variant>
        <vt:i4>293</vt:i4>
      </vt:variant>
      <vt:variant>
        <vt:i4>0</vt:i4>
      </vt:variant>
      <vt:variant>
        <vt:i4>5</vt:i4>
      </vt:variant>
      <vt:variant>
        <vt:lpwstr/>
      </vt:variant>
      <vt:variant>
        <vt:lpwstr>_Toc71037839</vt:lpwstr>
      </vt:variant>
      <vt:variant>
        <vt:i4>1376307</vt:i4>
      </vt:variant>
      <vt:variant>
        <vt:i4>287</vt:i4>
      </vt:variant>
      <vt:variant>
        <vt:i4>0</vt:i4>
      </vt:variant>
      <vt:variant>
        <vt:i4>5</vt:i4>
      </vt:variant>
      <vt:variant>
        <vt:lpwstr/>
      </vt:variant>
      <vt:variant>
        <vt:lpwstr>_Toc71037838</vt:lpwstr>
      </vt:variant>
      <vt:variant>
        <vt:i4>1703987</vt:i4>
      </vt:variant>
      <vt:variant>
        <vt:i4>281</vt:i4>
      </vt:variant>
      <vt:variant>
        <vt:i4>0</vt:i4>
      </vt:variant>
      <vt:variant>
        <vt:i4>5</vt:i4>
      </vt:variant>
      <vt:variant>
        <vt:lpwstr/>
      </vt:variant>
      <vt:variant>
        <vt:lpwstr>_Toc71037837</vt:lpwstr>
      </vt:variant>
      <vt:variant>
        <vt:i4>1769523</vt:i4>
      </vt:variant>
      <vt:variant>
        <vt:i4>275</vt:i4>
      </vt:variant>
      <vt:variant>
        <vt:i4>0</vt:i4>
      </vt:variant>
      <vt:variant>
        <vt:i4>5</vt:i4>
      </vt:variant>
      <vt:variant>
        <vt:lpwstr/>
      </vt:variant>
      <vt:variant>
        <vt:lpwstr>_Toc71037836</vt:lpwstr>
      </vt:variant>
      <vt:variant>
        <vt:i4>1572915</vt:i4>
      </vt:variant>
      <vt:variant>
        <vt:i4>269</vt:i4>
      </vt:variant>
      <vt:variant>
        <vt:i4>0</vt:i4>
      </vt:variant>
      <vt:variant>
        <vt:i4>5</vt:i4>
      </vt:variant>
      <vt:variant>
        <vt:lpwstr/>
      </vt:variant>
      <vt:variant>
        <vt:lpwstr>_Toc71037835</vt:lpwstr>
      </vt:variant>
      <vt:variant>
        <vt:i4>1638451</vt:i4>
      </vt:variant>
      <vt:variant>
        <vt:i4>263</vt:i4>
      </vt:variant>
      <vt:variant>
        <vt:i4>0</vt:i4>
      </vt:variant>
      <vt:variant>
        <vt:i4>5</vt:i4>
      </vt:variant>
      <vt:variant>
        <vt:lpwstr/>
      </vt:variant>
      <vt:variant>
        <vt:lpwstr>_Toc71037834</vt:lpwstr>
      </vt:variant>
      <vt:variant>
        <vt:i4>1966131</vt:i4>
      </vt:variant>
      <vt:variant>
        <vt:i4>257</vt:i4>
      </vt:variant>
      <vt:variant>
        <vt:i4>0</vt:i4>
      </vt:variant>
      <vt:variant>
        <vt:i4>5</vt:i4>
      </vt:variant>
      <vt:variant>
        <vt:lpwstr/>
      </vt:variant>
      <vt:variant>
        <vt:lpwstr>_Toc71037833</vt:lpwstr>
      </vt:variant>
      <vt:variant>
        <vt:i4>2031667</vt:i4>
      </vt:variant>
      <vt:variant>
        <vt:i4>251</vt:i4>
      </vt:variant>
      <vt:variant>
        <vt:i4>0</vt:i4>
      </vt:variant>
      <vt:variant>
        <vt:i4>5</vt:i4>
      </vt:variant>
      <vt:variant>
        <vt:lpwstr/>
      </vt:variant>
      <vt:variant>
        <vt:lpwstr>_Toc71037832</vt:lpwstr>
      </vt:variant>
      <vt:variant>
        <vt:i4>1835059</vt:i4>
      </vt:variant>
      <vt:variant>
        <vt:i4>245</vt:i4>
      </vt:variant>
      <vt:variant>
        <vt:i4>0</vt:i4>
      </vt:variant>
      <vt:variant>
        <vt:i4>5</vt:i4>
      </vt:variant>
      <vt:variant>
        <vt:lpwstr/>
      </vt:variant>
      <vt:variant>
        <vt:lpwstr>_Toc71037831</vt:lpwstr>
      </vt:variant>
      <vt:variant>
        <vt:i4>1900595</vt:i4>
      </vt:variant>
      <vt:variant>
        <vt:i4>239</vt:i4>
      </vt:variant>
      <vt:variant>
        <vt:i4>0</vt:i4>
      </vt:variant>
      <vt:variant>
        <vt:i4>5</vt:i4>
      </vt:variant>
      <vt:variant>
        <vt:lpwstr/>
      </vt:variant>
      <vt:variant>
        <vt:lpwstr>_Toc71037830</vt:lpwstr>
      </vt:variant>
      <vt:variant>
        <vt:i4>1310770</vt:i4>
      </vt:variant>
      <vt:variant>
        <vt:i4>233</vt:i4>
      </vt:variant>
      <vt:variant>
        <vt:i4>0</vt:i4>
      </vt:variant>
      <vt:variant>
        <vt:i4>5</vt:i4>
      </vt:variant>
      <vt:variant>
        <vt:lpwstr/>
      </vt:variant>
      <vt:variant>
        <vt:lpwstr>_Toc71037829</vt:lpwstr>
      </vt:variant>
      <vt:variant>
        <vt:i4>1376306</vt:i4>
      </vt:variant>
      <vt:variant>
        <vt:i4>227</vt:i4>
      </vt:variant>
      <vt:variant>
        <vt:i4>0</vt:i4>
      </vt:variant>
      <vt:variant>
        <vt:i4>5</vt:i4>
      </vt:variant>
      <vt:variant>
        <vt:lpwstr/>
      </vt:variant>
      <vt:variant>
        <vt:lpwstr>_Toc71037828</vt:lpwstr>
      </vt:variant>
      <vt:variant>
        <vt:i4>1703986</vt:i4>
      </vt:variant>
      <vt:variant>
        <vt:i4>221</vt:i4>
      </vt:variant>
      <vt:variant>
        <vt:i4>0</vt:i4>
      </vt:variant>
      <vt:variant>
        <vt:i4>5</vt:i4>
      </vt:variant>
      <vt:variant>
        <vt:lpwstr/>
      </vt:variant>
      <vt:variant>
        <vt:lpwstr>_Toc71037827</vt:lpwstr>
      </vt:variant>
      <vt:variant>
        <vt:i4>1769522</vt:i4>
      </vt:variant>
      <vt:variant>
        <vt:i4>215</vt:i4>
      </vt:variant>
      <vt:variant>
        <vt:i4>0</vt:i4>
      </vt:variant>
      <vt:variant>
        <vt:i4>5</vt:i4>
      </vt:variant>
      <vt:variant>
        <vt:lpwstr/>
      </vt:variant>
      <vt:variant>
        <vt:lpwstr>_Toc71037826</vt:lpwstr>
      </vt:variant>
      <vt:variant>
        <vt:i4>1572914</vt:i4>
      </vt:variant>
      <vt:variant>
        <vt:i4>209</vt:i4>
      </vt:variant>
      <vt:variant>
        <vt:i4>0</vt:i4>
      </vt:variant>
      <vt:variant>
        <vt:i4>5</vt:i4>
      </vt:variant>
      <vt:variant>
        <vt:lpwstr/>
      </vt:variant>
      <vt:variant>
        <vt:lpwstr>_Toc71037825</vt:lpwstr>
      </vt:variant>
      <vt:variant>
        <vt:i4>1638450</vt:i4>
      </vt:variant>
      <vt:variant>
        <vt:i4>203</vt:i4>
      </vt:variant>
      <vt:variant>
        <vt:i4>0</vt:i4>
      </vt:variant>
      <vt:variant>
        <vt:i4>5</vt:i4>
      </vt:variant>
      <vt:variant>
        <vt:lpwstr/>
      </vt:variant>
      <vt:variant>
        <vt:lpwstr>_Toc71037824</vt:lpwstr>
      </vt:variant>
      <vt:variant>
        <vt:i4>1966130</vt:i4>
      </vt:variant>
      <vt:variant>
        <vt:i4>197</vt:i4>
      </vt:variant>
      <vt:variant>
        <vt:i4>0</vt:i4>
      </vt:variant>
      <vt:variant>
        <vt:i4>5</vt:i4>
      </vt:variant>
      <vt:variant>
        <vt:lpwstr/>
      </vt:variant>
      <vt:variant>
        <vt:lpwstr>_Toc71037823</vt:lpwstr>
      </vt:variant>
      <vt:variant>
        <vt:i4>2031666</vt:i4>
      </vt:variant>
      <vt:variant>
        <vt:i4>191</vt:i4>
      </vt:variant>
      <vt:variant>
        <vt:i4>0</vt:i4>
      </vt:variant>
      <vt:variant>
        <vt:i4>5</vt:i4>
      </vt:variant>
      <vt:variant>
        <vt:lpwstr/>
      </vt:variant>
      <vt:variant>
        <vt:lpwstr>_Toc71037822</vt:lpwstr>
      </vt:variant>
      <vt:variant>
        <vt:i4>1835058</vt:i4>
      </vt:variant>
      <vt:variant>
        <vt:i4>185</vt:i4>
      </vt:variant>
      <vt:variant>
        <vt:i4>0</vt:i4>
      </vt:variant>
      <vt:variant>
        <vt:i4>5</vt:i4>
      </vt:variant>
      <vt:variant>
        <vt:lpwstr/>
      </vt:variant>
      <vt:variant>
        <vt:lpwstr>_Toc71037821</vt:lpwstr>
      </vt:variant>
      <vt:variant>
        <vt:i4>1900594</vt:i4>
      </vt:variant>
      <vt:variant>
        <vt:i4>179</vt:i4>
      </vt:variant>
      <vt:variant>
        <vt:i4>0</vt:i4>
      </vt:variant>
      <vt:variant>
        <vt:i4>5</vt:i4>
      </vt:variant>
      <vt:variant>
        <vt:lpwstr/>
      </vt:variant>
      <vt:variant>
        <vt:lpwstr>_Toc71037820</vt:lpwstr>
      </vt:variant>
      <vt:variant>
        <vt:i4>1310769</vt:i4>
      </vt:variant>
      <vt:variant>
        <vt:i4>173</vt:i4>
      </vt:variant>
      <vt:variant>
        <vt:i4>0</vt:i4>
      </vt:variant>
      <vt:variant>
        <vt:i4>5</vt:i4>
      </vt:variant>
      <vt:variant>
        <vt:lpwstr/>
      </vt:variant>
      <vt:variant>
        <vt:lpwstr>_Toc71037819</vt:lpwstr>
      </vt:variant>
      <vt:variant>
        <vt:i4>1376305</vt:i4>
      </vt:variant>
      <vt:variant>
        <vt:i4>167</vt:i4>
      </vt:variant>
      <vt:variant>
        <vt:i4>0</vt:i4>
      </vt:variant>
      <vt:variant>
        <vt:i4>5</vt:i4>
      </vt:variant>
      <vt:variant>
        <vt:lpwstr/>
      </vt:variant>
      <vt:variant>
        <vt:lpwstr>_Toc71037818</vt:lpwstr>
      </vt:variant>
      <vt:variant>
        <vt:i4>1703985</vt:i4>
      </vt:variant>
      <vt:variant>
        <vt:i4>161</vt:i4>
      </vt:variant>
      <vt:variant>
        <vt:i4>0</vt:i4>
      </vt:variant>
      <vt:variant>
        <vt:i4>5</vt:i4>
      </vt:variant>
      <vt:variant>
        <vt:lpwstr/>
      </vt:variant>
      <vt:variant>
        <vt:lpwstr>_Toc71037817</vt:lpwstr>
      </vt:variant>
      <vt:variant>
        <vt:i4>1769521</vt:i4>
      </vt:variant>
      <vt:variant>
        <vt:i4>155</vt:i4>
      </vt:variant>
      <vt:variant>
        <vt:i4>0</vt:i4>
      </vt:variant>
      <vt:variant>
        <vt:i4>5</vt:i4>
      </vt:variant>
      <vt:variant>
        <vt:lpwstr/>
      </vt:variant>
      <vt:variant>
        <vt:lpwstr>_Toc71037816</vt:lpwstr>
      </vt:variant>
      <vt:variant>
        <vt:i4>1572913</vt:i4>
      </vt:variant>
      <vt:variant>
        <vt:i4>149</vt:i4>
      </vt:variant>
      <vt:variant>
        <vt:i4>0</vt:i4>
      </vt:variant>
      <vt:variant>
        <vt:i4>5</vt:i4>
      </vt:variant>
      <vt:variant>
        <vt:lpwstr/>
      </vt:variant>
      <vt:variant>
        <vt:lpwstr>_Toc71037815</vt:lpwstr>
      </vt:variant>
      <vt:variant>
        <vt:i4>1638449</vt:i4>
      </vt:variant>
      <vt:variant>
        <vt:i4>143</vt:i4>
      </vt:variant>
      <vt:variant>
        <vt:i4>0</vt:i4>
      </vt:variant>
      <vt:variant>
        <vt:i4>5</vt:i4>
      </vt:variant>
      <vt:variant>
        <vt:lpwstr/>
      </vt:variant>
      <vt:variant>
        <vt:lpwstr>_Toc71037814</vt:lpwstr>
      </vt:variant>
      <vt:variant>
        <vt:i4>1966129</vt:i4>
      </vt:variant>
      <vt:variant>
        <vt:i4>137</vt:i4>
      </vt:variant>
      <vt:variant>
        <vt:i4>0</vt:i4>
      </vt:variant>
      <vt:variant>
        <vt:i4>5</vt:i4>
      </vt:variant>
      <vt:variant>
        <vt:lpwstr/>
      </vt:variant>
      <vt:variant>
        <vt:lpwstr>_Toc71037813</vt:lpwstr>
      </vt:variant>
      <vt:variant>
        <vt:i4>2031665</vt:i4>
      </vt:variant>
      <vt:variant>
        <vt:i4>131</vt:i4>
      </vt:variant>
      <vt:variant>
        <vt:i4>0</vt:i4>
      </vt:variant>
      <vt:variant>
        <vt:i4>5</vt:i4>
      </vt:variant>
      <vt:variant>
        <vt:lpwstr/>
      </vt:variant>
      <vt:variant>
        <vt:lpwstr>_Toc71037812</vt:lpwstr>
      </vt:variant>
      <vt:variant>
        <vt:i4>1835057</vt:i4>
      </vt:variant>
      <vt:variant>
        <vt:i4>125</vt:i4>
      </vt:variant>
      <vt:variant>
        <vt:i4>0</vt:i4>
      </vt:variant>
      <vt:variant>
        <vt:i4>5</vt:i4>
      </vt:variant>
      <vt:variant>
        <vt:lpwstr/>
      </vt:variant>
      <vt:variant>
        <vt:lpwstr>_Toc71037811</vt:lpwstr>
      </vt:variant>
      <vt:variant>
        <vt:i4>1900593</vt:i4>
      </vt:variant>
      <vt:variant>
        <vt:i4>119</vt:i4>
      </vt:variant>
      <vt:variant>
        <vt:i4>0</vt:i4>
      </vt:variant>
      <vt:variant>
        <vt:i4>5</vt:i4>
      </vt:variant>
      <vt:variant>
        <vt:lpwstr/>
      </vt:variant>
      <vt:variant>
        <vt:lpwstr>_Toc71037810</vt:lpwstr>
      </vt:variant>
      <vt:variant>
        <vt:i4>1310768</vt:i4>
      </vt:variant>
      <vt:variant>
        <vt:i4>113</vt:i4>
      </vt:variant>
      <vt:variant>
        <vt:i4>0</vt:i4>
      </vt:variant>
      <vt:variant>
        <vt:i4>5</vt:i4>
      </vt:variant>
      <vt:variant>
        <vt:lpwstr/>
      </vt:variant>
      <vt:variant>
        <vt:lpwstr>_Toc71037809</vt:lpwstr>
      </vt:variant>
      <vt:variant>
        <vt:i4>1376304</vt:i4>
      </vt:variant>
      <vt:variant>
        <vt:i4>107</vt:i4>
      </vt:variant>
      <vt:variant>
        <vt:i4>0</vt:i4>
      </vt:variant>
      <vt:variant>
        <vt:i4>5</vt:i4>
      </vt:variant>
      <vt:variant>
        <vt:lpwstr/>
      </vt:variant>
      <vt:variant>
        <vt:lpwstr>_Toc71037808</vt:lpwstr>
      </vt:variant>
      <vt:variant>
        <vt:i4>1703984</vt:i4>
      </vt:variant>
      <vt:variant>
        <vt:i4>101</vt:i4>
      </vt:variant>
      <vt:variant>
        <vt:i4>0</vt:i4>
      </vt:variant>
      <vt:variant>
        <vt:i4>5</vt:i4>
      </vt:variant>
      <vt:variant>
        <vt:lpwstr/>
      </vt:variant>
      <vt:variant>
        <vt:lpwstr>_Toc71037807</vt:lpwstr>
      </vt:variant>
      <vt:variant>
        <vt:i4>1769520</vt:i4>
      </vt:variant>
      <vt:variant>
        <vt:i4>95</vt:i4>
      </vt:variant>
      <vt:variant>
        <vt:i4>0</vt:i4>
      </vt:variant>
      <vt:variant>
        <vt:i4>5</vt:i4>
      </vt:variant>
      <vt:variant>
        <vt:lpwstr/>
      </vt:variant>
      <vt:variant>
        <vt:lpwstr>_Toc71037806</vt:lpwstr>
      </vt:variant>
      <vt:variant>
        <vt:i4>1572912</vt:i4>
      </vt:variant>
      <vt:variant>
        <vt:i4>89</vt:i4>
      </vt:variant>
      <vt:variant>
        <vt:i4>0</vt:i4>
      </vt:variant>
      <vt:variant>
        <vt:i4>5</vt:i4>
      </vt:variant>
      <vt:variant>
        <vt:lpwstr/>
      </vt:variant>
      <vt:variant>
        <vt:lpwstr>_Toc71037805</vt:lpwstr>
      </vt:variant>
      <vt:variant>
        <vt:i4>1638448</vt:i4>
      </vt:variant>
      <vt:variant>
        <vt:i4>83</vt:i4>
      </vt:variant>
      <vt:variant>
        <vt:i4>0</vt:i4>
      </vt:variant>
      <vt:variant>
        <vt:i4>5</vt:i4>
      </vt:variant>
      <vt:variant>
        <vt:lpwstr/>
      </vt:variant>
      <vt:variant>
        <vt:lpwstr>_Toc71037804</vt:lpwstr>
      </vt:variant>
      <vt:variant>
        <vt:i4>1966128</vt:i4>
      </vt:variant>
      <vt:variant>
        <vt:i4>77</vt:i4>
      </vt:variant>
      <vt:variant>
        <vt:i4>0</vt:i4>
      </vt:variant>
      <vt:variant>
        <vt:i4>5</vt:i4>
      </vt:variant>
      <vt:variant>
        <vt:lpwstr/>
      </vt:variant>
      <vt:variant>
        <vt:lpwstr>_Toc71037803</vt:lpwstr>
      </vt:variant>
      <vt:variant>
        <vt:i4>2031664</vt:i4>
      </vt:variant>
      <vt:variant>
        <vt:i4>71</vt:i4>
      </vt:variant>
      <vt:variant>
        <vt:i4>0</vt:i4>
      </vt:variant>
      <vt:variant>
        <vt:i4>5</vt:i4>
      </vt:variant>
      <vt:variant>
        <vt:lpwstr/>
      </vt:variant>
      <vt:variant>
        <vt:lpwstr>_Toc71037802</vt:lpwstr>
      </vt:variant>
      <vt:variant>
        <vt:i4>1835056</vt:i4>
      </vt:variant>
      <vt:variant>
        <vt:i4>65</vt:i4>
      </vt:variant>
      <vt:variant>
        <vt:i4>0</vt:i4>
      </vt:variant>
      <vt:variant>
        <vt:i4>5</vt:i4>
      </vt:variant>
      <vt:variant>
        <vt:lpwstr/>
      </vt:variant>
      <vt:variant>
        <vt:lpwstr>_Toc71037801</vt:lpwstr>
      </vt:variant>
      <vt:variant>
        <vt:i4>1900592</vt:i4>
      </vt:variant>
      <vt:variant>
        <vt:i4>59</vt:i4>
      </vt:variant>
      <vt:variant>
        <vt:i4>0</vt:i4>
      </vt:variant>
      <vt:variant>
        <vt:i4>5</vt:i4>
      </vt:variant>
      <vt:variant>
        <vt:lpwstr/>
      </vt:variant>
      <vt:variant>
        <vt:lpwstr>_Toc71037800</vt:lpwstr>
      </vt:variant>
      <vt:variant>
        <vt:i4>1769529</vt:i4>
      </vt:variant>
      <vt:variant>
        <vt:i4>53</vt:i4>
      </vt:variant>
      <vt:variant>
        <vt:i4>0</vt:i4>
      </vt:variant>
      <vt:variant>
        <vt:i4>5</vt:i4>
      </vt:variant>
      <vt:variant>
        <vt:lpwstr/>
      </vt:variant>
      <vt:variant>
        <vt:lpwstr>_Toc71037799</vt:lpwstr>
      </vt:variant>
      <vt:variant>
        <vt:i4>1703993</vt:i4>
      </vt:variant>
      <vt:variant>
        <vt:i4>47</vt:i4>
      </vt:variant>
      <vt:variant>
        <vt:i4>0</vt:i4>
      </vt:variant>
      <vt:variant>
        <vt:i4>5</vt:i4>
      </vt:variant>
      <vt:variant>
        <vt:lpwstr/>
      </vt:variant>
      <vt:variant>
        <vt:lpwstr>_Toc71037798</vt:lpwstr>
      </vt:variant>
      <vt:variant>
        <vt:i4>1376313</vt:i4>
      </vt:variant>
      <vt:variant>
        <vt:i4>41</vt:i4>
      </vt:variant>
      <vt:variant>
        <vt:i4>0</vt:i4>
      </vt:variant>
      <vt:variant>
        <vt:i4>5</vt:i4>
      </vt:variant>
      <vt:variant>
        <vt:lpwstr/>
      </vt:variant>
      <vt:variant>
        <vt:lpwstr>_Toc71037797</vt:lpwstr>
      </vt:variant>
      <vt:variant>
        <vt:i4>1310777</vt:i4>
      </vt:variant>
      <vt:variant>
        <vt:i4>35</vt:i4>
      </vt:variant>
      <vt:variant>
        <vt:i4>0</vt:i4>
      </vt:variant>
      <vt:variant>
        <vt:i4>5</vt:i4>
      </vt:variant>
      <vt:variant>
        <vt:lpwstr/>
      </vt:variant>
      <vt:variant>
        <vt:lpwstr>_Toc71037796</vt:lpwstr>
      </vt:variant>
      <vt:variant>
        <vt:i4>1507385</vt:i4>
      </vt:variant>
      <vt:variant>
        <vt:i4>29</vt:i4>
      </vt:variant>
      <vt:variant>
        <vt:i4>0</vt:i4>
      </vt:variant>
      <vt:variant>
        <vt:i4>5</vt:i4>
      </vt:variant>
      <vt:variant>
        <vt:lpwstr/>
      </vt:variant>
      <vt:variant>
        <vt:lpwstr>_Toc71037795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80</dc:title>
  <dc:subject/>
  <dc:creator>ECC</dc:creator>
  <cp:keywords>CEPT Report 80</cp:keywords>
  <dc:description>This template is used as guidance to draft ECC Reports.</dc:description>
  <cp:lastModifiedBy>ECO</cp:lastModifiedBy>
  <cp:revision>3</cp:revision>
  <cp:lastPrinted>2019-04-26T10:59:00Z</cp:lastPrinted>
  <dcterms:created xsi:type="dcterms:W3CDTF">2021-11-19T14:45:00Z</dcterms:created>
  <dcterms:modified xsi:type="dcterms:W3CDTF">2021-11-19T14:46:00Z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4206327d-2643-416a-a230-cfedf88c3fe2</vt:lpwstr>
  </property>
  <property fmtid="{D5CDD505-2E9C-101B-9397-08002B2CF9AE}" pid="3" name="CTP_TimeStamp">
    <vt:lpwstr>2019-06-13 12:02:29Z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(3)Rg4bdcgLKkoLYpsXoTlGpgBr5UdPvbQ4WGoC4fYtPziTu22igt9z5VLXz31jteuZpNb9QcRo
zfXsfXIDhxzgr/MXwRaySAJe7bR9vd91aRhQkeHjKVcixhV1o/jYMDaN3nh++oTUkXS70Pgx
WQd+XfWQGkkFAVQbA4gTMqQDoONYO6npUBTdWexoZl9bMdVgXDmv9fZVerlTdU/BV5vi84Qs
aIF9VgvSlrWNh4JZ90</vt:lpwstr>
  </property>
  <property fmtid="{D5CDD505-2E9C-101B-9397-08002B2CF9AE}" pid="8" name="_2015_ms_pID_7253431">
    <vt:lpwstr>iJpJP1876ZRYjr0ov4GEhCrMPTpaf7cb+4uTtOUMpH9c7f3Yd2UuZ7
NjuhYADEsj9LKdzD8kje7IKgI1EHeURokebUgoFfSSaT+RjI53ahZY43kX1Kdu+y0kTsKvze
pw8Tgmd2tjrdPaau43eC62FRjTKD3SpPjcPVPCTfUpBFfvgMxjzR1XzHGQvb68ghAkXIGNH8
R/X7tEpG/cOfYcAFQ0H1ChS+Dzw/klJpioR5</vt:lpwstr>
  </property>
  <property fmtid="{D5CDD505-2E9C-101B-9397-08002B2CF9AE}" pid="9" name="_2015_ms_pID_7253432">
    <vt:lpwstr>xg==</vt:lpwstr>
  </property>
  <property fmtid="{D5CDD505-2E9C-101B-9397-08002B2CF9AE}" pid="10" name="CTPClassification">
    <vt:lpwstr>CTP_NT</vt:lpwstr>
  </property>
  <property fmtid="{D5CDD505-2E9C-101B-9397-08002B2CF9AE}" pid="11" name="ContentTypeId">
    <vt:lpwstr>0x01010044478C85EABFF844A0D06D88F3A1A6B4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1619206126</vt:lpwstr>
  </property>
  <property fmtid="{D5CDD505-2E9C-101B-9397-08002B2CF9AE}" pid="16" name="MSIP_Label_5a50d26f-5c2c-4137-8396-1b24eb24286c_Enabled">
    <vt:lpwstr>true</vt:lpwstr>
  </property>
  <property fmtid="{D5CDD505-2E9C-101B-9397-08002B2CF9AE}" pid="17" name="MSIP_Label_5a50d26f-5c2c-4137-8396-1b24eb24286c_SetDate">
    <vt:lpwstr>2021-06-29T14:35:06Z</vt:lpwstr>
  </property>
  <property fmtid="{D5CDD505-2E9C-101B-9397-08002B2CF9AE}" pid="18" name="MSIP_Label_5a50d26f-5c2c-4137-8396-1b24eb24286c_Method">
    <vt:lpwstr>Privileged</vt:lpwstr>
  </property>
  <property fmtid="{D5CDD505-2E9C-101B-9397-08002B2CF9AE}" pid="19" name="MSIP_Label_5a50d26f-5c2c-4137-8396-1b24eb24286c_Name">
    <vt:lpwstr>5a50d26f-5c2c-4137-8396-1b24eb24286c</vt:lpwstr>
  </property>
  <property fmtid="{D5CDD505-2E9C-101B-9397-08002B2CF9AE}" pid="20" name="MSIP_Label_5a50d26f-5c2c-4137-8396-1b24eb24286c_SiteId">
    <vt:lpwstr>0af648de-310c-4068-8ae4-f9418bae24cc</vt:lpwstr>
  </property>
  <property fmtid="{D5CDD505-2E9C-101B-9397-08002B2CF9AE}" pid="21" name="MSIP_Label_5a50d26f-5c2c-4137-8396-1b24eb24286c_ActionId">
    <vt:lpwstr/>
  </property>
  <property fmtid="{D5CDD505-2E9C-101B-9397-08002B2CF9AE}" pid="22" name="MSIP_Label_5a50d26f-5c2c-4137-8396-1b24eb24286c_ContentBits">
    <vt:lpwstr>0</vt:lpwstr>
  </property>
</Properties>
</file>