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49E9" w14:textId="77777777" w:rsidR="00C74BE6" w:rsidRPr="004746D1" w:rsidRDefault="00C74BE6">
      <w:pPr>
        <w:rPr>
          <w:lang w:val="en-GB"/>
        </w:rPr>
      </w:pPr>
    </w:p>
    <w:p w14:paraId="08795DCB" w14:textId="77777777" w:rsidR="00C74BE6" w:rsidRPr="004746D1" w:rsidRDefault="00C74BE6" w:rsidP="00C74BE6">
      <w:pPr>
        <w:jc w:val="center"/>
        <w:rPr>
          <w:lang w:val="en-GB"/>
        </w:rPr>
      </w:pPr>
    </w:p>
    <w:p w14:paraId="330FE8D3" w14:textId="77777777" w:rsidR="00C74BE6" w:rsidRPr="004746D1" w:rsidRDefault="00C74BE6" w:rsidP="00C74BE6">
      <w:pPr>
        <w:jc w:val="center"/>
        <w:rPr>
          <w:lang w:val="en-GB"/>
        </w:rPr>
      </w:pPr>
    </w:p>
    <w:p w14:paraId="0463A359" w14:textId="77777777" w:rsidR="00C74BE6" w:rsidRPr="004746D1" w:rsidRDefault="00C74BE6" w:rsidP="00C74BE6">
      <w:pPr>
        <w:rPr>
          <w:lang w:val="en-GB"/>
        </w:rPr>
      </w:pPr>
    </w:p>
    <w:p w14:paraId="7D7E45C0" w14:textId="77777777" w:rsidR="00C74BE6" w:rsidRPr="004746D1" w:rsidRDefault="00C74BE6" w:rsidP="00C74BE6">
      <w:pPr>
        <w:rPr>
          <w:lang w:val="en-GB"/>
        </w:rPr>
      </w:pPr>
    </w:p>
    <w:p w14:paraId="7046CE55" w14:textId="77777777" w:rsidR="00C74BE6" w:rsidRPr="004746D1" w:rsidRDefault="00FD3FA4" w:rsidP="00C74BE6">
      <w:pPr>
        <w:jc w:val="center"/>
        <w:rPr>
          <w:b/>
          <w:sz w:val="24"/>
          <w:lang w:val="en-GB"/>
        </w:rPr>
      </w:pPr>
      <w:r w:rsidRPr="004746D1">
        <w:rPr>
          <w:b/>
          <w:noProof/>
          <w:sz w:val="24"/>
          <w:szCs w:val="20"/>
          <w:lang w:val="en-GB" w:eastAsia="de-DE"/>
        </w:rPr>
        <mc:AlternateContent>
          <mc:Choice Requires="wpg">
            <w:drawing>
              <wp:anchor distT="0" distB="0" distL="114300" distR="114300" simplePos="0" relativeHeight="251658240" behindDoc="0" locked="0" layoutInCell="1" allowOverlap="1" wp14:anchorId="04322338" wp14:editId="127DC622">
                <wp:simplePos x="0" y="0"/>
                <wp:positionH relativeFrom="column">
                  <wp:posOffset>-720090</wp:posOffset>
                </wp:positionH>
                <wp:positionV relativeFrom="paragraph">
                  <wp:posOffset>69850</wp:posOffset>
                </wp:positionV>
                <wp:extent cx="7564120" cy="8268970"/>
                <wp:effectExtent l="0" t="0" r="5080" b="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BA25B" w14:textId="5A9E206B" w:rsidR="001A0F1C" w:rsidRPr="00C95C7C" w:rsidRDefault="001A0F1C" w:rsidP="00C74BE6">
                              <w:pPr>
                                <w:rPr>
                                  <w:color w:val="FFFFFF"/>
                                  <w:sz w:val="68"/>
                                </w:rPr>
                              </w:pPr>
                              <w:r w:rsidRPr="00C95C7C">
                                <w:rPr>
                                  <w:color w:val="FFFFFF"/>
                                  <w:sz w:val="68"/>
                                </w:rPr>
                                <w:t xml:space="preserve">ECC Recommendation </w:t>
                              </w:r>
                              <w:r w:rsidR="000344AC" w:rsidRPr="000344AC">
                                <w:rPr>
                                  <w:color w:val="887E6E"/>
                                  <w:sz w:val="68"/>
                                </w:rPr>
                                <w:t>(21)02</w:t>
                              </w:r>
                            </w:p>
                            <w:p w14:paraId="600066EE" w14:textId="77777777" w:rsidR="001A0F1C" w:rsidRPr="00C95C7C" w:rsidRDefault="001A0F1C" w:rsidP="00C74BE6">
                              <w:pPr>
                                <w:rPr>
                                  <w:color w:val="887E6E"/>
                                  <w:sz w:val="44"/>
                                </w:rPr>
                              </w:pPr>
                            </w:p>
                          </w:txbxContent>
                        </wps:txbx>
                        <wps:bodyPr rot="0" vert="horz" wrap="square" lIns="2880000" tIns="360000" rIns="91440" bIns="45720" anchor="t" anchorCtr="0" upright="1">
                          <a:noAutofit/>
                        </wps:bodyPr>
                      </wps:wsp>
                      <wpg:grpSp>
                        <wpg:cNvPr id="7" name="Group 28"/>
                        <wpg:cNvGrpSpPr>
                          <a:grpSpLocks/>
                        </wpg:cNvGrpSpPr>
                        <wpg:grpSpPr bwMode="auto">
                          <a:xfrm>
                            <a:off x="1674" y="3087"/>
                            <a:ext cx="1790" cy="1790"/>
                            <a:chOff x="964" y="3424"/>
                            <a:chExt cx="1457" cy="1457"/>
                          </a:xfrm>
                        </wpg:grpSpPr>
                        <wps:wsp>
                          <wps:cNvPr id="8" name="Rectangle 29"/>
                          <wps:cNvSpPr>
                            <a:spLocks noChangeAspect="1" noChangeArrowheads="1"/>
                          </wps:cNvSpPr>
                          <wps:spPr bwMode="auto">
                            <a:xfrm rot="2700000">
                              <a:off x="964" y="3424"/>
                              <a:ext cx="145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s:wsp>
                          <wps:cNvPr id="9" name="AutoShape 30"/>
                          <wps:cNvSpPr>
                            <a:spLocks noChangeArrowheads="1"/>
                          </wps:cNvSpPr>
                          <wps:spPr bwMode="auto">
                            <a:xfrm rot="5400000">
                              <a:off x="1338" y="3781"/>
                              <a:ext cx="1429" cy="737"/>
                            </a:xfrm>
                            <a:prstGeom prst="triangle">
                              <a:avLst>
                                <a:gd name="adj" fmla="val 50000"/>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36000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322338" id="Group 31"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" fillcolor="#57433e" stroked="f">
                  <v:textbox inset=",10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" fillcolor="#57433e" stroked="f">
                  <v:textbox inset="80mm,10mm">
                    <w:txbxContent>
                      <w:p w14:paraId="772BA25B" w14:textId="5A9E206B" w:rsidR="001A0F1C" w:rsidRPr="00C95C7C" w:rsidRDefault="001A0F1C" w:rsidP="00C74BE6">
                        <w:pPr>
                          <w:rPr>
                            <w:color w:val="FFFFFF"/>
                            <w:sz w:val="68"/>
                          </w:rPr>
                        </w:pPr>
                        <w:r w:rsidRPr="00C95C7C">
                          <w:rPr>
                            <w:color w:val="FFFFFF"/>
                            <w:sz w:val="68"/>
                          </w:rPr>
                          <w:t xml:space="preserve">ECC Recommendation </w:t>
                        </w:r>
                        <w:r w:rsidR="000344AC" w:rsidRPr="000344AC">
                          <w:rPr>
                            <w:color w:val="887E6E"/>
                            <w:sz w:val="68"/>
                          </w:rPr>
                          <w:t>(21)02</w:t>
                        </w:r>
                      </w:p>
                      <w:p w14:paraId="600066EE" w14:textId="77777777" w:rsidR="001A0F1C" w:rsidRPr="00C95C7C" w:rsidRDefault="001A0F1C" w:rsidP="00C74BE6">
                        <w:pPr>
                          <w:rPr>
                            <w:color w:val="887E6E"/>
                            <w:sz w:val="44"/>
                          </w:rPr>
                        </w:pPr>
                      </w:p>
                    </w:txbxContent>
                  </v:textbox>
                </v:shape>
                <v:group id="Group 28" o:spid="_x0000_s1029" style="position:absolute;left:1674;top:3087;width:1790;height:1790" coordorigin="964,3424" coordsize="1457,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9" o:spid="_x0000_s1030" style="position:absolute;left:964;top:3424;width:1457;height:145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" stroked="f">
                    <o:lock v:ext="edit" aspectratio="t"/>
                    <v:textbox inset=",10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31" type="#_x0000_t5" style="position:absolute;left:1338;top:3781;width:1429;height: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" fillcolor="#d2232a" stroked="f">
                    <v:textbox inset=",10mm"/>
                  </v:shape>
                </v:group>
              </v:group>
            </w:pict>
          </mc:Fallback>
        </mc:AlternateContent>
      </w:r>
    </w:p>
    <w:p w14:paraId="0A79ABA1" w14:textId="77777777" w:rsidR="00C74BE6" w:rsidRPr="004746D1" w:rsidRDefault="00C74BE6" w:rsidP="00C74BE6">
      <w:pPr>
        <w:jc w:val="center"/>
        <w:rPr>
          <w:b/>
          <w:sz w:val="24"/>
          <w:lang w:val="en-GB"/>
        </w:rPr>
      </w:pPr>
    </w:p>
    <w:p w14:paraId="78B9F9EE" w14:textId="77777777" w:rsidR="00C74BE6" w:rsidRPr="004746D1" w:rsidRDefault="00C74BE6" w:rsidP="00C74BE6">
      <w:pPr>
        <w:jc w:val="center"/>
        <w:rPr>
          <w:b/>
          <w:sz w:val="24"/>
          <w:lang w:val="en-GB"/>
        </w:rPr>
      </w:pPr>
    </w:p>
    <w:p w14:paraId="11B61361" w14:textId="77777777" w:rsidR="00C74BE6" w:rsidRPr="004746D1" w:rsidRDefault="00C74BE6" w:rsidP="00C74BE6">
      <w:pPr>
        <w:jc w:val="center"/>
        <w:rPr>
          <w:b/>
          <w:sz w:val="24"/>
          <w:lang w:val="en-GB"/>
        </w:rPr>
      </w:pPr>
    </w:p>
    <w:p w14:paraId="111223B8" w14:textId="77777777" w:rsidR="00C74BE6" w:rsidRPr="004746D1" w:rsidRDefault="00C74BE6" w:rsidP="00C74BE6">
      <w:pPr>
        <w:jc w:val="center"/>
        <w:rPr>
          <w:b/>
          <w:sz w:val="24"/>
          <w:lang w:val="en-GB"/>
        </w:rPr>
      </w:pPr>
    </w:p>
    <w:p w14:paraId="7FF0F526" w14:textId="77777777" w:rsidR="00C74BE6" w:rsidRPr="004746D1" w:rsidRDefault="00C74BE6" w:rsidP="00C74BE6">
      <w:pPr>
        <w:jc w:val="center"/>
        <w:rPr>
          <w:b/>
          <w:sz w:val="24"/>
          <w:lang w:val="en-GB"/>
        </w:rPr>
      </w:pPr>
    </w:p>
    <w:p w14:paraId="59F9B28E" w14:textId="77777777" w:rsidR="00C74BE6" w:rsidRPr="004746D1" w:rsidRDefault="00C74BE6" w:rsidP="00C74BE6">
      <w:pPr>
        <w:jc w:val="center"/>
        <w:rPr>
          <w:b/>
          <w:sz w:val="24"/>
          <w:lang w:val="en-GB"/>
        </w:rPr>
      </w:pPr>
    </w:p>
    <w:p w14:paraId="5B43E63F" w14:textId="77777777" w:rsidR="00C74BE6" w:rsidRPr="004746D1" w:rsidRDefault="00C74BE6" w:rsidP="00C74BE6">
      <w:pPr>
        <w:jc w:val="center"/>
        <w:rPr>
          <w:b/>
          <w:sz w:val="24"/>
          <w:lang w:val="en-GB"/>
        </w:rPr>
      </w:pPr>
    </w:p>
    <w:p w14:paraId="56E4F7F8" w14:textId="77777777" w:rsidR="00C74BE6" w:rsidRPr="004746D1" w:rsidRDefault="00C74BE6" w:rsidP="00C74BE6">
      <w:pPr>
        <w:jc w:val="center"/>
        <w:rPr>
          <w:b/>
          <w:sz w:val="24"/>
          <w:lang w:val="en-GB"/>
        </w:rPr>
      </w:pPr>
    </w:p>
    <w:p w14:paraId="2909D351" w14:textId="77777777" w:rsidR="00C74BE6" w:rsidRPr="004746D1" w:rsidRDefault="00C74BE6" w:rsidP="00C74BE6">
      <w:pPr>
        <w:jc w:val="center"/>
        <w:rPr>
          <w:b/>
          <w:sz w:val="24"/>
          <w:lang w:val="en-GB"/>
        </w:rPr>
      </w:pPr>
    </w:p>
    <w:p w14:paraId="78FC8551" w14:textId="77777777" w:rsidR="00C74BE6" w:rsidRPr="004746D1" w:rsidRDefault="00C74BE6" w:rsidP="00C74BE6">
      <w:pPr>
        <w:jc w:val="center"/>
        <w:rPr>
          <w:b/>
          <w:sz w:val="24"/>
          <w:lang w:val="en-GB"/>
        </w:rPr>
      </w:pPr>
    </w:p>
    <w:p w14:paraId="0A936BCA" w14:textId="77777777" w:rsidR="00C74BE6" w:rsidRPr="004746D1" w:rsidRDefault="00C74BE6" w:rsidP="00C74BE6">
      <w:pPr>
        <w:rPr>
          <w:b/>
          <w:sz w:val="24"/>
          <w:lang w:val="en-GB"/>
        </w:rPr>
      </w:pPr>
    </w:p>
    <w:p w14:paraId="549AE57F" w14:textId="77777777" w:rsidR="00C74BE6" w:rsidRPr="004746D1" w:rsidRDefault="00C74BE6" w:rsidP="00C74BE6">
      <w:pPr>
        <w:jc w:val="center"/>
        <w:rPr>
          <w:b/>
          <w:sz w:val="24"/>
          <w:lang w:val="en-GB"/>
        </w:rPr>
      </w:pPr>
    </w:p>
    <w:p w14:paraId="55630D0E" w14:textId="1B84D693" w:rsidR="00C74BE6" w:rsidRPr="004746D1" w:rsidRDefault="00AD1CF1" w:rsidP="00D91687">
      <w:pPr>
        <w:pStyle w:val="Reporttitledescription"/>
        <w:rPr>
          <w:lang w:val="en-GB"/>
        </w:rPr>
      </w:pPr>
      <w:r w:rsidRPr="004746D1">
        <w:rPr>
          <w:lang w:val="en-GB"/>
        </w:rPr>
        <w:t>Guidance on the application of the least restrictive technical conditions (LRTC) in ECC</w:t>
      </w:r>
      <w:r w:rsidR="007E0CCC" w:rsidRPr="004746D1">
        <w:rPr>
          <w:lang w:val="en-GB"/>
        </w:rPr>
        <w:t xml:space="preserve"> Decision </w:t>
      </w:r>
      <w:r w:rsidRPr="004746D1">
        <w:rPr>
          <w:lang w:val="en-GB"/>
        </w:rPr>
        <w:t>(11)06</w:t>
      </w:r>
      <w:r w:rsidR="006D476D" w:rsidRPr="004746D1">
        <w:rPr>
          <w:lang w:val="en-GB"/>
        </w:rPr>
        <w:t xml:space="preserve"> (</w:t>
      </w:r>
      <w:r w:rsidR="008365D4" w:rsidRPr="004746D1">
        <w:rPr>
          <w:lang w:val="en-GB"/>
        </w:rPr>
        <w:t xml:space="preserve">amended </w:t>
      </w:r>
      <w:r w:rsidR="00AA6A6F" w:rsidRPr="004746D1">
        <w:rPr>
          <w:lang w:val="en-GB"/>
        </w:rPr>
        <w:t>26 October 2018</w:t>
      </w:r>
      <w:r w:rsidR="006D476D" w:rsidRPr="004746D1">
        <w:rPr>
          <w:lang w:val="en-GB"/>
        </w:rPr>
        <w:t>)</w:t>
      </w:r>
      <w:r w:rsidRPr="004746D1">
        <w:rPr>
          <w:lang w:val="en-GB"/>
        </w:rPr>
        <w:t xml:space="preserve"> to ensure protection of the military radiolocation systems operating below 3400 MHz from indoor </w:t>
      </w:r>
      <w:r w:rsidR="006D476D" w:rsidRPr="004746D1">
        <w:rPr>
          <w:lang w:val="en-GB"/>
        </w:rPr>
        <w:t xml:space="preserve">non-AAS </w:t>
      </w:r>
      <w:r w:rsidRPr="004746D1">
        <w:rPr>
          <w:lang w:val="en-GB"/>
        </w:rPr>
        <w:t>small cells operating in the band 3400-3800</w:t>
      </w:r>
      <w:r w:rsidR="006D3587" w:rsidRPr="004746D1">
        <w:rPr>
          <w:lang w:val="en-GB"/>
        </w:rPr>
        <w:t xml:space="preserve"> </w:t>
      </w:r>
      <w:r w:rsidRPr="004746D1">
        <w:rPr>
          <w:lang w:val="en-GB"/>
        </w:rPr>
        <w:t>MHz</w:t>
      </w:r>
    </w:p>
    <w:p w14:paraId="53F8BCB5" w14:textId="20187C8E" w:rsidR="00C74BE6" w:rsidRPr="004746D1" w:rsidRDefault="008D2E47" w:rsidP="00C74BE6">
      <w:pPr>
        <w:pStyle w:val="Reporttitledescription"/>
        <w:rPr>
          <w:b/>
          <w:sz w:val="18"/>
          <w:lang w:val="en-GB"/>
        </w:rPr>
      </w:pPr>
      <w:r>
        <w:rPr>
          <w:b/>
          <w:sz w:val="18"/>
          <w:lang w:val="en-GB"/>
        </w:rPr>
        <w:fldChar w:fldCharType="begin">
          <w:ffData>
            <w:name w:val="Text8"/>
            <w:enabled/>
            <w:calcOnExit w:val="0"/>
            <w:textInput>
              <w:default w:val="approved 05 November 2021"/>
            </w:textInput>
          </w:ffData>
        </w:fldChar>
      </w:r>
      <w:bookmarkStart w:id="0" w:name="Text8"/>
      <w:r>
        <w:rPr>
          <w:b/>
          <w:sz w:val="18"/>
          <w:lang w:val="en-GB"/>
        </w:rPr>
        <w:instrText xml:space="preserve"> FORMTEXT </w:instrText>
      </w:r>
      <w:r>
        <w:rPr>
          <w:b/>
          <w:sz w:val="18"/>
          <w:lang w:val="en-GB"/>
        </w:rPr>
      </w:r>
      <w:r>
        <w:rPr>
          <w:b/>
          <w:sz w:val="18"/>
          <w:lang w:val="en-GB"/>
        </w:rPr>
        <w:fldChar w:fldCharType="separate"/>
      </w:r>
      <w:r>
        <w:rPr>
          <w:b/>
          <w:noProof/>
          <w:sz w:val="18"/>
          <w:lang w:val="en-GB"/>
        </w:rPr>
        <w:t>approved 05 November 2021</w:t>
      </w:r>
      <w:r>
        <w:rPr>
          <w:b/>
          <w:sz w:val="18"/>
          <w:lang w:val="en-GB"/>
        </w:rPr>
        <w:fldChar w:fldCharType="end"/>
      </w:r>
      <w:bookmarkEnd w:id="0"/>
    </w:p>
    <w:p w14:paraId="2F09EC53" w14:textId="0AA7EC83" w:rsidR="00C332D9" w:rsidRPr="004746D1" w:rsidRDefault="00A400B5" w:rsidP="00C74BE6">
      <w:pPr>
        <w:pStyle w:val="Lastupdated"/>
        <w:rPr>
          <w:b/>
          <w:lang w:val="en-GB"/>
        </w:rPr>
      </w:pPr>
      <w:r w:rsidRPr="004746D1">
        <w:rPr>
          <w:b/>
          <w:lang w:val="en-GB"/>
        </w:rPr>
        <w:fldChar w:fldCharType="begin">
          <w:ffData>
            <w:name w:val="Text3"/>
            <w:enabled/>
            <w:calcOnExit w:val="0"/>
            <w:textInput/>
          </w:ffData>
        </w:fldChar>
      </w:r>
      <w:r w:rsidRPr="004746D1">
        <w:rPr>
          <w:b/>
          <w:lang w:val="en-GB"/>
        </w:rPr>
        <w:instrText xml:space="preserve"> </w:instrText>
      </w:r>
      <w:bookmarkStart w:id="1" w:name="Text3"/>
      <w:r w:rsidRPr="004746D1">
        <w:rPr>
          <w:b/>
          <w:lang w:val="en-GB"/>
        </w:rPr>
        <w:instrText xml:space="preserve">FORMTEXT </w:instrText>
      </w:r>
      <w:r w:rsidRPr="004746D1">
        <w:rPr>
          <w:b/>
          <w:lang w:val="en-GB"/>
        </w:rPr>
      </w:r>
      <w:r w:rsidRPr="004746D1">
        <w:rPr>
          <w:b/>
          <w:lang w:val="en-GB"/>
        </w:rPr>
        <w:fldChar w:fldCharType="separate"/>
      </w:r>
      <w:r w:rsidR="0096709F" w:rsidRPr="004746D1">
        <w:rPr>
          <w:b/>
          <w:lang w:val="en-GB"/>
        </w:rPr>
        <w:t> </w:t>
      </w:r>
      <w:r w:rsidR="0096709F" w:rsidRPr="004746D1">
        <w:rPr>
          <w:b/>
          <w:lang w:val="en-GB"/>
        </w:rPr>
        <w:t> </w:t>
      </w:r>
      <w:r w:rsidR="0096709F" w:rsidRPr="004746D1">
        <w:rPr>
          <w:b/>
          <w:lang w:val="en-GB"/>
        </w:rPr>
        <w:t> </w:t>
      </w:r>
      <w:r w:rsidR="0096709F" w:rsidRPr="004746D1">
        <w:rPr>
          <w:b/>
          <w:lang w:val="en-GB"/>
        </w:rPr>
        <w:t> </w:t>
      </w:r>
      <w:r w:rsidR="0096709F" w:rsidRPr="004746D1">
        <w:rPr>
          <w:b/>
          <w:lang w:val="en-GB"/>
        </w:rPr>
        <w:t> </w:t>
      </w:r>
      <w:r w:rsidRPr="004746D1">
        <w:rPr>
          <w:b/>
          <w:lang w:val="en-GB"/>
        </w:rPr>
        <w:fldChar w:fldCharType="end"/>
      </w:r>
      <w:bookmarkEnd w:id="1"/>
    </w:p>
    <w:p w14:paraId="3F712A77" w14:textId="77777777" w:rsidR="00C74BE6" w:rsidRPr="004746D1" w:rsidRDefault="00C74BE6">
      <w:pPr>
        <w:rPr>
          <w:lang w:val="en-GB"/>
        </w:rPr>
      </w:pPr>
    </w:p>
    <w:p w14:paraId="08CCD207" w14:textId="77777777" w:rsidR="00203E66" w:rsidRPr="004746D1" w:rsidRDefault="00203E66">
      <w:pPr>
        <w:rPr>
          <w:lang w:val="en-GB"/>
        </w:rPr>
        <w:sectPr w:rsidR="00203E66" w:rsidRPr="004746D1">
          <w:headerReference w:type="even" r:id="rId8"/>
          <w:headerReference w:type="default" r:id="rId9"/>
          <w:footerReference w:type="even" r:id="rId10"/>
          <w:footerReference w:type="default" r:id="rId11"/>
          <w:headerReference w:type="first" r:id="rId12"/>
          <w:footerReference w:type="first" r:id="rId13"/>
          <w:pgSz w:w="11907" w:h="16840" w:code="9"/>
          <w:pgMar w:top="1440" w:right="1134" w:bottom="1440" w:left="1134" w:header="709" w:footer="709" w:gutter="0"/>
          <w:cols w:space="708"/>
          <w:titlePg/>
          <w:docGrid w:linePitch="360"/>
        </w:sectPr>
      </w:pPr>
    </w:p>
    <w:p w14:paraId="34A21DF3" w14:textId="43021146" w:rsidR="00C74BE6" w:rsidRPr="004746D1" w:rsidRDefault="00835C5B" w:rsidP="00D72883">
      <w:pPr>
        <w:pStyle w:val="Heading1"/>
      </w:pPr>
      <w:r w:rsidRPr="004746D1">
        <w:lastRenderedPageBreak/>
        <w:t>introduction</w:t>
      </w:r>
    </w:p>
    <w:p w14:paraId="022FBA71" w14:textId="3909FD36" w:rsidR="00B56C4D" w:rsidRPr="004746D1" w:rsidRDefault="00B56C4D" w:rsidP="00CD2949">
      <w:pPr>
        <w:pStyle w:val="ECCParagraph"/>
      </w:pPr>
      <w:r w:rsidRPr="004746D1">
        <w:t xml:space="preserve">The technical conditions for </w:t>
      </w:r>
      <w:r w:rsidR="00124A86" w:rsidRPr="004746D1">
        <w:rPr>
          <w:rFonts w:cs="Arial"/>
          <w:color w:val="333333"/>
          <w:szCs w:val="20"/>
        </w:rPr>
        <w:t>M</w:t>
      </w:r>
      <w:r w:rsidRPr="004746D1">
        <w:rPr>
          <w:rFonts w:cs="Arial"/>
          <w:color w:val="333333"/>
          <w:szCs w:val="20"/>
        </w:rPr>
        <w:t>obile/</w:t>
      </w:r>
      <w:r w:rsidR="00124A86" w:rsidRPr="004746D1">
        <w:rPr>
          <w:rFonts w:cs="Arial"/>
          <w:color w:val="333333"/>
          <w:szCs w:val="20"/>
        </w:rPr>
        <w:t>F</w:t>
      </w:r>
      <w:r w:rsidRPr="004746D1">
        <w:rPr>
          <w:rFonts w:cs="Arial"/>
          <w:color w:val="333333"/>
          <w:szCs w:val="20"/>
        </w:rPr>
        <w:t xml:space="preserve">ixed </w:t>
      </w:r>
      <w:r w:rsidR="00124A86" w:rsidRPr="004746D1">
        <w:rPr>
          <w:rFonts w:cs="Arial"/>
          <w:color w:val="333333"/>
          <w:szCs w:val="20"/>
        </w:rPr>
        <w:t>C</w:t>
      </w:r>
      <w:r w:rsidRPr="004746D1">
        <w:rPr>
          <w:rFonts w:cs="Arial"/>
          <w:color w:val="333333"/>
          <w:szCs w:val="20"/>
        </w:rPr>
        <w:t xml:space="preserve">ommunications </w:t>
      </w:r>
      <w:r w:rsidR="00124A86" w:rsidRPr="004746D1">
        <w:rPr>
          <w:rFonts w:cs="Arial"/>
          <w:color w:val="333333"/>
          <w:szCs w:val="20"/>
        </w:rPr>
        <w:t>N</w:t>
      </w:r>
      <w:r w:rsidRPr="004746D1">
        <w:rPr>
          <w:rFonts w:cs="Arial"/>
          <w:color w:val="333333"/>
          <w:szCs w:val="20"/>
        </w:rPr>
        <w:t>etworks (MFCN) operating in the band 3400-3800 MHz</w:t>
      </w:r>
      <w:r w:rsidRPr="004746D1">
        <w:t xml:space="preserve"> are specified in ECC</w:t>
      </w:r>
      <w:r w:rsidR="00124A86" w:rsidRPr="004746D1">
        <w:t xml:space="preserve"> Decision (</w:t>
      </w:r>
      <w:r w:rsidRPr="004746D1">
        <w:t xml:space="preserve">11)06 </w:t>
      </w:r>
      <w:r w:rsidR="006008A0" w:rsidRPr="004746D1">
        <w:fldChar w:fldCharType="begin"/>
      </w:r>
      <w:r w:rsidR="006008A0" w:rsidRPr="004746D1">
        <w:instrText xml:space="preserve"> REF _Ref46239788 \r \h </w:instrText>
      </w:r>
      <w:r w:rsidR="00CD2949" w:rsidRPr="004746D1">
        <w:instrText xml:space="preserve"> \* MERGEFORMAT </w:instrText>
      </w:r>
      <w:r w:rsidR="006008A0" w:rsidRPr="004746D1">
        <w:fldChar w:fldCharType="separate"/>
      </w:r>
      <w:r w:rsidR="0096709F" w:rsidRPr="004746D1">
        <w:t>[1]</w:t>
      </w:r>
      <w:r w:rsidR="006008A0" w:rsidRPr="004746D1">
        <w:fldChar w:fldCharType="end"/>
      </w:r>
      <w:r w:rsidR="006008A0" w:rsidRPr="004746D1">
        <w:t xml:space="preserve"> </w:t>
      </w:r>
      <w:r w:rsidRPr="004746D1">
        <w:t>and the corresponding EC Decision 2019/235</w:t>
      </w:r>
      <w:r w:rsidR="006008A0" w:rsidRPr="004746D1">
        <w:t xml:space="preserve"> </w:t>
      </w:r>
      <w:r w:rsidR="006008A0" w:rsidRPr="004746D1">
        <w:fldChar w:fldCharType="begin"/>
      </w:r>
      <w:r w:rsidR="006008A0" w:rsidRPr="004746D1">
        <w:instrText xml:space="preserve"> REF _Ref46239797 \r \h </w:instrText>
      </w:r>
      <w:r w:rsidR="00CD2949" w:rsidRPr="004746D1">
        <w:instrText xml:space="preserve"> \* MERGEFORMAT </w:instrText>
      </w:r>
      <w:r w:rsidR="006008A0" w:rsidRPr="004746D1">
        <w:fldChar w:fldCharType="separate"/>
      </w:r>
      <w:r w:rsidR="0096709F" w:rsidRPr="004746D1">
        <w:t>[2]</w:t>
      </w:r>
      <w:r w:rsidR="006008A0" w:rsidRPr="004746D1">
        <w:fldChar w:fldCharType="end"/>
      </w:r>
      <w:r w:rsidRPr="004746D1">
        <w:t>.</w:t>
      </w:r>
    </w:p>
    <w:p w14:paraId="7C23AFBE" w14:textId="0154755C" w:rsidR="00683EEC" w:rsidRPr="004746D1" w:rsidRDefault="00B56C4D" w:rsidP="0096709F">
      <w:pPr>
        <w:pStyle w:val="ECCParagraph"/>
      </w:pPr>
      <w:r w:rsidRPr="004746D1">
        <w:t xml:space="preserve">Base station additional baseline power limits below 3400 MHz are stated in Table 5 of the ECC Decision </w:t>
      </w:r>
      <w:r w:rsidR="00156498" w:rsidRPr="004746D1">
        <w:t xml:space="preserve">(11)06 </w:t>
      </w:r>
      <w:r w:rsidRPr="004746D1">
        <w:t>(</w:t>
      </w:r>
      <w:r w:rsidR="00ED520B" w:rsidRPr="004746D1">
        <w:t>extracted</w:t>
      </w:r>
      <w:r w:rsidR="009E4D1A" w:rsidRPr="004746D1">
        <w:t xml:space="preserve"> </w:t>
      </w:r>
      <w:r w:rsidR="00683C3A" w:rsidRPr="004746D1">
        <w:t>below</w:t>
      </w:r>
      <w:r w:rsidRPr="004746D1">
        <w:t>) and reflect the need for protection of the military radiolocation systems that are operating below 3400 MHz in some CEPT countries.</w:t>
      </w:r>
    </w:p>
    <w:p w14:paraId="5EE2D3CD" w14:textId="04B2094B" w:rsidR="0096709F" w:rsidRPr="00F16BB1" w:rsidRDefault="0096709F" w:rsidP="0096709F">
      <w:pPr>
        <w:pStyle w:val="Caption"/>
        <w:keepNext/>
        <w:rPr>
          <w:lang w:val="en-GB"/>
        </w:rPr>
      </w:pPr>
      <w:bookmarkStart w:id="2" w:name="_Ref75170263"/>
      <w:r w:rsidRPr="00F16BB1">
        <w:rPr>
          <w:lang w:val="en-GB"/>
        </w:rPr>
        <w:t xml:space="preserve">Table </w:t>
      </w:r>
      <w:r w:rsidRPr="00F16BB1">
        <w:rPr>
          <w:lang w:val="en-GB"/>
        </w:rPr>
        <w:fldChar w:fldCharType="begin"/>
      </w:r>
      <w:r w:rsidRPr="00F16BB1">
        <w:rPr>
          <w:lang w:val="en-GB"/>
        </w:rPr>
        <w:instrText xml:space="preserve"> SEQ Table \* ARABIC </w:instrText>
      </w:r>
      <w:r w:rsidRPr="00F16BB1">
        <w:rPr>
          <w:lang w:val="en-GB"/>
        </w:rPr>
        <w:fldChar w:fldCharType="separate"/>
      </w:r>
      <w:r w:rsidRPr="00F16BB1">
        <w:rPr>
          <w:lang w:val="en-GB"/>
        </w:rPr>
        <w:t>1</w:t>
      </w:r>
      <w:r w:rsidRPr="00F16BB1">
        <w:rPr>
          <w:lang w:val="en-GB"/>
        </w:rPr>
        <w:fldChar w:fldCharType="end"/>
      </w:r>
      <w:bookmarkEnd w:id="2"/>
      <w:r w:rsidRPr="004746D1">
        <w:rPr>
          <w:rFonts w:eastAsia="Batang" w:cs="Arial"/>
          <w:b w:val="0"/>
          <w:lang w:val="en-GB"/>
        </w:rPr>
        <w:t xml:space="preserve">: </w:t>
      </w:r>
      <w:r w:rsidRPr="004746D1">
        <w:rPr>
          <w:rFonts w:eastAsia="Batang" w:cs="Arial"/>
          <w:lang w:val="en-GB"/>
        </w:rPr>
        <w:t>Base station additional baseline power limits below 3400 MHz for country specific cases, for non-AAS and AAS base stations (</w:t>
      </w:r>
      <w:r w:rsidR="00E54FC3">
        <w:t xml:space="preserve">note </w:t>
      </w:r>
      <w:r w:rsidRPr="004746D1">
        <w:rPr>
          <w:rFonts w:eastAsia="Batang" w:cs="Arial"/>
          <w:lang w:val="en-GB"/>
        </w:rPr>
        <w:t>1) cases</w:t>
      </w:r>
      <w:r w:rsidRPr="004746D1">
        <w:rPr>
          <w:rFonts w:eastAsia="Batang" w:cs="Arial"/>
          <w:b w:val="0"/>
          <w:lang w:val="en-GB"/>
        </w:rPr>
        <w:t xml:space="preserve"> </w:t>
      </w:r>
      <w:r w:rsidRPr="004746D1">
        <w:rPr>
          <w:rFonts w:eastAsia="Batang" w:cs="Arial"/>
          <w:bCs w:val="0"/>
          <w:lang w:val="en-GB"/>
        </w:rPr>
        <w:t>(ECC Decision (11)06 Table 5)</w:t>
      </w:r>
    </w:p>
    <w:tbl>
      <w:tblPr>
        <w:tblStyle w:val="ECCTable-redheader"/>
        <w:tblW w:w="5000" w:type="pct"/>
        <w:tblLook w:val="01E0" w:firstRow="1" w:lastRow="1" w:firstColumn="1" w:lastColumn="1" w:noHBand="0" w:noVBand="0"/>
      </w:tblPr>
      <w:tblGrid>
        <w:gridCol w:w="476"/>
        <w:gridCol w:w="2193"/>
        <w:gridCol w:w="1606"/>
        <w:gridCol w:w="2140"/>
        <w:gridCol w:w="1712"/>
        <w:gridCol w:w="1502"/>
      </w:tblGrid>
      <w:tr w:rsidR="00626D30" w:rsidRPr="004746D1" w14:paraId="17B8E26C" w14:textId="77777777" w:rsidTr="00C27EEC">
        <w:trPr>
          <w:cnfStyle w:val="100000000000" w:firstRow="1" w:lastRow="0" w:firstColumn="0" w:lastColumn="0" w:oddVBand="0" w:evenVBand="0" w:oddHBand="0" w:evenHBand="0" w:firstRowFirstColumn="0" w:firstRowLastColumn="0" w:lastRowFirstColumn="0" w:lastRowLastColumn="0"/>
          <w:trHeight w:val="789"/>
        </w:trPr>
        <w:tc>
          <w:tcPr>
            <w:tcW w:w="1386" w:type="pct"/>
            <w:gridSpan w:val="2"/>
          </w:tcPr>
          <w:p w14:paraId="57637785" w14:textId="77777777" w:rsidR="00626D30" w:rsidRPr="004746D1" w:rsidRDefault="00626D30" w:rsidP="00DD77B1">
            <w:pPr>
              <w:spacing w:line="288" w:lineRule="auto"/>
              <w:rPr>
                <w:rFonts w:cs="Arial"/>
                <w:b w:val="0"/>
                <w:lang w:val="en-GB"/>
              </w:rPr>
            </w:pPr>
            <w:r w:rsidRPr="004746D1">
              <w:rPr>
                <w:rFonts w:cs="Arial"/>
                <w:lang w:val="en-GB"/>
              </w:rPr>
              <w:t>Case</w:t>
            </w:r>
          </w:p>
        </w:tc>
        <w:tc>
          <w:tcPr>
            <w:tcW w:w="834" w:type="pct"/>
          </w:tcPr>
          <w:p w14:paraId="1DED0BB3" w14:textId="77777777" w:rsidR="00626D30" w:rsidRPr="004746D1" w:rsidRDefault="00626D30" w:rsidP="00DD77B1">
            <w:pPr>
              <w:keepNext/>
              <w:spacing w:line="288" w:lineRule="auto"/>
              <w:rPr>
                <w:rFonts w:cs="Arial"/>
                <w:b w:val="0"/>
                <w:lang w:val="en-GB"/>
              </w:rPr>
            </w:pPr>
            <w:r w:rsidRPr="004746D1">
              <w:rPr>
                <w:rFonts w:cs="Arial"/>
                <w:lang w:val="en-GB"/>
              </w:rPr>
              <w:t>BEM element</w:t>
            </w:r>
          </w:p>
        </w:tc>
        <w:tc>
          <w:tcPr>
            <w:tcW w:w="1111" w:type="pct"/>
          </w:tcPr>
          <w:p w14:paraId="29E69876" w14:textId="77777777" w:rsidR="00626D30" w:rsidRPr="004746D1" w:rsidRDefault="00626D30" w:rsidP="00DD77B1">
            <w:pPr>
              <w:keepNext/>
              <w:spacing w:line="288" w:lineRule="auto"/>
              <w:rPr>
                <w:rFonts w:cs="Arial"/>
                <w:b w:val="0"/>
                <w:lang w:val="en-GB"/>
              </w:rPr>
            </w:pPr>
            <w:r w:rsidRPr="004746D1">
              <w:rPr>
                <w:rFonts w:cs="Arial"/>
                <w:lang w:val="en-GB"/>
              </w:rPr>
              <w:t>Frequency range</w:t>
            </w:r>
          </w:p>
        </w:tc>
        <w:tc>
          <w:tcPr>
            <w:tcW w:w="889" w:type="pct"/>
          </w:tcPr>
          <w:p w14:paraId="0E73B6D2" w14:textId="626FEFDA" w:rsidR="00626D30" w:rsidRPr="004746D1" w:rsidRDefault="00626D30" w:rsidP="00DD77B1">
            <w:pPr>
              <w:keepNext/>
              <w:spacing w:line="288" w:lineRule="auto"/>
              <w:rPr>
                <w:rFonts w:cs="Arial"/>
                <w:b w:val="0"/>
                <w:lang w:val="en-GB"/>
              </w:rPr>
            </w:pPr>
            <w:r w:rsidRPr="004746D1">
              <w:rPr>
                <w:lang w:val="en-GB"/>
              </w:rPr>
              <w:t>Non</w:t>
            </w:r>
            <w:r w:rsidR="00156498" w:rsidRPr="004746D1">
              <w:rPr>
                <w:lang w:val="en-GB"/>
              </w:rPr>
              <w:t>-</w:t>
            </w:r>
            <w:r w:rsidRPr="004746D1">
              <w:rPr>
                <w:lang w:val="en-GB"/>
              </w:rPr>
              <w:t xml:space="preserve">AAS e.i.r.p. limit </w:t>
            </w:r>
            <w:r w:rsidRPr="004746D1">
              <w:rPr>
                <w:lang w:val="en-GB"/>
              </w:rPr>
              <w:br/>
              <w:t xml:space="preserve">dBm/MHz </w:t>
            </w:r>
            <w:r w:rsidRPr="004746D1">
              <w:rPr>
                <w:rFonts w:cs="Arial"/>
                <w:lang w:val="en-GB"/>
              </w:rPr>
              <w:t>per antenna</w:t>
            </w:r>
          </w:p>
        </w:tc>
        <w:tc>
          <w:tcPr>
            <w:tcW w:w="780" w:type="pct"/>
          </w:tcPr>
          <w:p w14:paraId="08394280" w14:textId="25BDCFCE" w:rsidR="00626D30" w:rsidRPr="004746D1" w:rsidRDefault="00626D30" w:rsidP="00DD77B1">
            <w:pPr>
              <w:keepNext/>
              <w:spacing w:line="288" w:lineRule="auto"/>
              <w:rPr>
                <w:b w:val="0"/>
                <w:lang w:val="en-GB"/>
              </w:rPr>
            </w:pPr>
            <w:r w:rsidRPr="004746D1">
              <w:rPr>
                <w:lang w:val="en-GB"/>
              </w:rPr>
              <w:t>AAS TRP limit</w:t>
            </w:r>
            <w:r w:rsidRPr="004746D1">
              <w:rPr>
                <w:lang w:val="en-GB"/>
              </w:rPr>
              <w:br/>
              <w:t>dBm/MHz per cell (</w:t>
            </w:r>
            <w:r w:rsidR="00E54FC3">
              <w:t xml:space="preserve">note </w:t>
            </w:r>
            <w:r w:rsidRPr="004746D1">
              <w:rPr>
                <w:lang w:val="en-GB"/>
              </w:rPr>
              <w:t>2)</w:t>
            </w:r>
          </w:p>
        </w:tc>
      </w:tr>
      <w:tr w:rsidR="00626D30" w:rsidRPr="004746D1" w14:paraId="1CD916B5" w14:textId="77777777" w:rsidTr="00C27EEC">
        <w:trPr>
          <w:trHeight w:val="526"/>
        </w:trPr>
        <w:tc>
          <w:tcPr>
            <w:tcW w:w="247" w:type="pct"/>
          </w:tcPr>
          <w:p w14:paraId="2AD30C5F" w14:textId="77777777" w:rsidR="00626D30" w:rsidRPr="004746D1" w:rsidRDefault="00626D30" w:rsidP="00A11DB9">
            <w:pPr>
              <w:pStyle w:val="ECCTabletext"/>
              <w:jc w:val="left"/>
            </w:pPr>
            <w:r w:rsidRPr="004746D1">
              <w:t>A</w:t>
            </w:r>
          </w:p>
        </w:tc>
        <w:tc>
          <w:tcPr>
            <w:tcW w:w="1139" w:type="pct"/>
          </w:tcPr>
          <w:p w14:paraId="7D8E68C2" w14:textId="77777777" w:rsidR="00626D30" w:rsidRPr="004746D1" w:rsidRDefault="00626D30" w:rsidP="00A11DB9">
            <w:pPr>
              <w:pStyle w:val="ECCTabletext"/>
              <w:jc w:val="left"/>
            </w:pPr>
            <w:r w:rsidRPr="004746D1">
              <w:t>CEPT countries with radiolocation systems below 3400 MHz</w:t>
            </w:r>
          </w:p>
        </w:tc>
        <w:tc>
          <w:tcPr>
            <w:tcW w:w="834" w:type="pct"/>
          </w:tcPr>
          <w:p w14:paraId="5B55C8EB" w14:textId="77777777" w:rsidR="00626D30" w:rsidRPr="004746D1" w:rsidRDefault="00626D30" w:rsidP="00A11DB9">
            <w:pPr>
              <w:pStyle w:val="ECCTabletext"/>
              <w:jc w:val="left"/>
            </w:pPr>
            <w:r w:rsidRPr="004746D1">
              <w:t>Additional baseline</w:t>
            </w:r>
          </w:p>
        </w:tc>
        <w:tc>
          <w:tcPr>
            <w:tcW w:w="1111" w:type="pct"/>
          </w:tcPr>
          <w:p w14:paraId="0509D5B0" w14:textId="12152358" w:rsidR="00626D30" w:rsidRPr="004746D1" w:rsidRDefault="00626D30" w:rsidP="00A11DB9">
            <w:pPr>
              <w:pStyle w:val="ECCTabletext"/>
              <w:jc w:val="left"/>
            </w:pPr>
            <w:r w:rsidRPr="004746D1">
              <w:t>Below 3400 MHz (</w:t>
            </w:r>
            <w:r w:rsidR="00E54FC3">
              <w:t xml:space="preserve">note </w:t>
            </w:r>
            <w:r w:rsidRPr="004746D1">
              <w:t>3)</w:t>
            </w:r>
          </w:p>
        </w:tc>
        <w:tc>
          <w:tcPr>
            <w:tcW w:w="889" w:type="pct"/>
          </w:tcPr>
          <w:p w14:paraId="65576D25" w14:textId="77777777" w:rsidR="00626D30" w:rsidRPr="004746D1" w:rsidRDefault="00626D30" w:rsidP="00A11DB9">
            <w:pPr>
              <w:pStyle w:val="ECCTabletext"/>
              <w:jc w:val="left"/>
            </w:pPr>
            <w:r w:rsidRPr="004746D1">
              <w:t>-59 dBm</w:t>
            </w:r>
          </w:p>
        </w:tc>
        <w:tc>
          <w:tcPr>
            <w:tcW w:w="780" w:type="pct"/>
            <w:vMerge w:val="restart"/>
          </w:tcPr>
          <w:p w14:paraId="660304B9" w14:textId="77777777" w:rsidR="00626D30" w:rsidRPr="004746D1" w:rsidRDefault="00626D30" w:rsidP="00A11DB9">
            <w:pPr>
              <w:pStyle w:val="ECCTabletext"/>
              <w:jc w:val="left"/>
            </w:pPr>
            <w:r w:rsidRPr="004746D1">
              <w:t>-52</w:t>
            </w:r>
          </w:p>
        </w:tc>
      </w:tr>
      <w:tr w:rsidR="00626D30" w:rsidRPr="004746D1" w14:paraId="6AB98230" w14:textId="77777777" w:rsidTr="00C27EEC">
        <w:trPr>
          <w:trHeight w:val="20"/>
        </w:trPr>
        <w:tc>
          <w:tcPr>
            <w:tcW w:w="247" w:type="pct"/>
          </w:tcPr>
          <w:p w14:paraId="4F48EE00" w14:textId="77777777" w:rsidR="00626D30" w:rsidRPr="004746D1" w:rsidRDefault="00626D30" w:rsidP="00A11DB9">
            <w:pPr>
              <w:pStyle w:val="ECCTabletext"/>
              <w:jc w:val="left"/>
            </w:pPr>
            <w:r w:rsidRPr="004746D1">
              <w:t>B</w:t>
            </w:r>
          </w:p>
        </w:tc>
        <w:tc>
          <w:tcPr>
            <w:tcW w:w="1139" w:type="pct"/>
          </w:tcPr>
          <w:p w14:paraId="3BDF6472" w14:textId="77777777" w:rsidR="00626D30" w:rsidRPr="004746D1" w:rsidRDefault="00626D30" w:rsidP="00A11DB9">
            <w:pPr>
              <w:pStyle w:val="ECCTabletext"/>
              <w:jc w:val="left"/>
            </w:pPr>
            <w:r w:rsidRPr="004746D1">
              <w:t>CEPT countries with radiolocation systems below 3400 MHz</w:t>
            </w:r>
          </w:p>
        </w:tc>
        <w:tc>
          <w:tcPr>
            <w:tcW w:w="834" w:type="pct"/>
          </w:tcPr>
          <w:p w14:paraId="041D3937" w14:textId="77777777" w:rsidR="00626D30" w:rsidRPr="004746D1" w:rsidRDefault="00626D30" w:rsidP="00A11DB9">
            <w:pPr>
              <w:pStyle w:val="ECCTabletext"/>
              <w:jc w:val="left"/>
            </w:pPr>
            <w:r w:rsidRPr="004746D1">
              <w:t>Additional baseline</w:t>
            </w:r>
          </w:p>
        </w:tc>
        <w:tc>
          <w:tcPr>
            <w:tcW w:w="1111" w:type="pct"/>
          </w:tcPr>
          <w:p w14:paraId="7028B79D" w14:textId="00671DF0" w:rsidR="00626D30" w:rsidRPr="004746D1" w:rsidRDefault="00626D30" w:rsidP="00A11DB9">
            <w:pPr>
              <w:pStyle w:val="ECCTabletext"/>
              <w:jc w:val="left"/>
            </w:pPr>
            <w:r w:rsidRPr="004746D1">
              <w:t>Below 3400 MHz</w:t>
            </w:r>
            <w:r w:rsidR="0015678A" w:rsidRPr="004746D1">
              <w:t xml:space="preserve"> </w:t>
            </w:r>
            <w:r w:rsidRPr="004746D1">
              <w:t>(</w:t>
            </w:r>
            <w:r w:rsidR="00E54FC3">
              <w:t xml:space="preserve">note </w:t>
            </w:r>
            <w:r w:rsidRPr="004746D1">
              <w:t>3)</w:t>
            </w:r>
          </w:p>
        </w:tc>
        <w:tc>
          <w:tcPr>
            <w:tcW w:w="889" w:type="pct"/>
          </w:tcPr>
          <w:p w14:paraId="6518EA8F" w14:textId="77777777" w:rsidR="00626D30" w:rsidRPr="004746D1" w:rsidRDefault="00626D30" w:rsidP="00A11DB9">
            <w:pPr>
              <w:pStyle w:val="ECCTabletext"/>
              <w:jc w:val="left"/>
            </w:pPr>
            <w:r w:rsidRPr="004746D1">
              <w:t>-50 dBm</w:t>
            </w:r>
          </w:p>
        </w:tc>
        <w:tc>
          <w:tcPr>
            <w:tcW w:w="780" w:type="pct"/>
            <w:vMerge/>
          </w:tcPr>
          <w:p w14:paraId="07EB58C7" w14:textId="77777777" w:rsidR="00626D30" w:rsidRPr="004746D1" w:rsidRDefault="00626D30" w:rsidP="00A11DB9">
            <w:pPr>
              <w:pStyle w:val="ECCTabletext"/>
              <w:jc w:val="left"/>
            </w:pPr>
          </w:p>
        </w:tc>
      </w:tr>
      <w:tr w:rsidR="00626D30" w:rsidRPr="004746D1" w14:paraId="71A3D7AE" w14:textId="77777777" w:rsidTr="00C27EEC">
        <w:tc>
          <w:tcPr>
            <w:tcW w:w="247" w:type="pct"/>
          </w:tcPr>
          <w:p w14:paraId="69C4589B" w14:textId="77777777" w:rsidR="00626D30" w:rsidRPr="004746D1" w:rsidRDefault="00626D30" w:rsidP="00A11DB9">
            <w:pPr>
              <w:pStyle w:val="ECCTabletext"/>
              <w:jc w:val="left"/>
            </w:pPr>
            <w:r w:rsidRPr="004746D1">
              <w:t>C</w:t>
            </w:r>
          </w:p>
        </w:tc>
        <w:tc>
          <w:tcPr>
            <w:tcW w:w="1139" w:type="pct"/>
          </w:tcPr>
          <w:p w14:paraId="2C88251A" w14:textId="77777777" w:rsidR="00626D30" w:rsidRPr="004746D1" w:rsidRDefault="00626D30" w:rsidP="00A11DB9">
            <w:pPr>
              <w:pStyle w:val="ECCTabletext"/>
              <w:jc w:val="left"/>
            </w:pPr>
            <w:r w:rsidRPr="004746D1">
              <w:t>CEPT countries without adjacent band usage or with usage that does not need extra protection</w:t>
            </w:r>
          </w:p>
        </w:tc>
        <w:tc>
          <w:tcPr>
            <w:tcW w:w="834" w:type="pct"/>
          </w:tcPr>
          <w:p w14:paraId="7E041468" w14:textId="77777777" w:rsidR="00626D30" w:rsidRPr="004746D1" w:rsidRDefault="00626D30" w:rsidP="00A11DB9">
            <w:pPr>
              <w:pStyle w:val="ECCTabletext"/>
              <w:jc w:val="left"/>
            </w:pPr>
            <w:r w:rsidRPr="004746D1">
              <w:t>Additional baseline</w:t>
            </w:r>
          </w:p>
        </w:tc>
        <w:tc>
          <w:tcPr>
            <w:tcW w:w="1111" w:type="pct"/>
          </w:tcPr>
          <w:p w14:paraId="7D8FE24C" w14:textId="40E42037" w:rsidR="00626D30" w:rsidRPr="004746D1" w:rsidRDefault="00626D30" w:rsidP="00A11DB9">
            <w:pPr>
              <w:pStyle w:val="ECCTabletext"/>
              <w:jc w:val="left"/>
            </w:pPr>
            <w:r w:rsidRPr="004746D1">
              <w:t>Below 3400 MHz</w:t>
            </w:r>
            <w:r w:rsidR="0015678A" w:rsidRPr="004746D1">
              <w:t xml:space="preserve"> </w:t>
            </w:r>
            <w:r w:rsidRPr="004746D1">
              <w:t>(</w:t>
            </w:r>
            <w:r w:rsidR="00E54FC3">
              <w:t xml:space="preserve">note </w:t>
            </w:r>
            <w:r w:rsidRPr="004746D1">
              <w:t>3)</w:t>
            </w:r>
          </w:p>
        </w:tc>
        <w:tc>
          <w:tcPr>
            <w:tcW w:w="889" w:type="pct"/>
          </w:tcPr>
          <w:p w14:paraId="13E97C04" w14:textId="77777777" w:rsidR="00626D30" w:rsidRPr="004746D1" w:rsidRDefault="00626D30" w:rsidP="00A11DB9">
            <w:pPr>
              <w:pStyle w:val="ECCTabletext"/>
              <w:jc w:val="left"/>
            </w:pPr>
            <w:r w:rsidRPr="004746D1">
              <w:t>Not applicable</w:t>
            </w:r>
          </w:p>
        </w:tc>
        <w:tc>
          <w:tcPr>
            <w:tcW w:w="780" w:type="pct"/>
          </w:tcPr>
          <w:p w14:paraId="7F476969" w14:textId="77777777" w:rsidR="00626D30" w:rsidRPr="004746D1" w:rsidRDefault="00626D30" w:rsidP="00A11DB9">
            <w:pPr>
              <w:pStyle w:val="ECCTabletext"/>
              <w:jc w:val="left"/>
            </w:pPr>
            <w:r w:rsidRPr="004746D1">
              <w:t>Not applicable</w:t>
            </w:r>
          </w:p>
        </w:tc>
      </w:tr>
      <w:tr w:rsidR="00626D30" w:rsidRPr="004746D1" w14:paraId="243C9B0E" w14:textId="77777777" w:rsidTr="0015678A">
        <w:trPr>
          <w:trHeight w:val="1108"/>
        </w:trPr>
        <w:tc>
          <w:tcPr>
            <w:tcW w:w="5000" w:type="pct"/>
            <w:gridSpan w:val="6"/>
          </w:tcPr>
          <w:p w14:paraId="359615D6" w14:textId="16E29219" w:rsidR="00626D30" w:rsidRPr="00D72883" w:rsidRDefault="00E54FC3" w:rsidP="00D72883">
            <w:pPr>
              <w:pStyle w:val="ECCTablenote"/>
              <w:rPr>
                <w:sz w:val="16"/>
                <w:szCs w:val="16"/>
              </w:rPr>
            </w:pPr>
            <w:r w:rsidRPr="00D72883">
              <w:rPr>
                <w:sz w:val="16"/>
                <w:szCs w:val="16"/>
              </w:rPr>
              <w:t xml:space="preserve">Note </w:t>
            </w:r>
            <w:r w:rsidR="00626D30" w:rsidRPr="00D72883">
              <w:rPr>
                <w:sz w:val="16"/>
                <w:szCs w:val="16"/>
              </w:rPr>
              <w:t>1</w:t>
            </w:r>
            <w:r w:rsidRPr="00D72883">
              <w:rPr>
                <w:sz w:val="16"/>
                <w:szCs w:val="16"/>
              </w:rPr>
              <w:t>:</w:t>
            </w:r>
            <w:r w:rsidR="00626D30" w:rsidRPr="00D72883">
              <w:rPr>
                <w:sz w:val="16"/>
                <w:szCs w:val="16"/>
              </w:rPr>
              <w:t xml:space="preserve"> Alternative measures may be required on a case by case basis for indoor AAS BSs on a national basis</w:t>
            </w:r>
          </w:p>
          <w:p w14:paraId="59D094AC" w14:textId="0B8B5913" w:rsidR="00626D30" w:rsidRPr="00D72883" w:rsidRDefault="00E54FC3" w:rsidP="00D72883">
            <w:pPr>
              <w:pStyle w:val="ECCTablenote"/>
              <w:rPr>
                <w:sz w:val="16"/>
                <w:szCs w:val="16"/>
              </w:rPr>
            </w:pPr>
            <w:r w:rsidRPr="00D72883">
              <w:rPr>
                <w:sz w:val="16"/>
                <w:szCs w:val="16"/>
              </w:rPr>
              <w:t>Note</w:t>
            </w:r>
            <w:r w:rsidR="00626D30" w:rsidRPr="00D72883">
              <w:rPr>
                <w:sz w:val="16"/>
                <w:szCs w:val="16"/>
              </w:rPr>
              <w:t>2</w:t>
            </w:r>
            <w:r w:rsidR="00C76258" w:rsidRPr="00D72883">
              <w:rPr>
                <w:sz w:val="16"/>
                <w:szCs w:val="16"/>
              </w:rPr>
              <w:t>:</w:t>
            </w:r>
            <w:r w:rsidR="00626D30" w:rsidRPr="00D72883">
              <w:rPr>
                <w:sz w:val="16"/>
                <w:szCs w:val="16"/>
              </w:rPr>
              <w:t xml:space="preserve"> In a multi-sector base station, the radiated power limit applies to each one of the individual sectors </w:t>
            </w:r>
          </w:p>
          <w:p w14:paraId="31E473D6" w14:textId="7103524B" w:rsidR="0015678A" w:rsidRPr="004746D1" w:rsidRDefault="00C76258" w:rsidP="00D72883">
            <w:pPr>
              <w:pStyle w:val="ECCTablenote"/>
            </w:pPr>
            <w:r w:rsidRPr="00D72883">
              <w:rPr>
                <w:sz w:val="16"/>
                <w:szCs w:val="16"/>
              </w:rPr>
              <w:t xml:space="preserve">Note </w:t>
            </w:r>
            <w:r w:rsidR="00626D30" w:rsidRPr="00D72883">
              <w:rPr>
                <w:sz w:val="16"/>
                <w:szCs w:val="16"/>
              </w:rPr>
              <w:t>3</w:t>
            </w:r>
            <w:r w:rsidRPr="00D72883">
              <w:rPr>
                <w:sz w:val="16"/>
                <w:szCs w:val="16"/>
              </w:rPr>
              <w:t>:</w:t>
            </w:r>
            <w:r w:rsidR="00626D30" w:rsidRPr="00D72883">
              <w:rPr>
                <w:sz w:val="16"/>
                <w:szCs w:val="16"/>
              </w:rPr>
              <w:t xml:space="preserve"> In cases where CEPT administrations have already implemented a guard band when issuing licences for MFCN before the adoption of this ECC Decision and in accordance with ECC Decision(11)06 (approved 9 December 2011, amended 14 March 2014), these CEPT administrations may apply the additional baseline only below such guard band, provided it complies with the protection of radars in the adjacent band and with cross-border obligations</w:t>
            </w:r>
          </w:p>
        </w:tc>
      </w:tr>
    </w:tbl>
    <w:p w14:paraId="1593E3A1" w14:textId="4A7AAD5A" w:rsidR="00626D30" w:rsidRPr="004746D1" w:rsidRDefault="009E4D1A" w:rsidP="00515C7B">
      <w:pPr>
        <w:pStyle w:val="ECCParagraph"/>
        <w:spacing w:before="240"/>
      </w:pPr>
      <w:r w:rsidRPr="004746D1">
        <w:t xml:space="preserve">It is further stated in the </w:t>
      </w:r>
      <w:r w:rsidR="00A11DB9" w:rsidRPr="004746D1">
        <w:t>ECC D</w:t>
      </w:r>
      <w:r w:rsidRPr="004746D1">
        <w:t>ecision</w:t>
      </w:r>
      <w:r w:rsidR="00A11DB9" w:rsidRPr="004746D1">
        <w:t xml:space="preserve"> (11)06</w:t>
      </w:r>
      <w:r w:rsidRPr="004746D1">
        <w:t xml:space="preserve"> that:</w:t>
      </w:r>
    </w:p>
    <w:p w14:paraId="1394B962" w14:textId="1815C0D8" w:rsidR="00492AB1" w:rsidRPr="004746D1" w:rsidRDefault="00492AB1" w:rsidP="00492AB1">
      <w:pPr>
        <w:pStyle w:val="ECCParagraph"/>
        <w:rPr>
          <w:i/>
        </w:rPr>
      </w:pPr>
      <w:r w:rsidRPr="004746D1">
        <w:t>“</w:t>
      </w:r>
      <w:r w:rsidRPr="004746D1">
        <w:rPr>
          <w:i/>
        </w:rPr>
        <w:t>Explanatory note to Table 5: The additional baseline power limits given in Table 5 were derived assuming only outdoor cells. Therefore, in the case of an indoor cell, the power limits can be relaxed on a case by case basis.</w:t>
      </w:r>
    </w:p>
    <w:p w14:paraId="4B98954E" w14:textId="009B1859" w:rsidR="00492AB1" w:rsidRPr="004746D1" w:rsidRDefault="00492AB1" w:rsidP="00492AB1">
      <w:pPr>
        <w:pStyle w:val="ECCParagraph"/>
        <w:rPr>
          <w:i/>
        </w:rPr>
      </w:pPr>
      <w:r w:rsidRPr="004746D1">
        <w:rPr>
          <w:i/>
        </w:rPr>
        <w:t>The additional baseline limit reflects the need for protection for military radiolocation in some countries. CEPT administrations may select the limits from case A or B for non</w:t>
      </w:r>
      <w:r w:rsidR="008C25BE" w:rsidRPr="004746D1">
        <w:rPr>
          <w:i/>
        </w:rPr>
        <w:t>-</w:t>
      </w:r>
      <w:r w:rsidRPr="004746D1">
        <w:rPr>
          <w:i/>
        </w:rPr>
        <w:t xml:space="preserve">AAS depending on the level of protection required for the radar in the region in question. </w:t>
      </w:r>
    </w:p>
    <w:p w14:paraId="37A4ADB9" w14:textId="77777777" w:rsidR="00492AB1" w:rsidRPr="004746D1" w:rsidRDefault="00492AB1" w:rsidP="00492AB1">
      <w:pPr>
        <w:pStyle w:val="ECCParagraph"/>
        <w:rPr>
          <w:i/>
        </w:rPr>
      </w:pPr>
      <w:r w:rsidRPr="004746D1">
        <w:rPr>
          <w:i/>
        </w:rPr>
        <w:t>A coordination zone of up to 12 km around fixed terrestrial radars, based on an AAS TRP limit of −52 dBm/MHz per cell, may be required. Such coordination is the responsibility of the relevant administration. Other mitigation measures like geographical separation, in-block power limit or an additional guard band may be necessary.</w:t>
      </w:r>
    </w:p>
    <w:p w14:paraId="6044CC7F" w14:textId="0D32D166" w:rsidR="00E21392" w:rsidRPr="004746D1" w:rsidRDefault="00492AB1" w:rsidP="00E21392">
      <w:pPr>
        <w:pStyle w:val="ECCParagraph"/>
      </w:pPr>
      <w:r w:rsidRPr="004746D1">
        <w:rPr>
          <w:i/>
        </w:rPr>
        <w:t>In case of indoor deployments, administrations may define a relaxed limit applying to specific implementation cases to ensure a more efficient usage of spectrum</w:t>
      </w:r>
      <w:r w:rsidRPr="004746D1">
        <w:t>.”</w:t>
      </w:r>
    </w:p>
    <w:p w14:paraId="619E6960" w14:textId="44526C29" w:rsidR="00B56C4D" w:rsidRPr="004746D1" w:rsidRDefault="00B56C4D" w:rsidP="00CD2949">
      <w:pPr>
        <w:pStyle w:val="ECCParagraph"/>
      </w:pPr>
      <w:r w:rsidRPr="004746D1">
        <w:t>Considering the growing interest for indoor small cell</w:t>
      </w:r>
      <w:r w:rsidR="00A703D5" w:rsidRPr="004746D1">
        <w:t>s</w:t>
      </w:r>
      <w:r w:rsidRPr="004746D1">
        <w:t xml:space="preserve"> deployment in the </w:t>
      </w:r>
      <w:r w:rsidRPr="00B27FE3">
        <w:t>band in</w:t>
      </w:r>
      <w:r w:rsidRPr="004746D1">
        <w:t xml:space="preserve"> Europe, there is a need for clear and </w:t>
      </w:r>
      <w:r w:rsidR="0046762F" w:rsidRPr="004746D1">
        <w:t>harmoni</w:t>
      </w:r>
      <w:r w:rsidR="0046762F">
        <w:t>s</w:t>
      </w:r>
      <w:r w:rsidR="0046762F" w:rsidRPr="004746D1">
        <w:t xml:space="preserve">ed </w:t>
      </w:r>
      <w:r w:rsidRPr="004746D1">
        <w:t xml:space="preserve">requirements for indoor </w:t>
      </w:r>
      <w:r w:rsidR="005C2FB7" w:rsidRPr="004746D1">
        <w:t xml:space="preserve">non-AAS </w:t>
      </w:r>
      <w:r w:rsidR="00142DF8" w:rsidRPr="004746D1">
        <w:t>small cell</w:t>
      </w:r>
      <w:r w:rsidR="00A703D5" w:rsidRPr="004746D1">
        <w:t>s</w:t>
      </w:r>
      <w:r w:rsidR="00142DF8" w:rsidRPr="004746D1">
        <w:t xml:space="preserve"> </w:t>
      </w:r>
      <w:r w:rsidRPr="004746D1">
        <w:t xml:space="preserve">in the band. In particular, there is currently an uncertainty </w:t>
      </w:r>
      <w:r w:rsidR="00C41F78" w:rsidRPr="004746D1">
        <w:t xml:space="preserve">due to </w:t>
      </w:r>
      <w:r w:rsidR="0046762F">
        <w:t xml:space="preserve">the </w:t>
      </w:r>
      <w:r w:rsidR="00C41F78" w:rsidRPr="004746D1">
        <w:t xml:space="preserve">explanatory note </w:t>
      </w:r>
      <w:r w:rsidR="00471D27" w:rsidRPr="00B27FE3">
        <w:t xml:space="preserve">to </w:t>
      </w:r>
      <w:r w:rsidR="00742428" w:rsidRPr="00435F02">
        <w:t xml:space="preserve">Table 5 of ECC Decision (11)06 (quoted below </w:t>
      </w:r>
      <w:r w:rsidR="00BA0F20" w:rsidRPr="00435F02">
        <w:fldChar w:fldCharType="begin"/>
      </w:r>
      <w:r w:rsidR="00BA0F20" w:rsidRPr="00435F02">
        <w:instrText xml:space="preserve"> REF _Ref75170263 \h </w:instrText>
      </w:r>
      <w:r w:rsidR="00AB0943" w:rsidRPr="00435F02">
        <w:instrText xml:space="preserve"> \* MERGEFORMAT </w:instrText>
      </w:r>
      <w:r w:rsidR="00BA0F20" w:rsidRPr="00435F02">
        <w:fldChar w:fldCharType="separate"/>
      </w:r>
      <w:r w:rsidR="00AB0943" w:rsidRPr="00435F02">
        <w:t>Table 1</w:t>
      </w:r>
      <w:r w:rsidR="00BA0F20" w:rsidRPr="00435F02">
        <w:fldChar w:fldCharType="end"/>
      </w:r>
      <w:r w:rsidR="00742428" w:rsidRPr="00435F02">
        <w:t>)</w:t>
      </w:r>
      <w:r w:rsidR="00BA0F20" w:rsidRPr="00B27FE3">
        <w:t xml:space="preserve"> </w:t>
      </w:r>
      <w:r w:rsidRPr="00435F02">
        <w:t xml:space="preserve">regarding </w:t>
      </w:r>
      <w:r w:rsidRPr="00435F02">
        <w:lastRenderedPageBreak/>
        <w:t xml:space="preserve">the required emission limits for indoor </w:t>
      </w:r>
      <w:r w:rsidR="00142DF8" w:rsidRPr="00435F02">
        <w:t>small cell</w:t>
      </w:r>
      <w:r w:rsidR="00A703D5" w:rsidRPr="00435F02">
        <w:t>s</w:t>
      </w:r>
      <w:r w:rsidR="00142DF8" w:rsidRPr="00435F02">
        <w:t xml:space="preserve"> </w:t>
      </w:r>
      <w:r w:rsidRPr="00435F02">
        <w:t xml:space="preserve">to ensure protection of the military radiolocation systems, and the applicability of the additional baseline power limits that are given in </w:t>
      </w:r>
      <w:r w:rsidR="00742428" w:rsidRPr="00F16BB1">
        <w:t>the table</w:t>
      </w:r>
      <w:r w:rsidR="00742428" w:rsidRPr="00B27FE3">
        <w:t xml:space="preserve"> </w:t>
      </w:r>
      <w:r w:rsidRPr="00435F02">
        <w:t>to the specific case of indoor</w:t>
      </w:r>
      <w:r w:rsidR="00E60003" w:rsidRPr="00435F02">
        <w:t xml:space="preserve"> </w:t>
      </w:r>
      <w:r w:rsidRPr="00B27FE3">
        <w:t>small cell</w:t>
      </w:r>
      <w:r w:rsidR="000C0A30" w:rsidRPr="00B27FE3">
        <w:t>s</w:t>
      </w:r>
      <w:r w:rsidRPr="00B27FE3">
        <w:t>.</w:t>
      </w:r>
    </w:p>
    <w:p w14:paraId="0697FAA9" w14:textId="68B9C7BE" w:rsidR="006B72D5" w:rsidRPr="004746D1" w:rsidDel="00653000" w:rsidRDefault="006B72D5" w:rsidP="006B72D5">
      <w:pPr>
        <w:pStyle w:val="ECCParagraph"/>
      </w:pPr>
      <w:r w:rsidRPr="004746D1" w:rsidDel="00653000">
        <w:t>This ECC Recommendation aims at supporting the development of clear and harmoni</w:t>
      </w:r>
      <w:r w:rsidR="0096428F" w:rsidRPr="004746D1">
        <w:t>s</w:t>
      </w:r>
      <w:r w:rsidRPr="004746D1" w:rsidDel="00653000">
        <w:t xml:space="preserve">ed technical conditions that would enable indoor non-AAS small cell deployments and their positive impact on the use of radio spectrum and on the development of wireless communications in Europe, also noting the benefit of </w:t>
      </w:r>
      <w:r w:rsidR="00CE2440" w:rsidRPr="004746D1" w:rsidDel="00653000">
        <w:t>harmoni</w:t>
      </w:r>
      <w:r w:rsidR="00CE2440">
        <w:t>s</w:t>
      </w:r>
      <w:r w:rsidR="00CE2440" w:rsidRPr="004746D1" w:rsidDel="00653000">
        <w:t xml:space="preserve">ed </w:t>
      </w:r>
      <w:r w:rsidRPr="004746D1" w:rsidDel="00653000">
        <w:t xml:space="preserve">requirements on the </w:t>
      </w:r>
      <w:r w:rsidR="00CE2440" w:rsidRPr="004746D1" w:rsidDel="00653000">
        <w:t>eco</w:t>
      </w:r>
      <w:r w:rsidR="00CE2440">
        <w:t>-</w:t>
      </w:r>
      <w:r w:rsidRPr="004746D1" w:rsidDel="00653000">
        <w:t>system development.</w:t>
      </w:r>
    </w:p>
    <w:p w14:paraId="34D1B7AA" w14:textId="20295B25" w:rsidR="00B82674" w:rsidRPr="004746D1" w:rsidRDefault="00B82674" w:rsidP="00CD2949">
      <w:pPr>
        <w:pStyle w:val="ECCParagraph"/>
      </w:pPr>
      <w:r w:rsidRPr="004746D1">
        <w:t xml:space="preserve">This </w:t>
      </w:r>
      <w:r w:rsidR="00300CBC" w:rsidRPr="004746D1">
        <w:t>ECC R</w:t>
      </w:r>
      <w:r w:rsidRPr="004746D1">
        <w:t>ecommendation defines the harmonised relaxation to the additional baseline power limits for non-AAS base stations specified in Case A and Case B of Table 5 of the ECC Decision (11)06.</w:t>
      </w:r>
      <w:r w:rsidR="00BC1CF4" w:rsidRPr="004746D1">
        <w:t xml:space="preserve"> This ECC Recommendation does not override specific regulations made at a national level which, in case of indoor deployments, make use of the flexibility to relax the power limits given in ECC Decision (11)06</w:t>
      </w:r>
      <w:r w:rsidR="007E0CCC" w:rsidRPr="004746D1">
        <w:t>,</w:t>
      </w:r>
      <w:r w:rsidRPr="004746D1">
        <w:t xml:space="preserve"> and does not impact Case C.</w:t>
      </w:r>
    </w:p>
    <w:p w14:paraId="725922B7" w14:textId="146ADF50" w:rsidR="00C74BE6" w:rsidRPr="004746D1" w:rsidRDefault="00835C5B" w:rsidP="00D72883">
      <w:pPr>
        <w:pStyle w:val="Heading1"/>
      </w:pPr>
      <w:r w:rsidRPr="004746D1">
        <w:lastRenderedPageBreak/>
        <w:t xml:space="preserve">ECC recommendation </w:t>
      </w:r>
      <w:r w:rsidR="002E79FA" w:rsidRPr="004746D1">
        <w:t xml:space="preserve">21(02) </w:t>
      </w:r>
      <w:r w:rsidRPr="004746D1">
        <w:t xml:space="preserve">of </w:t>
      </w:r>
      <w:r w:rsidR="00257887">
        <w:t>0</w:t>
      </w:r>
      <w:r w:rsidR="00B52DD0" w:rsidRPr="00B52DD0">
        <w:t>5 November 2021</w:t>
      </w:r>
      <w:r w:rsidRPr="004746D1">
        <w:t xml:space="preserve"> </w:t>
      </w:r>
      <w:r w:rsidR="0046095B" w:rsidRPr="004746D1">
        <w:t xml:space="preserve">on the </w:t>
      </w:r>
      <w:r w:rsidR="00E91DE8" w:rsidRPr="004746D1">
        <w:t>Guidance on the application of the least restrictive technical conditions (LRTC) in ECC</w:t>
      </w:r>
      <w:r w:rsidR="007E0CCC" w:rsidRPr="004746D1">
        <w:t xml:space="preserve"> Decision </w:t>
      </w:r>
      <w:r w:rsidR="00E91DE8" w:rsidRPr="004746D1">
        <w:t>(11)06 (amended 26 October 2018) to ensure protection of the military radiolocation systems operating below 3400 MHz from indoor non-AAS small cells operating in the band 3400-3800 MHz</w:t>
      </w:r>
    </w:p>
    <w:p w14:paraId="6095ABA2" w14:textId="20CE26C3" w:rsidR="00C74BE6" w:rsidRPr="004746D1" w:rsidRDefault="00835C5B" w:rsidP="00C74BE6">
      <w:pPr>
        <w:pStyle w:val="ECCParagraph"/>
      </w:pPr>
      <w:r w:rsidRPr="004746D1">
        <w:t>“The European Conference of Postal and Telecommunications Administrations,</w:t>
      </w:r>
    </w:p>
    <w:p w14:paraId="68E64815" w14:textId="2511BEAE" w:rsidR="00C74BE6" w:rsidRPr="004746D1" w:rsidRDefault="00835C5B" w:rsidP="00C74BE6">
      <w:pPr>
        <w:pStyle w:val="ECCParagraph"/>
        <w:rPr>
          <w:i/>
          <w:color w:val="D2232A"/>
        </w:rPr>
      </w:pPr>
      <w:r w:rsidRPr="004746D1">
        <w:rPr>
          <w:i/>
          <w:color w:val="D2232A"/>
        </w:rPr>
        <w:t xml:space="preserve">considering </w:t>
      </w:r>
    </w:p>
    <w:p w14:paraId="65682C7C" w14:textId="069B8544" w:rsidR="00C74BE6" w:rsidRPr="004746D1" w:rsidRDefault="008E3BF1" w:rsidP="007E0CCC">
      <w:pPr>
        <w:pStyle w:val="LetteredList"/>
        <w:rPr>
          <w:lang w:val="en-GB"/>
        </w:rPr>
      </w:pPr>
      <w:r w:rsidRPr="004746D1">
        <w:rPr>
          <w:lang w:val="en-GB"/>
        </w:rPr>
        <w:t>t</w:t>
      </w:r>
      <w:r w:rsidR="00DB0BB3" w:rsidRPr="004746D1">
        <w:rPr>
          <w:lang w:val="en-GB"/>
        </w:rPr>
        <w:t>hat ECC</w:t>
      </w:r>
      <w:r w:rsidR="007E0CCC" w:rsidRPr="004746D1">
        <w:rPr>
          <w:lang w:val="en-GB"/>
        </w:rPr>
        <w:t xml:space="preserve"> Decision </w:t>
      </w:r>
      <w:r w:rsidR="00DB0BB3" w:rsidRPr="004746D1">
        <w:rPr>
          <w:lang w:val="en-GB"/>
        </w:rPr>
        <w:t>(1</w:t>
      </w:r>
      <w:r w:rsidR="000104A6" w:rsidRPr="004746D1">
        <w:rPr>
          <w:lang w:val="en-GB"/>
        </w:rPr>
        <w:t>1</w:t>
      </w:r>
      <w:r w:rsidR="00DB0BB3" w:rsidRPr="004746D1">
        <w:rPr>
          <w:lang w:val="en-GB"/>
        </w:rPr>
        <w:t xml:space="preserve">)06 </w:t>
      </w:r>
      <w:r w:rsidR="008F2097" w:rsidRPr="004746D1">
        <w:rPr>
          <w:lang w:val="en-GB"/>
        </w:rPr>
        <w:fldChar w:fldCharType="begin"/>
      </w:r>
      <w:r w:rsidR="008F2097" w:rsidRPr="004746D1">
        <w:rPr>
          <w:lang w:val="en-GB"/>
        </w:rPr>
        <w:instrText xml:space="preserve"> REF _Ref75167979 \r \h </w:instrText>
      </w:r>
      <w:r w:rsidR="008F2097" w:rsidRPr="004746D1">
        <w:rPr>
          <w:lang w:val="en-GB"/>
        </w:rPr>
      </w:r>
      <w:r w:rsidR="008F2097" w:rsidRPr="004746D1">
        <w:rPr>
          <w:lang w:val="en-GB"/>
        </w:rPr>
        <w:fldChar w:fldCharType="separate"/>
      </w:r>
      <w:r w:rsidR="0096709F" w:rsidRPr="004746D1">
        <w:rPr>
          <w:lang w:val="en-GB"/>
        </w:rPr>
        <w:t>[1]</w:t>
      </w:r>
      <w:r w:rsidR="008F2097" w:rsidRPr="004746D1">
        <w:rPr>
          <w:lang w:val="en-GB"/>
        </w:rPr>
        <w:fldChar w:fldCharType="end"/>
      </w:r>
      <w:r w:rsidR="008F2097" w:rsidRPr="004746D1">
        <w:rPr>
          <w:lang w:val="en-GB"/>
        </w:rPr>
        <w:t xml:space="preserve"> </w:t>
      </w:r>
      <w:r w:rsidR="00DB0BB3" w:rsidRPr="004746D1">
        <w:rPr>
          <w:lang w:val="en-GB"/>
        </w:rPr>
        <w:t>provides the</w:t>
      </w:r>
      <w:r w:rsidR="00C07614" w:rsidRPr="004746D1">
        <w:rPr>
          <w:lang w:val="en-GB"/>
        </w:rPr>
        <w:t xml:space="preserve"> harmonised frequency arrangements and least restrictive technical conditions (LRTC) for mobile/fixed communications networks (MFCN) operating in the band 3400-3800 MHz</w:t>
      </w:r>
      <w:r w:rsidR="002222D5">
        <w:rPr>
          <w:lang w:val="en-GB"/>
        </w:rPr>
        <w:t>;</w:t>
      </w:r>
    </w:p>
    <w:p w14:paraId="149B829E" w14:textId="767A420D" w:rsidR="002B77CD" w:rsidRPr="004746D1" w:rsidRDefault="002B77CD" w:rsidP="007E0CCC">
      <w:pPr>
        <w:pStyle w:val="LetteredList"/>
        <w:rPr>
          <w:lang w:val="en-GB"/>
        </w:rPr>
      </w:pPr>
      <w:r w:rsidRPr="004746D1">
        <w:rPr>
          <w:lang w:val="en-GB"/>
        </w:rPr>
        <w:t>that EC Decision 2019/235</w:t>
      </w:r>
      <w:r w:rsidR="008F2097" w:rsidRPr="004746D1">
        <w:rPr>
          <w:lang w:val="en-GB"/>
        </w:rPr>
        <w:t xml:space="preserve"> </w:t>
      </w:r>
      <w:r w:rsidR="008F2097" w:rsidRPr="004746D1">
        <w:rPr>
          <w:lang w:val="en-GB"/>
        </w:rPr>
        <w:fldChar w:fldCharType="begin"/>
      </w:r>
      <w:r w:rsidR="008F2097" w:rsidRPr="004746D1">
        <w:rPr>
          <w:lang w:val="en-GB"/>
        </w:rPr>
        <w:instrText xml:space="preserve"> REF _Ref46239797 \r \h </w:instrText>
      </w:r>
      <w:r w:rsidR="008F2097" w:rsidRPr="004746D1">
        <w:rPr>
          <w:lang w:val="en-GB"/>
        </w:rPr>
      </w:r>
      <w:r w:rsidR="008F2097" w:rsidRPr="004746D1">
        <w:rPr>
          <w:lang w:val="en-GB"/>
        </w:rPr>
        <w:fldChar w:fldCharType="separate"/>
      </w:r>
      <w:r w:rsidR="0096709F" w:rsidRPr="004746D1">
        <w:rPr>
          <w:lang w:val="en-GB"/>
        </w:rPr>
        <w:t>[2]</w:t>
      </w:r>
      <w:r w:rsidR="008F2097" w:rsidRPr="004746D1">
        <w:rPr>
          <w:lang w:val="en-GB"/>
        </w:rPr>
        <w:fldChar w:fldCharType="end"/>
      </w:r>
      <w:r w:rsidR="00D9476D" w:rsidRPr="004746D1">
        <w:rPr>
          <w:lang w:val="en-GB"/>
        </w:rPr>
        <w:t xml:space="preserve"> </w:t>
      </w:r>
      <w:r w:rsidR="005347CB" w:rsidRPr="004746D1">
        <w:rPr>
          <w:lang w:val="en-GB"/>
        </w:rPr>
        <w:t>is</w:t>
      </w:r>
      <w:r w:rsidR="00D9476D" w:rsidRPr="004746D1">
        <w:rPr>
          <w:lang w:val="en-GB"/>
        </w:rPr>
        <w:t xml:space="preserve"> the</w:t>
      </w:r>
      <w:r w:rsidRPr="004746D1">
        <w:rPr>
          <w:lang w:val="en-GB"/>
        </w:rPr>
        <w:t xml:space="preserve"> </w:t>
      </w:r>
      <w:r w:rsidR="00890130" w:rsidRPr="004746D1">
        <w:rPr>
          <w:lang w:val="en-GB"/>
        </w:rPr>
        <w:t>“</w:t>
      </w:r>
      <w:r w:rsidRPr="004746D1">
        <w:rPr>
          <w:lang w:val="en-GB"/>
        </w:rPr>
        <w:t>Commission Implementing Decision (EU) 2019/235 of 24 January 2019 on amending Decision 2008/411/EC as regards an update of relevant technical conditions applicable to the 3400-3800 MHz frequency band</w:t>
      </w:r>
      <w:r w:rsidR="00890130" w:rsidRPr="004746D1">
        <w:rPr>
          <w:lang w:val="en-GB"/>
        </w:rPr>
        <w:t>”</w:t>
      </w:r>
      <w:r w:rsidR="00B22B7A" w:rsidRPr="004746D1">
        <w:rPr>
          <w:lang w:val="en-GB"/>
        </w:rPr>
        <w:t xml:space="preserve"> which has been developed on basis of CEPT </w:t>
      </w:r>
      <w:r w:rsidR="00B77019" w:rsidRPr="004746D1">
        <w:rPr>
          <w:lang w:val="en-GB"/>
        </w:rPr>
        <w:t>R</w:t>
      </w:r>
      <w:r w:rsidR="00B22B7A" w:rsidRPr="004746D1">
        <w:rPr>
          <w:lang w:val="en-GB"/>
        </w:rPr>
        <w:t>eport 67</w:t>
      </w:r>
      <w:r w:rsidR="007E0CCC" w:rsidRPr="004746D1">
        <w:rPr>
          <w:lang w:val="en-GB"/>
        </w:rPr>
        <w:t xml:space="preserve"> </w:t>
      </w:r>
      <w:r w:rsidR="007E0CCC" w:rsidRPr="004746D1">
        <w:rPr>
          <w:lang w:val="en-GB"/>
        </w:rPr>
        <w:fldChar w:fldCharType="begin"/>
      </w:r>
      <w:r w:rsidR="007E0CCC" w:rsidRPr="004746D1">
        <w:rPr>
          <w:lang w:val="en-GB"/>
        </w:rPr>
        <w:instrText xml:space="preserve"> REF _Ref46239922 \r \h  \* MERGEFORMAT </w:instrText>
      </w:r>
      <w:r w:rsidR="007E0CCC" w:rsidRPr="004746D1">
        <w:rPr>
          <w:lang w:val="en-GB"/>
        </w:rPr>
      </w:r>
      <w:r w:rsidR="007E0CCC" w:rsidRPr="004746D1">
        <w:rPr>
          <w:lang w:val="en-GB"/>
        </w:rPr>
        <w:fldChar w:fldCharType="separate"/>
      </w:r>
      <w:r w:rsidR="0096709F" w:rsidRPr="004746D1">
        <w:rPr>
          <w:lang w:val="en-GB"/>
        </w:rPr>
        <w:t>[3]</w:t>
      </w:r>
      <w:r w:rsidR="007E0CCC" w:rsidRPr="004746D1">
        <w:rPr>
          <w:lang w:val="en-GB"/>
        </w:rPr>
        <w:fldChar w:fldCharType="end"/>
      </w:r>
      <w:r w:rsidR="002222D5">
        <w:rPr>
          <w:lang w:val="en-GB"/>
        </w:rPr>
        <w:t>;</w:t>
      </w:r>
    </w:p>
    <w:p w14:paraId="5335BF1C" w14:textId="1113EE44" w:rsidR="00B22B7A" w:rsidRPr="004746D1" w:rsidRDefault="00B22B7A" w:rsidP="007E0CCC">
      <w:pPr>
        <w:pStyle w:val="LetteredList"/>
        <w:rPr>
          <w:lang w:val="en-GB"/>
        </w:rPr>
      </w:pPr>
      <w:r w:rsidRPr="004746D1">
        <w:rPr>
          <w:lang w:val="en-GB"/>
        </w:rPr>
        <w:t>that both ECC</w:t>
      </w:r>
      <w:r w:rsidR="00730390" w:rsidRPr="004746D1">
        <w:rPr>
          <w:lang w:val="en-GB"/>
        </w:rPr>
        <w:t xml:space="preserve"> Decision </w:t>
      </w:r>
      <w:r w:rsidRPr="004746D1">
        <w:rPr>
          <w:lang w:val="en-GB"/>
        </w:rPr>
        <w:t>(11)06 and EC Decision 2019/235 are consistent concerning additional baseline power limits below 3400 MHz</w:t>
      </w:r>
      <w:r w:rsidR="002222D5">
        <w:rPr>
          <w:lang w:val="en-GB"/>
        </w:rPr>
        <w:t>;</w:t>
      </w:r>
    </w:p>
    <w:p w14:paraId="687F8F99" w14:textId="645D94F4" w:rsidR="00A50D15" w:rsidRPr="004746D1" w:rsidRDefault="000B7C2E" w:rsidP="007E0CCC">
      <w:pPr>
        <w:pStyle w:val="LetteredList"/>
        <w:rPr>
          <w:lang w:val="en-GB"/>
        </w:rPr>
      </w:pPr>
      <w:r w:rsidRPr="004746D1">
        <w:rPr>
          <w:lang w:val="en-GB"/>
        </w:rPr>
        <w:t>t</w:t>
      </w:r>
      <w:r w:rsidR="00A50D15" w:rsidRPr="004746D1">
        <w:rPr>
          <w:lang w:val="en-GB"/>
        </w:rPr>
        <w:t xml:space="preserve">hat ECC Report </w:t>
      </w:r>
      <w:r w:rsidR="006318A5" w:rsidRPr="004746D1">
        <w:rPr>
          <w:lang w:val="en-GB"/>
        </w:rPr>
        <w:t>281</w:t>
      </w:r>
      <w:r w:rsidR="00950232" w:rsidRPr="004746D1">
        <w:rPr>
          <w:lang w:val="en-GB"/>
        </w:rPr>
        <w:t xml:space="preserve"> </w:t>
      </w:r>
      <w:r w:rsidR="008F2097" w:rsidRPr="004746D1">
        <w:rPr>
          <w:lang w:val="en-GB"/>
        </w:rPr>
        <w:fldChar w:fldCharType="begin"/>
      </w:r>
      <w:r w:rsidR="008F2097" w:rsidRPr="004746D1">
        <w:rPr>
          <w:lang w:val="en-GB"/>
        </w:rPr>
        <w:instrText xml:space="preserve"> REF _Ref75167944 \r \h </w:instrText>
      </w:r>
      <w:r w:rsidR="008F2097" w:rsidRPr="004746D1">
        <w:rPr>
          <w:lang w:val="en-GB"/>
        </w:rPr>
      </w:r>
      <w:r w:rsidR="008F2097" w:rsidRPr="004746D1">
        <w:rPr>
          <w:lang w:val="en-GB"/>
        </w:rPr>
        <w:fldChar w:fldCharType="separate"/>
      </w:r>
      <w:r w:rsidR="0096709F" w:rsidRPr="004746D1">
        <w:rPr>
          <w:lang w:val="en-GB"/>
        </w:rPr>
        <w:t>[4]</w:t>
      </w:r>
      <w:r w:rsidR="008F2097" w:rsidRPr="004746D1">
        <w:rPr>
          <w:lang w:val="en-GB"/>
        </w:rPr>
        <w:fldChar w:fldCharType="end"/>
      </w:r>
      <w:r w:rsidR="007E0CCC" w:rsidRPr="004746D1">
        <w:rPr>
          <w:lang w:val="en-GB"/>
        </w:rPr>
        <w:t xml:space="preserve"> </w:t>
      </w:r>
      <w:r w:rsidR="00A50D15" w:rsidRPr="004746D1">
        <w:rPr>
          <w:lang w:val="en-GB"/>
        </w:rPr>
        <w:t>provide</w:t>
      </w:r>
      <w:r w:rsidR="006318A5" w:rsidRPr="004746D1">
        <w:rPr>
          <w:lang w:val="en-GB"/>
        </w:rPr>
        <w:t xml:space="preserve">s </w:t>
      </w:r>
      <w:r w:rsidR="001D6A1C" w:rsidRPr="004746D1">
        <w:rPr>
          <w:lang w:val="en-GB"/>
        </w:rPr>
        <w:t>a</w:t>
      </w:r>
      <w:r w:rsidR="006318A5" w:rsidRPr="004746D1">
        <w:rPr>
          <w:lang w:val="en-GB"/>
        </w:rPr>
        <w:t>nalysis of the suitability of the regulatory technical conditions for 5G MFCN operation in the 3400-3800 MHz band</w:t>
      </w:r>
      <w:r w:rsidR="002222D5">
        <w:rPr>
          <w:lang w:val="en-GB"/>
        </w:rPr>
        <w:t>;</w:t>
      </w:r>
    </w:p>
    <w:p w14:paraId="1121CB86" w14:textId="559139AC" w:rsidR="007358F5" w:rsidRPr="004746D1" w:rsidRDefault="000B7C2E" w:rsidP="007E0CCC">
      <w:pPr>
        <w:pStyle w:val="LetteredList"/>
        <w:rPr>
          <w:lang w:val="en-GB"/>
        </w:rPr>
      </w:pPr>
      <w:r w:rsidRPr="004746D1">
        <w:rPr>
          <w:lang w:val="en-GB"/>
        </w:rPr>
        <w:t>that CEPT Report 67</w:t>
      </w:r>
      <w:r w:rsidR="001E3819" w:rsidRPr="004746D1">
        <w:rPr>
          <w:lang w:val="en-GB"/>
        </w:rPr>
        <w:t xml:space="preserve"> provides </w:t>
      </w:r>
      <w:r w:rsidR="00531BEA" w:rsidRPr="004746D1">
        <w:rPr>
          <w:lang w:val="en-GB"/>
        </w:rPr>
        <w:t xml:space="preserve">a </w:t>
      </w:r>
      <w:r w:rsidRPr="004746D1">
        <w:rPr>
          <w:lang w:val="en-GB"/>
        </w:rPr>
        <w:t xml:space="preserve">response to the </w:t>
      </w:r>
      <w:r w:rsidR="00300CBC" w:rsidRPr="004746D1">
        <w:rPr>
          <w:lang w:val="en-GB"/>
        </w:rPr>
        <w:t xml:space="preserve">EC </w:t>
      </w:r>
      <w:r w:rsidRPr="004746D1">
        <w:rPr>
          <w:lang w:val="en-GB"/>
        </w:rPr>
        <w:t xml:space="preserve">Mandate to develop harmonised technical conditions for </w:t>
      </w:r>
      <w:r w:rsidRPr="00D91350">
        <w:rPr>
          <w:lang w:val="en-GB"/>
        </w:rPr>
        <w:t>spectrum use in support of the introduction of next-generation (5G) terrestrial wireless systems in the Union</w:t>
      </w:r>
      <w:r w:rsidR="00531BEA" w:rsidRPr="00D91350">
        <w:rPr>
          <w:lang w:val="en-GB"/>
        </w:rPr>
        <w:t xml:space="preserve"> and </w:t>
      </w:r>
      <w:r w:rsidR="000C6304" w:rsidRPr="00F16BB1">
        <w:rPr>
          <w:lang w:val="en-GB"/>
        </w:rPr>
        <w:t xml:space="preserve">a </w:t>
      </w:r>
      <w:r w:rsidR="001A2B7F" w:rsidRPr="00F16BB1">
        <w:rPr>
          <w:lang w:val="en-GB"/>
        </w:rPr>
        <w:t>review</w:t>
      </w:r>
      <w:r w:rsidR="001A2B7F" w:rsidRPr="00D91350">
        <w:rPr>
          <w:lang w:val="en-GB"/>
        </w:rPr>
        <w:t xml:space="preserve"> </w:t>
      </w:r>
      <w:r w:rsidRPr="00D91350">
        <w:rPr>
          <w:lang w:val="en-GB"/>
        </w:rPr>
        <w:t>of</w:t>
      </w:r>
      <w:r w:rsidRPr="004746D1">
        <w:rPr>
          <w:lang w:val="en-GB"/>
        </w:rPr>
        <w:t xml:space="preserve"> the harmonised technical conditions applicable to the 3.4-3.8 GHz ('3.6 GHz') frequency band</w:t>
      </w:r>
      <w:r w:rsidR="002222D5">
        <w:rPr>
          <w:lang w:val="en-GB"/>
        </w:rPr>
        <w:t>;</w:t>
      </w:r>
    </w:p>
    <w:p w14:paraId="00B4D8C5" w14:textId="1EAB0DA7" w:rsidR="00A50D15" w:rsidRPr="004746D1" w:rsidRDefault="000C4F9E" w:rsidP="007E0CCC">
      <w:pPr>
        <w:pStyle w:val="LetteredList"/>
        <w:rPr>
          <w:lang w:val="en-GB"/>
        </w:rPr>
      </w:pPr>
      <w:r w:rsidRPr="004746D1">
        <w:rPr>
          <w:lang w:val="en-GB"/>
        </w:rPr>
        <w:t xml:space="preserve">that </w:t>
      </w:r>
      <w:r w:rsidR="00782ED9" w:rsidRPr="004746D1">
        <w:rPr>
          <w:lang w:val="en-GB"/>
        </w:rPr>
        <w:t xml:space="preserve">there is a </w:t>
      </w:r>
      <w:r w:rsidRPr="004746D1">
        <w:rPr>
          <w:lang w:val="en-GB"/>
        </w:rPr>
        <w:t xml:space="preserve">growing interest for indoor small cell deployments in the </w:t>
      </w:r>
      <w:r w:rsidR="00782ED9" w:rsidRPr="004746D1">
        <w:rPr>
          <w:lang w:val="en-GB"/>
        </w:rPr>
        <w:t xml:space="preserve">3400-3800 MHz </w:t>
      </w:r>
      <w:r w:rsidRPr="004746D1">
        <w:rPr>
          <w:lang w:val="en-GB"/>
        </w:rPr>
        <w:t xml:space="preserve">band in </w:t>
      </w:r>
      <w:r w:rsidR="00540E4A" w:rsidRPr="004746D1">
        <w:rPr>
          <w:lang w:val="en-GB"/>
        </w:rPr>
        <w:t>CEPT countries</w:t>
      </w:r>
      <w:r w:rsidR="002222D5">
        <w:rPr>
          <w:lang w:val="en-GB"/>
        </w:rPr>
        <w:t>;</w:t>
      </w:r>
    </w:p>
    <w:p w14:paraId="0F69D833" w14:textId="206D61F1" w:rsidR="00147542" w:rsidRPr="00D91350" w:rsidRDefault="00730390" w:rsidP="007E0CCC">
      <w:pPr>
        <w:pStyle w:val="LetteredList"/>
        <w:rPr>
          <w:lang w:val="en-GB"/>
        </w:rPr>
      </w:pPr>
      <w:r w:rsidRPr="004746D1">
        <w:rPr>
          <w:lang w:val="en-GB"/>
        </w:rPr>
        <w:t xml:space="preserve">that building exit losses and potentially additional clutter losses could allow for relaxed additional baseline power limits for indoor small cells, still protecting radiolocation systems below 3400 </w:t>
      </w:r>
      <w:r w:rsidRPr="00D91350">
        <w:rPr>
          <w:lang w:val="en-GB"/>
        </w:rPr>
        <w:t>MHz</w:t>
      </w:r>
      <w:r w:rsidR="00812DA2" w:rsidRPr="00D91350">
        <w:rPr>
          <w:lang w:val="en-GB"/>
        </w:rPr>
        <w:t xml:space="preserve"> </w:t>
      </w:r>
      <w:r w:rsidR="00812DA2" w:rsidRPr="00D91350">
        <w:rPr>
          <w:lang w:val="en-GB"/>
        </w:rPr>
        <w:fldChar w:fldCharType="begin"/>
      </w:r>
      <w:r w:rsidR="00812DA2" w:rsidRPr="00D91350">
        <w:rPr>
          <w:lang w:val="en-GB"/>
        </w:rPr>
        <w:instrText xml:space="preserve"> REF _Ref76375544 \r \h </w:instrText>
      </w:r>
      <w:r w:rsidR="00EC00ED" w:rsidRPr="00D91350">
        <w:rPr>
          <w:lang w:val="en-GB"/>
        </w:rPr>
        <w:instrText xml:space="preserve"> \* MERGEFORMAT </w:instrText>
      </w:r>
      <w:r w:rsidR="00812DA2" w:rsidRPr="00D91350">
        <w:rPr>
          <w:lang w:val="en-GB"/>
        </w:rPr>
      </w:r>
      <w:r w:rsidR="00812DA2" w:rsidRPr="00D91350">
        <w:rPr>
          <w:lang w:val="en-GB"/>
        </w:rPr>
        <w:fldChar w:fldCharType="separate"/>
      </w:r>
      <w:r w:rsidR="00812DA2" w:rsidRPr="00D91350">
        <w:rPr>
          <w:lang w:val="en-GB"/>
        </w:rPr>
        <w:t>[5]</w:t>
      </w:r>
      <w:r w:rsidR="00812DA2" w:rsidRPr="00D91350">
        <w:rPr>
          <w:lang w:val="en-GB"/>
        </w:rPr>
        <w:fldChar w:fldCharType="end"/>
      </w:r>
      <w:r w:rsidR="00812DA2" w:rsidRPr="00D91350">
        <w:rPr>
          <w:lang w:val="en-GB"/>
        </w:rPr>
        <w:t>-</w:t>
      </w:r>
      <w:r w:rsidR="00EC00ED" w:rsidRPr="00D91350">
        <w:rPr>
          <w:lang w:val="en-GB"/>
        </w:rPr>
        <w:fldChar w:fldCharType="begin"/>
      </w:r>
      <w:r w:rsidR="00EC00ED" w:rsidRPr="00D91350">
        <w:rPr>
          <w:lang w:val="en-GB"/>
        </w:rPr>
        <w:instrText xml:space="preserve"> REF _Ref81908619 \n \h  \* MERGEFORMAT </w:instrText>
      </w:r>
      <w:r w:rsidR="00EC00ED" w:rsidRPr="00D91350">
        <w:rPr>
          <w:lang w:val="en-GB"/>
        </w:rPr>
      </w:r>
      <w:r w:rsidR="00EC00ED" w:rsidRPr="00D91350">
        <w:rPr>
          <w:lang w:val="en-GB"/>
        </w:rPr>
        <w:fldChar w:fldCharType="separate"/>
      </w:r>
      <w:r w:rsidR="00EC00ED" w:rsidRPr="00D91350">
        <w:rPr>
          <w:lang w:val="en-GB"/>
        </w:rPr>
        <w:t>[12]</w:t>
      </w:r>
      <w:r w:rsidR="00EC00ED" w:rsidRPr="00D91350">
        <w:rPr>
          <w:lang w:val="en-GB"/>
        </w:rPr>
        <w:fldChar w:fldCharType="end"/>
      </w:r>
      <w:r w:rsidR="002222D5">
        <w:rPr>
          <w:lang w:val="en-GB"/>
        </w:rPr>
        <w:t>;</w:t>
      </w:r>
    </w:p>
    <w:p w14:paraId="7F1D2F24" w14:textId="0C5A32DB" w:rsidR="00147542" w:rsidRPr="004746D1" w:rsidRDefault="00E95E74" w:rsidP="007E0CCC">
      <w:pPr>
        <w:pStyle w:val="LetteredList"/>
        <w:rPr>
          <w:lang w:val="en-GB"/>
        </w:rPr>
      </w:pPr>
      <w:r w:rsidRPr="004746D1">
        <w:rPr>
          <w:lang w:val="en-GB"/>
        </w:rPr>
        <w:t xml:space="preserve">that the additional baseline power limits given in Table 5 </w:t>
      </w:r>
      <w:r w:rsidR="00FA0889" w:rsidRPr="004746D1">
        <w:rPr>
          <w:lang w:val="en-GB"/>
        </w:rPr>
        <w:t>of ECC</w:t>
      </w:r>
      <w:r w:rsidR="007E0CCC" w:rsidRPr="004746D1">
        <w:rPr>
          <w:lang w:val="en-GB"/>
        </w:rPr>
        <w:t xml:space="preserve"> Decision </w:t>
      </w:r>
      <w:r w:rsidR="00FA0889" w:rsidRPr="004746D1">
        <w:rPr>
          <w:lang w:val="en-GB"/>
        </w:rPr>
        <w:t>(11)06</w:t>
      </w:r>
      <w:r w:rsidR="00300CBC" w:rsidRPr="004746D1">
        <w:rPr>
          <w:lang w:val="en-GB"/>
        </w:rPr>
        <w:t xml:space="preserve"> (amended 26 October 2018)</w:t>
      </w:r>
      <w:r w:rsidR="003F1692" w:rsidRPr="004746D1">
        <w:rPr>
          <w:lang w:val="en-GB"/>
        </w:rPr>
        <w:t xml:space="preserve">, </w:t>
      </w:r>
      <w:r w:rsidR="00884B2B" w:rsidRPr="004746D1">
        <w:rPr>
          <w:lang w:val="en-GB"/>
        </w:rPr>
        <w:t xml:space="preserve">defined </w:t>
      </w:r>
      <w:r w:rsidR="003F1692" w:rsidRPr="004746D1">
        <w:rPr>
          <w:lang w:val="en-GB"/>
        </w:rPr>
        <w:t>for the protection of radiolocation systems below 3400 MHz,</w:t>
      </w:r>
      <w:r w:rsidR="00FA0889" w:rsidRPr="004746D1">
        <w:rPr>
          <w:lang w:val="en-GB"/>
        </w:rPr>
        <w:t xml:space="preserve"> </w:t>
      </w:r>
      <w:r w:rsidRPr="004746D1">
        <w:rPr>
          <w:lang w:val="en-GB"/>
        </w:rPr>
        <w:t xml:space="preserve">were derived assuming only outdoor </w:t>
      </w:r>
      <w:r w:rsidR="002E1B0E" w:rsidRPr="004746D1">
        <w:rPr>
          <w:lang w:val="en-GB"/>
        </w:rPr>
        <w:t>base stations</w:t>
      </w:r>
      <w:r w:rsidR="002222D5">
        <w:rPr>
          <w:lang w:val="en-GB"/>
        </w:rPr>
        <w:t>;</w:t>
      </w:r>
    </w:p>
    <w:p w14:paraId="6E6ED5B6" w14:textId="593D7420" w:rsidR="009106E2" w:rsidRPr="004746D1" w:rsidRDefault="009106E2" w:rsidP="007E0CCC">
      <w:pPr>
        <w:pStyle w:val="LetteredList"/>
        <w:rPr>
          <w:lang w:val="en-GB"/>
        </w:rPr>
      </w:pPr>
      <w:r w:rsidRPr="004746D1">
        <w:rPr>
          <w:lang w:val="en-GB"/>
        </w:rPr>
        <w:t>that there is a need of additional guidance on the</w:t>
      </w:r>
      <w:r w:rsidR="00B22B7A" w:rsidRPr="004746D1">
        <w:rPr>
          <w:lang w:val="en-GB"/>
        </w:rPr>
        <w:t xml:space="preserve"> harmonised</w:t>
      </w:r>
      <w:r w:rsidRPr="004746D1">
        <w:rPr>
          <w:lang w:val="en-GB"/>
        </w:rPr>
        <w:t xml:space="preserve"> application of least restrictive technical conditions (LRTC) in Table 5 of ECC</w:t>
      </w:r>
      <w:r w:rsidR="007E0CCC" w:rsidRPr="004746D1">
        <w:rPr>
          <w:lang w:val="en-GB"/>
        </w:rPr>
        <w:t xml:space="preserve"> Decision </w:t>
      </w:r>
      <w:r w:rsidRPr="004746D1">
        <w:rPr>
          <w:lang w:val="en-GB"/>
        </w:rPr>
        <w:t xml:space="preserve">(11)06 </w:t>
      </w:r>
      <w:r w:rsidR="00300CBC" w:rsidRPr="004746D1">
        <w:rPr>
          <w:lang w:val="en-GB"/>
        </w:rPr>
        <w:t xml:space="preserve">(amended 26 October 2018) </w:t>
      </w:r>
      <w:r w:rsidRPr="004746D1">
        <w:rPr>
          <w:lang w:val="en-GB"/>
        </w:rPr>
        <w:t>for indoor small cells operating in the 3400-3800 MHz band</w:t>
      </w:r>
      <w:r w:rsidR="00B22B7A" w:rsidRPr="004746D1">
        <w:rPr>
          <w:lang w:val="en-GB"/>
        </w:rPr>
        <w:t xml:space="preserve"> due </w:t>
      </w:r>
      <w:r w:rsidR="00300CBC" w:rsidRPr="004746D1">
        <w:rPr>
          <w:lang w:val="en-GB"/>
        </w:rPr>
        <w:t xml:space="preserve">to </w:t>
      </w:r>
      <w:r w:rsidR="00B22B7A" w:rsidRPr="004746D1">
        <w:rPr>
          <w:lang w:val="en-GB"/>
        </w:rPr>
        <w:t>growing interest for indoor small cells deployment in the band</w:t>
      </w:r>
      <w:r w:rsidR="002222D5">
        <w:rPr>
          <w:lang w:val="en-GB"/>
        </w:rPr>
        <w:t>;</w:t>
      </w:r>
    </w:p>
    <w:p w14:paraId="17528F7C" w14:textId="7C000AB0" w:rsidR="00A26E4A" w:rsidRPr="004746D1" w:rsidRDefault="00C11A96" w:rsidP="007E0CCC">
      <w:pPr>
        <w:pStyle w:val="LetteredList"/>
        <w:rPr>
          <w:lang w:val="en-GB"/>
        </w:rPr>
      </w:pPr>
      <w:r w:rsidRPr="004746D1">
        <w:rPr>
          <w:lang w:val="en-GB"/>
        </w:rPr>
        <w:t xml:space="preserve">that </w:t>
      </w:r>
      <w:r w:rsidR="00E754DD" w:rsidRPr="004746D1">
        <w:rPr>
          <w:lang w:val="en-GB"/>
        </w:rPr>
        <w:t>only non-</w:t>
      </w:r>
      <w:r w:rsidR="00DB0A15" w:rsidRPr="004746D1">
        <w:rPr>
          <w:lang w:val="en-GB"/>
        </w:rPr>
        <w:t xml:space="preserve">AAS </w:t>
      </w:r>
      <w:r w:rsidR="00733EA0" w:rsidRPr="004746D1">
        <w:rPr>
          <w:lang w:val="en-GB"/>
        </w:rPr>
        <w:t>is</w:t>
      </w:r>
      <w:r w:rsidR="00DB0A15" w:rsidRPr="004746D1">
        <w:rPr>
          <w:lang w:val="en-GB"/>
        </w:rPr>
        <w:t xml:space="preserve"> implemented in </w:t>
      </w:r>
      <w:r w:rsidRPr="004746D1">
        <w:rPr>
          <w:lang w:val="en-GB"/>
        </w:rPr>
        <w:t>indoor</w:t>
      </w:r>
      <w:r w:rsidR="00DB0A15" w:rsidRPr="004746D1">
        <w:rPr>
          <w:lang w:val="en-GB"/>
        </w:rPr>
        <w:t xml:space="preserve"> </w:t>
      </w:r>
      <w:r w:rsidR="007F051B" w:rsidRPr="004746D1">
        <w:rPr>
          <w:lang w:val="en-GB"/>
        </w:rPr>
        <w:t>small cells</w:t>
      </w:r>
      <w:r w:rsidR="00DB0A15" w:rsidRPr="004746D1">
        <w:rPr>
          <w:lang w:val="en-GB"/>
        </w:rPr>
        <w:t xml:space="preserve"> in </w:t>
      </w:r>
      <w:r w:rsidR="007F051B" w:rsidRPr="004746D1">
        <w:rPr>
          <w:lang w:val="en-GB"/>
        </w:rPr>
        <w:t>the 3400-3800 MHz band</w:t>
      </w:r>
      <w:r w:rsidR="002222D5">
        <w:rPr>
          <w:lang w:val="en-GB"/>
        </w:rPr>
        <w:t>;</w:t>
      </w:r>
    </w:p>
    <w:p w14:paraId="01A6B3C6" w14:textId="28A6F255" w:rsidR="00A26E4A" w:rsidRPr="004746D1" w:rsidRDefault="00A26E4A" w:rsidP="007E0CCC">
      <w:pPr>
        <w:pStyle w:val="LetteredList"/>
        <w:rPr>
          <w:lang w:val="en-GB"/>
        </w:rPr>
      </w:pPr>
      <w:r w:rsidRPr="004746D1">
        <w:rPr>
          <w:lang w:val="en-GB"/>
        </w:rPr>
        <w:t xml:space="preserve">that indoor small cells are </w:t>
      </w:r>
      <w:r w:rsidR="00884B2B" w:rsidRPr="004746D1">
        <w:rPr>
          <w:lang w:val="en-GB"/>
        </w:rPr>
        <w:t xml:space="preserve">usually </w:t>
      </w:r>
      <w:r w:rsidRPr="004746D1">
        <w:rPr>
          <w:lang w:val="en-GB"/>
        </w:rPr>
        <w:t>used for offices, industrial buildings and/or larger public buildings like airports or even underground</w:t>
      </w:r>
      <w:r w:rsidR="002222D5">
        <w:rPr>
          <w:lang w:val="en-GB"/>
        </w:rPr>
        <w:t>;</w:t>
      </w:r>
    </w:p>
    <w:p w14:paraId="06806940" w14:textId="030417F8" w:rsidR="00BF2F03" w:rsidRPr="004746D1" w:rsidRDefault="00A26E4A" w:rsidP="007E0CCC">
      <w:pPr>
        <w:pStyle w:val="LetteredList"/>
        <w:rPr>
          <w:lang w:val="en-GB"/>
        </w:rPr>
      </w:pPr>
      <w:r w:rsidRPr="004746D1">
        <w:rPr>
          <w:lang w:val="en-GB"/>
        </w:rPr>
        <w:t xml:space="preserve">that there could be some specific areas with high density of indoor small cells (e.g. offices with multiple </w:t>
      </w:r>
      <w:r w:rsidR="00884B2B" w:rsidRPr="004746D1">
        <w:rPr>
          <w:lang w:val="en-GB"/>
        </w:rPr>
        <w:t>floors</w:t>
      </w:r>
      <w:r w:rsidRPr="004746D1">
        <w:rPr>
          <w:lang w:val="en-GB"/>
        </w:rPr>
        <w:t>)</w:t>
      </w:r>
      <w:r w:rsidR="00F85DEB">
        <w:rPr>
          <w:lang w:val="en-GB"/>
        </w:rPr>
        <w:t>.</w:t>
      </w:r>
    </w:p>
    <w:p w14:paraId="16E18F48" w14:textId="71161D18" w:rsidR="00385AAB" w:rsidRPr="004746D1" w:rsidRDefault="00385AAB">
      <w:pPr>
        <w:rPr>
          <w:i/>
          <w:color w:val="D2232A"/>
          <w:lang w:val="en-GB"/>
        </w:rPr>
      </w:pPr>
    </w:p>
    <w:p w14:paraId="66426DEF" w14:textId="77777777" w:rsidR="00D37EE3" w:rsidRPr="004746D1" w:rsidRDefault="00835C5B" w:rsidP="00D37EE3">
      <w:pPr>
        <w:pStyle w:val="ECCParagraph"/>
        <w:rPr>
          <w:i/>
          <w:color w:val="D2232A"/>
        </w:rPr>
      </w:pPr>
      <w:r w:rsidRPr="004746D1">
        <w:rPr>
          <w:i/>
          <w:color w:val="D2232A"/>
        </w:rPr>
        <w:t>recommends</w:t>
      </w:r>
      <w:r w:rsidR="00D37EE3" w:rsidRPr="004746D1">
        <w:rPr>
          <w:i/>
          <w:color w:val="D2232A"/>
        </w:rPr>
        <w:t xml:space="preserve"> </w:t>
      </w:r>
    </w:p>
    <w:p w14:paraId="574A0F3A" w14:textId="1F9AC368" w:rsidR="00B96EBC" w:rsidRPr="004746D1" w:rsidRDefault="00F5338D" w:rsidP="00841EE5">
      <w:pPr>
        <w:pStyle w:val="ECCParagraph"/>
        <w:numPr>
          <w:ilvl w:val="0"/>
          <w:numId w:val="8"/>
        </w:numPr>
      </w:pPr>
      <w:r>
        <w:t>t</w:t>
      </w:r>
      <w:r w:rsidRPr="004746D1">
        <w:t xml:space="preserve">he </w:t>
      </w:r>
      <w:r w:rsidR="00B96EBC" w:rsidRPr="004746D1">
        <w:t>following</w:t>
      </w:r>
      <w:r w:rsidR="00C103B4" w:rsidRPr="004746D1">
        <w:t xml:space="preserve"> relaxation</w:t>
      </w:r>
      <w:r w:rsidR="00E23ECB" w:rsidRPr="004746D1">
        <w:t xml:space="preserve"> for indoor small cells</w:t>
      </w:r>
      <w:r w:rsidR="00B96EBC" w:rsidRPr="004746D1">
        <w:t xml:space="preserve"> to</w:t>
      </w:r>
      <w:r w:rsidR="00C103B4" w:rsidRPr="004746D1">
        <w:t xml:space="preserve"> the additional baseline</w:t>
      </w:r>
      <w:r w:rsidR="00B96EBC" w:rsidRPr="004746D1">
        <w:t xml:space="preserve"> power limits for non-AAS</w:t>
      </w:r>
      <w:r w:rsidR="00F47DF9" w:rsidRPr="004746D1">
        <w:t xml:space="preserve"> </w:t>
      </w:r>
      <w:r w:rsidR="00C103B4" w:rsidRPr="004746D1">
        <w:t>base stations</w:t>
      </w:r>
      <w:r w:rsidR="00B96EBC" w:rsidRPr="004746D1">
        <w:t xml:space="preserve"> specified in Table 5 of the ECC Decision (11)06 (amended 26 October 2018):</w:t>
      </w:r>
    </w:p>
    <w:p w14:paraId="4F370673" w14:textId="0F472E7F" w:rsidR="00B96EBC" w:rsidRPr="00D72883" w:rsidRDefault="00B96EBC" w:rsidP="00300CBC">
      <w:pPr>
        <w:pStyle w:val="ECCLetteredList"/>
        <w:rPr>
          <w:lang w:val="en-GB"/>
        </w:rPr>
      </w:pPr>
      <w:r w:rsidRPr="004746D1">
        <w:rPr>
          <w:lang w:val="en-GB"/>
        </w:rPr>
        <w:t>for Case A</w:t>
      </w:r>
      <w:r w:rsidR="00C103B4" w:rsidRPr="004746D1">
        <w:rPr>
          <w:lang w:val="en-GB"/>
        </w:rPr>
        <w:t>, an e.i.r.p.</w:t>
      </w:r>
      <w:r w:rsidRPr="004746D1">
        <w:rPr>
          <w:lang w:val="en-GB"/>
        </w:rPr>
        <w:t xml:space="preserve"> limit of </w:t>
      </w:r>
      <w:r w:rsidR="00485BF8">
        <w:rPr>
          <w:iCs/>
          <w:lang w:val="en-GB"/>
        </w:rPr>
        <w:t>-</w:t>
      </w:r>
      <w:r w:rsidRPr="004746D1">
        <w:rPr>
          <w:lang w:val="en-GB"/>
        </w:rPr>
        <w:t>49 dBm/MHz per antenna</w:t>
      </w:r>
      <w:bookmarkStart w:id="3" w:name="_Ref73467817"/>
      <w:r w:rsidR="001F0562" w:rsidRPr="00D72883">
        <w:rPr>
          <w:rStyle w:val="FootnoteReference"/>
          <w:color w:val="auto"/>
          <w:lang w:val="en-GB"/>
        </w:rPr>
        <w:footnoteReference w:id="2"/>
      </w:r>
      <w:bookmarkEnd w:id="3"/>
      <w:r w:rsidR="0099269E" w:rsidRPr="00D72883">
        <w:rPr>
          <w:lang w:val="en-GB"/>
        </w:rPr>
        <w:t>;</w:t>
      </w:r>
    </w:p>
    <w:p w14:paraId="0CFF5694" w14:textId="38CF7D14" w:rsidR="00B96EBC" w:rsidRPr="004746D1" w:rsidRDefault="00B96EBC" w:rsidP="00300CBC">
      <w:pPr>
        <w:pStyle w:val="ECCLetteredList"/>
        <w:rPr>
          <w:lang w:val="en-GB"/>
        </w:rPr>
      </w:pPr>
      <w:r w:rsidRPr="00D72883">
        <w:rPr>
          <w:lang w:val="en-GB"/>
        </w:rPr>
        <w:t>for Case B</w:t>
      </w:r>
      <w:r w:rsidR="00C103B4" w:rsidRPr="00D72883">
        <w:rPr>
          <w:lang w:val="en-GB"/>
        </w:rPr>
        <w:t>, an e.i.r.p.</w:t>
      </w:r>
      <w:r w:rsidRPr="00D72883">
        <w:rPr>
          <w:lang w:val="en-GB"/>
        </w:rPr>
        <w:t xml:space="preserve"> limit of </w:t>
      </w:r>
      <w:r w:rsidR="00485BF8" w:rsidRPr="00D72883">
        <w:rPr>
          <w:iCs/>
          <w:lang w:val="en-GB"/>
        </w:rPr>
        <w:t>-</w:t>
      </w:r>
      <w:r w:rsidRPr="00D72883">
        <w:rPr>
          <w:lang w:val="en-GB"/>
        </w:rPr>
        <w:t>34 dBm/MHz per antenna</w:t>
      </w:r>
      <w:r w:rsidR="00300CBC" w:rsidRPr="00D72883">
        <w:rPr>
          <w:lang w:val="en-GB"/>
        </w:rPr>
        <w:fldChar w:fldCharType="begin"/>
      </w:r>
      <w:r w:rsidR="00300CBC" w:rsidRPr="00D72883">
        <w:rPr>
          <w:rStyle w:val="FootnoteReference"/>
          <w:color w:val="auto"/>
          <w:lang w:val="en-GB"/>
        </w:rPr>
        <w:instrText xml:space="preserve"> NOTEREF _Ref73467817 \h </w:instrText>
      </w:r>
      <w:r w:rsidR="00300CBC" w:rsidRPr="00D72883">
        <w:rPr>
          <w:lang w:val="en-GB"/>
        </w:rPr>
        <w:instrText xml:space="preserve"> \* MERGEFORMAT </w:instrText>
      </w:r>
      <w:r w:rsidR="00300CBC" w:rsidRPr="00D72883">
        <w:rPr>
          <w:lang w:val="en-GB"/>
        </w:rPr>
      </w:r>
      <w:r w:rsidR="00300CBC" w:rsidRPr="00D72883">
        <w:rPr>
          <w:lang w:val="en-GB"/>
        </w:rPr>
        <w:fldChar w:fldCharType="separate"/>
      </w:r>
      <w:r w:rsidR="0096709F" w:rsidRPr="00D72883">
        <w:rPr>
          <w:rStyle w:val="FootnoteReference"/>
          <w:color w:val="auto"/>
          <w:lang w:val="en-GB"/>
        </w:rPr>
        <w:t>1</w:t>
      </w:r>
      <w:r w:rsidR="00300CBC" w:rsidRPr="00D72883">
        <w:rPr>
          <w:lang w:val="en-GB"/>
        </w:rPr>
        <w:fldChar w:fldCharType="end"/>
      </w:r>
      <w:r w:rsidR="0099269E" w:rsidRPr="00D72883">
        <w:rPr>
          <w:lang w:val="en-GB"/>
        </w:rPr>
        <w:t>;</w:t>
      </w:r>
    </w:p>
    <w:p w14:paraId="4C796546" w14:textId="77777777" w:rsidR="00300CBC" w:rsidRPr="004746D1" w:rsidRDefault="00300CBC" w:rsidP="00300CBC">
      <w:pPr>
        <w:pStyle w:val="ECCParagraph"/>
      </w:pPr>
    </w:p>
    <w:p w14:paraId="41EC2450" w14:textId="38D05CE4" w:rsidR="00C103B4" w:rsidRPr="004746D1" w:rsidRDefault="00F5338D" w:rsidP="00341B8E">
      <w:pPr>
        <w:pStyle w:val="ECCParagraph"/>
        <w:numPr>
          <w:ilvl w:val="0"/>
          <w:numId w:val="8"/>
        </w:numPr>
      </w:pPr>
      <w:r>
        <w:lastRenderedPageBreak/>
        <w:t>t</w:t>
      </w:r>
      <w:r w:rsidRPr="004746D1">
        <w:t xml:space="preserve">hat </w:t>
      </w:r>
      <w:r w:rsidR="00C103B4" w:rsidRPr="004746D1">
        <w:t>Note (3) specified in Table 5 of the ECC Decision (11)06 (amended 26 October 2018) also applie</w:t>
      </w:r>
      <w:r w:rsidR="00A26E4A" w:rsidRPr="004746D1">
        <w:t>s</w:t>
      </w:r>
      <w:r w:rsidR="00C103B4" w:rsidRPr="004746D1">
        <w:t xml:space="preserve"> to indoor small cells and th</w:t>
      </w:r>
      <w:r w:rsidR="008A1616" w:rsidRPr="004746D1">
        <w:t>e</w:t>
      </w:r>
      <w:r w:rsidR="00C103B4" w:rsidRPr="004746D1">
        <w:t xml:space="preserve"> implementation of this ECC Recommendation</w:t>
      </w:r>
      <w:r w:rsidR="0099269E">
        <w:t>;</w:t>
      </w:r>
    </w:p>
    <w:p w14:paraId="6F881E7A" w14:textId="09436594" w:rsidR="00C103B4" w:rsidRPr="004746D1" w:rsidRDefault="00F5338D" w:rsidP="00341B8E">
      <w:pPr>
        <w:pStyle w:val="ECCParagraph"/>
        <w:numPr>
          <w:ilvl w:val="0"/>
          <w:numId w:val="8"/>
        </w:numPr>
      </w:pPr>
      <w:r>
        <w:t>t</w:t>
      </w:r>
      <w:r w:rsidRPr="004746D1">
        <w:t xml:space="preserve">hat </w:t>
      </w:r>
      <w:r w:rsidR="00C75D5E" w:rsidRPr="004746D1">
        <w:t xml:space="preserve">this ECC Recommendation does not override specific regulations made at a national level which, in case of indoor deployments, make use of the flexibility to relax the </w:t>
      </w:r>
      <w:r w:rsidR="00647745" w:rsidRPr="00561C62">
        <w:t xml:space="preserve">additional baseline </w:t>
      </w:r>
      <w:r w:rsidR="00C75D5E" w:rsidRPr="00561C62">
        <w:t>po</w:t>
      </w:r>
      <w:r w:rsidR="00C75D5E" w:rsidRPr="004746D1">
        <w:t>wer limits given in ECC Decision (11)06.</w:t>
      </w:r>
      <w:r w:rsidR="008020B5">
        <w:t>”</w:t>
      </w:r>
    </w:p>
    <w:p w14:paraId="73962173" w14:textId="445E6A32" w:rsidR="00A2604A" w:rsidRPr="004746D1" w:rsidRDefault="00A2604A" w:rsidP="00A2604A">
      <w:pPr>
        <w:pStyle w:val="ECCParagraph"/>
        <w:rPr>
          <w:i/>
          <w:color w:val="D2232A"/>
        </w:rPr>
      </w:pPr>
      <w:r w:rsidRPr="004746D1">
        <w:rPr>
          <w:i/>
          <w:color w:val="D2232A"/>
        </w:rPr>
        <w:t xml:space="preserve">Note: </w:t>
      </w:r>
    </w:p>
    <w:p w14:paraId="618E3887" w14:textId="30A0F3DD" w:rsidR="00A2604A" w:rsidRPr="004746D1" w:rsidRDefault="00A2604A" w:rsidP="00A2604A">
      <w:pPr>
        <w:rPr>
          <w:lang w:val="en-GB"/>
        </w:rPr>
      </w:pPr>
      <w:r w:rsidRPr="004746D1">
        <w:rPr>
          <w:i/>
          <w:szCs w:val="20"/>
          <w:lang w:val="en-GB"/>
        </w:rPr>
        <w:t xml:space="preserve">Please check the Office documentation database </w:t>
      </w:r>
      <w:hyperlink r:id="rId14" w:history="1">
        <w:r w:rsidR="00300CBC" w:rsidRPr="004746D1">
          <w:rPr>
            <w:rStyle w:val="Hyperlink"/>
            <w:i/>
            <w:szCs w:val="20"/>
            <w:lang w:val="en-GB"/>
          </w:rPr>
          <w:t>https://docdb.cept.org</w:t>
        </w:r>
      </w:hyperlink>
      <w:r w:rsidR="00300CBC" w:rsidRPr="004746D1">
        <w:rPr>
          <w:i/>
          <w:szCs w:val="20"/>
          <w:lang w:val="en-GB"/>
        </w:rPr>
        <w:t xml:space="preserve"> </w:t>
      </w:r>
      <w:r w:rsidRPr="004746D1">
        <w:rPr>
          <w:i/>
          <w:szCs w:val="20"/>
          <w:lang w:val="en-GB"/>
        </w:rPr>
        <w:t xml:space="preserve">for the up to date position on the implementation of this and other </w:t>
      </w:r>
      <w:smartTag w:uri="urn:schemas-microsoft-com:office:smarttags" w:element="stockticker">
        <w:r w:rsidRPr="004746D1">
          <w:rPr>
            <w:i/>
            <w:szCs w:val="20"/>
            <w:lang w:val="en-GB"/>
          </w:rPr>
          <w:t>ECC</w:t>
        </w:r>
      </w:smartTag>
      <w:r w:rsidRPr="004746D1">
        <w:rPr>
          <w:i/>
          <w:szCs w:val="20"/>
          <w:lang w:val="en-GB"/>
        </w:rPr>
        <w:t xml:space="preserve"> Recommendations.</w:t>
      </w:r>
    </w:p>
    <w:p w14:paraId="4898C243" w14:textId="77777777" w:rsidR="00382EFE" w:rsidRPr="004746D1" w:rsidRDefault="00382EFE" w:rsidP="00382EFE">
      <w:pPr>
        <w:pStyle w:val="ECCTabletext"/>
      </w:pPr>
      <w:bookmarkStart w:id="4" w:name="_Toc280099660"/>
    </w:p>
    <w:p w14:paraId="276169F2" w14:textId="64768B51" w:rsidR="00C74BE6" w:rsidRPr="004746D1" w:rsidRDefault="00835C5B" w:rsidP="00D72883">
      <w:pPr>
        <w:pStyle w:val="ECCAnnex-heading1"/>
      </w:pPr>
      <w:r w:rsidRPr="004746D1">
        <w:lastRenderedPageBreak/>
        <w:t>List of reference</w:t>
      </w:r>
      <w:bookmarkEnd w:id="4"/>
      <w:r w:rsidR="00F37BF4" w:rsidRPr="004746D1">
        <w:t>s</w:t>
      </w:r>
    </w:p>
    <w:bookmarkStart w:id="5" w:name="_Ref46239788"/>
    <w:bookmarkStart w:id="6" w:name="_Ref75167979"/>
    <w:p w14:paraId="7B507281" w14:textId="0BACB17D" w:rsidR="009C10FD" w:rsidRPr="004746D1" w:rsidRDefault="00AB5A1A" w:rsidP="00B349C1">
      <w:pPr>
        <w:pStyle w:val="reference"/>
        <w:spacing w:before="60" w:after="60"/>
        <w:rPr>
          <w:lang w:val="en-GB"/>
        </w:rPr>
      </w:pPr>
      <w:r>
        <w:rPr>
          <w:lang w:val="en-GB"/>
        </w:rPr>
        <w:fldChar w:fldCharType="begin"/>
      </w:r>
      <w:r>
        <w:rPr>
          <w:lang w:val="en-GB"/>
        </w:rPr>
        <w:instrText>HYPERLINK "https://docdb.cept.org/document/433"</w:instrText>
      </w:r>
      <w:r>
        <w:rPr>
          <w:lang w:val="en-GB"/>
        </w:rPr>
        <w:fldChar w:fldCharType="separate"/>
      </w:r>
      <w:r>
        <w:rPr>
          <w:rStyle w:val="Hyperlink"/>
          <w:lang w:val="en-GB"/>
        </w:rPr>
        <w:t>ECC Decision (11)06</w:t>
      </w:r>
      <w:r>
        <w:rPr>
          <w:lang w:val="en-GB"/>
        </w:rPr>
        <w:fldChar w:fldCharType="end"/>
      </w:r>
      <w:r w:rsidR="009C10FD" w:rsidRPr="004746D1">
        <w:rPr>
          <w:lang w:val="en-GB"/>
        </w:rPr>
        <w:t xml:space="preserve">: </w:t>
      </w:r>
      <w:r w:rsidR="00F37BF4" w:rsidRPr="004746D1">
        <w:rPr>
          <w:lang w:val="en-GB"/>
        </w:rPr>
        <w:t>“</w:t>
      </w:r>
      <w:r w:rsidR="009C10FD" w:rsidRPr="004746D1">
        <w:rPr>
          <w:lang w:val="en-GB"/>
        </w:rPr>
        <w:t>Harmonised frequency arrangements and least restrictive technical conditions (LRTC) for mobile/fixed communications networks (MFCN) operating in the band 3400-3800 MHz</w:t>
      </w:r>
      <w:bookmarkEnd w:id="5"/>
      <w:r w:rsidR="00F37BF4" w:rsidRPr="004746D1">
        <w:rPr>
          <w:lang w:val="en-GB"/>
        </w:rPr>
        <w:t>”</w:t>
      </w:r>
      <w:r w:rsidR="00F761F1" w:rsidRPr="004746D1">
        <w:rPr>
          <w:lang w:val="en-GB"/>
        </w:rPr>
        <w:t xml:space="preserve">, approved </w:t>
      </w:r>
      <w:r w:rsidR="000B1BAA" w:rsidRPr="004746D1">
        <w:rPr>
          <w:lang w:val="en-GB"/>
        </w:rPr>
        <w:t xml:space="preserve">December 2011, latest amended </w:t>
      </w:r>
      <w:r w:rsidR="00F761F1" w:rsidRPr="004746D1">
        <w:rPr>
          <w:lang w:val="en-GB"/>
        </w:rPr>
        <w:t>October 2018</w:t>
      </w:r>
      <w:bookmarkEnd w:id="6"/>
    </w:p>
    <w:p w14:paraId="69846C5E" w14:textId="2521F0F4" w:rsidR="009A5ABA" w:rsidRPr="004746D1" w:rsidRDefault="009A5ABA" w:rsidP="00B349C1">
      <w:pPr>
        <w:pStyle w:val="reference"/>
        <w:spacing w:before="60" w:after="60"/>
        <w:rPr>
          <w:lang w:val="en-GB"/>
        </w:rPr>
      </w:pPr>
      <w:bookmarkStart w:id="7" w:name="_Ref46239797"/>
      <w:r w:rsidRPr="004746D1">
        <w:rPr>
          <w:lang w:val="en-GB"/>
        </w:rPr>
        <w:t xml:space="preserve">EC Decision 2019/235: </w:t>
      </w:r>
      <w:r w:rsidR="00D76171" w:rsidRPr="004746D1">
        <w:rPr>
          <w:lang w:val="en-GB"/>
        </w:rPr>
        <w:t>“</w:t>
      </w:r>
      <w:r w:rsidRPr="004746D1">
        <w:rPr>
          <w:lang w:val="en-GB"/>
        </w:rPr>
        <w:t>Commission Implementing Decision (EU) 2019/235 of 24 January 2019 on amending Decision 2008/411/EC as regards an update of relevant technical conditions applicable to the 3400-3800 MHz frequency band</w:t>
      </w:r>
      <w:bookmarkEnd w:id="7"/>
      <w:r w:rsidR="00D76171" w:rsidRPr="004746D1">
        <w:rPr>
          <w:lang w:val="en-GB"/>
        </w:rPr>
        <w:t>”</w:t>
      </w:r>
    </w:p>
    <w:bookmarkStart w:id="8" w:name="_Ref46239922"/>
    <w:bookmarkStart w:id="9" w:name="_Ref46239929"/>
    <w:p w14:paraId="6F5065D3" w14:textId="573BC117" w:rsidR="00C74BE6" w:rsidRPr="00BF6419" w:rsidRDefault="00B349C1" w:rsidP="00B349C1">
      <w:pPr>
        <w:pStyle w:val="reference"/>
        <w:spacing w:before="60" w:after="60"/>
        <w:rPr>
          <w:lang w:val="en-GB"/>
        </w:rPr>
      </w:pPr>
      <w:r>
        <w:fldChar w:fldCharType="begin"/>
      </w:r>
      <w:r>
        <w:instrText>HYPERLINK "https://docdb.cept.org/document/3357"</w:instrText>
      </w:r>
      <w:r>
        <w:fldChar w:fldCharType="separate"/>
      </w:r>
      <w:r>
        <w:rPr>
          <w:rStyle w:val="Hyperlink"/>
        </w:rPr>
        <w:t>CEPT Report 67</w:t>
      </w:r>
      <w:r>
        <w:fldChar w:fldCharType="end"/>
      </w:r>
      <w:r w:rsidR="007E0CCC" w:rsidRPr="004746D1">
        <w:rPr>
          <w:lang w:val="en-GB"/>
        </w:rPr>
        <w:t xml:space="preserve">: </w:t>
      </w:r>
      <w:r w:rsidR="00F37BF4" w:rsidRPr="004746D1">
        <w:rPr>
          <w:lang w:val="en-GB"/>
        </w:rPr>
        <w:t>“</w:t>
      </w:r>
      <w:r w:rsidR="007E0CCC" w:rsidRPr="004746D1">
        <w:rPr>
          <w:lang w:val="en-GB"/>
        </w:rPr>
        <w:t xml:space="preserve">Report A from CEPT to the European Commission in response to the Mandate “to develop harmonised technical conditions for spectrum use in support of the introduction of next-generation (5G) terrestrial wireless systems in the Union” </w:t>
      </w:r>
      <w:r w:rsidR="00A11DB9" w:rsidRPr="004746D1">
        <w:rPr>
          <w:lang w:val="en-GB"/>
        </w:rPr>
        <w:t xml:space="preserve">and </w:t>
      </w:r>
      <w:r w:rsidR="008F18F7" w:rsidRPr="00F16BB1">
        <w:rPr>
          <w:lang w:val="en-GB"/>
        </w:rPr>
        <w:t>a review</w:t>
      </w:r>
      <w:r w:rsidR="008F18F7" w:rsidRPr="00BF6419">
        <w:rPr>
          <w:lang w:val="en-GB"/>
        </w:rPr>
        <w:t xml:space="preserve"> </w:t>
      </w:r>
      <w:r w:rsidR="007E0CCC" w:rsidRPr="00BF6419">
        <w:rPr>
          <w:lang w:val="en-GB"/>
        </w:rPr>
        <w:t xml:space="preserve">of the harmonised technical conditions applicable to the 3.4-3.8 GHz ('3.6 GHz') </w:t>
      </w:r>
      <w:r w:rsidR="007E0CCC" w:rsidRPr="00D62463">
        <w:rPr>
          <w:lang w:val="en-GB"/>
        </w:rPr>
        <w:t>frequency band</w:t>
      </w:r>
      <w:bookmarkEnd w:id="8"/>
      <w:bookmarkEnd w:id="9"/>
      <w:r w:rsidR="00F37BF4" w:rsidRPr="00BF6419">
        <w:rPr>
          <w:lang w:val="en-GB"/>
        </w:rPr>
        <w:t>”</w:t>
      </w:r>
      <w:r w:rsidR="00AD00C1" w:rsidRPr="00BF6419">
        <w:rPr>
          <w:lang w:val="en-GB"/>
        </w:rPr>
        <w:t>, approved July 2018</w:t>
      </w:r>
    </w:p>
    <w:bookmarkStart w:id="10" w:name="_Ref75167944"/>
    <w:p w14:paraId="6BA7D5D8" w14:textId="086D19E5" w:rsidR="00C74BE6" w:rsidRPr="00BF6419" w:rsidRDefault="00894A8E" w:rsidP="00B349C1">
      <w:pPr>
        <w:pStyle w:val="reference"/>
        <w:spacing w:before="60" w:after="60"/>
        <w:rPr>
          <w:lang w:val="en-GB"/>
        </w:rPr>
      </w:pPr>
      <w:r>
        <w:rPr>
          <w:lang w:val="en-GB"/>
        </w:rPr>
        <w:fldChar w:fldCharType="begin"/>
      </w:r>
      <w:r>
        <w:rPr>
          <w:lang w:val="en-GB"/>
        </w:rPr>
        <w:instrText>HYPERLINK "https://docdb.cept.org/document/3360"</w:instrText>
      </w:r>
      <w:r>
        <w:rPr>
          <w:lang w:val="en-GB"/>
        </w:rPr>
        <w:fldChar w:fldCharType="separate"/>
      </w:r>
      <w:r>
        <w:rPr>
          <w:rStyle w:val="Hyperlink"/>
          <w:lang w:val="en-GB"/>
        </w:rPr>
        <w:t>ECC Report 281</w:t>
      </w:r>
      <w:r>
        <w:rPr>
          <w:lang w:val="en-GB"/>
        </w:rPr>
        <w:fldChar w:fldCharType="end"/>
      </w:r>
      <w:r w:rsidR="007E0CCC" w:rsidRPr="00BF6419">
        <w:rPr>
          <w:lang w:val="en-GB"/>
        </w:rPr>
        <w:t xml:space="preserve">: </w:t>
      </w:r>
      <w:r w:rsidR="00F37BF4" w:rsidRPr="00BF6419">
        <w:rPr>
          <w:lang w:val="en-GB"/>
        </w:rPr>
        <w:t>“</w:t>
      </w:r>
      <w:r w:rsidR="007E0CCC" w:rsidRPr="00BF6419">
        <w:rPr>
          <w:lang w:val="en-GB"/>
        </w:rPr>
        <w:t>Analysis of the suitability of the regulatory technical conditions for 5G MFCN operation in the 3400-3800 MHz band</w:t>
      </w:r>
      <w:r w:rsidR="00F37BF4" w:rsidRPr="00BF6419">
        <w:rPr>
          <w:lang w:val="en-GB"/>
        </w:rPr>
        <w:t>”</w:t>
      </w:r>
      <w:r w:rsidR="00C0448B" w:rsidRPr="00BF6419">
        <w:rPr>
          <w:lang w:val="en-GB"/>
        </w:rPr>
        <w:t>, approved July 2018</w:t>
      </w:r>
      <w:bookmarkEnd w:id="10"/>
    </w:p>
    <w:p w14:paraId="33BF3682" w14:textId="197EB2ED" w:rsidR="00C12B1C" w:rsidRPr="00BF6419" w:rsidRDefault="00EB6351" w:rsidP="00B349C1">
      <w:pPr>
        <w:pStyle w:val="reference"/>
        <w:spacing w:before="60" w:after="60"/>
        <w:rPr>
          <w:lang w:val="en-GB"/>
        </w:rPr>
      </w:pPr>
      <w:bookmarkStart w:id="11" w:name="_Ref76375544"/>
      <w:r w:rsidRPr="00BF6419">
        <w:rPr>
          <w:lang w:val="en-GB"/>
        </w:rPr>
        <w:t>Re</w:t>
      </w:r>
      <w:r w:rsidR="00CD351F" w:rsidRPr="00BF6419">
        <w:rPr>
          <w:lang w:val="en-GB"/>
        </w:rPr>
        <w:t>commendation</w:t>
      </w:r>
      <w:r w:rsidRPr="00BF6419">
        <w:rPr>
          <w:lang w:val="en-GB"/>
        </w:rPr>
        <w:t xml:space="preserve"> </w:t>
      </w:r>
      <w:r w:rsidR="00C12B1C" w:rsidRPr="00BF6419">
        <w:rPr>
          <w:lang w:val="en-GB"/>
        </w:rPr>
        <w:t>ITU-R P.2109</w:t>
      </w:r>
      <w:r w:rsidR="00677FD9" w:rsidRPr="00BF6419">
        <w:rPr>
          <w:lang w:val="en-GB"/>
        </w:rPr>
        <w:t>:</w:t>
      </w:r>
      <w:r w:rsidR="00C12B1C" w:rsidRPr="00BF6419">
        <w:rPr>
          <w:lang w:val="en-GB"/>
        </w:rPr>
        <w:t xml:space="preserve"> “</w:t>
      </w:r>
      <w:r w:rsidR="00A80097" w:rsidRPr="00BF6419">
        <w:rPr>
          <w:lang w:val="en-GB"/>
        </w:rPr>
        <w:t>Prediction of building entry loss</w:t>
      </w:r>
      <w:r w:rsidR="00C12B1C" w:rsidRPr="00BF6419">
        <w:rPr>
          <w:lang w:val="en-GB"/>
        </w:rPr>
        <w:t>”</w:t>
      </w:r>
      <w:bookmarkEnd w:id="11"/>
    </w:p>
    <w:p w14:paraId="499AEAF9" w14:textId="2CA2DBA8" w:rsidR="00C12B1C" w:rsidRPr="00BF6419" w:rsidRDefault="00A80097" w:rsidP="00B349C1">
      <w:pPr>
        <w:pStyle w:val="reference"/>
        <w:spacing w:before="60" w:after="60"/>
        <w:rPr>
          <w:lang w:val="en-GB"/>
        </w:rPr>
      </w:pPr>
      <w:r w:rsidRPr="00BF6419">
        <w:rPr>
          <w:lang w:val="en-GB"/>
        </w:rPr>
        <w:t xml:space="preserve">Report </w:t>
      </w:r>
      <w:r w:rsidR="00C12B1C" w:rsidRPr="00BF6419">
        <w:rPr>
          <w:lang w:val="en-GB"/>
        </w:rPr>
        <w:t>ITU-R P.2346</w:t>
      </w:r>
      <w:r w:rsidR="00677FD9" w:rsidRPr="00BF6419">
        <w:rPr>
          <w:lang w:val="en-GB"/>
        </w:rPr>
        <w:t>:</w:t>
      </w:r>
      <w:r w:rsidR="00C12B1C" w:rsidRPr="00BF6419">
        <w:rPr>
          <w:lang w:val="en-GB"/>
        </w:rPr>
        <w:t xml:space="preserve"> “</w:t>
      </w:r>
      <w:r w:rsidRPr="00BF6419">
        <w:rPr>
          <w:lang w:val="en-GB"/>
        </w:rPr>
        <w:t>Compilation of measurement data relating to building entry loss</w:t>
      </w:r>
      <w:r w:rsidR="00C12B1C" w:rsidRPr="00BF6419">
        <w:rPr>
          <w:lang w:val="en-GB"/>
        </w:rPr>
        <w:t>”</w:t>
      </w:r>
    </w:p>
    <w:p w14:paraId="573532D0" w14:textId="7ED1804A" w:rsidR="00C12B1C" w:rsidRPr="00BF6419" w:rsidRDefault="00181B9F" w:rsidP="00B349C1">
      <w:pPr>
        <w:pStyle w:val="reference"/>
        <w:spacing w:before="60" w:after="60"/>
        <w:rPr>
          <w:lang w:val="en-GB"/>
        </w:rPr>
      </w:pPr>
      <w:r w:rsidRPr="00BF6419">
        <w:rPr>
          <w:lang w:val="en-GB"/>
        </w:rPr>
        <w:t xml:space="preserve">Report </w:t>
      </w:r>
      <w:r w:rsidR="00C12B1C" w:rsidRPr="00BF6419">
        <w:rPr>
          <w:lang w:val="en-GB"/>
        </w:rPr>
        <w:t>ITU-R M.2292</w:t>
      </w:r>
      <w:r w:rsidR="00677FD9" w:rsidRPr="00BF6419">
        <w:rPr>
          <w:lang w:val="en-GB"/>
        </w:rPr>
        <w:t>:</w:t>
      </w:r>
      <w:r w:rsidR="00C12B1C" w:rsidRPr="00BF6419">
        <w:rPr>
          <w:lang w:val="en-GB"/>
        </w:rPr>
        <w:t xml:space="preserve"> “</w:t>
      </w:r>
      <w:r w:rsidR="00594E44" w:rsidRPr="00BF6419">
        <w:rPr>
          <w:lang w:val="en-GB"/>
        </w:rPr>
        <w:t>Characteristics of terrestrial IMT-Advanced systems for frequency sharing/interference analyses</w:t>
      </w:r>
      <w:r w:rsidR="00C12B1C" w:rsidRPr="00BF6419">
        <w:rPr>
          <w:lang w:val="en-GB"/>
        </w:rPr>
        <w:t>”</w:t>
      </w:r>
    </w:p>
    <w:p w14:paraId="2EEB4608" w14:textId="463382EE" w:rsidR="00C12B1C" w:rsidRPr="00BF6419" w:rsidRDefault="0021072D" w:rsidP="00B349C1">
      <w:pPr>
        <w:pStyle w:val="reference"/>
        <w:spacing w:before="60" w:after="60"/>
        <w:rPr>
          <w:lang w:val="en-GB"/>
        </w:rPr>
      </w:pPr>
      <w:r w:rsidRPr="00BF6419">
        <w:rPr>
          <w:lang w:val="en-GB"/>
        </w:rPr>
        <w:t xml:space="preserve">Recommendation </w:t>
      </w:r>
      <w:r w:rsidR="00C12B1C" w:rsidRPr="00BF6419">
        <w:rPr>
          <w:lang w:val="en-GB"/>
        </w:rPr>
        <w:t>ITU-R P.1238</w:t>
      </w:r>
      <w:r w:rsidR="00677FD9" w:rsidRPr="00BF6419">
        <w:rPr>
          <w:lang w:val="en-GB"/>
        </w:rPr>
        <w:t>:</w:t>
      </w:r>
      <w:r w:rsidR="00C12B1C" w:rsidRPr="00BF6419">
        <w:rPr>
          <w:lang w:val="en-GB"/>
        </w:rPr>
        <w:t xml:space="preserve"> “</w:t>
      </w:r>
      <w:r w:rsidR="00594E44" w:rsidRPr="00BF6419">
        <w:rPr>
          <w:lang w:val="en-GB"/>
        </w:rPr>
        <w:t>Propagation data and prediction methods for the planning of indoor radiocommunication systems and radio local area networks in the frequency range 300 MHz to 450 GHz</w:t>
      </w:r>
      <w:r w:rsidR="00C12B1C" w:rsidRPr="00BF6419">
        <w:rPr>
          <w:lang w:val="en-GB"/>
        </w:rPr>
        <w:t>”</w:t>
      </w:r>
    </w:p>
    <w:p w14:paraId="12EA6D09" w14:textId="4132BB9A" w:rsidR="00C12B1C" w:rsidRPr="00BF6419" w:rsidRDefault="0021072D" w:rsidP="00B349C1">
      <w:pPr>
        <w:pStyle w:val="reference"/>
        <w:spacing w:before="60" w:after="60"/>
        <w:rPr>
          <w:lang w:val="en-GB"/>
        </w:rPr>
      </w:pPr>
      <w:r w:rsidRPr="00BF6419">
        <w:rPr>
          <w:lang w:val="en-GB"/>
        </w:rPr>
        <w:t xml:space="preserve">Report </w:t>
      </w:r>
      <w:r w:rsidR="00C12B1C" w:rsidRPr="00BF6419">
        <w:rPr>
          <w:lang w:val="en-GB"/>
        </w:rPr>
        <w:t>ITU-R P.2040</w:t>
      </w:r>
      <w:r w:rsidR="00677FD9" w:rsidRPr="00BF6419">
        <w:rPr>
          <w:lang w:val="en-GB"/>
        </w:rPr>
        <w:t>:</w:t>
      </w:r>
      <w:r w:rsidR="00C12B1C" w:rsidRPr="00BF6419">
        <w:rPr>
          <w:lang w:val="en-GB"/>
        </w:rPr>
        <w:t xml:space="preserve"> “</w:t>
      </w:r>
      <w:r w:rsidR="00594E44" w:rsidRPr="00BF6419">
        <w:rPr>
          <w:lang w:val="en-GB"/>
        </w:rPr>
        <w:t xml:space="preserve">Effects of building materials and structures on </w:t>
      </w:r>
      <w:proofErr w:type="spellStart"/>
      <w:r w:rsidR="00594E44" w:rsidRPr="00BF6419">
        <w:rPr>
          <w:lang w:val="en-GB"/>
        </w:rPr>
        <w:t>radiowave</w:t>
      </w:r>
      <w:proofErr w:type="spellEnd"/>
      <w:r w:rsidR="00594E44" w:rsidRPr="00BF6419">
        <w:rPr>
          <w:lang w:val="en-GB"/>
        </w:rPr>
        <w:t xml:space="preserve"> propagation above about 100 MHz</w:t>
      </w:r>
      <w:r w:rsidR="00C12B1C" w:rsidRPr="00BF6419">
        <w:rPr>
          <w:lang w:val="en-GB"/>
        </w:rPr>
        <w:t>”</w:t>
      </w:r>
    </w:p>
    <w:p w14:paraId="4665BABA" w14:textId="14C43780" w:rsidR="00C12B1C" w:rsidRPr="00BF6419" w:rsidRDefault="00594E44" w:rsidP="00B349C1">
      <w:pPr>
        <w:pStyle w:val="reference"/>
        <w:spacing w:before="60" w:after="60"/>
        <w:rPr>
          <w:lang w:val="en-GB"/>
        </w:rPr>
      </w:pPr>
      <w:bookmarkStart w:id="12" w:name="_Ref76375549"/>
      <w:r w:rsidRPr="00BF6419">
        <w:rPr>
          <w:lang w:val="en-GB"/>
        </w:rPr>
        <w:t xml:space="preserve">Recommendation </w:t>
      </w:r>
      <w:r w:rsidR="00C12B1C" w:rsidRPr="00BF6419">
        <w:rPr>
          <w:lang w:val="en-GB"/>
        </w:rPr>
        <w:t>ITU-R P.2108</w:t>
      </w:r>
      <w:r w:rsidR="00677FD9" w:rsidRPr="00BF6419">
        <w:rPr>
          <w:lang w:val="en-GB"/>
        </w:rPr>
        <w:t>:</w:t>
      </w:r>
      <w:r w:rsidR="00C12B1C" w:rsidRPr="00BF6419">
        <w:rPr>
          <w:lang w:val="en-GB"/>
        </w:rPr>
        <w:t xml:space="preserve"> </w:t>
      </w:r>
      <w:r w:rsidR="00C73D84">
        <w:rPr>
          <w:lang w:val="en-GB"/>
        </w:rPr>
        <w:t>“</w:t>
      </w:r>
      <w:r w:rsidRPr="00BF6419">
        <w:rPr>
          <w:lang w:val="en-GB"/>
        </w:rPr>
        <w:t>Prediction of clutter loss</w:t>
      </w:r>
      <w:r w:rsidR="00C12B1C" w:rsidRPr="00BF6419">
        <w:rPr>
          <w:lang w:val="en-GB"/>
        </w:rPr>
        <w:t>”</w:t>
      </w:r>
      <w:bookmarkEnd w:id="12"/>
    </w:p>
    <w:p w14:paraId="57AAFB04" w14:textId="47DB8020" w:rsidR="00BC6F34" w:rsidRPr="00BF6419" w:rsidRDefault="004746D1" w:rsidP="00B349C1">
      <w:pPr>
        <w:pStyle w:val="reference"/>
        <w:spacing w:before="60" w:after="60"/>
        <w:rPr>
          <w:lang w:val="en-GB"/>
        </w:rPr>
      </w:pPr>
      <w:r w:rsidRPr="00BF6419">
        <w:rPr>
          <w:lang w:val="en-GB"/>
        </w:rPr>
        <w:t xml:space="preserve">Report ITU-R </w:t>
      </w:r>
      <w:r w:rsidR="003F2A7F" w:rsidRPr="00BF6419">
        <w:rPr>
          <w:lang w:val="en-GB"/>
        </w:rPr>
        <w:t>M</w:t>
      </w:r>
      <w:r w:rsidRPr="00BF6419">
        <w:rPr>
          <w:lang w:val="en-GB"/>
        </w:rPr>
        <w:t>.2111: “</w:t>
      </w:r>
      <w:r w:rsidR="00C104FA" w:rsidRPr="00BF6419">
        <w:rPr>
          <w:lang w:val="en-GB"/>
        </w:rPr>
        <w:t>Sharing studies between IMT-Advanced and the radiolocation service in the 3 400-3 700 MHz bands</w:t>
      </w:r>
      <w:r w:rsidRPr="00BF6419">
        <w:rPr>
          <w:lang w:val="en-GB"/>
        </w:rPr>
        <w:t>”</w:t>
      </w:r>
    </w:p>
    <w:p w14:paraId="5B38A60E" w14:textId="6315FE26" w:rsidR="00C12B1C" w:rsidRPr="00BF6419" w:rsidRDefault="00B11134" w:rsidP="00B349C1">
      <w:pPr>
        <w:pStyle w:val="reference"/>
        <w:spacing w:before="60" w:after="60"/>
        <w:rPr>
          <w:lang w:val="en-GB"/>
        </w:rPr>
      </w:pPr>
      <w:bookmarkStart w:id="13" w:name="_Ref81908619"/>
      <w:r w:rsidRPr="00BF6419">
        <w:rPr>
          <w:lang w:val="en-GB"/>
        </w:rPr>
        <w:t>Report ITU-R M.2481: “</w:t>
      </w:r>
      <w:r w:rsidR="00982AF2" w:rsidRPr="00BF6419">
        <w:rPr>
          <w:lang w:val="en-GB"/>
        </w:rPr>
        <w:t>In-band and adjacent band coexistence and compatibility studies between IMT systems in 3 300-3 400 MHz and radiolocation systems in 3 100-3 400 MHz</w:t>
      </w:r>
      <w:r w:rsidRPr="00BF6419">
        <w:rPr>
          <w:lang w:val="en-GB"/>
        </w:rPr>
        <w:t>”</w:t>
      </w:r>
      <w:bookmarkEnd w:id="13"/>
    </w:p>
    <w:sectPr w:rsidR="00C12B1C" w:rsidRPr="00BF6419" w:rsidSect="00C74BE6">
      <w:headerReference w:type="even" r:id="rId15"/>
      <w:headerReference w:type="default" r:id="rId16"/>
      <w:headerReference w:type="first" r:id="rId17"/>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4409" w14:textId="77777777" w:rsidR="00656D53" w:rsidRDefault="00656D53" w:rsidP="00C74BE6">
      <w:r>
        <w:separator/>
      </w:r>
    </w:p>
  </w:endnote>
  <w:endnote w:type="continuationSeparator" w:id="0">
    <w:p w14:paraId="790C45EB" w14:textId="77777777" w:rsidR="00656D53" w:rsidRDefault="00656D53" w:rsidP="00C74BE6">
      <w:r>
        <w:continuationSeparator/>
      </w:r>
    </w:p>
  </w:endnote>
  <w:endnote w:type="continuationNotice" w:id="1">
    <w:p w14:paraId="35F71D16" w14:textId="77777777" w:rsidR="00656D53" w:rsidRDefault="00656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3000000"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0154" w14:textId="5104FA55" w:rsidR="001A0F1C" w:rsidRDefault="001A0F1C">
    <w:pPr>
      <w:pStyle w:val="Footer"/>
    </w:pPr>
    <w:r w:rsidRPr="00822AE0">
      <w:rPr>
        <w:sz w:val="18"/>
        <w:szCs w:val="18"/>
        <w:lang w:val="da-DK"/>
      </w:rPr>
      <w:t>Edition</w:t>
    </w:r>
    <w:r w:rsidR="003837CC">
      <w:rPr>
        <w:sz w:val="18"/>
        <w:szCs w:val="18"/>
        <w:lang w:val="da-DK"/>
      </w:rPr>
      <w:t xml:space="preserve"> </w:t>
    </w:r>
    <w:r w:rsidR="00A31A0B">
      <w:rPr>
        <w:sz w:val="18"/>
        <w:szCs w:val="18"/>
        <w:lang w:val="da-DK"/>
      </w:rPr>
      <w:t>05</w:t>
    </w:r>
    <w:r w:rsidR="003837CC">
      <w:rPr>
        <w:sz w:val="18"/>
        <w:szCs w:val="18"/>
        <w:lang w:val="da-DK"/>
      </w:rPr>
      <w:t xml:space="preserve">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3C6" w14:textId="2DBF4C11" w:rsidR="001A0F1C" w:rsidRDefault="001A0F1C">
    <w:pPr>
      <w:pStyle w:val="Footer"/>
    </w:pPr>
    <w:r w:rsidRPr="00822AE0">
      <w:rPr>
        <w:sz w:val="18"/>
        <w:szCs w:val="18"/>
        <w:lang w:val="da-DK"/>
      </w:rPr>
      <w:t>Edition</w:t>
    </w:r>
    <w:r w:rsidR="003837CC">
      <w:rPr>
        <w:sz w:val="18"/>
        <w:szCs w:val="18"/>
        <w:lang w:val="da-DK"/>
      </w:rPr>
      <w:t xml:space="preserve"> </w:t>
    </w:r>
    <w:r w:rsidR="00A31A0B">
      <w:rPr>
        <w:sz w:val="18"/>
        <w:szCs w:val="18"/>
        <w:lang w:val="da-DK"/>
      </w:rPr>
      <w:t xml:space="preserve">05 </w:t>
    </w:r>
    <w:r w:rsidR="003837CC">
      <w:rPr>
        <w:sz w:val="18"/>
        <w:szCs w:val="18"/>
        <w:lang w:val="da-DK"/>
      </w:rPr>
      <w:t>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060C" w14:textId="18C5AFD5" w:rsidR="001A0F1C" w:rsidRPr="00822AE0" w:rsidRDefault="001A0F1C">
    <w:pPr>
      <w:pStyle w:val="Footer"/>
      <w:rPr>
        <w:sz w:val="18"/>
        <w:szCs w:val="18"/>
        <w:lang w:val="da-DK"/>
      </w:rPr>
    </w:pPr>
    <w:r w:rsidRPr="00822AE0">
      <w:rPr>
        <w:sz w:val="18"/>
        <w:szCs w:val="18"/>
        <w:lang w:val="da-DK"/>
      </w:rPr>
      <w:t>Edition</w:t>
    </w:r>
    <w:r w:rsidR="00A31A0B">
      <w:rPr>
        <w:sz w:val="18"/>
        <w:szCs w:val="18"/>
        <w:lang w:val="da-DK"/>
      </w:rPr>
      <w:t xml:space="preserve"> 05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47E8" w14:textId="77777777" w:rsidR="00656D53" w:rsidRDefault="00656D53" w:rsidP="00C74BE6">
      <w:r>
        <w:separator/>
      </w:r>
    </w:p>
  </w:footnote>
  <w:footnote w:type="continuationSeparator" w:id="0">
    <w:p w14:paraId="7571EEDE" w14:textId="77777777" w:rsidR="00656D53" w:rsidRDefault="00656D53" w:rsidP="00C74BE6">
      <w:r>
        <w:continuationSeparator/>
      </w:r>
    </w:p>
  </w:footnote>
  <w:footnote w:type="continuationNotice" w:id="1">
    <w:p w14:paraId="3F0A25D6" w14:textId="77777777" w:rsidR="00656D53" w:rsidRDefault="00656D53"/>
  </w:footnote>
  <w:footnote w:id="2">
    <w:p w14:paraId="7E529B7F" w14:textId="31AEF25C" w:rsidR="001F0562" w:rsidRPr="00F37BF4" w:rsidRDefault="001F0562" w:rsidP="007E0CCC">
      <w:pPr>
        <w:pStyle w:val="FootnoteText"/>
        <w:rPr>
          <w:sz w:val="16"/>
          <w:szCs w:val="16"/>
        </w:rPr>
      </w:pPr>
      <w:r w:rsidRPr="00D72883">
        <w:rPr>
          <w:rStyle w:val="FootnoteReference"/>
          <w:color w:val="auto"/>
        </w:rPr>
        <w:footnoteRef/>
      </w:r>
      <w:r w:rsidRPr="004A2737">
        <w:t xml:space="preserve"> </w:t>
      </w:r>
      <w:r w:rsidRPr="004A2737">
        <w:rPr>
          <w:sz w:val="16"/>
          <w:szCs w:val="16"/>
        </w:rPr>
        <w:t>F</w:t>
      </w:r>
      <w:r w:rsidRPr="00F37BF4">
        <w:rPr>
          <w:sz w:val="16"/>
          <w:szCs w:val="16"/>
        </w:rPr>
        <w:t xml:space="preserve">or the limits specified in </w:t>
      </w:r>
      <w:r w:rsidRPr="00F37BF4">
        <w:rPr>
          <w:i/>
          <w:iCs/>
          <w:sz w:val="16"/>
          <w:szCs w:val="16"/>
        </w:rPr>
        <w:t>recommends</w:t>
      </w:r>
      <w:r w:rsidRPr="00F37BF4">
        <w:rPr>
          <w:sz w:val="16"/>
          <w:szCs w:val="16"/>
        </w:rPr>
        <w:t xml:space="preserve"> 1 under current technology for indoor small cells a guard </w:t>
      </w:r>
      <w:r w:rsidRPr="00561C62">
        <w:rPr>
          <w:sz w:val="16"/>
          <w:szCs w:val="16"/>
        </w:rPr>
        <w:t xml:space="preserve">band </w:t>
      </w:r>
      <w:r w:rsidR="005E6929" w:rsidRPr="00561C62">
        <w:rPr>
          <w:sz w:val="16"/>
          <w:szCs w:val="16"/>
        </w:rPr>
        <w:t xml:space="preserve">of </w:t>
      </w:r>
      <w:r w:rsidRPr="00561C62">
        <w:rPr>
          <w:sz w:val="16"/>
          <w:szCs w:val="16"/>
        </w:rPr>
        <w:t>up to 20 MHz might be needed in order to fulfil the requirements</w:t>
      </w:r>
      <w:r w:rsidR="007C4B6C" w:rsidRPr="00561C62">
        <w:rPr>
          <w:sz w:val="16"/>
          <w:szCs w:val="16"/>
        </w:rPr>
        <w:t>. This is under the responsibility of the relevant administration.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8D8" w14:textId="36182D22" w:rsidR="001A0F1C" w:rsidRPr="007C5F95" w:rsidRDefault="001A0F1C">
    <w:pPr>
      <w:pStyle w:val="Header"/>
      <w:rPr>
        <w:b w:val="0"/>
        <w:lang w:val="da-DK"/>
      </w:rPr>
    </w:pPr>
    <w:r w:rsidRPr="007C5F95">
      <w:rPr>
        <w:b w:val="0"/>
        <w:lang w:val="da-DK"/>
      </w:rPr>
      <w:t>Draft ECC REPORT XXX</w:t>
    </w:r>
  </w:p>
  <w:p w14:paraId="1A65B689" w14:textId="77777777" w:rsidR="001A0F1C" w:rsidRPr="007C5F95" w:rsidRDefault="001A0F1C">
    <w:pPr>
      <w:pStyle w:val="Header"/>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2</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2384" w14:textId="58883516" w:rsidR="001A0F1C" w:rsidRPr="007C5F95" w:rsidRDefault="001A0F1C" w:rsidP="00C74BE6">
    <w:pPr>
      <w:pStyle w:val="Header"/>
      <w:jc w:val="right"/>
      <w:rPr>
        <w:b w:val="0"/>
        <w:lang w:val="da-DK"/>
      </w:rPr>
    </w:pPr>
    <w:r w:rsidRPr="007C5F95">
      <w:rPr>
        <w:b w:val="0"/>
        <w:lang w:val="da-DK"/>
      </w:rPr>
      <w:t>Draft ECC REPORT XXX</w:t>
    </w:r>
  </w:p>
  <w:p w14:paraId="5B793F64" w14:textId="77777777" w:rsidR="001A0F1C" w:rsidRPr="007C5F95" w:rsidRDefault="001A0F1C" w:rsidP="00C74BE6">
    <w:pPr>
      <w:pStyle w:val="Header"/>
      <w:jc w:val="right"/>
      <w:rPr>
        <w:szCs w:val="16"/>
        <w:lang w:val="da-DK"/>
      </w:rPr>
    </w:pPr>
    <w:r>
      <w:rPr>
        <w:szCs w:val="16"/>
        <w:lang w:val="da-DK"/>
      </w:rPr>
      <w:t xml:space="preserve">Page </w:t>
    </w:r>
    <w:r>
      <w:fldChar w:fldCharType="begin"/>
    </w:r>
    <w:r>
      <w:instrText xml:space="preserve"> PAGE  \* Arabic  \* MERGEFORMAT </w:instrText>
    </w:r>
    <w:r>
      <w:fldChar w:fldCharType="separate"/>
    </w:r>
    <w:r>
      <w:rPr>
        <w:noProof/>
        <w:szCs w:val="16"/>
        <w:lang w:val="da-DK"/>
      </w:rPr>
      <w:t>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75FE" w14:textId="22306826" w:rsidR="001A0F1C" w:rsidRDefault="001A0F1C">
    <w:pPr>
      <w:pStyle w:val="Header"/>
    </w:pPr>
    <w:r>
      <w:rPr>
        <w:noProof/>
        <w:szCs w:val="20"/>
        <w:lang w:val="de-DE" w:eastAsia="de-DE"/>
      </w:rPr>
      <w:drawing>
        <wp:anchor distT="0" distB="0" distL="114300" distR="114300" simplePos="0" relativeHeight="251658241" behindDoc="0" locked="0" layoutInCell="1" allowOverlap="1" wp14:anchorId="3AD32BD3" wp14:editId="524520A2">
          <wp:simplePos x="0" y="0"/>
          <wp:positionH relativeFrom="page">
            <wp:posOffset>5717540</wp:posOffset>
          </wp:positionH>
          <wp:positionV relativeFrom="page">
            <wp:posOffset>648335</wp:posOffset>
          </wp:positionV>
          <wp:extent cx="1461770" cy="546100"/>
          <wp:effectExtent l="25400" t="0" r="11430" b="0"/>
          <wp:wrapNone/>
          <wp:docPr id="11" name="Picture 1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e-DE" w:eastAsia="de-DE"/>
      </w:rPr>
      <w:drawing>
        <wp:anchor distT="0" distB="0" distL="114300" distR="114300" simplePos="0" relativeHeight="251658240" behindDoc="0" locked="0" layoutInCell="1" allowOverlap="1" wp14:anchorId="4101BEAB" wp14:editId="7AFC7B76">
          <wp:simplePos x="0" y="0"/>
          <wp:positionH relativeFrom="page">
            <wp:posOffset>572770</wp:posOffset>
          </wp:positionH>
          <wp:positionV relativeFrom="page">
            <wp:posOffset>457200</wp:posOffset>
          </wp:positionV>
          <wp:extent cx="889000" cy="889000"/>
          <wp:effectExtent l="25400" t="0" r="0" b="0"/>
          <wp:wrapNone/>
          <wp:docPr id="12" name="Picture 12"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E034" w14:textId="73C5BD99" w:rsidR="001A0F1C" w:rsidRPr="00C27EEC" w:rsidRDefault="001A0F1C">
    <w:pPr>
      <w:pStyle w:val="Header"/>
      <w:rPr>
        <w:szCs w:val="16"/>
        <w:lang w:val="en-IE"/>
      </w:rPr>
    </w:pPr>
    <w:r w:rsidRPr="00C27EEC">
      <w:rPr>
        <w:lang w:val="en-IE"/>
      </w:rPr>
      <w:t>ECC/REC/(</w:t>
    </w:r>
    <w:r w:rsidR="00402A48">
      <w:rPr>
        <w:lang w:val="en-IE"/>
      </w:rPr>
      <w:t>21</w:t>
    </w:r>
    <w:r w:rsidRPr="00C27EEC">
      <w:rPr>
        <w:lang w:val="en-IE"/>
      </w:rPr>
      <w:t>)</w:t>
    </w:r>
    <w:r w:rsidR="00402A48">
      <w:rPr>
        <w:lang w:val="en-IE"/>
      </w:rPr>
      <w:t>02</w:t>
    </w:r>
    <w:r w:rsidRPr="00C27EEC">
      <w:rPr>
        <w:szCs w:val="16"/>
        <w:lang w:val="en-IE"/>
      </w:rPr>
      <w:t xml:space="preserve"> Page </w:t>
    </w:r>
    <w:r>
      <w:fldChar w:fldCharType="begin"/>
    </w:r>
    <w:r>
      <w:instrText xml:space="preserve"> PAGE  \* Arabic  \* MERGEFORMAT </w:instrText>
    </w:r>
    <w:r>
      <w:fldChar w:fldCharType="separate"/>
    </w:r>
    <w:r w:rsidR="00D209BF" w:rsidRPr="00C27EEC">
      <w:rPr>
        <w:noProof/>
        <w:szCs w:val="16"/>
        <w:lang w:val="en-IE"/>
      </w:rPr>
      <w:t>4</w:t>
    </w:r>
    <w:r>
      <w:rPr>
        <w:noProof/>
        <w:szCs w:val="16"/>
        <w:lang w:val="da-DK"/>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220D" w14:textId="04078FE5" w:rsidR="001A0F1C" w:rsidRPr="00C27EEC" w:rsidRDefault="001A0F1C" w:rsidP="00C74BE6">
    <w:pPr>
      <w:pStyle w:val="Header"/>
      <w:jc w:val="right"/>
      <w:rPr>
        <w:szCs w:val="16"/>
        <w:lang w:val="en-IE"/>
      </w:rPr>
    </w:pPr>
    <w:r w:rsidRPr="00C27EEC">
      <w:rPr>
        <w:lang w:val="en-IE"/>
      </w:rPr>
      <w:t>ECC/REC/(</w:t>
    </w:r>
    <w:r w:rsidR="00402A48">
      <w:rPr>
        <w:lang w:val="en-IE"/>
      </w:rPr>
      <w:t>21</w:t>
    </w:r>
    <w:r w:rsidRPr="00C27EEC">
      <w:rPr>
        <w:lang w:val="en-IE"/>
      </w:rPr>
      <w:t>)</w:t>
    </w:r>
    <w:r w:rsidR="00402A48">
      <w:rPr>
        <w:lang w:val="en-IE"/>
      </w:rPr>
      <w:t>02</w:t>
    </w:r>
    <w:r w:rsidRPr="00C27EEC">
      <w:rPr>
        <w:lang w:val="en-IE"/>
      </w:rPr>
      <w:t xml:space="preserve"> </w:t>
    </w:r>
    <w:r w:rsidRPr="00C27EEC">
      <w:rPr>
        <w:szCs w:val="16"/>
        <w:lang w:val="en-IE"/>
      </w:rPr>
      <w:t xml:space="preserve">Page </w:t>
    </w:r>
    <w:r>
      <w:fldChar w:fldCharType="begin"/>
    </w:r>
    <w:r>
      <w:instrText xml:space="preserve"> PAGE  \* Arabic  \* MERGEFORMAT </w:instrText>
    </w:r>
    <w:r>
      <w:fldChar w:fldCharType="separate"/>
    </w:r>
    <w:r w:rsidR="00D209BF" w:rsidRPr="00C27EEC">
      <w:rPr>
        <w:noProof/>
        <w:szCs w:val="16"/>
        <w:lang w:val="en-IE"/>
      </w:rPr>
      <w:t>5</w:t>
    </w:r>
    <w:r>
      <w:rPr>
        <w:noProof/>
        <w:szCs w:val="16"/>
        <w:lang w:val="da-DK"/>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A85E3" w14:textId="7C696E9F" w:rsidR="001A0F1C" w:rsidRPr="001223D0" w:rsidRDefault="001A0F1C" w:rsidP="00C74BE6">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B4A4764"/>
    <w:name w:val="WW8Num2"/>
    <w:lvl w:ilvl="0">
      <w:start w:val="1"/>
      <w:numFmt w:val="lowerLetter"/>
      <w:lvlText w:val="%1)"/>
      <w:lvlJc w:val="left"/>
      <w:pPr>
        <w:tabs>
          <w:tab w:val="num" w:pos="720"/>
        </w:tabs>
        <w:ind w:left="720" w:hanging="360"/>
      </w:pPr>
      <w:rPr>
        <w:rFonts w:cs="Times New Roman"/>
        <w:color w:val="C00000"/>
      </w:rPr>
    </w:lvl>
  </w:abstractNum>
  <w:abstractNum w:abstractNumId="1" w15:restartNumberingAfterBreak="0">
    <w:nsid w:val="06C30FA3"/>
    <w:multiLevelType w:val="hybridMultilevel"/>
    <w:tmpl w:val="0D92E874"/>
    <w:lvl w:ilvl="0" w:tplc="65028696">
      <w:start w:val="1"/>
      <w:numFmt w:val="bullet"/>
      <w:lvlText w:val=""/>
      <w:lvlJc w:val="left"/>
      <w:pPr>
        <w:tabs>
          <w:tab w:val="num" w:pos="720"/>
        </w:tabs>
        <w:ind w:left="720" w:hanging="360"/>
      </w:pPr>
      <w:rPr>
        <w:rFonts w:ascii="Wingdings" w:hAnsi="Wingdings" w:hint="default"/>
      </w:rPr>
    </w:lvl>
    <w:lvl w:ilvl="1" w:tplc="89B08ED2" w:tentative="1">
      <w:start w:val="1"/>
      <w:numFmt w:val="bullet"/>
      <w:lvlText w:val=""/>
      <w:lvlJc w:val="left"/>
      <w:pPr>
        <w:tabs>
          <w:tab w:val="num" w:pos="1440"/>
        </w:tabs>
        <w:ind w:left="1440" w:hanging="360"/>
      </w:pPr>
      <w:rPr>
        <w:rFonts w:ascii="Wingdings" w:hAnsi="Wingdings" w:hint="default"/>
      </w:rPr>
    </w:lvl>
    <w:lvl w:ilvl="2" w:tplc="8FC8832C" w:tentative="1">
      <w:start w:val="1"/>
      <w:numFmt w:val="bullet"/>
      <w:lvlText w:val=""/>
      <w:lvlJc w:val="left"/>
      <w:pPr>
        <w:tabs>
          <w:tab w:val="num" w:pos="2160"/>
        </w:tabs>
        <w:ind w:left="2160" w:hanging="360"/>
      </w:pPr>
      <w:rPr>
        <w:rFonts w:ascii="Wingdings" w:hAnsi="Wingdings" w:hint="default"/>
      </w:rPr>
    </w:lvl>
    <w:lvl w:ilvl="3" w:tplc="D3AC2532" w:tentative="1">
      <w:start w:val="1"/>
      <w:numFmt w:val="bullet"/>
      <w:lvlText w:val=""/>
      <w:lvlJc w:val="left"/>
      <w:pPr>
        <w:tabs>
          <w:tab w:val="num" w:pos="2880"/>
        </w:tabs>
        <w:ind w:left="2880" w:hanging="360"/>
      </w:pPr>
      <w:rPr>
        <w:rFonts w:ascii="Wingdings" w:hAnsi="Wingdings" w:hint="default"/>
      </w:rPr>
    </w:lvl>
    <w:lvl w:ilvl="4" w:tplc="67209C36" w:tentative="1">
      <w:start w:val="1"/>
      <w:numFmt w:val="bullet"/>
      <w:lvlText w:val=""/>
      <w:lvlJc w:val="left"/>
      <w:pPr>
        <w:tabs>
          <w:tab w:val="num" w:pos="3600"/>
        </w:tabs>
        <w:ind w:left="3600" w:hanging="360"/>
      </w:pPr>
      <w:rPr>
        <w:rFonts w:ascii="Wingdings" w:hAnsi="Wingdings" w:hint="default"/>
      </w:rPr>
    </w:lvl>
    <w:lvl w:ilvl="5" w:tplc="357C65D0" w:tentative="1">
      <w:start w:val="1"/>
      <w:numFmt w:val="bullet"/>
      <w:lvlText w:val=""/>
      <w:lvlJc w:val="left"/>
      <w:pPr>
        <w:tabs>
          <w:tab w:val="num" w:pos="4320"/>
        </w:tabs>
        <w:ind w:left="4320" w:hanging="360"/>
      </w:pPr>
      <w:rPr>
        <w:rFonts w:ascii="Wingdings" w:hAnsi="Wingdings" w:hint="default"/>
      </w:rPr>
    </w:lvl>
    <w:lvl w:ilvl="6" w:tplc="54607426" w:tentative="1">
      <w:start w:val="1"/>
      <w:numFmt w:val="bullet"/>
      <w:lvlText w:val=""/>
      <w:lvlJc w:val="left"/>
      <w:pPr>
        <w:tabs>
          <w:tab w:val="num" w:pos="5040"/>
        </w:tabs>
        <w:ind w:left="5040" w:hanging="360"/>
      </w:pPr>
      <w:rPr>
        <w:rFonts w:ascii="Wingdings" w:hAnsi="Wingdings" w:hint="default"/>
      </w:rPr>
    </w:lvl>
    <w:lvl w:ilvl="7" w:tplc="6672A01E" w:tentative="1">
      <w:start w:val="1"/>
      <w:numFmt w:val="bullet"/>
      <w:lvlText w:val=""/>
      <w:lvlJc w:val="left"/>
      <w:pPr>
        <w:tabs>
          <w:tab w:val="num" w:pos="5760"/>
        </w:tabs>
        <w:ind w:left="5760" w:hanging="360"/>
      </w:pPr>
      <w:rPr>
        <w:rFonts w:ascii="Wingdings" w:hAnsi="Wingdings" w:hint="default"/>
      </w:rPr>
    </w:lvl>
    <w:lvl w:ilvl="8" w:tplc="289C51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316E8"/>
    <w:multiLevelType w:val="hybridMultilevel"/>
    <w:tmpl w:val="EC400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137EB2"/>
    <w:multiLevelType w:val="hybridMultilevel"/>
    <w:tmpl w:val="D7F8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0383"/>
    <w:multiLevelType w:val="multilevel"/>
    <w:tmpl w:val="83B0944C"/>
    <w:lvl w:ilvl="0">
      <w:start w:val="1"/>
      <w:numFmt w:val="lowerLetter"/>
      <w:pStyle w:val="LetteredList"/>
      <w:lvlText w:val="%1)"/>
      <w:lvlJc w:val="left"/>
      <w:pPr>
        <w:ind w:left="360" w:hanging="360"/>
      </w:pPr>
      <w:rPr>
        <w:rFonts w:ascii="Arial" w:hAnsi="Arial" w:hint="default"/>
        <w:b w:val="0"/>
        <w:bCs w:val="0"/>
        <w:i w:val="0"/>
        <w:iCs w:val="0"/>
        <w:color w:val="D2232A"/>
        <w:sz w:val="20"/>
        <w:szCs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03E199E"/>
    <w:multiLevelType w:val="hybridMultilevel"/>
    <w:tmpl w:val="D72A2424"/>
    <w:lvl w:ilvl="0" w:tplc="041D0005">
      <w:start w:val="1"/>
      <w:numFmt w:val="bullet"/>
      <w:lvlText w:val=""/>
      <w:lvlJc w:val="left"/>
      <w:pPr>
        <w:tabs>
          <w:tab w:val="num" w:pos="720"/>
        </w:tabs>
        <w:ind w:left="720" w:hanging="360"/>
      </w:pPr>
      <w:rPr>
        <w:rFonts w:ascii="Wingdings" w:hAnsi="Wingdings" w:hint="default"/>
      </w:rPr>
    </w:lvl>
    <w:lvl w:ilvl="1" w:tplc="BCD24FC6" w:tentative="1">
      <w:start w:val="1"/>
      <w:numFmt w:val="bullet"/>
      <w:lvlText w:val="•"/>
      <w:lvlJc w:val="left"/>
      <w:pPr>
        <w:tabs>
          <w:tab w:val="num" w:pos="1440"/>
        </w:tabs>
        <w:ind w:left="1440" w:hanging="360"/>
      </w:pPr>
      <w:rPr>
        <w:rFonts w:ascii="Arial" w:hAnsi="Arial" w:hint="default"/>
      </w:rPr>
    </w:lvl>
    <w:lvl w:ilvl="2" w:tplc="D72643F0" w:tentative="1">
      <w:start w:val="1"/>
      <w:numFmt w:val="bullet"/>
      <w:lvlText w:val="•"/>
      <w:lvlJc w:val="left"/>
      <w:pPr>
        <w:tabs>
          <w:tab w:val="num" w:pos="2160"/>
        </w:tabs>
        <w:ind w:left="2160" w:hanging="360"/>
      </w:pPr>
      <w:rPr>
        <w:rFonts w:ascii="Arial" w:hAnsi="Arial" w:hint="default"/>
      </w:rPr>
    </w:lvl>
    <w:lvl w:ilvl="3" w:tplc="9B6CF05A" w:tentative="1">
      <w:start w:val="1"/>
      <w:numFmt w:val="bullet"/>
      <w:lvlText w:val="•"/>
      <w:lvlJc w:val="left"/>
      <w:pPr>
        <w:tabs>
          <w:tab w:val="num" w:pos="2880"/>
        </w:tabs>
        <w:ind w:left="2880" w:hanging="360"/>
      </w:pPr>
      <w:rPr>
        <w:rFonts w:ascii="Arial" w:hAnsi="Arial" w:hint="default"/>
      </w:rPr>
    </w:lvl>
    <w:lvl w:ilvl="4" w:tplc="5CD238D6" w:tentative="1">
      <w:start w:val="1"/>
      <w:numFmt w:val="bullet"/>
      <w:lvlText w:val="•"/>
      <w:lvlJc w:val="left"/>
      <w:pPr>
        <w:tabs>
          <w:tab w:val="num" w:pos="3600"/>
        </w:tabs>
        <w:ind w:left="3600" w:hanging="360"/>
      </w:pPr>
      <w:rPr>
        <w:rFonts w:ascii="Arial" w:hAnsi="Arial" w:hint="default"/>
      </w:rPr>
    </w:lvl>
    <w:lvl w:ilvl="5" w:tplc="BB42590A" w:tentative="1">
      <w:start w:val="1"/>
      <w:numFmt w:val="bullet"/>
      <w:lvlText w:val="•"/>
      <w:lvlJc w:val="left"/>
      <w:pPr>
        <w:tabs>
          <w:tab w:val="num" w:pos="4320"/>
        </w:tabs>
        <w:ind w:left="4320" w:hanging="360"/>
      </w:pPr>
      <w:rPr>
        <w:rFonts w:ascii="Arial" w:hAnsi="Arial" w:hint="default"/>
      </w:rPr>
    </w:lvl>
    <w:lvl w:ilvl="6" w:tplc="649AECFE" w:tentative="1">
      <w:start w:val="1"/>
      <w:numFmt w:val="bullet"/>
      <w:lvlText w:val="•"/>
      <w:lvlJc w:val="left"/>
      <w:pPr>
        <w:tabs>
          <w:tab w:val="num" w:pos="5040"/>
        </w:tabs>
        <w:ind w:left="5040" w:hanging="360"/>
      </w:pPr>
      <w:rPr>
        <w:rFonts w:ascii="Arial" w:hAnsi="Arial" w:hint="default"/>
      </w:rPr>
    </w:lvl>
    <w:lvl w:ilvl="7" w:tplc="69009DF6" w:tentative="1">
      <w:start w:val="1"/>
      <w:numFmt w:val="bullet"/>
      <w:lvlText w:val="•"/>
      <w:lvlJc w:val="left"/>
      <w:pPr>
        <w:tabs>
          <w:tab w:val="num" w:pos="5760"/>
        </w:tabs>
        <w:ind w:left="5760" w:hanging="360"/>
      </w:pPr>
      <w:rPr>
        <w:rFonts w:ascii="Arial" w:hAnsi="Arial" w:hint="default"/>
      </w:rPr>
    </w:lvl>
    <w:lvl w:ilvl="8" w:tplc="5A8E61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A87A02"/>
    <w:multiLevelType w:val="hybridMultilevel"/>
    <w:tmpl w:val="C696EAB8"/>
    <w:lvl w:ilvl="0" w:tplc="AD46037E">
      <w:start w:val="1"/>
      <w:numFmt w:val="bullet"/>
      <w:pStyle w:val="ECCParBulleted"/>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6264AF5"/>
    <w:multiLevelType w:val="hybridMultilevel"/>
    <w:tmpl w:val="068C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A7C33"/>
    <w:multiLevelType w:val="hybridMultilevel"/>
    <w:tmpl w:val="81E804EC"/>
    <w:lvl w:ilvl="0" w:tplc="2718434E">
      <w:start w:val="1"/>
      <w:numFmt w:val="decimal"/>
      <w:pStyle w:val="ECCEditorsNote"/>
      <w:lvlText w:val="Editor's Note %1:"/>
      <w:lvlJc w:val="left"/>
      <w:pPr>
        <w:tabs>
          <w:tab w:val="num" w:pos="2126"/>
        </w:tabs>
        <w:ind w:left="2126" w:hanging="1559"/>
      </w:pPr>
      <w:rPr>
        <w:rFonts w:hint="default"/>
        <w:caps w:val="0"/>
        <w:strike w:val="0"/>
        <w:dstrike w:val="0"/>
        <w:vanish w:val="0"/>
        <w:color w:val="auto"/>
        <w:u w:color="FFFF00"/>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C8F3224"/>
    <w:multiLevelType w:val="hybridMultilevel"/>
    <w:tmpl w:val="B7F6D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89410F"/>
    <w:multiLevelType w:val="hybridMultilevel"/>
    <w:tmpl w:val="B136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14967"/>
    <w:multiLevelType w:val="hybridMultilevel"/>
    <w:tmpl w:val="84121EB6"/>
    <w:lvl w:ilvl="0" w:tplc="08090001">
      <w:start w:val="1"/>
      <w:numFmt w:val="bullet"/>
      <w:lvlText w:val=""/>
      <w:lvlJc w:val="left"/>
      <w:pPr>
        <w:ind w:left="927" w:hanging="360"/>
      </w:pPr>
      <w:rPr>
        <w:rFonts w:ascii="Symbol" w:hAnsi="Symbol" w:hint="default"/>
        <w:color w:val="D2232A"/>
      </w:rPr>
    </w:lvl>
    <w:lvl w:ilvl="1" w:tplc="04070003">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328B46E7"/>
    <w:multiLevelType w:val="hybridMultilevel"/>
    <w:tmpl w:val="6B7833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AA1046"/>
    <w:multiLevelType w:val="hybridMultilevel"/>
    <w:tmpl w:val="0064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C5AB3"/>
    <w:multiLevelType w:val="hybridMultilevel"/>
    <w:tmpl w:val="B23E89FC"/>
    <w:lvl w:ilvl="0" w:tplc="11D8FFB8">
      <w:start w:val="1"/>
      <w:numFmt w:val="decimal"/>
      <w:lvlText w:val="%1."/>
      <w:lvlJc w:val="left"/>
      <w:pPr>
        <w:ind w:left="720" w:hanging="360"/>
      </w:pPr>
      <w:rPr>
        <w:rFonts w:cs="Times New Roman"/>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15:restartNumberingAfterBreak="0">
    <w:nsid w:val="3D163F7A"/>
    <w:multiLevelType w:val="multilevel"/>
    <w:tmpl w:val="8378011E"/>
    <w:lvl w:ilvl="0">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F001B21"/>
    <w:multiLevelType w:val="hybridMultilevel"/>
    <w:tmpl w:val="D854C7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5120B3A"/>
    <w:multiLevelType w:val="hybridMultilevel"/>
    <w:tmpl w:val="A01A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E6242A"/>
    <w:multiLevelType w:val="hybridMultilevel"/>
    <w:tmpl w:val="2C004C02"/>
    <w:lvl w:ilvl="0" w:tplc="BE681012">
      <w:start w:val="1"/>
      <w:numFmt w:val="decimal"/>
      <w:pStyle w:val="reference"/>
      <w:lvlText w:val="[%1]"/>
      <w:lvlJc w:val="left"/>
      <w:pPr>
        <w:tabs>
          <w:tab w:val="num" w:pos="681"/>
        </w:tabs>
        <w:ind w:left="681"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572326EE"/>
    <w:multiLevelType w:val="multilevel"/>
    <w:tmpl w:val="2034D866"/>
    <w:styleLink w:val="ECCNumbers-Bullets"/>
    <w:lvl w:ilvl="0">
      <w:start w:val="1"/>
      <w:numFmt w:val="decimal"/>
      <w:pStyle w:val="ECCNumberedBullets"/>
      <w:lvlText w:val="%1."/>
      <w:lvlJc w:val="left"/>
      <w:pPr>
        <w:tabs>
          <w:tab w:val="num" w:pos="340"/>
        </w:tabs>
        <w:ind w:left="340" w:hanging="340"/>
      </w:pPr>
      <w:rPr>
        <w:rFonts w:ascii="Arial" w:hAnsi="Arial" w:cs="Times New Roman"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lvl>
    <w:lvl w:ilvl="4">
      <w:start w:val="1"/>
      <w:numFmt w:val="lowerLetter"/>
      <w:lvlText w:val="(%5)"/>
      <w:lvlJc w:val="left"/>
      <w:pPr>
        <w:ind w:left="1403" w:hanging="360"/>
      </w:pPr>
    </w:lvl>
    <w:lvl w:ilvl="5">
      <w:start w:val="1"/>
      <w:numFmt w:val="lowerRoman"/>
      <w:lvlText w:val="(%6)"/>
      <w:lvlJc w:val="left"/>
      <w:pPr>
        <w:ind w:left="1763" w:hanging="360"/>
      </w:pPr>
    </w:lvl>
    <w:lvl w:ilvl="6">
      <w:start w:val="1"/>
      <w:numFmt w:val="decimal"/>
      <w:lvlText w:val="%7."/>
      <w:lvlJc w:val="left"/>
      <w:pPr>
        <w:ind w:left="2123" w:hanging="360"/>
      </w:pPr>
    </w:lvl>
    <w:lvl w:ilvl="7">
      <w:start w:val="1"/>
      <w:numFmt w:val="lowerLetter"/>
      <w:lvlText w:val="%8."/>
      <w:lvlJc w:val="left"/>
      <w:pPr>
        <w:ind w:left="2483" w:hanging="360"/>
      </w:pPr>
    </w:lvl>
    <w:lvl w:ilvl="8">
      <w:start w:val="1"/>
      <w:numFmt w:val="lowerRoman"/>
      <w:lvlText w:val="%9."/>
      <w:lvlJc w:val="left"/>
      <w:pPr>
        <w:ind w:left="2843" w:hanging="360"/>
      </w:pPr>
    </w:lvl>
  </w:abstractNum>
  <w:abstractNum w:abstractNumId="25" w15:restartNumberingAfterBreak="0">
    <w:nsid w:val="5B866EC8"/>
    <w:multiLevelType w:val="hybridMultilevel"/>
    <w:tmpl w:val="DAD49698"/>
    <w:lvl w:ilvl="0" w:tplc="D4CAD106">
      <w:start w:val="1"/>
      <w:numFmt w:val="decimal"/>
      <w:lvlText w:val="%1."/>
      <w:lvlJc w:val="left"/>
      <w:pPr>
        <w:ind w:left="360" w:hanging="360"/>
      </w:pPr>
      <w:rPr>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16B74AB"/>
    <w:multiLevelType w:val="hybridMultilevel"/>
    <w:tmpl w:val="390A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440DFC"/>
    <w:multiLevelType w:val="hybridMultilevel"/>
    <w:tmpl w:val="457E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F2C216C"/>
    <w:multiLevelType w:val="hybridMultilevel"/>
    <w:tmpl w:val="C0EC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8"/>
  </w:num>
  <w:num w:numId="4">
    <w:abstractNumId w:val="22"/>
  </w:num>
  <w:num w:numId="5">
    <w:abstractNumId w:val="21"/>
  </w:num>
  <w:num w:numId="6">
    <w:abstractNumId w:val="8"/>
  </w:num>
  <w:num w:numId="7">
    <w:abstractNumId w:val="5"/>
  </w:num>
  <w:num w:numId="8">
    <w:abstractNumId w:val="25"/>
  </w:num>
  <w:num w:numId="9">
    <w:abstractNumId w:val="17"/>
  </w:num>
  <w:num w:numId="10">
    <w:abstractNumId w:val="24"/>
  </w:num>
  <w:num w:numId="11">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0"/>
  </w:num>
  <w:num w:numId="14">
    <w:abstractNumId w:val="23"/>
  </w:num>
  <w:num w:numId="15">
    <w:abstractNumId w:val="6"/>
  </w:num>
  <w:num w:numId="16">
    <w:abstractNumId w:val="3"/>
  </w:num>
  <w:num w:numId="17">
    <w:abstractNumId w:val="1"/>
  </w:num>
  <w:num w:numId="18">
    <w:abstractNumId w:val="20"/>
  </w:num>
  <w:num w:numId="19">
    <w:abstractNumId w:val="11"/>
  </w:num>
  <w:num w:numId="20">
    <w:abstractNumId w:val="2"/>
  </w:num>
  <w:num w:numId="21">
    <w:abstractNumId w:val="9"/>
  </w:num>
  <w:num w:numId="22">
    <w:abstractNumId w:val="12"/>
  </w:num>
  <w:num w:numId="23">
    <w:abstractNumId w:val="13"/>
  </w:num>
  <w:num w:numId="24">
    <w:abstractNumId w:val="4"/>
  </w:num>
  <w:num w:numId="25">
    <w:abstractNumId w:val="27"/>
  </w:num>
  <w:num w:numId="26">
    <w:abstractNumId w:val="26"/>
  </w:num>
  <w:num w:numId="27">
    <w:abstractNumId w:val="15"/>
  </w:num>
  <w:num w:numId="28">
    <w:abstractNumId w:val="14"/>
  </w:num>
  <w:num w:numId="2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removeDateAndTime/>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98"/>
    <w:rsid w:val="000104A6"/>
    <w:rsid w:val="000125AB"/>
    <w:rsid w:val="0001482E"/>
    <w:rsid w:val="000157D6"/>
    <w:rsid w:val="000344AC"/>
    <w:rsid w:val="00045FF7"/>
    <w:rsid w:val="000500BF"/>
    <w:rsid w:val="00053120"/>
    <w:rsid w:val="000612DC"/>
    <w:rsid w:val="000622D3"/>
    <w:rsid w:val="00065440"/>
    <w:rsid w:val="000728F8"/>
    <w:rsid w:val="00073658"/>
    <w:rsid w:val="00076F03"/>
    <w:rsid w:val="000943C8"/>
    <w:rsid w:val="00096B86"/>
    <w:rsid w:val="000B1BAA"/>
    <w:rsid w:val="000B20CF"/>
    <w:rsid w:val="000B7C2E"/>
    <w:rsid w:val="000C0676"/>
    <w:rsid w:val="000C0A30"/>
    <w:rsid w:val="000C3066"/>
    <w:rsid w:val="000C4F9E"/>
    <w:rsid w:val="000C5EF0"/>
    <w:rsid w:val="000C6304"/>
    <w:rsid w:val="000C7D76"/>
    <w:rsid w:val="000D2538"/>
    <w:rsid w:val="000D5F00"/>
    <w:rsid w:val="000E3880"/>
    <w:rsid w:val="000F07B2"/>
    <w:rsid w:val="000F678C"/>
    <w:rsid w:val="0010132F"/>
    <w:rsid w:val="00101571"/>
    <w:rsid w:val="00101D84"/>
    <w:rsid w:val="0010300F"/>
    <w:rsid w:val="0010506A"/>
    <w:rsid w:val="001115E7"/>
    <w:rsid w:val="001215EF"/>
    <w:rsid w:val="0012218F"/>
    <w:rsid w:val="001244E4"/>
    <w:rsid w:val="00124A86"/>
    <w:rsid w:val="001371A3"/>
    <w:rsid w:val="00142DF8"/>
    <w:rsid w:val="00146419"/>
    <w:rsid w:val="00147542"/>
    <w:rsid w:val="00147558"/>
    <w:rsid w:val="00152532"/>
    <w:rsid w:val="0015324D"/>
    <w:rsid w:val="00155CEA"/>
    <w:rsid w:val="00156498"/>
    <w:rsid w:val="0015678A"/>
    <w:rsid w:val="001651DC"/>
    <w:rsid w:val="00175FD4"/>
    <w:rsid w:val="00180405"/>
    <w:rsid w:val="00181B9F"/>
    <w:rsid w:val="00183189"/>
    <w:rsid w:val="00186C4E"/>
    <w:rsid w:val="0019743D"/>
    <w:rsid w:val="001A0F1C"/>
    <w:rsid w:val="001A2B7F"/>
    <w:rsid w:val="001C2780"/>
    <w:rsid w:val="001C4695"/>
    <w:rsid w:val="001D6A1C"/>
    <w:rsid w:val="001D6BBD"/>
    <w:rsid w:val="001E3819"/>
    <w:rsid w:val="001F0562"/>
    <w:rsid w:val="001F7046"/>
    <w:rsid w:val="0020081F"/>
    <w:rsid w:val="00200DC4"/>
    <w:rsid w:val="00203E66"/>
    <w:rsid w:val="00203FF5"/>
    <w:rsid w:val="00205A2C"/>
    <w:rsid w:val="0021072D"/>
    <w:rsid w:val="00217405"/>
    <w:rsid w:val="0022039F"/>
    <w:rsid w:val="00221F6F"/>
    <w:rsid w:val="002222D5"/>
    <w:rsid w:val="002236DD"/>
    <w:rsid w:val="0022397B"/>
    <w:rsid w:val="002337C7"/>
    <w:rsid w:val="00235A64"/>
    <w:rsid w:val="00235F2C"/>
    <w:rsid w:val="002429CF"/>
    <w:rsid w:val="00251340"/>
    <w:rsid w:val="00255ADD"/>
    <w:rsid w:val="00257887"/>
    <w:rsid w:val="0027784E"/>
    <w:rsid w:val="00280BF3"/>
    <w:rsid w:val="002944F9"/>
    <w:rsid w:val="002A1162"/>
    <w:rsid w:val="002A349C"/>
    <w:rsid w:val="002A70C7"/>
    <w:rsid w:val="002B0FF3"/>
    <w:rsid w:val="002B36C6"/>
    <w:rsid w:val="002B71FB"/>
    <w:rsid w:val="002B77CD"/>
    <w:rsid w:val="002C1837"/>
    <w:rsid w:val="002D73B3"/>
    <w:rsid w:val="002E1B0E"/>
    <w:rsid w:val="002E79FA"/>
    <w:rsid w:val="002F1F72"/>
    <w:rsid w:val="002F2640"/>
    <w:rsid w:val="00300CBC"/>
    <w:rsid w:val="003058CB"/>
    <w:rsid w:val="00307183"/>
    <w:rsid w:val="0031338C"/>
    <w:rsid w:val="003216EA"/>
    <w:rsid w:val="003300C3"/>
    <w:rsid w:val="00332E06"/>
    <w:rsid w:val="00334928"/>
    <w:rsid w:val="00337A64"/>
    <w:rsid w:val="00341B8E"/>
    <w:rsid w:val="0034731F"/>
    <w:rsid w:val="00374C20"/>
    <w:rsid w:val="00382EFE"/>
    <w:rsid w:val="003837CC"/>
    <w:rsid w:val="00385AAB"/>
    <w:rsid w:val="00394BFB"/>
    <w:rsid w:val="00394D97"/>
    <w:rsid w:val="003B6735"/>
    <w:rsid w:val="003C4AFC"/>
    <w:rsid w:val="003C7E0B"/>
    <w:rsid w:val="003D4B43"/>
    <w:rsid w:val="003E2D67"/>
    <w:rsid w:val="003E3711"/>
    <w:rsid w:val="003F15B8"/>
    <w:rsid w:val="003F1692"/>
    <w:rsid w:val="003F2A7F"/>
    <w:rsid w:val="003F329D"/>
    <w:rsid w:val="00401113"/>
    <w:rsid w:val="004011F9"/>
    <w:rsid w:val="00402A48"/>
    <w:rsid w:val="004032EF"/>
    <w:rsid w:val="00413616"/>
    <w:rsid w:val="00431E28"/>
    <w:rsid w:val="00435F02"/>
    <w:rsid w:val="00442636"/>
    <w:rsid w:val="00444B87"/>
    <w:rsid w:val="00446F6F"/>
    <w:rsid w:val="004472CB"/>
    <w:rsid w:val="00451B5E"/>
    <w:rsid w:val="00457A10"/>
    <w:rsid w:val="0046095B"/>
    <w:rsid w:val="00462D8F"/>
    <w:rsid w:val="00462F91"/>
    <w:rsid w:val="0046762F"/>
    <w:rsid w:val="00471D27"/>
    <w:rsid w:val="00473C26"/>
    <w:rsid w:val="004746D1"/>
    <w:rsid w:val="00475BEA"/>
    <w:rsid w:val="00485BF8"/>
    <w:rsid w:val="00492AB1"/>
    <w:rsid w:val="00496EBE"/>
    <w:rsid w:val="00497733"/>
    <w:rsid w:val="004A2737"/>
    <w:rsid w:val="004A4D4A"/>
    <w:rsid w:val="004C6792"/>
    <w:rsid w:val="004D313C"/>
    <w:rsid w:val="004D4C77"/>
    <w:rsid w:val="004E27C4"/>
    <w:rsid w:val="004E707D"/>
    <w:rsid w:val="004F1510"/>
    <w:rsid w:val="004F51C4"/>
    <w:rsid w:val="004F5536"/>
    <w:rsid w:val="00502E9A"/>
    <w:rsid w:val="005064BE"/>
    <w:rsid w:val="005120A4"/>
    <w:rsid w:val="005128F6"/>
    <w:rsid w:val="005142E8"/>
    <w:rsid w:val="00515C7B"/>
    <w:rsid w:val="00525DDE"/>
    <w:rsid w:val="00531BEA"/>
    <w:rsid w:val="0053379E"/>
    <w:rsid w:val="005347CB"/>
    <w:rsid w:val="00540E4A"/>
    <w:rsid w:val="005411D5"/>
    <w:rsid w:val="0055625C"/>
    <w:rsid w:val="0056079D"/>
    <w:rsid w:val="00561C62"/>
    <w:rsid w:val="00563519"/>
    <w:rsid w:val="005664D7"/>
    <w:rsid w:val="00567B9A"/>
    <w:rsid w:val="0057044A"/>
    <w:rsid w:val="005838E2"/>
    <w:rsid w:val="005908CD"/>
    <w:rsid w:val="00594E44"/>
    <w:rsid w:val="005A6AAF"/>
    <w:rsid w:val="005B2F66"/>
    <w:rsid w:val="005B459E"/>
    <w:rsid w:val="005C0833"/>
    <w:rsid w:val="005C2FB7"/>
    <w:rsid w:val="005C4B19"/>
    <w:rsid w:val="005D7CCF"/>
    <w:rsid w:val="005E5BB3"/>
    <w:rsid w:val="005E6929"/>
    <w:rsid w:val="005F5AB0"/>
    <w:rsid w:val="005F62E1"/>
    <w:rsid w:val="006008A0"/>
    <w:rsid w:val="006060FF"/>
    <w:rsid w:val="00626D30"/>
    <w:rsid w:val="006318A5"/>
    <w:rsid w:val="006405F3"/>
    <w:rsid w:val="00643CC4"/>
    <w:rsid w:val="0064540A"/>
    <w:rsid w:val="00646DE2"/>
    <w:rsid w:val="00647745"/>
    <w:rsid w:val="00653000"/>
    <w:rsid w:val="00656D53"/>
    <w:rsid w:val="006614B8"/>
    <w:rsid w:val="0067274D"/>
    <w:rsid w:val="006749D6"/>
    <w:rsid w:val="0067689F"/>
    <w:rsid w:val="00677FD9"/>
    <w:rsid w:val="00683C3A"/>
    <w:rsid w:val="00683EEC"/>
    <w:rsid w:val="00693A93"/>
    <w:rsid w:val="006A1750"/>
    <w:rsid w:val="006A3A0C"/>
    <w:rsid w:val="006B505B"/>
    <w:rsid w:val="006B72D5"/>
    <w:rsid w:val="006D3587"/>
    <w:rsid w:val="006D476D"/>
    <w:rsid w:val="006D5622"/>
    <w:rsid w:val="006E0D99"/>
    <w:rsid w:val="006E6D39"/>
    <w:rsid w:val="00713084"/>
    <w:rsid w:val="00720AA5"/>
    <w:rsid w:val="00720E72"/>
    <w:rsid w:val="00723915"/>
    <w:rsid w:val="00725690"/>
    <w:rsid w:val="007274A7"/>
    <w:rsid w:val="00730390"/>
    <w:rsid w:val="00730D0A"/>
    <w:rsid w:val="007337F9"/>
    <w:rsid w:val="00733EA0"/>
    <w:rsid w:val="007358F5"/>
    <w:rsid w:val="00735F44"/>
    <w:rsid w:val="00737067"/>
    <w:rsid w:val="00737163"/>
    <w:rsid w:val="007374C6"/>
    <w:rsid w:val="00742428"/>
    <w:rsid w:val="007502EC"/>
    <w:rsid w:val="00756658"/>
    <w:rsid w:val="00767B37"/>
    <w:rsid w:val="00773D55"/>
    <w:rsid w:val="00776A7F"/>
    <w:rsid w:val="007820BB"/>
    <w:rsid w:val="00782ED9"/>
    <w:rsid w:val="00796BD7"/>
    <w:rsid w:val="007A577B"/>
    <w:rsid w:val="007C0D4F"/>
    <w:rsid w:val="007C4B6C"/>
    <w:rsid w:val="007D33F0"/>
    <w:rsid w:val="007D72D9"/>
    <w:rsid w:val="007E0CCC"/>
    <w:rsid w:val="007E26E1"/>
    <w:rsid w:val="007E40AC"/>
    <w:rsid w:val="007E5CB4"/>
    <w:rsid w:val="007E64FF"/>
    <w:rsid w:val="007F051B"/>
    <w:rsid w:val="007F4A89"/>
    <w:rsid w:val="008020B5"/>
    <w:rsid w:val="00803AE3"/>
    <w:rsid w:val="0080425D"/>
    <w:rsid w:val="00810385"/>
    <w:rsid w:val="00812DA2"/>
    <w:rsid w:val="008149DF"/>
    <w:rsid w:val="0081611F"/>
    <w:rsid w:val="0082249D"/>
    <w:rsid w:val="00822AE0"/>
    <w:rsid w:val="00823043"/>
    <w:rsid w:val="00823723"/>
    <w:rsid w:val="00830C28"/>
    <w:rsid w:val="00831D03"/>
    <w:rsid w:val="00833729"/>
    <w:rsid w:val="00835C5B"/>
    <w:rsid w:val="008365D4"/>
    <w:rsid w:val="00840145"/>
    <w:rsid w:val="00841EE5"/>
    <w:rsid w:val="00850EDE"/>
    <w:rsid w:val="00856088"/>
    <w:rsid w:val="0085683B"/>
    <w:rsid w:val="00857724"/>
    <w:rsid w:val="00867EDB"/>
    <w:rsid w:val="00872A61"/>
    <w:rsid w:val="00876E0F"/>
    <w:rsid w:val="008775CA"/>
    <w:rsid w:val="00884B2B"/>
    <w:rsid w:val="00890130"/>
    <w:rsid w:val="0089221E"/>
    <w:rsid w:val="00894A8E"/>
    <w:rsid w:val="00894DE0"/>
    <w:rsid w:val="008A1616"/>
    <w:rsid w:val="008A56FD"/>
    <w:rsid w:val="008B27FE"/>
    <w:rsid w:val="008B6CEE"/>
    <w:rsid w:val="008C25BE"/>
    <w:rsid w:val="008D2E47"/>
    <w:rsid w:val="008E027B"/>
    <w:rsid w:val="008E3BF1"/>
    <w:rsid w:val="008E7C7D"/>
    <w:rsid w:val="008F08C9"/>
    <w:rsid w:val="008F18F7"/>
    <w:rsid w:val="008F2097"/>
    <w:rsid w:val="008F3592"/>
    <w:rsid w:val="008F6964"/>
    <w:rsid w:val="009106E2"/>
    <w:rsid w:val="00917005"/>
    <w:rsid w:val="009273CA"/>
    <w:rsid w:val="0092742C"/>
    <w:rsid w:val="009330CC"/>
    <w:rsid w:val="0094501F"/>
    <w:rsid w:val="00950232"/>
    <w:rsid w:val="00953F5D"/>
    <w:rsid w:val="009618F7"/>
    <w:rsid w:val="0096428F"/>
    <w:rsid w:val="009665D7"/>
    <w:rsid w:val="0096709F"/>
    <w:rsid w:val="00970ADB"/>
    <w:rsid w:val="00970ED2"/>
    <w:rsid w:val="009756E2"/>
    <w:rsid w:val="00976418"/>
    <w:rsid w:val="00977971"/>
    <w:rsid w:val="00977B29"/>
    <w:rsid w:val="00981394"/>
    <w:rsid w:val="00982226"/>
    <w:rsid w:val="00982AF2"/>
    <w:rsid w:val="009837A1"/>
    <w:rsid w:val="00983E2C"/>
    <w:rsid w:val="0099269E"/>
    <w:rsid w:val="00994968"/>
    <w:rsid w:val="00997914"/>
    <w:rsid w:val="009A5ABA"/>
    <w:rsid w:val="009B6945"/>
    <w:rsid w:val="009B7080"/>
    <w:rsid w:val="009C10FD"/>
    <w:rsid w:val="009E118B"/>
    <w:rsid w:val="009E1427"/>
    <w:rsid w:val="009E4D1A"/>
    <w:rsid w:val="009E56AA"/>
    <w:rsid w:val="009E62B3"/>
    <w:rsid w:val="009F1F6D"/>
    <w:rsid w:val="009F2368"/>
    <w:rsid w:val="009F63CA"/>
    <w:rsid w:val="00A05E03"/>
    <w:rsid w:val="00A07930"/>
    <w:rsid w:val="00A11DB9"/>
    <w:rsid w:val="00A12394"/>
    <w:rsid w:val="00A158E0"/>
    <w:rsid w:val="00A20FE5"/>
    <w:rsid w:val="00A24C12"/>
    <w:rsid w:val="00A25A25"/>
    <w:rsid w:val="00A2604A"/>
    <w:rsid w:val="00A26E4A"/>
    <w:rsid w:val="00A31A0B"/>
    <w:rsid w:val="00A33C64"/>
    <w:rsid w:val="00A33CC4"/>
    <w:rsid w:val="00A3600E"/>
    <w:rsid w:val="00A400B5"/>
    <w:rsid w:val="00A426E7"/>
    <w:rsid w:val="00A50D15"/>
    <w:rsid w:val="00A5569E"/>
    <w:rsid w:val="00A56B2D"/>
    <w:rsid w:val="00A56C70"/>
    <w:rsid w:val="00A64322"/>
    <w:rsid w:val="00A67FC4"/>
    <w:rsid w:val="00A703D5"/>
    <w:rsid w:val="00A70565"/>
    <w:rsid w:val="00A7372B"/>
    <w:rsid w:val="00A80097"/>
    <w:rsid w:val="00A80BAA"/>
    <w:rsid w:val="00A878D4"/>
    <w:rsid w:val="00A87ADD"/>
    <w:rsid w:val="00A92AE4"/>
    <w:rsid w:val="00A92B6D"/>
    <w:rsid w:val="00AA3FDE"/>
    <w:rsid w:val="00AA6A6F"/>
    <w:rsid w:val="00AB0943"/>
    <w:rsid w:val="00AB0BBF"/>
    <w:rsid w:val="00AB1E17"/>
    <w:rsid w:val="00AB2515"/>
    <w:rsid w:val="00AB5895"/>
    <w:rsid w:val="00AB5A1A"/>
    <w:rsid w:val="00AB6C3C"/>
    <w:rsid w:val="00AB7D15"/>
    <w:rsid w:val="00AC6640"/>
    <w:rsid w:val="00AC6E5B"/>
    <w:rsid w:val="00AD00C1"/>
    <w:rsid w:val="00AD1CF1"/>
    <w:rsid w:val="00AD6437"/>
    <w:rsid w:val="00AD72D9"/>
    <w:rsid w:val="00AD7DB8"/>
    <w:rsid w:val="00AE17DD"/>
    <w:rsid w:val="00AE34B4"/>
    <w:rsid w:val="00AE677E"/>
    <w:rsid w:val="00AE76F4"/>
    <w:rsid w:val="00AF145F"/>
    <w:rsid w:val="00AF1A2A"/>
    <w:rsid w:val="00AF1FFA"/>
    <w:rsid w:val="00B008D4"/>
    <w:rsid w:val="00B011B0"/>
    <w:rsid w:val="00B01860"/>
    <w:rsid w:val="00B02106"/>
    <w:rsid w:val="00B05FF2"/>
    <w:rsid w:val="00B100ED"/>
    <w:rsid w:val="00B11134"/>
    <w:rsid w:val="00B15CAF"/>
    <w:rsid w:val="00B20966"/>
    <w:rsid w:val="00B22B7A"/>
    <w:rsid w:val="00B27FE3"/>
    <w:rsid w:val="00B349C1"/>
    <w:rsid w:val="00B36A95"/>
    <w:rsid w:val="00B52556"/>
    <w:rsid w:val="00B52DD0"/>
    <w:rsid w:val="00B56C4D"/>
    <w:rsid w:val="00B671E0"/>
    <w:rsid w:val="00B77019"/>
    <w:rsid w:val="00B77F83"/>
    <w:rsid w:val="00B82674"/>
    <w:rsid w:val="00B82E18"/>
    <w:rsid w:val="00B839FF"/>
    <w:rsid w:val="00B84AF8"/>
    <w:rsid w:val="00B90EC5"/>
    <w:rsid w:val="00B96EBC"/>
    <w:rsid w:val="00BA0F20"/>
    <w:rsid w:val="00BB3325"/>
    <w:rsid w:val="00BB635F"/>
    <w:rsid w:val="00BB6CF5"/>
    <w:rsid w:val="00BB7F50"/>
    <w:rsid w:val="00BC1CF4"/>
    <w:rsid w:val="00BC6F34"/>
    <w:rsid w:val="00BC7530"/>
    <w:rsid w:val="00BD7D0D"/>
    <w:rsid w:val="00BD7E2C"/>
    <w:rsid w:val="00BE102C"/>
    <w:rsid w:val="00BE12B5"/>
    <w:rsid w:val="00BE3971"/>
    <w:rsid w:val="00BE5E9B"/>
    <w:rsid w:val="00BF12B1"/>
    <w:rsid w:val="00BF2F03"/>
    <w:rsid w:val="00BF3723"/>
    <w:rsid w:val="00BF6419"/>
    <w:rsid w:val="00C0448B"/>
    <w:rsid w:val="00C07614"/>
    <w:rsid w:val="00C103B4"/>
    <w:rsid w:val="00C104FA"/>
    <w:rsid w:val="00C1134B"/>
    <w:rsid w:val="00C11A96"/>
    <w:rsid w:val="00C12B1C"/>
    <w:rsid w:val="00C16D98"/>
    <w:rsid w:val="00C26913"/>
    <w:rsid w:val="00C27EEC"/>
    <w:rsid w:val="00C332D9"/>
    <w:rsid w:val="00C343F5"/>
    <w:rsid w:val="00C4117E"/>
    <w:rsid w:val="00C41F78"/>
    <w:rsid w:val="00C43CD9"/>
    <w:rsid w:val="00C51F52"/>
    <w:rsid w:val="00C525E5"/>
    <w:rsid w:val="00C526C8"/>
    <w:rsid w:val="00C52887"/>
    <w:rsid w:val="00C56DA8"/>
    <w:rsid w:val="00C66B6A"/>
    <w:rsid w:val="00C66E4D"/>
    <w:rsid w:val="00C711AF"/>
    <w:rsid w:val="00C73D84"/>
    <w:rsid w:val="00C74BE6"/>
    <w:rsid w:val="00C75D5E"/>
    <w:rsid w:val="00C76258"/>
    <w:rsid w:val="00C77CBB"/>
    <w:rsid w:val="00C95DFF"/>
    <w:rsid w:val="00CA3437"/>
    <w:rsid w:val="00CA407A"/>
    <w:rsid w:val="00CA4DDF"/>
    <w:rsid w:val="00CB03B6"/>
    <w:rsid w:val="00CB25F2"/>
    <w:rsid w:val="00CB4C5A"/>
    <w:rsid w:val="00CC13DF"/>
    <w:rsid w:val="00CC17AF"/>
    <w:rsid w:val="00CC1C8B"/>
    <w:rsid w:val="00CC7978"/>
    <w:rsid w:val="00CC7F8C"/>
    <w:rsid w:val="00CD2949"/>
    <w:rsid w:val="00CD351F"/>
    <w:rsid w:val="00CD7B04"/>
    <w:rsid w:val="00CD7E2E"/>
    <w:rsid w:val="00CE2440"/>
    <w:rsid w:val="00CE24BE"/>
    <w:rsid w:val="00CE388B"/>
    <w:rsid w:val="00D01ABE"/>
    <w:rsid w:val="00D209BF"/>
    <w:rsid w:val="00D23627"/>
    <w:rsid w:val="00D241BA"/>
    <w:rsid w:val="00D37EE3"/>
    <w:rsid w:val="00D479C9"/>
    <w:rsid w:val="00D53D01"/>
    <w:rsid w:val="00D56085"/>
    <w:rsid w:val="00D57276"/>
    <w:rsid w:val="00D62463"/>
    <w:rsid w:val="00D66139"/>
    <w:rsid w:val="00D72883"/>
    <w:rsid w:val="00D72C5E"/>
    <w:rsid w:val="00D76171"/>
    <w:rsid w:val="00D80E2A"/>
    <w:rsid w:val="00D82045"/>
    <w:rsid w:val="00D83CA1"/>
    <w:rsid w:val="00D91350"/>
    <w:rsid w:val="00D91687"/>
    <w:rsid w:val="00D9476D"/>
    <w:rsid w:val="00DB0A15"/>
    <w:rsid w:val="00DB0BB3"/>
    <w:rsid w:val="00DB63A7"/>
    <w:rsid w:val="00DC4E32"/>
    <w:rsid w:val="00DC7A2E"/>
    <w:rsid w:val="00DD08F4"/>
    <w:rsid w:val="00DD2071"/>
    <w:rsid w:val="00DD4391"/>
    <w:rsid w:val="00DD77B1"/>
    <w:rsid w:val="00DD7E5C"/>
    <w:rsid w:val="00DE1A7B"/>
    <w:rsid w:val="00DF05DD"/>
    <w:rsid w:val="00DF1BF2"/>
    <w:rsid w:val="00DF23E7"/>
    <w:rsid w:val="00DF3515"/>
    <w:rsid w:val="00DF40B5"/>
    <w:rsid w:val="00E040C0"/>
    <w:rsid w:val="00E05086"/>
    <w:rsid w:val="00E131CD"/>
    <w:rsid w:val="00E13C4C"/>
    <w:rsid w:val="00E21392"/>
    <w:rsid w:val="00E23775"/>
    <w:rsid w:val="00E23ECB"/>
    <w:rsid w:val="00E27D6F"/>
    <w:rsid w:val="00E4093A"/>
    <w:rsid w:val="00E41EB9"/>
    <w:rsid w:val="00E50A23"/>
    <w:rsid w:val="00E51EA2"/>
    <w:rsid w:val="00E53035"/>
    <w:rsid w:val="00E542C3"/>
    <w:rsid w:val="00E54FC3"/>
    <w:rsid w:val="00E60003"/>
    <w:rsid w:val="00E610AE"/>
    <w:rsid w:val="00E63F45"/>
    <w:rsid w:val="00E64705"/>
    <w:rsid w:val="00E754DD"/>
    <w:rsid w:val="00E879E3"/>
    <w:rsid w:val="00E90D7C"/>
    <w:rsid w:val="00E91256"/>
    <w:rsid w:val="00E91DE8"/>
    <w:rsid w:val="00E922C4"/>
    <w:rsid w:val="00E95E74"/>
    <w:rsid w:val="00EA05DC"/>
    <w:rsid w:val="00EA1E11"/>
    <w:rsid w:val="00EA7048"/>
    <w:rsid w:val="00EB5597"/>
    <w:rsid w:val="00EB6351"/>
    <w:rsid w:val="00EC00ED"/>
    <w:rsid w:val="00EC5962"/>
    <w:rsid w:val="00ED015F"/>
    <w:rsid w:val="00ED3B39"/>
    <w:rsid w:val="00ED520B"/>
    <w:rsid w:val="00ED577F"/>
    <w:rsid w:val="00ED7629"/>
    <w:rsid w:val="00EE1063"/>
    <w:rsid w:val="00EE3643"/>
    <w:rsid w:val="00F010D0"/>
    <w:rsid w:val="00F03E27"/>
    <w:rsid w:val="00F072E3"/>
    <w:rsid w:val="00F1175A"/>
    <w:rsid w:val="00F12C9E"/>
    <w:rsid w:val="00F16BB1"/>
    <w:rsid w:val="00F229F7"/>
    <w:rsid w:val="00F270D5"/>
    <w:rsid w:val="00F3038D"/>
    <w:rsid w:val="00F33C3C"/>
    <w:rsid w:val="00F34F64"/>
    <w:rsid w:val="00F363C8"/>
    <w:rsid w:val="00F37BF4"/>
    <w:rsid w:val="00F445E3"/>
    <w:rsid w:val="00F45447"/>
    <w:rsid w:val="00F47DF9"/>
    <w:rsid w:val="00F516F6"/>
    <w:rsid w:val="00F5338D"/>
    <w:rsid w:val="00F60180"/>
    <w:rsid w:val="00F61918"/>
    <w:rsid w:val="00F6252C"/>
    <w:rsid w:val="00F659C7"/>
    <w:rsid w:val="00F65AEB"/>
    <w:rsid w:val="00F65E62"/>
    <w:rsid w:val="00F761F1"/>
    <w:rsid w:val="00F85DEB"/>
    <w:rsid w:val="00FA0889"/>
    <w:rsid w:val="00FA54D2"/>
    <w:rsid w:val="00FB4B24"/>
    <w:rsid w:val="00FB502A"/>
    <w:rsid w:val="00FC5C09"/>
    <w:rsid w:val="00FD32BA"/>
    <w:rsid w:val="00FD3FA4"/>
    <w:rsid w:val="00FD6461"/>
    <w:rsid w:val="00FD7D57"/>
    <w:rsid w:val="00FF0116"/>
    <w:rsid w:val="00FF19BC"/>
    <w:rsid w:val="00FF2BE1"/>
    <w:rsid w:val="00FF7F8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59B87293"/>
  <w15:docId w15:val="{43387001-9D92-477F-B7E0-3B712B22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link w:val="Heading1Char"/>
    <w:autoRedefine/>
    <w:qFormat/>
    <w:rsid w:val="00D72883"/>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C95C7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autoRedefine/>
    <w:qFormat/>
    <w:rsid w:val="00C95C7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2"/>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2"/>
      </w:numPr>
      <w:spacing w:before="240" w:after="60"/>
      <w:outlineLvl w:val="4"/>
    </w:pPr>
    <w:rPr>
      <w:b/>
      <w:bCs/>
      <w:i/>
      <w:iCs/>
      <w:sz w:val="26"/>
      <w:szCs w:val="26"/>
    </w:rPr>
  </w:style>
  <w:style w:type="paragraph" w:styleId="Heading6">
    <w:name w:val="heading 6"/>
    <w:basedOn w:val="Normal"/>
    <w:next w:val="Normal"/>
    <w:qFormat/>
    <w:rsid w:val="004F32DC"/>
    <w:pPr>
      <w:numPr>
        <w:ilvl w:val="5"/>
        <w:numId w:val="2"/>
      </w:numPr>
      <w:spacing w:before="240" w:after="60"/>
      <w:outlineLvl w:val="5"/>
    </w:pPr>
    <w:rPr>
      <w:b/>
      <w:bCs/>
      <w:sz w:val="22"/>
      <w:szCs w:val="22"/>
    </w:rPr>
  </w:style>
  <w:style w:type="paragraph" w:styleId="Heading7">
    <w:name w:val="heading 7"/>
    <w:basedOn w:val="Normal"/>
    <w:next w:val="Normal"/>
    <w:qFormat/>
    <w:rsid w:val="004F32DC"/>
    <w:pPr>
      <w:numPr>
        <w:ilvl w:val="6"/>
        <w:numId w:val="2"/>
      </w:numPr>
      <w:spacing w:before="240" w:after="60"/>
      <w:outlineLvl w:val="6"/>
    </w:pPr>
    <w:rPr>
      <w:sz w:val="24"/>
    </w:rPr>
  </w:style>
  <w:style w:type="paragraph" w:styleId="Heading8">
    <w:name w:val="heading 8"/>
    <w:basedOn w:val="Normal"/>
    <w:next w:val="Normal"/>
    <w:qFormat/>
    <w:rsid w:val="004F32DC"/>
    <w:pPr>
      <w:numPr>
        <w:ilvl w:val="7"/>
        <w:numId w:val="2"/>
      </w:numPr>
      <w:spacing w:before="240" w:after="60"/>
      <w:outlineLvl w:val="7"/>
    </w:pPr>
    <w:rPr>
      <w:i/>
      <w:iCs/>
      <w:sz w:val="24"/>
    </w:rPr>
  </w:style>
  <w:style w:type="paragraph" w:styleId="Heading9">
    <w:name w:val="heading 9"/>
    <w:basedOn w:val="Normal"/>
    <w:next w:val="Normal"/>
    <w:qFormat/>
    <w:rsid w:val="004F32D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rPr>
      <w:lang w:val="en-GB"/>
    </w:rPr>
  </w:style>
  <w:style w:type="paragraph" w:customStyle="1" w:styleId="ECCParBulleted">
    <w:name w:val="ECC Par Bulleted"/>
    <w:basedOn w:val="ECCParagraph"/>
    <w:rsid w:val="006F49B0"/>
    <w:pPr>
      <w:numPr>
        <w:numId w:val="1"/>
      </w:numPr>
      <w:spacing w:after="0"/>
      <w:ind w:left="357" w:hanging="357"/>
    </w:pPr>
  </w:style>
  <w:style w:type="paragraph" w:styleId="Header">
    <w:name w:val="header"/>
    <w:basedOn w:val="Normal"/>
    <w:link w:val="HeaderChar"/>
    <w:semiHidden/>
    <w:rsid w:val="00C95C7C"/>
    <w:pPr>
      <w:tabs>
        <w:tab w:val="center" w:pos="4320"/>
        <w:tab w:val="right" w:pos="8640"/>
      </w:tabs>
    </w:pPr>
    <w:rPr>
      <w:b/>
      <w:sz w:val="16"/>
    </w:rPr>
  </w:style>
  <w:style w:type="paragraph" w:styleId="Footer">
    <w:name w:val="footer"/>
    <w:basedOn w:val="Normal"/>
    <w:link w:val="FooterChar"/>
    <w:semiHidden/>
    <w:rsid w:val="0077244E"/>
    <w:pPr>
      <w:tabs>
        <w:tab w:val="center" w:pos="4320"/>
        <w:tab w:val="right" w:pos="8640"/>
      </w:tabs>
    </w:pPr>
  </w:style>
  <w:style w:type="paragraph" w:customStyle="1" w:styleId="ECCAnnex-heading1">
    <w:name w:val="ECC Annex - heading1"/>
    <w:basedOn w:val="Heading1"/>
    <w:next w:val="ECCParagraph"/>
    <w:rsid w:val="00B671E0"/>
    <w:pPr>
      <w:numPr>
        <w:numId w:val="6"/>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4"/>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3"/>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ALTS FOOTNOTE,DNV-FT,Footnote Text Char1,Footnote Text Char Char1,Footnote Text Char4 Char Char,Footnote Text Char1 Char1 Char1 Char,Footnote Text Char Char1 Char1 Char Char"/>
    <w:basedOn w:val="Normal"/>
    <w:link w:val="FootnoteTextChar"/>
    <w:rsid w:val="008935B9"/>
    <w:rPr>
      <w:szCs w:val="20"/>
    </w:rPr>
  </w:style>
  <w:style w:type="character" w:styleId="FootnoteReference">
    <w:name w:val="footnote reference"/>
    <w:aliases w:val="Appel note de bas de p,Footnote Reference/,ECC Footnote number"/>
    <w:basedOn w:val="DefaultParagraphFont"/>
    <w:rsid w:val="006C4FBD"/>
    <w:rPr>
      <w:rFonts w:ascii="Arial" w:hAnsi="Arial"/>
      <w:color w:val="D2232A"/>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D72883"/>
    <w:pPr>
      <w:spacing w:before="60" w:after="0"/>
      <w:ind w:left="567" w:hanging="567"/>
    </w:pPr>
    <w:rPr>
      <w:szCs w:val="20"/>
    </w:rPr>
  </w:style>
  <w:style w:type="paragraph" w:customStyle="1" w:styleId="reference">
    <w:name w:val="reference"/>
    <w:basedOn w:val="Normal"/>
    <w:rsid w:val="00F16BB1"/>
    <w:pPr>
      <w:numPr>
        <w:numId w:val="5"/>
      </w:numPr>
      <w:tabs>
        <w:tab w:val="clear" w:pos="681"/>
        <w:tab w:val="num" w:pos="397"/>
      </w:tabs>
      <w:ind w:left="397"/>
    </w:pPr>
    <w:rPr>
      <w:lang w:eastAsia="ja-JP"/>
    </w:rPr>
  </w:style>
  <w:style w:type="paragraph" w:customStyle="1" w:styleId="ECCAnnexheading2">
    <w:name w:val="ECC Annex heading2"/>
    <w:basedOn w:val="Normal"/>
    <w:next w:val="ECCParagraph"/>
    <w:rsid w:val="00C95C7C"/>
    <w:pPr>
      <w:numPr>
        <w:ilvl w:val="1"/>
        <w:numId w:val="6"/>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B0058C"/>
    <w:pPr>
      <w:numPr>
        <w:ilvl w:val="2"/>
        <w:numId w:val="6"/>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6"/>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rsid w:val="006C4FBD"/>
    <w:pPr>
      <w:spacing w:before="120" w:after="120"/>
      <w:ind w:left="3402"/>
    </w:pPr>
    <w:rPr>
      <w:bCs/>
      <w:sz w:val="18"/>
    </w:rPr>
  </w:style>
  <w:style w:type="paragraph" w:customStyle="1" w:styleId="Reporttitledescription">
    <w:name w:val="Report title/description"/>
    <w:basedOn w:val="Normal"/>
    <w:rsid w:val="00C95C7C"/>
    <w:pPr>
      <w:spacing w:before="600" w:line="288" w:lineRule="auto"/>
      <w:ind w:left="3402"/>
    </w:pPr>
    <w:rPr>
      <w:sz w:val="24"/>
    </w:rPr>
  </w:style>
  <w:style w:type="paragraph" w:customStyle="1" w:styleId="LetteredList">
    <w:name w:val="Lettered List"/>
    <w:basedOn w:val="Normal"/>
    <w:rsid w:val="00E258D0"/>
    <w:pPr>
      <w:numPr>
        <w:numId w:val="7"/>
      </w:numPr>
      <w:spacing w:after="120"/>
      <w:jc w:val="both"/>
    </w:pPr>
  </w:style>
  <w:style w:type="paragraph" w:styleId="BalloonText">
    <w:name w:val="Balloon Text"/>
    <w:basedOn w:val="Normal"/>
    <w:link w:val="BalloonTextChar"/>
    <w:uiPriority w:val="99"/>
    <w:semiHidden/>
    <w:unhideWhenUsed/>
    <w:rsid w:val="00FD3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3FA4"/>
    <w:rPr>
      <w:rFonts w:ascii="Lucida Grande" w:hAnsi="Lucida Grande" w:cs="Lucida Grande"/>
      <w:sz w:val="18"/>
      <w:szCs w:val="18"/>
      <w:lang w:val="en-US"/>
    </w:rPr>
  </w:style>
  <w:style w:type="paragraph" w:customStyle="1" w:styleId="NumberedList">
    <w:name w:val="Numbered List"/>
    <w:basedOn w:val="ECCParagraph"/>
    <w:rsid w:val="00D37EE3"/>
    <w:pPr>
      <w:numPr>
        <w:numId w:val="9"/>
      </w:numPr>
    </w:pPr>
  </w:style>
  <w:style w:type="paragraph" w:styleId="Caption">
    <w:name w:val="caption"/>
    <w:aliases w:val="ECC Caption,cap,cap Char,Caption Char,Caption Char1 Char,cap Char Char1,Caption Char Char1 Char,cap Char2 Char,Ca,RptCaption,cap Char Char Char Char Char Char Char,Caption Char1,Caption Char Char,Caption Char2,Caption Char Char Char"/>
    <w:basedOn w:val="Normal"/>
    <w:next w:val="Normal"/>
    <w:unhideWhenUsed/>
    <w:qFormat/>
    <w:rsid w:val="00BD7E2C"/>
    <w:pPr>
      <w:spacing w:before="240" w:after="240"/>
      <w:jc w:val="center"/>
    </w:pPr>
    <w:rPr>
      <w:b/>
      <w:bCs/>
      <w:color w:val="D2232A"/>
      <w:szCs w:val="20"/>
    </w:rPr>
  </w:style>
  <w:style w:type="character" w:styleId="CommentReference">
    <w:name w:val="annotation reference"/>
    <w:basedOn w:val="DefaultParagraphFont"/>
    <w:uiPriority w:val="99"/>
    <w:semiHidden/>
    <w:unhideWhenUsed/>
    <w:rsid w:val="00840145"/>
    <w:rPr>
      <w:sz w:val="16"/>
      <w:szCs w:val="16"/>
    </w:rPr>
  </w:style>
  <w:style w:type="paragraph" w:styleId="CommentText">
    <w:name w:val="annotation text"/>
    <w:basedOn w:val="Normal"/>
    <w:link w:val="CommentTextChar"/>
    <w:uiPriority w:val="99"/>
    <w:semiHidden/>
    <w:unhideWhenUsed/>
    <w:rsid w:val="00840145"/>
    <w:rPr>
      <w:szCs w:val="20"/>
    </w:rPr>
  </w:style>
  <w:style w:type="character" w:customStyle="1" w:styleId="CommentTextChar">
    <w:name w:val="Comment Text Char"/>
    <w:basedOn w:val="DefaultParagraphFont"/>
    <w:link w:val="CommentText"/>
    <w:uiPriority w:val="99"/>
    <w:semiHidden/>
    <w:rsid w:val="00840145"/>
    <w:rPr>
      <w:rFonts w:ascii="Arial" w:hAnsi="Arial"/>
      <w:lang w:val="en-US"/>
    </w:rPr>
  </w:style>
  <w:style w:type="paragraph" w:styleId="CommentSubject">
    <w:name w:val="annotation subject"/>
    <w:basedOn w:val="CommentText"/>
    <w:next w:val="CommentText"/>
    <w:link w:val="CommentSubjectChar"/>
    <w:uiPriority w:val="99"/>
    <w:semiHidden/>
    <w:unhideWhenUsed/>
    <w:rsid w:val="00840145"/>
    <w:rPr>
      <w:b/>
      <w:bCs/>
    </w:rPr>
  </w:style>
  <w:style w:type="character" w:customStyle="1" w:styleId="CommentSubjectChar">
    <w:name w:val="Comment Subject Char"/>
    <w:basedOn w:val="CommentTextChar"/>
    <w:link w:val="CommentSubject"/>
    <w:uiPriority w:val="99"/>
    <w:semiHidden/>
    <w:rsid w:val="00840145"/>
    <w:rPr>
      <w:rFonts w:ascii="Arial" w:hAnsi="Arial"/>
      <w:b/>
      <w:bCs/>
      <w:lang w:val="en-US"/>
    </w:rPr>
  </w:style>
  <w:style w:type="paragraph" w:styleId="Revision">
    <w:name w:val="Revision"/>
    <w:hidden/>
    <w:uiPriority w:val="99"/>
    <w:semiHidden/>
    <w:rsid w:val="00840145"/>
    <w:rPr>
      <w:rFonts w:ascii="Arial" w:hAnsi="Arial"/>
      <w:szCs w:val="24"/>
      <w:lang w:val="en-US"/>
    </w:rPr>
  </w:style>
  <w:style w:type="character" w:customStyle="1" w:styleId="ECCParagraphChar">
    <w:name w:val="ECC Paragraph Char"/>
    <w:link w:val="ECCParagraph"/>
    <w:locked/>
    <w:rsid w:val="00385AAB"/>
    <w:rPr>
      <w:rFonts w:ascii="Arial" w:hAnsi="Arial"/>
      <w:szCs w:val="24"/>
    </w:rPr>
  </w:style>
  <w:style w:type="paragraph" w:styleId="ListParagraph">
    <w:name w:val="List Paragraph"/>
    <w:basedOn w:val="Normal"/>
    <w:uiPriority w:val="34"/>
    <w:qFormat/>
    <w:rsid w:val="00CD7B04"/>
    <w:pPr>
      <w:ind w:left="720"/>
      <w:contextualSpacing/>
    </w:pPr>
  </w:style>
  <w:style w:type="paragraph" w:customStyle="1" w:styleId="ECCNumberedBullets">
    <w:name w:val="ECC Numbered Bullets"/>
    <w:basedOn w:val="Normal"/>
    <w:rsid w:val="00CD7B04"/>
    <w:pPr>
      <w:numPr>
        <w:numId w:val="10"/>
      </w:numPr>
    </w:pPr>
  </w:style>
  <w:style w:type="numbering" w:customStyle="1" w:styleId="ECCNumbers-Bullets">
    <w:name w:val="ECC Numbers-Bullets"/>
    <w:uiPriority w:val="99"/>
    <w:rsid w:val="00CD7B04"/>
    <w:pPr>
      <w:numPr>
        <w:numId w:val="10"/>
      </w:numPr>
    </w:pPr>
  </w:style>
  <w:style w:type="paragraph" w:customStyle="1" w:styleId="ECCEditorsNote">
    <w:name w:val="ECC Editor's Note"/>
    <w:next w:val="Normal"/>
    <w:qFormat/>
    <w:rsid w:val="00FF0116"/>
    <w:pPr>
      <w:numPr>
        <w:numId w:val="13"/>
      </w:numPr>
      <w:shd w:val="solid" w:color="FFFF00" w:fill="auto"/>
      <w:tabs>
        <w:tab w:val="clear" w:pos="2126"/>
        <w:tab w:val="num" w:pos="1559"/>
      </w:tabs>
      <w:spacing w:before="120" w:after="60"/>
      <w:ind w:left="1559"/>
      <w:jc w:val="both"/>
    </w:pPr>
    <w:rPr>
      <w:rFonts w:ascii="Arial" w:eastAsia="Calibri" w:hAnsi="Arial"/>
      <w:szCs w:val="22"/>
      <w:lang w:val="da-DK" w:eastAsia="de-DE"/>
    </w:rPr>
  </w:style>
  <w:style w:type="character" w:customStyle="1" w:styleId="ECCHLyellow">
    <w:name w:val="ECC HL yellow"/>
    <w:uiPriority w:val="1"/>
    <w:qFormat/>
    <w:rsid w:val="00FF0116"/>
    <w:rPr>
      <w:rFonts w:eastAsia="Calibri"/>
      <w:i w:val="0"/>
      <w:szCs w:val="22"/>
      <w:bdr w:val="none" w:sz="0" w:space="0" w:color="auto"/>
      <w:shd w:val="solid" w:color="FFFF00" w:fill="auto"/>
      <w:lang w:val="en-GB"/>
    </w:rPr>
  </w:style>
  <w:style w:type="character" w:customStyle="1" w:styleId="FootnoteTextChar">
    <w:name w:val="Footnote Text Char"/>
    <w:aliases w:val="ALTS FOOTNOTE Char,DNV-FT Char,Footnote Text Char1 Char,Footnote Text Char Char1 Char,Footnote Text Char4 Char Char Char,Footnote Text Char1 Char1 Char1 Char Char,Footnote Text Char Char1 Char1 Char Char Char"/>
    <w:link w:val="FootnoteText"/>
    <w:rsid w:val="00382EFE"/>
    <w:rPr>
      <w:rFonts w:ascii="Arial" w:hAnsi="Arial"/>
      <w:lang w:val="en-US"/>
    </w:rPr>
  </w:style>
  <w:style w:type="character" w:customStyle="1" w:styleId="HeaderChar">
    <w:name w:val="Header Char"/>
    <w:link w:val="Header"/>
    <w:semiHidden/>
    <w:rsid w:val="00382EFE"/>
    <w:rPr>
      <w:rFonts w:ascii="Arial" w:hAnsi="Arial"/>
      <w:b/>
      <w:sz w:val="16"/>
      <w:szCs w:val="24"/>
      <w:lang w:val="en-US"/>
    </w:rPr>
  </w:style>
  <w:style w:type="character" w:customStyle="1" w:styleId="FooterChar">
    <w:name w:val="Footer Char"/>
    <w:link w:val="Footer"/>
    <w:semiHidden/>
    <w:rsid w:val="00382EFE"/>
    <w:rPr>
      <w:rFonts w:ascii="Arial" w:hAnsi="Arial"/>
      <w:szCs w:val="24"/>
      <w:lang w:val="en-US"/>
    </w:rPr>
  </w:style>
  <w:style w:type="character" w:customStyle="1" w:styleId="Heading1Char">
    <w:name w:val="Heading 1 Char"/>
    <w:aliases w:val="ECC Heading 1 Char"/>
    <w:link w:val="Heading1"/>
    <w:rsid w:val="00D72883"/>
    <w:rPr>
      <w:rFonts w:ascii="Arial" w:hAnsi="Arial" w:cs="Arial"/>
      <w:b/>
      <w:bCs/>
      <w:caps/>
      <w:color w:val="D2232A"/>
      <w:kern w:val="32"/>
      <w:szCs w:val="32"/>
    </w:rPr>
  </w:style>
  <w:style w:type="paragraph" w:customStyle="1" w:styleId="Default">
    <w:name w:val="Default"/>
    <w:rsid w:val="00382EFE"/>
    <w:pPr>
      <w:autoSpaceDE w:val="0"/>
      <w:autoSpaceDN w:val="0"/>
      <w:adjustRightInd w:val="0"/>
    </w:pPr>
    <w:rPr>
      <w:rFonts w:ascii="Arial" w:eastAsia="Calibri" w:hAnsi="Arial" w:cs="Arial"/>
      <w:color w:val="000000"/>
      <w:sz w:val="24"/>
      <w:szCs w:val="24"/>
      <w:lang w:val="de-DE" w:eastAsia="de-DE"/>
    </w:rPr>
  </w:style>
  <w:style w:type="table" w:customStyle="1" w:styleId="ECCTable-redheader">
    <w:name w:val="ECC Table - red header"/>
    <w:basedOn w:val="TableNormal"/>
    <w:uiPriority w:val="99"/>
    <w:rsid w:val="00382EFE"/>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tcPr>
    </w:tblStylePr>
  </w:style>
  <w:style w:type="paragraph" w:customStyle="1" w:styleId="ECCTabletext">
    <w:name w:val="ECC Table text"/>
    <w:basedOn w:val="Normal"/>
    <w:qFormat/>
    <w:rsid w:val="00382EFE"/>
    <w:pPr>
      <w:spacing w:before="60" w:after="60"/>
      <w:jc w:val="both"/>
    </w:pPr>
    <w:rPr>
      <w:rFonts w:eastAsia="Calibri"/>
      <w:szCs w:val="22"/>
      <w:lang w:val="en-GB"/>
    </w:rPr>
  </w:style>
  <w:style w:type="paragraph" w:customStyle="1" w:styleId="ECCAnnexheading1">
    <w:name w:val="ECC Annex heading1"/>
    <w:next w:val="Normal"/>
    <w:qFormat/>
    <w:rsid w:val="00382EFE"/>
    <w:pPr>
      <w:keepNext/>
      <w:pageBreakBefore/>
      <w:spacing w:before="240" w:after="60"/>
      <w:ind w:left="141"/>
      <w:jc w:val="both"/>
    </w:pPr>
    <w:rPr>
      <w:rFonts w:ascii="Arial" w:hAnsi="Arial"/>
      <w:b/>
      <w:caps/>
      <w:color w:val="D2232A"/>
      <w:lang w:val="da-DK"/>
    </w:rPr>
  </w:style>
  <w:style w:type="paragraph" w:styleId="NoSpacing">
    <w:name w:val="No Spacing"/>
    <w:uiPriority w:val="1"/>
    <w:qFormat/>
    <w:rsid w:val="00382EFE"/>
    <w:rPr>
      <w:rFonts w:ascii="Arial" w:hAnsi="Arial"/>
      <w:szCs w:val="24"/>
      <w:lang w:val="en-US"/>
    </w:rPr>
  </w:style>
  <w:style w:type="paragraph" w:customStyle="1" w:styleId="ECCTableHeaderwhitefont">
    <w:name w:val="ECC Table Header white font"/>
    <w:basedOn w:val="Normal"/>
    <w:qFormat/>
    <w:rsid w:val="00382EFE"/>
    <w:pPr>
      <w:spacing w:before="120" w:after="120"/>
      <w:jc w:val="center"/>
    </w:pPr>
    <w:rPr>
      <w:bCs/>
      <w:color w:val="FFFFFF" w:themeColor="background1"/>
      <w:szCs w:val="20"/>
      <w:lang w:val="en-GB"/>
    </w:rPr>
  </w:style>
  <w:style w:type="character" w:customStyle="1" w:styleId="ECCHLbold">
    <w:name w:val="ECC HL bold"/>
    <w:basedOn w:val="Strong"/>
    <w:uiPriority w:val="1"/>
    <w:qFormat/>
    <w:rsid w:val="00382EFE"/>
    <w:rPr>
      <w:b/>
      <w:bCs/>
    </w:rPr>
  </w:style>
  <w:style w:type="character" w:styleId="Strong">
    <w:name w:val="Strong"/>
    <w:basedOn w:val="DefaultParagraphFont"/>
    <w:uiPriority w:val="22"/>
    <w:qFormat/>
    <w:rsid w:val="00382EFE"/>
    <w:rPr>
      <w:b/>
      <w:bCs/>
    </w:rPr>
  </w:style>
  <w:style w:type="paragraph" w:customStyle="1" w:styleId="ECCLetteredList">
    <w:name w:val="ECC Lettered List"/>
    <w:rsid w:val="00382EFE"/>
    <w:pPr>
      <w:numPr>
        <w:ilvl w:val="1"/>
        <w:numId w:val="14"/>
      </w:numPr>
      <w:spacing w:before="240"/>
      <w:jc w:val="both"/>
    </w:pPr>
    <w:rPr>
      <w:rFonts w:ascii="Arial" w:hAnsi="Arial"/>
      <w:lang w:val="da-DK"/>
    </w:rPr>
  </w:style>
  <w:style w:type="paragraph" w:customStyle="1" w:styleId="ECCBulletsLv1">
    <w:name w:val="ECC Bullets Lv1"/>
    <w:basedOn w:val="Normal"/>
    <w:rsid w:val="00E05086"/>
    <w:pPr>
      <w:numPr>
        <w:numId w:val="16"/>
      </w:numPr>
      <w:tabs>
        <w:tab w:val="left" w:pos="340"/>
      </w:tabs>
      <w:spacing w:before="60" w:line="288" w:lineRule="auto"/>
      <w:ind w:left="340" w:hanging="340"/>
      <w:contextualSpacing/>
      <w:jc w:val="both"/>
    </w:pPr>
    <w:rPr>
      <w:rFonts w:eastAsia="Calibri"/>
      <w:szCs w:val="22"/>
      <w:lang w:val="en-GB"/>
    </w:rPr>
  </w:style>
  <w:style w:type="paragraph" w:customStyle="1" w:styleId="ECCBulletsLv2">
    <w:name w:val="ECC Bullets Lv2"/>
    <w:basedOn w:val="ECCBulletsLv1"/>
    <w:rsid w:val="00E05086"/>
    <w:pPr>
      <w:tabs>
        <w:tab w:val="clear" w:pos="340"/>
        <w:tab w:val="left" w:pos="680"/>
      </w:tabs>
      <w:ind w:left="680"/>
    </w:pPr>
  </w:style>
  <w:style w:type="paragraph" w:styleId="NormalWeb">
    <w:name w:val="Normal (Web)"/>
    <w:basedOn w:val="Normal"/>
    <w:uiPriority w:val="99"/>
    <w:semiHidden/>
    <w:unhideWhenUsed/>
    <w:rsid w:val="00ED7629"/>
    <w:pPr>
      <w:spacing w:before="100" w:beforeAutospacing="1" w:after="100" w:afterAutospacing="1"/>
    </w:pPr>
    <w:rPr>
      <w:rFonts w:ascii="Times New Roman" w:hAnsi="Times New Roman"/>
      <w:sz w:val="24"/>
      <w:lang w:val="sv-SE" w:eastAsia="sv-SE"/>
    </w:rPr>
  </w:style>
  <w:style w:type="paragraph" w:customStyle="1" w:styleId="Figure">
    <w:name w:val="Figure"/>
    <w:basedOn w:val="Normal"/>
    <w:next w:val="Normal"/>
    <w:rsid w:val="00A426E7"/>
    <w:pPr>
      <w:keepLines/>
      <w:tabs>
        <w:tab w:val="left" w:pos="794"/>
        <w:tab w:val="left" w:pos="1191"/>
        <w:tab w:val="left" w:pos="1588"/>
        <w:tab w:val="left" w:pos="1985"/>
      </w:tabs>
      <w:overflowPunct w:val="0"/>
      <w:autoSpaceDE w:val="0"/>
      <w:autoSpaceDN w:val="0"/>
      <w:adjustRightInd w:val="0"/>
      <w:spacing w:after="240"/>
      <w:jc w:val="center"/>
      <w:textAlignment w:val="baseline"/>
    </w:pPr>
    <w:rPr>
      <w:rFonts w:ascii="Times New Roman" w:hAnsi="Times New Roman"/>
      <w:caps/>
      <w:sz w:val="18"/>
      <w:szCs w:val="20"/>
      <w:lang w:val="fr-FR"/>
    </w:rPr>
  </w:style>
  <w:style w:type="paragraph" w:customStyle="1" w:styleId="Tabletext">
    <w:name w:val="Table_text"/>
    <w:basedOn w:val="Normal"/>
    <w:link w:val="TabletextChar"/>
    <w:rsid w:val="00A426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sz w:val="22"/>
      <w:szCs w:val="20"/>
      <w:lang w:val="fr-FR"/>
    </w:rPr>
  </w:style>
  <w:style w:type="paragraph" w:customStyle="1" w:styleId="Tablehead">
    <w:name w:val="Table_head"/>
    <w:basedOn w:val="Normal"/>
    <w:next w:val="Normal"/>
    <w:link w:val="TableheadChar"/>
    <w:rsid w:val="00A426E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b/>
      <w:sz w:val="22"/>
      <w:szCs w:val="20"/>
      <w:lang w:val="fr-FR"/>
    </w:rPr>
  </w:style>
  <w:style w:type="paragraph" w:customStyle="1" w:styleId="TableNo">
    <w:name w:val="Table_No"/>
    <w:basedOn w:val="Normal"/>
    <w:next w:val="Normal"/>
    <w:link w:val="TableNoChar"/>
    <w:rsid w:val="00A426E7"/>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hAnsi="Times New Roman"/>
      <w:sz w:val="24"/>
      <w:szCs w:val="20"/>
      <w:lang w:val="fr-FR"/>
    </w:rPr>
  </w:style>
  <w:style w:type="paragraph" w:customStyle="1" w:styleId="Tabletitle">
    <w:name w:val="Table_title"/>
    <w:basedOn w:val="Normal"/>
    <w:next w:val="Tablehead"/>
    <w:link w:val="TabletitleChar"/>
    <w:rsid w:val="00A426E7"/>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hAnsi="Times New Roman"/>
      <w:b/>
      <w:sz w:val="24"/>
      <w:szCs w:val="20"/>
      <w:lang w:val="fr-FR"/>
    </w:rPr>
  </w:style>
  <w:style w:type="character" w:customStyle="1" w:styleId="TabletextChar">
    <w:name w:val="Table_text Char"/>
    <w:link w:val="Tabletext"/>
    <w:locked/>
    <w:rsid w:val="00A426E7"/>
    <w:rPr>
      <w:sz w:val="22"/>
      <w:lang w:val="fr-FR"/>
    </w:rPr>
  </w:style>
  <w:style w:type="character" w:customStyle="1" w:styleId="TableheadChar">
    <w:name w:val="Table_head Char"/>
    <w:link w:val="Tablehead"/>
    <w:locked/>
    <w:rsid w:val="00A426E7"/>
    <w:rPr>
      <w:b/>
      <w:sz w:val="22"/>
      <w:lang w:val="fr-FR"/>
    </w:rPr>
  </w:style>
  <w:style w:type="character" w:customStyle="1" w:styleId="TableNoChar">
    <w:name w:val="Table_No Char"/>
    <w:link w:val="TableNo"/>
    <w:locked/>
    <w:rsid w:val="00A426E7"/>
    <w:rPr>
      <w:sz w:val="24"/>
      <w:lang w:val="fr-FR"/>
    </w:rPr>
  </w:style>
  <w:style w:type="character" w:customStyle="1" w:styleId="TabletitleChar">
    <w:name w:val="Table_title Char"/>
    <w:link w:val="Tabletitle"/>
    <w:locked/>
    <w:rsid w:val="00A426E7"/>
    <w:rPr>
      <w:b/>
      <w:sz w:val="24"/>
      <w:lang w:val="fr-FR"/>
    </w:rPr>
  </w:style>
  <w:style w:type="paragraph" w:styleId="EndnoteText">
    <w:name w:val="endnote text"/>
    <w:basedOn w:val="Normal"/>
    <w:link w:val="EndnoteTextChar"/>
    <w:uiPriority w:val="99"/>
    <w:semiHidden/>
    <w:unhideWhenUsed/>
    <w:rsid w:val="001F0562"/>
    <w:rPr>
      <w:szCs w:val="20"/>
    </w:rPr>
  </w:style>
  <w:style w:type="character" w:customStyle="1" w:styleId="EndnoteTextChar">
    <w:name w:val="Endnote Text Char"/>
    <w:basedOn w:val="DefaultParagraphFont"/>
    <w:link w:val="EndnoteText"/>
    <w:uiPriority w:val="99"/>
    <w:semiHidden/>
    <w:rsid w:val="001F0562"/>
    <w:rPr>
      <w:rFonts w:ascii="Arial" w:hAnsi="Arial"/>
      <w:lang w:val="en-US"/>
    </w:rPr>
  </w:style>
  <w:style w:type="character" w:styleId="EndnoteReference">
    <w:name w:val="endnote reference"/>
    <w:basedOn w:val="DefaultParagraphFont"/>
    <w:uiPriority w:val="99"/>
    <w:semiHidden/>
    <w:unhideWhenUsed/>
    <w:rsid w:val="001F0562"/>
    <w:rPr>
      <w:vertAlign w:val="superscript"/>
    </w:rPr>
  </w:style>
  <w:style w:type="character" w:styleId="UnresolvedMention">
    <w:name w:val="Unresolved Mention"/>
    <w:basedOn w:val="DefaultParagraphFont"/>
    <w:uiPriority w:val="99"/>
    <w:semiHidden/>
    <w:unhideWhenUsed/>
    <w:rsid w:val="0030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970">
      <w:bodyDiv w:val="1"/>
      <w:marLeft w:val="0"/>
      <w:marRight w:val="0"/>
      <w:marTop w:val="0"/>
      <w:marBottom w:val="0"/>
      <w:divBdr>
        <w:top w:val="none" w:sz="0" w:space="0" w:color="auto"/>
        <w:left w:val="none" w:sz="0" w:space="0" w:color="auto"/>
        <w:bottom w:val="none" w:sz="0" w:space="0" w:color="auto"/>
        <w:right w:val="none" w:sz="0" w:space="0" w:color="auto"/>
      </w:divBdr>
    </w:div>
    <w:div w:id="102388943">
      <w:bodyDiv w:val="1"/>
      <w:marLeft w:val="0"/>
      <w:marRight w:val="0"/>
      <w:marTop w:val="0"/>
      <w:marBottom w:val="0"/>
      <w:divBdr>
        <w:top w:val="none" w:sz="0" w:space="0" w:color="auto"/>
        <w:left w:val="none" w:sz="0" w:space="0" w:color="auto"/>
        <w:bottom w:val="none" w:sz="0" w:space="0" w:color="auto"/>
        <w:right w:val="none" w:sz="0" w:space="0" w:color="auto"/>
      </w:divBdr>
    </w:div>
    <w:div w:id="279193618">
      <w:bodyDiv w:val="1"/>
      <w:marLeft w:val="0"/>
      <w:marRight w:val="0"/>
      <w:marTop w:val="0"/>
      <w:marBottom w:val="0"/>
      <w:divBdr>
        <w:top w:val="none" w:sz="0" w:space="0" w:color="auto"/>
        <w:left w:val="none" w:sz="0" w:space="0" w:color="auto"/>
        <w:bottom w:val="none" w:sz="0" w:space="0" w:color="auto"/>
        <w:right w:val="none" w:sz="0" w:space="0" w:color="auto"/>
      </w:divBdr>
    </w:div>
    <w:div w:id="324086818">
      <w:bodyDiv w:val="1"/>
      <w:marLeft w:val="0"/>
      <w:marRight w:val="0"/>
      <w:marTop w:val="0"/>
      <w:marBottom w:val="0"/>
      <w:divBdr>
        <w:top w:val="none" w:sz="0" w:space="0" w:color="auto"/>
        <w:left w:val="none" w:sz="0" w:space="0" w:color="auto"/>
        <w:bottom w:val="none" w:sz="0" w:space="0" w:color="auto"/>
        <w:right w:val="none" w:sz="0" w:space="0" w:color="auto"/>
      </w:divBdr>
    </w:div>
    <w:div w:id="533347378">
      <w:bodyDiv w:val="1"/>
      <w:marLeft w:val="0"/>
      <w:marRight w:val="0"/>
      <w:marTop w:val="0"/>
      <w:marBottom w:val="0"/>
      <w:divBdr>
        <w:top w:val="none" w:sz="0" w:space="0" w:color="auto"/>
        <w:left w:val="none" w:sz="0" w:space="0" w:color="auto"/>
        <w:bottom w:val="none" w:sz="0" w:space="0" w:color="auto"/>
        <w:right w:val="none" w:sz="0" w:space="0" w:color="auto"/>
      </w:divBdr>
    </w:div>
    <w:div w:id="662928320">
      <w:bodyDiv w:val="1"/>
      <w:marLeft w:val="0"/>
      <w:marRight w:val="0"/>
      <w:marTop w:val="0"/>
      <w:marBottom w:val="0"/>
      <w:divBdr>
        <w:top w:val="none" w:sz="0" w:space="0" w:color="auto"/>
        <w:left w:val="none" w:sz="0" w:space="0" w:color="auto"/>
        <w:bottom w:val="none" w:sz="0" w:space="0" w:color="auto"/>
        <w:right w:val="none" w:sz="0" w:space="0" w:color="auto"/>
      </w:divBdr>
    </w:div>
    <w:div w:id="727651242">
      <w:bodyDiv w:val="1"/>
      <w:marLeft w:val="0"/>
      <w:marRight w:val="0"/>
      <w:marTop w:val="0"/>
      <w:marBottom w:val="0"/>
      <w:divBdr>
        <w:top w:val="none" w:sz="0" w:space="0" w:color="auto"/>
        <w:left w:val="none" w:sz="0" w:space="0" w:color="auto"/>
        <w:bottom w:val="none" w:sz="0" w:space="0" w:color="auto"/>
        <w:right w:val="none" w:sz="0" w:space="0" w:color="auto"/>
      </w:divBdr>
    </w:div>
    <w:div w:id="963002160">
      <w:bodyDiv w:val="1"/>
      <w:marLeft w:val="0"/>
      <w:marRight w:val="0"/>
      <w:marTop w:val="0"/>
      <w:marBottom w:val="0"/>
      <w:divBdr>
        <w:top w:val="none" w:sz="0" w:space="0" w:color="auto"/>
        <w:left w:val="none" w:sz="0" w:space="0" w:color="auto"/>
        <w:bottom w:val="none" w:sz="0" w:space="0" w:color="auto"/>
        <w:right w:val="none" w:sz="0" w:space="0" w:color="auto"/>
      </w:divBdr>
    </w:div>
    <w:div w:id="1026756072">
      <w:bodyDiv w:val="1"/>
      <w:marLeft w:val="0"/>
      <w:marRight w:val="0"/>
      <w:marTop w:val="0"/>
      <w:marBottom w:val="0"/>
      <w:divBdr>
        <w:top w:val="none" w:sz="0" w:space="0" w:color="auto"/>
        <w:left w:val="none" w:sz="0" w:space="0" w:color="auto"/>
        <w:bottom w:val="none" w:sz="0" w:space="0" w:color="auto"/>
        <w:right w:val="none" w:sz="0" w:space="0" w:color="auto"/>
      </w:divBdr>
    </w:div>
    <w:div w:id="1070277160">
      <w:bodyDiv w:val="1"/>
      <w:marLeft w:val="0"/>
      <w:marRight w:val="0"/>
      <w:marTop w:val="0"/>
      <w:marBottom w:val="0"/>
      <w:divBdr>
        <w:top w:val="none" w:sz="0" w:space="0" w:color="auto"/>
        <w:left w:val="none" w:sz="0" w:space="0" w:color="auto"/>
        <w:bottom w:val="none" w:sz="0" w:space="0" w:color="auto"/>
        <w:right w:val="none" w:sz="0" w:space="0" w:color="auto"/>
      </w:divBdr>
    </w:div>
    <w:div w:id="1394540630">
      <w:bodyDiv w:val="1"/>
      <w:marLeft w:val="45"/>
      <w:marRight w:val="45"/>
      <w:marTop w:val="45"/>
      <w:marBottom w:val="45"/>
      <w:divBdr>
        <w:top w:val="none" w:sz="0" w:space="0" w:color="auto"/>
        <w:left w:val="none" w:sz="0" w:space="0" w:color="auto"/>
        <w:bottom w:val="none" w:sz="0" w:space="0" w:color="auto"/>
        <w:right w:val="none" w:sz="0" w:space="0" w:color="auto"/>
      </w:divBdr>
      <w:divsChild>
        <w:div w:id="619797095">
          <w:marLeft w:val="0"/>
          <w:marRight w:val="0"/>
          <w:marTop w:val="0"/>
          <w:marBottom w:val="75"/>
          <w:divBdr>
            <w:top w:val="none" w:sz="0" w:space="0" w:color="auto"/>
            <w:left w:val="none" w:sz="0" w:space="0" w:color="auto"/>
            <w:bottom w:val="none" w:sz="0" w:space="0" w:color="auto"/>
            <w:right w:val="none" w:sz="0" w:space="0" w:color="auto"/>
          </w:divBdr>
        </w:div>
      </w:divsChild>
    </w:div>
    <w:div w:id="1446804179">
      <w:bodyDiv w:val="1"/>
      <w:marLeft w:val="0"/>
      <w:marRight w:val="0"/>
      <w:marTop w:val="0"/>
      <w:marBottom w:val="0"/>
      <w:divBdr>
        <w:top w:val="none" w:sz="0" w:space="0" w:color="auto"/>
        <w:left w:val="none" w:sz="0" w:space="0" w:color="auto"/>
        <w:bottom w:val="none" w:sz="0" w:space="0" w:color="auto"/>
        <w:right w:val="none" w:sz="0" w:space="0" w:color="auto"/>
      </w:divBdr>
    </w:div>
    <w:div w:id="1713461690">
      <w:bodyDiv w:val="1"/>
      <w:marLeft w:val="0"/>
      <w:marRight w:val="0"/>
      <w:marTop w:val="0"/>
      <w:marBottom w:val="0"/>
      <w:divBdr>
        <w:top w:val="none" w:sz="0" w:space="0" w:color="auto"/>
        <w:left w:val="none" w:sz="0" w:space="0" w:color="auto"/>
        <w:bottom w:val="none" w:sz="0" w:space="0" w:color="auto"/>
        <w:right w:val="none" w:sz="0" w:space="0" w:color="auto"/>
      </w:divBdr>
    </w:div>
    <w:div w:id="21231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db.cept.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0C0AF-8C03-4013-832A-EE684F9A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9180</Characters>
  <Application>Microsoft Office Word</Application>
  <DocSecurity>0</DocSecurity>
  <Lines>76</Lines>
  <Paragraphs>21</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10769</CharactersWithSpaces>
  <SharedDoc>false</SharedDoc>
  <HLinks>
    <vt:vector size="30" baseType="variant">
      <vt:variant>
        <vt:i4>327755</vt:i4>
      </vt:variant>
      <vt:variant>
        <vt:i4>48</vt:i4>
      </vt:variant>
      <vt:variant>
        <vt:i4>0</vt:i4>
      </vt:variant>
      <vt:variant>
        <vt:i4>5</vt:i4>
      </vt:variant>
      <vt:variant>
        <vt:lpwstr>https://docdb.cept.org/document/3360</vt:lpwstr>
      </vt:variant>
      <vt:variant>
        <vt:lpwstr/>
      </vt:variant>
      <vt:variant>
        <vt:i4>131144</vt:i4>
      </vt:variant>
      <vt:variant>
        <vt:i4>45</vt:i4>
      </vt:variant>
      <vt:variant>
        <vt:i4>0</vt:i4>
      </vt:variant>
      <vt:variant>
        <vt:i4>5</vt:i4>
      </vt:variant>
      <vt:variant>
        <vt:lpwstr>https://docdb.cept.org/document/3357</vt:lpwstr>
      </vt:variant>
      <vt:variant>
        <vt:lpwstr/>
      </vt:variant>
      <vt:variant>
        <vt:i4>3473530</vt:i4>
      </vt:variant>
      <vt:variant>
        <vt:i4>42</vt:i4>
      </vt:variant>
      <vt:variant>
        <vt:i4>0</vt:i4>
      </vt:variant>
      <vt:variant>
        <vt:i4>5</vt:i4>
      </vt:variant>
      <vt:variant>
        <vt:lpwstr>https://docdb.cept.org/document/433</vt:lpwstr>
      </vt:variant>
      <vt:variant>
        <vt:lpwstr/>
      </vt:variant>
      <vt:variant>
        <vt:i4>2949226</vt:i4>
      </vt:variant>
      <vt:variant>
        <vt:i4>39</vt:i4>
      </vt:variant>
      <vt:variant>
        <vt:i4>0</vt:i4>
      </vt:variant>
      <vt:variant>
        <vt:i4>5</vt:i4>
      </vt:variant>
      <vt:variant>
        <vt:lpwstr>https://docdb.cept.org/</vt:lpwstr>
      </vt:variant>
      <vt:variant>
        <vt:lpwstr/>
      </vt:variant>
      <vt:variant>
        <vt:i4>196665</vt:i4>
      </vt:variant>
      <vt:variant>
        <vt:i4>0</vt:i4>
      </vt:variant>
      <vt:variant>
        <vt:i4>0</vt:i4>
      </vt:variant>
      <vt:variant>
        <vt:i4>5</vt:i4>
      </vt:variant>
      <vt:variant>
        <vt:lpwstr>\\ECOFILE1\Templates\ECOTEMPL\2012_Standard format -Templates for ECC\ECC Recommendation_January_2014.dotx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Recommendation (21)02</dc:title>
  <dc:subject>ECC Recommendation (21)02</dc:subject>
  <dc:creator>ECC</dc:creator>
  <cp:keywords>ECC Recommendation (21)02</cp:keywords>
  <dc:description/>
  <cp:lastModifiedBy>ECO</cp:lastModifiedBy>
  <cp:revision>2</cp:revision>
  <dcterms:created xsi:type="dcterms:W3CDTF">2021-11-12T10:41:00Z</dcterms:created>
  <dcterms:modified xsi:type="dcterms:W3CDTF">2021-11-12T10:41:00Z</dcterms:modified>
</cp:coreProperties>
</file>