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3D0" w:rsidRDefault="006C03D0"/>
    <w:p w:rsidR="006C03D0" w:rsidRPr="00025ACE" w:rsidRDefault="006C03D0" w:rsidP="006C03D0">
      <w:pPr>
        <w:jc w:val="center"/>
        <w:rPr>
          <w:lang w:val="en-GB"/>
        </w:rPr>
      </w:pPr>
    </w:p>
    <w:p w:rsidR="006C03D0" w:rsidRPr="00025ACE" w:rsidRDefault="006C03D0" w:rsidP="006C03D0">
      <w:pPr>
        <w:jc w:val="center"/>
        <w:rPr>
          <w:lang w:val="en-GB"/>
        </w:rPr>
      </w:pPr>
    </w:p>
    <w:p w:rsidR="006C03D0" w:rsidRPr="00025ACE" w:rsidRDefault="006C03D0" w:rsidP="006C03D0">
      <w:pPr>
        <w:rPr>
          <w:lang w:val="en-GB"/>
        </w:rPr>
      </w:pPr>
    </w:p>
    <w:p w:rsidR="006C03D0" w:rsidRPr="00025ACE" w:rsidRDefault="006C03D0" w:rsidP="006C03D0">
      <w:pPr>
        <w:rPr>
          <w:lang w:val="en-GB"/>
        </w:rPr>
      </w:pPr>
    </w:p>
    <w:p w:rsidR="006C03D0" w:rsidRPr="00025ACE" w:rsidRDefault="007C6571" w:rsidP="006C03D0">
      <w:pPr>
        <w:jc w:val="center"/>
        <w:rPr>
          <w:b/>
          <w:sz w:val="24"/>
          <w:lang w:val="en-GB"/>
        </w:rPr>
      </w:pPr>
      <w:r w:rsidRPr="00025ACE">
        <w:rPr>
          <w:b/>
          <w:noProof/>
          <w:sz w:val="24"/>
          <w:szCs w:val="20"/>
          <w:lang w:val="da-DK" w:eastAsia="da-DK"/>
        </w:rPr>
        <mc:AlternateContent>
          <mc:Choice Requires="wpg">
            <w:drawing>
              <wp:anchor distT="0" distB="0" distL="114300" distR="114300" simplePos="0" relativeHeight="251657216" behindDoc="0" locked="0" layoutInCell="1" allowOverlap="1" wp14:anchorId="34DA1451" wp14:editId="2D4A3175">
                <wp:simplePos x="0" y="0"/>
                <wp:positionH relativeFrom="column">
                  <wp:posOffset>-720090</wp:posOffset>
                </wp:positionH>
                <wp:positionV relativeFrom="paragraph">
                  <wp:posOffset>69850</wp:posOffset>
                </wp:positionV>
                <wp:extent cx="7564120" cy="8268970"/>
                <wp:effectExtent l="0" t="0" r="5080" b="0"/>
                <wp:wrapNone/>
                <wp:docPr id="2"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8268970"/>
                          <a:chOff x="0" y="2700"/>
                          <a:chExt cx="11912" cy="13022"/>
                        </a:xfrm>
                      </wpg:grpSpPr>
                      <wps:wsp>
                        <wps:cNvPr id="5" name="Rectangle 8"/>
                        <wps:cNvSpPr>
                          <a:spLocks noChangeArrowheads="1"/>
                        </wps:cNvSpPr>
                        <wps:spPr bwMode="auto">
                          <a:xfrm>
                            <a:off x="6" y="15439"/>
                            <a:ext cx="11906" cy="283"/>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6" name="Text Box 9"/>
                        <wps:cNvSpPr txBox="1">
                          <a:spLocks noChangeArrowheads="1"/>
                        </wps:cNvSpPr>
                        <wps:spPr bwMode="auto">
                          <a:xfrm>
                            <a:off x="0" y="2700"/>
                            <a:ext cx="11906" cy="2564"/>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4704" w:rsidRPr="00FE1795" w:rsidRDefault="00FA4704" w:rsidP="006C03D0">
                              <w:pPr>
                                <w:rPr>
                                  <w:color w:val="57433E"/>
                                  <w:sz w:val="68"/>
                                </w:rPr>
                              </w:pPr>
                              <w:r w:rsidRPr="00FE1795">
                                <w:rPr>
                                  <w:color w:val="FFFFFF"/>
                                  <w:sz w:val="68"/>
                                </w:rPr>
                                <w:t xml:space="preserve">ECC Decision </w:t>
                              </w:r>
                              <w:r w:rsidRPr="001E2FAA">
                                <w:rPr>
                                  <w:color w:val="887E6E"/>
                                  <w:sz w:val="68"/>
                                </w:rPr>
                                <w:t>(</w:t>
                              </w:r>
                              <w:r w:rsidR="00994B5E">
                                <w:rPr>
                                  <w:color w:val="887E6E"/>
                                  <w:sz w:val="68"/>
                                </w:rPr>
                                <w:t>04</w:t>
                              </w:r>
                              <w:r w:rsidRPr="001E2FAA">
                                <w:rPr>
                                  <w:color w:val="887E6E"/>
                                  <w:sz w:val="68"/>
                                </w:rPr>
                                <w:t>)</w:t>
                              </w:r>
                              <w:r w:rsidR="00994B5E">
                                <w:rPr>
                                  <w:color w:val="887E6E"/>
                                  <w:sz w:val="68"/>
                                </w:rPr>
                                <w:t>10</w:t>
                              </w:r>
                            </w:p>
                          </w:txbxContent>
                        </wps:txbx>
                        <wps:bodyPr rot="0" vert="horz" wrap="square" lIns="2880000" tIns="540000" rIns="72000" bIns="45720" anchor="t" anchorCtr="0" upright="1">
                          <a:noAutofit/>
                        </wps:bodyPr>
                      </wps:wsp>
                      <wpg:grpSp>
                        <wpg:cNvPr id="7" name="Group 26"/>
                        <wpg:cNvGrpSpPr>
                          <a:grpSpLocks/>
                        </wpg:cNvGrpSpPr>
                        <wpg:grpSpPr bwMode="auto">
                          <a:xfrm>
                            <a:off x="1739" y="3125"/>
                            <a:ext cx="1735" cy="1735"/>
                            <a:chOff x="954" y="3125"/>
                            <a:chExt cx="1735" cy="1735"/>
                          </a:xfrm>
                        </wpg:grpSpPr>
                        <wps:wsp>
                          <wps:cNvPr id="8" name="Rectangle 24"/>
                          <wps:cNvSpPr>
                            <a:spLocks noChangeAspect="1" noChangeArrowheads="1"/>
                          </wps:cNvSpPr>
                          <wps:spPr bwMode="auto">
                            <a:xfrm rot="2700000">
                              <a:off x="954" y="3125"/>
                              <a:ext cx="1735" cy="1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9" name="Rectangle 25"/>
                          <wps:cNvSpPr>
                            <a:spLocks noChangeAspect="1" noChangeArrowheads="1"/>
                          </wps:cNvSpPr>
                          <wps:spPr bwMode="auto">
                            <a:xfrm rot="2700000">
                              <a:off x="1241" y="3444"/>
                              <a:ext cx="1126" cy="1126"/>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8" o:spid="_x0000_s1026" style="position:absolute;left:0;text-align:left;margin-left:-56.7pt;margin-top:5.5pt;width:595.6pt;height:651.1pt;z-index:251657216" coordorigin=",2700" coordsize="11912,1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cSTBAQAAAkSAAAOAAAAZHJzL2Uyb0RvYy54bWzsWNuOo0YQfY+Uf2j1u8eAwTZomNXcPIo0&#10;SVbZzQe0obkoQJNuPHgS5d9TVQ2+bpTNZjabKOMHm6YvVJ2qc6rM5ZttXbEnqU2pmpi7Fw5nsklU&#10;WjZ5zH98v5osOTOdaFJRqUbG/Fka/ubq668u+zaSnipUlUrN4JDGRH0b86Lr2mg6NUkha2EuVCsb&#10;mMyUrkUHQ51PUy16OL2upp7jzKe90mmrVSKNgbt3dpJf0flZJpPu+ywzsmNVzMG2jr41fa/xe3p1&#10;KaJci7Yok8EM8QlW1KJs4KG7o+5EJ9hGl2dH1WWilVFZd5GoeqqyrEwk+QDeuM6JNw9abVryJY/6&#10;vN3BBNCe4PTJxybfPb3VrExj7nHWiBpCRE9l3hKx6ds8giUPun3XvtXWQbh8VMlPBqanp/M4zu1i&#10;tu6/VSmcJzadImy2ma7xCPCabSkEz7sQyG3HEri5COa+60GkEphbevNluBiClBQQyf0+b+HsJu6H&#10;za4buuAGbnVnjuehB1MR2eeSrYNt6Bjkm9lDav4epO8K0UqKlEG8BkiDEdIfIA9Fk1eSDajSqhFS&#10;Y/FkjbotYJW81lr1hRQpGOWSD2gtHGs34MBANP4U4DlniETgz0Kb5yPIgJMDk4iTt5wdoSSiVpvu&#10;Qaqa4UXMNZhO0RNPj6azgI5LMJhGVWW6KquKBjpf31aaPQmg253nzbzr4fSjZVWDixuF2+yJ9g7Y&#10;B8/AObSU6PMrRNR3brxwspovFxN/5QcTSInlxHHDm3Du+KF/t/oNDXT9qCjTVDaPZSNHKrv+x8V1&#10;EBVLQiIz62MeBl5Avh9Zbw6ddOjzISfrsgNlq8oa8ni3SEQY1/smBbdF1ImystfTY/MpbQGD8ZdQ&#10;gQS2gbfZu1bpMySBVhAk4AtoMFwUSv/CWQ96FnPz80ZoyVn1TQOJFLq+jwJIg8BHizjTNFqAkMJg&#10;TQM/gCFnokngrJh34+VtZ1Vz0+oyL+BRLiHTqGugd1ZSZqCB1iySBmLYP0Q1SGerXu8xdW7UllHO&#10;HxCHdVu4Pdr9uTgH0CGrduKE1qCuHVIOJO6Vc3Is5P8lznXb9RaYu8/zj6aftyQR+EIEHIoyWk71&#10;fKhPi5E0Q8mfY1qelnTsaV6q5LsLKEVIkJkLykoauCPIYgblkko3XtHcruSHgX+yLSnuR2adbfyS&#10;JR/aXatD+5LvEdsPlAil/0x/TAuFFtXpZdoAm5ioQ6jt+MSh6zqH8o8jsAPyBbuCFX0G/Tuqq69d&#10;wWtXcPjf7y/9p/lwAw5ic8ZG0pZ/CxuhuQXGoyD6PsmEbX1tx+ANPbrrwhUI4uegY7DwZ7P7Vzr+&#10;35v0/b9jat3pfQNl3PBuBF9oHI5p1f4NztXvAAAA//8DAFBLAwQUAAYACAAAACEAWFow+uIAAAAN&#10;AQAADwAAAGRycy9kb3ducmV2LnhtbEyPQUvDQBCF74L/YRnBW7vZRq3EbEop6qkItoJ422anSWh2&#10;NmS3SfrvnZ70No/38ea9fDW5VgzYh8aTBjVPQCCV3jZUafjav82eQYRoyJrWE2q4YIBVcXuTm8z6&#10;kT5x2MVKcAiFzGioY+wyKUNZozNh7jsk9o6+dyay7CtpezNyuGvlIkmepDMN8YfadLipsTztzk7D&#10;+2jGdapeh+3puLn87B8/vrcKtb6/m9YvICJO8Q+Ga32uDgV3Ovgz2SBaDTOl0gdm2VE86kokyyWv&#10;OfCVqnQBssjl/xXFLwAAAP//AwBQSwECLQAUAAYACAAAACEAtoM4kv4AAADhAQAAEwAAAAAAAAAA&#10;AAAAAAAAAAAAW0NvbnRlbnRfVHlwZXNdLnhtbFBLAQItABQABgAIAAAAIQA4/SH/1gAAAJQBAAAL&#10;AAAAAAAAAAAAAAAAAC8BAABfcmVscy8ucmVsc1BLAQItABQABgAIAAAAIQBZucSTBAQAAAkSAAAO&#10;AAAAAAAAAAAAAAAAAC4CAABkcnMvZTJvRG9jLnhtbFBLAQItABQABgAIAAAAIQBYWjD64gAAAA0B&#10;AAAPAAAAAAAAAAAAAAAAAF4GAABkcnMvZG93bnJldi54bWxQSwUGAAAAAAQABADzAAAAbQcAAAAA&#10;">
                <v:rect id="Rectangle 8" o:spid="_x0000_s1027" style="position:absolute;left:6;top:15439;width:11906;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QNiMQA&#10;AADaAAAADwAAAGRycy9kb3ducmV2LnhtbESPQWvCQBSE70L/w/KEXkLdtMUg0VWKIObYJnro7ZF9&#10;JsHs2zS7JvHfu4VCj8PMfMNsdpNpxUC9aywreF3EIIhLqxuuFJyKw8sKhPPIGlvLpOBODnbbp9kG&#10;U21H/qIh95UIEHYpKqi971IpXVmTQbewHXHwLrY36IPsK6l7HAPctPItjhNpsOGwUGNH+5rKa34z&#10;ClbJzznJks9mXxyjqLj57PvdZEo9z6ePNQhPk/8P/7UzrWAJv1fCDZDb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0DYjEAAAA2gAAAA8AAAAAAAAAAAAAAAAAmAIAAGRycy9k&#10;b3ducmV2LnhtbFBLBQYAAAAABAAEAPUAAACJAwAAAAA=&#10;" fillcolor="#d2232a" stroked="f">
                  <v:textbox inset=",15mm,2mm"/>
                </v:rect>
                <v:shapetype id="_x0000_t202" coordsize="21600,21600" o:spt="202" path="m,l,21600r21600,l21600,xe">
                  <v:stroke joinstyle="miter"/>
                  <v:path gradientshapeok="t" o:connecttype="rect"/>
                </v:shapetype>
                <v:shape id="Text Box 9" o:spid="_x0000_s1028" type="#_x0000_t202" style="position:absolute;top:2700;width:11906;height:2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rnf8MA&#10;AADaAAAADwAAAGRycy9kb3ducmV2LnhtbESPT2vCQBTE7wW/w/IEb3UTCaGmriKKIB4s8c+ht0f2&#10;NQnNvg3Z1cRv7wqFHoeZ+Q2zWA2mEXfqXG1ZQTyNQBAXVtdcKricd+8fIJxH1thYJgUPcrBajt4W&#10;mGnbc073ky9FgLDLUEHlfZtJ6YqKDLqpbYmD92M7gz7IrpS6wz7ATSNnUZRKgzWHhQpb2lRU/J5u&#10;RgHm34djsm3282TztSvjOkZJV6Um42H9CcLT4P/Df+29VpDC60q4AXL5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9rnf8MAAADaAAAADwAAAAAAAAAAAAAAAACYAgAAZHJzL2Rv&#10;d25yZXYueG1sUEsFBgAAAAAEAAQA9QAAAIgDAAAAAA==&#10;" fillcolor="#d2232a" stroked="f">
                  <v:textbox inset="80mm,15mm,2mm">
                    <w:txbxContent>
                      <w:p w:rsidR="00FA4704" w:rsidRPr="00FE1795" w:rsidRDefault="00FA4704" w:rsidP="006C03D0">
                        <w:pPr>
                          <w:rPr>
                            <w:color w:val="57433E"/>
                            <w:sz w:val="68"/>
                          </w:rPr>
                        </w:pPr>
                        <w:r w:rsidRPr="00FE1795">
                          <w:rPr>
                            <w:color w:val="FFFFFF"/>
                            <w:sz w:val="68"/>
                          </w:rPr>
                          <w:t xml:space="preserve">ECC Decision </w:t>
                        </w:r>
                        <w:r w:rsidRPr="001E2FAA">
                          <w:rPr>
                            <w:color w:val="887E6E"/>
                            <w:sz w:val="68"/>
                          </w:rPr>
                          <w:t>(</w:t>
                        </w:r>
                        <w:r w:rsidR="00994B5E">
                          <w:rPr>
                            <w:color w:val="887E6E"/>
                            <w:sz w:val="68"/>
                          </w:rPr>
                          <w:t>04</w:t>
                        </w:r>
                        <w:r w:rsidRPr="001E2FAA">
                          <w:rPr>
                            <w:color w:val="887E6E"/>
                            <w:sz w:val="68"/>
                          </w:rPr>
                          <w:t>)</w:t>
                        </w:r>
                        <w:r w:rsidR="00994B5E">
                          <w:rPr>
                            <w:color w:val="887E6E"/>
                            <w:sz w:val="68"/>
                          </w:rPr>
                          <w:t>10</w:t>
                        </w:r>
                      </w:p>
                    </w:txbxContent>
                  </v:textbox>
                </v:shape>
                <v:group id="Group 26" o:spid="_x0000_s1029" style="position:absolute;left:1739;top:3125;width:1735;height:1735" coordorigin="954,3125" coordsize="1735,17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ect id="Rectangle 24" o:spid="_x0000_s1030" style="position:absolute;left:954;top:3125;width:1735;height:1735;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7aGsAA&#10;AADaAAAADwAAAGRycy9kb3ducmV2LnhtbERPTYvCMBC9L/gfwgheFk31sCvVtIgiFvGiu+p1aMa2&#10;2ExKE23995uDsMfH+16mvanFk1pXWVYwnUQgiHOrKy4U/P5sx3MQziNrrC2Tghc5SJPBxxJjbTs+&#10;0vPkCxFC2MWooPS+iaV0eUkG3cQ2xIG72dagD7AtpG6xC+GmlrMo+pIGKw4NJTa0Lim/nx5GQbRb&#10;7z+zfn45Z92DqDvy92FzVWo07FcLEJ56/y9+uzOtIGwNV8INkM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E7aGsAAAADaAAAADwAAAAAAAAAAAAAAAACYAgAAZHJzL2Rvd25y&#10;ZXYueG1sUEsFBgAAAAAEAAQA9QAAAIUDAAAAAA==&#10;" stroked="f">
                    <o:lock v:ext="edit" aspectratio="t"/>
                    <v:textbox inset=",15mm,2mm"/>
                  </v:rect>
                  <v:rect id="Rectangle 25" o:spid="_x0000_s1031" style="position:absolute;left:1241;top:3444;width:1126;height:1126;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fkDsEA&#10;AADaAAAADwAAAGRycy9kb3ducmV2LnhtbESPQYvCMBSE7wv+h/AEL4umq6xobSqyIHhbtCJ4ezTP&#10;trR5qU3U+u83grDHYWa+YZJ1bxpxp85VlhV8TSIQxLnVFRcKjtl2vADhPLLGxjIpeJKDdTr4SDDW&#10;9sF7uh98IQKEXYwKSu/bWEqXl2TQTWxLHLyL7Qz6ILtC6g4fAW4aOY2iuTRYcVgosaWfkvL6cDMK&#10;iL5ni2zaZMjn62dd69Pul4xSo2G/WYHw1Pv/8Lu90wqW8LoSboB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4X5A7BAAAA2gAAAA8AAAAAAAAAAAAAAAAAmAIAAGRycy9kb3du&#10;cmV2LnhtbFBLBQYAAAAABAAEAPUAAACGAwAAAAA=&#10;" fillcolor="#57433e" stroked="f">
                    <o:lock v:ext="edit" aspectratio="t"/>
                    <v:textbox inset=",15mm,2mm"/>
                  </v:rect>
                </v:group>
              </v:group>
            </w:pict>
          </mc:Fallback>
        </mc:AlternateContent>
      </w:r>
    </w:p>
    <w:p w:rsidR="006C03D0" w:rsidRPr="00025ACE" w:rsidRDefault="006C03D0" w:rsidP="006C03D0">
      <w:pPr>
        <w:jc w:val="center"/>
        <w:rPr>
          <w:b/>
          <w:sz w:val="24"/>
          <w:lang w:val="en-GB"/>
        </w:rPr>
      </w:pPr>
    </w:p>
    <w:p w:rsidR="006C03D0" w:rsidRPr="00025ACE" w:rsidRDefault="006C03D0" w:rsidP="006C03D0">
      <w:pPr>
        <w:jc w:val="center"/>
        <w:rPr>
          <w:b/>
          <w:sz w:val="24"/>
          <w:lang w:val="en-GB"/>
        </w:rPr>
      </w:pPr>
    </w:p>
    <w:p w:rsidR="006C03D0" w:rsidRPr="00025ACE" w:rsidRDefault="006C03D0" w:rsidP="006C03D0">
      <w:pPr>
        <w:jc w:val="center"/>
        <w:rPr>
          <w:b/>
          <w:sz w:val="24"/>
          <w:lang w:val="en-GB"/>
        </w:rPr>
      </w:pPr>
    </w:p>
    <w:p w:rsidR="006C03D0" w:rsidRPr="00025ACE" w:rsidRDefault="006C03D0" w:rsidP="006C03D0">
      <w:pPr>
        <w:jc w:val="center"/>
        <w:rPr>
          <w:b/>
          <w:sz w:val="24"/>
          <w:lang w:val="en-GB"/>
        </w:rPr>
      </w:pPr>
    </w:p>
    <w:p w:rsidR="006C03D0" w:rsidRPr="00025ACE" w:rsidRDefault="006C03D0" w:rsidP="006C03D0">
      <w:pPr>
        <w:jc w:val="center"/>
        <w:rPr>
          <w:b/>
          <w:sz w:val="24"/>
          <w:lang w:val="en-GB"/>
        </w:rPr>
      </w:pPr>
    </w:p>
    <w:p w:rsidR="006C03D0" w:rsidRPr="00025ACE" w:rsidRDefault="006C03D0" w:rsidP="006C03D0">
      <w:pPr>
        <w:jc w:val="center"/>
        <w:rPr>
          <w:b/>
          <w:sz w:val="24"/>
          <w:lang w:val="en-GB"/>
        </w:rPr>
      </w:pPr>
    </w:p>
    <w:p w:rsidR="006C03D0" w:rsidRPr="00025ACE" w:rsidRDefault="006C03D0" w:rsidP="006C03D0">
      <w:pPr>
        <w:jc w:val="center"/>
        <w:rPr>
          <w:b/>
          <w:sz w:val="24"/>
          <w:lang w:val="en-GB"/>
        </w:rPr>
      </w:pPr>
    </w:p>
    <w:p w:rsidR="006C03D0" w:rsidRPr="00025ACE" w:rsidRDefault="006C03D0" w:rsidP="006C03D0">
      <w:pPr>
        <w:jc w:val="center"/>
        <w:rPr>
          <w:b/>
          <w:sz w:val="24"/>
          <w:lang w:val="en-GB"/>
        </w:rPr>
      </w:pPr>
    </w:p>
    <w:p w:rsidR="006C03D0" w:rsidRPr="00025ACE" w:rsidRDefault="006C03D0" w:rsidP="006C03D0">
      <w:pPr>
        <w:jc w:val="center"/>
        <w:rPr>
          <w:b/>
          <w:sz w:val="24"/>
          <w:lang w:val="en-GB"/>
        </w:rPr>
      </w:pPr>
    </w:p>
    <w:p w:rsidR="006C03D0" w:rsidRPr="00025ACE" w:rsidRDefault="006C03D0" w:rsidP="006C03D0">
      <w:pPr>
        <w:jc w:val="center"/>
        <w:rPr>
          <w:b/>
          <w:sz w:val="24"/>
          <w:lang w:val="en-GB"/>
        </w:rPr>
      </w:pPr>
    </w:p>
    <w:p w:rsidR="006C03D0" w:rsidRPr="00025ACE" w:rsidRDefault="006C03D0" w:rsidP="006C03D0">
      <w:pPr>
        <w:rPr>
          <w:b/>
          <w:sz w:val="24"/>
          <w:lang w:val="en-GB"/>
        </w:rPr>
      </w:pPr>
    </w:p>
    <w:p w:rsidR="006C03D0" w:rsidRPr="00025ACE" w:rsidRDefault="0056450F" w:rsidP="006C03D0">
      <w:pPr>
        <w:pStyle w:val="Reporttitledescription"/>
        <w:rPr>
          <w:color w:val="auto"/>
          <w:lang w:val="en-GB"/>
        </w:rPr>
      </w:pPr>
      <w:r w:rsidRPr="00025ACE">
        <w:rPr>
          <w:color w:val="auto"/>
          <w:lang w:val="en-GB"/>
        </w:rPr>
        <w:fldChar w:fldCharType="begin">
          <w:ffData>
            <w:name w:val="Text7"/>
            <w:enabled/>
            <w:calcOnExit w:val="0"/>
            <w:textInput>
              <w:default w:val="The frequency bands to be designated for the temporary introduction of Automotive Short Range Radars (SRR)   "/>
            </w:textInput>
          </w:ffData>
        </w:fldChar>
      </w:r>
      <w:bookmarkStart w:id="0" w:name="Text7"/>
      <w:r w:rsidRPr="00025ACE">
        <w:rPr>
          <w:color w:val="auto"/>
          <w:lang w:val="en-GB"/>
        </w:rPr>
        <w:instrText xml:space="preserve"> FORMTEXT </w:instrText>
      </w:r>
      <w:r w:rsidRPr="00025ACE">
        <w:rPr>
          <w:color w:val="auto"/>
          <w:lang w:val="en-GB"/>
        </w:rPr>
      </w:r>
      <w:r w:rsidRPr="00025ACE">
        <w:rPr>
          <w:color w:val="auto"/>
          <w:lang w:val="en-GB"/>
        </w:rPr>
        <w:fldChar w:fldCharType="separate"/>
      </w:r>
      <w:r w:rsidRPr="00025ACE">
        <w:rPr>
          <w:color w:val="auto"/>
          <w:lang w:val="en-GB"/>
        </w:rPr>
        <w:t>The frequency bands to be designated for the temporary introduction of Automotive Short Range Radars (SRR)</w:t>
      </w:r>
      <w:r w:rsidRPr="00025ACE">
        <w:rPr>
          <w:rStyle w:val="FootnoteReference"/>
          <w:color w:val="auto"/>
          <w:lang w:val="en-GB"/>
        </w:rPr>
        <w:footnoteReference w:id="1"/>
      </w:r>
      <w:r w:rsidRPr="00025ACE">
        <w:rPr>
          <w:color w:val="auto"/>
          <w:lang w:val="en-GB"/>
        </w:rPr>
        <w:t xml:space="preserve">   </w:t>
      </w:r>
      <w:r w:rsidRPr="00025ACE">
        <w:rPr>
          <w:color w:val="auto"/>
          <w:lang w:val="en-GB"/>
        </w:rPr>
        <w:fldChar w:fldCharType="end"/>
      </w:r>
      <w:bookmarkEnd w:id="0"/>
      <w:r w:rsidR="005F7AD5" w:rsidRPr="00025ACE">
        <w:rPr>
          <w:color w:val="auto"/>
          <w:lang w:val="en-GB"/>
        </w:rPr>
        <w:t xml:space="preserve"> </w:t>
      </w:r>
    </w:p>
    <w:p w:rsidR="006C03D0" w:rsidRPr="00025ACE" w:rsidRDefault="0056450F" w:rsidP="006C03D0">
      <w:pPr>
        <w:pStyle w:val="Reporttitledescription"/>
        <w:rPr>
          <w:b/>
          <w:color w:val="auto"/>
          <w:sz w:val="18"/>
          <w:lang w:val="en-GB"/>
        </w:rPr>
      </w:pPr>
      <w:r w:rsidRPr="00025ACE">
        <w:rPr>
          <w:b/>
          <w:color w:val="auto"/>
          <w:sz w:val="18"/>
          <w:lang w:val="en-GB"/>
        </w:rPr>
        <w:fldChar w:fldCharType="begin">
          <w:ffData>
            <w:name w:val="Text8"/>
            <w:enabled/>
            <w:calcOnExit w:val="0"/>
            <w:textInput>
              <w:default w:val="Approved 12 November 2004"/>
            </w:textInput>
          </w:ffData>
        </w:fldChar>
      </w:r>
      <w:r w:rsidRPr="00025ACE">
        <w:rPr>
          <w:b/>
          <w:color w:val="auto"/>
          <w:sz w:val="18"/>
          <w:lang w:val="en-GB"/>
        </w:rPr>
        <w:instrText xml:space="preserve"> FORMTEXT </w:instrText>
      </w:r>
      <w:r w:rsidRPr="00025ACE">
        <w:rPr>
          <w:b/>
          <w:color w:val="auto"/>
          <w:sz w:val="18"/>
          <w:lang w:val="en-GB"/>
        </w:rPr>
      </w:r>
      <w:r w:rsidRPr="00025ACE">
        <w:rPr>
          <w:b/>
          <w:color w:val="auto"/>
          <w:sz w:val="18"/>
          <w:lang w:val="en-GB"/>
        </w:rPr>
        <w:fldChar w:fldCharType="separate"/>
      </w:r>
      <w:r w:rsidRPr="00025ACE">
        <w:rPr>
          <w:b/>
          <w:color w:val="auto"/>
          <w:sz w:val="18"/>
          <w:lang w:val="en-GB"/>
        </w:rPr>
        <w:t>Approved 12 November 2004</w:t>
      </w:r>
      <w:r w:rsidRPr="00025ACE">
        <w:rPr>
          <w:b/>
          <w:color w:val="auto"/>
          <w:sz w:val="18"/>
          <w:lang w:val="en-GB"/>
        </w:rPr>
        <w:fldChar w:fldCharType="end"/>
      </w:r>
    </w:p>
    <w:p w:rsidR="00171A2E" w:rsidRPr="00025ACE" w:rsidRDefault="00171A2E" w:rsidP="00BF72B2">
      <w:pPr>
        <w:pStyle w:val="Lastupdated"/>
        <w:rPr>
          <w:b/>
          <w:lang w:val="en-GB"/>
        </w:rPr>
      </w:pPr>
      <w:r>
        <w:rPr>
          <w:b/>
          <w:lang w:val="en-GB"/>
        </w:rPr>
        <w:fldChar w:fldCharType="begin">
          <w:ffData>
            <w:name w:val=""/>
            <w:enabled/>
            <w:calcOnExit w:val="0"/>
            <w:textInput>
              <w:default w:val="Updated 02 March 2018"/>
            </w:textInput>
          </w:ffData>
        </w:fldChar>
      </w:r>
      <w:r>
        <w:rPr>
          <w:b/>
          <w:lang w:val="en-GB"/>
        </w:rPr>
        <w:instrText xml:space="preserve"> FORMTEXT </w:instrText>
      </w:r>
      <w:r>
        <w:rPr>
          <w:b/>
          <w:lang w:val="en-GB"/>
        </w:rPr>
      </w:r>
      <w:r>
        <w:rPr>
          <w:b/>
          <w:lang w:val="en-GB"/>
        </w:rPr>
        <w:fldChar w:fldCharType="separate"/>
      </w:r>
      <w:r>
        <w:rPr>
          <w:b/>
          <w:noProof/>
          <w:lang w:val="en-GB"/>
        </w:rPr>
        <w:t>Updated 02 March 2018</w:t>
      </w:r>
      <w:r>
        <w:rPr>
          <w:b/>
          <w:lang w:val="en-GB"/>
        </w:rPr>
        <w:fldChar w:fldCharType="end"/>
      </w:r>
    </w:p>
    <w:p w:rsidR="00BF72B2" w:rsidRPr="00025ACE" w:rsidRDefault="00BF72B2" w:rsidP="006C03D0">
      <w:pPr>
        <w:pStyle w:val="Lastupdated"/>
        <w:rPr>
          <w:b/>
          <w:lang w:val="en-GB"/>
        </w:rPr>
      </w:pPr>
    </w:p>
    <w:p w:rsidR="006C03D0" w:rsidRPr="00025ACE" w:rsidRDefault="005F7AD5" w:rsidP="006C03D0">
      <w:pPr>
        <w:pStyle w:val="Heading1"/>
      </w:pPr>
      <w:r w:rsidRPr="00025ACE">
        <w:lastRenderedPageBreak/>
        <w:t>explanatory memorandum</w:t>
      </w:r>
    </w:p>
    <w:p w:rsidR="006C03D0" w:rsidRPr="00025ACE" w:rsidRDefault="005F7AD5" w:rsidP="006C03D0">
      <w:pPr>
        <w:pStyle w:val="Heading2"/>
        <w:rPr>
          <w:lang w:val="en-GB"/>
        </w:rPr>
      </w:pPr>
      <w:r w:rsidRPr="00025ACE">
        <w:rPr>
          <w:lang w:val="en-GB"/>
        </w:rPr>
        <w:t>INTRODUCTION</w:t>
      </w:r>
    </w:p>
    <w:p w:rsidR="0056450F" w:rsidRPr="00025ACE" w:rsidRDefault="0056450F" w:rsidP="0056450F">
      <w:pPr>
        <w:pStyle w:val="ECCParagraph"/>
      </w:pPr>
      <w:r w:rsidRPr="00025ACE">
        <w:t>Within Europe, there were and there are still proposals to improve road safety by using new information communications technologies, including building a European strategy to accelerate the research and development, deployment and use of intelligent road safety systems such as Automotive Short Range Radars (SRR).</w:t>
      </w:r>
    </w:p>
    <w:p w:rsidR="0056450F" w:rsidRPr="00025ACE" w:rsidRDefault="0056450F" w:rsidP="0056450F">
      <w:pPr>
        <w:pStyle w:val="ECCParagraph"/>
      </w:pPr>
      <w:r w:rsidRPr="00025ACE">
        <w:t>SRR systems will be an essential element of a future transport infrastructure for Europe</w:t>
      </w:r>
      <w:r w:rsidR="00A65007" w:rsidRPr="00025ACE">
        <w:t>,</w:t>
      </w:r>
      <w:r w:rsidRPr="00025ACE">
        <w:t xml:space="preserve"> and in particular contribute to the long term goal of the European Commission </w:t>
      </w:r>
      <w:r w:rsidRPr="00025ACE">
        <w:rPr>
          <w:i/>
        </w:rPr>
        <w:t>e-</w:t>
      </w:r>
      <w:r w:rsidRPr="00025ACE">
        <w:t>safety initiative.</w:t>
      </w:r>
    </w:p>
    <w:p w:rsidR="0056450F" w:rsidRPr="00025ACE" w:rsidRDefault="0056450F" w:rsidP="0056450F">
      <w:pPr>
        <w:pStyle w:val="ECCParagraph"/>
      </w:pPr>
      <w:r w:rsidRPr="00025ACE">
        <w:t>To support a quick development and deployment of SRR systems within a trans-European road network, it is essential that common frequency bands and associated harmonised equipment standards be available throughout CEPT as soon as possible.</w:t>
      </w:r>
    </w:p>
    <w:p w:rsidR="0056450F" w:rsidRPr="00025ACE" w:rsidRDefault="0056450F" w:rsidP="0056450F">
      <w:pPr>
        <w:pStyle w:val="ECCParagraph"/>
      </w:pPr>
      <w:r w:rsidRPr="00025ACE">
        <w:t>It has to be noted that this ECC Decision is part of a "package solution" implying regulatory and legal provisions to be adopted by both CEPT and the European Commission.</w:t>
      </w:r>
    </w:p>
    <w:p w:rsidR="006C03D0" w:rsidRPr="00025ACE" w:rsidRDefault="005F7AD5" w:rsidP="006C03D0">
      <w:pPr>
        <w:pStyle w:val="Heading2"/>
        <w:rPr>
          <w:lang w:val="en-GB"/>
        </w:rPr>
      </w:pPr>
      <w:r w:rsidRPr="00025ACE">
        <w:rPr>
          <w:lang w:val="en-GB"/>
        </w:rPr>
        <w:t xml:space="preserve">BACKGROUND </w:t>
      </w:r>
    </w:p>
    <w:p w:rsidR="0056450F" w:rsidRPr="00025ACE" w:rsidRDefault="00BF72B2" w:rsidP="006219F1">
      <w:pPr>
        <w:pStyle w:val="ECCParagraph"/>
      </w:pPr>
      <w:r w:rsidRPr="00025ACE">
        <w:rPr>
          <w:rFonts w:cs="Arial"/>
        </w:rPr>
        <w:t xml:space="preserve">To meet the requirement for a permanent, long term solution for SRR equipment the frequency band 77-81 </w:t>
      </w:r>
      <w:r w:rsidR="0056450F" w:rsidRPr="00025ACE">
        <w:t>GHz has been designated (ECC/DEC/(04)03 of 19 March 2004). The 79 GHz SRR technology was not available at affordable prices for mass production in the point of time when ECC/DEC</w:t>
      </w:r>
      <w:proofErr w:type="gramStart"/>
      <w:r w:rsidR="0056450F" w:rsidRPr="00025ACE">
        <w:t>/(</w:t>
      </w:r>
      <w:proofErr w:type="gramEnd"/>
      <w:r w:rsidR="0056450F" w:rsidRPr="00025ACE">
        <w:t>04)03 was adopted. Therefore, in order to meet an early introduction of SRR applications in Europe, the temporary use of a 5</w:t>
      </w:r>
      <w:r w:rsidR="004D1300">
        <w:t> </w:t>
      </w:r>
      <w:r w:rsidR="0056450F" w:rsidRPr="00025ACE">
        <w:t>GHz wide band centred around 24 GHz, hereinafter referred to as the ‘24 GHz range’, was considered as this particular frequency range provides for immediate cost effective solutions.</w:t>
      </w:r>
    </w:p>
    <w:p w:rsidR="0056450F" w:rsidRPr="00025ACE" w:rsidRDefault="0056450F" w:rsidP="006219F1">
      <w:pPr>
        <w:pStyle w:val="ECCParagraph"/>
      </w:pPr>
      <w:r w:rsidRPr="00025ACE">
        <w:t>However, the 24 GHz frequency range is already heavily used in Europe for a wide range of applications that all represent, at different levels, critical national or European services and/or wide economic interests and for which very substantial existing long-term investments have been and are to be made.</w:t>
      </w:r>
    </w:p>
    <w:p w:rsidR="0056450F" w:rsidRPr="00025ACE" w:rsidRDefault="0056450F" w:rsidP="006219F1">
      <w:pPr>
        <w:pStyle w:val="ECCParagraph"/>
      </w:pPr>
      <w:r w:rsidRPr="00025ACE">
        <w:t xml:space="preserve">Compatibility studies with these services (mainly </w:t>
      </w:r>
      <w:r w:rsidR="00D41D1B" w:rsidRPr="00025ACE">
        <w:t>f</w:t>
      </w:r>
      <w:r w:rsidRPr="00025ACE">
        <w:t xml:space="preserve">ixed </w:t>
      </w:r>
      <w:r w:rsidR="00D41D1B" w:rsidRPr="00025ACE">
        <w:t>s</w:t>
      </w:r>
      <w:r w:rsidRPr="00025ACE">
        <w:t xml:space="preserve">ervice, </w:t>
      </w:r>
      <w:r w:rsidR="00D41D1B" w:rsidRPr="00025ACE">
        <w:t>r</w:t>
      </w:r>
      <w:r w:rsidRPr="00025ACE">
        <w:t xml:space="preserve">adio </w:t>
      </w:r>
      <w:r w:rsidR="00D41D1B" w:rsidRPr="00025ACE">
        <w:t>a</w:t>
      </w:r>
      <w:r w:rsidRPr="00025ACE">
        <w:t xml:space="preserve">stronomy </w:t>
      </w:r>
      <w:r w:rsidR="00D41D1B" w:rsidRPr="00025ACE">
        <w:t>s</w:t>
      </w:r>
      <w:r w:rsidRPr="00025ACE">
        <w:t xml:space="preserve">ervice and </w:t>
      </w:r>
      <w:r w:rsidR="00D41D1B" w:rsidRPr="00025ACE">
        <w:t>e</w:t>
      </w:r>
      <w:r w:rsidRPr="00025ACE">
        <w:t xml:space="preserve">arth </w:t>
      </w:r>
      <w:r w:rsidR="00D41D1B" w:rsidRPr="00025ACE">
        <w:t>e</w:t>
      </w:r>
      <w:r w:rsidRPr="00025ACE">
        <w:t>xploration-</w:t>
      </w:r>
      <w:r w:rsidR="00D41D1B" w:rsidRPr="00025ACE">
        <w:t>s</w:t>
      </w:r>
      <w:r w:rsidRPr="00025ACE">
        <w:t xml:space="preserve">atellite </w:t>
      </w:r>
      <w:r w:rsidR="00D41D1B" w:rsidRPr="00025ACE">
        <w:t>s</w:t>
      </w:r>
      <w:r w:rsidRPr="00025ACE">
        <w:t>ervice) conducted within CEPT and described in ECC Report 023 concluded that the deployment of 24 GHz SRR is not feasible in the long term.</w:t>
      </w:r>
    </w:p>
    <w:p w:rsidR="0056450F" w:rsidRPr="00025ACE" w:rsidRDefault="0056450F" w:rsidP="006219F1">
      <w:pPr>
        <w:pStyle w:val="ECCParagraph"/>
      </w:pPr>
      <w:r w:rsidRPr="00025ACE">
        <w:t xml:space="preserve">With regard to </w:t>
      </w:r>
      <w:r w:rsidR="00D41D1B" w:rsidRPr="00025ACE">
        <w:t>f</w:t>
      </w:r>
      <w:r w:rsidRPr="00025ACE">
        <w:t xml:space="preserve">ixed </w:t>
      </w:r>
      <w:r w:rsidR="00D41D1B" w:rsidRPr="00025ACE">
        <w:t>s</w:t>
      </w:r>
      <w:r w:rsidRPr="00025ACE">
        <w:t xml:space="preserve">ervice, although sharing is not feasible if a protection criteria of –20 dB I/N is to be met in all cases, sharing is considered to be feasible if an excess of the protection criteria by 10 dB (up to –10 dB I/N) in worst case scenarios can be accepted, as far as the percentage of cars equipped with SRR devices in visibility of the </w:t>
      </w:r>
      <w:r w:rsidR="00D41D1B" w:rsidRPr="00025ACE">
        <w:t>f</w:t>
      </w:r>
      <w:r w:rsidR="007824B5" w:rsidRPr="00025ACE">
        <w:t xml:space="preserve">ixed </w:t>
      </w:r>
      <w:r w:rsidR="00D41D1B" w:rsidRPr="00025ACE">
        <w:t>s</w:t>
      </w:r>
      <w:r w:rsidR="007824B5" w:rsidRPr="00025ACE">
        <w:t>ervice</w:t>
      </w:r>
      <w:r w:rsidRPr="00025ACE">
        <w:t xml:space="preserve"> receiver is limited to less than 10%.</w:t>
      </w:r>
    </w:p>
    <w:p w:rsidR="0056450F" w:rsidRPr="00025ACE" w:rsidRDefault="0056450F" w:rsidP="006219F1">
      <w:pPr>
        <w:pStyle w:val="ECCParagraph"/>
      </w:pPr>
      <w:r w:rsidRPr="00025ACE">
        <w:t xml:space="preserve">Compatibility with the </w:t>
      </w:r>
      <w:r w:rsidR="00D41D1B" w:rsidRPr="00025ACE">
        <w:t>r</w:t>
      </w:r>
      <w:r w:rsidRPr="00025ACE">
        <w:t xml:space="preserve">adio </w:t>
      </w:r>
      <w:r w:rsidR="00D41D1B" w:rsidRPr="00025ACE">
        <w:t>a</w:t>
      </w:r>
      <w:r w:rsidRPr="00025ACE">
        <w:t xml:space="preserve">stronomy </w:t>
      </w:r>
      <w:r w:rsidR="006C3A8B" w:rsidRPr="00025ACE">
        <w:t>s</w:t>
      </w:r>
      <w:r w:rsidRPr="00025ACE">
        <w:t xml:space="preserve">ervice within the frequency band 22.21-24 GHz has been shown as not being possible and thus specific measures to protect </w:t>
      </w:r>
      <w:r w:rsidR="00A65007" w:rsidRPr="00025ACE">
        <w:t>r</w:t>
      </w:r>
      <w:r w:rsidRPr="00025ACE">
        <w:t xml:space="preserve">adio </w:t>
      </w:r>
      <w:r w:rsidR="00A65007" w:rsidRPr="00025ACE">
        <w:t>a</w:t>
      </w:r>
      <w:r w:rsidRPr="00025ACE">
        <w:t>stronomy stations in Europe have to be implemented by SRR, for example an automatic deactivation of the SRR in the protection zones to be defined by national administrations. In order to allow an early implementation of 24 GHz SRR Systems such measures were made mandatory from 1 July 2007. Before that date, manual deactivation had been required.</w:t>
      </w:r>
    </w:p>
    <w:p w:rsidR="0056450F" w:rsidRPr="00025ACE" w:rsidRDefault="0056450F" w:rsidP="006219F1">
      <w:pPr>
        <w:pStyle w:val="ECCParagraph"/>
      </w:pPr>
      <w:r w:rsidRPr="00025ACE">
        <w:t xml:space="preserve">Concerning </w:t>
      </w:r>
      <w:r w:rsidR="006C3A8B" w:rsidRPr="00025ACE">
        <w:t>e</w:t>
      </w:r>
      <w:r w:rsidRPr="00025ACE">
        <w:t xml:space="preserve">arth </w:t>
      </w:r>
      <w:r w:rsidR="006C3A8B" w:rsidRPr="00025ACE">
        <w:t>e</w:t>
      </w:r>
      <w:r w:rsidRPr="00025ACE">
        <w:t>xploration-</w:t>
      </w:r>
      <w:r w:rsidR="006C3A8B" w:rsidRPr="00025ACE">
        <w:t>s</w:t>
      </w:r>
      <w:r w:rsidRPr="00025ACE">
        <w:t xml:space="preserve">atellite </w:t>
      </w:r>
      <w:r w:rsidR="006C3A8B" w:rsidRPr="00025ACE">
        <w:t>s</w:t>
      </w:r>
      <w:r w:rsidRPr="00025ACE">
        <w:t>ervice (EESS), sharing studies show that the protection criteria for 100% penetration would be exceeded by 10.8 dB which leads to a maximum SRR penetration level of 8.3% per EESS pixel. However, this analysis has been made with the final set of SRR systems characteristics, proposed to be applied from 2014 by FCC (i.e. vertical attenuation of 35 dB).</w:t>
      </w:r>
    </w:p>
    <w:p w:rsidR="0056450F" w:rsidRPr="00025ACE" w:rsidRDefault="0056450F" w:rsidP="006219F1">
      <w:pPr>
        <w:pStyle w:val="ECCParagraph"/>
      </w:pPr>
      <w:r w:rsidRPr="00025ACE">
        <w:t xml:space="preserve">Sharing studies and laboratory tests have been conducted on a number of radar speed meter equipment operated in Europe as a </w:t>
      </w:r>
      <w:r w:rsidR="006C3A8B" w:rsidRPr="00025ACE">
        <w:t>r</w:t>
      </w:r>
      <w:r w:rsidRPr="00025ACE">
        <w:t xml:space="preserve">adiolocation </w:t>
      </w:r>
      <w:r w:rsidR="006C3A8B" w:rsidRPr="00025ACE">
        <w:t>s</w:t>
      </w:r>
      <w:r w:rsidRPr="00025ACE">
        <w:t>ervice. It can be concluded that compatibility with 24 GHz SRR systems is possible under certain conditions; principally by decoupling the centre frequencies of the two systems.</w:t>
      </w:r>
    </w:p>
    <w:p w:rsidR="0056450F" w:rsidRPr="00025ACE" w:rsidRDefault="0056450F" w:rsidP="006219F1">
      <w:pPr>
        <w:pStyle w:val="ECCParagraph"/>
      </w:pPr>
      <w:r w:rsidRPr="00025ACE">
        <w:lastRenderedPageBreak/>
        <w:t>The translation of the 10.8 dB negative margin into a market penetration limit did not take into account that, in the case of the interim solution up to 2013, the SRR systems would present, before these dates, lower vertical attenuation (and hence higher interference potential), namely 10 dB up to 2010 and 5 dB between 2010 and 2013. Additional considerations indicate that it is necessary to limit at 7% the maximum SRR penetration per EESS pixel.</w:t>
      </w:r>
      <w:r w:rsidR="003F54A0">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104.45pt;margin-top:67.05pt;width:234pt;height:1in;rotation:-1621328fd;z-index:-251658240;mso-position-horizontal-relative:text;mso-position-vertical-relative:text" stroked="f">
            <v:fill color2="#eaeaea" type="gradient"/>
            <v:shadow on="t" color="#4d4d4d" opacity="52429f" offset=",3pt"/>
            <v:textpath style="font-family:&quot;Arial Black&quot;;v-text-spacing:78650f;v-text-kern:t" trim="t" fitpath="t" string=" "/>
          </v:shape>
        </w:pict>
      </w:r>
    </w:p>
    <w:p w:rsidR="002A1E5D" w:rsidRDefault="0056450F" w:rsidP="006219F1">
      <w:pPr>
        <w:pStyle w:val="ECCParagraph"/>
      </w:pPr>
      <w:r w:rsidRPr="00025ACE">
        <w:t>When the first version of this ECC Decision was developed, it was assumed that, allowing 24 GHz equipment on the European market until 1 July 2013 would hence allow the first product lines of vehicles in Europe equipped with SRR and thus introduce the SRR solutions on the market while developing the 79</w:t>
      </w:r>
      <w:r w:rsidR="004D1300">
        <w:t> </w:t>
      </w:r>
      <w:r w:rsidRPr="00025ACE">
        <w:t xml:space="preserve">GHz technology to provide the final solution. It was furthermore assumed that the 24 GHz frequency band (within 21.65-26.65 GHz) shall therefore only be made available for installation of SRR systems in Europe until </w:t>
      </w:r>
      <w:r w:rsidRPr="00025ACE">
        <w:rPr>
          <w:color w:val="000000"/>
        </w:rPr>
        <w:t xml:space="preserve">1 July </w:t>
      </w:r>
      <w:r w:rsidRPr="00025ACE">
        <w:t>2013. After this date</w:t>
      </w:r>
      <w:r w:rsidR="007824B5" w:rsidRPr="00025ACE">
        <w:t>,</w:t>
      </w:r>
      <w:r w:rsidRPr="00025ACE">
        <w:t xml:space="preserve"> all new SRR equipment shall either use the 79 GHz band or the smaller band 24.25-26.65 GHz until the 1 January 2018 (this date is extended by 4 years for SRR equipment mounted on motor vehicles for which a type-approval application has been submitted pursuant to Article 6(6) of Directive 2007/46/EC of the European Parliament and of the Council</w:t>
      </w:r>
      <w:r w:rsidRPr="00025ACE">
        <w:rPr>
          <w:rStyle w:val="FootnoteReference"/>
          <w:rFonts w:cs="Arial"/>
        </w:rPr>
        <w:footnoteReference w:id="2"/>
      </w:r>
      <w:r w:rsidRPr="00025ACE">
        <w:t xml:space="preserve"> in those countries where applicable and has been granted before 1 January 2018).</w:t>
      </w:r>
    </w:p>
    <w:p w:rsidR="0056450F" w:rsidRPr="00025ACE" w:rsidRDefault="0056450F" w:rsidP="006219F1">
      <w:pPr>
        <w:pStyle w:val="ECCParagraph"/>
      </w:pPr>
      <w:r w:rsidRPr="00025ACE">
        <w:t xml:space="preserve">Note: the regulation in ERC Recommendation 70-03 </w:t>
      </w:r>
      <w:r w:rsidR="00025ACE" w:rsidRPr="00025ACE">
        <w:t xml:space="preserve">- </w:t>
      </w:r>
      <w:r w:rsidRPr="00025ACE">
        <w:t>Annex 5 for the band 24.05</w:t>
      </w:r>
      <w:r w:rsidR="00025ACE" w:rsidRPr="00025ACE">
        <w:t xml:space="preserve"> </w:t>
      </w:r>
      <w:r w:rsidRPr="00025ACE">
        <w:t>-</w:t>
      </w:r>
      <w:r w:rsidR="00025ACE" w:rsidRPr="00025ACE">
        <w:t xml:space="preserve"> </w:t>
      </w:r>
      <w:r w:rsidRPr="00025ACE">
        <w:t>24.25 GHz for automotive radars is without any plans for a time limit within CEPT.</w:t>
      </w:r>
    </w:p>
    <w:p w:rsidR="006C03D0" w:rsidRPr="00025ACE" w:rsidRDefault="005F7AD5" w:rsidP="006C03D0">
      <w:pPr>
        <w:pStyle w:val="Heading2"/>
        <w:rPr>
          <w:lang w:val="en-GB"/>
        </w:rPr>
      </w:pPr>
      <w:r w:rsidRPr="00025ACE">
        <w:rPr>
          <w:lang w:val="en-GB"/>
        </w:rPr>
        <w:t>REQUIREMENT FOR AN ECC DECISION</w:t>
      </w:r>
    </w:p>
    <w:p w:rsidR="006219F1" w:rsidRPr="00025ACE" w:rsidRDefault="006219F1" w:rsidP="006219F1">
      <w:pPr>
        <w:pStyle w:val="ECCParagraph"/>
      </w:pPr>
      <w:r w:rsidRPr="00025ACE">
        <w:rPr>
          <w:rFonts w:cs="Arial"/>
        </w:rPr>
        <w:t>The allocation of radio frequencies in CEPT member countries is laid down by law, regulation or administrative action. The ECC recognises that for SRR systems to be introduced successfully throughout Europe, confidence must be given on the one hand to manufacturers to make the necessary investment in the new pan European radiocommunications systems and services and on the other hand to users of existing services in the 21.65-26.65 GHz band that their protection will be ensured. A commitment by CEPT member countries to implement an ECC Decision will provide a clear indication that the required frequency bands will be made available on time and on a Europe-wide basis and that the means to ensure protection of existing services will be applied.</w:t>
      </w:r>
    </w:p>
    <w:p w:rsidR="00FF2579" w:rsidRPr="00025ACE" w:rsidRDefault="006219F1" w:rsidP="00FF2579">
      <w:pPr>
        <w:pStyle w:val="Heading1"/>
        <w:rPr>
          <w:b w:val="0"/>
        </w:rPr>
      </w:pPr>
      <w:r w:rsidRPr="00025ACE">
        <w:lastRenderedPageBreak/>
        <w:t>ECC Decision of 12 november 2004 on the frequency bands to be designated for the temporary introduction of Automotive Short Range Radars (SRR) (ECC/DEC/(04)10)</w:t>
      </w:r>
      <w:r w:rsidRPr="00025ACE">
        <w:br/>
      </w:r>
      <w:r w:rsidR="00FF2579" w:rsidRPr="00025ACE">
        <w:t>amended Annex 1 July 2005; amended 5 September 2007; amended 1 June 2012; corrected 6 March 2015</w:t>
      </w:r>
      <w:r w:rsidR="00FF2579">
        <w:t xml:space="preserve"> and </w:t>
      </w:r>
      <w:r w:rsidR="00FF2579" w:rsidRPr="00025ACE">
        <w:t xml:space="preserve">Updated </w:t>
      </w:r>
      <w:r w:rsidR="00FF2579">
        <w:t>2 march</w:t>
      </w:r>
      <w:r w:rsidR="00FF2579" w:rsidRPr="00025ACE">
        <w:t xml:space="preserve"> 2018</w:t>
      </w:r>
    </w:p>
    <w:p w:rsidR="006C03D0" w:rsidRPr="00025ACE" w:rsidRDefault="005F7AD5" w:rsidP="006219F1">
      <w:pPr>
        <w:pStyle w:val="ECCParagraph"/>
      </w:pPr>
      <w:r w:rsidRPr="00025ACE">
        <w:t>“The European Conference of Postal and Telecommunications Administrations,</w:t>
      </w:r>
    </w:p>
    <w:p w:rsidR="006C03D0" w:rsidRPr="00025ACE" w:rsidRDefault="006219F1" w:rsidP="006C03D0">
      <w:pPr>
        <w:pStyle w:val="ECCParagraph"/>
        <w:rPr>
          <w:i/>
          <w:color w:val="D2232A"/>
        </w:rPr>
      </w:pPr>
      <w:proofErr w:type="gramStart"/>
      <w:r w:rsidRPr="00025ACE">
        <w:rPr>
          <w:i/>
          <w:color w:val="D2232A"/>
        </w:rPr>
        <w:t>considering</w:t>
      </w:r>
      <w:proofErr w:type="gramEnd"/>
    </w:p>
    <w:p w:rsidR="006219F1" w:rsidRPr="00025ACE" w:rsidRDefault="006219F1" w:rsidP="006219F1">
      <w:pPr>
        <w:pStyle w:val="ListParagraph"/>
        <w:numPr>
          <w:ilvl w:val="0"/>
          <w:numId w:val="17"/>
        </w:numPr>
        <w:tabs>
          <w:tab w:val="left" w:pos="567"/>
        </w:tabs>
        <w:spacing w:after="240"/>
        <w:ind w:left="567" w:hanging="567"/>
        <w:contextualSpacing w:val="0"/>
        <w:jc w:val="both"/>
        <w:rPr>
          <w:lang w:val="en-GB"/>
        </w:rPr>
      </w:pPr>
      <w:r w:rsidRPr="00025ACE">
        <w:rPr>
          <w:rFonts w:cs="Arial"/>
          <w:lang w:val="en-GB"/>
        </w:rPr>
        <w:t xml:space="preserve">that within Europe, there are proposals to improve road safety by using new information communications technologies, including building a European strategy to accelerate the research and development, deployment and use of intelligent road safety systems such as </w:t>
      </w:r>
      <w:r w:rsidR="00D41D1B" w:rsidRPr="00025ACE">
        <w:rPr>
          <w:rFonts w:cs="Arial"/>
          <w:lang w:val="en-GB"/>
        </w:rPr>
        <w:t>a</w:t>
      </w:r>
      <w:r w:rsidRPr="00025ACE">
        <w:rPr>
          <w:rFonts w:cs="Arial"/>
          <w:lang w:val="en-GB"/>
        </w:rPr>
        <w:t>utomotive Short Range Radars (SRR);</w:t>
      </w:r>
    </w:p>
    <w:p w:rsidR="006219F1" w:rsidRPr="00025ACE" w:rsidRDefault="006219F1" w:rsidP="006219F1">
      <w:pPr>
        <w:pStyle w:val="ListParagraph"/>
        <w:numPr>
          <w:ilvl w:val="0"/>
          <w:numId w:val="17"/>
        </w:numPr>
        <w:tabs>
          <w:tab w:val="left" w:pos="567"/>
        </w:tabs>
        <w:spacing w:after="240"/>
        <w:ind w:left="567" w:hanging="567"/>
        <w:contextualSpacing w:val="0"/>
        <w:jc w:val="both"/>
        <w:rPr>
          <w:lang w:val="en-GB"/>
        </w:rPr>
      </w:pPr>
      <w:r w:rsidRPr="00025ACE">
        <w:rPr>
          <w:rFonts w:cs="Arial"/>
          <w:lang w:val="en-GB"/>
        </w:rPr>
        <w:t>that the availability of spectrum for SRR equipment in Europe would contribute to the long</w:t>
      </w:r>
      <w:r w:rsidR="007824B5" w:rsidRPr="00025ACE">
        <w:rPr>
          <w:rFonts w:cs="Arial"/>
          <w:lang w:val="en-GB"/>
        </w:rPr>
        <w:t>-</w:t>
      </w:r>
      <w:r w:rsidRPr="00025ACE">
        <w:rPr>
          <w:rFonts w:cs="Arial"/>
          <w:lang w:val="en-GB"/>
        </w:rPr>
        <w:t xml:space="preserve">term goal of the European Commission </w:t>
      </w:r>
      <w:r w:rsidRPr="00025ACE">
        <w:rPr>
          <w:rFonts w:cs="Arial"/>
          <w:i/>
          <w:lang w:val="en-GB"/>
        </w:rPr>
        <w:t>e-</w:t>
      </w:r>
      <w:r w:rsidRPr="00025ACE">
        <w:rPr>
          <w:rFonts w:cs="Arial"/>
          <w:lang w:val="en-GB"/>
        </w:rPr>
        <w:t>Safety-initiative;</w:t>
      </w:r>
    </w:p>
    <w:p w:rsidR="006219F1" w:rsidRPr="00025ACE" w:rsidRDefault="006219F1" w:rsidP="006219F1">
      <w:pPr>
        <w:pStyle w:val="ListParagraph"/>
        <w:numPr>
          <w:ilvl w:val="0"/>
          <w:numId w:val="17"/>
        </w:numPr>
        <w:tabs>
          <w:tab w:val="left" w:pos="567"/>
        </w:tabs>
        <w:spacing w:after="240"/>
        <w:ind w:left="567" w:hanging="567"/>
        <w:contextualSpacing w:val="0"/>
        <w:jc w:val="both"/>
        <w:rPr>
          <w:lang w:val="en-GB"/>
        </w:rPr>
      </w:pPr>
      <w:r w:rsidRPr="00025ACE">
        <w:rPr>
          <w:rFonts w:cs="Arial"/>
          <w:lang w:val="en-GB"/>
        </w:rPr>
        <w:t>that the 79 GHz frequency band (77-81 GHz) has been designated as the permanent band for SRR equipment (ECC/DEC/(04)03 of 19 March 2004);</w:t>
      </w:r>
    </w:p>
    <w:p w:rsidR="006219F1" w:rsidRPr="00025ACE" w:rsidRDefault="006219F1" w:rsidP="006219F1">
      <w:pPr>
        <w:pStyle w:val="ListParagraph"/>
        <w:numPr>
          <w:ilvl w:val="0"/>
          <w:numId w:val="17"/>
        </w:numPr>
        <w:tabs>
          <w:tab w:val="left" w:pos="567"/>
        </w:tabs>
        <w:spacing w:after="240"/>
        <w:ind w:left="567" w:hanging="567"/>
        <w:contextualSpacing w:val="0"/>
        <w:jc w:val="both"/>
        <w:rPr>
          <w:lang w:val="en-GB"/>
        </w:rPr>
      </w:pPr>
      <w:r w:rsidRPr="00025ACE">
        <w:rPr>
          <w:rFonts w:cs="Arial"/>
          <w:lang w:val="en-GB"/>
        </w:rPr>
        <w:t>that 79 GHz SRR technology was not commercially available at the time of adoption of the first version of this ECC Decision;</w:t>
      </w:r>
    </w:p>
    <w:p w:rsidR="006219F1" w:rsidRPr="00025ACE" w:rsidRDefault="006219F1" w:rsidP="006219F1">
      <w:pPr>
        <w:pStyle w:val="ListParagraph"/>
        <w:numPr>
          <w:ilvl w:val="0"/>
          <w:numId w:val="17"/>
        </w:numPr>
        <w:tabs>
          <w:tab w:val="left" w:pos="567"/>
        </w:tabs>
        <w:spacing w:after="240"/>
        <w:ind w:left="567" w:hanging="567"/>
        <w:contextualSpacing w:val="0"/>
        <w:jc w:val="both"/>
        <w:rPr>
          <w:lang w:val="en-GB"/>
        </w:rPr>
      </w:pPr>
      <w:r w:rsidRPr="00025ACE">
        <w:rPr>
          <w:rFonts w:cs="Arial"/>
          <w:lang w:val="en-GB"/>
        </w:rPr>
        <w:t>that in order to allow an early introduction of SRR applications in Europe the use of  the 24 GHz frequency range (24.05-24.25 GHz for the carrier and 24.</w:t>
      </w:r>
      <w:r w:rsidRPr="00025ACE">
        <w:rPr>
          <w:rFonts w:cs="Arial"/>
          <w:color w:val="000000"/>
          <w:lang w:val="en-GB"/>
        </w:rPr>
        <w:t>15</w:t>
      </w:r>
      <w:r w:rsidRPr="00025ACE">
        <w:rPr>
          <w:rFonts w:cs="Arial"/>
          <w:lang w:val="en-GB"/>
        </w:rPr>
        <w:t xml:space="preserve"> </w:t>
      </w:r>
      <w:r w:rsidRPr="00025ACE">
        <w:rPr>
          <w:rFonts w:cs="Arial"/>
          <w:color w:val="000000"/>
          <w:lang w:val="en-GB"/>
        </w:rPr>
        <w:t>GHz</w:t>
      </w:r>
      <w:r w:rsidRPr="00025ACE">
        <w:rPr>
          <w:rFonts w:cs="Arial"/>
          <w:lang w:val="en-GB"/>
        </w:rPr>
        <w:t xml:space="preserve"> +/- 2.5 GHz for the Ultra Wide</w:t>
      </w:r>
      <w:r w:rsidR="006C3A8B" w:rsidRPr="00025ACE">
        <w:rPr>
          <w:rFonts w:cs="Arial"/>
          <w:lang w:val="en-GB"/>
        </w:rPr>
        <w:t xml:space="preserve"> B</w:t>
      </w:r>
      <w:r w:rsidRPr="00025ACE">
        <w:rPr>
          <w:rFonts w:cs="Arial"/>
          <w:lang w:val="en-GB"/>
        </w:rPr>
        <w:t>and component) was requested by the automotive industry as this particular frequency range provides for immediate cost effective solutions;</w:t>
      </w:r>
    </w:p>
    <w:p w:rsidR="006219F1" w:rsidRPr="00025ACE" w:rsidRDefault="006219F1" w:rsidP="006219F1">
      <w:pPr>
        <w:pStyle w:val="ListParagraph"/>
        <w:numPr>
          <w:ilvl w:val="0"/>
          <w:numId w:val="17"/>
        </w:numPr>
        <w:tabs>
          <w:tab w:val="left" w:pos="567"/>
        </w:tabs>
        <w:spacing w:after="240"/>
        <w:ind w:left="567" w:hanging="567"/>
        <w:contextualSpacing w:val="0"/>
        <w:jc w:val="both"/>
        <w:rPr>
          <w:lang w:val="en-GB"/>
        </w:rPr>
      </w:pPr>
      <w:r w:rsidRPr="00025ACE">
        <w:rPr>
          <w:rFonts w:cs="Arial"/>
          <w:lang w:val="en-GB"/>
        </w:rPr>
        <w:t>that narrow-band vehicular radar systems operating at 24 GHz in accordance with the conditions given in ERC/REC 70-03 are not under the scope of this ECC Decision;</w:t>
      </w:r>
    </w:p>
    <w:p w:rsidR="006219F1" w:rsidRPr="00025ACE" w:rsidRDefault="006219F1" w:rsidP="006219F1">
      <w:pPr>
        <w:pStyle w:val="ListParagraph"/>
        <w:numPr>
          <w:ilvl w:val="0"/>
          <w:numId w:val="17"/>
        </w:numPr>
        <w:tabs>
          <w:tab w:val="left" w:pos="567"/>
        </w:tabs>
        <w:spacing w:after="240"/>
        <w:ind w:left="567" w:hanging="567"/>
        <w:contextualSpacing w:val="0"/>
        <w:jc w:val="both"/>
        <w:rPr>
          <w:lang w:val="en-GB"/>
        </w:rPr>
      </w:pPr>
      <w:r w:rsidRPr="00025ACE">
        <w:rPr>
          <w:rFonts w:cs="Arial"/>
          <w:lang w:val="en-GB"/>
        </w:rPr>
        <w:t>that the 24 GHz frequency band is heavily used in Europe for a wide range of applications that all represent, at different levels, critical national or European services and/or wide economic interests and for which very substantial existing long-term investments have been and are to be made;</w:t>
      </w:r>
    </w:p>
    <w:p w:rsidR="006219F1" w:rsidRPr="00025ACE" w:rsidRDefault="006219F1" w:rsidP="006219F1">
      <w:pPr>
        <w:pStyle w:val="ListParagraph"/>
        <w:numPr>
          <w:ilvl w:val="0"/>
          <w:numId w:val="17"/>
        </w:numPr>
        <w:tabs>
          <w:tab w:val="left" w:pos="567"/>
        </w:tabs>
        <w:spacing w:after="240"/>
        <w:ind w:left="567" w:hanging="567"/>
        <w:contextualSpacing w:val="0"/>
        <w:jc w:val="both"/>
        <w:rPr>
          <w:lang w:val="en-GB"/>
        </w:rPr>
      </w:pPr>
      <w:r w:rsidRPr="00025ACE">
        <w:rPr>
          <w:rFonts w:cs="Arial"/>
          <w:color w:val="000000"/>
          <w:lang w:val="en-GB"/>
        </w:rPr>
        <w:t xml:space="preserve">that the frequency band 24.05-24.25 GHz is allocated to the </w:t>
      </w:r>
      <w:r w:rsidR="006C3A8B" w:rsidRPr="00025ACE">
        <w:rPr>
          <w:rFonts w:cs="Arial"/>
          <w:color w:val="000000"/>
          <w:lang w:val="en-GB"/>
        </w:rPr>
        <w:t>r</w:t>
      </w:r>
      <w:r w:rsidRPr="00025ACE">
        <w:rPr>
          <w:rFonts w:cs="Arial"/>
          <w:color w:val="000000"/>
          <w:lang w:val="en-GB"/>
        </w:rPr>
        <w:t xml:space="preserve">adiolocation </w:t>
      </w:r>
      <w:r w:rsidR="006C3A8B" w:rsidRPr="00025ACE">
        <w:rPr>
          <w:rFonts w:cs="Arial"/>
          <w:color w:val="000000"/>
          <w:lang w:val="en-GB"/>
        </w:rPr>
        <w:t>s</w:t>
      </w:r>
      <w:r w:rsidRPr="00025ACE">
        <w:rPr>
          <w:rFonts w:cs="Arial"/>
          <w:color w:val="000000"/>
          <w:lang w:val="en-GB"/>
        </w:rPr>
        <w:t>ervice on a primary basis in the ITU Radio Regulations;</w:t>
      </w:r>
    </w:p>
    <w:p w:rsidR="006219F1" w:rsidRPr="00025ACE" w:rsidRDefault="006219F1" w:rsidP="006219F1">
      <w:pPr>
        <w:pStyle w:val="ListParagraph"/>
        <w:numPr>
          <w:ilvl w:val="0"/>
          <w:numId w:val="17"/>
        </w:numPr>
        <w:tabs>
          <w:tab w:val="left" w:pos="567"/>
        </w:tabs>
        <w:spacing w:after="240"/>
        <w:ind w:left="567" w:hanging="567"/>
        <w:contextualSpacing w:val="0"/>
        <w:jc w:val="both"/>
        <w:rPr>
          <w:lang w:val="en-GB"/>
        </w:rPr>
      </w:pPr>
      <w:r w:rsidRPr="00025ACE">
        <w:rPr>
          <w:rFonts w:cs="Arial"/>
          <w:lang w:val="en-GB"/>
        </w:rPr>
        <w:t xml:space="preserve">that in a number of European countries there are radar speed meters operated by police forces at </w:t>
      </w:r>
      <w:r w:rsidRPr="00025ACE">
        <w:rPr>
          <w:rFonts w:cs="Arial"/>
          <w:lang w:val="en-GB"/>
        </w:rPr>
        <w:br/>
        <w:t xml:space="preserve">24 GHz as a </w:t>
      </w:r>
      <w:r w:rsidR="006C3A8B" w:rsidRPr="00025ACE">
        <w:rPr>
          <w:rFonts w:cs="Arial"/>
          <w:lang w:val="en-GB"/>
        </w:rPr>
        <w:t>r</w:t>
      </w:r>
      <w:r w:rsidRPr="00025ACE">
        <w:rPr>
          <w:rFonts w:cs="Arial"/>
          <w:lang w:val="en-GB"/>
        </w:rPr>
        <w:t xml:space="preserve">adiolocation </w:t>
      </w:r>
      <w:r w:rsidR="006C3A8B" w:rsidRPr="00025ACE">
        <w:rPr>
          <w:rFonts w:cs="Arial"/>
          <w:lang w:val="en-GB"/>
        </w:rPr>
        <w:t>s</w:t>
      </w:r>
      <w:r w:rsidRPr="00025ACE">
        <w:rPr>
          <w:rFonts w:cs="Arial"/>
          <w:lang w:val="en-GB"/>
        </w:rPr>
        <w:t>ervice and these also contribute to road safety;</w:t>
      </w:r>
    </w:p>
    <w:p w:rsidR="006219F1" w:rsidRPr="00025ACE" w:rsidRDefault="006219F1" w:rsidP="006219F1">
      <w:pPr>
        <w:pStyle w:val="ListParagraph"/>
        <w:numPr>
          <w:ilvl w:val="0"/>
          <w:numId w:val="17"/>
        </w:numPr>
        <w:tabs>
          <w:tab w:val="left" w:pos="567"/>
        </w:tabs>
        <w:spacing w:after="240"/>
        <w:ind w:left="567" w:hanging="567"/>
        <w:contextualSpacing w:val="0"/>
        <w:jc w:val="both"/>
        <w:rPr>
          <w:lang w:val="en-GB"/>
        </w:rPr>
      </w:pPr>
      <w:r w:rsidRPr="00025ACE">
        <w:rPr>
          <w:rFonts w:cs="Arial"/>
          <w:lang w:val="en-GB"/>
        </w:rPr>
        <w:t>that based on sharing studies and laboratory tests that have been conducted on a number of radar speed meter equipment operated in Europe, it can be concluded that compatibility with 24 GHz SRR systems with radar speed meters is possible under certain conditions; principally by decoupling the centre frequencies of the two systems;</w:t>
      </w:r>
    </w:p>
    <w:p w:rsidR="006219F1" w:rsidRPr="00025ACE" w:rsidRDefault="006219F1" w:rsidP="006219F1">
      <w:pPr>
        <w:pStyle w:val="ListParagraph"/>
        <w:numPr>
          <w:ilvl w:val="0"/>
          <w:numId w:val="17"/>
        </w:numPr>
        <w:tabs>
          <w:tab w:val="left" w:pos="567"/>
        </w:tabs>
        <w:spacing w:after="240"/>
        <w:ind w:left="567" w:hanging="567"/>
        <w:contextualSpacing w:val="0"/>
        <w:jc w:val="both"/>
        <w:rPr>
          <w:lang w:val="en-GB"/>
        </w:rPr>
      </w:pPr>
      <w:r w:rsidRPr="00025ACE">
        <w:rPr>
          <w:rFonts w:cs="Arial"/>
          <w:lang w:val="en-GB"/>
        </w:rPr>
        <w:t xml:space="preserve">that the bands 21.2-23.6 GHz and 24.5-26.5 GHz are allocated to the </w:t>
      </w:r>
      <w:r w:rsidR="006C3A8B" w:rsidRPr="00025ACE">
        <w:rPr>
          <w:rFonts w:cs="Arial"/>
          <w:lang w:val="en-GB"/>
        </w:rPr>
        <w:t>f</w:t>
      </w:r>
      <w:r w:rsidRPr="00025ACE">
        <w:rPr>
          <w:rFonts w:cs="Arial"/>
          <w:lang w:val="en-GB"/>
        </w:rPr>
        <w:t xml:space="preserve">ixed </w:t>
      </w:r>
      <w:r w:rsidR="006C3A8B" w:rsidRPr="00025ACE">
        <w:rPr>
          <w:rFonts w:cs="Arial"/>
          <w:lang w:val="en-GB"/>
        </w:rPr>
        <w:t>s</w:t>
      </w:r>
      <w:r w:rsidRPr="00025ACE">
        <w:rPr>
          <w:rFonts w:cs="Arial"/>
          <w:lang w:val="en-GB"/>
        </w:rPr>
        <w:t>ervice on a primary basis in the ITU Radio Regulations. These bands are extensively used by fixed links and expanding across Europe to meet, among others, the infrastructure requirement for existing 2G</w:t>
      </w:r>
      <w:r w:rsidRPr="00025ACE">
        <w:rPr>
          <w:rFonts w:cs="Arial"/>
          <w:vertAlign w:val="superscript"/>
          <w:lang w:val="en-GB"/>
        </w:rPr>
        <w:t xml:space="preserve"> </w:t>
      </w:r>
      <w:r w:rsidRPr="00025ACE">
        <w:rPr>
          <w:rFonts w:cs="Arial"/>
          <w:lang w:val="en-GB"/>
        </w:rPr>
        <w:t>and 3G mobile networks or to develop broadband fixed wireless networks;</w:t>
      </w:r>
    </w:p>
    <w:p w:rsidR="006219F1" w:rsidRPr="00025ACE" w:rsidRDefault="006219F1" w:rsidP="006219F1">
      <w:pPr>
        <w:pStyle w:val="ECCParagraph"/>
        <w:numPr>
          <w:ilvl w:val="0"/>
          <w:numId w:val="17"/>
        </w:numPr>
        <w:ind w:left="567" w:hanging="567"/>
      </w:pPr>
      <w:r w:rsidRPr="00025ACE">
        <w:rPr>
          <w:rFonts w:cs="Arial"/>
        </w:rPr>
        <w:t xml:space="preserve">that the band 23.6-24 GHz is allocated to passive services including the </w:t>
      </w:r>
      <w:r w:rsidR="006C3A8B" w:rsidRPr="00025ACE">
        <w:rPr>
          <w:rFonts w:cs="Arial"/>
        </w:rPr>
        <w:t>r</w:t>
      </w:r>
      <w:r w:rsidRPr="00025ACE">
        <w:rPr>
          <w:rFonts w:cs="Arial"/>
        </w:rPr>
        <w:t xml:space="preserve">adio </w:t>
      </w:r>
      <w:r w:rsidR="006C3A8B" w:rsidRPr="00025ACE">
        <w:rPr>
          <w:rFonts w:cs="Arial"/>
        </w:rPr>
        <w:t>a</w:t>
      </w:r>
      <w:r w:rsidRPr="00025ACE">
        <w:rPr>
          <w:rFonts w:cs="Arial"/>
        </w:rPr>
        <w:t xml:space="preserve">stronomy and </w:t>
      </w:r>
      <w:r w:rsidR="006C3A8B" w:rsidRPr="00025ACE">
        <w:rPr>
          <w:rFonts w:cs="Arial"/>
        </w:rPr>
        <w:t>e</w:t>
      </w:r>
      <w:r w:rsidRPr="00025ACE">
        <w:rPr>
          <w:rFonts w:cs="Arial"/>
        </w:rPr>
        <w:t xml:space="preserve">arth </w:t>
      </w:r>
      <w:r w:rsidR="006C3A8B" w:rsidRPr="00025ACE">
        <w:rPr>
          <w:rFonts w:cs="Arial"/>
        </w:rPr>
        <w:t>e</w:t>
      </w:r>
      <w:r w:rsidRPr="00025ACE">
        <w:rPr>
          <w:rFonts w:cs="Arial"/>
        </w:rPr>
        <w:t>xploration-</w:t>
      </w:r>
      <w:r w:rsidR="006C3A8B" w:rsidRPr="00025ACE">
        <w:rPr>
          <w:rFonts w:cs="Arial"/>
        </w:rPr>
        <w:t>s</w:t>
      </w:r>
      <w:r w:rsidRPr="00025ACE">
        <w:rPr>
          <w:rFonts w:cs="Arial"/>
        </w:rPr>
        <w:t xml:space="preserve">atellite </w:t>
      </w:r>
      <w:r w:rsidR="006C3A8B" w:rsidRPr="00025ACE">
        <w:rPr>
          <w:rFonts w:cs="Arial"/>
        </w:rPr>
        <w:t>s</w:t>
      </w:r>
      <w:r w:rsidRPr="00025ACE">
        <w:rPr>
          <w:rFonts w:cs="Arial"/>
        </w:rPr>
        <w:t>ervices on a primary basis in the Radio Regulations and is covered by footnote 5.340 which prohibits all emissions into the band;</w:t>
      </w:r>
    </w:p>
    <w:p w:rsidR="006219F1" w:rsidRPr="00025ACE" w:rsidRDefault="006219F1" w:rsidP="006219F1">
      <w:pPr>
        <w:pStyle w:val="ECCParagraph"/>
        <w:numPr>
          <w:ilvl w:val="0"/>
          <w:numId w:val="17"/>
        </w:numPr>
        <w:ind w:left="567" w:hanging="567"/>
      </w:pPr>
      <w:r w:rsidRPr="00025ACE">
        <w:rPr>
          <w:rFonts w:cs="Arial"/>
        </w:rPr>
        <w:t xml:space="preserve">that the 23.6-24 GHz frequency band is a unique natural resource of primary interest  for the scientific and meteorological communities to measure water vapour content which is essential for temperature measurements (for EESS) and within the 22.21-24 GHz frequency range to measure spectral lines of ammonia and water as well as continuum observations for </w:t>
      </w:r>
      <w:r w:rsidR="006C3A8B" w:rsidRPr="00025ACE">
        <w:rPr>
          <w:rFonts w:cs="Arial"/>
        </w:rPr>
        <w:t>r</w:t>
      </w:r>
      <w:r w:rsidRPr="00025ACE">
        <w:rPr>
          <w:rFonts w:cs="Arial"/>
        </w:rPr>
        <w:t xml:space="preserve">adio </w:t>
      </w:r>
      <w:r w:rsidR="006C3A8B" w:rsidRPr="00025ACE">
        <w:rPr>
          <w:rFonts w:cs="Arial"/>
        </w:rPr>
        <w:t>a</w:t>
      </w:r>
      <w:r w:rsidRPr="00025ACE">
        <w:rPr>
          <w:rFonts w:cs="Arial"/>
        </w:rPr>
        <w:t xml:space="preserve">stronomy </w:t>
      </w:r>
      <w:r w:rsidR="006C3A8B" w:rsidRPr="00025ACE">
        <w:rPr>
          <w:rFonts w:cs="Arial"/>
        </w:rPr>
        <w:t>s</w:t>
      </w:r>
      <w:r w:rsidRPr="00025ACE">
        <w:rPr>
          <w:rFonts w:cs="Arial"/>
        </w:rPr>
        <w:t>ervice;</w:t>
      </w:r>
    </w:p>
    <w:p w:rsidR="006219F1" w:rsidRPr="00025ACE" w:rsidRDefault="006219F1" w:rsidP="006219F1">
      <w:pPr>
        <w:pStyle w:val="ECCParagraph"/>
        <w:numPr>
          <w:ilvl w:val="0"/>
          <w:numId w:val="17"/>
        </w:numPr>
        <w:ind w:left="567" w:hanging="567"/>
      </w:pPr>
      <w:r w:rsidRPr="00025ACE">
        <w:rPr>
          <w:rFonts w:cs="Arial"/>
        </w:rPr>
        <w:lastRenderedPageBreak/>
        <w:t>that interference to any EESS pixel in the 23.6-24 GHz band would jeopardise the global measurements performed in this frequency band and could affect the overall passive measurements;</w:t>
      </w:r>
    </w:p>
    <w:p w:rsidR="006219F1" w:rsidRPr="00025ACE" w:rsidRDefault="006219F1" w:rsidP="006219F1">
      <w:pPr>
        <w:pStyle w:val="ECCParagraph"/>
        <w:numPr>
          <w:ilvl w:val="0"/>
          <w:numId w:val="17"/>
        </w:numPr>
        <w:ind w:left="567" w:hanging="567"/>
      </w:pPr>
      <w:r w:rsidRPr="00025ACE">
        <w:rPr>
          <w:rFonts w:cs="Arial"/>
        </w:rPr>
        <w:t>that the compatibility studies given in ECC Report 023 and in CEPT Report 3 have been performed within CEPT between existing services and 24 GHz SRR</w:t>
      </w:r>
      <w:r w:rsidR="00BF72B2" w:rsidRPr="00025ACE">
        <w:rPr>
          <w:rFonts w:cs="Arial"/>
        </w:rPr>
        <w:t xml:space="preserve"> </w:t>
      </w:r>
      <w:r w:rsidRPr="00025ACE">
        <w:rPr>
          <w:rFonts w:cs="Arial"/>
        </w:rPr>
        <w:t>equipment (within 21.65-26.65 GHz) with an e.i.r.p. mean power density of –41.3 dBm/MHz, an e.i.r.p. peak limit of 0 dBm/50 MHz;</w:t>
      </w:r>
    </w:p>
    <w:p w:rsidR="006219F1" w:rsidRPr="00025ACE" w:rsidRDefault="006219F1" w:rsidP="006219F1">
      <w:pPr>
        <w:pStyle w:val="ECCParagraph"/>
        <w:numPr>
          <w:ilvl w:val="0"/>
          <w:numId w:val="17"/>
        </w:numPr>
        <w:ind w:left="567" w:hanging="567"/>
      </w:pPr>
      <w:r w:rsidRPr="00025ACE">
        <w:rPr>
          <w:rFonts w:cs="Arial"/>
        </w:rPr>
        <w:t xml:space="preserve">that the vertical attenuation of 24 GHz SRR (within 21.65-26.65 GHz) for emissions within the </w:t>
      </w:r>
      <w:r w:rsidRPr="00025ACE">
        <w:rPr>
          <w:rFonts w:cs="Arial"/>
        </w:rPr>
        <w:br/>
        <w:t>23.6-24 GHz band that appear 30° or greater above the horizontal plane as included in the FCC regulations and used in ECC Report 023, is the one assumed for dates after 2014 (35 dB), whereas this value will be 25 dB up to 2010 and 30 dB between 2010 and 2014;</w:t>
      </w:r>
    </w:p>
    <w:p w:rsidR="006219F1" w:rsidRPr="00025ACE" w:rsidRDefault="006219F1" w:rsidP="006219F1">
      <w:pPr>
        <w:pStyle w:val="ECCParagraph"/>
        <w:numPr>
          <w:ilvl w:val="0"/>
          <w:numId w:val="17"/>
        </w:numPr>
        <w:ind w:left="567" w:hanging="567"/>
      </w:pPr>
      <w:r w:rsidRPr="00025ACE">
        <w:rPr>
          <w:rFonts w:cs="Arial"/>
        </w:rPr>
        <w:t xml:space="preserve">that ECC Report 023 concludes that sharing between 24 GHz SRR (within 21.65-26.65 GHz) with a 100% market penetration and the </w:t>
      </w:r>
      <w:r w:rsidR="006C3A8B" w:rsidRPr="00025ACE">
        <w:rPr>
          <w:rFonts w:cs="Arial"/>
        </w:rPr>
        <w:t>e</w:t>
      </w:r>
      <w:r w:rsidRPr="00025ACE">
        <w:rPr>
          <w:rFonts w:cs="Arial"/>
        </w:rPr>
        <w:t xml:space="preserve">arth </w:t>
      </w:r>
      <w:r w:rsidR="006C3A8B" w:rsidRPr="00025ACE">
        <w:rPr>
          <w:rFonts w:cs="Arial"/>
        </w:rPr>
        <w:t>e</w:t>
      </w:r>
      <w:r w:rsidRPr="00025ACE">
        <w:rPr>
          <w:rFonts w:cs="Arial"/>
        </w:rPr>
        <w:t>xploration-</w:t>
      </w:r>
      <w:r w:rsidR="006C3A8B" w:rsidRPr="00025ACE">
        <w:rPr>
          <w:rFonts w:cs="Arial"/>
        </w:rPr>
        <w:t>s</w:t>
      </w:r>
      <w:r w:rsidRPr="00025ACE">
        <w:rPr>
          <w:rFonts w:cs="Arial"/>
        </w:rPr>
        <w:t xml:space="preserve">atellite </w:t>
      </w:r>
      <w:r w:rsidR="006C3A8B" w:rsidRPr="00025ACE">
        <w:rPr>
          <w:rFonts w:cs="Arial"/>
        </w:rPr>
        <w:t>s</w:t>
      </w:r>
      <w:r w:rsidRPr="00025ACE">
        <w:rPr>
          <w:rFonts w:cs="Arial"/>
        </w:rPr>
        <w:t>ervice (EESS) within the 23.6-24</w:t>
      </w:r>
      <w:r w:rsidR="00C61680">
        <w:rPr>
          <w:rFonts w:cs="Arial"/>
        </w:rPr>
        <w:t> </w:t>
      </w:r>
      <w:r w:rsidRPr="00025ACE">
        <w:rPr>
          <w:rFonts w:cs="Arial"/>
        </w:rPr>
        <w:t xml:space="preserve">GHz band as well as with the </w:t>
      </w:r>
      <w:r w:rsidR="006C3A8B" w:rsidRPr="00025ACE">
        <w:rPr>
          <w:rFonts w:cs="Arial"/>
        </w:rPr>
        <w:t>f</w:t>
      </w:r>
      <w:r w:rsidRPr="00025ACE">
        <w:rPr>
          <w:rFonts w:cs="Arial"/>
        </w:rPr>
        <w:t xml:space="preserve">ixed </w:t>
      </w:r>
      <w:r w:rsidR="006C3A8B" w:rsidRPr="00025ACE">
        <w:rPr>
          <w:rFonts w:cs="Arial"/>
        </w:rPr>
        <w:t>s</w:t>
      </w:r>
      <w:r w:rsidRPr="00025ACE">
        <w:rPr>
          <w:rFonts w:cs="Arial"/>
        </w:rPr>
        <w:t>ervice within the 24 GHz range is not possible;</w:t>
      </w:r>
    </w:p>
    <w:p w:rsidR="006219F1" w:rsidRPr="00025ACE" w:rsidRDefault="006219F1" w:rsidP="006219F1">
      <w:pPr>
        <w:pStyle w:val="ECCParagraph"/>
        <w:numPr>
          <w:ilvl w:val="0"/>
          <w:numId w:val="17"/>
        </w:numPr>
        <w:ind w:left="567" w:hanging="567"/>
      </w:pPr>
      <w:r w:rsidRPr="00025ACE">
        <w:rPr>
          <w:rFonts w:cs="Arial"/>
        </w:rPr>
        <w:t xml:space="preserve">that ECC Report 023 concludes that to maintain the protection requirements of the </w:t>
      </w:r>
      <w:r w:rsidR="006C3A8B" w:rsidRPr="00025ACE">
        <w:rPr>
          <w:rFonts w:cs="Arial"/>
        </w:rPr>
        <w:t>f</w:t>
      </w:r>
      <w:r w:rsidRPr="00025ACE">
        <w:rPr>
          <w:rFonts w:cs="Arial"/>
        </w:rPr>
        <w:t xml:space="preserve">ixed </w:t>
      </w:r>
      <w:r w:rsidR="006C3A8B" w:rsidRPr="00025ACE">
        <w:rPr>
          <w:rFonts w:cs="Arial"/>
        </w:rPr>
        <w:t>s</w:t>
      </w:r>
      <w:r w:rsidRPr="00025ACE">
        <w:rPr>
          <w:rFonts w:cs="Arial"/>
        </w:rPr>
        <w:t xml:space="preserve">ervice, sharing with SRRs is only be feasible on a temporary basis if the percentage of vehicles equipped with SRR devices in the visibility of the </w:t>
      </w:r>
      <w:r w:rsidR="006C3A8B" w:rsidRPr="00025ACE">
        <w:rPr>
          <w:rFonts w:cs="Arial"/>
        </w:rPr>
        <w:t>f</w:t>
      </w:r>
      <w:r w:rsidRPr="00025ACE">
        <w:rPr>
          <w:rFonts w:cs="Arial"/>
        </w:rPr>
        <w:t xml:space="preserve">ixed </w:t>
      </w:r>
      <w:r w:rsidR="006C3A8B" w:rsidRPr="00025ACE">
        <w:rPr>
          <w:rFonts w:cs="Arial"/>
        </w:rPr>
        <w:t>s</w:t>
      </w:r>
      <w:r w:rsidRPr="00025ACE">
        <w:rPr>
          <w:rFonts w:cs="Arial"/>
        </w:rPr>
        <w:t>ervice</w:t>
      </w:r>
      <w:r w:rsidR="007824B5" w:rsidRPr="00025ACE">
        <w:rPr>
          <w:rFonts w:cs="Arial"/>
        </w:rPr>
        <w:t xml:space="preserve"> (FS)</w:t>
      </w:r>
      <w:r w:rsidRPr="00025ACE">
        <w:rPr>
          <w:rFonts w:cs="Arial"/>
        </w:rPr>
        <w:t xml:space="preserve"> receiver is limited to less than 10% considering an excess by -10 dB can be accepted;</w:t>
      </w:r>
    </w:p>
    <w:p w:rsidR="006219F1" w:rsidRPr="00025ACE" w:rsidRDefault="006219F1" w:rsidP="006219F1">
      <w:pPr>
        <w:pStyle w:val="ECCParagraph"/>
        <w:numPr>
          <w:ilvl w:val="0"/>
          <w:numId w:val="17"/>
        </w:numPr>
        <w:ind w:left="567" w:hanging="567"/>
      </w:pPr>
      <w:r w:rsidRPr="00025ACE">
        <w:rPr>
          <w:rFonts w:cs="Arial"/>
        </w:rPr>
        <w:t xml:space="preserve">that, taking into account ECC Report 023 and the gradual values of vertical attenuation of SRR as described in considering p), sharing between </w:t>
      </w:r>
      <w:r w:rsidR="006C3A8B" w:rsidRPr="00025ACE">
        <w:rPr>
          <w:rFonts w:cs="Arial"/>
        </w:rPr>
        <w:t>e</w:t>
      </w:r>
      <w:r w:rsidRPr="00025ACE">
        <w:rPr>
          <w:rFonts w:cs="Arial"/>
        </w:rPr>
        <w:t xml:space="preserve">arth </w:t>
      </w:r>
      <w:r w:rsidR="006C3A8B" w:rsidRPr="00025ACE">
        <w:rPr>
          <w:rFonts w:cs="Arial"/>
        </w:rPr>
        <w:t>e</w:t>
      </w:r>
      <w:r w:rsidRPr="00025ACE">
        <w:rPr>
          <w:rFonts w:cs="Arial"/>
        </w:rPr>
        <w:t>xploration-</w:t>
      </w:r>
      <w:r w:rsidR="006C3A8B" w:rsidRPr="00025ACE">
        <w:rPr>
          <w:rFonts w:cs="Arial"/>
        </w:rPr>
        <w:t>s</w:t>
      </w:r>
      <w:r w:rsidRPr="00025ACE">
        <w:rPr>
          <w:rFonts w:cs="Arial"/>
        </w:rPr>
        <w:t xml:space="preserve">atellite </w:t>
      </w:r>
      <w:r w:rsidR="006C3A8B" w:rsidRPr="00025ACE">
        <w:rPr>
          <w:rFonts w:cs="Arial"/>
        </w:rPr>
        <w:t>s</w:t>
      </w:r>
      <w:r w:rsidRPr="00025ACE">
        <w:rPr>
          <w:rFonts w:cs="Arial"/>
        </w:rPr>
        <w:t>ervice (EESS) and SRRs can only be feasible on a temporary basis if the percentage of vehicles equipped with 24 GHz SRR devices (within 21.65-26.65 GHz) in any EESS pixel is limited to 7.0%;</w:t>
      </w:r>
    </w:p>
    <w:p w:rsidR="006219F1" w:rsidRPr="00025ACE" w:rsidRDefault="006219F1" w:rsidP="006219F1">
      <w:pPr>
        <w:pStyle w:val="ECCParagraph"/>
        <w:numPr>
          <w:ilvl w:val="0"/>
          <w:numId w:val="17"/>
        </w:numPr>
        <w:ind w:left="567" w:hanging="567"/>
      </w:pPr>
      <w:r w:rsidRPr="00025ACE">
        <w:rPr>
          <w:rFonts w:cs="Arial"/>
        </w:rPr>
        <w:t xml:space="preserve">that ECC Report 023 also indicates that sharing between 24 GHz SRR (within 21.65-26.65 GHz) and the </w:t>
      </w:r>
      <w:r w:rsidR="006C3A8B" w:rsidRPr="00025ACE">
        <w:rPr>
          <w:rFonts w:cs="Arial"/>
        </w:rPr>
        <w:t>r</w:t>
      </w:r>
      <w:r w:rsidRPr="00025ACE">
        <w:rPr>
          <w:rFonts w:cs="Arial"/>
        </w:rPr>
        <w:t xml:space="preserve">adio </w:t>
      </w:r>
      <w:r w:rsidR="006C3A8B" w:rsidRPr="00025ACE">
        <w:rPr>
          <w:rFonts w:cs="Arial"/>
        </w:rPr>
        <w:t>a</w:t>
      </w:r>
      <w:r w:rsidRPr="00025ACE">
        <w:rPr>
          <w:rFonts w:cs="Arial"/>
        </w:rPr>
        <w:t xml:space="preserve">stronomy </w:t>
      </w:r>
      <w:r w:rsidR="006C3A8B" w:rsidRPr="00025ACE">
        <w:rPr>
          <w:rFonts w:cs="Arial"/>
        </w:rPr>
        <w:t>s</w:t>
      </w:r>
      <w:r w:rsidRPr="00025ACE">
        <w:rPr>
          <w:rFonts w:cs="Arial"/>
        </w:rPr>
        <w:t xml:space="preserve">ervice within the band 22.21-24 GHz would in general not be feasible. </w:t>
      </w:r>
      <w:r w:rsidRPr="00025ACE">
        <w:rPr>
          <w:rFonts w:cs="Arial"/>
        </w:rPr>
        <w:br/>
        <w:t>A number of mitigation factors might locally lead to reduction of the interference level to allow sharing with low penetration of SRR equipment, provided that the vehicles are equipped with automatic deactivation to protect radio astronomy stations within the agreed protection range;</w:t>
      </w:r>
    </w:p>
    <w:p w:rsidR="006219F1" w:rsidRPr="00025ACE" w:rsidRDefault="006219F1" w:rsidP="006219F1">
      <w:pPr>
        <w:pStyle w:val="ECCParagraph"/>
        <w:numPr>
          <w:ilvl w:val="0"/>
          <w:numId w:val="17"/>
        </w:numPr>
        <w:ind w:left="567" w:hanging="567"/>
      </w:pPr>
      <w:r w:rsidRPr="00025ACE">
        <w:rPr>
          <w:rFonts w:cs="Arial"/>
        </w:rPr>
        <w:t>that there is a worldwide primary amateur and amateur-satellite service allocation at 24.00-24.05 GHz and stations within this service can radiate a significant power;</w:t>
      </w:r>
    </w:p>
    <w:p w:rsidR="006219F1" w:rsidRPr="00025ACE" w:rsidRDefault="006219F1" w:rsidP="006219F1">
      <w:pPr>
        <w:pStyle w:val="ECCParagraph"/>
        <w:numPr>
          <w:ilvl w:val="0"/>
          <w:numId w:val="17"/>
        </w:numPr>
        <w:ind w:left="567" w:hanging="567"/>
      </w:pPr>
      <w:r w:rsidRPr="00025ACE">
        <w:rPr>
          <w:rFonts w:cs="Arial"/>
        </w:rPr>
        <w:t>that the period before the reference date of 1 July 2013 allowed the first product lines of vehicles on the European market to be equipped with 24 GHz SRR systems (within 21.65-26.65 GHz) while ensuring protection of radio services in the band. After this reference date all new SRR equipment placed on the market in Europe must use the 79 GHz band (see ECC/DEC/(04)03) or alternative permitted technical solutions while existing 24 GHz equipment (within 21.65-26.65 GHz) may still operate to the end of lifetime of the vehicles;</w:t>
      </w:r>
    </w:p>
    <w:p w:rsidR="006219F1" w:rsidRPr="00025ACE" w:rsidRDefault="006219F1" w:rsidP="006219F1">
      <w:pPr>
        <w:pStyle w:val="ECCParagraph"/>
        <w:numPr>
          <w:ilvl w:val="0"/>
          <w:numId w:val="17"/>
        </w:numPr>
        <w:ind w:left="567" w:hanging="567"/>
      </w:pPr>
      <w:r w:rsidRPr="00025ACE">
        <w:rPr>
          <w:rFonts w:cs="Arial"/>
        </w:rPr>
        <w:t>that ETSI has developed the harmonised European standard EN 302 288 for short range radar equipment operating in the 24 GHz range;</w:t>
      </w:r>
    </w:p>
    <w:p w:rsidR="006219F1" w:rsidRPr="00025ACE" w:rsidRDefault="006219F1" w:rsidP="006219F1">
      <w:pPr>
        <w:pStyle w:val="ECCParagraph"/>
        <w:numPr>
          <w:ilvl w:val="0"/>
          <w:numId w:val="17"/>
        </w:numPr>
        <w:ind w:left="567" w:hanging="567"/>
      </w:pPr>
      <w:proofErr w:type="gramStart"/>
      <w:r w:rsidRPr="00025ACE">
        <w:rPr>
          <w:rFonts w:cs="Arial"/>
        </w:rPr>
        <w:t>that</w:t>
      </w:r>
      <w:proofErr w:type="gramEnd"/>
      <w:r w:rsidRPr="00025ACE">
        <w:rPr>
          <w:rFonts w:cs="Arial"/>
        </w:rPr>
        <w:t xml:space="preserve"> SRR-equipment is not considered as a safety of life applications in accordance with the ITU Radio Regulations. SRR in the 24 GHz band must operate on a non-interference and non-protected basis in accordance with the ITU Radio Regulations;</w:t>
      </w:r>
    </w:p>
    <w:p w:rsidR="006219F1" w:rsidRPr="00025ACE" w:rsidRDefault="006219F1" w:rsidP="006219F1">
      <w:pPr>
        <w:pStyle w:val="ECCParagraph"/>
        <w:numPr>
          <w:ilvl w:val="0"/>
          <w:numId w:val="17"/>
        </w:numPr>
        <w:ind w:left="567" w:hanging="567"/>
      </w:pPr>
      <w:r w:rsidRPr="00025ACE">
        <w:rPr>
          <w:rFonts w:cs="Arial"/>
        </w:rPr>
        <w:t xml:space="preserve">that ECC Report 046 shows that SRR will have to operate in a high level of interference in the vicinity of FS transmitters and stipulates that it is the responsibility of the SRR manufacturers to carefully design their systems to minimise the effect of interference from radiocommunication services (in particular </w:t>
      </w:r>
      <w:r w:rsidR="006C3A8B" w:rsidRPr="00025ACE">
        <w:rPr>
          <w:rFonts w:cs="Arial"/>
        </w:rPr>
        <w:t>f</w:t>
      </w:r>
      <w:r w:rsidRPr="00025ACE">
        <w:rPr>
          <w:rFonts w:cs="Arial"/>
        </w:rPr>
        <w:t xml:space="preserve">ixed </w:t>
      </w:r>
      <w:r w:rsidR="006C3A8B" w:rsidRPr="00025ACE">
        <w:rPr>
          <w:rFonts w:cs="Arial"/>
        </w:rPr>
        <w:t>s</w:t>
      </w:r>
      <w:r w:rsidRPr="00025ACE">
        <w:rPr>
          <w:rFonts w:cs="Arial"/>
        </w:rPr>
        <w:t>ervice) as well as other SRR devices by implementing adequate mitigation techniques;</w:t>
      </w:r>
    </w:p>
    <w:p w:rsidR="006219F1" w:rsidRPr="00025ACE" w:rsidRDefault="006219F1" w:rsidP="006219F1">
      <w:pPr>
        <w:pStyle w:val="ECCParagraph"/>
        <w:numPr>
          <w:ilvl w:val="0"/>
          <w:numId w:val="17"/>
        </w:numPr>
        <w:ind w:left="567" w:hanging="567"/>
      </w:pPr>
      <w:proofErr w:type="gramStart"/>
      <w:r w:rsidRPr="00025ACE">
        <w:rPr>
          <w:rFonts w:cs="Arial"/>
        </w:rPr>
        <w:t>that</w:t>
      </w:r>
      <w:proofErr w:type="gramEnd"/>
      <w:r w:rsidRPr="00025ACE">
        <w:rPr>
          <w:rFonts w:cs="Arial"/>
        </w:rPr>
        <w:t xml:space="preserve"> the most sensitive service to aggregate interference from SRR is the </w:t>
      </w:r>
      <w:r w:rsidR="006C3A8B" w:rsidRPr="00025ACE">
        <w:rPr>
          <w:rFonts w:cs="Arial"/>
        </w:rPr>
        <w:t>e</w:t>
      </w:r>
      <w:r w:rsidRPr="00025ACE">
        <w:rPr>
          <w:rFonts w:cs="Arial"/>
        </w:rPr>
        <w:t xml:space="preserve">arth </w:t>
      </w:r>
      <w:r w:rsidR="006C3A8B" w:rsidRPr="00025ACE">
        <w:rPr>
          <w:rFonts w:cs="Arial"/>
        </w:rPr>
        <w:t>e</w:t>
      </w:r>
      <w:r w:rsidRPr="00025ACE">
        <w:rPr>
          <w:rFonts w:cs="Arial"/>
        </w:rPr>
        <w:t>xploration-</w:t>
      </w:r>
      <w:r w:rsidR="006C3A8B" w:rsidRPr="00025ACE">
        <w:rPr>
          <w:rFonts w:cs="Arial"/>
        </w:rPr>
        <w:t>s</w:t>
      </w:r>
      <w:r w:rsidRPr="00025ACE">
        <w:rPr>
          <w:rFonts w:cs="Arial"/>
        </w:rPr>
        <w:t xml:space="preserve">atellite </w:t>
      </w:r>
      <w:r w:rsidR="006C3A8B" w:rsidRPr="00025ACE">
        <w:rPr>
          <w:rFonts w:cs="Arial"/>
        </w:rPr>
        <w:t>s</w:t>
      </w:r>
      <w:r w:rsidRPr="00025ACE">
        <w:rPr>
          <w:rFonts w:cs="Arial"/>
        </w:rPr>
        <w:t>ervice for which a maximum of 5.9% of SRR penetration can be accepted in each EESS pixel. However, based on further consideration, ECC agreed on a compromise of 7% penetration rate per country;</w:t>
      </w:r>
    </w:p>
    <w:p w:rsidR="006219F1" w:rsidRPr="00025ACE" w:rsidRDefault="006219F1" w:rsidP="006219F1">
      <w:pPr>
        <w:pStyle w:val="ECCParagraph"/>
        <w:numPr>
          <w:ilvl w:val="0"/>
          <w:numId w:val="17"/>
        </w:numPr>
        <w:ind w:left="567" w:hanging="567"/>
      </w:pPr>
      <w:r w:rsidRPr="00025ACE">
        <w:rPr>
          <w:rFonts w:cs="Arial"/>
        </w:rPr>
        <w:lastRenderedPageBreak/>
        <w:t>that in order to ensure protection of other services and thus that vehicles equipped with 24 GHz SRR is limited to a penetration level not exceeding 7.0% on each European national market, an arrangement is required which commits automobile manufacturers to reporting on sales of SRR-equipped vehicles;</w:t>
      </w:r>
    </w:p>
    <w:p w:rsidR="006219F1" w:rsidRPr="00025ACE" w:rsidRDefault="006219F1" w:rsidP="006219F1">
      <w:pPr>
        <w:pStyle w:val="ECCParagraph"/>
        <w:numPr>
          <w:ilvl w:val="0"/>
          <w:numId w:val="17"/>
        </w:numPr>
        <w:ind w:left="567" w:hanging="567"/>
      </w:pPr>
      <w:r w:rsidRPr="00025ACE">
        <w:rPr>
          <w:rFonts w:cs="Arial"/>
        </w:rPr>
        <w:t>that a fundamental review, including radio compatibility studies with regard to possible alternative approaches, was carried out by CEPT on the basis of the EC Mandate which had been issued to CEPT on 7 November 2008;</w:t>
      </w:r>
    </w:p>
    <w:p w:rsidR="006219F1" w:rsidRPr="00025ACE" w:rsidRDefault="006219F1" w:rsidP="006219F1">
      <w:pPr>
        <w:pStyle w:val="ECCParagraph"/>
        <w:numPr>
          <w:ilvl w:val="0"/>
          <w:numId w:val="17"/>
        </w:numPr>
        <w:ind w:left="567" w:hanging="567"/>
      </w:pPr>
      <w:r w:rsidRPr="00025ACE">
        <w:rPr>
          <w:rFonts w:cs="Arial"/>
        </w:rPr>
        <w:t>that in response to parts 1 and 2 of the EC Mandate, CEPT developed CEPT Reports 36 and 37, additionally ECC Report 158 was developed;</w:t>
      </w:r>
    </w:p>
    <w:p w:rsidR="006219F1" w:rsidRPr="00025ACE" w:rsidRDefault="006219F1" w:rsidP="006219F1">
      <w:pPr>
        <w:pStyle w:val="ECCParagraph"/>
        <w:numPr>
          <w:ilvl w:val="0"/>
          <w:numId w:val="17"/>
        </w:numPr>
        <w:ind w:left="567" w:hanging="567"/>
      </w:pPr>
      <w:r w:rsidRPr="00025ACE">
        <w:rPr>
          <w:rFonts w:cs="Arial"/>
        </w:rPr>
        <w:t>that based on these deliverables and by taking into account the discussions within the ECC and the EC, it has been decided to make available the band 24.25-26.65 GHz for automotive SRR equipment mounted on motor vehicles beyond 1 July 2013 but still limited in time;</w:t>
      </w:r>
    </w:p>
    <w:p w:rsidR="006219F1" w:rsidRPr="00025ACE" w:rsidRDefault="006219F1" w:rsidP="006219F1">
      <w:pPr>
        <w:pStyle w:val="ECCParagraph"/>
        <w:numPr>
          <w:ilvl w:val="0"/>
          <w:numId w:val="17"/>
        </w:numPr>
        <w:ind w:left="567" w:hanging="567"/>
      </w:pPr>
      <w:r w:rsidRPr="00025ACE">
        <w:rPr>
          <w:rFonts w:cs="Arial"/>
        </w:rPr>
        <w:t>that ITU Radio Regulation provision N</w:t>
      </w:r>
      <w:r w:rsidR="00C61680">
        <w:rPr>
          <w:rFonts w:cs="Arial"/>
        </w:rPr>
        <w:t>o</w:t>
      </w:r>
      <w:r w:rsidRPr="00025ACE">
        <w:rPr>
          <w:rFonts w:cs="Arial"/>
        </w:rPr>
        <w:t xml:space="preserve"> 5.149 urges administrations to take all practicable steps to protect the radio astronomy service from harmful interference in making assignments to stations of other services in several bands, including 22.01-22.5 GHz, 22.81-22.86 GHz and 23.07-23.12 GHz;</w:t>
      </w:r>
    </w:p>
    <w:p w:rsidR="006219F1" w:rsidRPr="00025ACE" w:rsidRDefault="006219F1" w:rsidP="006219F1">
      <w:pPr>
        <w:pStyle w:val="ECCParagraph"/>
        <w:numPr>
          <w:ilvl w:val="0"/>
          <w:numId w:val="17"/>
        </w:numPr>
        <w:ind w:left="567" w:hanging="567"/>
      </w:pPr>
      <w:r w:rsidRPr="00025ACE">
        <w:rPr>
          <w:rFonts w:cs="Arial"/>
        </w:rPr>
        <w:t>that in order to protect the passive radio services, the maximum emitted power for the out-of-band emission in the band 23.6 GHz to 24 GHz, caused by Ultra Wide</w:t>
      </w:r>
      <w:r w:rsidR="006C3A8B" w:rsidRPr="00025ACE">
        <w:rPr>
          <w:rFonts w:cs="Arial"/>
        </w:rPr>
        <w:t xml:space="preserve"> B</w:t>
      </w:r>
      <w:r w:rsidRPr="00025ACE">
        <w:rPr>
          <w:rFonts w:cs="Arial"/>
        </w:rPr>
        <w:t>and SRR equipment operating within 24.25-26.65 GHz, shall not exceed -74 dBm/MHz e.i.r.p. and any emissions within the band 23.6-24.0 GHz that appear 30° or greater above the horizontal plane shall be kept to a minimum considering typical antenna elevation pattern as depicted in figure 15 of ECC Report 158;</w:t>
      </w:r>
    </w:p>
    <w:p w:rsidR="006219F1" w:rsidRPr="00025ACE" w:rsidRDefault="006219F1" w:rsidP="006219F1">
      <w:pPr>
        <w:pStyle w:val="ECCParagraph"/>
        <w:numPr>
          <w:ilvl w:val="0"/>
          <w:numId w:val="17"/>
        </w:numPr>
        <w:ind w:left="567" w:hanging="567"/>
      </w:pPr>
      <w:r w:rsidRPr="00025ACE">
        <w:rPr>
          <w:rFonts w:cs="Arial"/>
        </w:rPr>
        <w:t>that in EU/EFTA countries the radio equipment that is under the scope of this Decision shall comply with the Radio Equipment Directive (2014/53/EU). Conformity with the essential requirements of the Directive may be demonstrated by compliance with the applicable harmonised European standard(s) or by using the other conformity assessment procedures set out in the Directive,</w:t>
      </w:r>
    </w:p>
    <w:p w:rsidR="006C03D0" w:rsidRPr="00025ACE" w:rsidRDefault="005F7AD5" w:rsidP="006C03D0">
      <w:pPr>
        <w:pStyle w:val="ECCParagraph"/>
        <w:rPr>
          <w:color w:val="D2232A"/>
        </w:rPr>
      </w:pPr>
      <w:r w:rsidRPr="00025ACE">
        <w:rPr>
          <w:i/>
          <w:color w:val="D2232A"/>
        </w:rPr>
        <w:t>DECIDES</w:t>
      </w:r>
    </w:p>
    <w:p w:rsidR="006219F1" w:rsidRPr="00025ACE" w:rsidRDefault="006219F1" w:rsidP="006219F1">
      <w:pPr>
        <w:pStyle w:val="NumberedList"/>
        <w:spacing w:after="120"/>
      </w:pPr>
      <w:r w:rsidRPr="00025ACE">
        <w:rPr>
          <w:rFonts w:cs="Arial"/>
        </w:rPr>
        <w:t>that for the purpose of this Decision, a SRR is defined as a radio communication equipment that falls in the general category of vehicular radar systems and provides collision mitigation and traffic safety applications;</w:t>
      </w:r>
    </w:p>
    <w:p w:rsidR="006219F1" w:rsidRPr="00025ACE" w:rsidRDefault="006219F1" w:rsidP="006219F1">
      <w:pPr>
        <w:pStyle w:val="NumberedList"/>
        <w:spacing w:after="120"/>
      </w:pPr>
      <w:r w:rsidRPr="00025ACE">
        <w:rPr>
          <w:rFonts w:cs="Arial"/>
        </w:rPr>
        <w:t>that in order to allow early introduction of SRR applications in Europe the 24 GHz frequency range is designated for SRR systems on a temporary basis;</w:t>
      </w:r>
    </w:p>
    <w:p w:rsidR="006219F1" w:rsidRPr="00025ACE" w:rsidRDefault="006219F1" w:rsidP="006219F1">
      <w:pPr>
        <w:pStyle w:val="NumberedList"/>
        <w:spacing w:after="120"/>
      </w:pPr>
      <w:r w:rsidRPr="00025ACE">
        <w:rPr>
          <w:rFonts w:cs="Arial"/>
        </w:rPr>
        <w:t>that in order to ensure a gradual transfer of technology to the long-term SRR frequency band at 79 GHz, two reference dates are defined which involve a reduction of the frequency bandwidth availability as follows:</w:t>
      </w:r>
    </w:p>
    <w:p w:rsidR="006219F1" w:rsidRPr="00025ACE" w:rsidRDefault="006219F1" w:rsidP="00FE0D05">
      <w:pPr>
        <w:pStyle w:val="LetteredList"/>
        <w:rPr>
          <w:lang w:val="en-GB"/>
        </w:rPr>
      </w:pPr>
      <w:r w:rsidRPr="00025ACE">
        <w:rPr>
          <w:lang w:val="en-GB"/>
        </w:rPr>
        <w:t>21.65-26.65 GHz until 30 June 2013,</w:t>
      </w:r>
    </w:p>
    <w:p w:rsidR="006219F1" w:rsidRPr="00025ACE" w:rsidRDefault="006219F1" w:rsidP="00FE0D05">
      <w:pPr>
        <w:pStyle w:val="LetteredList"/>
        <w:rPr>
          <w:lang w:val="en-GB"/>
        </w:rPr>
      </w:pPr>
      <w:r w:rsidRPr="00025ACE">
        <w:rPr>
          <w:lang w:val="en-GB"/>
        </w:rPr>
        <w:t>24.25-26.65 GHz until 1 January 2018; this date is extended by 4 years for SRR equipment mounted on motor vehicles for which a type-approval application has been submitted and has been granted before 1 January 2018;</w:t>
      </w:r>
    </w:p>
    <w:p w:rsidR="006219F1" w:rsidRPr="00025ACE" w:rsidRDefault="006219F1" w:rsidP="006219F1">
      <w:pPr>
        <w:pStyle w:val="NumberedList"/>
        <w:spacing w:before="120" w:after="120"/>
      </w:pPr>
      <w:r w:rsidRPr="00025ACE">
        <w:rPr>
          <w:rFonts w:cs="Arial"/>
        </w:rPr>
        <w:t>that the technical requirements detailed in Annex 1 apply to SRR devices operating within the band 21.65-26.65 GHz;</w:t>
      </w:r>
    </w:p>
    <w:p w:rsidR="006219F1" w:rsidRPr="00025ACE" w:rsidRDefault="006219F1" w:rsidP="006219F1">
      <w:pPr>
        <w:pStyle w:val="NumberedList"/>
        <w:spacing w:before="120" w:after="120"/>
      </w:pPr>
      <w:r w:rsidRPr="00025ACE">
        <w:rPr>
          <w:rFonts w:cs="Arial"/>
        </w:rPr>
        <w:t>that the technical requirements detailed in Annex 2 apply to SRR devices operating within the band 24.25-26.65 GHz;</w:t>
      </w:r>
    </w:p>
    <w:p w:rsidR="006219F1" w:rsidRPr="00025ACE" w:rsidRDefault="006219F1" w:rsidP="006219F1">
      <w:pPr>
        <w:pStyle w:val="NumberedList"/>
        <w:spacing w:before="120" w:after="120"/>
      </w:pPr>
      <w:r w:rsidRPr="00025ACE">
        <w:rPr>
          <w:rFonts w:cs="Arial"/>
        </w:rPr>
        <w:t>that the temporary frequency designations for SRR equipment are on a non-interference and non-protected basis;</w:t>
      </w:r>
    </w:p>
    <w:p w:rsidR="006219F1" w:rsidRPr="00025ACE" w:rsidRDefault="006219F1" w:rsidP="006219F1">
      <w:pPr>
        <w:pStyle w:val="NumberedList"/>
        <w:spacing w:before="120" w:after="120"/>
      </w:pPr>
      <w:r w:rsidRPr="00025ACE">
        <w:rPr>
          <w:rFonts w:cs="Arial"/>
        </w:rPr>
        <w:t>that it shall be verified that the total number of vehicles equipped with 24 GHz Ultra Wide</w:t>
      </w:r>
      <w:r w:rsidR="006C3A8B" w:rsidRPr="00025ACE">
        <w:rPr>
          <w:rFonts w:cs="Arial"/>
        </w:rPr>
        <w:t xml:space="preserve"> B</w:t>
      </w:r>
      <w:r w:rsidRPr="00025ACE">
        <w:rPr>
          <w:rFonts w:cs="Arial"/>
        </w:rPr>
        <w:t>and SRR devices does not exceed the level of 7% of the total number of vehicles in circulation in each country;</w:t>
      </w:r>
    </w:p>
    <w:p w:rsidR="006219F1" w:rsidRPr="00025ACE" w:rsidRDefault="006219F1" w:rsidP="006219F1">
      <w:pPr>
        <w:pStyle w:val="NumberedList"/>
        <w:spacing w:before="120" w:after="120"/>
      </w:pPr>
      <w:r w:rsidRPr="00025ACE">
        <w:rPr>
          <w:rFonts w:cs="Arial"/>
        </w:rPr>
        <w:t>that this Decision enters into force on 1 June 2012;</w:t>
      </w:r>
    </w:p>
    <w:p w:rsidR="006219F1" w:rsidRPr="00025ACE" w:rsidRDefault="006219F1" w:rsidP="006219F1">
      <w:pPr>
        <w:pStyle w:val="NumberedList"/>
        <w:spacing w:before="120" w:after="120"/>
      </w:pPr>
      <w:r w:rsidRPr="00025ACE">
        <w:rPr>
          <w:rFonts w:cs="Arial"/>
        </w:rPr>
        <w:t>that the preferred date for implementation of this Decision shall be 1 September 2012;</w:t>
      </w:r>
    </w:p>
    <w:p w:rsidR="006219F1" w:rsidRPr="00025ACE" w:rsidRDefault="006219F1" w:rsidP="006219F1">
      <w:pPr>
        <w:pStyle w:val="NumberedList"/>
        <w:spacing w:before="120" w:after="120"/>
      </w:pPr>
      <w:r w:rsidRPr="00025ACE">
        <w:rPr>
          <w:rFonts w:cs="Arial"/>
        </w:rPr>
        <w:lastRenderedPageBreak/>
        <w:t>that CEPT administrations shall communicate the national measures implementing this Decision to the ECC Chairman and the Office when the Decision is nationally implemented.”</w:t>
      </w:r>
    </w:p>
    <w:p w:rsidR="001C46EA" w:rsidRPr="00025ACE" w:rsidRDefault="001C46EA" w:rsidP="00D90B0A">
      <w:pPr>
        <w:pStyle w:val="ECCParagraph"/>
        <w:keepNext/>
      </w:pPr>
    </w:p>
    <w:p w:rsidR="001C46EA" w:rsidRPr="00025ACE" w:rsidRDefault="001C46EA" w:rsidP="00D90B0A">
      <w:pPr>
        <w:pStyle w:val="ECCParagraph"/>
        <w:keepNext/>
        <w:rPr>
          <w:i/>
          <w:color w:val="D2232A"/>
        </w:rPr>
      </w:pPr>
      <w:r w:rsidRPr="00025ACE">
        <w:rPr>
          <w:i/>
          <w:color w:val="D2232A"/>
        </w:rPr>
        <w:t xml:space="preserve">Note: </w:t>
      </w:r>
    </w:p>
    <w:p w:rsidR="001C46EA" w:rsidRPr="00025ACE" w:rsidRDefault="001C46EA" w:rsidP="00D90B0A">
      <w:pPr>
        <w:pStyle w:val="ECCParagraph"/>
        <w:keepNext/>
        <w:rPr>
          <w:i/>
          <w:szCs w:val="20"/>
        </w:rPr>
      </w:pPr>
      <w:r w:rsidRPr="00025ACE">
        <w:rPr>
          <w:i/>
          <w:szCs w:val="20"/>
        </w:rPr>
        <w:t xml:space="preserve">Please check the Office documentation database http://www.ecodocdb.dk for the up to date position on the implementation of this and other </w:t>
      </w:r>
      <w:smartTag w:uri="urn:schemas-microsoft-com:office:smarttags" w:element="stockticker">
        <w:r w:rsidRPr="00025ACE">
          <w:rPr>
            <w:i/>
            <w:szCs w:val="20"/>
          </w:rPr>
          <w:t>ECC</w:t>
        </w:r>
      </w:smartTag>
      <w:r w:rsidRPr="00025ACE">
        <w:rPr>
          <w:i/>
          <w:szCs w:val="20"/>
        </w:rPr>
        <w:t xml:space="preserve"> Decisions.</w:t>
      </w:r>
    </w:p>
    <w:p w:rsidR="006219F1" w:rsidRPr="00025ACE" w:rsidRDefault="006219F1" w:rsidP="00D90B0A">
      <w:pPr>
        <w:pStyle w:val="ECCParagraph"/>
        <w:keepNext/>
        <w:rPr>
          <w:i/>
          <w:szCs w:val="20"/>
        </w:rPr>
      </w:pPr>
    </w:p>
    <w:p w:rsidR="006219F1" w:rsidRPr="00025ACE" w:rsidRDefault="006219F1" w:rsidP="00D90B0A">
      <w:pPr>
        <w:pStyle w:val="ECCParagraph"/>
        <w:keepNext/>
        <w:rPr>
          <w:i/>
          <w:szCs w:val="20"/>
        </w:rPr>
      </w:pPr>
    </w:p>
    <w:p w:rsidR="002A1E5D" w:rsidRDefault="002A1E5D">
      <w:pPr>
        <w:rPr>
          <w:rFonts w:cs="Arial"/>
          <w:b/>
          <w:bCs/>
          <w:caps/>
          <w:color w:val="D2232A"/>
          <w:kern w:val="32"/>
          <w:szCs w:val="32"/>
          <w:lang w:val="en-GB"/>
        </w:rPr>
      </w:pPr>
      <w:bookmarkStart w:id="1" w:name="_Toc280099658"/>
      <w:r>
        <w:br w:type="page"/>
      </w:r>
    </w:p>
    <w:p w:rsidR="006219F1" w:rsidRPr="00025ACE" w:rsidRDefault="006219F1" w:rsidP="006219F1">
      <w:pPr>
        <w:pStyle w:val="ECCAnnex-heading1"/>
      </w:pPr>
      <w:r w:rsidRPr="00025ACE">
        <w:lastRenderedPageBreak/>
        <w:t xml:space="preserve">Technical requirements for SRR devices operating within the band </w:t>
      </w:r>
      <w:r w:rsidRPr="00025ACE">
        <w:br/>
        <w:t>21.65-26.65 GH</w:t>
      </w:r>
      <w:r w:rsidRPr="00025ACE">
        <w:rPr>
          <w:caps w:val="0"/>
        </w:rPr>
        <w:t>z</w:t>
      </w:r>
      <w:bookmarkEnd w:id="1"/>
    </w:p>
    <w:p w:rsidR="006219F1" w:rsidRPr="00025ACE" w:rsidRDefault="006219F1" w:rsidP="006219F1">
      <w:pPr>
        <w:numPr>
          <w:ilvl w:val="1"/>
          <w:numId w:val="25"/>
        </w:numPr>
        <w:tabs>
          <w:tab w:val="clear" w:pos="1440"/>
          <w:tab w:val="num" w:pos="426"/>
        </w:tabs>
        <w:overflowPunct w:val="0"/>
        <w:autoSpaceDE w:val="0"/>
        <w:autoSpaceDN w:val="0"/>
        <w:adjustRightInd w:val="0"/>
        <w:ind w:left="426" w:hanging="426"/>
        <w:jc w:val="both"/>
        <w:textAlignment w:val="baseline"/>
        <w:rPr>
          <w:rFonts w:cs="Arial"/>
          <w:lang w:val="en-GB"/>
        </w:rPr>
      </w:pPr>
      <w:r w:rsidRPr="00025ACE">
        <w:rPr>
          <w:rFonts w:cs="Arial"/>
          <w:lang w:val="en-GB"/>
        </w:rPr>
        <w:t>The frequency band 21.65-26.65 GHz is designated for the Ultra Wide</w:t>
      </w:r>
      <w:r w:rsidR="006C3A8B" w:rsidRPr="00025ACE">
        <w:rPr>
          <w:rFonts w:cs="Arial"/>
          <w:lang w:val="en-GB"/>
        </w:rPr>
        <w:t xml:space="preserve"> B</w:t>
      </w:r>
      <w:r w:rsidRPr="00025ACE">
        <w:rPr>
          <w:rFonts w:cs="Arial"/>
          <w:lang w:val="en-GB"/>
        </w:rPr>
        <w:t xml:space="preserve">and component of </w:t>
      </w:r>
      <w:r w:rsidR="006C3A8B" w:rsidRPr="00025ACE">
        <w:rPr>
          <w:rFonts w:cs="Arial"/>
          <w:lang w:val="en-GB"/>
        </w:rPr>
        <w:t>Automotive Short Range Radars (</w:t>
      </w:r>
      <w:r w:rsidRPr="00025ACE">
        <w:rPr>
          <w:rFonts w:cs="Arial"/>
          <w:lang w:val="en-GB"/>
        </w:rPr>
        <w:t>SRR</w:t>
      </w:r>
      <w:r w:rsidR="006C3A8B" w:rsidRPr="00025ACE">
        <w:rPr>
          <w:rFonts w:cs="Arial"/>
          <w:lang w:val="en-GB"/>
        </w:rPr>
        <w:t>)</w:t>
      </w:r>
      <w:r w:rsidRPr="00025ACE">
        <w:rPr>
          <w:rFonts w:cs="Arial"/>
          <w:lang w:val="en-GB"/>
        </w:rPr>
        <w:t xml:space="preserve"> devices, with a maximum mean e.i.r.p. density of </w:t>
      </w:r>
      <w:r w:rsidRPr="00025ACE">
        <w:rPr>
          <w:rFonts w:cs="Arial"/>
          <w:lang w:val="en-GB"/>
        </w:rPr>
        <w:noBreakHyphen/>
        <w:t>41.3 dBm/MHz and a peak e.i.r.p. density of 0 dBm/50MHz, until the reference date 30 June 2013.</w:t>
      </w:r>
    </w:p>
    <w:p w:rsidR="006219F1" w:rsidRPr="00025ACE" w:rsidRDefault="006219F1" w:rsidP="006219F1">
      <w:pPr>
        <w:ind w:left="426"/>
        <w:jc w:val="both"/>
        <w:rPr>
          <w:rFonts w:cs="Arial"/>
          <w:lang w:val="en-GB"/>
        </w:rPr>
      </w:pPr>
    </w:p>
    <w:p w:rsidR="006219F1" w:rsidRPr="00025ACE" w:rsidRDefault="006219F1" w:rsidP="006219F1">
      <w:pPr>
        <w:numPr>
          <w:ilvl w:val="1"/>
          <w:numId w:val="25"/>
        </w:numPr>
        <w:tabs>
          <w:tab w:val="clear" w:pos="1440"/>
          <w:tab w:val="num" w:pos="426"/>
        </w:tabs>
        <w:overflowPunct w:val="0"/>
        <w:autoSpaceDE w:val="0"/>
        <w:autoSpaceDN w:val="0"/>
        <w:adjustRightInd w:val="0"/>
        <w:ind w:left="426" w:hanging="426"/>
        <w:jc w:val="both"/>
        <w:textAlignment w:val="baseline"/>
        <w:rPr>
          <w:rFonts w:cs="Arial"/>
          <w:lang w:val="en-GB"/>
        </w:rPr>
      </w:pPr>
      <w:r w:rsidRPr="00025ACE">
        <w:rPr>
          <w:rFonts w:cs="Arial"/>
          <w:lang w:val="en-GB"/>
        </w:rPr>
        <w:t>The frequency band 24.05 to 24.25 GHz is designated for the narrow-band emission mode/component, which may only consist of an unmodulated carrier, with a maximum peak power of 20 dBm e.i.r.p and a duty cycle limited to 10% for peak emissions higher than -10 dBm e.i.r.p.</w:t>
      </w:r>
    </w:p>
    <w:p w:rsidR="006219F1" w:rsidRPr="00025ACE" w:rsidRDefault="006219F1" w:rsidP="006219F1">
      <w:pPr>
        <w:ind w:left="426"/>
        <w:jc w:val="both"/>
        <w:rPr>
          <w:rFonts w:cs="Arial"/>
          <w:lang w:val="en-GB"/>
        </w:rPr>
      </w:pPr>
    </w:p>
    <w:p w:rsidR="006219F1" w:rsidRPr="00025ACE" w:rsidRDefault="006219F1" w:rsidP="006219F1">
      <w:pPr>
        <w:numPr>
          <w:ilvl w:val="1"/>
          <w:numId w:val="25"/>
        </w:numPr>
        <w:tabs>
          <w:tab w:val="clear" w:pos="1440"/>
          <w:tab w:val="num" w:pos="426"/>
        </w:tabs>
        <w:overflowPunct w:val="0"/>
        <w:autoSpaceDE w:val="0"/>
        <w:autoSpaceDN w:val="0"/>
        <w:adjustRightInd w:val="0"/>
        <w:ind w:left="426" w:hanging="426"/>
        <w:jc w:val="both"/>
        <w:textAlignment w:val="baseline"/>
        <w:rPr>
          <w:rFonts w:cs="Arial"/>
          <w:lang w:val="en-GB"/>
        </w:rPr>
      </w:pPr>
      <w:r w:rsidRPr="00025ACE">
        <w:rPr>
          <w:rFonts w:cs="Arial"/>
          <w:lang w:val="en-GB"/>
        </w:rPr>
        <w:t xml:space="preserve">SRR transmitting in the band 23.6-24 GHz with a mean e.i.r.p density higher than -74 dBm/MHz or in the bands 22.01-22.5 GHz, 22.81-22.86 GHz and 23.07-23.12 GHz with a mean e.i.r.p. density higher than </w:t>
      </w:r>
      <w:r w:rsidRPr="00025ACE">
        <w:rPr>
          <w:rFonts w:cs="Arial"/>
          <w:lang w:val="en-GB"/>
        </w:rPr>
        <w:noBreakHyphen/>
        <w:t xml:space="preserve">57 dBm/MHz, shall be fitted with an automatic deactivation mechanism to ensure protection of </w:t>
      </w:r>
      <w:r w:rsidR="00FE0D05" w:rsidRPr="00025ACE">
        <w:rPr>
          <w:rFonts w:cs="Arial"/>
          <w:lang w:val="en-GB"/>
        </w:rPr>
        <w:t>r</w:t>
      </w:r>
      <w:r w:rsidRPr="00025ACE">
        <w:rPr>
          <w:rFonts w:cs="Arial"/>
          <w:lang w:val="en-GB"/>
        </w:rPr>
        <w:t xml:space="preserve">adio </w:t>
      </w:r>
      <w:r w:rsidR="00FE0D05" w:rsidRPr="00025ACE">
        <w:rPr>
          <w:rFonts w:cs="Arial"/>
          <w:lang w:val="en-GB"/>
        </w:rPr>
        <w:t>a</w:t>
      </w:r>
      <w:r w:rsidRPr="00025ACE">
        <w:rPr>
          <w:rFonts w:cs="Arial"/>
          <w:lang w:val="en-GB"/>
        </w:rPr>
        <w:t>stronomy sites. Moreover, within the band 23.6-24 GHz, emissions that appear 30° or greater above the horizontal plane shall be attenuated by at least 30 dB up to 1 July 2013.</w:t>
      </w:r>
    </w:p>
    <w:p w:rsidR="006219F1" w:rsidRPr="00025ACE" w:rsidRDefault="006219F1" w:rsidP="006219F1">
      <w:pPr>
        <w:ind w:left="426"/>
        <w:jc w:val="both"/>
        <w:rPr>
          <w:rFonts w:cs="Arial"/>
          <w:lang w:val="en-GB"/>
        </w:rPr>
      </w:pPr>
    </w:p>
    <w:p w:rsidR="006219F1" w:rsidRPr="00025ACE" w:rsidRDefault="006219F1" w:rsidP="006219F1">
      <w:pPr>
        <w:numPr>
          <w:ilvl w:val="1"/>
          <w:numId w:val="25"/>
        </w:numPr>
        <w:tabs>
          <w:tab w:val="clear" w:pos="1440"/>
          <w:tab w:val="num" w:pos="426"/>
        </w:tabs>
        <w:overflowPunct w:val="0"/>
        <w:autoSpaceDE w:val="0"/>
        <w:autoSpaceDN w:val="0"/>
        <w:adjustRightInd w:val="0"/>
        <w:ind w:left="426" w:hanging="426"/>
        <w:jc w:val="both"/>
        <w:textAlignment w:val="baseline"/>
        <w:rPr>
          <w:rFonts w:cs="Arial"/>
          <w:lang w:val="en-GB"/>
        </w:rPr>
      </w:pPr>
      <w:r w:rsidRPr="00025ACE">
        <w:rPr>
          <w:rFonts w:cs="Arial"/>
          <w:lang w:val="en-GB"/>
        </w:rPr>
        <w:t>SRR devices shall be de-activated within the specified separation distance from the radio astronomy sites referenced in Annex 3.</w:t>
      </w:r>
    </w:p>
    <w:p w:rsidR="006219F1" w:rsidRPr="00025ACE" w:rsidRDefault="006219F1" w:rsidP="006219F1">
      <w:pPr>
        <w:ind w:left="426"/>
        <w:jc w:val="both"/>
        <w:rPr>
          <w:rFonts w:cs="Arial"/>
          <w:lang w:val="en-GB"/>
        </w:rPr>
      </w:pPr>
    </w:p>
    <w:p w:rsidR="006219F1" w:rsidRPr="00025ACE" w:rsidRDefault="006219F1" w:rsidP="006219F1">
      <w:pPr>
        <w:numPr>
          <w:ilvl w:val="1"/>
          <w:numId w:val="25"/>
        </w:numPr>
        <w:tabs>
          <w:tab w:val="clear" w:pos="1440"/>
          <w:tab w:val="num" w:pos="426"/>
        </w:tabs>
        <w:overflowPunct w:val="0"/>
        <w:autoSpaceDE w:val="0"/>
        <w:autoSpaceDN w:val="0"/>
        <w:adjustRightInd w:val="0"/>
        <w:ind w:left="426" w:hanging="426"/>
        <w:jc w:val="both"/>
        <w:textAlignment w:val="baseline"/>
        <w:rPr>
          <w:rFonts w:cs="Arial"/>
          <w:lang w:val="en-GB"/>
        </w:rPr>
      </w:pPr>
      <w:r w:rsidRPr="00025ACE">
        <w:rPr>
          <w:rFonts w:cs="Arial"/>
          <w:lang w:val="en-GB"/>
        </w:rPr>
        <w:t>After 30 June 2013, the 79 GHz range for new SRR systems, or alternative permitted technical solutions (e.g. according to Annex 2), must be used for road vehicle collision mitigation and traffic safety applications, while all existing equipment detailed in this annex may still operate to the end of lifetime of the vehicles.</w:t>
      </w:r>
    </w:p>
    <w:p w:rsidR="006219F1" w:rsidRPr="00025ACE" w:rsidRDefault="006219F1" w:rsidP="006219F1">
      <w:pPr>
        <w:pStyle w:val="ECCParagraph"/>
      </w:pPr>
    </w:p>
    <w:p w:rsidR="006219F1" w:rsidRPr="00025ACE" w:rsidRDefault="006219F1" w:rsidP="006219F1">
      <w:pPr>
        <w:pStyle w:val="ECCParagraph"/>
      </w:pPr>
    </w:p>
    <w:p w:rsidR="006219F1" w:rsidRPr="00025ACE" w:rsidRDefault="006219F1" w:rsidP="006219F1">
      <w:pPr>
        <w:pStyle w:val="ECCAnnex-heading1"/>
      </w:pPr>
      <w:r w:rsidRPr="00025ACE">
        <w:lastRenderedPageBreak/>
        <w:t xml:space="preserve">Technical requirements for SRR devices operating within the band </w:t>
      </w:r>
      <w:r w:rsidRPr="00025ACE">
        <w:br/>
        <w:t>24.25-26.65 GH</w:t>
      </w:r>
      <w:r w:rsidRPr="00025ACE">
        <w:rPr>
          <w:caps w:val="0"/>
        </w:rPr>
        <w:t>z</w:t>
      </w:r>
    </w:p>
    <w:p w:rsidR="006219F1" w:rsidRPr="00025ACE" w:rsidRDefault="006219F1" w:rsidP="006219F1">
      <w:pPr>
        <w:numPr>
          <w:ilvl w:val="0"/>
          <w:numId w:val="26"/>
        </w:numPr>
        <w:tabs>
          <w:tab w:val="clear" w:pos="1440"/>
          <w:tab w:val="num" w:pos="426"/>
        </w:tabs>
        <w:overflowPunct w:val="0"/>
        <w:autoSpaceDE w:val="0"/>
        <w:autoSpaceDN w:val="0"/>
        <w:adjustRightInd w:val="0"/>
        <w:ind w:left="426" w:hanging="426"/>
        <w:jc w:val="both"/>
        <w:textAlignment w:val="baseline"/>
        <w:rPr>
          <w:rFonts w:cs="Arial"/>
          <w:lang w:val="en-GB"/>
        </w:rPr>
      </w:pPr>
      <w:r w:rsidRPr="00025ACE">
        <w:rPr>
          <w:rFonts w:cs="Arial"/>
          <w:lang w:val="en-GB"/>
        </w:rPr>
        <w:t>The frequency band 24.25-26.65 GHz is designated for the Ultra Wide</w:t>
      </w:r>
      <w:r w:rsidR="006C3A8B" w:rsidRPr="00025ACE">
        <w:rPr>
          <w:rFonts w:cs="Arial"/>
          <w:lang w:val="en-GB"/>
        </w:rPr>
        <w:t xml:space="preserve"> B</w:t>
      </w:r>
      <w:r w:rsidRPr="00025ACE">
        <w:rPr>
          <w:rFonts w:cs="Arial"/>
          <w:lang w:val="en-GB"/>
        </w:rPr>
        <w:t xml:space="preserve">and component of </w:t>
      </w:r>
      <w:r w:rsidR="006C3A8B" w:rsidRPr="00025ACE">
        <w:rPr>
          <w:rFonts w:cs="Arial"/>
          <w:lang w:val="en-GB"/>
        </w:rPr>
        <w:t>Automotive Short Range Radars (</w:t>
      </w:r>
      <w:r w:rsidRPr="00025ACE">
        <w:rPr>
          <w:rFonts w:cs="Arial"/>
          <w:lang w:val="en-GB"/>
        </w:rPr>
        <w:t>SRR</w:t>
      </w:r>
      <w:r w:rsidR="006C3A8B" w:rsidRPr="00025ACE">
        <w:rPr>
          <w:rFonts w:cs="Arial"/>
          <w:lang w:val="en-GB"/>
        </w:rPr>
        <w:t>)</w:t>
      </w:r>
      <w:r w:rsidRPr="00025ACE">
        <w:rPr>
          <w:rFonts w:cs="Arial"/>
          <w:lang w:val="en-GB"/>
        </w:rPr>
        <w:t xml:space="preserve"> devices, with a maximum mean e.i.r.p. density of </w:t>
      </w:r>
      <w:r w:rsidRPr="00025ACE">
        <w:rPr>
          <w:rFonts w:cs="Arial"/>
          <w:lang w:val="en-GB"/>
        </w:rPr>
        <w:noBreakHyphen/>
        <w:t>41.3 dBm/MHz and a peak e.i.r.p. density of 0 dBm/50MHz, until the reference date 1 January 2018 (this date is extended by 4 years for SRR equipment mounted on motor vehicles for which a type-approval application has been submitted and has been granted before 1 January 2018).</w:t>
      </w:r>
    </w:p>
    <w:p w:rsidR="006219F1" w:rsidRPr="00025ACE" w:rsidRDefault="006219F1" w:rsidP="006219F1">
      <w:pPr>
        <w:tabs>
          <w:tab w:val="num" w:pos="426"/>
        </w:tabs>
        <w:ind w:left="426" w:hanging="426"/>
        <w:jc w:val="both"/>
        <w:rPr>
          <w:rFonts w:cs="Arial"/>
          <w:lang w:val="en-GB"/>
        </w:rPr>
      </w:pPr>
    </w:p>
    <w:p w:rsidR="006219F1" w:rsidRPr="00025ACE" w:rsidRDefault="006219F1" w:rsidP="006219F1">
      <w:pPr>
        <w:numPr>
          <w:ilvl w:val="0"/>
          <w:numId w:val="26"/>
        </w:numPr>
        <w:tabs>
          <w:tab w:val="clear" w:pos="1440"/>
          <w:tab w:val="num" w:pos="426"/>
        </w:tabs>
        <w:overflowPunct w:val="0"/>
        <w:autoSpaceDE w:val="0"/>
        <w:autoSpaceDN w:val="0"/>
        <w:adjustRightInd w:val="0"/>
        <w:ind w:left="426" w:hanging="426"/>
        <w:jc w:val="both"/>
        <w:textAlignment w:val="baseline"/>
        <w:rPr>
          <w:rFonts w:cs="Arial"/>
          <w:lang w:val="en-GB"/>
        </w:rPr>
      </w:pPr>
      <w:r w:rsidRPr="00025ACE">
        <w:rPr>
          <w:rFonts w:cs="Arial"/>
          <w:lang w:val="en-GB"/>
        </w:rPr>
        <w:t>The maximum emitted power for the out-of-band emission in the band 23.6 GHz to 24 GHz shall not exceed -74 dBm/MHz e.i.r.p. Moreover, any emissions within the 23.6 GHz to 24 GHz band that appear 30° or greater above the horizontal plane shall be kept to a minimum considering typical antenna elevation pattern as depicted in figure 15 of ECC Report 158.</w:t>
      </w:r>
    </w:p>
    <w:p w:rsidR="006219F1" w:rsidRPr="00025ACE" w:rsidRDefault="006219F1" w:rsidP="006219F1">
      <w:pPr>
        <w:ind w:left="426"/>
        <w:jc w:val="both"/>
        <w:rPr>
          <w:rFonts w:cs="Arial"/>
          <w:lang w:val="en-GB"/>
        </w:rPr>
      </w:pPr>
    </w:p>
    <w:p w:rsidR="006219F1" w:rsidRPr="00025ACE" w:rsidRDefault="006219F1" w:rsidP="006219F1">
      <w:pPr>
        <w:numPr>
          <w:ilvl w:val="0"/>
          <w:numId w:val="26"/>
        </w:numPr>
        <w:tabs>
          <w:tab w:val="clear" w:pos="1440"/>
          <w:tab w:val="num" w:pos="426"/>
        </w:tabs>
        <w:overflowPunct w:val="0"/>
        <w:autoSpaceDE w:val="0"/>
        <w:autoSpaceDN w:val="0"/>
        <w:adjustRightInd w:val="0"/>
        <w:ind w:left="426" w:hanging="426"/>
        <w:jc w:val="both"/>
        <w:textAlignment w:val="baseline"/>
        <w:rPr>
          <w:rFonts w:cs="Arial"/>
          <w:lang w:val="en-GB"/>
        </w:rPr>
      </w:pPr>
      <w:r w:rsidRPr="00025ACE">
        <w:rPr>
          <w:rFonts w:cs="Arial"/>
          <w:lang w:val="en-GB"/>
        </w:rPr>
        <w:t>After 1 January 2018 (this date is extended by 4 years for SRR equipment mounted on motor vehicles for which a type-approval application has been submitted and has been granted before 1 January 2018), the 79 GHz range for new SRR systems, or alternative permitted technical solutions, must be used for road vehicle collision mitigation and traffic safety applications, while all existing equipment detailed in this annex may still operate to the end of lifetime of the vehicles.</w:t>
      </w:r>
    </w:p>
    <w:p w:rsidR="006219F1" w:rsidRPr="00025ACE" w:rsidRDefault="006219F1" w:rsidP="006219F1">
      <w:pPr>
        <w:rPr>
          <w:lang w:val="en-GB"/>
        </w:rPr>
      </w:pPr>
    </w:p>
    <w:p w:rsidR="006219F1" w:rsidRPr="00025ACE" w:rsidRDefault="006219F1" w:rsidP="006219F1">
      <w:pPr>
        <w:pStyle w:val="ECCAnnex-heading1"/>
      </w:pPr>
      <w:r w:rsidRPr="00025ACE">
        <w:lastRenderedPageBreak/>
        <w:t xml:space="preserve">list of radio astronomy sites for which automatic deactivation for </w:t>
      </w:r>
      <w:r w:rsidRPr="00025ACE">
        <w:br/>
        <w:t>SRR devices operating in the band 21.65-26.65 GH</w:t>
      </w:r>
      <w:r w:rsidRPr="00025ACE">
        <w:rPr>
          <w:caps w:val="0"/>
        </w:rPr>
        <w:t>z</w:t>
      </w:r>
      <w:r w:rsidRPr="00025ACE">
        <w:t xml:space="preserve"> is required with geographic coordinates and related separation distance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2093"/>
        <w:gridCol w:w="1984"/>
        <w:gridCol w:w="2090"/>
        <w:gridCol w:w="1738"/>
        <w:gridCol w:w="1950"/>
      </w:tblGrid>
      <w:tr w:rsidR="006219F1" w:rsidRPr="00025ACE" w:rsidTr="0039386B">
        <w:trPr>
          <w:tblHeader/>
        </w:trPr>
        <w:tc>
          <w:tcPr>
            <w:tcW w:w="2093" w:type="dxa"/>
            <w:tcBorders>
              <w:top w:val="single" w:sz="4" w:space="0" w:color="D2232A"/>
              <w:left w:val="single" w:sz="4" w:space="0" w:color="D2232A"/>
              <w:bottom w:val="single" w:sz="4" w:space="0" w:color="FFFFFF" w:themeColor="background1"/>
              <w:right w:val="single" w:sz="4" w:space="0" w:color="FFFFFF" w:themeColor="background1"/>
            </w:tcBorders>
            <w:shd w:val="clear" w:color="auto" w:fill="D2232A"/>
          </w:tcPr>
          <w:p w:rsidR="006219F1" w:rsidRPr="00025ACE" w:rsidRDefault="006219F1" w:rsidP="001A3118">
            <w:pPr>
              <w:spacing w:after="60"/>
              <w:jc w:val="center"/>
              <w:rPr>
                <w:rFonts w:cs="Arial"/>
                <w:b/>
                <w:color w:val="FFFFFF" w:themeColor="background1"/>
                <w:lang w:val="en-GB"/>
              </w:rPr>
            </w:pPr>
            <w:r w:rsidRPr="00025ACE">
              <w:rPr>
                <w:rFonts w:cs="Arial"/>
                <w:b/>
                <w:color w:val="FFFFFF" w:themeColor="background1"/>
                <w:lang w:val="en-GB"/>
              </w:rPr>
              <w:t>Country</w:t>
            </w:r>
          </w:p>
        </w:tc>
        <w:tc>
          <w:tcPr>
            <w:tcW w:w="1984" w:type="dxa"/>
            <w:tcBorders>
              <w:top w:val="single" w:sz="4" w:space="0" w:color="D2232A"/>
              <w:left w:val="single" w:sz="4" w:space="0" w:color="FFFFFF" w:themeColor="background1"/>
              <w:bottom w:val="single" w:sz="4" w:space="0" w:color="FFFFFF" w:themeColor="background1"/>
              <w:right w:val="single" w:sz="4" w:space="0" w:color="FFFFFF" w:themeColor="background1"/>
            </w:tcBorders>
            <w:shd w:val="clear" w:color="auto" w:fill="D2232A"/>
          </w:tcPr>
          <w:p w:rsidR="006219F1" w:rsidRPr="00025ACE" w:rsidRDefault="006219F1" w:rsidP="001A3118">
            <w:pPr>
              <w:spacing w:after="60"/>
              <w:jc w:val="center"/>
              <w:rPr>
                <w:rFonts w:cs="Arial"/>
                <w:b/>
                <w:color w:val="FFFFFF" w:themeColor="background1"/>
                <w:lang w:val="en-GB"/>
              </w:rPr>
            </w:pPr>
            <w:r w:rsidRPr="00025ACE">
              <w:rPr>
                <w:rFonts w:cs="Arial"/>
                <w:b/>
                <w:color w:val="FFFFFF" w:themeColor="background1"/>
                <w:lang w:val="en-GB"/>
              </w:rPr>
              <w:t>Name of the station</w:t>
            </w:r>
          </w:p>
        </w:tc>
        <w:tc>
          <w:tcPr>
            <w:tcW w:w="2090" w:type="dxa"/>
            <w:tcBorders>
              <w:top w:val="single" w:sz="4" w:space="0" w:color="D2232A"/>
              <w:left w:val="single" w:sz="4" w:space="0" w:color="FFFFFF" w:themeColor="background1"/>
              <w:bottom w:val="single" w:sz="4" w:space="0" w:color="FFFFFF" w:themeColor="background1"/>
              <w:right w:val="single" w:sz="4" w:space="0" w:color="FFFFFF" w:themeColor="background1"/>
            </w:tcBorders>
            <w:shd w:val="clear" w:color="auto" w:fill="D2232A"/>
          </w:tcPr>
          <w:p w:rsidR="006219F1" w:rsidRPr="00025ACE" w:rsidRDefault="006219F1" w:rsidP="001A3118">
            <w:pPr>
              <w:spacing w:after="60"/>
              <w:jc w:val="center"/>
              <w:rPr>
                <w:rFonts w:cs="Arial"/>
                <w:b/>
                <w:color w:val="FFFFFF" w:themeColor="background1"/>
                <w:lang w:val="en-GB"/>
              </w:rPr>
            </w:pPr>
            <w:r w:rsidRPr="00025ACE">
              <w:rPr>
                <w:rFonts w:cs="Arial"/>
                <w:b/>
                <w:color w:val="FFFFFF" w:themeColor="background1"/>
                <w:lang w:val="en-GB"/>
              </w:rPr>
              <w:t>Geographic</w:t>
            </w:r>
          </w:p>
          <w:p w:rsidR="006219F1" w:rsidRPr="00025ACE" w:rsidRDefault="006219F1" w:rsidP="001A3118">
            <w:pPr>
              <w:spacing w:after="60"/>
              <w:jc w:val="center"/>
              <w:rPr>
                <w:rFonts w:cs="Arial"/>
                <w:b/>
                <w:color w:val="FFFFFF" w:themeColor="background1"/>
                <w:lang w:val="en-GB"/>
              </w:rPr>
            </w:pPr>
            <w:r w:rsidRPr="00025ACE">
              <w:rPr>
                <w:rFonts w:cs="Arial"/>
                <w:b/>
                <w:color w:val="FFFFFF" w:themeColor="background1"/>
                <w:lang w:val="en-GB"/>
              </w:rPr>
              <w:t>Latitude</w:t>
            </w:r>
          </w:p>
        </w:tc>
        <w:tc>
          <w:tcPr>
            <w:tcW w:w="1738" w:type="dxa"/>
            <w:tcBorders>
              <w:top w:val="single" w:sz="4" w:space="0" w:color="D2232A"/>
              <w:left w:val="single" w:sz="4" w:space="0" w:color="FFFFFF" w:themeColor="background1"/>
              <w:bottom w:val="single" w:sz="4" w:space="0" w:color="FFFFFF" w:themeColor="background1"/>
              <w:right w:val="single" w:sz="4" w:space="0" w:color="FFFFFF" w:themeColor="background1"/>
            </w:tcBorders>
            <w:shd w:val="clear" w:color="auto" w:fill="D2232A"/>
          </w:tcPr>
          <w:p w:rsidR="006219F1" w:rsidRPr="00025ACE" w:rsidRDefault="006219F1" w:rsidP="001A3118">
            <w:pPr>
              <w:spacing w:after="60"/>
              <w:jc w:val="center"/>
              <w:rPr>
                <w:rFonts w:cs="Arial"/>
                <w:b/>
                <w:color w:val="FFFFFF" w:themeColor="background1"/>
                <w:lang w:val="en-GB"/>
              </w:rPr>
            </w:pPr>
            <w:r w:rsidRPr="00025ACE">
              <w:rPr>
                <w:rFonts w:cs="Arial"/>
                <w:b/>
                <w:color w:val="FFFFFF" w:themeColor="background1"/>
                <w:lang w:val="en-GB"/>
              </w:rPr>
              <w:t>Geographic</w:t>
            </w:r>
          </w:p>
          <w:p w:rsidR="006219F1" w:rsidRPr="00025ACE" w:rsidRDefault="006219F1" w:rsidP="001A3118">
            <w:pPr>
              <w:spacing w:after="60"/>
              <w:jc w:val="center"/>
              <w:rPr>
                <w:rFonts w:cs="Arial"/>
                <w:b/>
                <w:color w:val="FFFFFF" w:themeColor="background1"/>
                <w:lang w:val="en-GB"/>
              </w:rPr>
            </w:pPr>
            <w:r w:rsidRPr="00025ACE">
              <w:rPr>
                <w:rFonts w:cs="Arial"/>
                <w:b/>
                <w:color w:val="FFFFFF" w:themeColor="background1"/>
                <w:lang w:val="en-GB"/>
              </w:rPr>
              <w:t>Longitude</w:t>
            </w:r>
          </w:p>
        </w:tc>
        <w:tc>
          <w:tcPr>
            <w:tcW w:w="1950" w:type="dxa"/>
            <w:tcBorders>
              <w:top w:val="single" w:sz="4" w:space="0" w:color="D2232A"/>
              <w:left w:val="single" w:sz="4" w:space="0" w:color="FFFFFF" w:themeColor="background1"/>
              <w:bottom w:val="single" w:sz="4" w:space="0" w:color="FFFFFF" w:themeColor="background1"/>
              <w:right w:val="single" w:sz="4" w:space="0" w:color="D2232A"/>
            </w:tcBorders>
            <w:shd w:val="clear" w:color="auto" w:fill="D2232A"/>
          </w:tcPr>
          <w:p w:rsidR="006219F1" w:rsidRPr="00025ACE" w:rsidRDefault="006219F1" w:rsidP="001A3118">
            <w:pPr>
              <w:spacing w:after="60"/>
              <w:jc w:val="center"/>
              <w:rPr>
                <w:rFonts w:cs="Arial"/>
                <w:b/>
                <w:color w:val="FFFFFF" w:themeColor="background1"/>
                <w:lang w:val="en-GB"/>
              </w:rPr>
            </w:pPr>
            <w:r w:rsidRPr="00025ACE">
              <w:rPr>
                <w:rFonts w:cs="Arial"/>
                <w:b/>
                <w:color w:val="FFFFFF" w:themeColor="background1"/>
                <w:lang w:val="en-GB"/>
              </w:rPr>
              <w:t>Separation distance (km)</w:t>
            </w:r>
          </w:p>
        </w:tc>
      </w:tr>
      <w:tr w:rsidR="006219F1" w:rsidRPr="00025ACE" w:rsidTr="0039386B">
        <w:tc>
          <w:tcPr>
            <w:tcW w:w="2093" w:type="dxa"/>
            <w:tcBorders>
              <w:top w:val="single" w:sz="4" w:space="0" w:color="FFFFFF" w:themeColor="background1"/>
              <w:left w:val="single" w:sz="4" w:space="0" w:color="D2232A"/>
              <w:bottom w:val="single" w:sz="4" w:space="0" w:color="D2232A"/>
              <w:right w:val="single" w:sz="4" w:space="0" w:color="D2232A"/>
            </w:tcBorders>
          </w:tcPr>
          <w:p w:rsidR="006219F1" w:rsidRPr="00025ACE" w:rsidRDefault="006219F1" w:rsidP="0039386B">
            <w:pPr>
              <w:spacing w:after="120"/>
              <w:rPr>
                <w:rFonts w:cs="Arial"/>
                <w:lang w:val="en-GB"/>
              </w:rPr>
            </w:pPr>
            <w:r w:rsidRPr="00025ACE">
              <w:rPr>
                <w:rFonts w:cs="Arial"/>
                <w:lang w:val="en-GB"/>
              </w:rPr>
              <w:t>France</w:t>
            </w:r>
          </w:p>
        </w:tc>
        <w:tc>
          <w:tcPr>
            <w:tcW w:w="1984" w:type="dxa"/>
            <w:tcBorders>
              <w:top w:val="single" w:sz="4" w:space="0" w:color="FFFFFF" w:themeColor="background1"/>
              <w:left w:val="single" w:sz="4" w:space="0" w:color="D2232A"/>
              <w:bottom w:val="single" w:sz="4" w:space="0" w:color="D2232A"/>
              <w:right w:val="single" w:sz="4" w:space="0" w:color="D2232A"/>
            </w:tcBorders>
          </w:tcPr>
          <w:p w:rsidR="006219F1" w:rsidRPr="00025ACE" w:rsidRDefault="006219F1" w:rsidP="0039386B">
            <w:pPr>
              <w:spacing w:after="120"/>
              <w:rPr>
                <w:rFonts w:cs="Arial"/>
                <w:lang w:val="en-GB"/>
              </w:rPr>
            </w:pPr>
            <w:r w:rsidRPr="00025ACE">
              <w:rPr>
                <w:rFonts w:cs="Arial"/>
                <w:lang w:val="en-GB"/>
              </w:rPr>
              <w:t>Plateau de Bure</w:t>
            </w:r>
          </w:p>
        </w:tc>
        <w:tc>
          <w:tcPr>
            <w:tcW w:w="2090" w:type="dxa"/>
            <w:tcBorders>
              <w:top w:val="single" w:sz="4" w:space="0" w:color="FFFFFF" w:themeColor="background1"/>
              <w:left w:val="single" w:sz="4" w:space="0" w:color="D2232A"/>
              <w:bottom w:val="single" w:sz="4" w:space="0" w:color="D2232A"/>
              <w:right w:val="single" w:sz="4" w:space="0" w:color="D2232A"/>
            </w:tcBorders>
          </w:tcPr>
          <w:p w:rsidR="006219F1" w:rsidRPr="00025ACE" w:rsidRDefault="006219F1" w:rsidP="0039386B">
            <w:pPr>
              <w:spacing w:after="120"/>
              <w:rPr>
                <w:rFonts w:cs="Arial"/>
                <w:lang w:val="en-GB"/>
              </w:rPr>
            </w:pPr>
            <w:r w:rsidRPr="00025ACE">
              <w:rPr>
                <w:rFonts w:cs="Arial"/>
                <w:lang w:val="en-GB"/>
              </w:rPr>
              <w:t>44°38’01" N</w:t>
            </w:r>
          </w:p>
        </w:tc>
        <w:tc>
          <w:tcPr>
            <w:tcW w:w="1738" w:type="dxa"/>
            <w:tcBorders>
              <w:top w:val="single" w:sz="4" w:space="0" w:color="FFFFFF" w:themeColor="background1"/>
              <w:left w:val="single" w:sz="4" w:space="0" w:color="D2232A"/>
              <w:bottom w:val="single" w:sz="4" w:space="0" w:color="D2232A"/>
              <w:right w:val="single" w:sz="4" w:space="0" w:color="D2232A"/>
            </w:tcBorders>
          </w:tcPr>
          <w:p w:rsidR="006219F1" w:rsidRPr="00025ACE" w:rsidRDefault="006219F1" w:rsidP="0039386B">
            <w:pPr>
              <w:spacing w:after="120"/>
              <w:rPr>
                <w:rFonts w:cs="Arial"/>
                <w:lang w:val="en-GB"/>
              </w:rPr>
            </w:pPr>
            <w:r w:rsidRPr="00025ACE">
              <w:rPr>
                <w:rFonts w:cs="Arial"/>
                <w:lang w:val="en-GB"/>
              </w:rPr>
              <w:t>05°54’26" E</w:t>
            </w:r>
          </w:p>
        </w:tc>
        <w:tc>
          <w:tcPr>
            <w:tcW w:w="1950" w:type="dxa"/>
            <w:tcBorders>
              <w:top w:val="single" w:sz="4" w:space="0" w:color="FFFFFF" w:themeColor="background1"/>
              <w:left w:val="single" w:sz="4" w:space="0" w:color="D2232A"/>
              <w:bottom w:val="single" w:sz="4" w:space="0" w:color="D2232A"/>
              <w:right w:val="single" w:sz="4" w:space="0" w:color="D2232A"/>
            </w:tcBorders>
          </w:tcPr>
          <w:p w:rsidR="006219F1" w:rsidRPr="00025ACE" w:rsidRDefault="006219F1" w:rsidP="0039386B">
            <w:pPr>
              <w:spacing w:after="120"/>
              <w:rPr>
                <w:rFonts w:cs="Arial"/>
                <w:lang w:val="en-GB"/>
              </w:rPr>
            </w:pPr>
            <w:r w:rsidRPr="00025ACE">
              <w:rPr>
                <w:rFonts w:cs="Arial"/>
                <w:lang w:val="en-GB"/>
              </w:rPr>
              <w:t xml:space="preserve">35 </w:t>
            </w:r>
          </w:p>
        </w:tc>
      </w:tr>
      <w:tr w:rsidR="006219F1" w:rsidRPr="00025ACE" w:rsidTr="0039386B">
        <w:tc>
          <w:tcPr>
            <w:tcW w:w="2093" w:type="dxa"/>
            <w:tcBorders>
              <w:top w:val="single" w:sz="4" w:space="0" w:color="FFFFFF" w:themeColor="background1"/>
              <w:left w:val="single" w:sz="4" w:space="0" w:color="D2232A"/>
              <w:bottom w:val="single" w:sz="4" w:space="0" w:color="D2232A"/>
              <w:right w:val="single" w:sz="4" w:space="0" w:color="D2232A"/>
            </w:tcBorders>
          </w:tcPr>
          <w:p w:rsidR="006219F1" w:rsidRPr="00025ACE" w:rsidRDefault="006219F1" w:rsidP="0039386B">
            <w:pPr>
              <w:spacing w:after="120"/>
              <w:rPr>
                <w:rFonts w:cs="Arial"/>
                <w:lang w:val="en-GB"/>
              </w:rPr>
            </w:pPr>
            <w:r w:rsidRPr="00025ACE">
              <w:rPr>
                <w:rFonts w:cs="Arial"/>
                <w:lang w:val="en-GB"/>
              </w:rPr>
              <w:t>Germany</w:t>
            </w:r>
          </w:p>
        </w:tc>
        <w:tc>
          <w:tcPr>
            <w:tcW w:w="1984" w:type="dxa"/>
            <w:tcBorders>
              <w:top w:val="single" w:sz="4" w:space="0" w:color="FFFFFF" w:themeColor="background1"/>
              <w:left w:val="single" w:sz="4" w:space="0" w:color="D2232A"/>
              <w:bottom w:val="single" w:sz="4" w:space="0" w:color="D2232A"/>
              <w:right w:val="single" w:sz="4" w:space="0" w:color="D2232A"/>
            </w:tcBorders>
          </w:tcPr>
          <w:p w:rsidR="006219F1" w:rsidRPr="00025ACE" w:rsidRDefault="006219F1" w:rsidP="0039386B">
            <w:pPr>
              <w:spacing w:after="120"/>
              <w:rPr>
                <w:rFonts w:cs="Arial"/>
                <w:lang w:val="en-GB"/>
              </w:rPr>
            </w:pPr>
            <w:proofErr w:type="spellStart"/>
            <w:r w:rsidRPr="00025ACE">
              <w:rPr>
                <w:rFonts w:cs="Arial"/>
                <w:lang w:val="en-GB"/>
              </w:rPr>
              <w:t>Effelsberg</w:t>
            </w:r>
            <w:proofErr w:type="spellEnd"/>
          </w:p>
        </w:tc>
        <w:tc>
          <w:tcPr>
            <w:tcW w:w="2090" w:type="dxa"/>
            <w:tcBorders>
              <w:top w:val="single" w:sz="4" w:space="0" w:color="FFFFFF" w:themeColor="background1"/>
              <w:left w:val="single" w:sz="4" w:space="0" w:color="D2232A"/>
              <w:bottom w:val="single" w:sz="4" w:space="0" w:color="D2232A"/>
              <w:right w:val="single" w:sz="4" w:space="0" w:color="D2232A"/>
            </w:tcBorders>
          </w:tcPr>
          <w:p w:rsidR="006219F1" w:rsidRPr="00025ACE" w:rsidRDefault="006219F1" w:rsidP="0039386B">
            <w:pPr>
              <w:spacing w:after="120"/>
              <w:rPr>
                <w:rFonts w:cs="Arial"/>
                <w:lang w:val="en-GB"/>
              </w:rPr>
            </w:pPr>
            <w:r w:rsidRPr="00025ACE">
              <w:rPr>
                <w:rFonts w:cs="Arial"/>
                <w:lang w:val="en-GB"/>
              </w:rPr>
              <w:t>50°31’32" N</w:t>
            </w:r>
          </w:p>
        </w:tc>
        <w:tc>
          <w:tcPr>
            <w:tcW w:w="1738" w:type="dxa"/>
            <w:tcBorders>
              <w:top w:val="single" w:sz="4" w:space="0" w:color="FFFFFF" w:themeColor="background1"/>
              <w:left w:val="single" w:sz="4" w:space="0" w:color="D2232A"/>
              <w:bottom w:val="single" w:sz="4" w:space="0" w:color="D2232A"/>
              <w:right w:val="single" w:sz="4" w:space="0" w:color="D2232A"/>
            </w:tcBorders>
          </w:tcPr>
          <w:p w:rsidR="006219F1" w:rsidRPr="00025ACE" w:rsidRDefault="006219F1" w:rsidP="0039386B">
            <w:pPr>
              <w:spacing w:after="120"/>
              <w:rPr>
                <w:rFonts w:cs="Arial"/>
                <w:lang w:val="en-GB"/>
              </w:rPr>
            </w:pPr>
            <w:r w:rsidRPr="00025ACE">
              <w:rPr>
                <w:rFonts w:cs="Arial"/>
                <w:lang w:val="en-GB"/>
              </w:rPr>
              <w:t>06°53’00" E</w:t>
            </w:r>
          </w:p>
        </w:tc>
        <w:tc>
          <w:tcPr>
            <w:tcW w:w="1950" w:type="dxa"/>
            <w:tcBorders>
              <w:top w:val="single" w:sz="4" w:space="0" w:color="FFFFFF" w:themeColor="background1"/>
              <w:left w:val="single" w:sz="4" w:space="0" w:color="D2232A"/>
              <w:bottom w:val="single" w:sz="4" w:space="0" w:color="D2232A"/>
              <w:right w:val="single" w:sz="4" w:space="0" w:color="D2232A"/>
            </w:tcBorders>
          </w:tcPr>
          <w:p w:rsidR="006219F1" w:rsidRPr="00025ACE" w:rsidRDefault="006219F1" w:rsidP="0039386B">
            <w:pPr>
              <w:spacing w:after="120"/>
              <w:rPr>
                <w:rFonts w:cs="Arial"/>
                <w:lang w:val="en-GB"/>
              </w:rPr>
            </w:pPr>
            <w:r w:rsidRPr="00025ACE">
              <w:rPr>
                <w:rFonts w:cs="Arial"/>
                <w:lang w:val="en-GB"/>
              </w:rPr>
              <w:t xml:space="preserve">  6.5 </w:t>
            </w:r>
          </w:p>
        </w:tc>
      </w:tr>
      <w:tr w:rsidR="006219F1" w:rsidRPr="00025ACE" w:rsidTr="0039386B">
        <w:tc>
          <w:tcPr>
            <w:tcW w:w="2093" w:type="dxa"/>
            <w:tcBorders>
              <w:top w:val="single" w:sz="4" w:space="0" w:color="FFFFFF" w:themeColor="background1"/>
              <w:left w:val="single" w:sz="4" w:space="0" w:color="D2232A"/>
              <w:bottom w:val="single" w:sz="4" w:space="0" w:color="D2232A"/>
              <w:right w:val="single" w:sz="4" w:space="0" w:color="D2232A"/>
            </w:tcBorders>
          </w:tcPr>
          <w:p w:rsidR="006219F1" w:rsidRPr="00025ACE" w:rsidRDefault="006219F1" w:rsidP="0039386B">
            <w:pPr>
              <w:spacing w:after="120"/>
              <w:rPr>
                <w:rFonts w:cs="Arial"/>
                <w:lang w:val="en-GB"/>
              </w:rPr>
            </w:pPr>
            <w:r w:rsidRPr="00025ACE">
              <w:rPr>
                <w:rFonts w:cs="Arial"/>
                <w:lang w:val="en-GB"/>
              </w:rPr>
              <w:t>Spain</w:t>
            </w:r>
          </w:p>
        </w:tc>
        <w:tc>
          <w:tcPr>
            <w:tcW w:w="1984" w:type="dxa"/>
            <w:tcBorders>
              <w:top w:val="single" w:sz="4" w:space="0" w:color="FFFFFF" w:themeColor="background1"/>
              <w:left w:val="single" w:sz="4" w:space="0" w:color="D2232A"/>
              <w:bottom w:val="single" w:sz="4" w:space="0" w:color="D2232A"/>
              <w:right w:val="single" w:sz="4" w:space="0" w:color="D2232A"/>
            </w:tcBorders>
          </w:tcPr>
          <w:p w:rsidR="006219F1" w:rsidRPr="00025ACE" w:rsidRDefault="006219F1" w:rsidP="0039386B">
            <w:pPr>
              <w:spacing w:after="120"/>
              <w:rPr>
                <w:rFonts w:cs="Arial"/>
                <w:lang w:val="en-GB"/>
              </w:rPr>
            </w:pPr>
            <w:proofErr w:type="spellStart"/>
            <w:r w:rsidRPr="00025ACE">
              <w:rPr>
                <w:rFonts w:cs="Arial"/>
                <w:lang w:val="en-GB"/>
              </w:rPr>
              <w:t>Yebes</w:t>
            </w:r>
            <w:proofErr w:type="spellEnd"/>
          </w:p>
        </w:tc>
        <w:tc>
          <w:tcPr>
            <w:tcW w:w="2090" w:type="dxa"/>
            <w:tcBorders>
              <w:top w:val="single" w:sz="4" w:space="0" w:color="FFFFFF" w:themeColor="background1"/>
              <w:left w:val="single" w:sz="4" w:space="0" w:color="D2232A"/>
              <w:bottom w:val="single" w:sz="4" w:space="0" w:color="D2232A"/>
              <w:right w:val="single" w:sz="4" w:space="0" w:color="D2232A"/>
            </w:tcBorders>
          </w:tcPr>
          <w:p w:rsidR="006219F1" w:rsidRPr="00025ACE" w:rsidRDefault="006219F1" w:rsidP="0039386B">
            <w:pPr>
              <w:spacing w:after="120"/>
              <w:rPr>
                <w:rFonts w:cs="Arial"/>
                <w:lang w:val="en-GB"/>
              </w:rPr>
            </w:pPr>
            <w:r w:rsidRPr="00025ACE">
              <w:rPr>
                <w:rFonts w:cs="Arial"/>
                <w:lang w:val="en-GB"/>
              </w:rPr>
              <w:t>40°31’27" N</w:t>
            </w:r>
          </w:p>
        </w:tc>
        <w:tc>
          <w:tcPr>
            <w:tcW w:w="1738" w:type="dxa"/>
            <w:tcBorders>
              <w:top w:val="single" w:sz="4" w:space="0" w:color="FFFFFF" w:themeColor="background1"/>
              <w:left w:val="single" w:sz="4" w:space="0" w:color="D2232A"/>
              <w:bottom w:val="single" w:sz="4" w:space="0" w:color="D2232A"/>
              <w:right w:val="single" w:sz="4" w:space="0" w:color="D2232A"/>
            </w:tcBorders>
          </w:tcPr>
          <w:p w:rsidR="006219F1" w:rsidRPr="00025ACE" w:rsidRDefault="006219F1" w:rsidP="0039386B">
            <w:pPr>
              <w:spacing w:after="120"/>
              <w:rPr>
                <w:rFonts w:cs="Arial"/>
                <w:lang w:val="en-GB"/>
              </w:rPr>
            </w:pPr>
            <w:r w:rsidRPr="00025ACE">
              <w:rPr>
                <w:rFonts w:cs="Arial"/>
                <w:lang w:val="en-GB"/>
              </w:rPr>
              <w:t>03°05’22" W</w:t>
            </w:r>
          </w:p>
        </w:tc>
        <w:tc>
          <w:tcPr>
            <w:tcW w:w="1950" w:type="dxa"/>
            <w:tcBorders>
              <w:top w:val="single" w:sz="4" w:space="0" w:color="FFFFFF" w:themeColor="background1"/>
              <w:left w:val="single" w:sz="4" w:space="0" w:color="D2232A"/>
              <w:bottom w:val="single" w:sz="4" w:space="0" w:color="D2232A"/>
              <w:right w:val="single" w:sz="4" w:space="0" w:color="D2232A"/>
            </w:tcBorders>
          </w:tcPr>
          <w:p w:rsidR="006219F1" w:rsidRPr="00025ACE" w:rsidRDefault="006219F1" w:rsidP="0039386B">
            <w:pPr>
              <w:spacing w:after="120"/>
              <w:rPr>
                <w:rFonts w:cs="Arial"/>
                <w:lang w:val="en-GB"/>
              </w:rPr>
            </w:pPr>
            <w:r w:rsidRPr="00025ACE">
              <w:rPr>
                <w:rFonts w:cs="Arial"/>
                <w:lang w:val="en-GB"/>
              </w:rPr>
              <w:t>15</w:t>
            </w:r>
          </w:p>
        </w:tc>
      </w:tr>
      <w:tr w:rsidR="006219F1" w:rsidRPr="00025ACE" w:rsidTr="0039386B">
        <w:tc>
          <w:tcPr>
            <w:tcW w:w="2093" w:type="dxa"/>
            <w:tcBorders>
              <w:top w:val="single" w:sz="4" w:space="0" w:color="FFFFFF" w:themeColor="background1"/>
              <w:left w:val="single" w:sz="4" w:space="0" w:color="D2232A"/>
              <w:bottom w:val="single" w:sz="4" w:space="0" w:color="D2232A"/>
              <w:right w:val="single" w:sz="4" w:space="0" w:color="D2232A"/>
            </w:tcBorders>
          </w:tcPr>
          <w:p w:rsidR="006219F1" w:rsidRPr="00025ACE" w:rsidRDefault="006219F1" w:rsidP="0039386B">
            <w:pPr>
              <w:spacing w:after="120"/>
              <w:rPr>
                <w:rFonts w:cs="Arial"/>
                <w:lang w:val="en-GB"/>
              </w:rPr>
            </w:pPr>
          </w:p>
        </w:tc>
        <w:tc>
          <w:tcPr>
            <w:tcW w:w="1984" w:type="dxa"/>
            <w:tcBorders>
              <w:top w:val="single" w:sz="4" w:space="0" w:color="FFFFFF" w:themeColor="background1"/>
              <w:left w:val="single" w:sz="4" w:space="0" w:color="D2232A"/>
              <w:bottom w:val="single" w:sz="4" w:space="0" w:color="D2232A"/>
              <w:right w:val="single" w:sz="4" w:space="0" w:color="D2232A"/>
            </w:tcBorders>
          </w:tcPr>
          <w:p w:rsidR="006219F1" w:rsidRPr="00025ACE" w:rsidRDefault="006219F1" w:rsidP="0039386B">
            <w:pPr>
              <w:spacing w:after="120"/>
              <w:rPr>
                <w:rFonts w:cs="Arial"/>
                <w:lang w:val="en-GB"/>
              </w:rPr>
            </w:pPr>
            <w:r w:rsidRPr="00025ACE">
              <w:rPr>
                <w:rFonts w:cs="Arial"/>
                <w:lang w:val="en-GB"/>
              </w:rPr>
              <w:t>Robledo</w:t>
            </w:r>
          </w:p>
        </w:tc>
        <w:tc>
          <w:tcPr>
            <w:tcW w:w="2090" w:type="dxa"/>
            <w:tcBorders>
              <w:top w:val="single" w:sz="4" w:space="0" w:color="FFFFFF" w:themeColor="background1"/>
              <w:left w:val="single" w:sz="4" w:space="0" w:color="D2232A"/>
              <w:bottom w:val="single" w:sz="4" w:space="0" w:color="D2232A"/>
              <w:right w:val="single" w:sz="4" w:space="0" w:color="D2232A"/>
            </w:tcBorders>
          </w:tcPr>
          <w:p w:rsidR="006219F1" w:rsidRPr="00025ACE" w:rsidRDefault="006219F1" w:rsidP="0039386B">
            <w:pPr>
              <w:spacing w:after="120"/>
              <w:rPr>
                <w:rFonts w:cs="Arial"/>
                <w:lang w:val="en-GB"/>
              </w:rPr>
            </w:pPr>
            <w:r w:rsidRPr="00025ACE">
              <w:rPr>
                <w:rFonts w:cs="Arial"/>
                <w:lang w:val="en-GB"/>
              </w:rPr>
              <w:t>40</w:t>
            </w:r>
            <w:r w:rsidRPr="00025ACE">
              <w:rPr>
                <w:rFonts w:cs="Arial"/>
                <w:vertAlign w:val="superscript"/>
                <w:lang w:val="en-GB"/>
              </w:rPr>
              <w:t>o</w:t>
            </w:r>
            <w:r w:rsidRPr="00025ACE">
              <w:rPr>
                <w:rFonts w:cs="Arial"/>
                <w:lang w:val="en-GB"/>
              </w:rPr>
              <w:t>25’38" N</w:t>
            </w:r>
          </w:p>
        </w:tc>
        <w:tc>
          <w:tcPr>
            <w:tcW w:w="1738" w:type="dxa"/>
            <w:tcBorders>
              <w:top w:val="single" w:sz="4" w:space="0" w:color="FFFFFF" w:themeColor="background1"/>
              <w:left w:val="single" w:sz="4" w:space="0" w:color="D2232A"/>
              <w:bottom w:val="single" w:sz="4" w:space="0" w:color="D2232A"/>
              <w:right w:val="single" w:sz="4" w:space="0" w:color="D2232A"/>
            </w:tcBorders>
          </w:tcPr>
          <w:p w:rsidR="006219F1" w:rsidRPr="00025ACE" w:rsidRDefault="006219F1" w:rsidP="0039386B">
            <w:pPr>
              <w:spacing w:after="120"/>
              <w:rPr>
                <w:rFonts w:cs="Arial"/>
                <w:lang w:val="en-GB"/>
              </w:rPr>
            </w:pPr>
            <w:r w:rsidRPr="00025ACE">
              <w:rPr>
                <w:rFonts w:cs="Arial"/>
                <w:lang w:val="en-GB"/>
              </w:rPr>
              <w:t>04°14’57" W</w:t>
            </w:r>
          </w:p>
        </w:tc>
        <w:tc>
          <w:tcPr>
            <w:tcW w:w="1950" w:type="dxa"/>
            <w:tcBorders>
              <w:top w:val="single" w:sz="4" w:space="0" w:color="FFFFFF" w:themeColor="background1"/>
              <w:left w:val="single" w:sz="4" w:space="0" w:color="D2232A"/>
              <w:bottom w:val="single" w:sz="4" w:space="0" w:color="D2232A"/>
              <w:right w:val="single" w:sz="4" w:space="0" w:color="D2232A"/>
            </w:tcBorders>
          </w:tcPr>
          <w:p w:rsidR="006219F1" w:rsidRPr="00025ACE" w:rsidRDefault="006219F1" w:rsidP="0039386B">
            <w:pPr>
              <w:spacing w:after="120"/>
              <w:rPr>
                <w:rFonts w:cs="Arial"/>
                <w:lang w:val="en-GB"/>
              </w:rPr>
            </w:pPr>
            <w:r w:rsidRPr="00025ACE">
              <w:rPr>
                <w:rFonts w:cs="Arial"/>
                <w:lang w:val="en-GB"/>
              </w:rPr>
              <w:t xml:space="preserve">  7</w:t>
            </w:r>
          </w:p>
        </w:tc>
      </w:tr>
      <w:tr w:rsidR="006219F1" w:rsidRPr="00025ACE" w:rsidTr="0039386B">
        <w:tc>
          <w:tcPr>
            <w:tcW w:w="2093" w:type="dxa"/>
            <w:tcBorders>
              <w:top w:val="single" w:sz="4" w:space="0" w:color="FFFFFF" w:themeColor="background1"/>
              <w:left w:val="single" w:sz="4" w:space="0" w:color="D2232A"/>
              <w:bottom w:val="single" w:sz="4" w:space="0" w:color="D2232A"/>
              <w:right w:val="single" w:sz="4" w:space="0" w:color="D2232A"/>
            </w:tcBorders>
          </w:tcPr>
          <w:p w:rsidR="006219F1" w:rsidRPr="00025ACE" w:rsidRDefault="006219F1" w:rsidP="0039386B">
            <w:pPr>
              <w:spacing w:after="120"/>
              <w:rPr>
                <w:rFonts w:cs="Arial"/>
                <w:lang w:val="en-GB"/>
              </w:rPr>
            </w:pPr>
            <w:r w:rsidRPr="00025ACE">
              <w:rPr>
                <w:rFonts w:cs="Arial"/>
                <w:lang w:val="en-GB"/>
              </w:rPr>
              <w:t>Finland</w:t>
            </w:r>
          </w:p>
        </w:tc>
        <w:tc>
          <w:tcPr>
            <w:tcW w:w="1984" w:type="dxa"/>
            <w:tcBorders>
              <w:top w:val="single" w:sz="4" w:space="0" w:color="FFFFFF" w:themeColor="background1"/>
              <w:left w:val="single" w:sz="4" w:space="0" w:color="D2232A"/>
              <w:bottom w:val="single" w:sz="4" w:space="0" w:color="D2232A"/>
              <w:right w:val="single" w:sz="4" w:space="0" w:color="D2232A"/>
            </w:tcBorders>
          </w:tcPr>
          <w:p w:rsidR="006219F1" w:rsidRPr="00025ACE" w:rsidRDefault="006219F1" w:rsidP="0039386B">
            <w:pPr>
              <w:spacing w:after="120"/>
              <w:rPr>
                <w:rFonts w:cs="Arial"/>
                <w:lang w:val="en-GB"/>
              </w:rPr>
            </w:pPr>
            <w:proofErr w:type="spellStart"/>
            <w:r w:rsidRPr="00025ACE">
              <w:rPr>
                <w:rFonts w:cs="Arial"/>
                <w:lang w:val="en-GB"/>
              </w:rPr>
              <w:t>Metsähovi</w:t>
            </w:r>
            <w:proofErr w:type="spellEnd"/>
          </w:p>
        </w:tc>
        <w:tc>
          <w:tcPr>
            <w:tcW w:w="2090" w:type="dxa"/>
            <w:tcBorders>
              <w:top w:val="single" w:sz="4" w:space="0" w:color="FFFFFF" w:themeColor="background1"/>
              <w:left w:val="single" w:sz="4" w:space="0" w:color="D2232A"/>
              <w:bottom w:val="single" w:sz="4" w:space="0" w:color="D2232A"/>
              <w:right w:val="single" w:sz="4" w:space="0" w:color="D2232A"/>
            </w:tcBorders>
          </w:tcPr>
          <w:p w:rsidR="006219F1" w:rsidRPr="00025ACE" w:rsidRDefault="006219F1" w:rsidP="0039386B">
            <w:pPr>
              <w:spacing w:after="120"/>
              <w:rPr>
                <w:rFonts w:cs="Arial"/>
                <w:lang w:val="en-GB"/>
              </w:rPr>
            </w:pPr>
            <w:r w:rsidRPr="00025ACE">
              <w:rPr>
                <w:rFonts w:cs="Arial"/>
                <w:lang w:val="en-GB"/>
              </w:rPr>
              <w:t>60°13’04" N</w:t>
            </w:r>
          </w:p>
        </w:tc>
        <w:tc>
          <w:tcPr>
            <w:tcW w:w="1738" w:type="dxa"/>
            <w:tcBorders>
              <w:top w:val="single" w:sz="4" w:space="0" w:color="FFFFFF" w:themeColor="background1"/>
              <w:left w:val="single" w:sz="4" w:space="0" w:color="D2232A"/>
              <w:bottom w:val="single" w:sz="4" w:space="0" w:color="D2232A"/>
              <w:right w:val="single" w:sz="4" w:space="0" w:color="D2232A"/>
            </w:tcBorders>
          </w:tcPr>
          <w:p w:rsidR="006219F1" w:rsidRPr="00025ACE" w:rsidRDefault="006219F1" w:rsidP="0039386B">
            <w:pPr>
              <w:spacing w:after="120"/>
              <w:rPr>
                <w:rFonts w:cs="Arial"/>
                <w:lang w:val="en-GB"/>
              </w:rPr>
            </w:pPr>
            <w:bookmarkStart w:id="2" w:name="OLE_LINK1"/>
            <w:bookmarkStart w:id="3" w:name="OLE_LINK2"/>
            <w:r w:rsidRPr="00025ACE">
              <w:rPr>
                <w:rFonts w:cs="Arial"/>
                <w:lang w:val="en-GB"/>
              </w:rPr>
              <w:t>24°23’37" E</w:t>
            </w:r>
            <w:bookmarkEnd w:id="2"/>
            <w:bookmarkEnd w:id="3"/>
          </w:p>
        </w:tc>
        <w:tc>
          <w:tcPr>
            <w:tcW w:w="1950" w:type="dxa"/>
            <w:tcBorders>
              <w:top w:val="single" w:sz="4" w:space="0" w:color="FFFFFF" w:themeColor="background1"/>
              <w:left w:val="single" w:sz="4" w:space="0" w:color="D2232A"/>
              <w:bottom w:val="single" w:sz="4" w:space="0" w:color="D2232A"/>
              <w:right w:val="single" w:sz="4" w:space="0" w:color="D2232A"/>
            </w:tcBorders>
          </w:tcPr>
          <w:p w:rsidR="006219F1" w:rsidRPr="00025ACE" w:rsidRDefault="006219F1" w:rsidP="0039386B">
            <w:pPr>
              <w:spacing w:after="120"/>
              <w:rPr>
                <w:rFonts w:cs="Arial"/>
                <w:lang w:val="en-GB"/>
              </w:rPr>
            </w:pPr>
            <w:r w:rsidRPr="00025ACE">
              <w:rPr>
                <w:rFonts w:cs="Arial"/>
                <w:lang w:val="en-GB"/>
              </w:rPr>
              <w:t xml:space="preserve">  7 </w:t>
            </w:r>
          </w:p>
        </w:tc>
      </w:tr>
      <w:tr w:rsidR="006219F1" w:rsidRPr="00025ACE" w:rsidTr="0039386B">
        <w:tc>
          <w:tcPr>
            <w:tcW w:w="2093" w:type="dxa"/>
            <w:tcBorders>
              <w:top w:val="single" w:sz="4" w:space="0" w:color="FFFFFF" w:themeColor="background1"/>
              <w:left w:val="single" w:sz="4" w:space="0" w:color="D2232A"/>
              <w:bottom w:val="single" w:sz="4" w:space="0" w:color="D2232A"/>
              <w:right w:val="single" w:sz="4" w:space="0" w:color="D2232A"/>
            </w:tcBorders>
          </w:tcPr>
          <w:p w:rsidR="006219F1" w:rsidRPr="00025ACE" w:rsidRDefault="006219F1" w:rsidP="0039386B">
            <w:pPr>
              <w:spacing w:after="120"/>
              <w:rPr>
                <w:rFonts w:cs="Arial"/>
                <w:lang w:val="en-GB"/>
              </w:rPr>
            </w:pPr>
          </w:p>
        </w:tc>
        <w:tc>
          <w:tcPr>
            <w:tcW w:w="1984" w:type="dxa"/>
            <w:tcBorders>
              <w:top w:val="single" w:sz="4" w:space="0" w:color="FFFFFF" w:themeColor="background1"/>
              <w:left w:val="single" w:sz="4" w:space="0" w:color="D2232A"/>
              <w:bottom w:val="single" w:sz="4" w:space="0" w:color="D2232A"/>
              <w:right w:val="single" w:sz="4" w:space="0" w:color="D2232A"/>
            </w:tcBorders>
          </w:tcPr>
          <w:p w:rsidR="006219F1" w:rsidRPr="00025ACE" w:rsidRDefault="006219F1" w:rsidP="0039386B">
            <w:pPr>
              <w:spacing w:after="120"/>
              <w:rPr>
                <w:rFonts w:cs="Arial"/>
                <w:lang w:val="en-GB"/>
              </w:rPr>
            </w:pPr>
            <w:proofErr w:type="spellStart"/>
            <w:r w:rsidRPr="00025ACE">
              <w:rPr>
                <w:rFonts w:cs="Arial"/>
                <w:lang w:val="en-GB"/>
              </w:rPr>
              <w:t>Tuorla</w:t>
            </w:r>
            <w:proofErr w:type="spellEnd"/>
          </w:p>
        </w:tc>
        <w:tc>
          <w:tcPr>
            <w:tcW w:w="2090" w:type="dxa"/>
            <w:tcBorders>
              <w:top w:val="single" w:sz="4" w:space="0" w:color="FFFFFF" w:themeColor="background1"/>
              <w:left w:val="single" w:sz="4" w:space="0" w:color="D2232A"/>
              <w:bottom w:val="single" w:sz="4" w:space="0" w:color="D2232A"/>
              <w:right w:val="single" w:sz="4" w:space="0" w:color="D2232A"/>
            </w:tcBorders>
          </w:tcPr>
          <w:p w:rsidR="006219F1" w:rsidRPr="00025ACE" w:rsidRDefault="006219F1" w:rsidP="0039386B">
            <w:pPr>
              <w:spacing w:after="120"/>
              <w:rPr>
                <w:rFonts w:cs="Arial"/>
                <w:lang w:val="en-GB"/>
              </w:rPr>
            </w:pPr>
            <w:r w:rsidRPr="00025ACE">
              <w:rPr>
                <w:rFonts w:cs="Arial"/>
                <w:lang w:val="en-GB"/>
              </w:rPr>
              <w:t>60°24’56" N</w:t>
            </w:r>
          </w:p>
        </w:tc>
        <w:tc>
          <w:tcPr>
            <w:tcW w:w="1738" w:type="dxa"/>
            <w:tcBorders>
              <w:top w:val="single" w:sz="4" w:space="0" w:color="FFFFFF" w:themeColor="background1"/>
              <w:left w:val="single" w:sz="4" w:space="0" w:color="D2232A"/>
              <w:bottom w:val="single" w:sz="4" w:space="0" w:color="D2232A"/>
              <w:right w:val="single" w:sz="4" w:space="0" w:color="D2232A"/>
            </w:tcBorders>
          </w:tcPr>
          <w:p w:rsidR="006219F1" w:rsidRPr="00025ACE" w:rsidRDefault="006219F1" w:rsidP="0039386B">
            <w:pPr>
              <w:spacing w:after="120"/>
              <w:rPr>
                <w:rFonts w:cs="Arial"/>
                <w:lang w:val="en-GB"/>
              </w:rPr>
            </w:pPr>
            <w:r w:rsidRPr="00025ACE">
              <w:rPr>
                <w:rFonts w:cs="Arial"/>
                <w:lang w:val="en-GB"/>
              </w:rPr>
              <w:t>22°26’31" E</w:t>
            </w:r>
          </w:p>
        </w:tc>
        <w:tc>
          <w:tcPr>
            <w:tcW w:w="1950" w:type="dxa"/>
            <w:tcBorders>
              <w:top w:val="single" w:sz="4" w:space="0" w:color="FFFFFF" w:themeColor="background1"/>
              <w:left w:val="single" w:sz="4" w:space="0" w:color="D2232A"/>
              <w:bottom w:val="single" w:sz="4" w:space="0" w:color="D2232A"/>
              <w:right w:val="single" w:sz="4" w:space="0" w:color="D2232A"/>
            </w:tcBorders>
          </w:tcPr>
          <w:p w:rsidR="006219F1" w:rsidRPr="00025ACE" w:rsidRDefault="006219F1" w:rsidP="0039386B">
            <w:pPr>
              <w:spacing w:after="120"/>
              <w:rPr>
                <w:rFonts w:cs="Arial"/>
                <w:lang w:val="en-GB"/>
              </w:rPr>
            </w:pPr>
            <w:r w:rsidRPr="00025ACE">
              <w:rPr>
                <w:rFonts w:cs="Arial"/>
                <w:lang w:val="en-GB"/>
              </w:rPr>
              <w:t xml:space="preserve">  5</w:t>
            </w:r>
          </w:p>
        </w:tc>
      </w:tr>
      <w:tr w:rsidR="006219F1" w:rsidRPr="00025ACE" w:rsidTr="0039386B">
        <w:tc>
          <w:tcPr>
            <w:tcW w:w="2093" w:type="dxa"/>
            <w:tcBorders>
              <w:top w:val="single" w:sz="4" w:space="0" w:color="FFFFFF" w:themeColor="background1"/>
              <w:left w:val="single" w:sz="4" w:space="0" w:color="D2232A"/>
              <w:bottom w:val="single" w:sz="4" w:space="0" w:color="D2232A"/>
              <w:right w:val="single" w:sz="4" w:space="0" w:color="D2232A"/>
            </w:tcBorders>
          </w:tcPr>
          <w:p w:rsidR="006219F1" w:rsidRPr="00025ACE" w:rsidRDefault="006219F1" w:rsidP="0039386B">
            <w:pPr>
              <w:spacing w:after="120"/>
              <w:rPr>
                <w:rFonts w:cs="Arial"/>
                <w:lang w:val="en-GB"/>
              </w:rPr>
            </w:pPr>
            <w:r w:rsidRPr="00025ACE">
              <w:rPr>
                <w:rFonts w:cs="Arial"/>
                <w:lang w:val="en-GB"/>
              </w:rPr>
              <w:t>Italy</w:t>
            </w:r>
          </w:p>
        </w:tc>
        <w:tc>
          <w:tcPr>
            <w:tcW w:w="1984" w:type="dxa"/>
            <w:tcBorders>
              <w:top w:val="single" w:sz="4" w:space="0" w:color="FFFFFF" w:themeColor="background1"/>
              <w:left w:val="single" w:sz="4" w:space="0" w:color="D2232A"/>
              <w:bottom w:val="single" w:sz="4" w:space="0" w:color="D2232A"/>
              <w:right w:val="single" w:sz="4" w:space="0" w:color="D2232A"/>
            </w:tcBorders>
          </w:tcPr>
          <w:p w:rsidR="006219F1" w:rsidRPr="00025ACE" w:rsidRDefault="006219F1" w:rsidP="0039386B">
            <w:pPr>
              <w:spacing w:after="120"/>
              <w:rPr>
                <w:rFonts w:cs="Arial"/>
                <w:lang w:val="en-GB"/>
              </w:rPr>
            </w:pPr>
            <w:proofErr w:type="spellStart"/>
            <w:r w:rsidRPr="00025ACE">
              <w:rPr>
                <w:rFonts w:cs="Arial"/>
                <w:lang w:val="en-GB"/>
              </w:rPr>
              <w:t>Medicina</w:t>
            </w:r>
            <w:proofErr w:type="spellEnd"/>
          </w:p>
        </w:tc>
        <w:tc>
          <w:tcPr>
            <w:tcW w:w="2090" w:type="dxa"/>
            <w:tcBorders>
              <w:top w:val="single" w:sz="4" w:space="0" w:color="FFFFFF" w:themeColor="background1"/>
              <w:left w:val="single" w:sz="4" w:space="0" w:color="D2232A"/>
              <w:bottom w:val="single" w:sz="4" w:space="0" w:color="D2232A"/>
              <w:right w:val="single" w:sz="4" w:space="0" w:color="D2232A"/>
            </w:tcBorders>
          </w:tcPr>
          <w:p w:rsidR="006219F1" w:rsidRPr="00025ACE" w:rsidRDefault="006219F1" w:rsidP="0039386B">
            <w:pPr>
              <w:spacing w:after="120"/>
              <w:rPr>
                <w:rFonts w:cs="Arial"/>
                <w:lang w:val="en-GB"/>
              </w:rPr>
            </w:pPr>
            <w:r w:rsidRPr="00025ACE">
              <w:rPr>
                <w:rFonts w:cs="Arial"/>
                <w:lang w:val="en-GB"/>
              </w:rPr>
              <w:t>44°31’14" N</w:t>
            </w:r>
          </w:p>
        </w:tc>
        <w:tc>
          <w:tcPr>
            <w:tcW w:w="1738" w:type="dxa"/>
            <w:tcBorders>
              <w:top w:val="single" w:sz="4" w:space="0" w:color="FFFFFF" w:themeColor="background1"/>
              <w:left w:val="single" w:sz="4" w:space="0" w:color="D2232A"/>
              <w:bottom w:val="single" w:sz="4" w:space="0" w:color="D2232A"/>
              <w:right w:val="single" w:sz="4" w:space="0" w:color="D2232A"/>
            </w:tcBorders>
          </w:tcPr>
          <w:p w:rsidR="006219F1" w:rsidRPr="00025ACE" w:rsidRDefault="006219F1" w:rsidP="0039386B">
            <w:pPr>
              <w:spacing w:after="120"/>
              <w:rPr>
                <w:rFonts w:cs="Arial"/>
                <w:lang w:val="en-GB"/>
              </w:rPr>
            </w:pPr>
            <w:r w:rsidRPr="00025ACE">
              <w:rPr>
                <w:rFonts w:cs="Arial"/>
                <w:lang w:val="en-GB"/>
              </w:rPr>
              <w:t>11°38’49" E</w:t>
            </w:r>
          </w:p>
        </w:tc>
        <w:tc>
          <w:tcPr>
            <w:tcW w:w="1950" w:type="dxa"/>
            <w:tcBorders>
              <w:top w:val="single" w:sz="4" w:space="0" w:color="FFFFFF" w:themeColor="background1"/>
              <w:left w:val="single" w:sz="4" w:space="0" w:color="D2232A"/>
              <w:bottom w:val="single" w:sz="4" w:space="0" w:color="D2232A"/>
              <w:right w:val="single" w:sz="4" w:space="0" w:color="D2232A"/>
            </w:tcBorders>
          </w:tcPr>
          <w:p w:rsidR="006219F1" w:rsidRPr="00025ACE" w:rsidRDefault="006219F1" w:rsidP="0039386B">
            <w:pPr>
              <w:spacing w:after="120"/>
              <w:rPr>
                <w:rFonts w:cs="Arial"/>
                <w:lang w:val="en-GB"/>
              </w:rPr>
            </w:pPr>
            <w:r w:rsidRPr="00025ACE">
              <w:rPr>
                <w:rFonts w:cs="Arial"/>
                <w:lang w:val="en-GB"/>
              </w:rPr>
              <w:t>20</w:t>
            </w:r>
          </w:p>
        </w:tc>
      </w:tr>
      <w:tr w:rsidR="006219F1" w:rsidRPr="00025ACE" w:rsidTr="0039386B">
        <w:tc>
          <w:tcPr>
            <w:tcW w:w="2093" w:type="dxa"/>
            <w:tcBorders>
              <w:top w:val="single" w:sz="4" w:space="0" w:color="FFFFFF" w:themeColor="background1"/>
              <w:left w:val="single" w:sz="4" w:space="0" w:color="D2232A"/>
              <w:bottom w:val="single" w:sz="4" w:space="0" w:color="D2232A"/>
              <w:right w:val="single" w:sz="4" w:space="0" w:color="D2232A"/>
            </w:tcBorders>
          </w:tcPr>
          <w:p w:rsidR="006219F1" w:rsidRPr="00025ACE" w:rsidRDefault="006219F1" w:rsidP="0039386B">
            <w:pPr>
              <w:spacing w:after="120"/>
              <w:rPr>
                <w:rFonts w:cs="Arial"/>
                <w:lang w:val="en-GB"/>
              </w:rPr>
            </w:pPr>
          </w:p>
        </w:tc>
        <w:tc>
          <w:tcPr>
            <w:tcW w:w="1984" w:type="dxa"/>
            <w:tcBorders>
              <w:top w:val="single" w:sz="4" w:space="0" w:color="FFFFFF" w:themeColor="background1"/>
              <w:left w:val="single" w:sz="4" w:space="0" w:color="D2232A"/>
              <w:bottom w:val="single" w:sz="4" w:space="0" w:color="D2232A"/>
              <w:right w:val="single" w:sz="4" w:space="0" w:color="D2232A"/>
            </w:tcBorders>
          </w:tcPr>
          <w:p w:rsidR="006219F1" w:rsidRPr="00025ACE" w:rsidRDefault="006219F1" w:rsidP="0039386B">
            <w:pPr>
              <w:spacing w:after="120"/>
              <w:rPr>
                <w:rFonts w:cs="Arial"/>
                <w:lang w:val="en-GB"/>
              </w:rPr>
            </w:pPr>
            <w:r w:rsidRPr="00025ACE">
              <w:rPr>
                <w:rFonts w:cs="Arial"/>
                <w:lang w:val="en-GB"/>
              </w:rPr>
              <w:t>Noto</w:t>
            </w:r>
          </w:p>
        </w:tc>
        <w:tc>
          <w:tcPr>
            <w:tcW w:w="2090" w:type="dxa"/>
            <w:tcBorders>
              <w:top w:val="single" w:sz="4" w:space="0" w:color="FFFFFF" w:themeColor="background1"/>
              <w:left w:val="single" w:sz="4" w:space="0" w:color="D2232A"/>
              <w:bottom w:val="single" w:sz="4" w:space="0" w:color="D2232A"/>
              <w:right w:val="single" w:sz="4" w:space="0" w:color="D2232A"/>
            </w:tcBorders>
          </w:tcPr>
          <w:p w:rsidR="006219F1" w:rsidRPr="00025ACE" w:rsidRDefault="006219F1" w:rsidP="0039386B">
            <w:pPr>
              <w:spacing w:after="120"/>
              <w:rPr>
                <w:rFonts w:cs="Arial"/>
                <w:lang w:val="en-GB"/>
              </w:rPr>
            </w:pPr>
            <w:r w:rsidRPr="00025ACE">
              <w:rPr>
                <w:rFonts w:cs="Arial"/>
                <w:lang w:val="en-GB"/>
              </w:rPr>
              <w:t>36°52’34" N</w:t>
            </w:r>
          </w:p>
        </w:tc>
        <w:tc>
          <w:tcPr>
            <w:tcW w:w="1738" w:type="dxa"/>
            <w:tcBorders>
              <w:top w:val="single" w:sz="4" w:space="0" w:color="FFFFFF" w:themeColor="background1"/>
              <w:left w:val="single" w:sz="4" w:space="0" w:color="D2232A"/>
              <w:bottom w:val="single" w:sz="4" w:space="0" w:color="D2232A"/>
              <w:right w:val="single" w:sz="4" w:space="0" w:color="D2232A"/>
            </w:tcBorders>
          </w:tcPr>
          <w:p w:rsidR="006219F1" w:rsidRPr="00025ACE" w:rsidRDefault="006219F1" w:rsidP="0039386B">
            <w:pPr>
              <w:spacing w:after="120"/>
              <w:rPr>
                <w:rFonts w:cs="Arial"/>
                <w:lang w:val="en-GB"/>
              </w:rPr>
            </w:pPr>
            <w:r w:rsidRPr="00025ACE">
              <w:rPr>
                <w:rFonts w:cs="Arial"/>
                <w:lang w:val="en-GB"/>
              </w:rPr>
              <w:t>14°59’21" E</w:t>
            </w:r>
          </w:p>
        </w:tc>
        <w:tc>
          <w:tcPr>
            <w:tcW w:w="1950" w:type="dxa"/>
            <w:tcBorders>
              <w:top w:val="single" w:sz="4" w:space="0" w:color="FFFFFF" w:themeColor="background1"/>
              <w:left w:val="single" w:sz="4" w:space="0" w:color="D2232A"/>
              <w:bottom w:val="single" w:sz="4" w:space="0" w:color="D2232A"/>
              <w:right w:val="single" w:sz="4" w:space="0" w:color="D2232A"/>
            </w:tcBorders>
          </w:tcPr>
          <w:p w:rsidR="006219F1" w:rsidRPr="00025ACE" w:rsidRDefault="006219F1" w:rsidP="0039386B">
            <w:pPr>
              <w:spacing w:after="120"/>
              <w:rPr>
                <w:rFonts w:cs="Arial"/>
                <w:lang w:val="en-GB"/>
              </w:rPr>
            </w:pPr>
            <w:r w:rsidRPr="00025ACE">
              <w:rPr>
                <w:rFonts w:cs="Arial"/>
                <w:lang w:val="en-GB"/>
              </w:rPr>
              <w:t xml:space="preserve">  8</w:t>
            </w:r>
          </w:p>
        </w:tc>
      </w:tr>
      <w:tr w:rsidR="006219F1" w:rsidRPr="00025ACE" w:rsidTr="0039386B">
        <w:tc>
          <w:tcPr>
            <w:tcW w:w="2093" w:type="dxa"/>
            <w:tcBorders>
              <w:top w:val="single" w:sz="4" w:space="0" w:color="FFFFFF" w:themeColor="background1"/>
              <w:left w:val="single" w:sz="4" w:space="0" w:color="D2232A"/>
              <w:bottom w:val="single" w:sz="4" w:space="0" w:color="D2232A"/>
              <w:right w:val="single" w:sz="4" w:space="0" w:color="D2232A"/>
            </w:tcBorders>
          </w:tcPr>
          <w:p w:rsidR="006219F1" w:rsidRPr="00025ACE" w:rsidRDefault="006219F1" w:rsidP="0039386B">
            <w:pPr>
              <w:spacing w:after="120"/>
              <w:rPr>
                <w:rFonts w:cs="Arial"/>
                <w:lang w:val="en-GB"/>
              </w:rPr>
            </w:pPr>
          </w:p>
        </w:tc>
        <w:tc>
          <w:tcPr>
            <w:tcW w:w="1984" w:type="dxa"/>
            <w:tcBorders>
              <w:top w:val="single" w:sz="4" w:space="0" w:color="FFFFFF" w:themeColor="background1"/>
              <w:left w:val="single" w:sz="4" w:space="0" w:color="D2232A"/>
              <w:bottom w:val="single" w:sz="4" w:space="0" w:color="D2232A"/>
              <w:right w:val="single" w:sz="4" w:space="0" w:color="D2232A"/>
            </w:tcBorders>
          </w:tcPr>
          <w:p w:rsidR="006219F1" w:rsidRPr="00025ACE" w:rsidRDefault="006219F1" w:rsidP="0039386B">
            <w:pPr>
              <w:spacing w:after="120"/>
              <w:rPr>
                <w:rFonts w:cs="Arial"/>
                <w:lang w:val="en-GB"/>
              </w:rPr>
            </w:pPr>
            <w:r w:rsidRPr="00025ACE">
              <w:rPr>
                <w:rFonts w:cs="Arial"/>
                <w:lang w:val="en-GB"/>
              </w:rPr>
              <w:t>Sardinia</w:t>
            </w:r>
          </w:p>
        </w:tc>
        <w:tc>
          <w:tcPr>
            <w:tcW w:w="2090" w:type="dxa"/>
            <w:tcBorders>
              <w:top w:val="single" w:sz="4" w:space="0" w:color="FFFFFF" w:themeColor="background1"/>
              <w:left w:val="single" w:sz="4" w:space="0" w:color="D2232A"/>
              <w:bottom w:val="single" w:sz="4" w:space="0" w:color="D2232A"/>
              <w:right w:val="single" w:sz="4" w:space="0" w:color="D2232A"/>
            </w:tcBorders>
          </w:tcPr>
          <w:p w:rsidR="006219F1" w:rsidRPr="00025ACE" w:rsidRDefault="006219F1" w:rsidP="0039386B">
            <w:pPr>
              <w:spacing w:after="120"/>
              <w:rPr>
                <w:rFonts w:cs="Arial"/>
                <w:lang w:val="en-GB"/>
              </w:rPr>
            </w:pPr>
            <w:r w:rsidRPr="00025ACE">
              <w:rPr>
                <w:rFonts w:cs="Arial"/>
                <w:lang w:val="en-GB"/>
              </w:rPr>
              <w:t>39</w:t>
            </w:r>
            <w:r w:rsidRPr="00025ACE">
              <w:rPr>
                <w:rFonts w:cs="Arial"/>
                <w:vertAlign w:val="superscript"/>
                <w:lang w:val="en-GB"/>
              </w:rPr>
              <w:t>o</w:t>
            </w:r>
            <w:r w:rsidRPr="00025ACE">
              <w:rPr>
                <w:rFonts w:cs="Arial"/>
                <w:lang w:val="en-GB"/>
              </w:rPr>
              <w:t>29’50" N</w:t>
            </w:r>
          </w:p>
        </w:tc>
        <w:tc>
          <w:tcPr>
            <w:tcW w:w="1738" w:type="dxa"/>
            <w:tcBorders>
              <w:top w:val="single" w:sz="4" w:space="0" w:color="FFFFFF" w:themeColor="background1"/>
              <w:left w:val="single" w:sz="4" w:space="0" w:color="D2232A"/>
              <w:bottom w:val="single" w:sz="4" w:space="0" w:color="D2232A"/>
              <w:right w:val="single" w:sz="4" w:space="0" w:color="D2232A"/>
            </w:tcBorders>
          </w:tcPr>
          <w:p w:rsidR="006219F1" w:rsidRPr="00025ACE" w:rsidRDefault="006219F1" w:rsidP="0039386B">
            <w:pPr>
              <w:spacing w:after="120"/>
              <w:rPr>
                <w:rFonts w:cs="Arial"/>
                <w:lang w:val="en-GB"/>
              </w:rPr>
            </w:pPr>
            <w:r w:rsidRPr="00025ACE">
              <w:rPr>
                <w:rFonts w:cs="Arial"/>
                <w:lang w:val="en-GB"/>
              </w:rPr>
              <w:t>09°14’40"E</w:t>
            </w:r>
          </w:p>
        </w:tc>
        <w:tc>
          <w:tcPr>
            <w:tcW w:w="1950" w:type="dxa"/>
            <w:tcBorders>
              <w:top w:val="single" w:sz="4" w:space="0" w:color="FFFFFF" w:themeColor="background1"/>
              <w:left w:val="single" w:sz="4" w:space="0" w:color="D2232A"/>
              <w:bottom w:val="single" w:sz="4" w:space="0" w:color="D2232A"/>
              <w:right w:val="single" w:sz="4" w:space="0" w:color="D2232A"/>
            </w:tcBorders>
          </w:tcPr>
          <w:p w:rsidR="006219F1" w:rsidRPr="00025ACE" w:rsidRDefault="006219F1" w:rsidP="0039386B">
            <w:pPr>
              <w:spacing w:after="120"/>
              <w:rPr>
                <w:rFonts w:cs="Arial"/>
                <w:lang w:val="en-GB"/>
              </w:rPr>
            </w:pPr>
            <w:r w:rsidRPr="00025ACE">
              <w:rPr>
                <w:rFonts w:cs="Arial"/>
                <w:lang w:val="en-GB"/>
              </w:rPr>
              <w:t>15</w:t>
            </w:r>
          </w:p>
        </w:tc>
      </w:tr>
      <w:tr w:rsidR="006219F1" w:rsidRPr="00025ACE" w:rsidTr="0039386B">
        <w:tc>
          <w:tcPr>
            <w:tcW w:w="2093" w:type="dxa"/>
            <w:tcBorders>
              <w:top w:val="single" w:sz="4" w:space="0" w:color="FFFFFF" w:themeColor="background1"/>
              <w:left w:val="single" w:sz="4" w:space="0" w:color="D2232A"/>
              <w:bottom w:val="single" w:sz="4" w:space="0" w:color="D2232A"/>
              <w:right w:val="single" w:sz="4" w:space="0" w:color="D2232A"/>
            </w:tcBorders>
          </w:tcPr>
          <w:p w:rsidR="006219F1" w:rsidRPr="00025ACE" w:rsidRDefault="006219F1" w:rsidP="0039386B">
            <w:pPr>
              <w:spacing w:after="120"/>
              <w:rPr>
                <w:rFonts w:cs="Arial"/>
                <w:lang w:val="en-GB"/>
              </w:rPr>
            </w:pPr>
            <w:r w:rsidRPr="00025ACE">
              <w:rPr>
                <w:rFonts w:cs="Arial"/>
                <w:lang w:val="en-GB"/>
              </w:rPr>
              <w:t>UK</w:t>
            </w:r>
          </w:p>
        </w:tc>
        <w:tc>
          <w:tcPr>
            <w:tcW w:w="1984" w:type="dxa"/>
            <w:tcBorders>
              <w:top w:val="single" w:sz="4" w:space="0" w:color="FFFFFF" w:themeColor="background1"/>
              <w:left w:val="single" w:sz="4" w:space="0" w:color="D2232A"/>
              <w:bottom w:val="single" w:sz="4" w:space="0" w:color="D2232A"/>
              <w:right w:val="single" w:sz="4" w:space="0" w:color="D2232A"/>
            </w:tcBorders>
          </w:tcPr>
          <w:p w:rsidR="006219F1" w:rsidRPr="00025ACE" w:rsidRDefault="006219F1" w:rsidP="0039386B">
            <w:pPr>
              <w:spacing w:after="120"/>
              <w:rPr>
                <w:rFonts w:cs="Arial"/>
                <w:lang w:val="en-GB"/>
              </w:rPr>
            </w:pPr>
            <w:r w:rsidRPr="00025ACE">
              <w:rPr>
                <w:rFonts w:cs="Arial"/>
                <w:lang w:val="en-GB"/>
              </w:rPr>
              <w:t>Cambridge</w:t>
            </w:r>
          </w:p>
        </w:tc>
        <w:tc>
          <w:tcPr>
            <w:tcW w:w="2090" w:type="dxa"/>
            <w:tcBorders>
              <w:top w:val="single" w:sz="4" w:space="0" w:color="FFFFFF" w:themeColor="background1"/>
              <w:left w:val="single" w:sz="4" w:space="0" w:color="D2232A"/>
              <w:bottom w:val="single" w:sz="4" w:space="0" w:color="D2232A"/>
              <w:right w:val="single" w:sz="4" w:space="0" w:color="D2232A"/>
            </w:tcBorders>
          </w:tcPr>
          <w:p w:rsidR="006219F1" w:rsidRPr="00025ACE" w:rsidRDefault="006219F1" w:rsidP="0039386B">
            <w:pPr>
              <w:spacing w:after="120"/>
              <w:rPr>
                <w:rFonts w:cs="Arial"/>
                <w:lang w:val="en-GB"/>
              </w:rPr>
            </w:pPr>
            <w:r w:rsidRPr="00025ACE">
              <w:rPr>
                <w:rFonts w:cs="Arial"/>
                <w:lang w:val="en-GB"/>
              </w:rPr>
              <w:t>52°09’59" N</w:t>
            </w:r>
          </w:p>
        </w:tc>
        <w:tc>
          <w:tcPr>
            <w:tcW w:w="1738" w:type="dxa"/>
            <w:tcBorders>
              <w:top w:val="single" w:sz="4" w:space="0" w:color="FFFFFF" w:themeColor="background1"/>
              <w:left w:val="single" w:sz="4" w:space="0" w:color="D2232A"/>
              <w:bottom w:val="single" w:sz="4" w:space="0" w:color="D2232A"/>
              <w:right w:val="single" w:sz="4" w:space="0" w:color="D2232A"/>
            </w:tcBorders>
          </w:tcPr>
          <w:p w:rsidR="006219F1" w:rsidRPr="00025ACE" w:rsidRDefault="006219F1" w:rsidP="0039386B">
            <w:pPr>
              <w:spacing w:after="120"/>
              <w:rPr>
                <w:rFonts w:cs="Arial"/>
                <w:lang w:val="en-GB"/>
              </w:rPr>
            </w:pPr>
            <w:r w:rsidRPr="00025ACE">
              <w:rPr>
                <w:rFonts w:cs="Arial"/>
                <w:lang w:val="en-GB"/>
              </w:rPr>
              <w:t>00°02’20" E</w:t>
            </w:r>
          </w:p>
        </w:tc>
        <w:tc>
          <w:tcPr>
            <w:tcW w:w="1950" w:type="dxa"/>
            <w:tcBorders>
              <w:top w:val="single" w:sz="4" w:space="0" w:color="FFFFFF" w:themeColor="background1"/>
              <w:left w:val="single" w:sz="4" w:space="0" w:color="D2232A"/>
              <w:bottom w:val="single" w:sz="4" w:space="0" w:color="D2232A"/>
              <w:right w:val="single" w:sz="4" w:space="0" w:color="D2232A"/>
            </w:tcBorders>
          </w:tcPr>
          <w:p w:rsidR="006219F1" w:rsidRPr="00025ACE" w:rsidRDefault="006219F1" w:rsidP="0039386B">
            <w:pPr>
              <w:spacing w:after="120"/>
              <w:rPr>
                <w:rFonts w:cs="Arial"/>
                <w:lang w:val="en-GB"/>
              </w:rPr>
            </w:pPr>
            <w:r w:rsidRPr="00025ACE">
              <w:rPr>
                <w:rFonts w:cs="Arial"/>
                <w:lang w:val="en-GB"/>
              </w:rPr>
              <w:t xml:space="preserve">  9</w:t>
            </w:r>
          </w:p>
        </w:tc>
      </w:tr>
      <w:tr w:rsidR="006219F1" w:rsidRPr="00025ACE" w:rsidTr="0039386B">
        <w:tc>
          <w:tcPr>
            <w:tcW w:w="2093" w:type="dxa"/>
            <w:tcBorders>
              <w:top w:val="single" w:sz="4" w:space="0" w:color="FFFFFF" w:themeColor="background1"/>
              <w:left w:val="single" w:sz="4" w:space="0" w:color="D2232A"/>
              <w:bottom w:val="single" w:sz="4" w:space="0" w:color="D2232A"/>
              <w:right w:val="single" w:sz="4" w:space="0" w:color="D2232A"/>
            </w:tcBorders>
          </w:tcPr>
          <w:p w:rsidR="006219F1" w:rsidRPr="00025ACE" w:rsidRDefault="006219F1" w:rsidP="0039386B">
            <w:pPr>
              <w:spacing w:after="120"/>
              <w:rPr>
                <w:rFonts w:cs="Arial"/>
                <w:lang w:val="en-GB"/>
              </w:rPr>
            </w:pPr>
          </w:p>
        </w:tc>
        <w:tc>
          <w:tcPr>
            <w:tcW w:w="1984" w:type="dxa"/>
            <w:tcBorders>
              <w:top w:val="single" w:sz="4" w:space="0" w:color="FFFFFF" w:themeColor="background1"/>
              <w:left w:val="single" w:sz="4" w:space="0" w:color="D2232A"/>
              <w:bottom w:val="single" w:sz="4" w:space="0" w:color="D2232A"/>
              <w:right w:val="single" w:sz="4" w:space="0" w:color="D2232A"/>
            </w:tcBorders>
            <w:vAlign w:val="center"/>
          </w:tcPr>
          <w:p w:rsidR="006219F1" w:rsidRPr="00025ACE" w:rsidRDefault="006219F1" w:rsidP="0039386B">
            <w:pPr>
              <w:spacing w:after="120"/>
              <w:rPr>
                <w:rFonts w:cs="Arial"/>
                <w:lang w:val="en-GB"/>
              </w:rPr>
            </w:pPr>
            <w:proofErr w:type="spellStart"/>
            <w:r w:rsidRPr="00025ACE">
              <w:rPr>
                <w:rFonts w:cs="Arial"/>
                <w:lang w:val="en-GB"/>
              </w:rPr>
              <w:t>Darnhall</w:t>
            </w:r>
            <w:proofErr w:type="spellEnd"/>
          </w:p>
        </w:tc>
        <w:tc>
          <w:tcPr>
            <w:tcW w:w="2090" w:type="dxa"/>
            <w:tcBorders>
              <w:top w:val="single" w:sz="4" w:space="0" w:color="FFFFFF" w:themeColor="background1"/>
              <w:left w:val="single" w:sz="4" w:space="0" w:color="D2232A"/>
              <w:bottom w:val="single" w:sz="4" w:space="0" w:color="D2232A"/>
              <w:right w:val="single" w:sz="4" w:space="0" w:color="D2232A"/>
            </w:tcBorders>
            <w:vAlign w:val="center"/>
          </w:tcPr>
          <w:p w:rsidR="006219F1" w:rsidRPr="00025ACE" w:rsidRDefault="006219F1" w:rsidP="0039386B">
            <w:pPr>
              <w:spacing w:after="120"/>
              <w:rPr>
                <w:rFonts w:cs="Arial"/>
                <w:lang w:val="en-GB"/>
              </w:rPr>
            </w:pPr>
            <w:r w:rsidRPr="00025ACE">
              <w:rPr>
                <w:rFonts w:cs="Arial"/>
                <w:lang w:val="en-GB"/>
              </w:rPr>
              <w:t>53°09'22" N</w:t>
            </w:r>
          </w:p>
        </w:tc>
        <w:tc>
          <w:tcPr>
            <w:tcW w:w="1738" w:type="dxa"/>
            <w:tcBorders>
              <w:top w:val="single" w:sz="4" w:space="0" w:color="FFFFFF" w:themeColor="background1"/>
              <w:left w:val="single" w:sz="4" w:space="0" w:color="D2232A"/>
              <w:bottom w:val="single" w:sz="4" w:space="0" w:color="D2232A"/>
              <w:right w:val="single" w:sz="4" w:space="0" w:color="D2232A"/>
            </w:tcBorders>
            <w:vAlign w:val="center"/>
          </w:tcPr>
          <w:p w:rsidR="006219F1" w:rsidRPr="00025ACE" w:rsidRDefault="006219F1" w:rsidP="0039386B">
            <w:pPr>
              <w:spacing w:after="120"/>
              <w:rPr>
                <w:rFonts w:cs="Arial"/>
                <w:lang w:val="en-GB"/>
              </w:rPr>
            </w:pPr>
            <w:r w:rsidRPr="00025ACE">
              <w:rPr>
                <w:rFonts w:cs="Arial"/>
                <w:lang w:val="en-GB"/>
              </w:rPr>
              <w:t>02°32'03" W</w:t>
            </w:r>
          </w:p>
        </w:tc>
        <w:tc>
          <w:tcPr>
            <w:tcW w:w="1950" w:type="dxa"/>
            <w:tcBorders>
              <w:top w:val="single" w:sz="4" w:space="0" w:color="FFFFFF" w:themeColor="background1"/>
              <w:left w:val="single" w:sz="4" w:space="0" w:color="D2232A"/>
              <w:bottom w:val="single" w:sz="4" w:space="0" w:color="D2232A"/>
              <w:right w:val="single" w:sz="4" w:space="0" w:color="D2232A"/>
            </w:tcBorders>
            <w:vAlign w:val="center"/>
          </w:tcPr>
          <w:p w:rsidR="006219F1" w:rsidRPr="00025ACE" w:rsidRDefault="006219F1" w:rsidP="0039386B">
            <w:pPr>
              <w:spacing w:after="120"/>
              <w:rPr>
                <w:rFonts w:cs="Arial"/>
                <w:lang w:val="en-GB"/>
              </w:rPr>
            </w:pPr>
            <w:r w:rsidRPr="00025ACE">
              <w:rPr>
                <w:rFonts w:cs="Arial"/>
                <w:lang w:val="en-GB"/>
              </w:rPr>
              <w:t xml:space="preserve">  5</w:t>
            </w:r>
          </w:p>
        </w:tc>
      </w:tr>
      <w:tr w:rsidR="006219F1" w:rsidRPr="00025ACE" w:rsidTr="0039386B">
        <w:tc>
          <w:tcPr>
            <w:tcW w:w="2093" w:type="dxa"/>
            <w:tcBorders>
              <w:top w:val="single" w:sz="4" w:space="0" w:color="FFFFFF" w:themeColor="background1"/>
              <w:left w:val="single" w:sz="4" w:space="0" w:color="D2232A"/>
              <w:bottom w:val="single" w:sz="4" w:space="0" w:color="D2232A"/>
              <w:right w:val="single" w:sz="4" w:space="0" w:color="D2232A"/>
            </w:tcBorders>
          </w:tcPr>
          <w:p w:rsidR="006219F1" w:rsidRPr="00025ACE" w:rsidRDefault="006219F1" w:rsidP="0039386B">
            <w:pPr>
              <w:spacing w:after="120"/>
              <w:rPr>
                <w:rFonts w:cs="Arial"/>
                <w:lang w:val="en-GB"/>
              </w:rPr>
            </w:pPr>
          </w:p>
        </w:tc>
        <w:tc>
          <w:tcPr>
            <w:tcW w:w="1984" w:type="dxa"/>
            <w:tcBorders>
              <w:top w:val="single" w:sz="4" w:space="0" w:color="FFFFFF" w:themeColor="background1"/>
              <w:left w:val="single" w:sz="4" w:space="0" w:color="D2232A"/>
              <w:bottom w:val="single" w:sz="4" w:space="0" w:color="D2232A"/>
              <w:right w:val="single" w:sz="4" w:space="0" w:color="D2232A"/>
            </w:tcBorders>
            <w:vAlign w:val="center"/>
          </w:tcPr>
          <w:p w:rsidR="006219F1" w:rsidRPr="00025ACE" w:rsidRDefault="006219F1" w:rsidP="0039386B">
            <w:pPr>
              <w:spacing w:after="120"/>
              <w:rPr>
                <w:rFonts w:cs="Arial"/>
                <w:lang w:val="en-GB"/>
              </w:rPr>
            </w:pPr>
            <w:r w:rsidRPr="00025ACE">
              <w:rPr>
                <w:rFonts w:cs="Arial"/>
                <w:lang w:val="en-GB"/>
              </w:rPr>
              <w:t>Jodrell Bank</w:t>
            </w:r>
          </w:p>
        </w:tc>
        <w:tc>
          <w:tcPr>
            <w:tcW w:w="2090" w:type="dxa"/>
            <w:tcBorders>
              <w:top w:val="single" w:sz="4" w:space="0" w:color="FFFFFF" w:themeColor="background1"/>
              <w:left w:val="single" w:sz="4" w:space="0" w:color="D2232A"/>
              <w:bottom w:val="single" w:sz="4" w:space="0" w:color="D2232A"/>
              <w:right w:val="single" w:sz="4" w:space="0" w:color="D2232A"/>
            </w:tcBorders>
            <w:vAlign w:val="center"/>
          </w:tcPr>
          <w:p w:rsidR="006219F1" w:rsidRPr="00025ACE" w:rsidRDefault="006219F1" w:rsidP="0039386B">
            <w:pPr>
              <w:spacing w:after="120"/>
              <w:rPr>
                <w:rFonts w:cs="Arial"/>
                <w:lang w:val="en-GB"/>
              </w:rPr>
            </w:pPr>
            <w:r w:rsidRPr="00025ACE">
              <w:rPr>
                <w:rFonts w:cs="Arial"/>
                <w:lang w:val="en-GB"/>
              </w:rPr>
              <w:t>53°14'10" N</w:t>
            </w:r>
          </w:p>
        </w:tc>
        <w:tc>
          <w:tcPr>
            <w:tcW w:w="1738" w:type="dxa"/>
            <w:tcBorders>
              <w:top w:val="single" w:sz="4" w:space="0" w:color="FFFFFF" w:themeColor="background1"/>
              <w:left w:val="single" w:sz="4" w:space="0" w:color="D2232A"/>
              <w:bottom w:val="single" w:sz="4" w:space="0" w:color="D2232A"/>
              <w:right w:val="single" w:sz="4" w:space="0" w:color="D2232A"/>
            </w:tcBorders>
            <w:vAlign w:val="center"/>
          </w:tcPr>
          <w:p w:rsidR="006219F1" w:rsidRPr="00025ACE" w:rsidRDefault="006219F1" w:rsidP="0039386B">
            <w:pPr>
              <w:spacing w:after="120"/>
              <w:rPr>
                <w:rFonts w:cs="Arial"/>
                <w:lang w:val="en-GB"/>
              </w:rPr>
            </w:pPr>
            <w:r w:rsidRPr="00025ACE">
              <w:rPr>
                <w:rFonts w:cs="Arial"/>
                <w:lang w:val="en-GB"/>
              </w:rPr>
              <w:t>02°18'26" W</w:t>
            </w:r>
          </w:p>
        </w:tc>
        <w:tc>
          <w:tcPr>
            <w:tcW w:w="1950" w:type="dxa"/>
            <w:tcBorders>
              <w:top w:val="single" w:sz="4" w:space="0" w:color="FFFFFF" w:themeColor="background1"/>
              <w:left w:val="single" w:sz="4" w:space="0" w:color="D2232A"/>
              <w:bottom w:val="single" w:sz="4" w:space="0" w:color="D2232A"/>
              <w:right w:val="single" w:sz="4" w:space="0" w:color="D2232A"/>
            </w:tcBorders>
            <w:vAlign w:val="center"/>
          </w:tcPr>
          <w:p w:rsidR="006219F1" w:rsidRPr="00025ACE" w:rsidRDefault="006219F1" w:rsidP="0039386B">
            <w:pPr>
              <w:spacing w:after="120"/>
              <w:rPr>
                <w:rFonts w:cs="Arial"/>
                <w:lang w:val="en-GB"/>
              </w:rPr>
            </w:pPr>
            <w:r w:rsidRPr="00025ACE">
              <w:rPr>
                <w:rFonts w:cs="Arial"/>
                <w:lang w:val="en-GB"/>
              </w:rPr>
              <w:t xml:space="preserve">  9</w:t>
            </w:r>
          </w:p>
        </w:tc>
      </w:tr>
      <w:tr w:rsidR="006219F1" w:rsidRPr="00025ACE" w:rsidTr="0039386B">
        <w:tc>
          <w:tcPr>
            <w:tcW w:w="2093" w:type="dxa"/>
            <w:tcBorders>
              <w:top w:val="single" w:sz="4" w:space="0" w:color="FFFFFF" w:themeColor="background1"/>
              <w:left w:val="single" w:sz="4" w:space="0" w:color="D2232A"/>
              <w:bottom w:val="single" w:sz="4" w:space="0" w:color="D2232A"/>
              <w:right w:val="single" w:sz="4" w:space="0" w:color="D2232A"/>
            </w:tcBorders>
          </w:tcPr>
          <w:p w:rsidR="006219F1" w:rsidRPr="00025ACE" w:rsidRDefault="006219F1" w:rsidP="0039386B">
            <w:pPr>
              <w:spacing w:after="120"/>
              <w:rPr>
                <w:rFonts w:cs="Arial"/>
                <w:lang w:val="en-GB"/>
              </w:rPr>
            </w:pPr>
          </w:p>
        </w:tc>
        <w:tc>
          <w:tcPr>
            <w:tcW w:w="1984" w:type="dxa"/>
            <w:tcBorders>
              <w:top w:val="single" w:sz="4" w:space="0" w:color="FFFFFF" w:themeColor="background1"/>
              <w:left w:val="single" w:sz="4" w:space="0" w:color="D2232A"/>
              <w:bottom w:val="single" w:sz="4" w:space="0" w:color="D2232A"/>
              <w:right w:val="single" w:sz="4" w:space="0" w:color="D2232A"/>
            </w:tcBorders>
            <w:vAlign w:val="center"/>
          </w:tcPr>
          <w:p w:rsidR="006219F1" w:rsidRPr="00025ACE" w:rsidRDefault="006219F1" w:rsidP="0039386B">
            <w:pPr>
              <w:spacing w:after="120"/>
              <w:rPr>
                <w:rFonts w:cs="Arial"/>
                <w:lang w:val="en-GB"/>
              </w:rPr>
            </w:pPr>
            <w:proofErr w:type="spellStart"/>
            <w:r w:rsidRPr="00025ACE">
              <w:rPr>
                <w:rFonts w:cs="Arial"/>
                <w:lang w:val="en-GB"/>
              </w:rPr>
              <w:t>Knockin</w:t>
            </w:r>
            <w:proofErr w:type="spellEnd"/>
          </w:p>
        </w:tc>
        <w:tc>
          <w:tcPr>
            <w:tcW w:w="2090" w:type="dxa"/>
            <w:tcBorders>
              <w:top w:val="single" w:sz="4" w:space="0" w:color="FFFFFF" w:themeColor="background1"/>
              <w:left w:val="single" w:sz="4" w:space="0" w:color="D2232A"/>
              <w:bottom w:val="single" w:sz="4" w:space="0" w:color="D2232A"/>
              <w:right w:val="single" w:sz="4" w:space="0" w:color="D2232A"/>
            </w:tcBorders>
            <w:vAlign w:val="center"/>
          </w:tcPr>
          <w:p w:rsidR="006219F1" w:rsidRPr="00025ACE" w:rsidRDefault="006219F1" w:rsidP="0039386B">
            <w:pPr>
              <w:spacing w:after="120"/>
              <w:rPr>
                <w:rFonts w:cs="Arial"/>
                <w:lang w:val="en-GB"/>
              </w:rPr>
            </w:pPr>
            <w:r w:rsidRPr="00025ACE">
              <w:rPr>
                <w:rFonts w:cs="Arial"/>
                <w:lang w:val="en-GB"/>
              </w:rPr>
              <w:t>52°47'24" N</w:t>
            </w:r>
          </w:p>
        </w:tc>
        <w:tc>
          <w:tcPr>
            <w:tcW w:w="1738" w:type="dxa"/>
            <w:tcBorders>
              <w:top w:val="single" w:sz="4" w:space="0" w:color="FFFFFF" w:themeColor="background1"/>
              <w:left w:val="single" w:sz="4" w:space="0" w:color="D2232A"/>
              <w:bottom w:val="single" w:sz="4" w:space="0" w:color="D2232A"/>
              <w:right w:val="single" w:sz="4" w:space="0" w:color="D2232A"/>
            </w:tcBorders>
            <w:vAlign w:val="center"/>
          </w:tcPr>
          <w:p w:rsidR="006219F1" w:rsidRPr="00025ACE" w:rsidRDefault="006219F1" w:rsidP="0039386B">
            <w:pPr>
              <w:spacing w:after="120"/>
              <w:rPr>
                <w:rFonts w:cs="Arial"/>
                <w:lang w:val="en-GB"/>
              </w:rPr>
            </w:pPr>
            <w:r w:rsidRPr="00025ACE">
              <w:rPr>
                <w:rFonts w:cs="Arial"/>
                <w:lang w:val="en-GB"/>
              </w:rPr>
              <w:t>02°59'45" W</w:t>
            </w:r>
          </w:p>
        </w:tc>
        <w:tc>
          <w:tcPr>
            <w:tcW w:w="1950" w:type="dxa"/>
            <w:tcBorders>
              <w:top w:val="single" w:sz="4" w:space="0" w:color="FFFFFF" w:themeColor="background1"/>
              <w:left w:val="single" w:sz="4" w:space="0" w:color="D2232A"/>
              <w:bottom w:val="single" w:sz="4" w:space="0" w:color="D2232A"/>
              <w:right w:val="single" w:sz="4" w:space="0" w:color="D2232A"/>
            </w:tcBorders>
            <w:vAlign w:val="center"/>
          </w:tcPr>
          <w:p w:rsidR="006219F1" w:rsidRPr="00025ACE" w:rsidRDefault="006219F1" w:rsidP="0039386B">
            <w:pPr>
              <w:spacing w:after="120"/>
              <w:rPr>
                <w:rFonts w:cs="Arial"/>
                <w:lang w:val="en-GB"/>
              </w:rPr>
            </w:pPr>
            <w:r w:rsidRPr="00025ACE">
              <w:rPr>
                <w:rFonts w:cs="Arial"/>
                <w:lang w:val="en-GB"/>
              </w:rPr>
              <w:t xml:space="preserve">  5</w:t>
            </w:r>
          </w:p>
        </w:tc>
      </w:tr>
      <w:tr w:rsidR="006219F1" w:rsidRPr="00025ACE" w:rsidTr="0039386B">
        <w:tc>
          <w:tcPr>
            <w:tcW w:w="2093" w:type="dxa"/>
            <w:tcBorders>
              <w:top w:val="single" w:sz="4" w:space="0" w:color="FFFFFF" w:themeColor="background1"/>
              <w:left w:val="single" w:sz="4" w:space="0" w:color="D2232A"/>
              <w:bottom w:val="single" w:sz="4" w:space="0" w:color="D2232A"/>
              <w:right w:val="single" w:sz="4" w:space="0" w:color="D2232A"/>
            </w:tcBorders>
          </w:tcPr>
          <w:p w:rsidR="006219F1" w:rsidRPr="00025ACE" w:rsidRDefault="006219F1" w:rsidP="0039386B">
            <w:pPr>
              <w:spacing w:after="120"/>
              <w:rPr>
                <w:rFonts w:cs="Arial"/>
                <w:lang w:val="en-GB"/>
              </w:rPr>
            </w:pPr>
          </w:p>
        </w:tc>
        <w:tc>
          <w:tcPr>
            <w:tcW w:w="1984" w:type="dxa"/>
            <w:tcBorders>
              <w:top w:val="single" w:sz="4" w:space="0" w:color="FFFFFF" w:themeColor="background1"/>
              <w:left w:val="single" w:sz="4" w:space="0" w:color="D2232A"/>
              <w:bottom w:val="single" w:sz="4" w:space="0" w:color="D2232A"/>
              <w:right w:val="single" w:sz="4" w:space="0" w:color="D2232A"/>
            </w:tcBorders>
            <w:vAlign w:val="center"/>
          </w:tcPr>
          <w:p w:rsidR="006219F1" w:rsidRPr="00025ACE" w:rsidRDefault="006219F1" w:rsidP="0039386B">
            <w:pPr>
              <w:spacing w:after="120"/>
              <w:rPr>
                <w:rFonts w:cs="Arial"/>
                <w:lang w:val="en-GB"/>
              </w:rPr>
            </w:pPr>
            <w:proofErr w:type="spellStart"/>
            <w:r w:rsidRPr="00025ACE">
              <w:rPr>
                <w:rFonts w:cs="Arial"/>
                <w:lang w:val="en-GB"/>
              </w:rPr>
              <w:t>Pickmere</w:t>
            </w:r>
            <w:proofErr w:type="spellEnd"/>
          </w:p>
        </w:tc>
        <w:tc>
          <w:tcPr>
            <w:tcW w:w="2090" w:type="dxa"/>
            <w:tcBorders>
              <w:top w:val="single" w:sz="4" w:space="0" w:color="FFFFFF" w:themeColor="background1"/>
              <w:left w:val="single" w:sz="4" w:space="0" w:color="D2232A"/>
              <w:bottom w:val="single" w:sz="4" w:space="0" w:color="D2232A"/>
              <w:right w:val="single" w:sz="4" w:space="0" w:color="D2232A"/>
            </w:tcBorders>
            <w:vAlign w:val="center"/>
          </w:tcPr>
          <w:p w:rsidR="006219F1" w:rsidRPr="00025ACE" w:rsidRDefault="006219F1" w:rsidP="0039386B">
            <w:pPr>
              <w:spacing w:after="120"/>
              <w:rPr>
                <w:rFonts w:cs="Arial"/>
                <w:lang w:val="en-GB"/>
              </w:rPr>
            </w:pPr>
            <w:r w:rsidRPr="00025ACE">
              <w:rPr>
                <w:rFonts w:cs="Arial"/>
                <w:lang w:val="en-GB"/>
              </w:rPr>
              <w:t>53°17'18" N</w:t>
            </w:r>
          </w:p>
        </w:tc>
        <w:tc>
          <w:tcPr>
            <w:tcW w:w="1738" w:type="dxa"/>
            <w:tcBorders>
              <w:top w:val="single" w:sz="4" w:space="0" w:color="FFFFFF" w:themeColor="background1"/>
              <w:left w:val="single" w:sz="4" w:space="0" w:color="D2232A"/>
              <w:bottom w:val="single" w:sz="4" w:space="0" w:color="D2232A"/>
              <w:right w:val="single" w:sz="4" w:space="0" w:color="D2232A"/>
            </w:tcBorders>
            <w:vAlign w:val="center"/>
          </w:tcPr>
          <w:p w:rsidR="006219F1" w:rsidRPr="00025ACE" w:rsidRDefault="006219F1" w:rsidP="0039386B">
            <w:pPr>
              <w:spacing w:after="120"/>
              <w:rPr>
                <w:rFonts w:cs="Arial"/>
                <w:lang w:val="en-GB"/>
              </w:rPr>
            </w:pPr>
            <w:r w:rsidRPr="00025ACE">
              <w:rPr>
                <w:rFonts w:cs="Arial"/>
                <w:lang w:val="en-GB"/>
              </w:rPr>
              <w:t>02°26'38" W</w:t>
            </w:r>
          </w:p>
        </w:tc>
        <w:tc>
          <w:tcPr>
            <w:tcW w:w="1950" w:type="dxa"/>
            <w:tcBorders>
              <w:top w:val="single" w:sz="4" w:space="0" w:color="FFFFFF" w:themeColor="background1"/>
              <w:left w:val="single" w:sz="4" w:space="0" w:color="D2232A"/>
              <w:bottom w:val="single" w:sz="4" w:space="0" w:color="D2232A"/>
              <w:right w:val="single" w:sz="4" w:space="0" w:color="D2232A"/>
            </w:tcBorders>
            <w:vAlign w:val="center"/>
          </w:tcPr>
          <w:p w:rsidR="006219F1" w:rsidRPr="00025ACE" w:rsidRDefault="006219F1" w:rsidP="0039386B">
            <w:pPr>
              <w:spacing w:after="120"/>
              <w:rPr>
                <w:rFonts w:cs="Arial"/>
                <w:lang w:val="en-GB"/>
              </w:rPr>
            </w:pPr>
            <w:r w:rsidRPr="00025ACE">
              <w:rPr>
                <w:rFonts w:cs="Arial"/>
                <w:lang w:val="en-GB"/>
              </w:rPr>
              <w:t xml:space="preserve">  5</w:t>
            </w:r>
          </w:p>
        </w:tc>
      </w:tr>
      <w:tr w:rsidR="006219F1" w:rsidRPr="00025ACE" w:rsidTr="0039386B">
        <w:tc>
          <w:tcPr>
            <w:tcW w:w="2093" w:type="dxa"/>
            <w:tcBorders>
              <w:top w:val="single" w:sz="4" w:space="0" w:color="FFFFFF" w:themeColor="background1"/>
              <w:left w:val="single" w:sz="4" w:space="0" w:color="D2232A"/>
              <w:bottom w:val="single" w:sz="4" w:space="0" w:color="D2232A"/>
              <w:right w:val="single" w:sz="4" w:space="0" w:color="D2232A"/>
            </w:tcBorders>
          </w:tcPr>
          <w:p w:rsidR="006219F1" w:rsidRPr="00025ACE" w:rsidRDefault="006219F1" w:rsidP="0039386B">
            <w:pPr>
              <w:spacing w:after="120"/>
              <w:rPr>
                <w:rFonts w:cs="Arial"/>
                <w:lang w:val="en-GB"/>
              </w:rPr>
            </w:pPr>
            <w:r w:rsidRPr="00025ACE">
              <w:rPr>
                <w:rFonts w:cs="Arial"/>
                <w:lang w:val="en-GB"/>
              </w:rPr>
              <w:t>Poland</w:t>
            </w:r>
          </w:p>
        </w:tc>
        <w:tc>
          <w:tcPr>
            <w:tcW w:w="1984" w:type="dxa"/>
            <w:tcBorders>
              <w:top w:val="single" w:sz="4" w:space="0" w:color="FFFFFF" w:themeColor="background1"/>
              <w:left w:val="single" w:sz="4" w:space="0" w:color="D2232A"/>
              <w:bottom w:val="single" w:sz="4" w:space="0" w:color="D2232A"/>
              <w:right w:val="single" w:sz="4" w:space="0" w:color="D2232A"/>
            </w:tcBorders>
            <w:vAlign w:val="center"/>
          </w:tcPr>
          <w:p w:rsidR="006219F1" w:rsidRPr="00025ACE" w:rsidRDefault="006219F1" w:rsidP="0039386B">
            <w:pPr>
              <w:spacing w:after="120"/>
              <w:rPr>
                <w:rFonts w:cs="Arial"/>
                <w:lang w:val="en-GB"/>
              </w:rPr>
            </w:pPr>
            <w:proofErr w:type="spellStart"/>
            <w:r w:rsidRPr="00025ACE">
              <w:rPr>
                <w:rFonts w:cs="Arial"/>
                <w:lang w:val="en-GB"/>
              </w:rPr>
              <w:t>Kraków</w:t>
            </w:r>
            <w:proofErr w:type="spellEnd"/>
            <w:r w:rsidRPr="00025ACE">
              <w:rPr>
                <w:rFonts w:cs="Arial"/>
                <w:lang w:val="en-GB"/>
              </w:rPr>
              <w:t xml:space="preserve">–Fort </w:t>
            </w:r>
            <w:proofErr w:type="spellStart"/>
            <w:r w:rsidRPr="00025ACE">
              <w:rPr>
                <w:rFonts w:cs="Arial"/>
                <w:lang w:val="en-GB"/>
              </w:rPr>
              <w:t>Skala</w:t>
            </w:r>
            <w:proofErr w:type="spellEnd"/>
          </w:p>
        </w:tc>
        <w:tc>
          <w:tcPr>
            <w:tcW w:w="2090" w:type="dxa"/>
            <w:tcBorders>
              <w:top w:val="single" w:sz="4" w:space="0" w:color="FFFFFF" w:themeColor="background1"/>
              <w:left w:val="single" w:sz="4" w:space="0" w:color="D2232A"/>
              <w:bottom w:val="single" w:sz="4" w:space="0" w:color="D2232A"/>
              <w:right w:val="single" w:sz="4" w:space="0" w:color="D2232A"/>
            </w:tcBorders>
            <w:vAlign w:val="center"/>
          </w:tcPr>
          <w:p w:rsidR="006219F1" w:rsidRPr="00025ACE" w:rsidRDefault="006219F1" w:rsidP="0039386B">
            <w:pPr>
              <w:spacing w:after="120"/>
              <w:rPr>
                <w:rFonts w:cs="Arial"/>
                <w:lang w:val="en-GB"/>
              </w:rPr>
            </w:pPr>
            <w:r w:rsidRPr="00025ACE">
              <w:rPr>
                <w:rFonts w:cs="Arial"/>
                <w:lang w:val="en-GB"/>
              </w:rPr>
              <w:t>50°03’18" N</w:t>
            </w:r>
          </w:p>
        </w:tc>
        <w:tc>
          <w:tcPr>
            <w:tcW w:w="1738" w:type="dxa"/>
            <w:tcBorders>
              <w:top w:val="single" w:sz="4" w:space="0" w:color="FFFFFF" w:themeColor="background1"/>
              <w:left w:val="single" w:sz="4" w:space="0" w:color="D2232A"/>
              <w:bottom w:val="single" w:sz="4" w:space="0" w:color="D2232A"/>
              <w:right w:val="single" w:sz="4" w:space="0" w:color="D2232A"/>
            </w:tcBorders>
            <w:vAlign w:val="center"/>
          </w:tcPr>
          <w:p w:rsidR="006219F1" w:rsidRPr="00025ACE" w:rsidRDefault="006219F1" w:rsidP="0039386B">
            <w:pPr>
              <w:spacing w:after="120"/>
              <w:rPr>
                <w:rFonts w:cs="Arial"/>
                <w:lang w:val="en-GB"/>
              </w:rPr>
            </w:pPr>
            <w:r w:rsidRPr="00025ACE">
              <w:rPr>
                <w:rFonts w:cs="Arial"/>
                <w:lang w:val="en-GB"/>
              </w:rPr>
              <w:t>19°49’36" E</w:t>
            </w:r>
          </w:p>
        </w:tc>
        <w:tc>
          <w:tcPr>
            <w:tcW w:w="1950" w:type="dxa"/>
            <w:tcBorders>
              <w:top w:val="single" w:sz="4" w:space="0" w:color="FFFFFF" w:themeColor="background1"/>
              <w:left w:val="single" w:sz="4" w:space="0" w:color="D2232A"/>
              <w:bottom w:val="single" w:sz="4" w:space="0" w:color="D2232A"/>
              <w:right w:val="single" w:sz="4" w:space="0" w:color="D2232A"/>
            </w:tcBorders>
            <w:vAlign w:val="center"/>
          </w:tcPr>
          <w:p w:rsidR="006219F1" w:rsidRPr="00025ACE" w:rsidRDefault="006219F1" w:rsidP="0039386B">
            <w:pPr>
              <w:spacing w:after="120"/>
              <w:rPr>
                <w:rFonts w:cs="Arial"/>
                <w:lang w:val="en-GB"/>
              </w:rPr>
            </w:pPr>
            <w:r w:rsidRPr="00025ACE">
              <w:rPr>
                <w:rFonts w:cs="Arial"/>
                <w:lang w:val="en-GB"/>
              </w:rPr>
              <w:t xml:space="preserve"> 1</w:t>
            </w:r>
          </w:p>
        </w:tc>
      </w:tr>
      <w:tr w:rsidR="006219F1" w:rsidRPr="00025ACE" w:rsidTr="0039386B">
        <w:tc>
          <w:tcPr>
            <w:tcW w:w="2093" w:type="dxa"/>
            <w:tcBorders>
              <w:top w:val="single" w:sz="4" w:space="0" w:color="FFFFFF" w:themeColor="background1"/>
              <w:left w:val="single" w:sz="4" w:space="0" w:color="D2232A"/>
              <w:bottom w:val="single" w:sz="4" w:space="0" w:color="D2232A"/>
              <w:right w:val="single" w:sz="4" w:space="0" w:color="D2232A"/>
            </w:tcBorders>
          </w:tcPr>
          <w:p w:rsidR="006219F1" w:rsidRPr="00025ACE" w:rsidRDefault="006219F1" w:rsidP="0039386B">
            <w:pPr>
              <w:spacing w:after="120"/>
              <w:rPr>
                <w:rFonts w:cs="Arial"/>
                <w:lang w:val="en-GB"/>
              </w:rPr>
            </w:pPr>
          </w:p>
        </w:tc>
        <w:tc>
          <w:tcPr>
            <w:tcW w:w="1984" w:type="dxa"/>
            <w:tcBorders>
              <w:top w:val="single" w:sz="4" w:space="0" w:color="FFFFFF" w:themeColor="background1"/>
              <w:left w:val="single" w:sz="4" w:space="0" w:color="D2232A"/>
              <w:bottom w:val="single" w:sz="4" w:space="0" w:color="D2232A"/>
              <w:right w:val="single" w:sz="4" w:space="0" w:color="D2232A"/>
            </w:tcBorders>
            <w:vAlign w:val="center"/>
          </w:tcPr>
          <w:p w:rsidR="006219F1" w:rsidRPr="00025ACE" w:rsidRDefault="006219F1" w:rsidP="0039386B">
            <w:pPr>
              <w:spacing w:after="120"/>
              <w:rPr>
                <w:rFonts w:cs="Arial"/>
                <w:lang w:val="en-GB"/>
              </w:rPr>
            </w:pPr>
            <w:proofErr w:type="spellStart"/>
            <w:r w:rsidRPr="00025ACE">
              <w:rPr>
                <w:rFonts w:cs="Arial"/>
                <w:lang w:val="en-GB"/>
              </w:rPr>
              <w:t>Toruń</w:t>
            </w:r>
            <w:proofErr w:type="spellEnd"/>
            <w:r w:rsidRPr="00025ACE">
              <w:rPr>
                <w:rFonts w:cs="Arial"/>
                <w:lang w:val="en-GB"/>
              </w:rPr>
              <w:t xml:space="preserve"> - </w:t>
            </w:r>
            <w:proofErr w:type="spellStart"/>
            <w:r w:rsidRPr="00025ACE">
              <w:rPr>
                <w:rFonts w:cs="Arial"/>
                <w:lang w:val="en-GB"/>
              </w:rPr>
              <w:t>Piwnice</w:t>
            </w:r>
            <w:proofErr w:type="spellEnd"/>
          </w:p>
        </w:tc>
        <w:tc>
          <w:tcPr>
            <w:tcW w:w="2090" w:type="dxa"/>
            <w:tcBorders>
              <w:top w:val="single" w:sz="4" w:space="0" w:color="FFFFFF" w:themeColor="background1"/>
              <w:left w:val="single" w:sz="4" w:space="0" w:color="D2232A"/>
              <w:bottom w:val="single" w:sz="4" w:space="0" w:color="D2232A"/>
              <w:right w:val="single" w:sz="4" w:space="0" w:color="D2232A"/>
            </w:tcBorders>
            <w:vAlign w:val="center"/>
          </w:tcPr>
          <w:p w:rsidR="006219F1" w:rsidRPr="00025ACE" w:rsidRDefault="006219F1" w:rsidP="0039386B">
            <w:pPr>
              <w:spacing w:after="120"/>
              <w:rPr>
                <w:rFonts w:cs="Arial"/>
                <w:lang w:val="en-GB"/>
              </w:rPr>
            </w:pPr>
            <w:r w:rsidRPr="00025ACE">
              <w:rPr>
                <w:rFonts w:cs="Arial"/>
                <w:lang w:val="en-GB"/>
              </w:rPr>
              <w:t>52°54’48" N</w:t>
            </w:r>
          </w:p>
        </w:tc>
        <w:tc>
          <w:tcPr>
            <w:tcW w:w="1738" w:type="dxa"/>
            <w:tcBorders>
              <w:top w:val="single" w:sz="4" w:space="0" w:color="FFFFFF" w:themeColor="background1"/>
              <w:left w:val="single" w:sz="4" w:space="0" w:color="D2232A"/>
              <w:bottom w:val="single" w:sz="4" w:space="0" w:color="D2232A"/>
              <w:right w:val="single" w:sz="4" w:space="0" w:color="D2232A"/>
            </w:tcBorders>
            <w:vAlign w:val="center"/>
          </w:tcPr>
          <w:p w:rsidR="006219F1" w:rsidRPr="00025ACE" w:rsidRDefault="006219F1" w:rsidP="0039386B">
            <w:pPr>
              <w:spacing w:after="120"/>
              <w:rPr>
                <w:rFonts w:cs="Arial"/>
                <w:lang w:val="en-GB"/>
              </w:rPr>
            </w:pPr>
            <w:r w:rsidRPr="00025ACE">
              <w:rPr>
                <w:rFonts w:cs="Arial"/>
                <w:lang w:val="en-GB"/>
              </w:rPr>
              <w:t>18°33’30" E</w:t>
            </w:r>
          </w:p>
        </w:tc>
        <w:tc>
          <w:tcPr>
            <w:tcW w:w="1950" w:type="dxa"/>
            <w:tcBorders>
              <w:top w:val="single" w:sz="4" w:space="0" w:color="FFFFFF" w:themeColor="background1"/>
              <w:left w:val="single" w:sz="4" w:space="0" w:color="D2232A"/>
              <w:bottom w:val="single" w:sz="4" w:space="0" w:color="D2232A"/>
              <w:right w:val="single" w:sz="4" w:space="0" w:color="D2232A"/>
            </w:tcBorders>
            <w:vAlign w:val="center"/>
          </w:tcPr>
          <w:p w:rsidR="006219F1" w:rsidRPr="00025ACE" w:rsidRDefault="006219F1" w:rsidP="0039386B">
            <w:pPr>
              <w:spacing w:after="120"/>
              <w:rPr>
                <w:rFonts w:cs="Arial"/>
                <w:lang w:val="en-GB"/>
              </w:rPr>
            </w:pPr>
            <w:r w:rsidRPr="00025ACE">
              <w:rPr>
                <w:rFonts w:cs="Arial"/>
                <w:lang w:val="en-GB"/>
              </w:rPr>
              <w:t xml:space="preserve"> 1</w:t>
            </w:r>
          </w:p>
        </w:tc>
      </w:tr>
      <w:tr w:rsidR="006219F1" w:rsidRPr="00025ACE" w:rsidTr="0039386B">
        <w:tc>
          <w:tcPr>
            <w:tcW w:w="2093" w:type="dxa"/>
            <w:tcBorders>
              <w:top w:val="single" w:sz="4" w:space="0" w:color="FFFFFF" w:themeColor="background1"/>
              <w:left w:val="single" w:sz="4" w:space="0" w:color="D2232A"/>
              <w:bottom w:val="single" w:sz="4" w:space="0" w:color="D2232A"/>
              <w:right w:val="single" w:sz="4" w:space="0" w:color="D2232A"/>
            </w:tcBorders>
          </w:tcPr>
          <w:p w:rsidR="006219F1" w:rsidRPr="00025ACE" w:rsidRDefault="006219F1" w:rsidP="0039386B">
            <w:pPr>
              <w:spacing w:after="120"/>
              <w:rPr>
                <w:rFonts w:cs="Arial"/>
                <w:lang w:val="en-GB"/>
              </w:rPr>
            </w:pPr>
            <w:r w:rsidRPr="00025ACE">
              <w:rPr>
                <w:rFonts w:cs="Arial"/>
                <w:lang w:val="en-GB"/>
              </w:rPr>
              <w:t>Sweden</w:t>
            </w:r>
          </w:p>
        </w:tc>
        <w:tc>
          <w:tcPr>
            <w:tcW w:w="1984" w:type="dxa"/>
            <w:tcBorders>
              <w:top w:val="single" w:sz="4" w:space="0" w:color="FFFFFF" w:themeColor="background1"/>
              <w:left w:val="single" w:sz="4" w:space="0" w:color="D2232A"/>
              <w:bottom w:val="single" w:sz="4" w:space="0" w:color="D2232A"/>
              <w:right w:val="single" w:sz="4" w:space="0" w:color="D2232A"/>
            </w:tcBorders>
            <w:vAlign w:val="center"/>
          </w:tcPr>
          <w:p w:rsidR="006219F1" w:rsidRPr="00025ACE" w:rsidRDefault="006219F1" w:rsidP="0039386B">
            <w:pPr>
              <w:spacing w:after="120"/>
              <w:rPr>
                <w:rFonts w:cs="Arial"/>
                <w:lang w:val="en-GB"/>
              </w:rPr>
            </w:pPr>
            <w:proofErr w:type="spellStart"/>
            <w:r w:rsidRPr="00025ACE">
              <w:rPr>
                <w:rFonts w:cs="Arial"/>
                <w:lang w:val="en-GB"/>
              </w:rPr>
              <w:t>Onsala</w:t>
            </w:r>
            <w:proofErr w:type="spellEnd"/>
          </w:p>
        </w:tc>
        <w:tc>
          <w:tcPr>
            <w:tcW w:w="2090" w:type="dxa"/>
            <w:tcBorders>
              <w:top w:val="single" w:sz="4" w:space="0" w:color="FFFFFF" w:themeColor="background1"/>
              <w:left w:val="single" w:sz="4" w:space="0" w:color="D2232A"/>
              <w:bottom w:val="single" w:sz="4" w:space="0" w:color="D2232A"/>
              <w:right w:val="single" w:sz="4" w:space="0" w:color="D2232A"/>
            </w:tcBorders>
            <w:vAlign w:val="center"/>
          </w:tcPr>
          <w:p w:rsidR="006219F1" w:rsidRPr="00025ACE" w:rsidRDefault="006219F1" w:rsidP="0039386B">
            <w:pPr>
              <w:spacing w:after="120"/>
              <w:rPr>
                <w:rFonts w:cs="Arial"/>
                <w:lang w:val="en-GB"/>
              </w:rPr>
            </w:pPr>
            <w:r w:rsidRPr="00025ACE">
              <w:rPr>
                <w:rFonts w:cs="Arial"/>
                <w:lang w:val="en-GB"/>
              </w:rPr>
              <w:t xml:space="preserve">57°23'45" N </w:t>
            </w:r>
          </w:p>
        </w:tc>
        <w:tc>
          <w:tcPr>
            <w:tcW w:w="1738" w:type="dxa"/>
            <w:tcBorders>
              <w:top w:val="single" w:sz="4" w:space="0" w:color="FFFFFF" w:themeColor="background1"/>
              <w:left w:val="single" w:sz="4" w:space="0" w:color="D2232A"/>
              <w:bottom w:val="single" w:sz="4" w:space="0" w:color="D2232A"/>
              <w:right w:val="single" w:sz="4" w:space="0" w:color="D2232A"/>
            </w:tcBorders>
            <w:vAlign w:val="center"/>
          </w:tcPr>
          <w:p w:rsidR="006219F1" w:rsidRPr="00025ACE" w:rsidRDefault="006219F1" w:rsidP="0039386B">
            <w:pPr>
              <w:spacing w:after="120"/>
              <w:rPr>
                <w:rFonts w:cs="Arial"/>
                <w:lang w:val="en-GB"/>
              </w:rPr>
            </w:pPr>
            <w:r w:rsidRPr="00025ACE">
              <w:rPr>
                <w:rFonts w:cs="Arial"/>
                <w:lang w:val="en-GB"/>
              </w:rPr>
              <w:t>11°55'35" E</w:t>
            </w:r>
          </w:p>
        </w:tc>
        <w:tc>
          <w:tcPr>
            <w:tcW w:w="1950" w:type="dxa"/>
            <w:tcBorders>
              <w:top w:val="single" w:sz="4" w:space="0" w:color="FFFFFF" w:themeColor="background1"/>
              <w:left w:val="single" w:sz="4" w:space="0" w:color="D2232A"/>
              <w:bottom w:val="single" w:sz="4" w:space="0" w:color="D2232A"/>
              <w:right w:val="single" w:sz="4" w:space="0" w:color="D2232A"/>
            </w:tcBorders>
            <w:vAlign w:val="center"/>
          </w:tcPr>
          <w:p w:rsidR="006219F1" w:rsidRPr="00025ACE" w:rsidRDefault="006219F1" w:rsidP="0039386B">
            <w:pPr>
              <w:spacing w:after="120"/>
              <w:rPr>
                <w:rFonts w:cs="Arial"/>
                <w:lang w:val="en-GB"/>
              </w:rPr>
            </w:pPr>
            <w:r w:rsidRPr="00025ACE">
              <w:rPr>
                <w:rFonts w:cs="Arial"/>
                <w:lang w:val="en-GB"/>
              </w:rPr>
              <w:t>12</w:t>
            </w:r>
          </w:p>
        </w:tc>
      </w:tr>
      <w:tr w:rsidR="006219F1" w:rsidRPr="00025ACE" w:rsidTr="0039386B">
        <w:tc>
          <w:tcPr>
            <w:tcW w:w="2093" w:type="dxa"/>
            <w:tcBorders>
              <w:top w:val="single" w:sz="4" w:space="0" w:color="FFFFFF" w:themeColor="background1"/>
              <w:left w:val="single" w:sz="4" w:space="0" w:color="D2232A"/>
              <w:bottom w:val="single" w:sz="4" w:space="0" w:color="D2232A"/>
              <w:right w:val="single" w:sz="4" w:space="0" w:color="D2232A"/>
            </w:tcBorders>
          </w:tcPr>
          <w:p w:rsidR="006219F1" w:rsidRPr="00025ACE" w:rsidRDefault="006219F1" w:rsidP="0039386B">
            <w:pPr>
              <w:spacing w:after="120"/>
              <w:rPr>
                <w:rFonts w:cs="Arial"/>
                <w:lang w:val="en-GB"/>
              </w:rPr>
            </w:pPr>
            <w:r w:rsidRPr="00025ACE">
              <w:rPr>
                <w:rFonts w:cs="Arial"/>
                <w:lang w:val="en-GB"/>
              </w:rPr>
              <w:t>Russia</w:t>
            </w:r>
          </w:p>
        </w:tc>
        <w:tc>
          <w:tcPr>
            <w:tcW w:w="1984" w:type="dxa"/>
            <w:tcBorders>
              <w:top w:val="single" w:sz="4" w:space="0" w:color="FFFFFF" w:themeColor="background1"/>
              <w:left w:val="single" w:sz="4" w:space="0" w:color="D2232A"/>
              <w:bottom w:val="single" w:sz="4" w:space="0" w:color="D2232A"/>
              <w:right w:val="single" w:sz="4" w:space="0" w:color="D2232A"/>
            </w:tcBorders>
          </w:tcPr>
          <w:p w:rsidR="006219F1" w:rsidRPr="00025ACE" w:rsidRDefault="006219F1" w:rsidP="0039386B">
            <w:pPr>
              <w:spacing w:after="120"/>
              <w:rPr>
                <w:rFonts w:cs="Arial"/>
                <w:lang w:val="en-GB"/>
              </w:rPr>
            </w:pPr>
            <w:proofErr w:type="spellStart"/>
            <w:r w:rsidRPr="00025ACE">
              <w:rPr>
                <w:rFonts w:cs="Arial"/>
                <w:lang w:val="en-GB"/>
              </w:rPr>
              <w:t>Dmitrov</w:t>
            </w:r>
            <w:proofErr w:type="spellEnd"/>
          </w:p>
        </w:tc>
        <w:tc>
          <w:tcPr>
            <w:tcW w:w="2090" w:type="dxa"/>
            <w:tcBorders>
              <w:top w:val="single" w:sz="4" w:space="0" w:color="FFFFFF" w:themeColor="background1"/>
              <w:left w:val="single" w:sz="4" w:space="0" w:color="D2232A"/>
              <w:bottom w:val="single" w:sz="4" w:space="0" w:color="D2232A"/>
              <w:right w:val="single" w:sz="4" w:space="0" w:color="D2232A"/>
            </w:tcBorders>
          </w:tcPr>
          <w:p w:rsidR="006219F1" w:rsidRPr="00025ACE" w:rsidRDefault="006219F1" w:rsidP="0039386B">
            <w:pPr>
              <w:spacing w:after="120"/>
              <w:rPr>
                <w:rFonts w:cs="Arial"/>
                <w:lang w:val="en-GB"/>
              </w:rPr>
            </w:pPr>
            <w:r w:rsidRPr="00025ACE">
              <w:rPr>
                <w:rFonts w:cs="Arial"/>
                <w:lang w:val="en-GB"/>
              </w:rPr>
              <w:t>56</w:t>
            </w:r>
            <w:r w:rsidRPr="00025ACE">
              <w:rPr>
                <w:rFonts w:cs="Arial"/>
                <w:vertAlign w:val="superscript"/>
                <w:lang w:val="en-GB"/>
              </w:rPr>
              <w:t>o</w:t>
            </w:r>
            <w:r w:rsidRPr="00025ACE">
              <w:rPr>
                <w:rFonts w:cs="Arial"/>
                <w:lang w:val="en-GB"/>
              </w:rPr>
              <w:t>26'00" N</w:t>
            </w:r>
          </w:p>
        </w:tc>
        <w:tc>
          <w:tcPr>
            <w:tcW w:w="1738" w:type="dxa"/>
            <w:tcBorders>
              <w:top w:val="single" w:sz="4" w:space="0" w:color="FFFFFF" w:themeColor="background1"/>
              <w:left w:val="single" w:sz="4" w:space="0" w:color="D2232A"/>
              <w:bottom w:val="single" w:sz="4" w:space="0" w:color="D2232A"/>
              <w:right w:val="single" w:sz="4" w:space="0" w:color="D2232A"/>
            </w:tcBorders>
          </w:tcPr>
          <w:p w:rsidR="006219F1" w:rsidRPr="00025ACE" w:rsidRDefault="006219F1" w:rsidP="0039386B">
            <w:pPr>
              <w:spacing w:after="120"/>
              <w:rPr>
                <w:rFonts w:cs="Arial"/>
                <w:lang w:val="en-GB"/>
              </w:rPr>
            </w:pPr>
            <w:r w:rsidRPr="00025ACE">
              <w:rPr>
                <w:rFonts w:cs="Arial"/>
                <w:lang w:val="en-GB"/>
              </w:rPr>
              <w:t>37</w:t>
            </w:r>
            <w:r w:rsidRPr="00025ACE">
              <w:rPr>
                <w:rFonts w:cs="Arial"/>
                <w:vertAlign w:val="superscript"/>
                <w:lang w:val="en-GB"/>
              </w:rPr>
              <w:t>o</w:t>
            </w:r>
            <w:r w:rsidRPr="00025ACE">
              <w:rPr>
                <w:rFonts w:cs="Arial"/>
                <w:lang w:val="en-GB"/>
              </w:rPr>
              <w:t>27'00" E</w:t>
            </w:r>
          </w:p>
        </w:tc>
        <w:tc>
          <w:tcPr>
            <w:tcW w:w="1950" w:type="dxa"/>
            <w:tcBorders>
              <w:top w:val="single" w:sz="4" w:space="0" w:color="FFFFFF" w:themeColor="background1"/>
              <w:left w:val="single" w:sz="4" w:space="0" w:color="D2232A"/>
              <w:bottom w:val="single" w:sz="4" w:space="0" w:color="D2232A"/>
              <w:right w:val="single" w:sz="4" w:space="0" w:color="D2232A"/>
            </w:tcBorders>
          </w:tcPr>
          <w:p w:rsidR="006219F1" w:rsidRPr="00025ACE" w:rsidRDefault="006219F1" w:rsidP="0039386B">
            <w:pPr>
              <w:spacing w:after="120"/>
              <w:rPr>
                <w:rFonts w:cs="Arial"/>
                <w:lang w:val="en-GB"/>
              </w:rPr>
            </w:pPr>
            <w:r w:rsidRPr="00025ACE">
              <w:rPr>
                <w:rFonts w:cs="Arial"/>
                <w:lang w:val="en-GB"/>
              </w:rPr>
              <w:t>35</w:t>
            </w:r>
          </w:p>
        </w:tc>
      </w:tr>
      <w:tr w:rsidR="006219F1" w:rsidRPr="00025ACE" w:rsidTr="0039386B">
        <w:tc>
          <w:tcPr>
            <w:tcW w:w="2093" w:type="dxa"/>
            <w:tcBorders>
              <w:top w:val="single" w:sz="4" w:space="0" w:color="FFFFFF" w:themeColor="background1"/>
              <w:left w:val="single" w:sz="4" w:space="0" w:color="D2232A"/>
              <w:bottom w:val="single" w:sz="4" w:space="0" w:color="D2232A"/>
              <w:right w:val="single" w:sz="4" w:space="0" w:color="D2232A"/>
            </w:tcBorders>
          </w:tcPr>
          <w:p w:rsidR="006219F1" w:rsidRPr="00025ACE" w:rsidRDefault="006219F1" w:rsidP="0039386B">
            <w:pPr>
              <w:spacing w:after="120"/>
              <w:rPr>
                <w:rFonts w:cs="Arial"/>
                <w:lang w:val="en-GB"/>
              </w:rPr>
            </w:pPr>
          </w:p>
        </w:tc>
        <w:tc>
          <w:tcPr>
            <w:tcW w:w="1984" w:type="dxa"/>
            <w:tcBorders>
              <w:top w:val="single" w:sz="4" w:space="0" w:color="FFFFFF" w:themeColor="background1"/>
              <w:left w:val="single" w:sz="4" w:space="0" w:color="D2232A"/>
              <w:bottom w:val="single" w:sz="4" w:space="0" w:color="D2232A"/>
              <w:right w:val="single" w:sz="4" w:space="0" w:color="D2232A"/>
            </w:tcBorders>
          </w:tcPr>
          <w:p w:rsidR="006219F1" w:rsidRPr="00025ACE" w:rsidRDefault="006219F1" w:rsidP="0039386B">
            <w:pPr>
              <w:spacing w:after="120"/>
              <w:rPr>
                <w:rFonts w:cs="Arial"/>
                <w:lang w:val="en-GB"/>
              </w:rPr>
            </w:pPr>
            <w:proofErr w:type="spellStart"/>
            <w:r w:rsidRPr="00025ACE">
              <w:rPr>
                <w:rFonts w:cs="Arial"/>
                <w:lang w:val="en-GB"/>
              </w:rPr>
              <w:t>Kalyazin</w:t>
            </w:r>
            <w:proofErr w:type="spellEnd"/>
          </w:p>
        </w:tc>
        <w:tc>
          <w:tcPr>
            <w:tcW w:w="2090" w:type="dxa"/>
            <w:tcBorders>
              <w:top w:val="single" w:sz="4" w:space="0" w:color="FFFFFF" w:themeColor="background1"/>
              <w:left w:val="single" w:sz="4" w:space="0" w:color="D2232A"/>
              <w:bottom w:val="single" w:sz="4" w:space="0" w:color="D2232A"/>
              <w:right w:val="single" w:sz="4" w:space="0" w:color="D2232A"/>
            </w:tcBorders>
          </w:tcPr>
          <w:p w:rsidR="006219F1" w:rsidRPr="00025ACE" w:rsidRDefault="006219F1" w:rsidP="0039386B">
            <w:pPr>
              <w:spacing w:after="120"/>
              <w:rPr>
                <w:rFonts w:cs="Arial"/>
                <w:lang w:val="en-GB"/>
              </w:rPr>
            </w:pPr>
            <w:r w:rsidRPr="00025ACE">
              <w:rPr>
                <w:rFonts w:cs="Arial"/>
                <w:lang w:val="en-GB"/>
              </w:rPr>
              <w:t>57</w:t>
            </w:r>
            <w:r w:rsidRPr="00025ACE">
              <w:rPr>
                <w:rFonts w:cs="Arial"/>
                <w:vertAlign w:val="superscript"/>
                <w:lang w:val="en-GB"/>
              </w:rPr>
              <w:t>o</w:t>
            </w:r>
            <w:r w:rsidRPr="00025ACE">
              <w:rPr>
                <w:rFonts w:cs="Arial"/>
                <w:lang w:val="en-GB"/>
              </w:rPr>
              <w:t>13'22" N</w:t>
            </w:r>
          </w:p>
        </w:tc>
        <w:tc>
          <w:tcPr>
            <w:tcW w:w="1738" w:type="dxa"/>
            <w:tcBorders>
              <w:top w:val="single" w:sz="4" w:space="0" w:color="FFFFFF" w:themeColor="background1"/>
              <w:left w:val="single" w:sz="4" w:space="0" w:color="D2232A"/>
              <w:bottom w:val="single" w:sz="4" w:space="0" w:color="D2232A"/>
              <w:right w:val="single" w:sz="4" w:space="0" w:color="D2232A"/>
            </w:tcBorders>
          </w:tcPr>
          <w:p w:rsidR="006219F1" w:rsidRPr="00025ACE" w:rsidRDefault="006219F1" w:rsidP="0039386B">
            <w:pPr>
              <w:spacing w:after="120"/>
              <w:rPr>
                <w:rFonts w:cs="Arial"/>
                <w:lang w:val="en-GB"/>
              </w:rPr>
            </w:pPr>
            <w:r w:rsidRPr="00025ACE">
              <w:rPr>
                <w:rFonts w:cs="Arial"/>
                <w:lang w:val="en-GB"/>
              </w:rPr>
              <w:t>37</w:t>
            </w:r>
            <w:r w:rsidRPr="00025ACE">
              <w:rPr>
                <w:rFonts w:cs="Arial"/>
                <w:vertAlign w:val="superscript"/>
                <w:lang w:val="en-GB"/>
              </w:rPr>
              <w:t>o</w:t>
            </w:r>
            <w:r w:rsidRPr="00025ACE">
              <w:rPr>
                <w:rFonts w:cs="Arial"/>
                <w:lang w:val="en-GB"/>
              </w:rPr>
              <w:t>54'01" E</w:t>
            </w:r>
          </w:p>
        </w:tc>
        <w:tc>
          <w:tcPr>
            <w:tcW w:w="1950" w:type="dxa"/>
            <w:tcBorders>
              <w:top w:val="single" w:sz="4" w:space="0" w:color="FFFFFF" w:themeColor="background1"/>
              <w:left w:val="single" w:sz="4" w:space="0" w:color="D2232A"/>
              <w:bottom w:val="single" w:sz="4" w:space="0" w:color="D2232A"/>
              <w:right w:val="single" w:sz="4" w:space="0" w:color="D2232A"/>
            </w:tcBorders>
          </w:tcPr>
          <w:p w:rsidR="006219F1" w:rsidRPr="00025ACE" w:rsidRDefault="006219F1" w:rsidP="0039386B">
            <w:pPr>
              <w:spacing w:after="120"/>
              <w:rPr>
                <w:rFonts w:cs="Arial"/>
                <w:lang w:val="en-GB"/>
              </w:rPr>
            </w:pPr>
            <w:r w:rsidRPr="00025ACE">
              <w:rPr>
                <w:rFonts w:cs="Arial"/>
                <w:lang w:val="en-GB"/>
              </w:rPr>
              <w:t>35</w:t>
            </w:r>
          </w:p>
        </w:tc>
      </w:tr>
      <w:tr w:rsidR="006219F1" w:rsidRPr="00025ACE" w:rsidTr="0039386B">
        <w:tc>
          <w:tcPr>
            <w:tcW w:w="2093" w:type="dxa"/>
            <w:tcBorders>
              <w:top w:val="single" w:sz="4" w:space="0" w:color="FFFFFF" w:themeColor="background1"/>
              <w:left w:val="single" w:sz="4" w:space="0" w:color="D2232A"/>
              <w:bottom w:val="single" w:sz="4" w:space="0" w:color="D2232A"/>
              <w:right w:val="single" w:sz="4" w:space="0" w:color="D2232A"/>
            </w:tcBorders>
          </w:tcPr>
          <w:p w:rsidR="006219F1" w:rsidRPr="00025ACE" w:rsidRDefault="006219F1" w:rsidP="0039386B">
            <w:pPr>
              <w:spacing w:after="120"/>
              <w:rPr>
                <w:rFonts w:cs="Arial"/>
                <w:lang w:val="en-GB"/>
              </w:rPr>
            </w:pPr>
          </w:p>
        </w:tc>
        <w:tc>
          <w:tcPr>
            <w:tcW w:w="1984" w:type="dxa"/>
            <w:tcBorders>
              <w:top w:val="single" w:sz="4" w:space="0" w:color="FFFFFF" w:themeColor="background1"/>
              <w:left w:val="single" w:sz="4" w:space="0" w:color="D2232A"/>
              <w:bottom w:val="single" w:sz="4" w:space="0" w:color="D2232A"/>
              <w:right w:val="single" w:sz="4" w:space="0" w:color="D2232A"/>
            </w:tcBorders>
          </w:tcPr>
          <w:p w:rsidR="006219F1" w:rsidRPr="00025ACE" w:rsidRDefault="006219F1" w:rsidP="0039386B">
            <w:pPr>
              <w:spacing w:after="120"/>
              <w:rPr>
                <w:rFonts w:cs="Arial"/>
                <w:lang w:val="en-GB"/>
              </w:rPr>
            </w:pPr>
            <w:proofErr w:type="spellStart"/>
            <w:r w:rsidRPr="00025ACE">
              <w:rPr>
                <w:rFonts w:cs="Arial"/>
                <w:lang w:val="en-GB"/>
              </w:rPr>
              <w:t>Pushchino</w:t>
            </w:r>
            <w:proofErr w:type="spellEnd"/>
          </w:p>
        </w:tc>
        <w:tc>
          <w:tcPr>
            <w:tcW w:w="2090" w:type="dxa"/>
            <w:tcBorders>
              <w:top w:val="single" w:sz="4" w:space="0" w:color="FFFFFF" w:themeColor="background1"/>
              <w:left w:val="single" w:sz="4" w:space="0" w:color="D2232A"/>
              <w:bottom w:val="single" w:sz="4" w:space="0" w:color="D2232A"/>
              <w:right w:val="single" w:sz="4" w:space="0" w:color="D2232A"/>
            </w:tcBorders>
          </w:tcPr>
          <w:p w:rsidR="006219F1" w:rsidRPr="00025ACE" w:rsidRDefault="006219F1" w:rsidP="0039386B">
            <w:pPr>
              <w:spacing w:after="120"/>
              <w:rPr>
                <w:rFonts w:cs="Arial"/>
                <w:lang w:val="en-GB"/>
              </w:rPr>
            </w:pPr>
            <w:r w:rsidRPr="00025ACE">
              <w:rPr>
                <w:rFonts w:cs="Arial"/>
                <w:lang w:val="en-GB"/>
              </w:rPr>
              <w:t>54</w:t>
            </w:r>
            <w:r w:rsidRPr="00025ACE">
              <w:rPr>
                <w:rFonts w:cs="Arial"/>
                <w:vertAlign w:val="superscript"/>
                <w:lang w:val="en-GB"/>
              </w:rPr>
              <w:t>o</w:t>
            </w:r>
            <w:r w:rsidRPr="00025ACE">
              <w:rPr>
                <w:rFonts w:cs="Arial"/>
                <w:lang w:val="en-GB"/>
              </w:rPr>
              <w:t>49'00" N</w:t>
            </w:r>
          </w:p>
        </w:tc>
        <w:tc>
          <w:tcPr>
            <w:tcW w:w="1738" w:type="dxa"/>
            <w:tcBorders>
              <w:top w:val="single" w:sz="4" w:space="0" w:color="FFFFFF" w:themeColor="background1"/>
              <w:left w:val="single" w:sz="4" w:space="0" w:color="D2232A"/>
              <w:bottom w:val="single" w:sz="4" w:space="0" w:color="D2232A"/>
              <w:right w:val="single" w:sz="4" w:space="0" w:color="D2232A"/>
            </w:tcBorders>
          </w:tcPr>
          <w:p w:rsidR="006219F1" w:rsidRPr="00025ACE" w:rsidRDefault="006219F1" w:rsidP="0039386B">
            <w:pPr>
              <w:spacing w:after="120"/>
              <w:rPr>
                <w:rFonts w:cs="Arial"/>
                <w:lang w:val="en-GB"/>
              </w:rPr>
            </w:pPr>
            <w:r w:rsidRPr="00025ACE">
              <w:rPr>
                <w:rFonts w:cs="Arial"/>
                <w:lang w:val="en-GB"/>
              </w:rPr>
              <w:t>37</w:t>
            </w:r>
            <w:r w:rsidRPr="00025ACE">
              <w:rPr>
                <w:rFonts w:cs="Arial"/>
                <w:vertAlign w:val="superscript"/>
                <w:lang w:val="en-GB"/>
              </w:rPr>
              <w:t>o</w:t>
            </w:r>
            <w:r w:rsidRPr="00025ACE">
              <w:rPr>
                <w:rFonts w:cs="Arial"/>
                <w:lang w:val="en-GB"/>
              </w:rPr>
              <w:t>40'00" E</w:t>
            </w:r>
          </w:p>
        </w:tc>
        <w:tc>
          <w:tcPr>
            <w:tcW w:w="1950" w:type="dxa"/>
            <w:tcBorders>
              <w:top w:val="single" w:sz="4" w:space="0" w:color="FFFFFF" w:themeColor="background1"/>
              <w:left w:val="single" w:sz="4" w:space="0" w:color="D2232A"/>
              <w:bottom w:val="single" w:sz="4" w:space="0" w:color="D2232A"/>
              <w:right w:val="single" w:sz="4" w:space="0" w:color="D2232A"/>
            </w:tcBorders>
          </w:tcPr>
          <w:p w:rsidR="006219F1" w:rsidRPr="00025ACE" w:rsidRDefault="006219F1" w:rsidP="0039386B">
            <w:pPr>
              <w:spacing w:after="120"/>
              <w:rPr>
                <w:rFonts w:cs="Arial"/>
                <w:lang w:val="en-GB"/>
              </w:rPr>
            </w:pPr>
            <w:r w:rsidRPr="00025ACE">
              <w:rPr>
                <w:rFonts w:cs="Arial"/>
                <w:lang w:val="en-GB"/>
              </w:rPr>
              <w:t>35</w:t>
            </w:r>
          </w:p>
        </w:tc>
      </w:tr>
      <w:tr w:rsidR="006219F1" w:rsidRPr="00025ACE" w:rsidTr="0039386B">
        <w:tc>
          <w:tcPr>
            <w:tcW w:w="2093" w:type="dxa"/>
            <w:tcBorders>
              <w:top w:val="single" w:sz="4" w:space="0" w:color="FFFFFF" w:themeColor="background1"/>
              <w:left w:val="single" w:sz="4" w:space="0" w:color="D2232A"/>
              <w:bottom w:val="single" w:sz="4" w:space="0" w:color="D2232A"/>
              <w:right w:val="single" w:sz="4" w:space="0" w:color="D2232A"/>
            </w:tcBorders>
          </w:tcPr>
          <w:p w:rsidR="006219F1" w:rsidRPr="00025ACE" w:rsidRDefault="006219F1" w:rsidP="0039386B">
            <w:pPr>
              <w:spacing w:after="120"/>
              <w:rPr>
                <w:rFonts w:cs="Arial"/>
                <w:lang w:val="en-GB"/>
              </w:rPr>
            </w:pPr>
          </w:p>
        </w:tc>
        <w:tc>
          <w:tcPr>
            <w:tcW w:w="1984" w:type="dxa"/>
            <w:tcBorders>
              <w:top w:val="single" w:sz="4" w:space="0" w:color="FFFFFF" w:themeColor="background1"/>
              <w:left w:val="single" w:sz="4" w:space="0" w:color="D2232A"/>
              <w:bottom w:val="single" w:sz="4" w:space="0" w:color="D2232A"/>
              <w:right w:val="single" w:sz="4" w:space="0" w:color="D2232A"/>
            </w:tcBorders>
          </w:tcPr>
          <w:p w:rsidR="006219F1" w:rsidRPr="00025ACE" w:rsidRDefault="006219F1" w:rsidP="0039386B">
            <w:pPr>
              <w:spacing w:after="120"/>
              <w:rPr>
                <w:rFonts w:cs="Arial"/>
                <w:lang w:val="en-GB"/>
              </w:rPr>
            </w:pPr>
            <w:proofErr w:type="spellStart"/>
            <w:r w:rsidRPr="00025ACE">
              <w:rPr>
                <w:rFonts w:cs="Arial"/>
                <w:lang w:val="en-GB"/>
              </w:rPr>
              <w:t>Zelenchukskaya</w:t>
            </w:r>
            <w:proofErr w:type="spellEnd"/>
          </w:p>
        </w:tc>
        <w:tc>
          <w:tcPr>
            <w:tcW w:w="2090" w:type="dxa"/>
            <w:tcBorders>
              <w:top w:val="single" w:sz="4" w:space="0" w:color="FFFFFF" w:themeColor="background1"/>
              <w:left w:val="single" w:sz="4" w:space="0" w:color="D2232A"/>
              <w:bottom w:val="single" w:sz="4" w:space="0" w:color="D2232A"/>
              <w:right w:val="single" w:sz="4" w:space="0" w:color="D2232A"/>
            </w:tcBorders>
          </w:tcPr>
          <w:p w:rsidR="006219F1" w:rsidRPr="00025ACE" w:rsidRDefault="006219F1" w:rsidP="0039386B">
            <w:pPr>
              <w:spacing w:after="120"/>
              <w:rPr>
                <w:rFonts w:cs="Arial"/>
                <w:lang w:val="en-GB"/>
              </w:rPr>
            </w:pPr>
            <w:r w:rsidRPr="00025ACE">
              <w:rPr>
                <w:rFonts w:cs="Arial"/>
                <w:lang w:val="en-GB"/>
              </w:rPr>
              <w:t>43</w:t>
            </w:r>
            <w:r w:rsidRPr="00025ACE">
              <w:rPr>
                <w:rFonts w:cs="Arial"/>
                <w:vertAlign w:val="superscript"/>
                <w:lang w:val="en-GB"/>
              </w:rPr>
              <w:t>o</w:t>
            </w:r>
            <w:r w:rsidRPr="00025ACE">
              <w:rPr>
                <w:rFonts w:cs="Arial"/>
                <w:lang w:val="en-GB"/>
              </w:rPr>
              <w:t>49'53" N</w:t>
            </w:r>
          </w:p>
        </w:tc>
        <w:tc>
          <w:tcPr>
            <w:tcW w:w="1738" w:type="dxa"/>
            <w:tcBorders>
              <w:top w:val="single" w:sz="4" w:space="0" w:color="FFFFFF" w:themeColor="background1"/>
              <w:left w:val="single" w:sz="4" w:space="0" w:color="D2232A"/>
              <w:bottom w:val="single" w:sz="4" w:space="0" w:color="D2232A"/>
              <w:right w:val="single" w:sz="4" w:space="0" w:color="D2232A"/>
            </w:tcBorders>
          </w:tcPr>
          <w:p w:rsidR="006219F1" w:rsidRPr="00025ACE" w:rsidRDefault="006219F1" w:rsidP="0039386B">
            <w:pPr>
              <w:spacing w:after="120"/>
              <w:rPr>
                <w:rFonts w:cs="Arial"/>
                <w:lang w:val="en-GB"/>
              </w:rPr>
            </w:pPr>
            <w:r w:rsidRPr="00025ACE">
              <w:rPr>
                <w:rFonts w:cs="Arial"/>
                <w:lang w:val="en-GB"/>
              </w:rPr>
              <w:t>41</w:t>
            </w:r>
            <w:r w:rsidRPr="00025ACE">
              <w:rPr>
                <w:rFonts w:cs="Arial"/>
                <w:vertAlign w:val="superscript"/>
                <w:lang w:val="en-GB"/>
              </w:rPr>
              <w:t>o</w:t>
            </w:r>
            <w:r w:rsidRPr="00025ACE">
              <w:rPr>
                <w:rFonts w:cs="Arial"/>
                <w:lang w:val="en-GB"/>
              </w:rPr>
              <w:t>35'32" E</w:t>
            </w:r>
          </w:p>
        </w:tc>
        <w:tc>
          <w:tcPr>
            <w:tcW w:w="1950" w:type="dxa"/>
            <w:tcBorders>
              <w:top w:val="single" w:sz="4" w:space="0" w:color="FFFFFF" w:themeColor="background1"/>
              <w:left w:val="single" w:sz="4" w:space="0" w:color="D2232A"/>
              <w:bottom w:val="single" w:sz="4" w:space="0" w:color="D2232A"/>
              <w:right w:val="single" w:sz="4" w:space="0" w:color="D2232A"/>
            </w:tcBorders>
          </w:tcPr>
          <w:p w:rsidR="006219F1" w:rsidRPr="00025ACE" w:rsidRDefault="006219F1" w:rsidP="0039386B">
            <w:pPr>
              <w:spacing w:after="120"/>
              <w:rPr>
                <w:rFonts w:cs="Arial"/>
                <w:lang w:val="en-GB"/>
              </w:rPr>
            </w:pPr>
            <w:r w:rsidRPr="00025ACE">
              <w:rPr>
                <w:rFonts w:cs="Arial"/>
                <w:lang w:val="en-GB"/>
              </w:rPr>
              <w:t>35</w:t>
            </w:r>
          </w:p>
        </w:tc>
      </w:tr>
      <w:tr w:rsidR="006219F1" w:rsidRPr="00025ACE" w:rsidTr="0039386B">
        <w:tc>
          <w:tcPr>
            <w:tcW w:w="2093" w:type="dxa"/>
            <w:tcBorders>
              <w:top w:val="single" w:sz="4" w:space="0" w:color="FFFFFF" w:themeColor="background1"/>
              <w:left w:val="single" w:sz="4" w:space="0" w:color="D2232A"/>
              <w:bottom w:val="single" w:sz="4" w:space="0" w:color="D2232A"/>
              <w:right w:val="single" w:sz="4" w:space="0" w:color="D2232A"/>
            </w:tcBorders>
          </w:tcPr>
          <w:p w:rsidR="006219F1" w:rsidRPr="00025ACE" w:rsidRDefault="006219F1" w:rsidP="0039386B">
            <w:pPr>
              <w:spacing w:after="120"/>
              <w:rPr>
                <w:rFonts w:cs="Arial"/>
                <w:lang w:val="en-GB"/>
              </w:rPr>
            </w:pPr>
            <w:r w:rsidRPr="00025ACE">
              <w:rPr>
                <w:rFonts w:cs="Arial"/>
                <w:lang w:val="en-GB"/>
              </w:rPr>
              <w:t>Switzerland</w:t>
            </w:r>
          </w:p>
        </w:tc>
        <w:tc>
          <w:tcPr>
            <w:tcW w:w="1984" w:type="dxa"/>
            <w:tcBorders>
              <w:top w:val="single" w:sz="4" w:space="0" w:color="FFFFFF" w:themeColor="background1"/>
              <w:left w:val="single" w:sz="4" w:space="0" w:color="D2232A"/>
              <w:bottom w:val="single" w:sz="4" w:space="0" w:color="D2232A"/>
              <w:right w:val="single" w:sz="4" w:space="0" w:color="D2232A"/>
            </w:tcBorders>
          </w:tcPr>
          <w:p w:rsidR="006219F1" w:rsidRPr="00025ACE" w:rsidRDefault="006219F1" w:rsidP="0039386B">
            <w:pPr>
              <w:spacing w:after="120"/>
              <w:rPr>
                <w:rFonts w:cs="Arial"/>
                <w:lang w:val="en-GB"/>
              </w:rPr>
            </w:pPr>
            <w:proofErr w:type="spellStart"/>
            <w:r w:rsidRPr="00025ACE">
              <w:rPr>
                <w:rFonts w:cs="Arial"/>
                <w:lang w:val="en-GB"/>
              </w:rPr>
              <w:t>Bleien</w:t>
            </w:r>
            <w:proofErr w:type="spellEnd"/>
          </w:p>
        </w:tc>
        <w:tc>
          <w:tcPr>
            <w:tcW w:w="2090" w:type="dxa"/>
            <w:tcBorders>
              <w:top w:val="single" w:sz="4" w:space="0" w:color="FFFFFF" w:themeColor="background1"/>
              <w:left w:val="single" w:sz="4" w:space="0" w:color="D2232A"/>
              <w:bottom w:val="single" w:sz="4" w:space="0" w:color="D2232A"/>
              <w:right w:val="single" w:sz="4" w:space="0" w:color="D2232A"/>
            </w:tcBorders>
          </w:tcPr>
          <w:p w:rsidR="006219F1" w:rsidRPr="00025ACE" w:rsidRDefault="006219F1" w:rsidP="0039386B">
            <w:pPr>
              <w:spacing w:after="120"/>
              <w:rPr>
                <w:rFonts w:cs="Arial"/>
                <w:lang w:val="en-GB"/>
              </w:rPr>
            </w:pPr>
            <w:r w:rsidRPr="00025ACE">
              <w:rPr>
                <w:rFonts w:cs="Arial"/>
                <w:lang w:val="en-GB"/>
              </w:rPr>
              <w:t>47</w:t>
            </w:r>
            <w:r w:rsidRPr="00025ACE">
              <w:rPr>
                <w:rFonts w:cs="Arial"/>
                <w:vertAlign w:val="superscript"/>
                <w:lang w:val="en-GB"/>
              </w:rPr>
              <w:t>o</w:t>
            </w:r>
            <w:r w:rsidRPr="00025ACE">
              <w:rPr>
                <w:rFonts w:cs="Arial"/>
                <w:lang w:val="en-GB"/>
              </w:rPr>
              <w:t>20'26" N</w:t>
            </w:r>
          </w:p>
        </w:tc>
        <w:tc>
          <w:tcPr>
            <w:tcW w:w="1738" w:type="dxa"/>
            <w:tcBorders>
              <w:top w:val="single" w:sz="4" w:space="0" w:color="FFFFFF" w:themeColor="background1"/>
              <w:left w:val="single" w:sz="4" w:space="0" w:color="D2232A"/>
              <w:bottom w:val="single" w:sz="4" w:space="0" w:color="D2232A"/>
              <w:right w:val="single" w:sz="4" w:space="0" w:color="D2232A"/>
            </w:tcBorders>
          </w:tcPr>
          <w:p w:rsidR="006219F1" w:rsidRPr="00025ACE" w:rsidRDefault="006219F1" w:rsidP="0039386B">
            <w:pPr>
              <w:spacing w:after="120"/>
              <w:rPr>
                <w:rFonts w:cs="Arial"/>
                <w:lang w:val="en-GB"/>
              </w:rPr>
            </w:pPr>
            <w:r w:rsidRPr="00025ACE">
              <w:rPr>
                <w:rFonts w:cs="Arial"/>
                <w:lang w:val="en-GB"/>
              </w:rPr>
              <w:t>08°06’44" E</w:t>
            </w:r>
          </w:p>
        </w:tc>
        <w:tc>
          <w:tcPr>
            <w:tcW w:w="1950" w:type="dxa"/>
            <w:tcBorders>
              <w:top w:val="single" w:sz="4" w:space="0" w:color="FFFFFF" w:themeColor="background1"/>
              <w:left w:val="single" w:sz="4" w:space="0" w:color="D2232A"/>
              <w:bottom w:val="single" w:sz="4" w:space="0" w:color="D2232A"/>
              <w:right w:val="single" w:sz="4" w:space="0" w:color="D2232A"/>
            </w:tcBorders>
          </w:tcPr>
          <w:p w:rsidR="006219F1" w:rsidRPr="00025ACE" w:rsidRDefault="006219F1" w:rsidP="0039386B">
            <w:pPr>
              <w:spacing w:after="120"/>
              <w:rPr>
                <w:rFonts w:cs="Arial"/>
                <w:lang w:val="en-GB"/>
              </w:rPr>
            </w:pPr>
            <w:r w:rsidRPr="00025ACE">
              <w:rPr>
                <w:rFonts w:cs="Arial"/>
                <w:lang w:val="en-GB"/>
              </w:rPr>
              <w:t xml:space="preserve">  3</w:t>
            </w:r>
          </w:p>
        </w:tc>
      </w:tr>
      <w:tr w:rsidR="006219F1" w:rsidRPr="00025ACE" w:rsidTr="0039386B">
        <w:tc>
          <w:tcPr>
            <w:tcW w:w="2093" w:type="dxa"/>
            <w:tcBorders>
              <w:top w:val="single" w:sz="4" w:space="0" w:color="FFFFFF" w:themeColor="background1"/>
              <w:left w:val="single" w:sz="4" w:space="0" w:color="D2232A"/>
              <w:bottom w:val="single" w:sz="4" w:space="0" w:color="D2232A"/>
              <w:right w:val="single" w:sz="4" w:space="0" w:color="D2232A"/>
            </w:tcBorders>
          </w:tcPr>
          <w:p w:rsidR="006219F1" w:rsidRPr="00025ACE" w:rsidRDefault="006219F1" w:rsidP="0039386B">
            <w:pPr>
              <w:spacing w:after="120"/>
              <w:rPr>
                <w:rFonts w:cs="Arial"/>
                <w:lang w:val="en-GB"/>
              </w:rPr>
            </w:pPr>
            <w:r w:rsidRPr="00025ACE">
              <w:rPr>
                <w:rFonts w:cs="Arial"/>
                <w:lang w:val="en-GB"/>
              </w:rPr>
              <w:t>Latvia</w:t>
            </w:r>
          </w:p>
        </w:tc>
        <w:tc>
          <w:tcPr>
            <w:tcW w:w="1984" w:type="dxa"/>
            <w:tcBorders>
              <w:top w:val="single" w:sz="4" w:space="0" w:color="FFFFFF" w:themeColor="background1"/>
              <w:left w:val="single" w:sz="4" w:space="0" w:color="D2232A"/>
              <w:bottom w:val="single" w:sz="4" w:space="0" w:color="D2232A"/>
              <w:right w:val="single" w:sz="4" w:space="0" w:color="D2232A"/>
            </w:tcBorders>
          </w:tcPr>
          <w:p w:rsidR="006219F1" w:rsidRPr="00025ACE" w:rsidRDefault="006219F1" w:rsidP="0039386B">
            <w:pPr>
              <w:spacing w:after="120"/>
              <w:rPr>
                <w:rFonts w:cs="Arial"/>
                <w:lang w:val="en-GB"/>
              </w:rPr>
            </w:pPr>
            <w:proofErr w:type="spellStart"/>
            <w:r w:rsidRPr="00025ACE">
              <w:rPr>
                <w:rFonts w:cs="Arial"/>
                <w:lang w:val="en-GB"/>
              </w:rPr>
              <w:t>Ventspils</w:t>
            </w:r>
            <w:proofErr w:type="spellEnd"/>
          </w:p>
        </w:tc>
        <w:tc>
          <w:tcPr>
            <w:tcW w:w="2090" w:type="dxa"/>
            <w:tcBorders>
              <w:top w:val="single" w:sz="4" w:space="0" w:color="FFFFFF" w:themeColor="background1"/>
              <w:left w:val="single" w:sz="4" w:space="0" w:color="D2232A"/>
              <w:bottom w:val="single" w:sz="4" w:space="0" w:color="D2232A"/>
              <w:right w:val="single" w:sz="4" w:space="0" w:color="D2232A"/>
            </w:tcBorders>
          </w:tcPr>
          <w:p w:rsidR="006219F1" w:rsidRPr="00025ACE" w:rsidRDefault="006219F1" w:rsidP="0039386B">
            <w:pPr>
              <w:spacing w:after="120"/>
              <w:rPr>
                <w:rFonts w:cs="Arial"/>
                <w:lang w:val="en-GB"/>
              </w:rPr>
            </w:pPr>
            <w:r w:rsidRPr="00025ACE">
              <w:rPr>
                <w:rFonts w:cs="Arial"/>
                <w:lang w:val="en-GB"/>
              </w:rPr>
              <w:t>57</w:t>
            </w:r>
            <w:r w:rsidRPr="00025ACE">
              <w:rPr>
                <w:rFonts w:cs="Arial"/>
                <w:vertAlign w:val="superscript"/>
                <w:lang w:val="en-GB"/>
              </w:rPr>
              <w:t>o</w:t>
            </w:r>
            <w:r w:rsidRPr="00025ACE">
              <w:rPr>
                <w:rFonts w:cs="Arial"/>
                <w:lang w:val="en-GB"/>
              </w:rPr>
              <w:t>33'12" N</w:t>
            </w:r>
          </w:p>
        </w:tc>
        <w:tc>
          <w:tcPr>
            <w:tcW w:w="1738" w:type="dxa"/>
            <w:tcBorders>
              <w:top w:val="single" w:sz="4" w:space="0" w:color="FFFFFF" w:themeColor="background1"/>
              <w:left w:val="single" w:sz="4" w:space="0" w:color="D2232A"/>
              <w:bottom w:val="single" w:sz="4" w:space="0" w:color="D2232A"/>
              <w:right w:val="single" w:sz="4" w:space="0" w:color="D2232A"/>
            </w:tcBorders>
          </w:tcPr>
          <w:p w:rsidR="006219F1" w:rsidRPr="00025ACE" w:rsidRDefault="006219F1" w:rsidP="0039386B">
            <w:pPr>
              <w:spacing w:after="120"/>
              <w:rPr>
                <w:rFonts w:cs="Arial"/>
                <w:lang w:val="en-GB"/>
              </w:rPr>
            </w:pPr>
            <w:r w:rsidRPr="00025ACE">
              <w:rPr>
                <w:rFonts w:cs="Arial"/>
                <w:lang w:val="en-GB"/>
              </w:rPr>
              <w:t>21</w:t>
            </w:r>
            <w:r w:rsidRPr="00025ACE">
              <w:rPr>
                <w:rFonts w:cs="Arial"/>
                <w:vertAlign w:val="superscript"/>
                <w:lang w:val="en-GB"/>
              </w:rPr>
              <w:t>o</w:t>
            </w:r>
            <w:r w:rsidRPr="00025ACE">
              <w:rPr>
                <w:rFonts w:cs="Arial"/>
                <w:lang w:val="en-GB"/>
              </w:rPr>
              <w:t>51'17" E</w:t>
            </w:r>
          </w:p>
        </w:tc>
        <w:tc>
          <w:tcPr>
            <w:tcW w:w="1950" w:type="dxa"/>
            <w:tcBorders>
              <w:top w:val="single" w:sz="4" w:space="0" w:color="FFFFFF" w:themeColor="background1"/>
              <w:left w:val="single" w:sz="4" w:space="0" w:color="D2232A"/>
              <w:bottom w:val="single" w:sz="4" w:space="0" w:color="D2232A"/>
              <w:right w:val="single" w:sz="4" w:space="0" w:color="D2232A"/>
            </w:tcBorders>
          </w:tcPr>
          <w:p w:rsidR="006219F1" w:rsidRPr="00025ACE" w:rsidRDefault="00D41D1B" w:rsidP="0039386B">
            <w:pPr>
              <w:spacing w:after="120"/>
              <w:rPr>
                <w:rFonts w:cs="Arial"/>
                <w:lang w:val="en-GB"/>
              </w:rPr>
            </w:pPr>
            <w:r w:rsidRPr="00025ACE">
              <w:rPr>
                <w:rFonts w:cs="Arial"/>
                <w:lang w:val="en-GB"/>
              </w:rPr>
              <w:t xml:space="preserve">  </w:t>
            </w:r>
            <w:r w:rsidR="006219F1" w:rsidRPr="00025ACE">
              <w:rPr>
                <w:rFonts w:cs="Arial"/>
                <w:lang w:val="en-GB"/>
              </w:rPr>
              <w:t>8.5</w:t>
            </w:r>
          </w:p>
        </w:tc>
      </w:tr>
      <w:tr w:rsidR="006219F1" w:rsidRPr="00025ACE" w:rsidTr="0039386B">
        <w:tc>
          <w:tcPr>
            <w:tcW w:w="2093" w:type="dxa"/>
            <w:tcBorders>
              <w:top w:val="single" w:sz="4" w:space="0" w:color="FFFFFF" w:themeColor="background1"/>
              <w:left w:val="single" w:sz="4" w:space="0" w:color="D2232A"/>
              <w:bottom w:val="single" w:sz="4" w:space="0" w:color="D2232A"/>
              <w:right w:val="single" w:sz="4" w:space="0" w:color="D2232A"/>
            </w:tcBorders>
          </w:tcPr>
          <w:p w:rsidR="006219F1" w:rsidRPr="00025ACE" w:rsidRDefault="006219F1" w:rsidP="0039386B">
            <w:pPr>
              <w:spacing w:after="120"/>
              <w:rPr>
                <w:rFonts w:cs="Arial"/>
                <w:lang w:val="en-GB"/>
              </w:rPr>
            </w:pPr>
            <w:r w:rsidRPr="00025ACE">
              <w:rPr>
                <w:rFonts w:cs="Arial"/>
                <w:lang w:val="en-GB"/>
              </w:rPr>
              <w:t>Hungary</w:t>
            </w:r>
          </w:p>
        </w:tc>
        <w:tc>
          <w:tcPr>
            <w:tcW w:w="1984" w:type="dxa"/>
            <w:tcBorders>
              <w:top w:val="single" w:sz="4" w:space="0" w:color="FFFFFF" w:themeColor="background1"/>
              <w:left w:val="single" w:sz="4" w:space="0" w:color="D2232A"/>
              <w:bottom w:val="single" w:sz="4" w:space="0" w:color="D2232A"/>
              <w:right w:val="single" w:sz="4" w:space="0" w:color="D2232A"/>
            </w:tcBorders>
          </w:tcPr>
          <w:p w:rsidR="006219F1" w:rsidRPr="00025ACE" w:rsidRDefault="006219F1" w:rsidP="0039386B">
            <w:pPr>
              <w:spacing w:after="120"/>
              <w:rPr>
                <w:rFonts w:cs="Arial"/>
                <w:lang w:val="en-GB"/>
              </w:rPr>
            </w:pPr>
            <w:proofErr w:type="spellStart"/>
            <w:r w:rsidRPr="00025ACE">
              <w:rPr>
                <w:rFonts w:cs="Arial"/>
                <w:lang w:val="en-GB"/>
              </w:rPr>
              <w:t>Penc</w:t>
            </w:r>
            <w:proofErr w:type="spellEnd"/>
          </w:p>
        </w:tc>
        <w:tc>
          <w:tcPr>
            <w:tcW w:w="2090" w:type="dxa"/>
            <w:tcBorders>
              <w:top w:val="single" w:sz="4" w:space="0" w:color="FFFFFF" w:themeColor="background1"/>
              <w:left w:val="single" w:sz="4" w:space="0" w:color="D2232A"/>
              <w:bottom w:val="single" w:sz="4" w:space="0" w:color="D2232A"/>
              <w:right w:val="single" w:sz="4" w:space="0" w:color="D2232A"/>
            </w:tcBorders>
          </w:tcPr>
          <w:p w:rsidR="006219F1" w:rsidRPr="00025ACE" w:rsidRDefault="006219F1" w:rsidP="0039386B">
            <w:pPr>
              <w:spacing w:after="120"/>
              <w:rPr>
                <w:rFonts w:cs="Arial"/>
                <w:lang w:val="en-GB"/>
              </w:rPr>
            </w:pPr>
            <w:r w:rsidRPr="00025ACE">
              <w:rPr>
                <w:rFonts w:cs="Arial"/>
                <w:lang w:val="en-GB"/>
              </w:rPr>
              <w:t>47°47’22" N</w:t>
            </w:r>
          </w:p>
        </w:tc>
        <w:tc>
          <w:tcPr>
            <w:tcW w:w="1738" w:type="dxa"/>
            <w:tcBorders>
              <w:top w:val="single" w:sz="4" w:space="0" w:color="FFFFFF" w:themeColor="background1"/>
              <w:left w:val="single" w:sz="4" w:space="0" w:color="D2232A"/>
              <w:bottom w:val="single" w:sz="4" w:space="0" w:color="D2232A"/>
              <w:right w:val="single" w:sz="4" w:space="0" w:color="D2232A"/>
            </w:tcBorders>
          </w:tcPr>
          <w:p w:rsidR="006219F1" w:rsidRPr="00025ACE" w:rsidRDefault="006219F1" w:rsidP="0039386B">
            <w:pPr>
              <w:spacing w:after="120"/>
              <w:rPr>
                <w:rFonts w:cs="Arial"/>
                <w:lang w:val="en-GB"/>
              </w:rPr>
            </w:pPr>
            <w:r w:rsidRPr="00025ACE">
              <w:rPr>
                <w:rFonts w:cs="Arial"/>
                <w:lang w:val="en-GB"/>
              </w:rPr>
              <w:t>19°16’53" E</w:t>
            </w:r>
          </w:p>
        </w:tc>
        <w:tc>
          <w:tcPr>
            <w:tcW w:w="1950" w:type="dxa"/>
            <w:tcBorders>
              <w:top w:val="single" w:sz="4" w:space="0" w:color="FFFFFF" w:themeColor="background1"/>
              <w:left w:val="single" w:sz="4" w:space="0" w:color="D2232A"/>
              <w:bottom w:val="single" w:sz="4" w:space="0" w:color="D2232A"/>
              <w:right w:val="single" w:sz="4" w:space="0" w:color="D2232A"/>
            </w:tcBorders>
          </w:tcPr>
          <w:p w:rsidR="006219F1" w:rsidRPr="00025ACE" w:rsidRDefault="006219F1" w:rsidP="0039386B">
            <w:pPr>
              <w:spacing w:after="120"/>
              <w:rPr>
                <w:rFonts w:cs="Arial"/>
                <w:lang w:val="en-GB"/>
              </w:rPr>
            </w:pPr>
            <w:r w:rsidRPr="00025ACE">
              <w:rPr>
                <w:rFonts w:cs="Arial"/>
                <w:lang w:val="en-GB"/>
              </w:rPr>
              <w:t xml:space="preserve">  2</w:t>
            </w:r>
          </w:p>
        </w:tc>
      </w:tr>
    </w:tbl>
    <w:p w:rsidR="006219F1" w:rsidRPr="00025ACE" w:rsidRDefault="006219F1" w:rsidP="006219F1">
      <w:pPr>
        <w:pStyle w:val="ECCParagraph"/>
      </w:pPr>
    </w:p>
    <w:p w:rsidR="006219F1" w:rsidRPr="00025ACE" w:rsidRDefault="006219F1" w:rsidP="00D90B0A">
      <w:pPr>
        <w:pStyle w:val="ECCParagraph"/>
        <w:keepNext/>
      </w:pPr>
      <w:bookmarkStart w:id="4" w:name="_GoBack"/>
      <w:bookmarkEnd w:id="4"/>
    </w:p>
    <w:sectPr w:rsidR="006219F1" w:rsidRPr="00025ACE" w:rsidSect="006C03D0">
      <w:headerReference w:type="even" r:id="rId9"/>
      <w:headerReference w:type="default" r:id="rId10"/>
      <w:headerReference w:type="first" r:id="rId11"/>
      <w:pgSz w:w="11907"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503" w:rsidRDefault="00B24503" w:rsidP="006C03D0">
      <w:r>
        <w:separator/>
      </w:r>
    </w:p>
  </w:endnote>
  <w:endnote w:type="continuationSeparator" w:id="0">
    <w:p w:rsidR="00B24503" w:rsidRDefault="00B24503" w:rsidP="006C0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old">
    <w:altName w:val="Arial"/>
    <w:charset w:val="00"/>
    <w:family w:val="auto"/>
    <w:pitch w:val="variable"/>
    <w:sig w:usb0="00000000"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503" w:rsidRDefault="00B24503" w:rsidP="006C03D0">
      <w:r>
        <w:separator/>
      </w:r>
    </w:p>
  </w:footnote>
  <w:footnote w:type="continuationSeparator" w:id="0">
    <w:p w:rsidR="00B24503" w:rsidRDefault="00B24503" w:rsidP="006C03D0">
      <w:r>
        <w:continuationSeparator/>
      </w:r>
    </w:p>
  </w:footnote>
  <w:footnote w:id="1">
    <w:p w:rsidR="0056450F" w:rsidRPr="00165473" w:rsidRDefault="0056450F" w:rsidP="00165473">
      <w:pPr>
        <w:pStyle w:val="ECCFootnote"/>
      </w:pPr>
      <w:r>
        <w:rPr>
          <w:rStyle w:val="FootnoteReference"/>
        </w:rPr>
        <w:footnoteRef/>
      </w:r>
      <w:r>
        <w:t xml:space="preserve"> </w:t>
      </w:r>
      <w:r w:rsidRPr="00165473">
        <w:t xml:space="preserve">Comparable technical specifications to those given in this ECC Decision are given in Commission Decision 2005/50/EC of 17 January 2005, amended by Commission Implementing Decisions 2011/485/EU of 29 July 2011 and </w:t>
      </w:r>
      <w:r w:rsidR="00E07661" w:rsidRPr="00165473">
        <w:t xml:space="preserve">(EU) </w:t>
      </w:r>
      <w:r w:rsidRPr="00165473">
        <w:t>2017/2077 of 1</w:t>
      </w:r>
      <w:r w:rsidR="00E07661" w:rsidRPr="00165473">
        <w:t>0</w:t>
      </w:r>
      <w:r w:rsidRPr="00165473">
        <w:t xml:space="preserve"> November 2017, for 24 GHz. EU Member States and, if so approved by the EEA Joint Committee, Iceland, Liechtenstein and Norway are obliged to implement these EC Decisions.</w:t>
      </w:r>
    </w:p>
  </w:footnote>
  <w:footnote w:id="2">
    <w:p w:rsidR="0056450F" w:rsidRPr="00154E61" w:rsidRDefault="0056450F" w:rsidP="00165473">
      <w:pPr>
        <w:pStyle w:val="ECCFootnote"/>
      </w:pPr>
      <w:r w:rsidRPr="00916CBE">
        <w:rPr>
          <w:rStyle w:val="FootnoteReference"/>
        </w:rPr>
        <w:footnoteRef/>
      </w:r>
      <w:r w:rsidRPr="00916CBE">
        <w:t xml:space="preserve"> </w:t>
      </w:r>
      <w:r w:rsidRPr="00C84D3D">
        <w:t>Official Journal of the European Union, L 263, 9 October 2007, page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704" w:rsidRPr="0056450F" w:rsidRDefault="00B03382">
    <w:pPr>
      <w:pStyle w:val="Header"/>
      <w:rPr>
        <w:szCs w:val="16"/>
        <w:lang w:val="en-GB"/>
      </w:rPr>
    </w:pPr>
    <w:r w:rsidRPr="0056450F">
      <w:rPr>
        <w:lang w:val="en-GB"/>
      </w:rPr>
      <w:t>ECC/DEC</w:t>
    </w:r>
    <w:proofErr w:type="gramStart"/>
    <w:r w:rsidRPr="0056450F">
      <w:rPr>
        <w:lang w:val="en-GB"/>
      </w:rPr>
      <w:t>/</w:t>
    </w:r>
    <w:r w:rsidR="00FA4704" w:rsidRPr="0056450F">
      <w:rPr>
        <w:lang w:val="en-GB"/>
      </w:rPr>
      <w:t>(</w:t>
    </w:r>
    <w:proofErr w:type="gramEnd"/>
    <w:r w:rsidR="0056450F" w:rsidRPr="0056450F">
      <w:rPr>
        <w:lang w:val="en-GB"/>
      </w:rPr>
      <w:t>04</w:t>
    </w:r>
    <w:r w:rsidR="00FA4704" w:rsidRPr="0056450F">
      <w:rPr>
        <w:lang w:val="en-GB"/>
      </w:rPr>
      <w:t>)</w:t>
    </w:r>
    <w:r w:rsidR="0056450F" w:rsidRPr="0056450F">
      <w:rPr>
        <w:lang w:val="en-GB"/>
      </w:rPr>
      <w:t>10</w:t>
    </w:r>
    <w:r w:rsidR="00FA4704" w:rsidRPr="0056450F">
      <w:rPr>
        <w:lang w:val="en-GB"/>
      </w:rPr>
      <w:t xml:space="preserve"> </w:t>
    </w:r>
    <w:r w:rsidR="00FA4704" w:rsidRPr="0056450F">
      <w:rPr>
        <w:szCs w:val="16"/>
        <w:lang w:val="en-GB"/>
      </w:rPr>
      <w:t xml:space="preserve">Page </w:t>
    </w:r>
    <w:r w:rsidR="00FA4704">
      <w:fldChar w:fldCharType="begin"/>
    </w:r>
    <w:r w:rsidR="00FA4704">
      <w:instrText xml:space="preserve"> PAGE  \* Arabic  \* MERGEFORMAT </w:instrText>
    </w:r>
    <w:r w:rsidR="00FA4704">
      <w:fldChar w:fldCharType="separate"/>
    </w:r>
    <w:r w:rsidR="003F54A0" w:rsidRPr="003F54A0">
      <w:rPr>
        <w:noProof/>
        <w:szCs w:val="16"/>
        <w:lang w:val="en-GB"/>
      </w:rPr>
      <w:t>10</w:t>
    </w:r>
    <w:r w:rsidR="00FA4704">
      <w:rPr>
        <w:noProof/>
        <w:szCs w:val="16"/>
        <w:lang w:val="da-DK"/>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704" w:rsidRPr="0056450F" w:rsidRDefault="0056450F" w:rsidP="006C03D0">
    <w:pPr>
      <w:pStyle w:val="Header"/>
      <w:jc w:val="right"/>
      <w:rPr>
        <w:szCs w:val="16"/>
        <w:lang w:val="en-GB"/>
      </w:rPr>
    </w:pPr>
    <w:r w:rsidRPr="0056450F">
      <w:rPr>
        <w:lang w:val="en-GB"/>
      </w:rPr>
      <w:t>ECC/DEC</w:t>
    </w:r>
    <w:proofErr w:type="gramStart"/>
    <w:r w:rsidRPr="0056450F">
      <w:rPr>
        <w:lang w:val="en-GB"/>
      </w:rPr>
      <w:t>/(</w:t>
    </w:r>
    <w:proofErr w:type="gramEnd"/>
    <w:r w:rsidRPr="0056450F">
      <w:rPr>
        <w:lang w:val="en-GB"/>
      </w:rPr>
      <w:t xml:space="preserve">04)10 </w:t>
    </w:r>
    <w:r w:rsidR="00FA4704" w:rsidRPr="0056450F">
      <w:rPr>
        <w:szCs w:val="16"/>
        <w:lang w:val="en-GB"/>
      </w:rPr>
      <w:t xml:space="preserve">Page </w:t>
    </w:r>
    <w:r w:rsidR="00FA4704">
      <w:fldChar w:fldCharType="begin"/>
    </w:r>
    <w:r w:rsidR="00FA4704">
      <w:instrText xml:space="preserve"> PAGE  \* Arabic  \* MERGEFORMAT </w:instrText>
    </w:r>
    <w:r w:rsidR="00FA4704">
      <w:fldChar w:fldCharType="separate"/>
    </w:r>
    <w:r w:rsidR="003F54A0" w:rsidRPr="003F54A0">
      <w:rPr>
        <w:noProof/>
        <w:szCs w:val="16"/>
        <w:lang w:val="en-GB"/>
      </w:rPr>
      <w:t>9</w:t>
    </w:r>
    <w:r w:rsidR="00FA4704">
      <w:rPr>
        <w:noProof/>
        <w:szCs w:val="16"/>
        <w:lang w:val="da-DK"/>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704" w:rsidRDefault="00FA4704">
    <w:pPr>
      <w:pStyle w:val="Header"/>
    </w:pPr>
    <w:r>
      <w:rPr>
        <w:noProof/>
        <w:szCs w:val="20"/>
        <w:lang w:val="da-DK" w:eastAsia="da-DK"/>
      </w:rPr>
      <w:drawing>
        <wp:anchor distT="0" distB="0" distL="114300" distR="114300" simplePos="0" relativeHeight="251658240" behindDoc="0" locked="0" layoutInCell="1" allowOverlap="1" wp14:anchorId="73A4E50E" wp14:editId="17F43264">
          <wp:simplePos x="0" y="0"/>
          <wp:positionH relativeFrom="page">
            <wp:posOffset>5717540</wp:posOffset>
          </wp:positionH>
          <wp:positionV relativeFrom="page">
            <wp:posOffset>648335</wp:posOffset>
          </wp:positionV>
          <wp:extent cx="1461770" cy="546100"/>
          <wp:effectExtent l="25400" t="0" r="11430" b="0"/>
          <wp:wrapNone/>
          <wp:docPr id="4" name="Picture 4"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cc_logo"/>
                  <pic:cNvPicPr>
                    <a:picLocks noChangeAspect="1" noChangeArrowheads="1"/>
                  </pic:cNvPicPr>
                </pic:nvPicPr>
                <pic:blipFill>
                  <a:blip r:embed="rId1"/>
                  <a:srcRect/>
                  <a:stretch>
                    <a:fillRect/>
                  </a:stretch>
                </pic:blipFill>
                <pic:spPr bwMode="auto">
                  <a:xfrm>
                    <a:off x="0" y="0"/>
                    <a:ext cx="1461770" cy="546100"/>
                  </a:xfrm>
                  <a:prstGeom prst="rect">
                    <a:avLst/>
                  </a:prstGeom>
                  <a:noFill/>
                </pic:spPr>
              </pic:pic>
            </a:graphicData>
          </a:graphic>
        </wp:anchor>
      </w:drawing>
    </w:r>
    <w:r>
      <w:rPr>
        <w:noProof/>
        <w:szCs w:val="20"/>
        <w:lang w:val="da-DK" w:eastAsia="da-DK"/>
      </w:rPr>
      <w:drawing>
        <wp:anchor distT="0" distB="0" distL="114300" distR="114300" simplePos="0" relativeHeight="251657216" behindDoc="0" locked="0" layoutInCell="1" allowOverlap="1" wp14:anchorId="0E3DD3D0" wp14:editId="74F38FDA">
          <wp:simplePos x="0" y="0"/>
          <wp:positionH relativeFrom="page">
            <wp:posOffset>572770</wp:posOffset>
          </wp:positionH>
          <wp:positionV relativeFrom="page">
            <wp:posOffset>457200</wp:posOffset>
          </wp:positionV>
          <wp:extent cx="889000" cy="889000"/>
          <wp:effectExtent l="25400" t="0" r="0" b="0"/>
          <wp:wrapNone/>
          <wp:docPr id="3" name="Picture 3"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pt logo"/>
                  <pic:cNvPicPr>
                    <a:picLocks noChangeAspect="1" noChangeArrowheads="1"/>
                  </pic:cNvPicPr>
                </pic:nvPicPr>
                <pic:blipFill>
                  <a:blip r:embed="rId2"/>
                  <a:srcRect/>
                  <a:stretch>
                    <a:fillRect/>
                  </a:stretch>
                </pic:blipFill>
                <pic:spPr bwMode="auto">
                  <a:xfrm>
                    <a:off x="0" y="0"/>
                    <a:ext cx="889000" cy="8890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870B8"/>
    <w:multiLevelType w:val="hybridMultilevel"/>
    <w:tmpl w:val="0D5CBE5C"/>
    <w:lvl w:ilvl="0" w:tplc="6B4A692A">
      <w:start w:val="1"/>
      <w:numFmt w:val="decimal"/>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
    <w:nsid w:val="1543661A"/>
    <w:multiLevelType w:val="multilevel"/>
    <w:tmpl w:val="FF0640BA"/>
    <w:lvl w:ilvl="0">
      <w:start w:val="1"/>
      <w:numFmt w:val="decimal"/>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1BB101DD"/>
    <w:multiLevelType w:val="multilevel"/>
    <w:tmpl w:val="4252BC28"/>
    <w:lvl w:ilvl="0">
      <w:numFmt w:val="bullet"/>
      <w:lvlText w:val="–"/>
      <w:lvlJc w:val="left"/>
      <w:pPr>
        <w:tabs>
          <w:tab w:val="num" w:pos="397"/>
        </w:tabs>
        <w:ind w:left="397" w:hanging="397"/>
      </w:pPr>
      <w:rPr>
        <w:rFonts w:ascii="Times New Roman" w:eastAsia="Times New Roman" w:hAnsi="Times New Roman" w:cs="Times New Roman" w:hint="default"/>
        <w:b w:val="0"/>
        <w:i w:val="0"/>
        <w:color w:val="FF0000"/>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
    <w:nsid w:val="1E060383"/>
    <w:multiLevelType w:val="multilevel"/>
    <w:tmpl w:val="EBB62B36"/>
    <w:lvl w:ilvl="0">
      <w:start w:val="1"/>
      <w:numFmt w:val="lowerLetter"/>
      <w:pStyle w:val="LetteredList"/>
      <w:lvlText w:val="%1)"/>
      <w:lvlJc w:val="left"/>
      <w:pPr>
        <w:tabs>
          <w:tab w:val="num" w:pos="794"/>
        </w:tabs>
        <w:ind w:left="794" w:hanging="397"/>
      </w:pPr>
      <w:rPr>
        <w:rFonts w:ascii="Arial" w:hAnsi="Arial" w:hint="default"/>
        <w:color w:val="D2232A"/>
        <w:sz w:val="20"/>
      </w:rPr>
    </w:lvl>
    <w:lvl w:ilvl="1">
      <w:start w:val="1"/>
      <w:numFmt w:val="none"/>
      <w:lvlText w:val=""/>
      <w:lvlJc w:val="left"/>
      <w:pPr>
        <w:tabs>
          <w:tab w:val="num" w:pos="1477"/>
        </w:tabs>
        <w:ind w:left="1477" w:hanging="360"/>
      </w:pPr>
      <w:rPr>
        <w:rFonts w:hint="default"/>
      </w:rPr>
    </w:lvl>
    <w:lvl w:ilvl="2">
      <w:start w:val="1"/>
      <w:numFmt w:val="none"/>
      <w:lvlText w:val=""/>
      <w:lvlJc w:val="right"/>
      <w:pPr>
        <w:tabs>
          <w:tab w:val="num" w:pos="2197"/>
        </w:tabs>
        <w:ind w:left="2197" w:hanging="180"/>
      </w:pPr>
      <w:rPr>
        <w:rFonts w:hint="default"/>
      </w:rPr>
    </w:lvl>
    <w:lvl w:ilvl="3">
      <w:start w:val="1"/>
      <w:numFmt w:val="none"/>
      <w:lvlText w:val=""/>
      <w:lvlJc w:val="left"/>
      <w:pPr>
        <w:tabs>
          <w:tab w:val="num" w:pos="2917"/>
        </w:tabs>
        <w:ind w:left="2917" w:hanging="360"/>
      </w:pPr>
      <w:rPr>
        <w:rFonts w:hint="default"/>
      </w:rPr>
    </w:lvl>
    <w:lvl w:ilvl="4">
      <w:start w:val="1"/>
      <w:numFmt w:val="none"/>
      <w:lvlText w:val=""/>
      <w:lvlJc w:val="left"/>
      <w:pPr>
        <w:tabs>
          <w:tab w:val="num" w:pos="3637"/>
        </w:tabs>
        <w:ind w:left="3637" w:hanging="360"/>
      </w:pPr>
      <w:rPr>
        <w:rFonts w:hint="default"/>
      </w:rPr>
    </w:lvl>
    <w:lvl w:ilvl="5">
      <w:start w:val="1"/>
      <w:numFmt w:val="none"/>
      <w:lvlText w:val=""/>
      <w:lvlJc w:val="right"/>
      <w:pPr>
        <w:tabs>
          <w:tab w:val="num" w:pos="4357"/>
        </w:tabs>
        <w:ind w:left="4357" w:hanging="180"/>
      </w:pPr>
      <w:rPr>
        <w:rFonts w:hint="default"/>
      </w:rPr>
    </w:lvl>
    <w:lvl w:ilvl="6">
      <w:start w:val="1"/>
      <w:numFmt w:val="none"/>
      <w:lvlText w:val=""/>
      <w:lvlJc w:val="left"/>
      <w:pPr>
        <w:tabs>
          <w:tab w:val="num" w:pos="5077"/>
        </w:tabs>
        <w:ind w:left="5077" w:hanging="360"/>
      </w:pPr>
      <w:rPr>
        <w:rFonts w:hint="default"/>
      </w:rPr>
    </w:lvl>
    <w:lvl w:ilvl="7">
      <w:start w:val="1"/>
      <w:numFmt w:val="none"/>
      <w:lvlText w:val=""/>
      <w:lvlJc w:val="left"/>
      <w:pPr>
        <w:tabs>
          <w:tab w:val="num" w:pos="5797"/>
        </w:tabs>
        <w:ind w:left="5797" w:hanging="360"/>
      </w:pPr>
      <w:rPr>
        <w:rFonts w:hint="default"/>
      </w:rPr>
    </w:lvl>
    <w:lvl w:ilvl="8">
      <w:start w:val="1"/>
      <w:numFmt w:val="none"/>
      <w:lvlText w:val=""/>
      <w:lvlJc w:val="right"/>
      <w:pPr>
        <w:tabs>
          <w:tab w:val="num" w:pos="6517"/>
        </w:tabs>
        <w:ind w:left="6517" w:hanging="180"/>
      </w:pPr>
      <w:rPr>
        <w:rFonts w:hint="default"/>
      </w:rPr>
    </w:lvl>
  </w:abstractNum>
  <w:abstractNum w:abstractNumId="4">
    <w:nsid w:val="212F4188"/>
    <w:multiLevelType w:val="multilevel"/>
    <w:tmpl w:val="BF1AD4A4"/>
    <w:lvl w:ilvl="0">
      <w:start w:val="1"/>
      <w:numFmt w:val="decimal"/>
      <w:pStyle w:val="ECCAnnex-heading1"/>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267765BF"/>
    <w:multiLevelType w:val="hybridMultilevel"/>
    <w:tmpl w:val="E7AEC042"/>
    <w:lvl w:ilvl="0" w:tplc="FFFFFFFF">
      <w:start w:val="1"/>
      <w:numFmt w:val="lowerLetter"/>
      <w:lvlText w:val="%1)"/>
      <w:legacy w:legacy="1" w:legacySpace="0" w:legacyIndent="360"/>
      <w:lvlJc w:val="left"/>
      <w:pPr>
        <w:ind w:left="360" w:hanging="360"/>
      </w:pPr>
    </w:lvl>
    <w:lvl w:ilvl="1" w:tplc="3CF2638C">
      <w:start w:val="1"/>
      <w:numFmt w:val="decimal"/>
      <w:lvlText w:val="%2."/>
      <w:lvlJc w:val="left"/>
      <w:pPr>
        <w:tabs>
          <w:tab w:val="num" w:pos="1440"/>
        </w:tabs>
        <w:ind w:left="1440" w:hanging="360"/>
      </w:pPr>
      <w:rPr>
        <w:rFonts w:hint="default"/>
        <w:color w:val="D2232A"/>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2F9A72C9"/>
    <w:multiLevelType w:val="hybridMultilevel"/>
    <w:tmpl w:val="CF882B38"/>
    <w:lvl w:ilvl="0" w:tplc="78E8E71C">
      <w:start w:val="1"/>
      <w:numFmt w:val="lowerLetter"/>
      <w:lvlText w:val="%1)"/>
      <w:lvlJc w:val="left"/>
      <w:pPr>
        <w:ind w:left="786" w:hanging="360"/>
      </w:pPr>
      <w:rPr>
        <w:rFonts w:ascii="Arial" w:hAnsi="Arial" w:hint="default"/>
        <w:b w:val="0"/>
        <w:bCs w:val="0"/>
        <w:i w:val="0"/>
        <w:iCs w:val="0"/>
        <w:color w:val="D2232A"/>
        <w:sz w:val="20"/>
        <w:szCs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nsid w:val="3269348F"/>
    <w:multiLevelType w:val="hybridMultilevel"/>
    <w:tmpl w:val="9EB40B58"/>
    <w:lvl w:ilvl="0" w:tplc="4C0CFF66">
      <w:start w:val="1"/>
      <w:numFmt w:val="lowerLetter"/>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nsid w:val="32A77A34"/>
    <w:multiLevelType w:val="hybridMultilevel"/>
    <w:tmpl w:val="31DAC7DE"/>
    <w:lvl w:ilvl="0" w:tplc="3A02A90A">
      <w:start w:val="1"/>
      <w:numFmt w:val="bullet"/>
      <w:pStyle w:val="WGNNA-bulleted"/>
      <w:lvlText w:val=""/>
      <w:lvlJc w:val="left"/>
      <w:pPr>
        <w:tabs>
          <w:tab w:val="num" w:pos="372"/>
        </w:tabs>
        <w:ind w:left="372" w:hanging="372"/>
      </w:pPr>
      <w:rPr>
        <w:rFonts w:ascii="Wingdings" w:hAnsi="Wingdings" w:hint="default"/>
        <w:color w:val="auto"/>
      </w:rPr>
    </w:lvl>
    <w:lvl w:ilvl="1" w:tplc="8D403736">
      <w:start w:val="1"/>
      <w:numFmt w:val="bullet"/>
      <w:lvlText w:val="o"/>
      <w:lvlJc w:val="left"/>
      <w:pPr>
        <w:tabs>
          <w:tab w:val="num" w:pos="306"/>
        </w:tabs>
        <w:ind w:left="306" w:hanging="360"/>
      </w:pPr>
      <w:rPr>
        <w:rFonts w:ascii="Courier New" w:hAnsi="Courier New" w:hint="default"/>
      </w:rPr>
    </w:lvl>
    <w:lvl w:ilvl="2" w:tplc="5BD807E8">
      <w:start w:val="1"/>
      <w:numFmt w:val="bullet"/>
      <w:lvlText w:val=""/>
      <w:lvlJc w:val="left"/>
      <w:pPr>
        <w:tabs>
          <w:tab w:val="num" w:pos="1026"/>
        </w:tabs>
        <w:ind w:left="1026" w:hanging="360"/>
      </w:pPr>
      <w:rPr>
        <w:rFonts w:ascii="Wingdings" w:hAnsi="Wingdings" w:hint="default"/>
      </w:rPr>
    </w:lvl>
    <w:lvl w:ilvl="3" w:tplc="981C1218">
      <w:start w:val="1"/>
      <w:numFmt w:val="bullet"/>
      <w:lvlText w:val=""/>
      <w:lvlJc w:val="left"/>
      <w:pPr>
        <w:tabs>
          <w:tab w:val="num" w:pos="1746"/>
        </w:tabs>
        <w:ind w:left="1746" w:hanging="360"/>
      </w:pPr>
      <w:rPr>
        <w:rFonts w:ascii="Symbol" w:hAnsi="Symbol" w:hint="default"/>
      </w:rPr>
    </w:lvl>
    <w:lvl w:ilvl="4" w:tplc="8FCAD614">
      <w:start w:val="1"/>
      <w:numFmt w:val="bullet"/>
      <w:lvlText w:val="o"/>
      <w:lvlJc w:val="left"/>
      <w:pPr>
        <w:tabs>
          <w:tab w:val="num" w:pos="2466"/>
        </w:tabs>
        <w:ind w:left="2466" w:hanging="360"/>
      </w:pPr>
      <w:rPr>
        <w:rFonts w:ascii="Courier New" w:hAnsi="Courier New" w:hint="default"/>
      </w:rPr>
    </w:lvl>
    <w:lvl w:ilvl="5" w:tplc="7DCA0EC2">
      <w:start w:val="1"/>
      <w:numFmt w:val="bullet"/>
      <w:lvlText w:val=""/>
      <w:lvlJc w:val="left"/>
      <w:pPr>
        <w:tabs>
          <w:tab w:val="num" w:pos="3186"/>
        </w:tabs>
        <w:ind w:left="3186" w:hanging="360"/>
      </w:pPr>
      <w:rPr>
        <w:rFonts w:ascii="Wingdings" w:hAnsi="Wingdings" w:hint="default"/>
      </w:rPr>
    </w:lvl>
    <w:lvl w:ilvl="6" w:tplc="9FECB932">
      <w:start w:val="1"/>
      <w:numFmt w:val="bullet"/>
      <w:lvlText w:val=""/>
      <w:lvlJc w:val="left"/>
      <w:pPr>
        <w:tabs>
          <w:tab w:val="num" w:pos="3906"/>
        </w:tabs>
        <w:ind w:left="3906" w:hanging="360"/>
      </w:pPr>
      <w:rPr>
        <w:rFonts w:ascii="Symbol" w:hAnsi="Symbol" w:hint="default"/>
      </w:rPr>
    </w:lvl>
    <w:lvl w:ilvl="7" w:tplc="4D062F30">
      <w:start w:val="1"/>
      <w:numFmt w:val="bullet"/>
      <w:lvlText w:val="o"/>
      <w:lvlJc w:val="left"/>
      <w:pPr>
        <w:tabs>
          <w:tab w:val="num" w:pos="4626"/>
        </w:tabs>
        <w:ind w:left="4626" w:hanging="360"/>
      </w:pPr>
      <w:rPr>
        <w:rFonts w:ascii="Courier New" w:hAnsi="Courier New" w:hint="default"/>
      </w:rPr>
    </w:lvl>
    <w:lvl w:ilvl="8" w:tplc="AE00BD02">
      <w:start w:val="1"/>
      <w:numFmt w:val="bullet"/>
      <w:lvlText w:val=""/>
      <w:lvlJc w:val="left"/>
      <w:pPr>
        <w:tabs>
          <w:tab w:val="num" w:pos="5346"/>
        </w:tabs>
        <w:ind w:left="5346" w:hanging="360"/>
      </w:pPr>
      <w:rPr>
        <w:rFonts w:ascii="Wingdings" w:hAnsi="Wingdings" w:hint="default"/>
      </w:rPr>
    </w:lvl>
  </w:abstractNum>
  <w:abstractNum w:abstractNumId="9">
    <w:nsid w:val="361343C0"/>
    <w:multiLevelType w:val="multilevel"/>
    <w:tmpl w:val="294220AC"/>
    <w:styleLink w:val="Letteredlist0"/>
    <w:lvl w:ilvl="0">
      <w:start w:val="1"/>
      <w:numFmt w:val="lowerLetter"/>
      <w:lvlText w:val="%1)"/>
      <w:lvlJc w:val="left"/>
      <w:pPr>
        <w:tabs>
          <w:tab w:val="num" w:pos="397"/>
        </w:tabs>
        <w:ind w:left="397" w:hanging="397"/>
      </w:pPr>
      <w:rPr>
        <w:rFonts w:ascii="Arial" w:hAnsi="Arial" w:hint="default"/>
        <w:color w:val="D2232A"/>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
    <w:nsid w:val="39151866"/>
    <w:multiLevelType w:val="multilevel"/>
    <w:tmpl w:val="53846CC4"/>
    <w:lvl w:ilvl="0">
      <w:start w:val="1"/>
      <w:numFmt w:val="decimal"/>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1">
    <w:nsid w:val="3C275A4E"/>
    <w:multiLevelType w:val="hybridMultilevel"/>
    <w:tmpl w:val="5AE2E4D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3D163F7A"/>
    <w:multiLevelType w:val="multilevel"/>
    <w:tmpl w:val="BDCA875C"/>
    <w:lvl w:ilvl="0">
      <w:start w:val="1"/>
      <w:numFmt w:val="decimal"/>
      <w:pStyle w:val="Heading2"/>
      <w:lvlText w:val="%1"/>
      <w:lvlJc w:val="left"/>
      <w:pPr>
        <w:tabs>
          <w:tab w:val="num" w:pos="432"/>
        </w:tabs>
        <w:ind w:left="432" w:hanging="432"/>
      </w:pPr>
      <w:rPr>
        <w:rFonts w:ascii="Arial" w:hAnsi="Arial" w:hint="default"/>
        <w:b/>
        <w:i w:val="0"/>
        <w:color w:val="D2232A"/>
        <w:sz w:val="20"/>
        <w:szCs w:val="20"/>
      </w:rPr>
    </w:lvl>
    <w:lvl w:ilvl="1">
      <w:start w:val="1"/>
      <w:numFmt w:val="decimal"/>
      <w:pStyle w:val="Heading3"/>
      <w:lvlText w:val="%1.%2"/>
      <w:lvlJc w:val="left"/>
      <w:pPr>
        <w:tabs>
          <w:tab w:val="num" w:pos="576"/>
        </w:tabs>
        <w:ind w:left="576" w:hanging="576"/>
      </w:pPr>
      <w:rPr>
        <w:rFonts w:ascii="Arial" w:hAnsi="Arial" w:hint="default"/>
        <w:b/>
        <w:i w:val="0"/>
        <w:color w:val="D2232A"/>
        <w:sz w:val="20"/>
      </w:rPr>
    </w:lvl>
    <w:lvl w:ilvl="2">
      <w:start w:val="1"/>
      <w:numFmt w:val="decimal"/>
      <w:pStyle w:val="Heading4"/>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Times New Roman" w:hAnsi="Times New Roman"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nsid w:val="427E184A"/>
    <w:multiLevelType w:val="hybridMultilevel"/>
    <w:tmpl w:val="F51A9A3A"/>
    <w:lvl w:ilvl="0" w:tplc="C65085F2">
      <w:start w:val="1"/>
      <w:numFmt w:val="bullet"/>
      <w:pStyle w:val="ECCParBulleted"/>
      <w:lvlText w:val=""/>
      <w:lvlJc w:val="left"/>
      <w:pPr>
        <w:tabs>
          <w:tab w:val="num" w:pos="360"/>
        </w:tabs>
        <w:ind w:left="360" w:hanging="360"/>
      </w:pPr>
      <w:rPr>
        <w:rFonts w:ascii="Wingdings" w:hAnsi="Wingdings" w:hint="default"/>
        <w:color w:val="D2232A"/>
      </w:rPr>
    </w:lvl>
    <w:lvl w:ilvl="1" w:tplc="2722AF3A" w:tentative="1">
      <w:start w:val="1"/>
      <w:numFmt w:val="bullet"/>
      <w:lvlText w:val="o"/>
      <w:lvlJc w:val="left"/>
      <w:pPr>
        <w:tabs>
          <w:tab w:val="num" w:pos="1440"/>
        </w:tabs>
        <w:ind w:left="1440" w:hanging="360"/>
      </w:pPr>
      <w:rPr>
        <w:rFonts w:ascii="Courier New" w:hAnsi="Courier New" w:cs="Arial" w:hint="default"/>
      </w:rPr>
    </w:lvl>
    <w:lvl w:ilvl="2" w:tplc="DF3A6222" w:tentative="1">
      <w:start w:val="1"/>
      <w:numFmt w:val="bullet"/>
      <w:lvlText w:val=""/>
      <w:lvlJc w:val="left"/>
      <w:pPr>
        <w:tabs>
          <w:tab w:val="num" w:pos="2160"/>
        </w:tabs>
        <w:ind w:left="2160" w:hanging="360"/>
      </w:pPr>
      <w:rPr>
        <w:rFonts w:ascii="Wingdings" w:hAnsi="Wingdings" w:hint="default"/>
      </w:rPr>
    </w:lvl>
    <w:lvl w:ilvl="3" w:tplc="38384B7C" w:tentative="1">
      <w:start w:val="1"/>
      <w:numFmt w:val="bullet"/>
      <w:lvlText w:val=""/>
      <w:lvlJc w:val="left"/>
      <w:pPr>
        <w:tabs>
          <w:tab w:val="num" w:pos="2880"/>
        </w:tabs>
        <w:ind w:left="2880" w:hanging="360"/>
      </w:pPr>
      <w:rPr>
        <w:rFonts w:ascii="Symbol" w:hAnsi="Symbol" w:hint="default"/>
      </w:rPr>
    </w:lvl>
    <w:lvl w:ilvl="4" w:tplc="3FACFB98" w:tentative="1">
      <w:start w:val="1"/>
      <w:numFmt w:val="bullet"/>
      <w:lvlText w:val="o"/>
      <w:lvlJc w:val="left"/>
      <w:pPr>
        <w:tabs>
          <w:tab w:val="num" w:pos="3600"/>
        </w:tabs>
        <w:ind w:left="3600" w:hanging="360"/>
      </w:pPr>
      <w:rPr>
        <w:rFonts w:ascii="Courier New" w:hAnsi="Courier New" w:cs="Arial" w:hint="default"/>
      </w:rPr>
    </w:lvl>
    <w:lvl w:ilvl="5" w:tplc="9AB23964" w:tentative="1">
      <w:start w:val="1"/>
      <w:numFmt w:val="bullet"/>
      <w:lvlText w:val=""/>
      <w:lvlJc w:val="left"/>
      <w:pPr>
        <w:tabs>
          <w:tab w:val="num" w:pos="4320"/>
        </w:tabs>
        <w:ind w:left="4320" w:hanging="360"/>
      </w:pPr>
      <w:rPr>
        <w:rFonts w:ascii="Wingdings" w:hAnsi="Wingdings" w:hint="default"/>
      </w:rPr>
    </w:lvl>
    <w:lvl w:ilvl="6" w:tplc="0CD81336" w:tentative="1">
      <w:start w:val="1"/>
      <w:numFmt w:val="bullet"/>
      <w:lvlText w:val=""/>
      <w:lvlJc w:val="left"/>
      <w:pPr>
        <w:tabs>
          <w:tab w:val="num" w:pos="5040"/>
        </w:tabs>
        <w:ind w:left="5040" w:hanging="360"/>
      </w:pPr>
      <w:rPr>
        <w:rFonts w:ascii="Symbol" w:hAnsi="Symbol" w:hint="default"/>
      </w:rPr>
    </w:lvl>
    <w:lvl w:ilvl="7" w:tplc="41885BBC" w:tentative="1">
      <w:start w:val="1"/>
      <w:numFmt w:val="bullet"/>
      <w:lvlText w:val="o"/>
      <w:lvlJc w:val="left"/>
      <w:pPr>
        <w:tabs>
          <w:tab w:val="num" w:pos="5760"/>
        </w:tabs>
        <w:ind w:left="5760" w:hanging="360"/>
      </w:pPr>
      <w:rPr>
        <w:rFonts w:ascii="Courier New" w:hAnsi="Courier New" w:cs="Arial" w:hint="default"/>
      </w:rPr>
    </w:lvl>
    <w:lvl w:ilvl="8" w:tplc="BC0A8502" w:tentative="1">
      <w:start w:val="1"/>
      <w:numFmt w:val="bullet"/>
      <w:lvlText w:val=""/>
      <w:lvlJc w:val="left"/>
      <w:pPr>
        <w:tabs>
          <w:tab w:val="num" w:pos="6480"/>
        </w:tabs>
        <w:ind w:left="6480" w:hanging="360"/>
      </w:pPr>
      <w:rPr>
        <w:rFonts w:ascii="Wingdings" w:hAnsi="Wingdings" w:hint="default"/>
      </w:rPr>
    </w:lvl>
  </w:abstractNum>
  <w:abstractNum w:abstractNumId="14">
    <w:nsid w:val="46E6242A"/>
    <w:multiLevelType w:val="hybridMultilevel"/>
    <w:tmpl w:val="48DEBF0A"/>
    <w:lvl w:ilvl="0" w:tplc="0B1E7C38">
      <w:start w:val="1"/>
      <w:numFmt w:val="decimal"/>
      <w:pStyle w:val="reference"/>
      <w:lvlText w:val="[%1]"/>
      <w:lvlJc w:val="left"/>
      <w:pPr>
        <w:tabs>
          <w:tab w:val="num" w:pos="397"/>
        </w:tabs>
        <w:ind w:left="397" w:hanging="397"/>
      </w:pPr>
      <w:rPr>
        <w:rFonts w:ascii="Arial" w:hAnsi="Arial" w:hint="default"/>
        <w:b w:val="0"/>
        <w:i w:val="0"/>
        <w:color w:val="D2232A"/>
        <w:sz w:val="2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5">
    <w:nsid w:val="499B11C1"/>
    <w:multiLevelType w:val="multilevel"/>
    <w:tmpl w:val="CF28CB36"/>
    <w:lvl w:ilvl="0">
      <w:start w:val="1"/>
      <w:numFmt w:val="decimal"/>
      <w:pStyle w:val="ECCFiguretitle"/>
      <w:suff w:val="space"/>
      <w:lvlText w:val="Figure %1:"/>
      <w:lvlJc w:val="left"/>
      <w:pPr>
        <w:ind w:left="360" w:hanging="360"/>
      </w:pPr>
      <w:rPr>
        <w:rFonts w:ascii="Arial" w:hAnsi="Arial" w:hint="default"/>
        <w:b/>
        <w:i w:val="0"/>
        <w:color w:val="D2232A"/>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5A3A37F2"/>
    <w:multiLevelType w:val="singleLevel"/>
    <w:tmpl w:val="78E8E71C"/>
    <w:lvl w:ilvl="0">
      <w:start w:val="1"/>
      <w:numFmt w:val="lowerLetter"/>
      <w:lvlText w:val="%1)"/>
      <w:lvlJc w:val="left"/>
      <w:pPr>
        <w:tabs>
          <w:tab w:val="num" w:pos="340"/>
        </w:tabs>
        <w:ind w:left="340" w:hanging="340"/>
      </w:pPr>
      <w:rPr>
        <w:rFonts w:ascii="Arial" w:hAnsi="Arial" w:hint="default"/>
        <w:b w:val="0"/>
        <w:bCs w:val="0"/>
        <w:i w:val="0"/>
        <w:iCs w:val="0"/>
        <w:color w:val="D2232A"/>
        <w:sz w:val="20"/>
        <w:szCs w:val="20"/>
      </w:rPr>
    </w:lvl>
  </w:abstractNum>
  <w:abstractNum w:abstractNumId="17">
    <w:nsid w:val="688A35D6"/>
    <w:multiLevelType w:val="multilevel"/>
    <w:tmpl w:val="BDD8AD68"/>
    <w:styleLink w:val="ECCNumberedList"/>
    <w:lvl w:ilvl="0">
      <w:start w:val="1"/>
      <w:numFmt w:val="decimal"/>
      <w:pStyle w:val="NumberedList"/>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8">
    <w:nsid w:val="68F54EC0"/>
    <w:multiLevelType w:val="hybridMultilevel"/>
    <w:tmpl w:val="A02A04FA"/>
    <w:lvl w:ilvl="0" w:tplc="2452A798">
      <w:start w:val="1"/>
      <w:numFmt w:val="decimal"/>
      <w:lvlText w:val="%1."/>
      <w:lvlJc w:val="left"/>
      <w:pPr>
        <w:tabs>
          <w:tab w:val="num" w:pos="1440"/>
        </w:tabs>
        <w:ind w:left="144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nsid w:val="6C6B0172"/>
    <w:multiLevelType w:val="multilevel"/>
    <w:tmpl w:val="0122C030"/>
    <w:styleLink w:val="ECCNumbers-Letters"/>
    <w:lvl w:ilvl="0">
      <w:start w:val="1"/>
      <w:numFmt w:val="decimal"/>
      <w:pStyle w:val="ECCNumbered-LetteredList"/>
      <w:lvlText w:val="%1."/>
      <w:lvlJc w:val="left"/>
      <w:pPr>
        <w:tabs>
          <w:tab w:val="num" w:pos="340"/>
        </w:tabs>
        <w:ind w:left="340" w:hanging="340"/>
      </w:pPr>
      <w:rPr>
        <w:rFonts w:ascii="Arial" w:hAnsi="Arial" w:hint="default"/>
        <w:b w:val="0"/>
        <w:i w:val="0"/>
        <w:color w:val="D2232A"/>
        <w:sz w:val="20"/>
      </w:rPr>
    </w:lvl>
    <w:lvl w:ilvl="1">
      <w:start w:val="1"/>
      <w:numFmt w:val="lowerLetter"/>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b/>
        <w:i w:val="0"/>
        <w:color w:val="D2232A"/>
        <w:sz w:val="20"/>
      </w:rPr>
    </w:lvl>
    <w:lvl w:ilvl="3">
      <w:start w:val="1"/>
      <w:numFmt w:val="none"/>
      <w:lvlText w:val=""/>
      <w:lvlJc w:val="left"/>
      <w:pPr>
        <w:tabs>
          <w:tab w:val="num" w:pos="1077"/>
        </w:tabs>
        <w:ind w:left="1728" w:hanging="648"/>
      </w:pPr>
      <w:rPr>
        <w:rFonts w:hint="default"/>
        <w:b w:val="0"/>
        <w:i/>
        <w:color w:val="2F2E79"/>
        <w:sz w:val="20"/>
      </w:rPr>
    </w:lvl>
    <w:lvl w:ilvl="4">
      <w:start w:val="1"/>
      <w:numFmt w:val="none"/>
      <w:lvlText w:val=""/>
      <w:lvlJc w:val="left"/>
      <w:pPr>
        <w:ind w:left="2232" w:hanging="792"/>
      </w:pPr>
      <w:rPr>
        <w:rFonts w:hint="default"/>
        <w:sz w:val="24"/>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20">
    <w:nsid w:val="6E394BEB"/>
    <w:multiLevelType w:val="hybridMultilevel"/>
    <w:tmpl w:val="4DAAEB3E"/>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nsid w:val="7B3212E4"/>
    <w:multiLevelType w:val="multilevel"/>
    <w:tmpl w:val="A724997C"/>
    <w:lvl w:ilvl="0">
      <w:start w:val="1"/>
      <w:numFmt w:val="decimal"/>
      <w:pStyle w:val="ECCTabletitle"/>
      <w:suff w:val="space"/>
      <w:lvlText w:val="Table %1:"/>
      <w:lvlJc w:val="left"/>
      <w:pPr>
        <w:ind w:left="360"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7BC90F0A"/>
    <w:multiLevelType w:val="hybridMultilevel"/>
    <w:tmpl w:val="4A1451DE"/>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nsid w:val="7E70721F"/>
    <w:multiLevelType w:val="hybridMultilevel"/>
    <w:tmpl w:val="E384C7EC"/>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2"/>
  </w:num>
  <w:num w:numId="2">
    <w:abstractNumId w:val="21"/>
  </w:num>
  <w:num w:numId="3">
    <w:abstractNumId w:val="15"/>
  </w:num>
  <w:num w:numId="4">
    <w:abstractNumId w:val="4"/>
  </w:num>
  <w:num w:numId="5">
    <w:abstractNumId w:val="16"/>
  </w:num>
  <w:num w:numId="6">
    <w:abstractNumId w:val="9"/>
  </w:num>
  <w:num w:numId="7">
    <w:abstractNumId w:val="8"/>
  </w:num>
  <w:num w:numId="8">
    <w:abstractNumId w:val="14"/>
  </w:num>
  <w:num w:numId="9">
    <w:abstractNumId w:val="13"/>
  </w:num>
  <w:num w:numId="10">
    <w:abstractNumId w:val="10"/>
  </w:num>
  <w:num w:numId="11">
    <w:abstractNumId w:val="14"/>
    <w:lvlOverride w:ilvl="0">
      <w:startOverride w:val="1"/>
    </w:lvlOverride>
  </w:num>
  <w:num w:numId="12">
    <w:abstractNumId w:val="3"/>
  </w:num>
  <w:num w:numId="13">
    <w:abstractNumId w:val="1"/>
  </w:num>
  <w:num w:numId="14">
    <w:abstractNumId w:val="19"/>
  </w:num>
  <w:num w:numId="15">
    <w:abstractNumId w:val="17"/>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7"/>
  </w:num>
  <w:num w:numId="19">
    <w:abstractNumId w:val="20"/>
  </w:num>
  <w:num w:numId="20">
    <w:abstractNumId w:val="11"/>
  </w:num>
  <w:num w:numId="21">
    <w:abstractNumId w:val="22"/>
  </w:num>
  <w:num w:numId="22">
    <w:abstractNumId w:val="23"/>
  </w:num>
  <w:num w:numId="23">
    <w:abstractNumId w:val="0"/>
  </w:num>
  <w:num w:numId="24">
    <w:abstractNumId w:val="2"/>
  </w:num>
  <w:num w:numId="25">
    <w:abstractNumId w:val="5"/>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4"/>
  <w:proofState w:spelling="clean" w:grammar="clean"/>
  <w:attachedTemplate r:id="rId1"/>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trackRevisions/>
  <w:defaultTabStop w:val="720"/>
  <w:hyphenationZone w:val="425"/>
  <w:evenAndOddHeaders/>
  <w:characterSpacingControl w:val="doNotCompress"/>
  <w:hdrShapeDefaults>
    <o:shapedefaults v:ext="edit" spidmax="12289">
      <o:colormru v:ext="edit" colors="#7b6c58,#887e6e,#d2232a,#57433e,#b0a69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B5E"/>
    <w:rsid w:val="00025ACE"/>
    <w:rsid w:val="00031379"/>
    <w:rsid w:val="00063816"/>
    <w:rsid w:val="00072B81"/>
    <w:rsid w:val="000A2EF7"/>
    <w:rsid w:val="000C183F"/>
    <w:rsid w:val="000F3186"/>
    <w:rsid w:val="000F3919"/>
    <w:rsid w:val="00121387"/>
    <w:rsid w:val="0013619B"/>
    <w:rsid w:val="00165473"/>
    <w:rsid w:val="00171A2E"/>
    <w:rsid w:val="001B1F5E"/>
    <w:rsid w:val="001C46EA"/>
    <w:rsid w:val="001E0C8D"/>
    <w:rsid w:val="0021079B"/>
    <w:rsid w:val="002741A5"/>
    <w:rsid w:val="002A1E5D"/>
    <w:rsid w:val="002E3DD3"/>
    <w:rsid w:val="0039386B"/>
    <w:rsid w:val="003F54A0"/>
    <w:rsid w:val="00412E32"/>
    <w:rsid w:val="004C730D"/>
    <w:rsid w:val="004D1300"/>
    <w:rsid w:val="004D4301"/>
    <w:rsid w:val="005173B5"/>
    <w:rsid w:val="0056450F"/>
    <w:rsid w:val="005D2978"/>
    <w:rsid w:val="005F7AD5"/>
    <w:rsid w:val="006219F1"/>
    <w:rsid w:val="006C03D0"/>
    <w:rsid w:val="006C3A8B"/>
    <w:rsid w:val="0070052E"/>
    <w:rsid w:val="00713DBA"/>
    <w:rsid w:val="00737398"/>
    <w:rsid w:val="007824B5"/>
    <w:rsid w:val="007C6571"/>
    <w:rsid w:val="007E23E4"/>
    <w:rsid w:val="008313F5"/>
    <w:rsid w:val="00927171"/>
    <w:rsid w:val="00972D05"/>
    <w:rsid w:val="00993E02"/>
    <w:rsid w:val="00994B5E"/>
    <w:rsid w:val="00A41673"/>
    <w:rsid w:val="00A50E4C"/>
    <w:rsid w:val="00A65007"/>
    <w:rsid w:val="00A8085A"/>
    <w:rsid w:val="00B03382"/>
    <w:rsid w:val="00B23041"/>
    <w:rsid w:val="00B24503"/>
    <w:rsid w:val="00BF72B2"/>
    <w:rsid w:val="00C1340F"/>
    <w:rsid w:val="00C22E24"/>
    <w:rsid w:val="00C61680"/>
    <w:rsid w:val="00C64D00"/>
    <w:rsid w:val="00C665E0"/>
    <w:rsid w:val="00C81752"/>
    <w:rsid w:val="00D14A8F"/>
    <w:rsid w:val="00D41D1B"/>
    <w:rsid w:val="00D90B0A"/>
    <w:rsid w:val="00DA090D"/>
    <w:rsid w:val="00DC0568"/>
    <w:rsid w:val="00E07661"/>
    <w:rsid w:val="00E65E22"/>
    <w:rsid w:val="00E73D39"/>
    <w:rsid w:val="00F177F1"/>
    <w:rsid w:val="00F32EE8"/>
    <w:rsid w:val="00F73E3E"/>
    <w:rsid w:val="00FA4704"/>
    <w:rsid w:val="00FB2153"/>
    <w:rsid w:val="00FE0D05"/>
    <w:rsid w:val="00FF2579"/>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stockticker"/>
  <w:shapeDefaults>
    <o:shapedefaults v:ext="edit" spidmax="12289">
      <o:colormru v:ext="edit" colors="#7b6c58,#887e6e,#d2232a,#57433e,#b0a69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C7C"/>
    <w:rPr>
      <w:rFonts w:ascii="Arial" w:hAnsi="Arial"/>
      <w:szCs w:val="24"/>
      <w:lang w:val="en-US"/>
    </w:rPr>
  </w:style>
  <w:style w:type="paragraph" w:styleId="Heading1">
    <w:name w:val="heading 1"/>
    <w:aliases w:val="ECC Heading 1"/>
    <w:basedOn w:val="Normal"/>
    <w:next w:val="ECCParagraph"/>
    <w:autoRedefine/>
    <w:qFormat/>
    <w:rsid w:val="00FE1795"/>
    <w:pPr>
      <w:keepNext/>
      <w:pageBreakBefore/>
      <w:spacing w:before="400" w:after="240"/>
      <w:outlineLvl w:val="0"/>
    </w:pPr>
    <w:rPr>
      <w:rFonts w:cs="Arial"/>
      <w:b/>
      <w:bCs/>
      <w:caps/>
      <w:color w:val="D2232A"/>
      <w:kern w:val="32"/>
      <w:szCs w:val="32"/>
      <w:lang w:val="en-GB"/>
    </w:rPr>
  </w:style>
  <w:style w:type="paragraph" w:styleId="Heading2">
    <w:name w:val="heading 2"/>
    <w:aliases w:val="ECC Heading 2"/>
    <w:basedOn w:val="Normal"/>
    <w:next w:val="ECCParagraph"/>
    <w:autoRedefine/>
    <w:qFormat/>
    <w:rsid w:val="00FE1795"/>
    <w:pPr>
      <w:keepNext/>
      <w:numPr>
        <w:numId w:val="1"/>
      </w:numPr>
      <w:spacing w:before="480" w:after="240"/>
      <w:outlineLvl w:val="1"/>
    </w:pPr>
    <w:rPr>
      <w:rFonts w:cs="Arial"/>
      <w:b/>
      <w:bCs/>
      <w:iCs/>
      <w:caps/>
      <w:color w:val="D2232A"/>
      <w:szCs w:val="28"/>
    </w:rPr>
  </w:style>
  <w:style w:type="paragraph" w:styleId="Heading3">
    <w:name w:val="heading 3"/>
    <w:aliases w:val="ECC Heading 3"/>
    <w:basedOn w:val="Normal"/>
    <w:next w:val="ECCParagraph"/>
    <w:autoRedefine/>
    <w:qFormat/>
    <w:rsid w:val="00FE1795"/>
    <w:pPr>
      <w:keepNext/>
      <w:numPr>
        <w:ilvl w:val="1"/>
        <w:numId w:val="1"/>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C95C7C"/>
    <w:pPr>
      <w:numPr>
        <w:ilvl w:val="3"/>
        <w:numId w:val="1"/>
      </w:numPr>
      <w:spacing w:before="360" w:after="120"/>
      <w:outlineLvl w:val="3"/>
    </w:pPr>
    <w:rPr>
      <w:rFonts w:cs="Arial"/>
      <w:bCs/>
      <w:i/>
      <w:color w:val="D2232A"/>
      <w:szCs w:val="26"/>
    </w:rPr>
  </w:style>
  <w:style w:type="paragraph" w:styleId="Heading5">
    <w:name w:val="heading 5"/>
    <w:basedOn w:val="Normal"/>
    <w:next w:val="Normal"/>
    <w:qFormat/>
    <w:rsid w:val="004F32DC"/>
    <w:pPr>
      <w:numPr>
        <w:ilvl w:val="4"/>
        <w:numId w:val="1"/>
      </w:numPr>
      <w:spacing w:before="240" w:after="60"/>
      <w:outlineLvl w:val="4"/>
    </w:pPr>
    <w:rPr>
      <w:b/>
      <w:bCs/>
      <w:i/>
      <w:iCs/>
      <w:sz w:val="26"/>
      <w:szCs w:val="26"/>
    </w:rPr>
  </w:style>
  <w:style w:type="paragraph" w:styleId="Heading6">
    <w:name w:val="heading 6"/>
    <w:basedOn w:val="Normal"/>
    <w:next w:val="Normal"/>
    <w:qFormat/>
    <w:rsid w:val="004F32DC"/>
    <w:pPr>
      <w:numPr>
        <w:ilvl w:val="5"/>
        <w:numId w:val="1"/>
      </w:numPr>
      <w:spacing w:before="240" w:after="60"/>
      <w:outlineLvl w:val="5"/>
    </w:pPr>
    <w:rPr>
      <w:b/>
      <w:bCs/>
      <w:sz w:val="22"/>
      <w:szCs w:val="22"/>
    </w:rPr>
  </w:style>
  <w:style w:type="paragraph" w:styleId="Heading7">
    <w:name w:val="heading 7"/>
    <w:basedOn w:val="Normal"/>
    <w:next w:val="Normal"/>
    <w:qFormat/>
    <w:rsid w:val="004F32DC"/>
    <w:pPr>
      <w:numPr>
        <w:ilvl w:val="6"/>
        <w:numId w:val="1"/>
      </w:numPr>
      <w:spacing w:before="240" w:after="60"/>
      <w:outlineLvl w:val="6"/>
    </w:pPr>
    <w:rPr>
      <w:sz w:val="24"/>
    </w:rPr>
  </w:style>
  <w:style w:type="paragraph" w:styleId="Heading8">
    <w:name w:val="heading 8"/>
    <w:basedOn w:val="Normal"/>
    <w:next w:val="Normal"/>
    <w:qFormat/>
    <w:rsid w:val="004F32DC"/>
    <w:pPr>
      <w:numPr>
        <w:ilvl w:val="7"/>
        <w:numId w:val="1"/>
      </w:numPr>
      <w:spacing w:before="240" w:after="60"/>
      <w:outlineLvl w:val="7"/>
    </w:pPr>
    <w:rPr>
      <w:i/>
      <w:iCs/>
      <w:sz w:val="24"/>
    </w:rPr>
  </w:style>
  <w:style w:type="paragraph" w:styleId="Heading9">
    <w:name w:val="heading 9"/>
    <w:basedOn w:val="Normal"/>
    <w:next w:val="Normal"/>
    <w:qFormat/>
    <w:rsid w:val="004F32DC"/>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rsid w:val="004E66F0"/>
    <w:pPr>
      <w:spacing w:after="240"/>
      <w:jc w:val="both"/>
    </w:pPr>
    <w:rPr>
      <w:lang w:val="en-GB"/>
    </w:rPr>
  </w:style>
  <w:style w:type="paragraph" w:customStyle="1" w:styleId="ECCParBulleted">
    <w:name w:val="ECC Par Bulleted"/>
    <w:basedOn w:val="ECCParagraph"/>
    <w:rsid w:val="00FE1795"/>
    <w:pPr>
      <w:numPr>
        <w:numId w:val="9"/>
      </w:numPr>
      <w:spacing w:after="120"/>
    </w:pPr>
  </w:style>
  <w:style w:type="paragraph" w:styleId="Header">
    <w:name w:val="header"/>
    <w:aliases w:val="encabezado,he,header odd,header odd1,header odd2,header"/>
    <w:basedOn w:val="Normal"/>
    <w:rsid w:val="00C95C7C"/>
    <w:pPr>
      <w:tabs>
        <w:tab w:val="center" w:pos="4320"/>
        <w:tab w:val="right" w:pos="8640"/>
      </w:tabs>
    </w:pPr>
    <w:rPr>
      <w:b/>
      <w:sz w:val="16"/>
    </w:rPr>
  </w:style>
  <w:style w:type="paragraph" w:styleId="Footer">
    <w:name w:val="footer"/>
    <w:basedOn w:val="Normal"/>
    <w:semiHidden/>
    <w:rsid w:val="0077244E"/>
    <w:pPr>
      <w:tabs>
        <w:tab w:val="center" w:pos="4320"/>
        <w:tab w:val="right" w:pos="8640"/>
      </w:tabs>
    </w:pPr>
  </w:style>
  <w:style w:type="paragraph" w:customStyle="1" w:styleId="ECCAnnex-heading1">
    <w:name w:val="ECC Annex - heading1"/>
    <w:basedOn w:val="Heading1"/>
    <w:next w:val="ECCParagraph"/>
    <w:rsid w:val="00031379"/>
    <w:pPr>
      <w:numPr>
        <w:numId w:val="4"/>
      </w:numPr>
    </w:pPr>
  </w:style>
  <w:style w:type="paragraph" w:styleId="TOC1">
    <w:name w:val="toc 1"/>
    <w:basedOn w:val="Normal"/>
    <w:next w:val="Normal"/>
    <w:autoRedefine/>
    <w:semiHidden/>
    <w:rsid w:val="00EA7A83"/>
    <w:pPr>
      <w:tabs>
        <w:tab w:val="left" w:pos="360"/>
        <w:tab w:val="right" w:leader="dot" w:pos="9629"/>
      </w:tabs>
      <w:spacing w:before="240"/>
    </w:pPr>
    <w:rPr>
      <w:b/>
      <w:caps/>
    </w:rPr>
  </w:style>
  <w:style w:type="character" w:styleId="Hyperlink">
    <w:name w:val="Hyperlink"/>
    <w:basedOn w:val="DefaultParagraphFont"/>
    <w:semiHidden/>
    <w:rsid w:val="00A82384"/>
    <w:rPr>
      <w:color w:val="0000FF"/>
      <w:u w:val="single"/>
    </w:rPr>
  </w:style>
  <w:style w:type="paragraph" w:styleId="TOC2">
    <w:name w:val="toc 2"/>
    <w:basedOn w:val="Normal"/>
    <w:next w:val="Normal"/>
    <w:autoRedefine/>
    <w:semiHidden/>
    <w:rsid w:val="00EA7A83"/>
    <w:pPr>
      <w:tabs>
        <w:tab w:val="left" w:pos="900"/>
        <w:tab w:val="right" w:leader="dot" w:pos="9629"/>
      </w:tabs>
      <w:ind w:left="360"/>
    </w:pPr>
  </w:style>
  <w:style w:type="paragraph" w:styleId="TOC3">
    <w:name w:val="toc 3"/>
    <w:basedOn w:val="Normal"/>
    <w:next w:val="Normal"/>
    <w:autoRedefine/>
    <w:semiHidden/>
    <w:rsid w:val="00CF7259"/>
    <w:pPr>
      <w:tabs>
        <w:tab w:val="left" w:pos="1440"/>
        <w:tab w:val="right" w:leader="dot" w:pos="9629"/>
      </w:tabs>
      <w:ind w:left="900"/>
    </w:pPr>
  </w:style>
  <w:style w:type="paragraph" w:styleId="TOC4">
    <w:name w:val="toc 4"/>
    <w:basedOn w:val="Normal"/>
    <w:next w:val="Normal"/>
    <w:autoRedefine/>
    <w:semiHidden/>
    <w:rsid w:val="007D1E37"/>
    <w:pPr>
      <w:tabs>
        <w:tab w:val="left" w:pos="2340"/>
        <w:tab w:val="right" w:leader="dot" w:pos="9629"/>
      </w:tabs>
      <w:ind w:left="1440"/>
    </w:pPr>
    <w:rPr>
      <w:i/>
    </w:rPr>
  </w:style>
  <w:style w:type="table" w:styleId="TableGrid">
    <w:name w:val="Table Grid"/>
    <w:basedOn w:val="TableNormal"/>
    <w:semiHidden/>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3"/>
      </w:numPr>
      <w:spacing w:before="240" w:after="480"/>
      <w:jc w:val="center"/>
    </w:pPr>
    <w:rPr>
      <w:b/>
      <w:color w:val="D2232A"/>
    </w:rPr>
  </w:style>
  <w:style w:type="paragraph" w:customStyle="1" w:styleId="ECCTabletitle">
    <w:name w:val="ECC Table title"/>
    <w:basedOn w:val="ECCFiguretitle"/>
    <w:next w:val="ECCParagraph"/>
    <w:autoRedefine/>
    <w:rsid w:val="00C95C7C"/>
    <w:pPr>
      <w:numPr>
        <w:numId w:val="2"/>
      </w:numPr>
      <w:spacing w:before="360" w:after="240"/>
    </w:pPr>
  </w:style>
  <w:style w:type="paragraph" w:customStyle="1" w:styleId="ECCFootnote">
    <w:name w:val="ECC Footnote"/>
    <w:basedOn w:val="Normal"/>
    <w:autoRedefine/>
    <w:rsid w:val="00165473"/>
    <w:pPr>
      <w:jc w:val="both"/>
    </w:pPr>
    <w:rPr>
      <w:sz w:val="16"/>
    </w:rPr>
  </w:style>
  <w:style w:type="paragraph" w:styleId="FootnoteText">
    <w:name w:val="footnote text"/>
    <w:basedOn w:val="Normal"/>
    <w:semiHidden/>
    <w:rsid w:val="008935B9"/>
    <w:rPr>
      <w:szCs w:val="20"/>
    </w:rPr>
  </w:style>
  <w:style w:type="character" w:styleId="FootnoteReference">
    <w:name w:val="footnote reference"/>
    <w:basedOn w:val="DefaultParagraphFont"/>
    <w:semiHidden/>
    <w:rsid w:val="008935B9"/>
    <w:rPr>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rsid w:val="0031313E"/>
    <w:pPr>
      <w:spacing w:after="0"/>
      <w:ind w:left="284" w:hanging="284"/>
    </w:pPr>
    <w:rPr>
      <w:sz w:val="16"/>
      <w:szCs w:val="16"/>
    </w:rPr>
  </w:style>
  <w:style w:type="paragraph" w:customStyle="1" w:styleId="reference">
    <w:name w:val="reference"/>
    <w:basedOn w:val="Normal"/>
    <w:rsid w:val="00A50B64"/>
    <w:pPr>
      <w:numPr>
        <w:numId w:val="8"/>
      </w:numPr>
    </w:pPr>
    <w:rPr>
      <w:lang w:eastAsia="ja-JP"/>
    </w:rPr>
  </w:style>
  <w:style w:type="paragraph" w:customStyle="1" w:styleId="ECCAnnexheading2">
    <w:name w:val="ECC Annex heading2"/>
    <w:basedOn w:val="Normal"/>
    <w:next w:val="ECCParagraph"/>
    <w:rsid w:val="00C95C7C"/>
    <w:pPr>
      <w:numPr>
        <w:ilvl w:val="1"/>
        <w:numId w:val="4"/>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FA5088"/>
    <w:pPr>
      <w:numPr>
        <w:ilvl w:val="2"/>
        <w:numId w:val="4"/>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4"/>
      </w:numPr>
      <w:overflowPunct w:val="0"/>
      <w:autoSpaceDE w:val="0"/>
      <w:autoSpaceDN w:val="0"/>
      <w:adjustRightInd w:val="0"/>
      <w:spacing w:before="360" w:after="120"/>
      <w:textAlignment w:val="baseline"/>
    </w:pPr>
    <w:rPr>
      <w:i/>
      <w:color w:val="D2232A"/>
    </w:rPr>
  </w:style>
  <w:style w:type="paragraph" w:styleId="BodyTextIndent">
    <w:name w:val="Body Text Indent"/>
    <w:basedOn w:val="Normal"/>
    <w:rsid w:val="00FE1795"/>
    <w:rPr>
      <w:rFonts w:ascii="Times New Roman" w:hAnsi="Times New Roman"/>
      <w:sz w:val="24"/>
      <w:lang w:val="de-DE" w:eastAsia="en-GB"/>
    </w:rPr>
  </w:style>
  <w:style w:type="paragraph" w:customStyle="1" w:styleId="Reporttitledescription">
    <w:name w:val="Report title/description"/>
    <w:basedOn w:val="Normal"/>
    <w:rsid w:val="00C95C7C"/>
    <w:pPr>
      <w:spacing w:before="600" w:line="288" w:lineRule="auto"/>
      <w:ind w:left="3402"/>
    </w:pPr>
    <w:rPr>
      <w:color w:val="57433E"/>
      <w:sz w:val="24"/>
    </w:rPr>
  </w:style>
  <w:style w:type="paragraph" w:customStyle="1" w:styleId="Lastupdated">
    <w:name w:val="Last updated"/>
    <w:basedOn w:val="Normal"/>
    <w:rsid w:val="00FE1795"/>
    <w:pPr>
      <w:spacing w:before="120" w:after="120"/>
      <w:ind w:left="3402"/>
    </w:pPr>
    <w:rPr>
      <w:bCs/>
      <w:sz w:val="18"/>
    </w:rPr>
  </w:style>
  <w:style w:type="numbering" w:customStyle="1" w:styleId="Letteredlist0">
    <w:name w:val="Lettered list"/>
    <w:rsid w:val="00FE1795"/>
    <w:pPr>
      <w:numPr>
        <w:numId w:val="6"/>
      </w:numPr>
    </w:pPr>
  </w:style>
  <w:style w:type="paragraph" w:customStyle="1" w:styleId="WGNNA-bulleted">
    <w:name w:val="WGNNA-bulleted"/>
    <w:basedOn w:val="Normal"/>
    <w:rsid w:val="00FE1795"/>
    <w:pPr>
      <w:numPr>
        <w:numId w:val="7"/>
      </w:numPr>
      <w:spacing w:after="120"/>
      <w:jc w:val="both"/>
    </w:pPr>
    <w:rPr>
      <w:rFonts w:ascii="Times New Roman" w:hAnsi="Times New Roman"/>
      <w:sz w:val="24"/>
      <w:lang w:val="fr-FR" w:eastAsia="fr-FR"/>
    </w:rPr>
  </w:style>
  <w:style w:type="paragraph" w:customStyle="1" w:styleId="LetteredList">
    <w:name w:val="Lettered List"/>
    <w:basedOn w:val="Normal"/>
    <w:rsid w:val="00044EDB"/>
    <w:pPr>
      <w:numPr>
        <w:numId w:val="12"/>
      </w:numPr>
      <w:spacing w:after="120"/>
      <w:jc w:val="both"/>
    </w:pPr>
  </w:style>
  <w:style w:type="paragraph" w:customStyle="1" w:styleId="NumberedList">
    <w:name w:val="Numbered List"/>
    <w:basedOn w:val="ECCParagraph"/>
    <w:rsid w:val="007C6571"/>
    <w:pPr>
      <w:numPr>
        <w:numId w:val="15"/>
      </w:numPr>
    </w:pPr>
  </w:style>
  <w:style w:type="numbering" w:customStyle="1" w:styleId="ECCNumbers-Letters">
    <w:name w:val="ECC Numbers-Letters"/>
    <w:uiPriority w:val="99"/>
    <w:rsid w:val="007C6571"/>
    <w:pPr>
      <w:numPr>
        <w:numId w:val="14"/>
      </w:numPr>
    </w:pPr>
  </w:style>
  <w:style w:type="numbering" w:customStyle="1" w:styleId="ECCNumberedList">
    <w:name w:val="ECC Numbered List"/>
    <w:uiPriority w:val="99"/>
    <w:rsid w:val="007C6571"/>
    <w:pPr>
      <w:numPr>
        <w:numId w:val="15"/>
      </w:numPr>
    </w:pPr>
  </w:style>
  <w:style w:type="paragraph" w:customStyle="1" w:styleId="ECCNumbered-LetteredList">
    <w:name w:val="ECC Numbered-Lettered List"/>
    <w:basedOn w:val="Normal"/>
    <w:rsid w:val="007C6571"/>
    <w:pPr>
      <w:numPr>
        <w:numId w:val="14"/>
      </w:numPr>
    </w:pPr>
  </w:style>
  <w:style w:type="paragraph" w:styleId="BalloonText">
    <w:name w:val="Balloon Text"/>
    <w:basedOn w:val="Normal"/>
    <w:link w:val="BalloonTextChar"/>
    <w:uiPriority w:val="99"/>
    <w:semiHidden/>
    <w:unhideWhenUsed/>
    <w:rsid w:val="007C657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6571"/>
    <w:rPr>
      <w:rFonts w:ascii="Lucida Grande" w:hAnsi="Lucida Grande" w:cs="Lucida Grande"/>
      <w:sz w:val="18"/>
      <w:szCs w:val="18"/>
      <w:lang w:val="en-US"/>
    </w:rPr>
  </w:style>
  <w:style w:type="paragraph" w:styleId="BodyText">
    <w:name w:val="Body Text"/>
    <w:basedOn w:val="Normal"/>
    <w:link w:val="BodyTextChar"/>
    <w:rsid w:val="00E65E22"/>
    <w:pPr>
      <w:autoSpaceDE w:val="0"/>
      <w:autoSpaceDN w:val="0"/>
      <w:spacing w:after="120"/>
    </w:pPr>
    <w:rPr>
      <w:rFonts w:ascii="Times New Roman" w:hAnsi="Times New Roman"/>
      <w:sz w:val="24"/>
      <w:lang w:val="en-GB" w:eastAsia="nl-NL"/>
    </w:rPr>
  </w:style>
  <w:style w:type="character" w:customStyle="1" w:styleId="BodyTextChar">
    <w:name w:val="Body Text Char"/>
    <w:basedOn w:val="DefaultParagraphFont"/>
    <w:link w:val="BodyText"/>
    <w:rsid w:val="00E65E22"/>
    <w:rPr>
      <w:sz w:val="24"/>
      <w:szCs w:val="24"/>
      <w:lang w:eastAsia="nl-NL"/>
    </w:rPr>
  </w:style>
  <w:style w:type="paragraph" w:styleId="ListParagraph">
    <w:name w:val="List Paragraph"/>
    <w:basedOn w:val="Normal"/>
    <w:uiPriority w:val="34"/>
    <w:qFormat/>
    <w:rsid w:val="00E65E22"/>
    <w:pPr>
      <w:ind w:left="720"/>
      <w:contextualSpacing/>
    </w:pPr>
  </w:style>
  <w:style w:type="paragraph" w:customStyle="1" w:styleId="Note">
    <w:name w:val="Note"/>
    <w:basedOn w:val="Normal"/>
    <w:rsid w:val="0056450F"/>
    <w:pPr>
      <w:tabs>
        <w:tab w:val="left" w:pos="284"/>
        <w:tab w:val="left" w:pos="1134"/>
        <w:tab w:val="left" w:pos="1871"/>
        <w:tab w:val="left" w:pos="2268"/>
      </w:tabs>
      <w:overflowPunct w:val="0"/>
      <w:autoSpaceDE w:val="0"/>
      <w:autoSpaceDN w:val="0"/>
      <w:adjustRightInd w:val="0"/>
      <w:spacing w:before="160"/>
      <w:jc w:val="both"/>
      <w:textAlignment w:val="baseline"/>
    </w:pPr>
    <w:rPr>
      <w:rFonts w:ascii="Times New Roman" w:hAnsi="Times New Roman"/>
      <w:szCs w:val="20"/>
      <w:lang w:val="fr-FR"/>
    </w:rPr>
  </w:style>
  <w:style w:type="character" w:styleId="CommentReference">
    <w:name w:val="annotation reference"/>
    <w:basedOn w:val="DefaultParagraphFont"/>
    <w:uiPriority w:val="99"/>
    <w:semiHidden/>
    <w:unhideWhenUsed/>
    <w:rsid w:val="00A65007"/>
    <w:rPr>
      <w:sz w:val="16"/>
      <w:szCs w:val="16"/>
    </w:rPr>
  </w:style>
  <w:style w:type="paragraph" w:styleId="CommentText">
    <w:name w:val="annotation text"/>
    <w:basedOn w:val="Normal"/>
    <w:link w:val="CommentTextChar"/>
    <w:uiPriority w:val="99"/>
    <w:semiHidden/>
    <w:unhideWhenUsed/>
    <w:rsid w:val="00A65007"/>
    <w:rPr>
      <w:szCs w:val="20"/>
    </w:rPr>
  </w:style>
  <w:style w:type="character" w:customStyle="1" w:styleId="CommentTextChar">
    <w:name w:val="Comment Text Char"/>
    <w:basedOn w:val="DefaultParagraphFont"/>
    <w:link w:val="CommentText"/>
    <w:uiPriority w:val="99"/>
    <w:semiHidden/>
    <w:rsid w:val="00A65007"/>
    <w:rPr>
      <w:rFonts w:ascii="Arial" w:hAnsi="Arial"/>
      <w:lang w:val="en-US"/>
    </w:rPr>
  </w:style>
  <w:style w:type="paragraph" w:styleId="CommentSubject">
    <w:name w:val="annotation subject"/>
    <w:basedOn w:val="CommentText"/>
    <w:next w:val="CommentText"/>
    <w:link w:val="CommentSubjectChar"/>
    <w:uiPriority w:val="99"/>
    <w:semiHidden/>
    <w:unhideWhenUsed/>
    <w:rsid w:val="00A65007"/>
    <w:rPr>
      <w:b/>
      <w:bCs/>
    </w:rPr>
  </w:style>
  <w:style w:type="character" w:customStyle="1" w:styleId="CommentSubjectChar">
    <w:name w:val="Comment Subject Char"/>
    <w:basedOn w:val="CommentTextChar"/>
    <w:link w:val="CommentSubject"/>
    <w:uiPriority w:val="99"/>
    <w:semiHidden/>
    <w:rsid w:val="00A65007"/>
    <w:rPr>
      <w:rFonts w:ascii="Arial" w:hAnsi="Arial"/>
      <w:b/>
      <w:bCs/>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C7C"/>
    <w:rPr>
      <w:rFonts w:ascii="Arial" w:hAnsi="Arial"/>
      <w:szCs w:val="24"/>
      <w:lang w:val="en-US"/>
    </w:rPr>
  </w:style>
  <w:style w:type="paragraph" w:styleId="Heading1">
    <w:name w:val="heading 1"/>
    <w:aliases w:val="ECC Heading 1"/>
    <w:basedOn w:val="Normal"/>
    <w:next w:val="ECCParagraph"/>
    <w:autoRedefine/>
    <w:qFormat/>
    <w:rsid w:val="00FE1795"/>
    <w:pPr>
      <w:keepNext/>
      <w:pageBreakBefore/>
      <w:spacing w:before="400" w:after="240"/>
      <w:outlineLvl w:val="0"/>
    </w:pPr>
    <w:rPr>
      <w:rFonts w:cs="Arial"/>
      <w:b/>
      <w:bCs/>
      <w:caps/>
      <w:color w:val="D2232A"/>
      <w:kern w:val="32"/>
      <w:szCs w:val="32"/>
      <w:lang w:val="en-GB"/>
    </w:rPr>
  </w:style>
  <w:style w:type="paragraph" w:styleId="Heading2">
    <w:name w:val="heading 2"/>
    <w:aliases w:val="ECC Heading 2"/>
    <w:basedOn w:val="Normal"/>
    <w:next w:val="ECCParagraph"/>
    <w:autoRedefine/>
    <w:qFormat/>
    <w:rsid w:val="00FE1795"/>
    <w:pPr>
      <w:keepNext/>
      <w:numPr>
        <w:numId w:val="1"/>
      </w:numPr>
      <w:spacing w:before="480" w:after="240"/>
      <w:outlineLvl w:val="1"/>
    </w:pPr>
    <w:rPr>
      <w:rFonts w:cs="Arial"/>
      <w:b/>
      <w:bCs/>
      <w:iCs/>
      <w:caps/>
      <w:color w:val="D2232A"/>
      <w:szCs w:val="28"/>
    </w:rPr>
  </w:style>
  <w:style w:type="paragraph" w:styleId="Heading3">
    <w:name w:val="heading 3"/>
    <w:aliases w:val="ECC Heading 3"/>
    <w:basedOn w:val="Normal"/>
    <w:next w:val="ECCParagraph"/>
    <w:autoRedefine/>
    <w:qFormat/>
    <w:rsid w:val="00FE1795"/>
    <w:pPr>
      <w:keepNext/>
      <w:numPr>
        <w:ilvl w:val="1"/>
        <w:numId w:val="1"/>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C95C7C"/>
    <w:pPr>
      <w:numPr>
        <w:ilvl w:val="3"/>
        <w:numId w:val="1"/>
      </w:numPr>
      <w:spacing w:before="360" w:after="120"/>
      <w:outlineLvl w:val="3"/>
    </w:pPr>
    <w:rPr>
      <w:rFonts w:cs="Arial"/>
      <w:bCs/>
      <w:i/>
      <w:color w:val="D2232A"/>
      <w:szCs w:val="26"/>
    </w:rPr>
  </w:style>
  <w:style w:type="paragraph" w:styleId="Heading5">
    <w:name w:val="heading 5"/>
    <w:basedOn w:val="Normal"/>
    <w:next w:val="Normal"/>
    <w:qFormat/>
    <w:rsid w:val="004F32DC"/>
    <w:pPr>
      <w:numPr>
        <w:ilvl w:val="4"/>
        <w:numId w:val="1"/>
      </w:numPr>
      <w:spacing w:before="240" w:after="60"/>
      <w:outlineLvl w:val="4"/>
    </w:pPr>
    <w:rPr>
      <w:b/>
      <w:bCs/>
      <w:i/>
      <w:iCs/>
      <w:sz w:val="26"/>
      <w:szCs w:val="26"/>
    </w:rPr>
  </w:style>
  <w:style w:type="paragraph" w:styleId="Heading6">
    <w:name w:val="heading 6"/>
    <w:basedOn w:val="Normal"/>
    <w:next w:val="Normal"/>
    <w:qFormat/>
    <w:rsid w:val="004F32DC"/>
    <w:pPr>
      <w:numPr>
        <w:ilvl w:val="5"/>
        <w:numId w:val="1"/>
      </w:numPr>
      <w:spacing w:before="240" w:after="60"/>
      <w:outlineLvl w:val="5"/>
    </w:pPr>
    <w:rPr>
      <w:b/>
      <w:bCs/>
      <w:sz w:val="22"/>
      <w:szCs w:val="22"/>
    </w:rPr>
  </w:style>
  <w:style w:type="paragraph" w:styleId="Heading7">
    <w:name w:val="heading 7"/>
    <w:basedOn w:val="Normal"/>
    <w:next w:val="Normal"/>
    <w:qFormat/>
    <w:rsid w:val="004F32DC"/>
    <w:pPr>
      <w:numPr>
        <w:ilvl w:val="6"/>
        <w:numId w:val="1"/>
      </w:numPr>
      <w:spacing w:before="240" w:after="60"/>
      <w:outlineLvl w:val="6"/>
    </w:pPr>
    <w:rPr>
      <w:sz w:val="24"/>
    </w:rPr>
  </w:style>
  <w:style w:type="paragraph" w:styleId="Heading8">
    <w:name w:val="heading 8"/>
    <w:basedOn w:val="Normal"/>
    <w:next w:val="Normal"/>
    <w:qFormat/>
    <w:rsid w:val="004F32DC"/>
    <w:pPr>
      <w:numPr>
        <w:ilvl w:val="7"/>
        <w:numId w:val="1"/>
      </w:numPr>
      <w:spacing w:before="240" w:after="60"/>
      <w:outlineLvl w:val="7"/>
    </w:pPr>
    <w:rPr>
      <w:i/>
      <w:iCs/>
      <w:sz w:val="24"/>
    </w:rPr>
  </w:style>
  <w:style w:type="paragraph" w:styleId="Heading9">
    <w:name w:val="heading 9"/>
    <w:basedOn w:val="Normal"/>
    <w:next w:val="Normal"/>
    <w:qFormat/>
    <w:rsid w:val="004F32DC"/>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rsid w:val="004E66F0"/>
    <w:pPr>
      <w:spacing w:after="240"/>
      <w:jc w:val="both"/>
    </w:pPr>
    <w:rPr>
      <w:lang w:val="en-GB"/>
    </w:rPr>
  </w:style>
  <w:style w:type="paragraph" w:customStyle="1" w:styleId="ECCParBulleted">
    <w:name w:val="ECC Par Bulleted"/>
    <w:basedOn w:val="ECCParagraph"/>
    <w:rsid w:val="00FE1795"/>
    <w:pPr>
      <w:numPr>
        <w:numId w:val="9"/>
      </w:numPr>
      <w:spacing w:after="120"/>
    </w:pPr>
  </w:style>
  <w:style w:type="paragraph" w:styleId="Header">
    <w:name w:val="header"/>
    <w:aliases w:val="encabezado,he,header odd,header odd1,header odd2,header"/>
    <w:basedOn w:val="Normal"/>
    <w:rsid w:val="00C95C7C"/>
    <w:pPr>
      <w:tabs>
        <w:tab w:val="center" w:pos="4320"/>
        <w:tab w:val="right" w:pos="8640"/>
      </w:tabs>
    </w:pPr>
    <w:rPr>
      <w:b/>
      <w:sz w:val="16"/>
    </w:rPr>
  </w:style>
  <w:style w:type="paragraph" w:styleId="Footer">
    <w:name w:val="footer"/>
    <w:basedOn w:val="Normal"/>
    <w:semiHidden/>
    <w:rsid w:val="0077244E"/>
    <w:pPr>
      <w:tabs>
        <w:tab w:val="center" w:pos="4320"/>
        <w:tab w:val="right" w:pos="8640"/>
      </w:tabs>
    </w:pPr>
  </w:style>
  <w:style w:type="paragraph" w:customStyle="1" w:styleId="ECCAnnex-heading1">
    <w:name w:val="ECC Annex - heading1"/>
    <w:basedOn w:val="Heading1"/>
    <w:next w:val="ECCParagraph"/>
    <w:rsid w:val="00031379"/>
    <w:pPr>
      <w:numPr>
        <w:numId w:val="4"/>
      </w:numPr>
    </w:pPr>
  </w:style>
  <w:style w:type="paragraph" w:styleId="TOC1">
    <w:name w:val="toc 1"/>
    <w:basedOn w:val="Normal"/>
    <w:next w:val="Normal"/>
    <w:autoRedefine/>
    <w:semiHidden/>
    <w:rsid w:val="00EA7A83"/>
    <w:pPr>
      <w:tabs>
        <w:tab w:val="left" w:pos="360"/>
        <w:tab w:val="right" w:leader="dot" w:pos="9629"/>
      </w:tabs>
      <w:spacing w:before="240"/>
    </w:pPr>
    <w:rPr>
      <w:b/>
      <w:caps/>
    </w:rPr>
  </w:style>
  <w:style w:type="character" w:styleId="Hyperlink">
    <w:name w:val="Hyperlink"/>
    <w:basedOn w:val="DefaultParagraphFont"/>
    <w:semiHidden/>
    <w:rsid w:val="00A82384"/>
    <w:rPr>
      <w:color w:val="0000FF"/>
      <w:u w:val="single"/>
    </w:rPr>
  </w:style>
  <w:style w:type="paragraph" w:styleId="TOC2">
    <w:name w:val="toc 2"/>
    <w:basedOn w:val="Normal"/>
    <w:next w:val="Normal"/>
    <w:autoRedefine/>
    <w:semiHidden/>
    <w:rsid w:val="00EA7A83"/>
    <w:pPr>
      <w:tabs>
        <w:tab w:val="left" w:pos="900"/>
        <w:tab w:val="right" w:leader="dot" w:pos="9629"/>
      </w:tabs>
      <w:ind w:left="360"/>
    </w:pPr>
  </w:style>
  <w:style w:type="paragraph" w:styleId="TOC3">
    <w:name w:val="toc 3"/>
    <w:basedOn w:val="Normal"/>
    <w:next w:val="Normal"/>
    <w:autoRedefine/>
    <w:semiHidden/>
    <w:rsid w:val="00CF7259"/>
    <w:pPr>
      <w:tabs>
        <w:tab w:val="left" w:pos="1440"/>
        <w:tab w:val="right" w:leader="dot" w:pos="9629"/>
      </w:tabs>
      <w:ind w:left="900"/>
    </w:pPr>
  </w:style>
  <w:style w:type="paragraph" w:styleId="TOC4">
    <w:name w:val="toc 4"/>
    <w:basedOn w:val="Normal"/>
    <w:next w:val="Normal"/>
    <w:autoRedefine/>
    <w:semiHidden/>
    <w:rsid w:val="007D1E37"/>
    <w:pPr>
      <w:tabs>
        <w:tab w:val="left" w:pos="2340"/>
        <w:tab w:val="right" w:leader="dot" w:pos="9629"/>
      </w:tabs>
      <w:ind w:left="1440"/>
    </w:pPr>
    <w:rPr>
      <w:i/>
    </w:rPr>
  </w:style>
  <w:style w:type="table" w:styleId="TableGrid">
    <w:name w:val="Table Grid"/>
    <w:basedOn w:val="TableNormal"/>
    <w:semiHidden/>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3"/>
      </w:numPr>
      <w:spacing w:before="240" w:after="480"/>
      <w:jc w:val="center"/>
    </w:pPr>
    <w:rPr>
      <w:b/>
      <w:color w:val="D2232A"/>
    </w:rPr>
  </w:style>
  <w:style w:type="paragraph" w:customStyle="1" w:styleId="ECCTabletitle">
    <w:name w:val="ECC Table title"/>
    <w:basedOn w:val="ECCFiguretitle"/>
    <w:next w:val="ECCParagraph"/>
    <w:autoRedefine/>
    <w:rsid w:val="00C95C7C"/>
    <w:pPr>
      <w:numPr>
        <w:numId w:val="2"/>
      </w:numPr>
      <w:spacing w:before="360" w:after="240"/>
    </w:pPr>
  </w:style>
  <w:style w:type="paragraph" w:customStyle="1" w:styleId="ECCFootnote">
    <w:name w:val="ECC Footnote"/>
    <w:basedOn w:val="Normal"/>
    <w:autoRedefine/>
    <w:rsid w:val="00165473"/>
    <w:pPr>
      <w:jc w:val="both"/>
    </w:pPr>
    <w:rPr>
      <w:sz w:val="16"/>
    </w:rPr>
  </w:style>
  <w:style w:type="paragraph" w:styleId="FootnoteText">
    <w:name w:val="footnote text"/>
    <w:basedOn w:val="Normal"/>
    <w:semiHidden/>
    <w:rsid w:val="008935B9"/>
    <w:rPr>
      <w:szCs w:val="20"/>
    </w:rPr>
  </w:style>
  <w:style w:type="character" w:styleId="FootnoteReference">
    <w:name w:val="footnote reference"/>
    <w:basedOn w:val="DefaultParagraphFont"/>
    <w:semiHidden/>
    <w:rsid w:val="008935B9"/>
    <w:rPr>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rsid w:val="0031313E"/>
    <w:pPr>
      <w:spacing w:after="0"/>
      <w:ind w:left="284" w:hanging="284"/>
    </w:pPr>
    <w:rPr>
      <w:sz w:val="16"/>
      <w:szCs w:val="16"/>
    </w:rPr>
  </w:style>
  <w:style w:type="paragraph" w:customStyle="1" w:styleId="reference">
    <w:name w:val="reference"/>
    <w:basedOn w:val="Normal"/>
    <w:rsid w:val="00A50B64"/>
    <w:pPr>
      <w:numPr>
        <w:numId w:val="8"/>
      </w:numPr>
    </w:pPr>
    <w:rPr>
      <w:lang w:eastAsia="ja-JP"/>
    </w:rPr>
  </w:style>
  <w:style w:type="paragraph" w:customStyle="1" w:styleId="ECCAnnexheading2">
    <w:name w:val="ECC Annex heading2"/>
    <w:basedOn w:val="Normal"/>
    <w:next w:val="ECCParagraph"/>
    <w:rsid w:val="00C95C7C"/>
    <w:pPr>
      <w:numPr>
        <w:ilvl w:val="1"/>
        <w:numId w:val="4"/>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FA5088"/>
    <w:pPr>
      <w:numPr>
        <w:ilvl w:val="2"/>
        <w:numId w:val="4"/>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4"/>
      </w:numPr>
      <w:overflowPunct w:val="0"/>
      <w:autoSpaceDE w:val="0"/>
      <w:autoSpaceDN w:val="0"/>
      <w:adjustRightInd w:val="0"/>
      <w:spacing w:before="360" w:after="120"/>
      <w:textAlignment w:val="baseline"/>
    </w:pPr>
    <w:rPr>
      <w:i/>
      <w:color w:val="D2232A"/>
    </w:rPr>
  </w:style>
  <w:style w:type="paragraph" w:styleId="BodyTextIndent">
    <w:name w:val="Body Text Indent"/>
    <w:basedOn w:val="Normal"/>
    <w:rsid w:val="00FE1795"/>
    <w:rPr>
      <w:rFonts w:ascii="Times New Roman" w:hAnsi="Times New Roman"/>
      <w:sz w:val="24"/>
      <w:lang w:val="de-DE" w:eastAsia="en-GB"/>
    </w:rPr>
  </w:style>
  <w:style w:type="paragraph" w:customStyle="1" w:styleId="Reporttitledescription">
    <w:name w:val="Report title/description"/>
    <w:basedOn w:val="Normal"/>
    <w:rsid w:val="00C95C7C"/>
    <w:pPr>
      <w:spacing w:before="600" w:line="288" w:lineRule="auto"/>
      <w:ind w:left="3402"/>
    </w:pPr>
    <w:rPr>
      <w:color w:val="57433E"/>
      <w:sz w:val="24"/>
    </w:rPr>
  </w:style>
  <w:style w:type="paragraph" w:customStyle="1" w:styleId="Lastupdated">
    <w:name w:val="Last updated"/>
    <w:basedOn w:val="Normal"/>
    <w:rsid w:val="00FE1795"/>
    <w:pPr>
      <w:spacing w:before="120" w:after="120"/>
      <w:ind w:left="3402"/>
    </w:pPr>
    <w:rPr>
      <w:bCs/>
      <w:sz w:val="18"/>
    </w:rPr>
  </w:style>
  <w:style w:type="numbering" w:customStyle="1" w:styleId="Letteredlist0">
    <w:name w:val="Lettered list"/>
    <w:rsid w:val="00FE1795"/>
    <w:pPr>
      <w:numPr>
        <w:numId w:val="6"/>
      </w:numPr>
    </w:pPr>
  </w:style>
  <w:style w:type="paragraph" w:customStyle="1" w:styleId="WGNNA-bulleted">
    <w:name w:val="WGNNA-bulleted"/>
    <w:basedOn w:val="Normal"/>
    <w:rsid w:val="00FE1795"/>
    <w:pPr>
      <w:numPr>
        <w:numId w:val="7"/>
      </w:numPr>
      <w:spacing w:after="120"/>
      <w:jc w:val="both"/>
    </w:pPr>
    <w:rPr>
      <w:rFonts w:ascii="Times New Roman" w:hAnsi="Times New Roman"/>
      <w:sz w:val="24"/>
      <w:lang w:val="fr-FR" w:eastAsia="fr-FR"/>
    </w:rPr>
  </w:style>
  <w:style w:type="paragraph" w:customStyle="1" w:styleId="LetteredList">
    <w:name w:val="Lettered List"/>
    <w:basedOn w:val="Normal"/>
    <w:rsid w:val="00044EDB"/>
    <w:pPr>
      <w:numPr>
        <w:numId w:val="12"/>
      </w:numPr>
      <w:spacing w:after="120"/>
      <w:jc w:val="both"/>
    </w:pPr>
  </w:style>
  <w:style w:type="paragraph" w:customStyle="1" w:styleId="NumberedList">
    <w:name w:val="Numbered List"/>
    <w:basedOn w:val="ECCParagraph"/>
    <w:rsid w:val="007C6571"/>
    <w:pPr>
      <w:numPr>
        <w:numId w:val="15"/>
      </w:numPr>
    </w:pPr>
  </w:style>
  <w:style w:type="numbering" w:customStyle="1" w:styleId="ECCNumbers-Letters">
    <w:name w:val="ECC Numbers-Letters"/>
    <w:uiPriority w:val="99"/>
    <w:rsid w:val="007C6571"/>
    <w:pPr>
      <w:numPr>
        <w:numId w:val="14"/>
      </w:numPr>
    </w:pPr>
  </w:style>
  <w:style w:type="numbering" w:customStyle="1" w:styleId="ECCNumberedList">
    <w:name w:val="ECC Numbered List"/>
    <w:uiPriority w:val="99"/>
    <w:rsid w:val="007C6571"/>
    <w:pPr>
      <w:numPr>
        <w:numId w:val="15"/>
      </w:numPr>
    </w:pPr>
  </w:style>
  <w:style w:type="paragraph" w:customStyle="1" w:styleId="ECCNumbered-LetteredList">
    <w:name w:val="ECC Numbered-Lettered List"/>
    <w:basedOn w:val="Normal"/>
    <w:rsid w:val="007C6571"/>
    <w:pPr>
      <w:numPr>
        <w:numId w:val="14"/>
      </w:numPr>
    </w:pPr>
  </w:style>
  <w:style w:type="paragraph" w:styleId="BalloonText">
    <w:name w:val="Balloon Text"/>
    <w:basedOn w:val="Normal"/>
    <w:link w:val="BalloonTextChar"/>
    <w:uiPriority w:val="99"/>
    <w:semiHidden/>
    <w:unhideWhenUsed/>
    <w:rsid w:val="007C657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6571"/>
    <w:rPr>
      <w:rFonts w:ascii="Lucida Grande" w:hAnsi="Lucida Grande" w:cs="Lucida Grande"/>
      <w:sz w:val="18"/>
      <w:szCs w:val="18"/>
      <w:lang w:val="en-US"/>
    </w:rPr>
  </w:style>
  <w:style w:type="paragraph" w:styleId="BodyText">
    <w:name w:val="Body Text"/>
    <w:basedOn w:val="Normal"/>
    <w:link w:val="BodyTextChar"/>
    <w:rsid w:val="00E65E22"/>
    <w:pPr>
      <w:autoSpaceDE w:val="0"/>
      <w:autoSpaceDN w:val="0"/>
      <w:spacing w:after="120"/>
    </w:pPr>
    <w:rPr>
      <w:rFonts w:ascii="Times New Roman" w:hAnsi="Times New Roman"/>
      <w:sz w:val="24"/>
      <w:lang w:val="en-GB" w:eastAsia="nl-NL"/>
    </w:rPr>
  </w:style>
  <w:style w:type="character" w:customStyle="1" w:styleId="BodyTextChar">
    <w:name w:val="Body Text Char"/>
    <w:basedOn w:val="DefaultParagraphFont"/>
    <w:link w:val="BodyText"/>
    <w:rsid w:val="00E65E22"/>
    <w:rPr>
      <w:sz w:val="24"/>
      <w:szCs w:val="24"/>
      <w:lang w:eastAsia="nl-NL"/>
    </w:rPr>
  </w:style>
  <w:style w:type="paragraph" w:styleId="ListParagraph">
    <w:name w:val="List Paragraph"/>
    <w:basedOn w:val="Normal"/>
    <w:uiPriority w:val="34"/>
    <w:qFormat/>
    <w:rsid w:val="00E65E22"/>
    <w:pPr>
      <w:ind w:left="720"/>
      <w:contextualSpacing/>
    </w:pPr>
  </w:style>
  <w:style w:type="paragraph" w:customStyle="1" w:styleId="Note">
    <w:name w:val="Note"/>
    <w:basedOn w:val="Normal"/>
    <w:rsid w:val="0056450F"/>
    <w:pPr>
      <w:tabs>
        <w:tab w:val="left" w:pos="284"/>
        <w:tab w:val="left" w:pos="1134"/>
        <w:tab w:val="left" w:pos="1871"/>
        <w:tab w:val="left" w:pos="2268"/>
      </w:tabs>
      <w:overflowPunct w:val="0"/>
      <w:autoSpaceDE w:val="0"/>
      <w:autoSpaceDN w:val="0"/>
      <w:adjustRightInd w:val="0"/>
      <w:spacing w:before="160"/>
      <w:jc w:val="both"/>
      <w:textAlignment w:val="baseline"/>
    </w:pPr>
    <w:rPr>
      <w:rFonts w:ascii="Times New Roman" w:hAnsi="Times New Roman"/>
      <w:szCs w:val="20"/>
      <w:lang w:val="fr-FR"/>
    </w:rPr>
  </w:style>
  <w:style w:type="character" w:styleId="CommentReference">
    <w:name w:val="annotation reference"/>
    <w:basedOn w:val="DefaultParagraphFont"/>
    <w:uiPriority w:val="99"/>
    <w:semiHidden/>
    <w:unhideWhenUsed/>
    <w:rsid w:val="00A65007"/>
    <w:rPr>
      <w:sz w:val="16"/>
      <w:szCs w:val="16"/>
    </w:rPr>
  </w:style>
  <w:style w:type="paragraph" w:styleId="CommentText">
    <w:name w:val="annotation text"/>
    <w:basedOn w:val="Normal"/>
    <w:link w:val="CommentTextChar"/>
    <w:uiPriority w:val="99"/>
    <w:semiHidden/>
    <w:unhideWhenUsed/>
    <w:rsid w:val="00A65007"/>
    <w:rPr>
      <w:szCs w:val="20"/>
    </w:rPr>
  </w:style>
  <w:style w:type="character" w:customStyle="1" w:styleId="CommentTextChar">
    <w:name w:val="Comment Text Char"/>
    <w:basedOn w:val="DefaultParagraphFont"/>
    <w:link w:val="CommentText"/>
    <w:uiPriority w:val="99"/>
    <w:semiHidden/>
    <w:rsid w:val="00A65007"/>
    <w:rPr>
      <w:rFonts w:ascii="Arial" w:hAnsi="Arial"/>
      <w:lang w:val="en-US"/>
    </w:rPr>
  </w:style>
  <w:style w:type="paragraph" w:styleId="CommentSubject">
    <w:name w:val="annotation subject"/>
    <w:basedOn w:val="CommentText"/>
    <w:next w:val="CommentText"/>
    <w:link w:val="CommentSubjectChar"/>
    <w:uiPriority w:val="99"/>
    <w:semiHidden/>
    <w:unhideWhenUsed/>
    <w:rsid w:val="00A65007"/>
    <w:rPr>
      <w:b/>
      <w:bCs/>
    </w:rPr>
  </w:style>
  <w:style w:type="character" w:customStyle="1" w:styleId="CommentSubjectChar">
    <w:name w:val="Comment Subject Char"/>
    <w:basedOn w:val="CommentTextChar"/>
    <w:link w:val="CommentSubject"/>
    <w:uiPriority w:val="99"/>
    <w:semiHidden/>
    <w:rsid w:val="00A65007"/>
    <w:rPr>
      <w:rFonts w:ascii="Arial" w:hAnsi="Arial"/>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e-Dorthe\Downloads\Standard%20format%20-%20ECC%20Decision_June_2016%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2218F-6B05-4899-8A46-624F06061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 format - ECC Decision_June_2016 (12)</Template>
  <TotalTime>0</TotalTime>
  <Pages>10</Pages>
  <Words>3107</Words>
  <Characters>18953</Characters>
  <Application>Microsoft Office Word</Application>
  <DocSecurity>0</DocSecurity>
  <Lines>157</Lines>
  <Paragraphs>44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ECC Decision (04)10</vt:lpstr>
      <vt:lpstr>ECC Decision (04)10</vt:lpstr>
    </vt:vector>
  </TitlesOfParts>
  <Company>WGFM#90</Company>
  <LinksUpToDate>false</LinksUpToDate>
  <CharactersWithSpaces>22016</CharactersWithSpaces>
  <SharedDoc>false</SharedDoc>
  <HLinks>
    <vt:vector size="12" baseType="variant">
      <vt:variant>
        <vt:i4>3342362</vt:i4>
      </vt:variant>
      <vt:variant>
        <vt:i4>-1</vt:i4>
      </vt:variant>
      <vt:variant>
        <vt:i4>2051</vt:i4>
      </vt:variant>
      <vt:variant>
        <vt:i4>1</vt:i4>
      </vt:variant>
      <vt:variant>
        <vt:lpwstr>cept logo</vt:lpwstr>
      </vt:variant>
      <vt:variant>
        <vt:lpwstr/>
      </vt:variant>
      <vt:variant>
        <vt:i4>852028</vt:i4>
      </vt:variant>
      <vt:variant>
        <vt:i4>-1</vt:i4>
      </vt:variant>
      <vt:variant>
        <vt:i4>2052</vt:i4>
      </vt:variant>
      <vt:variant>
        <vt:i4>1</vt:i4>
      </vt:variant>
      <vt:variant>
        <vt:lpwstr>ecc_logo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 Decision (04)10</dc:title>
  <dc:creator>ECC</dc:creator>
  <dc:description>Update</dc:description>
  <cp:lastModifiedBy>Anne-Dorthe Hjelm Christensen</cp:lastModifiedBy>
  <cp:revision>2</cp:revision>
  <cp:lastPrinted>2018-02-19T08:57:00Z</cp:lastPrinted>
  <dcterms:created xsi:type="dcterms:W3CDTF">2018-03-08T15:15:00Z</dcterms:created>
  <dcterms:modified xsi:type="dcterms:W3CDTF">2018-03-08T15:15:00Z</dcterms:modified>
  <cp:contentStatus>for final approval at ECC</cp:contentStatus>
</cp:coreProperties>
</file>