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43" w:rsidRDefault="00AA6C43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CEPT/ERC/RECOMMENDATION 12-03 E (Bonn 1994)</w:t>
      </w:r>
    </w:p>
    <w:p w:rsidR="00AA6C43" w:rsidRDefault="00AA6C43">
      <w:pPr>
        <w:jc w:val="center"/>
        <w:rPr>
          <w:rFonts w:ascii="Times New Roman" w:hAnsi="Times New Roman"/>
        </w:rPr>
      </w:pPr>
    </w:p>
    <w:p w:rsidR="00AA6C43" w:rsidRDefault="00AA6C43">
      <w:pPr>
        <w:jc w:val="center"/>
        <w:rPr>
          <w:rFonts w:ascii="Times New Roman" w:hAnsi="Times New Roman"/>
        </w:rPr>
      </w:pPr>
    </w:p>
    <w:p w:rsidR="00AA6C43" w:rsidRDefault="00AA6C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HARMONISED RADIO FREQUENCY CHANNEL ARRANGEMENTS FOR </w:t>
      </w:r>
    </w:p>
    <w:p w:rsidR="00AA6C43" w:rsidRDefault="00AA6C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DIGITAL TERRESTRIAL FIXED SYSTEMS OPERATING IN THE BAND 17.7 GHz TO 19.7 GHz</w:t>
      </w:r>
    </w:p>
    <w:p w:rsidR="00AA6C43" w:rsidRDefault="00AA6C43">
      <w:pPr>
        <w:jc w:val="center"/>
        <w:rPr>
          <w:rFonts w:ascii="Times New Roman" w:hAnsi="Times New Roman"/>
          <w:b/>
        </w:rPr>
      </w:pPr>
    </w:p>
    <w:p w:rsidR="00AA6C43" w:rsidRDefault="00AA6C43">
      <w:pPr>
        <w:jc w:val="center"/>
        <w:rPr>
          <w:rFonts w:ascii="Times New Roman" w:hAnsi="Times New Roman"/>
          <w:b/>
        </w:rPr>
      </w:pPr>
    </w:p>
    <w:p w:rsidR="00AA6C43" w:rsidRDefault="00AA6C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Recommendation proposed by the Working Group “Spectrum Engineering” (WGSE)</w:t>
      </w:r>
    </w:p>
    <w:p w:rsidR="00AA6C43" w:rsidRDefault="00AA6C43">
      <w:pPr>
        <w:jc w:val="center"/>
        <w:rPr>
          <w:rFonts w:ascii="Times New Roman" w:hAnsi="Times New Roman"/>
        </w:rPr>
      </w:pPr>
    </w:p>
    <w:p w:rsidR="00AA6C43" w:rsidRDefault="00AA6C4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Text of the recommendation adopted by the “European </w:t>
      </w:r>
      <w:proofErr w:type="spellStart"/>
      <w:r>
        <w:rPr>
          <w:rFonts w:ascii="Times New Roman" w:hAnsi="Times New Roman"/>
          <w:i/>
        </w:rPr>
        <w:t>Radiocommunications</w:t>
      </w:r>
      <w:proofErr w:type="spellEnd"/>
      <w:r>
        <w:rPr>
          <w:rFonts w:ascii="Times New Roman" w:hAnsi="Times New Roman"/>
          <w:i/>
        </w:rPr>
        <w:t xml:space="preserve"> Committee” (ERC):</w:t>
      </w:r>
    </w:p>
    <w:p w:rsidR="00AA6C43" w:rsidRDefault="00AA6C43">
      <w:pPr>
        <w:jc w:val="center"/>
        <w:rPr>
          <w:rFonts w:ascii="Times New Roman" w:hAnsi="Times New Roman"/>
        </w:rPr>
      </w:pPr>
    </w:p>
    <w:p w:rsidR="00AA6C43" w:rsidRDefault="00AA6C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“The European Conference of Postal and Telecommunications Administrations,</w:t>
      </w:r>
    </w:p>
    <w:p w:rsidR="00AA6C43" w:rsidRDefault="00AA6C43">
      <w:pPr>
        <w:jc w:val="both"/>
        <w:rPr>
          <w:rFonts w:ascii="Times New Roman" w:hAnsi="Times New Roman"/>
        </w:rPr>
      </w:pPr>
    </w:p>
    <w:p w:rsidR="00AA6C43" w:rsidRDefault="00AA6C4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considering</w:t>
      </w:r>
      <w:proofErr w:type="gramEnd"/>
    </w:p>
    <w:p w:rsidR="00AA6C43" w:rsidRDefault="00AA6C43">
      <w:pPr>
        <w:spacing w:line="120" w:lineRule="auto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CEPT should develop radio frequency channel arrangements in consultation with organisations developing standards for radio systems, in order to make the most effective use of the spectrum available,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compatibility between systems of different capacities should be assured,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for low capacity digital systems there exist many links among CEPT countries using various arrangements according to Recommends 6 of ITU-R Rec. F. 595,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main deployment is foreseen by the majority of CEPT Administrations for medium and high capacity digital systems,</w:t>
      </w:r>
    </w:p>
    <w:p w:rsidR="00AA6C43" w:rsidRDefault="00AA6C43">
      <w:pPr>
        <w:jc w:val="both"/>
        <w:rPr>
          <w:rFonts w:ascii="Times New Roman" w:hAnsi="Times New Roman"/>
          <w:b/>
        </w:rPr>
      </w:pPr>
    </w:p>
    <w:p w:rsidR="00AA6C43" w:rsidRDefault="00AA6C4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noting</w:t>
      </w:r>
      <w:proofErr w:type="gramEnd"/>
    </w:p>
    <w:p w:rsidR="00AA6C43" w:rsidRDefault="00AA6C43">
      <w:pPr>
        <w:spacing w:line="120" w:lineRule="auto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that</w:t>
      </w:r>
      <w:proofErr w:type="gramEnd"/>
      <w:r>
        <w:rPr>
          <w:rFonts w:ascii="Times New Roman" w:hAnsi="Times New Roman"/>
        </w:rPr>
        <w:t xml:space="preserve"> Article 8 of the Radio Regulations allocates in Region 1 the band 17.7 GHz - 19.7 GHz on equal primary basis to the Fixed, Fixed-Satellite and Mobile services. Sharing criteria between Fixed and Mobile, and Fixed and Fixed-Satellite services may be required,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radio frequency channel arrangements have been recommended by ITU-R for medium and high capacity digital systems in the 17.7  GHz - 19.7 GHz band,</w:t>
      </w:r>
    </w:p>
    <w:p w:rsidR="00AA6C43" w:rsidRDefault="00AA6C43">
      <w:pPr>
        <w:jc w:val="both"/>
        <w:rPr>
          <w:rFonts w:ascii="Times New Roman" w:hAnsi="Times New Roman"/>
        </w:rPr>
      </w:pPr>
    </w:p>
    <w:p w:rsidR="00AA6C43" w:rsidRDefault="00AA6C4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recommends</w:t>
      </w:r>
      <w:proofErr w:type="gramEnd"/>
    </w:p>
    <w:p w:rsidR="00AA6C43" w:rsidRDefault="00AA6C43">
      <w:pPr>
        <w:spacing w:line="120" w:lineRule="auto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for medium and high capacity digital systems, CEPT Administrations should follow the recommended radio frequency channel arrangements for the band 17.7 GHz - 19.7 GHz (Annex A),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that</w:t>
      </w:r>
      <w:proofErr w:type="gramEnd"/>
      <w:r>
        <w:rPr>
          <w:rFonts w:ascii="Times New Roman" w:hAnsi="Times New Roman"/>
        </w:rPr>
        <w:t xml:space="preserve"> for low capacity digital systems channel frequency arrangements may be accommodated, on a national basis, within any of the high capacity channels or guard bands.”</w:t>
      </w:r>
    </w:p>
    <w:p w:rsidR="00AA6C43" w:rsidRDefault="00AA6C43">
      <w:pPr>
        <w:jc w:val="both"/>
        <w:rPr>
          <w:rFonts w:ascii="Times New Roman" w:hAnsi="Times New Roman"/>
        </w:rPr>
        <w:sectPr w:rsidR="00AA6C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60" w:right="1440" w:bottom="1831" w:left="1440" w:header="1009" w:footer="578" w:gutter="0"/>
          <w:cols w:space="708"/>
          <w:titlePg/>
        </w:sectPr>
      </w:pPr>
    </w:p>
    <w:p w:rsidR="00AA6C43" w:rsidRDefault="00AA6C43">
      <w:pPr>
        <w:spacing w:before="60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Left blank</w:t>
      </w:r>
    </w:p>
    <w:p w:rsidR="00AA6C43" w:rsidRDefault="00AA6C43">
      <w:pPr>
        <w:jc w:val="center"/>
        <w:rPr>
          <w:rFonts w:ascii="Times New Roman" w:hAnsi="Times New Roman"/>
          <w:b/>
        </w:rPr>
        <w:sectPr w:rsidR="00AA6C43">
          <w:headerReference w:type="first" r:id="rId14"/>
          <w:footerReference w:type="first" r:id="rId15"/>
          <w:pgSz w:w="11907" w:h="16840" w:code="9"/>
          <w:pgMar w:top="2160" w:right="1440" w:bottom="1831" w:left="1440" w:header="1009" w:footer="578" w:gutter="0"/>
          <w:cols w:space="708"/>
          <w:titlePg/>
        </w:sectPr>
      </w:pPr>
    </w:p>
    <w:p w:rsidR="00AA6C43" w:rsidRDefault="00AA6C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Annex A</w:t>
      </w:r>
    </w:p>
    <w:p w:rsidR="00AA6C43" w:rsidRDefault="00AA6C43">
      <w:pPr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</w:t>
      </w:r>
    </w:p>
    <w:p w:rsidR="00AA6C43" w:rsidRDefault="00AA6C43">
      <w:pPr>
        <w:tabs>
          <w:tab w:val="left" w:pos="567"/>
          <w:tab w:val="left" w:pos="993"/>
        </w:tabs>
        <w:ind w:left="567" w:firstLine="28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fo</w:t>
      </w:r>
      <w:proofErr w:type="spellEnd"/>
      <w:proofErr w:type="gramEnd"/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be the centre frequency (MHz) of the 17.70 - 19.70 GHz band (F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 xml:space="preserve"> =18700 MHz),</w:t>
      </w:r>
    </w:p>
    <w:p w:rsidR="00AA6C43" w:rsidRDefault="00AA6C43">
      <w:pPr>
        <w:tabs>
          <w:tab w:val="left" w:pos="567"/>
          <w:tab w:val="left" w:pos="993"/>
        </w:tabs>
        <w:ind w:left="567" w:firstLine="284"/>
        <w:rPr>
          <w:rFonts w:ascii="Times New Roman" w:hAnsi="Times New Roman"/>
        </w:rPr>
      </w:pPr>
    </w:p>
    <w:p w:rsidR="00AA6C43" w:rsidRDefault="00AA6C43">
      <w:pPr>
        <w:tabs>
          <w:tab w:val="left" w:pos="567"/>
          <w:tab w:val="left" w:pos="993"/>
        </w:tabs>
        <w:ind w:left="567" w:firstLine="28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fn</w:t>
      </w:r>
      <w:proofErr w:type="spellEnd"/>
      <w:proofErr w:type="gramEnd"/>
      <w:r>
        <w:rPr>
          <w:rFonts w:ascii="Times New Roman" w:hAnsi="Times New Roman"/>
        </w:rPr>
        <w:tab/>
        <w:t>be the centre frequency (MHz) of a radio frequency channel in the lower half of the band,</w:t>
      </w:r>
    </w:p>
    <w:p w:rsidR="00AA6C43" w:rsidRDefault="00AA6C43">
      <w:pPr>
        <w:tabs>
          <w:tab w:val="left" w:pos="567"/>
          <w:tab w:val="left" w:pos="993"/>
        </w:tabs>
        <w:ind w:left="567" w:firstLine="284"/>
        <w:rPr>
          <w:rFonts w:ascii="Times New Roman" w:hAnsi="Times New Roman"/>
        </w:rPr>
      </w:pPr>
    </w:p>
    <w:p w:rsidR="00AA6C43" w:rsidRDefault="00AA6C43">
      <w:pPr>
        <w:tabs>
          <w:tab w:val="left" w:pos="567"/>
          <w:tab w:val="left" w:pos="993"/>
        </w:tabs>
        <w:ind w:left="567" w:firstLine="284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fn</w:t>
      </w:r>
      <w:proofErr w:type="spellEnd"/>
      <w:proofErr w:type="gramEnd"/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ab/>
        <w:t>be the centre frequency of a radio frequency channel in the upper half of the band,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then</w:t>
      </w:r>
      <w:proofErr w:type="gramEnd"/>
      <w:r>
        <w:rPr>
          <w:rFonts w:ascii="Times New Roman" w:hAnsi="Times New Roman"/>
        </w:rPr>
        <w:t xml:space="preserve"> the frequencies (MHz) of individual channels are expressed by the following relationships:</w:t>
      </w: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4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CO-CHANNEL ARRANGEMENT (see Fig. 1)</w:t>
      </w:r>
    </w:p>
    <w:p w:rsidR="00AA6C43" w:rsidRDefault="00AA6C43">
      <w:pPr>
        <w:spacing w:line="120" w:lineRule="auto"/>
        <w:ind w:left="357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5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systems with a carrier spacing of 110 MHz:</w:t>
      </w:r>
    </w:p>
    <w:p w:rsidR="00AA6C43" w:rsidRDefault="00AA6C43">
      <w:pPr>
        <w:spacing w:line="120" w:lineRule="auto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2938"/>
        <w:gridCol w:w="2676"/>
        <w:gridCol w:w="2807"/>
      </w:tblGrid>
      <w:tr w:rsidR="00AA6C43">
        <w:tc>
          <w:tcPr>
            <w:tcW w:w="2938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lower half of the band:</w:t>
            </w:r>
          </w:p>
        </w:tc>
        <w:tc>
          <w:tcPr>
            <w:tcW w:w="2676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- 1000 + 110 n</w:t>
            </w:r>
          </w:p>
        </w:tc>
        <w:tc>
          <w:tcPr>
            <w:tcW w:w="2807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6C43">
        <w:tc>
          <w:tcPr>
            <w:tcW w:w="2938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upper half of the band:</w:t>
            </w:r>
          </w:p>
        </w:tc>
        <w:tc>
          <w:tcPr>
            <w:tcW w:w="2676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’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2B"/>
            </w:r>
            <w:r>
              <w:rPr>
                <w:rFonts w:ascii="Times New Roman" w:hAnsi="Times New Roman"/>
              </w:rPr>
              <w:t xml:space="preserve"> 10 + 110 n</w:t>
            </w:r>
          </w:p>
        </w:tc>
        <w:tc>
          <w:tcPr>
            <w:tcW w:w="2807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n = 1, … 8</w:t>
            </w:r>
          </w:p>
        </w:tc>
      </w:tr>
    </w:tbl>
    <w:p w:rsidR="00AA6C43" w:rsidRDefault="00AA6C43">
      <w:pPr>
        <w:ind w:left="357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systems with a carrier spacing of 55 MHz:</w:t>
      </w:r>
    </w:p>
    <w:p w:rsidR="00AA6C43" w:rsidRDefault="00AA6C43">
      <w:pPr>
        <w:spacing w:line="120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2950"/>
        <w:gridCol w:w="2681"/>
        <w:gridCol w:w="2835"/>
      </w:tblGrid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- 1000 + 55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’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2B"/>
            </w:r>
            <w:r>
              <w:rPr>
                <w:rFonts w:ascii="Times New Roman" w:hAnsi="Times New Roman"/>
              </w:rPr>
              <w:t xml:space="preserve"> 10 + 55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n = 1, … 17</w:t>
            </w:r>
          </w:p>
        </w:tc>
      </w:tr>
    </w:tbl>
    <w:p w:rsidR="00AA6C43" w:rsidRDefault="00AA6C43">
      <w:pPr>
        <w:ind w:left="720" w:hanging="720"/>
        <w:jc w:val="both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7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systems with a carrier spacing of 27.5 MHz:</w:t>
      </w:r>
    </w:p>
    <w:p w:rsidR="00AA6C43" w:rsidRDefault="00AA6C43" w:rsidP="009C1EA6">
      <w:pPr>
        <w:numPr>
          <w:ilvl w:val="12"/>
          <w:numId w:val="0"/>
        </w:numPr>
        <w:spacing w:line="120" w:lineRule="auto"/>
        <w:ind w:left="360" w:hanging="360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2950"/>
        <w:gridCol w:w="2681"/>
        <w:gridCol w:w="2835"/>
      </w:tblGrid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- 1000 + 27.5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’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2B"/>
            </w:r>
            <w:r>
              <w:rPr>
                <w:rFonts w:ascii="Times New Roman" w:hAnsi="Times New Roman"/>
              </w:rPr>
              <w:t xml:space="preserve"> 10 + 27.5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n = 1, … 35</w:t>
            </w:r>
          </w:p>
        </w:tc>
      </w:tr>
    </w:tbl>
    <w:p w:rsidR="00AA6C43" w:rsidRDefault="00AA6C43" w:rsidP="009C1EA6">
      <w:pPr>
        <w:numPr>
          <w:ilvl w:val="12"/>
          <w:numId w:val="0"/>
        </w:numPr>
        <w:ind w:left="360" w:hanging="360"/>
        <w:rPr>
          <w:rFonts w:ascii="Times New Roman" w:hAnsi="Times New Roman"/>
        </w:rPr>
      </w:pPr>
    </w:p>
    <w:p w:rsidR="00AA6C43" w:rsidRDefault="00AA6C43" w:rsidP="009C1EA6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systems with a carrier spacing of 13.75 MHz:</w:t>
      </w:r>
    </w:p>
    <w:p w:rsidR="00AA6C43" w:rsidRDefault="00AA6C43" w:rsidP="009C1EA6">
      <w:pPr>
        <w:numPr>
          <w:ilvl w:val="12"/>
          <w:numId w:val="0"/>
        </w:numPr>
        <w:spacing w:line="120" w:lineRule="auto"/>
        <w:ind w:left="360" w:hanging="360"/>
        <w:jc w:val="both"/>
        <w:rPr>
          <w:rFonts w:ascii="Times New Roman" w:hAnsi="Times New Roman"/>
        </w:rPr>
      </w:pP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2950"/>
        <w:gridCol w:w="2681"/>
        <w:gridCol w:w="2835"/>
      </w:tblGrid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- 1000 + 13.75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6C43">
        <w:tc>
          <w:tcPr>
            <w:tcW w:w="2950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upper half of the band:</w:t>
            </w:r>
          </w:p>
        </w:tc>
        <w:tc>
          <w:tcPr>
            <w:tcW w:w="2681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fn</w:t>
            </w:r>
            <w:proofErr w:type="spellEnd"/>
            <w:r>
              <w:rPr>
                <w:rFonts w:ascii="Times New Roman" w:hAnsi="Times New Roman"/>
              </w:rPr>
              <w:t xml:space="preserve">’ = </w:t>
            </w:r>
            <w:proofErr w:type="spellStart"/>
            <w:r>
              <w:rPr>
                <w:rFonts w:ascii="Times New Roman" w:hAnsi="Times New Roman"/>
              </w:rPr>
              <w:t>fo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Symbol" w:char="F02B"/>
            </w:r>
            <w:r>
              <w:rPr>
                <w:rFonts w:ascii="Times New Roman" w:hAnsi="Times New Roman"/>
              </w:rPr>
              <w:t xml:space="preserve"> 10 + 13.75 n</w:t>
            </w:r>
          </w:p>
        </w:tc>
        <w:tc>
          <w:tcPr>
            <w:tcW w:w="2835" w:type="dxa"/>
          </w:tcPr>
          <w:p w:rsidR="00AA6C43" w:rsidRDefault="00AA6C43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n = 1, … 70</w:t>
            </w:r>
          </w:p>
        </w:tc>
      </w:tr>
    </w:tbl>
    <w:p w:rsidR="00AA6C43" w:rsidRDefault="00AA6C43">
      <w:pPr>
        <w:jc w:val="both"/>
        <w:rPr>
          <w:rFonts w:ascii="Times New Roman" w:hAnsi="Times New Roman"/>
        </w:rPr>
        <w:sectPr w:rsidR="00AA6C43">
          <w:headerReference w:type="first" r:id="rId16"/>
          <w:footerReference w:type="first" r:id="rId17"/>
          <w:pgSz w:w="11907" w:h="16840" w:code="9"/>
          <w:pgMar w:top="2160" w:right="1440" w:bottom="1831" w:left="1440" w:header="1009" w:footer="578" w:gutter="0"/>
          <w:cols w:space="708"/>
          <w:titlePg/>
        </w:sectPr>
      </w:pPr>
    </w:p>
    <w:p w:rsidR="00AA6C43" w:rsidRDefault="00AA6C43">
      <w:pPr>
        <w:rPr>
          <w:rFonts w:ascii="Times New Roman" w:hAnsi="Times New Roman"/>
        </w:rPr>
      </w:pPr>
    </w:p>
    <w:p w:rsidR="00AA6C43" w:rsidRDefault="00AA6C43">
      <w:pPr>
        <w:rPr>
          <w:rFonts w:ascii="Times New Roman" w:hAnsi="Times New Roman"/>
        </w:rPr>
      </w:pPr>
    </w:p>
    <w:p w:rsidR="00AA6C43" w:rsidRDefault="00AA6C43">
      <w:pPr>
        <w:rPr>
          <w:rFonts w:ascii="Times New Roman" w:hAnsi="Times New Roman"/>
        </w:rPr>
      </w:pPr>
      <w:r>
        <w:object w:dxaOrig="14265" w:dyaOrig="9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344pt" o:ole="">
            <v:imagedata r:id="rId18" o:title=""/>
          </v:shape>
          <o:OLEObject Type="Embed" ProgID="Word.Document.8" ShapeID="_x0000_i1025" DrawAspect="Content" ObjectID="_1560150989" r:id="rId19"/>
        </w:object>
      </w:r>
    </w:p>
    <w:p w:rsidR="00AA6C43" w:rsidRDefault="00AA6C43">
      <w:pPr>
        <w:jc w:val="center"/>
        <w:rPr>
          <w:rFonts w:ascii="Times New Roman" w:hAnsi="Times New Roman"/>
        </w:rPr>
      </w:pPr>
    </w:p>
    <w:sectPr w:rsidR="00AA6C43">
      <w:headerReference w:type="first" r:id="rId20"/>
      <w:footerReference w:type="first" r:id="rId21"/>
      <w:pgSz w:w="11907" w:h="16840" w:code="9"/>
      <w:pgMar w:top="2160" w:right="1440" w:bottom="1831" w:left="1440" w:header="1009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09" w:rsidRDefault="00985909">
      <w:r>
        <w:separator/>
      </w:r>
    </w:p>
  </w:endnote>
  <w:endnote w:type="continuationSeparator" w:id="0">
    <w:p w:rsidR="00985909" w:rsidRDefault="009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6C43" w:rsidRDefault="00AA6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6C43" w:rsidRDefault="00AA6C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Edition of August 26, 1996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Edition of August 26, 1996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Edition of August 26, 1996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Footer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Edition of August 26,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09" w:rsidRDefault="00985909">
      <w:r>
        <w:separator/>
      </w:r>
    </w:p>
  </w:footnote>
  <w:footnote w:type="continuationSeparator" w:id="0">
    <w:p w:rsidR="00985909" w:rsidRDefault="0098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Pr="001C1F77" w:rsidRDefault="00AA6C43">
    <w:pPr>
      <w:pStyle w:val="Header"/>
      <w:jc w:val="right"/>
      <w:rPr>
        <w:rFonts w:ascii="Arial" w:hAnsi="Arial"/>
        <w:b/>
        <w:sz w:val="16"/>
        <w:lang w:val="de-DE"/>
      </w:rPr>
    </w:pPr>
    <w:r w:rsidRPr="001C1F77">
      <w:rPr>
        <w:rFonts w:ascii="Arial" w:hAnsi="Arial"/>
        <w:b/>
        <w:sz w:val="16"/>
        <w:lang w:val="de-DE"/>
      </w:rPr>
      <w:t>CEPT/ERC/REC 12-03 E</w:t>
    </w:r>
  </w:p>
  <w:p w:rsidR="00AA6C43" w:rsidRPr="001C1F77" w:rsidRDefault="00AA6C43">
    <w:pPr>
      <w:pStyle w:val="Header"/>
      <w:jc w:val="right"/>
      <w:rPr>
        <w:rFonts w:ascii="Arial" w:hAnsi="Arial"/>
        <w:sz w:val="16"/>
        <w:lang w:val="de-DE"/>
      </w:rPr>
    </w:pPr>
    <w:r w:rsidRPr="001C1F77">
      <w:rPr>
        <w:rFonts w:ascii="Arial" w:hAnsi="Arial"/>
        <w:sz w:val="16"/>
        <w:lang w:val="de-DE"/>
      </w:rPr>
      <w:t>Page 1</w:t>
    </w:r>
  </w:p>
  <w:p w:rsidR="00AA6C43" w:rsidRDefault="00AA6C43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Distribution: B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Pr="001C1F77" w:rsidRDefault="00AA6C43">
    <w:pPr>
      <w:pStyle w:val="Header"/>
      <w:rPr>
        <w:rFonts w:ascii="Arial" w:hAnsi="Arial"/>
        <w:b/>
        <w:sz w:val="16"/>
        <w:lang w:val="de-DE"/>
      </w:rPr>
    </w:pPr>
    <w:r w:rsidRPr="001C1F77">
      <w:rPr>
        <w:rFonts w:ascii="Arial" w:hAnsi="Arial"/>
        <w:b/>
        <w:sz w:val="16"/>
        <w:lang w:val="de-DE"/>
      </w:rPr>
      <w:t>CEPT/ERC/REC 12-03 E</w:t>
    </w:r>
  </w:p>
  <w:p w:rsidR="00AA6C43" w:rsidRPr="001C1F77" w:rsidRDefault="00AA6C43">
    <w:pPr>
      <w:pStyle w:val="Header"/>
      <w:rPr>
        <w:rFonts w:ascii="Arial" w:hAnsi="Arial"/>
        <w:sz w:val="16"/>
        <w:lang w:val="de-DE"/>
      </w:rPr>
    </w:pPr>
    <w:r w:rsidRPr="001C1F77">
      <w:rPr>
        <w:rFonts w:ascii="Arial" w:hAnsi="Arial"/>
        <w:sz w:val="16"/>
        <w:lang w:val="de-DE"/>
      </w:rPr>
      <w:t>Page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Header"/>
      <w:jc w:val="right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CEPT/ERC/REC 12-03 E</w:t>
    </w:r>
  </w:p>
  <w:p w:rsidR="00AA6C43" w:rsidRDefault="00AA6C43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Annex A, Page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43" w:rsidRDefault="00AA6C43">
    <w:pPr>
      <w:pStyle w:val="Head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CEPT/ERC/REC 12-03 E</w:t>
    </w:r>
  </w:p>
  <w:p w:rsidR="00AA6C43" w:rsidRDefault="00AA6C4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Annex A, 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C90"/>
    <w:multiLevelType w:val="singleLevel"/>
    <w:tmpl w:val="B66E18A8"/>
    <w:lvl w:ilvl="0">
      <w:start w:val="4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1">
    <w:nsid w:val="1F6D58A7"/>
    <w:multiLevelType w:val="singleLevel"/>
    <w:tmpl w:val="C97AFD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8C12C95"/>
    <w:multiLevelType w:val="singleLevel"/>
    <w:tmpl w:val="06843A28"/>
    <w:lvl w:ilvl="0">
      <w:start w:val="2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3">
    <w:nsid w:val="36E537B6"/>
    <w:multiLevelType w:val="singleLevel"/>
    <w:tmpl w:val="02A26570"/>
    <w:lvl w:ilvl="0">
      <w:start w:val="3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4">
    <w:nsid w:val="467546B9"/>
    <w:multiLevelType w:val="singleLevel"/>
    <w:tmpl w:val="C97AFD0E"/>
    <w:lvl w:ilvl="0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</w:abstractNum>
  <w:abstractNum w:abstractNumId="5">
    <w:nsid w:val="65524925"/>
    <w:multiLevelType w:val="singleLevel"/>
    <w:tmpl w:val="CBBC5FDE"/>
    <w:lvl w:ilvl="0">
      <w:start w:val="1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6">
    <w:nsid w:val="721F4CAE"/>
    <w:multiLevelType w:val="singleLevel"/>
    <w:tmpl w:val="CBBC5FD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774C7DBC"/>
    <w:multiLevelType w:val="singleLevel"/>
    <w:tmpl w:val="C97AFD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proofState w:spelling="clean" w:grammar="clean"/>
  <w:attachedTemplate r:id="rId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A6"/>
    <w:rsid w:val="001C1F77"/>
    <w:rsid w:val="007C56F1"/>
    <w:rsid w:val="00985909"/>
    <w:rsid w:val="009C1EA6"/>
    <w:rsid w:val="00AA6C43"/>
    <w:rsid w:val="00C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sz w:val="22"/>
    </w:rPr>
  </w:style>
  <w:style w:type="paragraph" w:styleId="Heading4">
    <w:name w:val="heading 4"/>
    <w:basedOn w:val="Normal"/>
    <w:next w:val="NormalIndent"/>
    <w:qFormat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-Title">
    <w:name w:val="IN-Title"/>
    <w:basedOn w:val="Normal"/>
    <w:pPr>
      <w:tabs>
        <w:tab w:val="left" w:pos="-1440"/>
        <w:tab w:val="left" w:pos="-720"/>
        <w:tab w:val="left" w:pos="720"/>
        <w:tab w:val="left" w:pos="6480"/>
      </w:tabs>
      <w:spacing w:before="120" w:after="120"/>
    </w:pPr>
    <w:rPr>
      <w:b/>
    </w:rPr>
  </w:style>
  <w:style w:type="paragraph" w:customStyle="1" w:styleId="IN-TitleR">
    <w:name w:val="IN-Title R"/>
    <w:basedOn w:val="IN-Title"/>
    <w:pPr>
      <w:jc w:val="right"/>
    </w:pPr>
  </w:style>
  <w:style w:type="paragraph" w:customStyle="1" w:styleId="B1">
    <w:name w:val="B1"/>
    <w:pPr>
      <w:tabs>
        <w:tab w:val="left" w:pos="567"/>
        <w:tab w:val="left" w:pos="3119"/>
        <w:tab w:val="left" w:pos="3970"/>
      </w:tabs>
      <w:overflowPunct w:val="0"/>
      <w:autoSpaceDE w:val="0"/>
      <w:autoSpaceDN w:val="0"/>
      <w:adjustRightInd w:val="0"/>
      <w:spacing w:line="240" w:lineRule="atLeast"/>
      <w:ind w:left="567" w:hanging="567"/>
      <w:textAlignment w:val="baseline"/>
    </w:pPr>
    <w:rPr>
      <w:rFonts w:ascii="Univers" w:hAnsi="Univers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sz w:val="22"/>
    </w:rPr>
  </w:style>
  <w:style w:type="paragraph" w:styleId="Heading4">
    <w:name w:val="heading 4"/>
    <w:basedOn w:val="Normal"/>
    <w:next w:val="NormalIndent"/>
    <w:qFormat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-Title">
    <w:name w:val="IN-Title"/>
    <w:basedOn w:val="Normal"/>
    <w:pPr>
      <w:tabs>
        <w:tab w:val="left" w:pos="-1440"/>
        <w:tab w:val="left" w:pos="-720"/>
        <w:tab w:val="left" w:pos="720"/>
        <w:tab w:val="left" w:pos="6480"/>
      </w:tabs>
      <w:spacing w:before="120" w:after="120"/>
    </w:pPr>
    <w:rPr>
      <w:b/>
    </w:rPr>
  </w:style>
  <w:style w:type="paragraph" w:customStyle="1" w:styleId="IN-TitleR">
    <w:name w:val="IN-Title R"/>
    <w:basedOn w:val="IN-Title"/>
    <w:pPr>
      <w:jc w:val="right"/>
    </w:pPr>
  </w:style>
  <w:style w:type="paragraph" w:customStyle="1" w:styleId="B1">
    <w:name w:val="B1"/>
    <w:pPr>
      <w:tabs>
        <w:tab w:val="left" w:pos="567"/>
        <w:tab w:val="left" w:pos="3119"/>
        <w:tab w:val="left" w:pos="3970"/>
      </w:tabs>
      <w:overflowPunct w:val="0"/>
      <w:autoSpaceDE w:val="0"/>
      <w:autoSpaceDN w:val="0"/>
      <w:adjustRightInd w:val="0"/>
      <w:spacing w:line="240" w:lineRule="atLeast"/>
      <w:ind w:left="567" w:hanging="567"/>
      <w:textAlignment w:val="baseline"/>
    </w:pPr>
    <w:rPr>
      <w:rFonts w:ascii="Univers" w:hAnsi="Univers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ETSI_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ETSI_IN</Template>
  <TotalTime>0</TotalTime>
  <Pages>4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CEPT Project Team SE19	SE19(94)... / UK</vt:lpstr>
    </vt:vector>
  </TitlesOfParts>
  <Company>ERO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CEPT Project Team SE19	SE19(94)... / UK</dc:title>
  <dc:creator>Steve Bond</dc:creator>
  <cp:lastModifiedBy>Thomas Weber</cp:lastModifiedBy>
  <cp:revision>2</cp:revision>
  <cp:lastPrinted>1996-07-17T12:27:00Z</cp:lastPrinted>
  <dcterms:created xsi:type="dcterms:W3CDTF">2017-06-28T08:30:00Z</dcterms:created>
  <dcterms:modified xsi:type="dcterms:W3CDTF">2017-06-28T08:30:00Z</dcterms:modified>
</cp:coreProperties>
</file>