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68753" w14:textId="77777777" w:rsidR="002155A4" w:rsidRPr="00BF392C" w:rsidRDefault="002155A4" w:rsidP="002155A4">
      <w:pPr>
        <w:jc w:val="center"/>
        <w:rPr>
          <w:b/>
          <w:sz w:val="24"/>
          <w:lang w:val="en-GB"/>
        </w:rPr>
      </w:pPr>
    </w:p>
    <w:p w14:paraId="67E24BEC" w14:textId="77777777" w:rsidR="002155A4" w:rsidRPr="00BF392C" w:rsidRDefault="002155A4" w:rsidP="002155A4">
      <w:pPr>
        <w:jc w:val="center"/>
        <w:rPr>
          <w:b/>
          <w:sz w:val="24"/>
          <w:lang w:val="en-GB"/>
        </w:rPr>
      </w:pPr>
    </w:p>
    <w:p w14:paraId="6F879597" w14:textId="77777777" w:rsidR="002155A4" w:rsidRPr="00BF392C" w:rsidRDefault="002155A4" w:rsidP="002155A4">
      <w:pPr>
        <w:jc w:val="center"/>
        <w:rPr>
          <w:b/>
          <w:sz w:val="24"/>
          <w:lang w:val="en-GB"/>
        </w:rPr>
      </w:pPr>
    </w:p>
    <w:p w14:paraId="3F82C189" w14:textId="77777777" w:rsidR="002155A4" w:rsidRPr="00BF392C" w:rsidRDefault="002155A4" w:rsidP="002155A4">
      <w:pPr>
        <w:jc w:val="center"/>
        <w:rPr>
          <w:b/>
          <w:sz w:val="24"/>
          <w:lang w:val="en-GB"/>
        </w:rPr>
      </w:pPr>
    </w:p>
    <w:p w14:paraId="2C438A30" w14:textId="6065AAE3" w:rsidR="008A41D2" w:rsidRPr="00BF392C" w:rsidRDefault="008A41D2" w:rsidP="008A41D2">
      <w:pPr>
        <w:rPr>
          <w:lang w:val="en-GB"/>
        </w:rPr>
      </w:pPr>
    </w:p>
    <w:p w14:paraId="36191227" w14:textId="6065AAE3" w:rsidR="008A41D2" w:rsidRPr="00BF392C" w:rsidRDefault="008A41D2" w:rsidP="008A41D2">
      <w:pPr>
        <w:jc w:val="center"/>
        <w:rPr>
          <w:b/>
          <w:sz w:val="24"/>
          <w:lang w:val="en-GB"/>
        </w:rPr>
      </w:pPr>
      <w:r w:rsidRPr="00BF392C">
        <w:rPr>
          <w:b/>
          <w:noProof/>
          <w:sz w:val="24"/>
          <w:szCs w:val="20"/>
          <w:lang w:val="da-DK" w:eastAsia="da-DK"/>
        </w:rPr>
        <mc:AlternateContent>
          <mc:Choice Requires="wpg">
            <w:drawing>
              <wp:anchor distT="0" distB="0" distL="114300" distR="114300" simplePos="0" relativeHeight="251663360" behindDoc="0" locked="0" layoutInCell="1" allowOverlap="1" wp14:anchorId="51866139" wp14:editId="2B4CAF7C">
                <wp:simplePos x="0" y="0"/>
                <wp:positionH relativeFrom="column">
                  <wp:posOffset>-720090</wp:posOffset>
                </wp:positionH>
                <wp:positionV relativeFrom="paragraph">
                  <wp:posOffset>69850</wp:posOffset>
                </wp:positionV>
                <wp:extent cx="7564120" cy="8268970"/>
                <wp:effectExtent l="0" t="0" r="5080" b="0"/>
                <wp:wrapNone/>
                <wp:docPr id="1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4"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97DFF" w14:textId="15EF92D1" w:rsidR="008A41D2" w:rsidRDefault="008A41D2" w:rsidP="008A41D2">
                              <w:pPr>
                                <w:rPr>
                                  <w:color w:val="57433E"/>
                                  <w:sz w:val="68"/>
                                </w:rPr>
                              </w:pPr>
                              <w:r>
                                <w:rPr>
                                  <w:color w:val="FFFFFF"/>
                                  <w:sz w:val="68"/>
                                </w:rPr>
                                <w:t xml:space="preserve">ECC Decision </w:t>
                              </w:r>
                              <w:r>
                                <w:rPr>
                                  <w:color w:val="887E6E"/>
                                  <w:sz w:val="68"/>
                                </w:rPr>
                                <w:t>(18)06</w:t>
                              </w:r>
                            </w:p>
                          </w:txbxContent>
                        </wps:txbx>
                        <wps:bodyPr rot="0" vert="horz" wrap="square" lIns="2880000" tIns="540000" rIns="72000" bIns="45720" anchor="t" anchorCtr="0" upright="1">
                          <a:noAutofit/>
                        </wps:bodyPr>
                      </wps:wsp>
                      <wpg:grpSp>
                        <wpg:cNvPr id="16" name="Group 26"/>
                        <wpg:cNvGrpSpPr>
                          <a:grpSpLocks/>
                        </wpg:cNvGrpSpPr>
                        <wpg:grpSpPr bwMode="auto">
                          <a:xfrm>
                            <a:off x="1739" y="3125"/>
                            <a:ext cx="1735" cy="1735"/>
                            <a:chOff x="954" y="3125"/>
                            <a:chExt cx="1735" cy="1735"/>
                          </a:xfrm>
                        </wpg:grpSpPr>
                        <wps:wsp>
                          <wps:cNvPr id="1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6336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hdBQQAAA8SAAAOAAAAZHJzL2Uyb0RvYy54bWzsWNtu4zYQfS/QfyD07uhiybaEOIvcHBRI&#10;20V3+wG0RF1QiVRJOXJa9N87M5RkO+mi222226Lxg0yKF82cmXOG0vmbfVOzB6FNpeTa8c88hwmZ&#10;qqySxdr58f1mtnKY6bjMeK2kWDuPwjhvLr7+6rxvExGoUtWZ0Aw2kSbp27VTdl2buK5JS9Fwc6Za&#10;IWEwV7rhHXR14Waa97B7U7uB5y3cXums1SoVxsDdGzvoXND+eS7S7vs8N6Jj9doB2zq6arpu8epe&#10;nPOk0Lwtq3Qwg3+CFQ2vJDx02uqGd5ztdPVsq6ZKtTIq785S1bgqz6tUkA/gje898eZOq11LvhRJ&#10;X7QTTADtE5w+edv0u4e3mlUZxC5wmOQNxIgey4IVgtO3RQJz7nT7rn2rrYfQvFfpTwaG3afj2C/s&#10;ZLbtv1UZ7Md3nSJw9rlucAtwm+0pBo9TDMS+YyncXEaL0A8gVCmMrYLFKl4OUUpLCOVhXbD0poHb&#10;YbHvx+gGLvXnXhCgBy5P7HPJ1sE2dAwSzhwwNX8P03clbwWFyiBeI6bhiOkPkIlcFrVgA6w0bcTU&#10;WECZVNclzBKXWqu+FDwDq3xyAs2Ffe0C7BgIx58ivHAYQhGF89hm+ogyAOXBIAIVrOYnMPGk1aa7&#10;E6ph2Fg7Gkyn8PGHe9NZRMcpGE2j6irbVHVNHV1sr2vNHjgQ7iYI5sHlsPvJtFriZKlwmd3R3gH7&#10;4Bk4hpYSgX6FkIbeVRDPNovVchZuwmgGObGaeX58FS+8MA5vNr+hgX6YlFWWCXlfSTGS2Q8/LrCD&#10;rFgaEp1Zv3biKIjI9xPrzbGTHv3+yMmm6kDb6qqBRJ4m8QTjeiszcJsnHa9q23ZPzae8BQzGf0IF&#10;MtgG3qbvVmWPkARaQZCAMKDC0CiV/sVhPSja2jE/77gWDqu/kZBIsR+GKIHUiUK0yGGaekuQUuhs&#10;qRNG0HUYlynstXa6sXndWd3ctboqSniUT8hIdQn8zivKDDTQmkXaQBT7p7gWjVx7j7lzpfaMkv6I&#10;Oazbw+3R8M9FOsAOaTXJE1qDynbMORC5V9KJsZb/l0jX7bd7oO4h0T+af8GKVOALMXAoy2g5VfSx&#10;QkEVOKn6C8zLp1UdzzUvVfX9JRQjZMjcB20lFZwYspwDial6Y4vGpqofR1BMT5al5e1IrWcLv2jV&#10;X46YHqp+QHw/0iJU/2cKZFqotahPL3MSsKmJSoTyjk8cTl7PsfxwCCYkX/BgsKHfoIAnpfX1YPB6&#10;MDh+AfxLLzYfOITDK6iVuCM6krr8W+gIB1ygPGpbGJJO2OOvPTQEwznd96EFkvg5+Bgtw/n89pWP&#10;//eD+uEVmY7v9NWBMm74QoKfNY77NOvwHefidwAAAP//AwBQSwMEFAAGAAgAAAAhAFhaMPriAAAA&#10;DQEAAA8AAABkcnMvZG93bnJldi54bWxMj0FLw0AQhe+C/2EZwVu72UatxGxKKeqpCLaCeNtmp0lo&#10;djZkt0n6752e9DaP9/HmvXw1uVYM2IfGkwY1T0Agld42VGn42r/NnkGEaMia1hNquGCAVXF7k5vM&#10;+pE+cdjFSnAIhcxoqGPsMilDWaMzYe47JPaOvncmsuwraXszcrhr5SJJnqQzDfGH2nS4qbE87c5O&#10;w/toxnWqXoft6bi5/OwfP763CrW+v5vWLyAiTvEPhmt9rg4Fdzr4M9kgWg0zpdIHZtlRPOpKJMsl&#10;rznwlap0AbLI5f8VxS8AAAD//wMAUEsBAi0AFAAGAAgAAAAhALaDOJL+AAAA4QEAABMAAAAAAAAA&#10;AAAAAAAAAAAAAFtDb250ZW50X1R5cGVzXS54bWxQSwECLQAUAAYACAAAACEAOP0h/9YAAACUAQAA&#10;CwAAAAAAAAAAAAAAAAAvAQAAX3JlbHMvLnJlbHNQSwECLQAUAAYACAAAACEAVUYIXQUEAAAPEgAA&#10;DgAAAAAAAAAAAAAAAAAuAgAAZHJzL2Uyb0RvYy54bWxQSwECLQAUAAYACAAAACEAWFow+uIAAAAN&#10;AQAADwAAAAAAAAAAAAAAAABfBgAAZHJzL2Rvd25yZXYueG1sUEsFBgAAAAAEAAQA8wAAAG4HAAAA&#10;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SEMIA&#10;AADbAAAADwAAAGRycy9kb3ducmV2LnhtbERPTWvCQBC9C/0Pywi9hLppK0GiqxRBzLFN9NDbkB2T&#10;YHY2za5J/PduodDbPN7nbHaTacVAvWssK3hdxCCIS6sbrhScisPLCoTzyBpby6TgTg5226fZBlNt&#10;R/6iIfeVCCHsUlRQe9+lUrqyJoNuYTviwF1sb9AH2FdS9ziGcNPKtzhOpMGGQ0ONHe1rKq/5zShY&#10;JT/nJEs+m31xjKLi5rPvd5Mp9TyfPtYgPE3+X/znznSYv4TfX8I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NIQwgAAANsAAAAPAAAAAAAAAAAAAAAAAJgCAABkcnMvZG93&#10;bnJldi54bWxQSwUGAAAAAAQABAD1AAAAhwM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2XXsIA&#10;AADbAAAADwAAAGRycy9kb3ducmV2LnhtbERPTWvCQBC9F/wPywje6iaSFhtdRSwB6cGibQ/ehuyY&#10;BLOzYXer8d+7guBtHu9z5svetOJMzjeWFaTjBARxaXXDlYLfn+J1CsIHZI2tZVJwJQ/LxeBljrm2&#10;F97ReR8qEUPY56igDqHLpfRlTQb92HbEkTtaZzBE6CqpHV5iuGnlJEnepcGGY0ONHa1rKk/7f6MA&#10;d4evbfbZbj6y9XdRpU2Kkv6UGg371QxEoD48xQ/3Rsf5b3D/JR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ZdewgAAANsAAAAPAAAAAAAAAAAAAAAAAJgCAABkcnMvZG93&#10;bnJldi54bWxQSwUGAAAAAAQABAD1AAAAhwMAAAAA&#10;" fillcolor="#d2232a" stroked="f">
                  <v:textbox inset="80mm,15mm,2mm">
                    <w:txbxContent>
                      <w:p w14:paraId="48597DFF" w14:textId="15EF92D1" w:rsidR="008A41D2" w:rsidRDefault="008A41D2" w:rsidP="008A41D2">
                        <w:pPr>
                          <w:rPr>
                            <w:color w:val="57433E"/>
                            <w:sz w:val="68"/>
                          </w:rPr>
                        </w:pPr>
                        <w:r>
                          <w:rPr>
                            <w:color w:val="FFFFFF"/>
                            <w:sz w:val="68"/>
                          </w:rPr>
                          <w:t xml:space="preserve">ECC Decision </w:t>
                        </w:r>
                        <w:r>
                          <w:rPr>
                            <w:color w:val="887E6E"/>
                            <w:sz w:val="68"/>
                          </w:rPr>
                          <w:t>(18)06</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cl7cIA&#10;AADbAAAADwAAAGRycy9kb3ducmV2LnhtbERPS2vCQBC+F/wPywi9FN3UQ5XoKhIphtKLqY/rkB2T&#10;YHY2ZDeP/vtuodDbfHzP2exGU4ueWldZVvA6j0AQ51ZXXCg4f73PViCcR9ZYWyYF3+Rgt508bTDW&#10;duAT9ZkvRAhhF6OC0vsmltLlJRl0c9sQB+5uW4M+wLaQusUhhJtaLqLoTRqsODSU2FBSUv7IOqMg&#10;OiYfL+m4ul7SoSMaTrz8PNyUep6O+zUIT6P/F/+5Ux3mL+H3l3C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yXtwgAAANsAAAAPAAAAAAAAAAAAAAAAAJgCAABkcnMvZG93&#10;bnJldi54bWxQSwUGAAAAAAQABAD1AAAAhwM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pUsIA&#10;AADbAAAADwAAAGRycy9kb3ducmV2LnhtbESPQYvCQAyF74L/YYjgRXSqiyLVUZYFwZusXRa8hU5s&#10;SzuZ2hm1/vvNYcFbwnt578t237tGPagLlWcD81kCijj3tuLCwE92mK5BhYhssfFMBl4UYL8bDraY&#10;Wv/kb3qcY6EkhEOKBsoY21TrkJfkMMx8Syza1XcOo6xdoW2HTwl3jV4kyUo7rFgaSmzpq6S8Pt+d&#10;AaLlxzpbNBny5Tapa/t7PJEzZjzqPzegIvXxbf6/PlrBF1j5RQb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elSwgAAANsAAAAPAAAAAAAAAAAAAAAAAJgCAABkcnMvZG93&#10;bnJldi54bWxQSwUGAAAAAAQABAD1AAAAhwMAAAAA&#10;" fillcolor="#57433e" stroked="f">
                    <o:lock v:ext="edit" aspectratio="t"/>
                    <v:textbox inset=",15mm,2mm"/>
                  </v:rect>
                </v:group>
              </v:group>
            </w:pict>
          </mc:Fallback>
        </mc:AlternateContent>
      </w:r>
    </w:p>
    <w:p w14:paraId="7ADA3D47" w14:textId="77777777" w:rsidR="008A41D2" w:rsidRPr="00BF392C" w:rsidRDefault="008A41D2" w:rsidP="008A41D2">
      <w:pPr>
        <w:jc w:val="center"/>
        <w:rPr>
          <w:b/>
          <w:sz w:val="24"/>
          <w:lang w:val="en-GB"/>
        </w:rPr>
      </w:pPr>
    </w:p>
    <w:p w14:paraId="216DC834" w14:textId="77777777" w:rsidR="008A41D2" w:rsidRPr="00BF392C" w:rsidRDefault="008A41D2" w:rsidP="008A41D2">
      <w:pPr>
        <w:jc w:val="center"/>
        <w:rPr>
          <w:b/>
          <w:sz w:val="24"/>
          <w:lang w:val="en-GB"/>
        </w:rPr>
      </w:pPr>
    </w:p>
    <w:p w14:paraId="0BA62CAA" w14:textId="77777777" w:rsidR="008A41D2" w:rsidRPr="00BF392C" w:rsidRDefault="008A41D2" w:rsidP="008A41D2">
      <w:pPr>
        <w:jc w:val="center"/>
        <w:rPr>
          <w:b/>
          <w:sz w:val="24"/>
          <w:lang w:val="en-GB"/>
        </w:rPr>
      </w:pPr>
    </w:p>
    <w:p w14:paraId="010C2AF6" w14:textId="77777777" w:rsidR="008A41D2" w:rsidRPr="00BF392C" w:rsidRDefault="008A41D2" w:rsidP="008A41D2">
      <w:pPr>
        <w:jc w:val="center"/>
        <w:rPr>
          <w:b/>
          <w:sz w:val="24"/>
          <w:lang w:val="en-GB"/>
        </w:rPr>
      </w:pPr>
    </w:p>
    <w:p w14:paraId="4AD8D17E" w14:textId="77777777" w:rsidR="008A41D2" w:rsidRPr="00BF392C" w:rsidRDefault="008A41D2" w:rsidP="008A41D2">
      <w:pPr>
        <w:jc w:val="center"/>
        <w:rPr>
          <w:b/>
          <w:sz w:val="24"/>
          <w:lang w:val="en-GB"/>
        </w:rPr>
      </w:pPr>
    </w:p>
    <w:p w14:paraId="7AE9BC77" w14:textId="77777777" w:rsidR="008A41D2" w:rsidRPr="00BF392C" w:rsidRDefault="008A41D2" w:rsidP="008A41D2">
      <w:pPr>
        <w:jc w:val="center"/>
        <w:rPr>
          <w:b/>
          <w:sz w:val="24"/>
          <w:lang w:val="en-GB"/>
        </w:rPr>
      </w:pPr>
    </w:p>
    <w:p w14:paraId="73F029E6" w14:textId="77777777" w:rsidR="008A41D2" w:rsidRPr="00BF392C" w:rsidRDefault="008A41D2" w:rsidP="008A41D2">
      <w:pPr>
        <w:jc w:val="center"/>
        <w:rPr>
          <w:b/>
          <w:sz w:val="24"/>
          <w:lang w:val="en-GB"/>
        </w:rPr>
      </w:pPr>
    </w:p>
    <w:p w14:paraId="5F844261" w14:textId="77777777" w:rsidR="008A41D2" w:rsidRPr="00BF392C" w:rsidRDefault="008A41D2" w:rsidP="008A41D2">
      <w:pPr>
        <w:jc w:val="center"/>
        <w:rPr>
          <w:b/>
          <w:sz w:val="24"/>
          <w:lang w:val="en-GB"/>
        </w:rPr>
      </w:pPr>
    </w:p>
    <w:p w14:paraId="6FF37DBE" w14:textId="77777777" w:rsidR="008A41D2" w:rsidRPr="00BF392C" w:rsidRDefault="008A41D2" w:rsidP="008A41D2">
      <w:pPr>
        <w:jc w:val="center"/>
        <w:rPr>
          <w:b/>
          <w:sz w:val="24"/>
          <w:lang w:val="en-GB"/>
        </w:rPr>
      </w:pPr>
    </w:p>
    <w:p w14:paraId="121266AD" w14:textId="77777777" w:rsidR="002155A4" w:rsidRPr="00BF392C" w:rsidRDefault="002155A4" w:rsidP="002155A4">
      <w:pPr>
        <w:rPr>
          <w:lang w:val="en-GB"/>
        </w:rPr>
      </w:pPr>
    </w:p>
    <w:p w14:paraId="1406134D" w14:textId="77777777" w:rsidR="002155A4" w:rsidRPr="00BF392C" w:rsidRDefault="002155A4" w:rsidP="002155A4">
      <w:pPr>
        <w:rPr>
          <w:lang w:val="en-GB"/>
        </w:rPr>
      </w:pPr>
    </w:p>
    <w:p w14:paraId="6F167251" w14:textId="77777777" w:rsidR="002155A4" w:rsidRPr="00BF392C" w:rsidRDefault="002155A4" w:rsidP="002155A4">
      <w:pPr>
        <w:rPr>
          <w:lang w:val="en-GB"/>
        </w:rPr>
      </w:pPr>
    </w:p>
    <w:p w14:paraId="03EC71B9" w14:textId="77777777" w:rsidR="002155A4" w:rsidRPr="00BF392C" w:rsidRDefault="002155A4" w:rsidP="002155A4">
      <w:pPr>
        <w:rPr>
          <w:lang w:val="en-GB"/>
        </w:rPr>
      </w:pPr>
    </w:p>
    <w:p w14:paraId="6D688F4D" w14:textId="77777777" w:rsidR="002155A4" w:rsidRPr="00BF392C" w:rsidRDefault="002155A4" w:rsidP="002155A4">
      <w:pPr>
        <w:rPr>
          <w:lang w:val="en-GB"/>
        </w:rPr>
      </w:pPr>
    </w:p>
    <w:p w14:paraId="60A95E94" w14:textId="77777777" w:rsidR="002155A4" w:rsidRPr="00BF392C" w:rsidRDefault="002155A4" w:rsidP="002155A4">
      <w:pPr>
        <w:rPr>
          <w:lang w:val="en-GB"/>
        </w:rPr>
      </w:pPr>
    </w:p>
    <w:p w14:paraId="3EC65CC3" w14:textId="77777777" w:rsidR="002155A4" w:rsidRPr="00BF392C" w:rsidRDefault="002155A4" w:rsidP="002155A4">
      <w:pPr>
        <w:rPr>
          <w:lang w:val="en-GB"/>
        </w:rPr>
      </w:pPr>
    </w:p>
    <w:p w14:paraId="155BA6B1" w14:textId="77777777" w:rsidR="002155A4" w:rsidRPr="00BF392C" w:rsidRDefault="002155A4" w:rsidP="002155A4">
      <w:pPr>
        <w:rPr>
          <w:lang w:val="en-GB"/>
        </w:rPr>
      </w:pPr>
    </w:p>
    <w:p w14:paraId="48F15FB2" w14:textId="05E4D023" w:rsidR="003F3DD8" w:rsidRPr="00BF392C" w:rsidRDefault="00A91EB7" w:rsidP="002155A4">
      <w:pPr>
        <w:rPr>
          <w:lang w:val="en-GB"/>
        </w:rPr>
      </w:pPr>
      <w:r w:rsidRPr="00BF392C">
        <w:rPr>
          <w:noProof/>
          <w:szCs w:val="20"/>
          <w:lang w:val="da-DK" w:eastAsia="da-DK"/>
        </w:rPr>
        <w:drawing>
          <wp:anchor distT="0" distB="0" distL="114300" distR="114300" simplePos="0" relativeHeight="251631104" behindDoc="0" locked="0" layoutInCell="1" allowOverlap="1" wp14:anchorId="48F160A7" wp14:editId="4EEE61BE">
            <wp:simplePos x="0" y="0"/>
            <wp:positionH relativeFrom="page">
              <wp:posOffset>725170</wp:posOffset>
            </wp:positionH>
            <wp:positionV relativeFrom="page">
              <wp:posOffset>538701</wp:posOffset>
            </wp:positionV>
            <wp:extent cx="889000" cy="889000"/>
            <wp:effectExtent l="0" t="0" r="6350" b="6350"/>
            <wp:wrapNone/>
            <wp:docPr id="4" name="Picture 4"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9"/>
                    <a:srcRect/>
                    <a:stretch>
                      <a:fillRect/>
                    </a:stretch>
                  </pic:blipFill>
                  <pic:spPr bwMode="auto">
                    <a:xfrm>
                      <a:off x="0" y="0"/>
                      <a:ext cx="889000" cy="889000"/>
                    </a:xfrm>
                    <a:prstGeom prst="rect">
                      <a:avLst/>
                    </a:prstGeom>
                    <a:noFill/>
                  </pic:spPr>
                </pic:pic>
              </a:graphicData>
            </a:graphic>
          </wp:anchor>
        </w:drawing>
      </w:r>
      <w:r w:rsidRPr="00BF392C">
        <w:rPr>
          <w:rFonts w:cs="Arial"/>
          <w:noProof/>
          <w:lang w:val="da-DK" w:eastAsia="da-DK"/>
        </w:rPr>
        <w:drawing>
          <wp:anchor distT="0" distB="0" distL="114300" distR="114300" simplePos="0" relativeHeight="251632128" behindDoc="0" locked="0" layoutInCell="1" allowOverlap="1" wp14:anchorId="48F160A9" wp14:editId="2A288693">
            <wp:simplePos x="0" y="0"/>
            <wp:positionH relativeFrom="page">
              <wp:posOffset>5512656</wp:posOffset>
            </wp:positionH>
            <wp:positionV relativeFrom="page">
              <wp:posOffset>747395</wp:posOffset>
            </wp:positionV>
            <wp:extent cx="1461770" cy="546100"/>
            <wp:effectExtent l="0" t="0" r="5080" b="6350"/>
            <wp:wrapNone/>
            <wp:docPr id="21" name="Picture 2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0"/>
                    <a:srcRect/>
                    <a:stretch>
                      <a:fillRect/>
                    </a:stretch>
                  </pic:blipFill>
                  <pic:spPr bwMode="auto">
                    <a:xfrm>
                      <a:off x="0" y="0"/>
                      <a:ext cx="1461770" cy="546100"/>
                    </a:xfrm>
                    <a:prstGeom prst="rect">
                      <a:avLst/>
                    </a:prstGeom>
                    <a:noFill/>
                  </pic:spPr>
                </pic:pic>
              </a:graphicData>
            </a:graphic>
          </wp:anchor>
        </w:drawing>
      </w:r>
    </w:p>
    <w:p w14:paraId="48F15FB3" w14:textId="388F6C81" w:rsidR="003F3DD8" w:rsidRPr="00BF392C" w:rsidRDefault="00A91EB7">
      <w:pPr>
        <w:pStyle w:val="Reporttitledescription"/>
        <w:rPr>
          <w:color w:val="auto"/>
          <w:lang w:val="en-GB"/>
        </w:rPr>
      </w:pPr>
      <w:r w:rsidRPr="00BF392C">
        <w:rPr>
          <w:color w:val="auto"/>
          <w:lang w:val="en-GB"/>
        </w:rPr>
        <w:t xml:space="preserve">Harmonised technical conditions for Mobile/Fixed Communications Networks (MFCN) in the band </w:t>
      </w:r>
      <w:r w:rsidRPr="00BF392C">
        <w:rPr>
          <w:color w:val="auto"/>
          <w:lang w:val="en-GB"/>
        </w:rPr>
        <w:br/>
        <w:t>24.25-27.5 GHz</w:t>
      </w:r>
    </w:p>
    <w:p w14:paraId="48F15FB4" w14:textId="7873B8C9" w:rsidR="003F3DD8" w:rsidRPr="00BF392C" w:rsidRDefault="00020424">
      <w:pPr>
        <w:pStyle w:val="Reporttitledescription"/>
        <w:rPr>
          <w:b/>
          <w:color w:val="auto"/>
          <w:sz w:val="18"/>
          <w:lang w:val="en-GB"/>
        </w:rPr>
      </w:pPr>
      <w:r>
        <w:rPr>
          <w:b/>
          <w:color w:val="auto"/>
          <w:sz w:val="18"/>
          <w:lang w:val="en-GB"/>
        </w:rPr>
        <w:fldChar w:fldCharType="begin">
          <w:ffData>
            <w:name w:val=""/>
            <w:enabled/>
            <w:calcOnExit w:val="0"/>
            <w:textInput>
              <w:default w:val="Approved 06 July 2018 "/>
            </w:textInput>
          </w:ffData>
        </w:fldChar>
      </w:r>
      <w:r>
        <w:rPr>
          <w:b/>
          <w:color w:val="auto"/>
          <w:sz w:val="18"/>
          <w:lang w:val="en-GB"/>
        </w:rPr>
        <w:instrText xml:space="preserve"> FORMTEXT </w:instrText>
      </w:r>
      <w:r>
        <w:rPr>
          <w:b/>
          <w:color w:val="auto"/>
          <w:sz w:val="18"/>
          <w:lang w:val="en-GB"/>
        </w:rPr>
      </w:r>
      <w:r>
        <w:rPr>
          <w:b/>
          <w:color w:val="auto"/>
          <w:sz w:val="18"/>
          <w:lang w:val="en-GB"/>
        </w:rPr>
        <w:fldChar w:fldCharType="separate"/>
      </w:r>
      <w:r>
        <w:rPr>
          <w:b/>
          <w:noProof/>
          <w:color w:val="auto"/>
          <w:sz w:val="18"/>
          <w:lang w:val="en-GB"/>
        </w:rPr>
        <w:t xml:space="preserve">Approved 06 July 2018 </w:t>
      </w:r>
      <w:r>
        <w:rPr>
          <w:b/>
          <w:color w:val="auto"/>
          <w:sz w:val="18"/>
          <w:lang w:val="en-GB"/>
        </w:rPr>
        <w:fldChar w:fldCharType="end"/>
      </w:r>
    </w:p>
    <w:p w14:paraId="48F15FB5" w14:textId="77777777" w:rsidR="003F3DD8" w:rsidRPr="00BF392C" w:rsidRDefault="003F3DD8">
      <w:pPr>
        <w:pStyle w:val="Reporttitledescription"/>
        <w:rPr>
          <w:b/>
          <w:color w:val="auto"/>
          <w:sz w:val="18"/>
          <w:lang w:val="en-GB"/>
        </w:rPr>
      </w:pPr>
    </w:p>
    <w:p w14:paraId="48F15FB6" w14:textId="77777777" w:rsidR="003F3DD8" w:rsidRPr="00BF392C" w:rsidRDefault="00A91EB7">
      <w:pPr>
        <w:rPr>
          <w:rFonts w:cs="Arial"/>
          <w:b/>
          <w:bCs/>
          <w:caps/>
          <w:color w:val="D2232A"/>
          <w:kern w:val="32"/>
          <w:szCs w:val="32"/>
          <w:lang w:val="en-GB"/>
        </w:rPr>
      </w:pPr>
      <w:r w:rsidRPr="00BF392C">
        <w:rPr>
          <w:lang w:val="en-GB"/>
        </w:rPr>
        <w:br w:type="page"/>
      </w:r>
    </w:p>
    <w:p w14:paraId="48F15FB7" w14:textId="77777777" w:rsidR="003F3DD8" w:rsidRPr="00BF392C" w:rsidRDefault="00A91EB7">
      <w:pPr>
        <w:pStyle w:val="Heading1"/>
      </w:pPr>
      <w:r w:rsidRPr="00BF392C">
        <w:lastRenderedPageBreak/>
        <w:t xml:space="preserve">explanatory memorandum </w:t>
      </w:r>
    </w:p>
    <w:p w14:paraId="48F15FB8" w14:textId="77777777" w:rsidR="003F3DD8" w:rsidRPr="00BF392C" w:rsidRDefault="00A91EB7">
      <w:pPr>
        <w:pStyle w:val="Heading2"/>
        <w:rPr>
          <w:lang w:val="en-GB"/>
        </w:rPr>
      </w:pPr>
      <w:r w:rsidRPr="00BF392C">
        <w:rPr>
          <w:lang w:val="en-GB"/>
        </w:rPr>
        <w:t xml:space="preserve">INTRODUCTION </w:t>
      </w:r>
    </w:p>
    <w:p w14:paraId="48F15FB9" w14:textId="77777777" w:rsidR="003F3DD8" w:rsidRPr="00BF392C" w:rsidRDefault="00A91EB7">
      <w:pPr>
        <w:pStyle w:val="ECCParagraph"/>
      </w:pPr>
      <w:r w:rsidRPr="00BF392C">
        <w:t>This ECC Decision on harmonised technical conditions for mobile/fixed communications networks</w:t>
      </w:r>
      <w:r w:rsidRPr="00BF392C">
        <w:rPr>
          <w:bCs/>
        </w:rPr>
        <w:t xml:space="preserve"> (MFCN) in the 26 GHz (24.25-27.5 GHz) band</w:t>
      </w:r>
      <w:r w:rsidRPr="00BF392C">
        <w:t xml:space="preserve"> reflects the objective of CEPT to harmonise the 24.25-27.5 GHz band for Europe for 5G.</w:t>
      </w:r>
    </w:p>
    <w:p w14:paraId="48F15FBA" w14:textId="77777777" w:rsidR="003F3DD8" w:rsidRPr="00BF392C" w:rsidRDefault="00A91EB7">
      <w:pPr>
        <w:pStyle w:val="ECCParagraph"/>
      </w:pPr>
      <w:r w:rsidRPr="00BF392C">
        <w:t>Studies have taken into account the compatibility with and protection of all existing services, including their future deployments, in the same and adjacent frequency bands.</w:t>
      </w:r>
    </w:p>
    <w:p w14:paraId="48F15FBB" w14:textId="77777777" w:rsidR="003F3DD8" w:rsidRPr="00BF392C" w:rsidRDefault="00A91EB7">
      <w:pPr>
        <w:pStyle w:val="Heading2"/>
        <w:rPr>
          <w:lang w:val="en-GB"/>
        </w:rPr>
      </w:pPr>
      <w:r w:rsidRPr="00BF392C">
        <w:rPr>
          <w:lang w:val="en-GB"/>
        </w:rPr>
        <w:t xml:space="preserve">BACKGROUND </w:t>
      </w:r>
    </w:p>
    <w:p w14:paraId="48F15FBC" w14:textId="6AD4830F" w:rsidR="003F3DD8" w:rsidRPr="00BF392C" w:rsidRDefault="00A91EB7">
      <w:pPr>
        <w:pStyle w:val="ECCParagraph"/>
      </w:pPr>
      <w:r w:rsidRPr="00BF392C">
        <w:t xml:space="preserve">CEPT recognises the importance of a harmonised frequency arrangement for MFCN and the need of common and minimal Least Restrictive Technical Conditions (LRTC) for MFCN in the band </w:t>
      </w:r>
      <w:r w:rsidRPr="00BF392C">
        <w:rPr>
          <w:bCs/>
        </w:rPr>
        <w:t xml:space="preserve">24.25-27.5 GHz, including </w:t>
      </w:r>
      <w:proofErr w:type="gramStart"/>
      <w:r w:rsidRPr="00BF392C">
        <w:rPr>
          <w:bCs/>
        </w:rPr>
        <w:t>to ensure</w:t>
      </w:r>
      <w:proofErr w:type="gramEnd"/>
      <w:r w:rsidRPr="00BF392C">
        <w:rPr>
          <w:bCs/>
        </w:rPr>
        <w:t xml:space="preserve"> protection of </w:t>
      </w:r>
      <w:r w:rsidRPr="00BF392C">
        <w:t xml:space="preserve">other services and applications. </w:t>
      </w:r>
    </w:p>
    <w:p w14:paraId="48F15FBD" w14:textId="77777777" w:rsidR="003F3DD8" w:rsidRPr="00BF392C" w:rsidRDefault="00A91EB7">
      <w:pPr>
        <w:pStyle w:val="ECCParagraph"/>
      </w:pPr>
      <w:r w:rsidRPr="00BF392C">
        <w:t>The following principles have been considered to define the MFCN frequency arrangement:</w:t>
      </w:r>
    </w:p>
    <w:p w14:paraId="48F15FBE" w14:textId="77777777" w:rsidR="003F3DD8" w:rsidRPr="00BF392C" w:rsidRDefault="00A91EB7">
      <w:pPr>
        <w:pStyle w:val="ECCParBulleted"/>
        <w:numPr>
          <w:ilvl w:val="0"/>
          <w:numId w:val="27"/>
        </w:numPr>
      </w:pPr>
      <w:r w:rsidRPr="00BF392C">
        <w:t>Facilitating roaming and cross-border coordination to achieve global economies of scale for equipment;</w:t>
      </w:r>
    </w:p>
    <w:p w14:paraId="48F15FBF" w14:textId="77777777" w:rsidR="003F3DD8" w:rsidRPr="00BF392C" w:rsidRDefault="00A91EB7">
      <w:pPr>
        <w:pStyle w:val="ECCParBulleted"/>
        <w:numPr>
          <w:ilvl w:val="0"/>
          <w:numId w:val="27"/>
        </w:numPr>
        <w:jc w:val="left"/>
      </w:pPr>
      <w:r w:rsidRPr="00BF392C">
        <w:t>Use of a 200 MHz block size approach which is in line with the mobile systems foreseen to be used in the 26 GHz band;</w:t>
      </w:r>
    </w:p>
    <w:p w14:paraId="48F15FC0" w14:textId="7389DB79" w:rsidR="003F3DD8" w:rsidRPr="00BF392C" w:rsidRDefault="00A91EB7">
      <w:pPr>
        <w:pStyle w:val="ECCParBulleted"/>
        <w:numPr>
          <w:ilvl w:val="0"/>
          <w:numId w:val="27"/>
        </w:numPr>
        <w:spacing w:after="240"/>
        <w:ind w:left="357" w:hanging="357"/>
      </w:pPr>
      <w:r w:rsidRPr="00BF392C">
        <w:t>Spectrum efficiency and high level of flexibility in order to adapt to national circumstances as well as to meet the changing need and demand for capacity in time and geography</w:t>
      </w:r>
      <w:r w:rsidR="00E049A8">
        <w:t>.</w:t>
      </w:r>
    </w:p>
    <w:p w14:paraId="48F15FC1" w14:textId="77777777" w:rsidR="003F3DD8" w:rsidRPr="00BF392C" w:rsidRDefault="00A91EB7" w:rsidP="00E24D2B">
      <w:pPr>
        <w:pStyle w:val="ECCParagraph"/>
      </w:pPr>
      <w:r w:rsidRPr="00BF392C">
        <w:t>The implementation of this ECC Decision will encompass different stages at the national level (e.g. national consultation processes and update of existing authorisations as required) with a varying complexity depending on the legal and regulatory framework of each country. The harmonised technical conditions for MFCN set out in this decision have been developed on the basis that the authorisation regime is expected to be on an individual authorisation basis. Individual authorisation may cover both nationwide licensing and licensing on a smaller geographic basis than nationwide. Further work will be necessary to determine if additional/supplementary technical conditions can be established to facilitate other regimes whilst ensuring protection of the other users of spectrum in this band (EESS/SRS/ISS/FSS).</w:t>
      </w:r>
    </w:p>
    <w:p w14:paraId="48F15FC2" w14:textId="7AB89A79" w:rsidR="003F3DD8" w:rsidRPr="00BF392C" w:rsidRDefault="00A91EB7">
      <w:pPr>
        <w:pStyle w:val="ECCParagraph"/>
      </w:pPr>
      <w:r w:rsidRPr="00BF392C">
        <w:t>In the 26 GHz band, MFCN will support mainly urban and suburban hotspot areas. The deployment of MFCN is expected to target only cells with a small range. Due to the characteristics of this frequency band, there is no expectation that it will be used for contiguous wide/nationwide coverage of MFCN networks areas. There may be a need for a limited nu</w:t>
      </w:r>
      <w:r w:rsidR="00E24D2B" w:rsidRPr="00BF392C">
        <w:t>mber of hotspots in rural areas</w:t>
      </w:r>
      <w:r w:rsidR="003574CF" w:rsidRPr="00BF392C">
        <w:t xml:space="preserve">. </w:t>
      </w:r>
      <w:r w:rsidRPr="00BF392C">
        <w:t>MFCN networks at 26 GHz could be deployed indoor and outdoor.</w:t>
      </w:r>
    </w:p>
    <w:p w14:paraId="48F15FC3" w14:textId="0AB5948A" w:rsidR="003F3DD8" w:rsidRPr="00BF392C" w:rsidRDefault="00A91EB7" w:rsidP="00E24D2B">
      <w:pPr>
        <w:pStyle w:val="ECCParagraph"/>
      </w:pPr>
      <w:r w:rsidRPr="00BF392C">
        <w:t>The protection of the passive Earth Exploration</w:t>
      </w:r>
      <w:r w:rsidR="008B1136">
        <w:t>-</w:t>
      </w:r>
      <w:r w:rsidRPr="00BF392C">
        <w:t>Satellite Service (EESS) requires the introduction of appropriate limits on unwanted emission power in the band 23.6-24 GHz, applying to MFCN operating in the band 24.25-27.5 GHz. Additionally, the protection of Radio Astronomy Service (RAS) observations in the 23.6</w:t>
      </w:r>
      <w:r w:rsidR="00EC43AA">
        <w:t>-</w:t>
      </w:r>
      <w:r w:rsidRPr="00BF392C">
        <w:t xml:space="preserve"> 24.0 GHz band will require the implementation of suitable separation distances between RAS stations and MFCN transmitters on a case-by-case basis.</w:t>
      </w:r>
    </w:p>
    <w:p w14:paraId="48F15FC7" w14:textId="342C4901" w:rsidR="003F3DD8" w:rsidRPr="00BF392C" w:rsidRDefault="00A91EB7">
      <w:pPr>
        <w:pStyle w:val="ECCParagraph"/>
      </w:pPr>
      <w:r w:rsidRPr="00BF392C">
        <w:t xml:space="preserve">Based on the harmonised technical conditions included in this ECC decision, coexistence with satellite data relay systems (including EDRS - European Data Relay System) and with FSS satellite </w:t>
      </w:r>
      <w:r w:rsidR="008B1136">
        <w:t xml:space="preserve">services </w:t>
      </w:r>
      <w:r w:rsidRPr="00BF392C">
        <w:t xml:space="preserve">are feasible when considering assumed technical and operational characteristics for </w:t>
      </w:r>
      <w:r w:rsidR="0032115B">
        <w:t>MFCN</w:t>
      </w:r>
      <w:r w:rsidRPr="00BF392C">
        <w:t xml:space="preserve">. </w:t>
      </w:r>
    </w:p>
    <w:p w14:paraId="48F15FCA" w14:textId="33CD41C9" w:rsidR="003F3DD8" w:rsidRPr="00BF392C" w:rsidRDefault="00A91EB7">
      <w:pPr>
        <w:pStyle w:val="ECCParagraph"/>
      </w:pPr>
      <w:r w:rsidRPr="00BF392C">
        <w:t>A regular assessment of the evolution of MFCN system characteristics, including network deployments, in a timeline consistent with the 5 years review process of the Decision, or sooner if necessary, will provide additional confidence that these LRTC ensure adequate protection of other services, in particular space services.</w:t>
      </w:r>
    </w:p>
    <w:p w14:paraId="48F15FCB" w14:textId="77777777" w:rsidR="003F3DD8" w:rsidRPr="00BF392C" w:rsidRDefault="00A91EB7">
      <w:pPr>
        <w:pStyle w:val="ECCParagraph"/>
      </w:pPr>
      <w:r w:rsidRPr="00BF392C">
        <w:lastRenderedPageBreak/>
        <w:t>In a number of CEPT countries, fixed point-to-point and point-to-multipoint links are in operation in the 24.5-26.5 GHz band. The band is also heavily used in many countries to deploy fixed point-to-point backhaul links for cellular networks and governmental usage.</w:t>
      </w:r>
    </w:p>
    <w:p w14:paraId="48F15FCC" w14:textId="77777777" w:rsidR="003F3DD8" w:rsidRPr="00BF392C" w:rsidRDefault="00A91EB7">
      <w:pPr>
        <w:pStyle w:val="ECCParagraph"/>
      </w:pPr>
      <w:r w:rsidRPr="00BF392C">
        <w:t>Coexistence issues between fixed links and MFCN in the 26 GHz frequency band will be managed at national level or through the cross-border coordination framework and do not impact the harmonised technical conditions as defined in this Decision. A</w:t>
      </w:r>
      <w:r w:rsidRPr="00BF392C">
        <w:rPr>
          <w:szCs w:val="20"/>
        </w:rPr>
        <w:t xml:space="preserve"> “toolbox” will help CEPT administrations in the national decision process supporting introduction of 5G in 26 GHz with FS in operation providing mechanisms which allow for continued FS operation, where necessary</w:t>
      </w:r>
      <w:r w:rsidRPr="00BF392C">
        <w:t>.</w:t>
      </w:r>
    </w:p>
    <w:p w14:paraId="48F15FCD" w14:textId="0FC9EB4F" w:rsidR="003F3DD8" w:rsidRPr="00BF392C" w:rsidRDefault="00A91EB7">
      <w:pPr>
        <w:pStyle w:val="ECCParagraph"/>
      </w:pPr>
      <w:r w:rsidRPr="00BF392C">
        <w:t>CEPT administrations need to maintain, with</w:t>
      </w:r>
      <w:r w:rsidRPr="00BF392C">
        <w:rPr>
          <w:lang w:eastAsia="zh-CN"/>
        </w:rPr>
        <w:t xml:space="preserve"> appropriate provisions in their authorisation for MFCN,</w:t>
      </w:r>
      <w:r w:rsidRPr="00BF392C">
        <w:t xml:space="preserve"> the possibility for existing and future EESS/SRS</w:t>
      </w:r>
      <w:r w:rsidR="005C49AE" w:rsidRPr="00BF392C">
        <w:t xml:space="preserve"> </w:t>
      </w:r>
      <w:r w:rsidRPr="00BF392C">
        <w:t>earth stations in</w:t>
      </w:r>
      <w:r w:rsidR="005C49AE" w:rsidRPr="00BF392C">
        <w:t xml:space="preserve"> </w:t>
      </w:r>
      <w:r w:rsidRPr="00BF392C">
        <w:t xml:space="preserve">the 25.5-27 GHz band and FSS earth stations in the 24.25-25.25 GHz to use their respective bands and to safeguard their future operations taking into account the Radio Regulations. The coexistence of these earth stations with MFCN deployments will be addressed in ECC Recommendations describing methodologies aiming at calculating relevant separation/coordination areas and/or defining any other solutions to ensure the protection of these earth stations. </w:t>
      </w:r>
    </w:p>
    <w:p w14:paraId="697556B1" w14:textId="4542F1EC" w:rsidR="006C31FD" w:rsidRPr="00BF392C" w:rsidRDefault="00A91EB7">
      <w:pPr>
        <w:pStyle w:val="ECCParagraph"/>
      </w:pPr>
      <w:r w:rsidRPr="00BF392C">
        <w:rPr>
          <w:color w:val="000000"/>
        </w:rPr>
        <w:t xml:space="preserve">For cases other than synchronised MFCN operations, </w:t>
      </w:r>
      <w:r w:rsidR="00FA7284">
        <w:rPr>
          <w:color w:val="000000"/>
        </w:rPr>
        <w:t>a</w:t>
      </w:r>
      <w:r w:rsidR="00FA7284" w:rsidRPr="00FA7284">
        <w:rPr>
          <w:color w:val="000000"/>
        </w:rPr>
        <w:t>dministrations may define appropriate mitigation measures to be applied in case of unsynchroni</w:t>
      </w:r>
      <w:r w:rsidR="00EC43AA">
        <w:rPr>
          <w:color w:val="000000"/>
        </w:rPr>
        <w:t>s</w:t>
      </w:r>
      <w:r w:rsidR="00FA7284" w:rsidRPr="00FA7284">
        <w:rPr>
          <w:color w:val="000000"/>
        </w:rPr>
        <w:t>ed or semi-synchroni</w:t>
      </w:r>
      <w:r w:rsidR="00EC43AA">
        <w:rPr>
          <w:color w:val="000000"/>
        </w:rPr>
        <w:t>s</w:t>
      </w:r>
      <w:r w:rsidR="00FA7284" w:rsidRPr="00FA7284">
        <w:rPr>
          <w:color w:val="000000"/>
        </w:rPr>
        <w:t xml:space="preserve">ed operations, taking into account, if available, </w:t>
      </w:r>
      <w:r w:rsidR="00EC43AA">
        <w:rPr>
          <w:color w:val="000000"/>
        </w:rPr>
        <w:t xml:space="preserve">an </w:t>
      </w:r>
      <w:r w:rsidR="00FA7284" w:rsidRPr="00FA7284">
        <w:rPr>
          <w:color w:val="000000"/>
        </w:rPr>
        <w:t>ECC Report on a toolbox for coexistence of MFCN in unsynchroni</w:t>
      </w:r>
      <w:r w:rsidR="00EC43AA">
        <w:rPr>
          <w:color w:val="000000"/>
        </w:rPr>
        <w:t>s</w:t>
      </w:r>
      <w:r w:rsidR="00FA7284" w:rsidRPr="00FA7284">
        <w:rPr>
          <w:color w:val="000000"/>
        </w:rPr>
        <w:t>ed or semi-synchroni</w:t>
      </w:r>
      <w:r w:rsidR="00EC43AA">
        <w:rPr>
          <w:color w:val="000000"/>
        </w:rPr>
        <w:t>s</w:t>
      </w:r>
      <w:r w:rsidR="00FA7284" w:rsidRPr="00FA7284">
        <w:rPr>
          <w:color w:val="000000"/>
        </w:rPr>
        <w:t xml:space="preserve">ed operations. Alternatively, administrations may further develop and use </w:t>
      </w:r>
      <w:r w:rsidR="00EC43AA">
        <w:rPr>
          <w:color w:val="000000"/>
        </w:rPr>
        <w:t xml:space="preserve">an </w:t>
      </w:r>
      <w:r w:rsidR="00FA7284" w:rsidRPr="00FA7284">
        <w:rPr>
          <w:color w:val="000000"/>
        </w:rPr>
        <w:t>appropriate block edge mask at national level.</w:t>
      </w:r>
      <w:r w:rsidR="00FA7284">
        <w:rPr>
          <w:color w:val="000000"/>
        </w:rPr>
        <w:t xml:space="preserve"> </w:t>
      </w:r>
    </w:p>
    <w:p w14:paraId="48F15FCF" w14:textId="77777777" w:rsidR="003F3DD8" w:rsidRPr="00BF392C" w:rsidRDefault="00A91EB7" w:rsidP="00966AD7">
      <w:pPr>
        <w:pStyle w:val="Heading2"/>
        <w:rPr>
          <w:lang w:val="en-GB"/>
        </w:rPr>
      </w:pPr>
      <w:r w:rsidRPr="00BF392C">
        <w:rPr>
          <w:lang w:val="en-GB"/>
        </w:rPr>
        <w:t>REQUIREMENT FOR AN ECC DECISION</w:t>
      </w:r>
    </w:p>
    <w:p w14:paraId="48F15FD0" w14:textId="77777777" w:rsidR="003F3DD8" w:rsidRPr="00BF392C" w:rsidRDefault="00A91EB7">
      <w:pPr>
        <w:pStyle w:val="ECCParagraph"/>
        <w:rPr>
          <w:rFonts w:cs="Arial"/>
        </w:rPr>
      </w:pPr>
      <w:r w:rsidRPr="00BF392C">
        <w:rPr>
          <w:rFonts w:cs="Arial"/>
        </w:rPr>
        <w:t>The ECC recognises that implementation of MFCN including IMT-2020/5G systems in CEPT countries providing high data rate applications in the band 24.25-27.5 GHz based on a harmonised frequency arrangement and least restrictive technical conditions will reduce development and implementation costs of manufacturing equipment and will secure future long term investments by providing economies of scale. A harmonised frequency arrangement will reduce complexity in cross-border coordination. The opportunity to utilise larger channel bandwidths will assist the provision of high data rates.</w:t>
      </w:r>
    </w:p>
    <w:p w14:paraId="48F15FD1" w14:textId="4504FF74" w:rsidR="003F3DD8" w:rsidRPr="00BF392C" w:rsidRDefault="00A91EB7">
      <w:pPr>
        <w:pStyle w:val="ECCParagraph"/>
        <w:rPr>
          <w:rFonts w:cs="Arial"/>
        </w:rPr>
      </w:pPr>
      <w:r w:rsidRPr="00BF392C">
        <w:rPr>
          <w:rFonts w:cs="Arial"/>
        </w:rPr>
        <w:t xml:space="preserve">The ECC recognises that for the continuation of the successful development of MFCN including IMT­2020/5G, the regulatory framework needs to provide the confidence and certainty for industry to make the necessary investment. ECC recognises that administrations need flexibility to adapt their use of the band 24.25-27.5 GHz to national circumstances due to the current fixed links usage. Furthermore, administrations need to </w:t>
      </w:r>
      <w:r w:rsidRPr="00BF392C">
        <w:t>maintain the possibility of existing and future earth stations (EESS/SRS and FSS) to operate</w:t>
      </w:r>
      <w:r w:rsidRPr="00BF392C">
        <w:rPr>
          <w:rFonts w:cs="Arial"/>
        </w:rPr>
        <w:t xml:space="preserve">. </w:t>
      </w:r>
    </w:p>
    <w:p w14:paraId="48F15FD2" w14:textId="4D08F1B9" w:rsidR="003F3DD8" w:rsidRPr="00BF392C" w:rsidRDefault="00A91EB7">
      <w:pPr>
        <w:pStyle w:val="ECCParagraph"/>
      </w:pPr>
      <w:r w:rsidRPr="00BF392C">
        <w:rPr>
          <w:rFonts w:cs="Arial"/>
        </w:rPr>
        <w:t xml:space="preserve">The ECC also recognises the need to include relevant technical conditions for MFCN including IMT-2020/5G to ensure protection of the EESS (passive) sensors in the 23.6-24.0 GHz </w:t>
      </w:r>
      <w:r w:rsidR="006C31FD" w:rsidRPr="00BF392C">
        <w:rPr>
          <w:rFonts w:cs="Arial"/>
        </w:rPr>
        <w:t>band</w:t>
      </w:r>
      <w:r w:rsidR="006C31FD">
        <w:t xml:space="preserve">. </w:t>
      </w:r>
      <w:r w:rsidRPr="00BF392C">
        <w:t>Additionally, the protection of RAS will require the implementation of suitable separation distances between RAS stations and MFCN transmitters on a case-by-case basis.</w:t>
      </w:r>
    </w:p>
    <w:p w14:paraId="48F15FD3" w14:textId="198EE50E" w:rsidR="003F3DD8" w:rsidRPr="00BF392C" w:rsidRDefault="00A91EB7">
      <w:pPr>
        <w:pStyle w:val="Heading1"/>
      </w:pPr>
      <w:r w:rsidRPr="00BF392C">
        <w:lastRenderedPageBreak/>
        <w:t xml:space="preserve">ECC Decision of </w:t>
      </w:r>
      <w:r w:rsidR="000A43DE">
        <w:t>6 July</w:t>
      </w:r>
      <w:r w:rsidRPr="000A43DE">
        <w:t xml:space="preserve"> 2018</w:t>
      </w:r>
      <w:r w:rsidRPr="00BF392C">
        <w:t xml:space="preserve"> on harmonisED TECHNICAL CONDITIONS FOR mobile/fixed communications networks (MFCN) in the band 24.25-27.5 GHz </w:t>
      </w:r>
      <w:r w:rsidR="00A81D92" w:rsidRPr="00172B9E">
        <w:t>(ECC Decision (18)</w:t>
      </w:r>
      <w:r w:rsidR="00A81D92">
        <w:t>06</w:t>
      </w:r>
      <w:r w:rsidR="00A81D92" w:rsidRPr="00172B9E">
        <w:t>)</w:t>
      </w:r>
    </w:p>
    <w:p w14:paraId="48F15FD4" w14:textId="77777777" w:rsidR="003F3DD8" w:rsidRPr="00BF392C" w:rsidRDefault="00A91EB7">
      <w:pPr>
        <w:pStyle w:val="ECCParagraph"/>
      </w:pPr>
      <w:r w:rsidRPr="00BF392C">
        <w:t xml:space="preserve">“The European Conference of Postal and Telecommunications Administrations, </w:t>
      </w:r>
    </w:p>
    <w:p w14:paraId="48F15FD5" w14:textId="77777777" w:rsidR="003F3DD8" w:rsidRPr="00BF392C" w:rsidRDefault="00A91EB7">
      <w:pPr>
        <w:pStyle w:val="ECCParagraph"/>
        <w:rPr>
          <w:i/>
          <w:color w:val="D2232A"/>
        </w:rPr>
      </w:pPr>
      <w:proofErr w:type="gramStart"/>
      <w:r w:rsidRPr="00BF392C">
        <w:rPr>
          <w:i/>
          <w:color w:val="D2232A"/>
        </w:rPr>
        <w:t>considering</w:t>
      </w:r>
      <w:proofErr w:type="gramEnd"/>
      <w:r w:rsidRPr="00BF392C">
        <w:rPr>
          <w:i/>
          <w:color w:val="D2232A"/>
        </w:rPr>
        <w:t xml:space="preserve"> </w:t>
      </w:r>
    </w:p>
    <w:p w14:paraId="48F15FD6" w14:textId="77777777" w:rsidR="003F3DD8" w:rsidRPr="00BF392C" w:rsidRDefault="00A91EB7">
      <w:pPr>
        <w:numPr>
          <w:ilvl w:val="0"/>
          <w:numId w:val="41"/>
        </w:numPr>
        <w:tabs>
          <w:tab w:val="left" w:pos="851"/>
        </w:tabs>
        <w:suppressAutoHyphens/>
        <w:spacing w:before="240"/>
        <w:ind w:left="567" w:hanging="567"/>
        <w:jc w:val="both"/>
        <w:rPr>
          <w:lang w:val="en-GB"/>
        </w:rPr>
      </w:pPr>
      <w:r w:rsidRPr="00BF392C">
        <w:rPr>
          <w:lang w:val="en-GB"/>
        </w:rPr>
        <w:t>that MFCN for the purpose of this Decision includes IMT-2020/5G and other mobile and fixed communications networks;</w:t>
      </w:r>
    </w:p>
    <w:p w14:paraId="48F15FD7" w14:textId="77777777" w:rsidR="003F3DD8" w:rsidRPr="00BF392C" w:rsidRDefault="00A91EB7">
      <w:pPr>
        <w:numPr>
          <w:ilvl w:val="0"/>
          <w:numId w:val="41"/>
        </w:numPr>
        <w:tabs>
          <w:tab w:val="left" w:pos="851"/>
        </w:tabs>
        <w:suppressAutoHyphens/>
        <w:spacing w:before="240"/>
        <w:ind w:left="567" w:hanging="567"/>
        <w:rPr>
          <w:lang w:val="en-GB"/>
        </w:rPr>
      </w:pPr>
      <w:r w:rsidRPr="00BF392C">
        <w:rPr>
          <w:lang w:val="en-GB"/>
        </w:rPr>
        <w:t>that harmonised technical conditions (including a harmonised frequency arrangement) will support the implementation of MFCN in this band and facilitate global roaming, economies of scale and reduce the cost of equipment;</w:t>
      </w:r>
    </w:p>
    <w:p w14:paraId="48F15FD8" w14:textId="77777777" w:rsidR="003F3DD8" w:rsidRPr="00BF392C" w:rsidRDefault="00A91EB7">
      <w:pPr>
        <w:numPr>
          <w:ilvl w:val="0"/>
          <w:numId w:val="41"/>
        </w:numPr>
        <w:tabs>
          <w:tab w:val="left" w:pos="851"/>
        </w:tabs>
        <w:suppressAutoHyphens/>
        <w:spacing w:before="240"/>
        <w:ind w:left="567" w:hanging="567"/>
        <w:rPr>
          <w:lang w:val="en-GB"/>
        </w:rPr>
      </w:pPr>
      <w:r w:rsidRPr="00BF392C">
        <w:rPr>
          <w:lang w:val="en-GB"/>
        </w:rPr>
        <w:t>that the use of contiguous blocks of spectrum for MFCN reduces equipment complexity and provides a more efficient use of spectrum compared to the use of fragmented, non-contiguous blocks of spectrum;</w:t>
      </w:r>
    </w:p>
    <w:p w14:paraId="48F15FD9" w14:textId="77777777" w:rsidR="003F3DD8" w:rsidRPr="00BF392C" w:rsidRDefault="00A91EB7">
      <w:pPr>
        <w:numPr>
          <w:ilvl w:val="0"/>
          <w:numId w:val="41"/>
        </w:numPr>
        <w:tabs>
          <w:tab w:val="left" w:pos="851"/>
        </w:tabs>
        <w:suppressAutoHyphens/>
        <w:spacing w:before="240"/>
        <w:ind w:left="567" w:hanging="567"/>
        <w:rPr>
          <w:lang w:val="en-GB"/>
        </w:rPr>
      </w:pPr>
      <w:r w:rsidRPr="00BF392C">
        <w:rPr>
          <w:color w:val="000000"/>
          <w:spacing w:val="-2"/>
          <w:lang w:val="en-GB" w:eastAsia="bn-IN" w:bidi="bn-IN"/>
        </w:rPr>
        <w:t>that for a single MFCN network a contiguous block of 800-1000 MHz is desirable to enable the full capabilities of IMT-2020/5G systems;</w:t>
      </w:r>
    </w:p>
    <w:p w14:paraId="48F15FDA" w14:textId="77777777" w:rsidR="003F3DD8" w:rsidRPr="00BF392C" w:rsidRDefault="00A91EB7">
      <w:pPr>
        <w:numPr>
          <w:ilvl w:val="0"/>
          <w:numId w:val="41"/>
        </w:numPr>
        <w:tabs>
          <w:tab w:val="left" w:pos="851"/>
        </w:tabs>
        <w:suppressAutoHyphens/>
        <w:spacing w:before="240"/>
        <w:ind w:left="567" w:hanging="567"/>
        <w:rPr>
          <w:lang w:val="en-GB"/>
        </w:rPr>
      </w:pPr>
      <w:r w:rsidRPr="00BF392C">
        <w:rPr>
          <w:lang w:val="en-GB"/>
        </w:rPr>
        <w:t xml:space="preserve">that differences in the market demand for spectrum for MFCN and different authorisations regimes across CEPT countries is likely to lead to different timescales concerning the introduction of MFCN in the band 24.25-27.5 GHz; </w:t>
      </w:r>
    </w:p>
    <w:p w14:paraId="48F15FDB" w14:textId="77777777" w:rsidR="003F3DD8" w:rsidRPr="00BF392C" w:rsidRDefault="00A91EB7">
      <w:pPr>
        <w:numPr>
          <w:ilvl w:val="0"/>
          <w:numId w:val="41"/>
        </w:numPr>
        <w:tabs>
          <w:tab w:val="left" w:pos="851"/>
        </w:tabs>
        <w:suppressAutoHyphens/>
        <w:spacing w:before="240"/>
        <w:ind w:left="567" w:hanging="567"/>
        <w:rPr>
          <w:lang w:val="en-GB"/>
        </w:rPr>
      </w:pPr>
      <w:r w:rsidRPr="00BF392C">
        <w:rPr>
          <w:lang w:val="en-GB"/>
        </w:rPr>
        <w:t>that some administrations may wish to implement MFCN in parts of this frequency band on a progressive basis depending on national market demand;</w:t>
      </w:r>
    </w:p>
    <w:p w14:paraId="48F15FDC" w14:textId="4BB22ED4" w:rsidR="003F3DD8" w:rsidRPr="00BF392C" w:rsidRDefault="00A91EB7">
      <w:pPr>
        <w:numPr>
          <w:ilvl w:val="0"/>
          <w:numId w:val="41"/>
        </w:numPr>
        <w:tabs>
          <w:tab w:val="left" w:pos="851"/>
        </w:tabs>
        <w:suppressAutoHyphens/>
        <w:spacing w:before="240"/>
        <w:ind w:left="567" w:hanging="567"/>
        <w:rPr>
          <w:lang w:val="en-GB"/>
        </w:rPr>
      </w:pPr>
      <w:r w:rsidRPr="00BF392C">
        <w:rPr>
          <w:lang w:val="en-GB"/>
        </w:rPr>
        <w:t>that in many CEPT administrations the 26.5-27.5 GHz frequency range is less used by incumbent systems than the 24.5-26.5 GHz frequency range;</w:t>
      </w:r>
    </w:p>
    <w:p w14:paraId="48F15FDD" w14:textId="77777777" w:rsidR="003F3DD8" w:rsidRPr="00BF392C" w:rsidRDefault="00A91EB7">
      <w:pPr>
        <w:numPr>
          <w:ilvl w:val="0"/>
          <w:numId w:val="41"/>
        </w:numPr>
        <w:tabs>
          <w:tab w:val="left" w:pos="851"/>
        </w:tabs>
        <w:suppressAutoHyphens/>
        <w:spacing w:before="240"/>
        <w:ind w:left="567" w:hanging="567"/>
        <w:rPr>
          <w:lang w:val="en-GB"/>
        </w:rPr>
      </w:pPr>
      <w:r w:rsidRPr="00BF392C">
        <w:rPr>
          <w:lang w:val="en-GB"/>
        </w:rPr>
        <w:t>that therefore, initial MFCN deployments in many CEPT administrations are expected in the 26.5-27.5 GHz frequency range;</w:t>
      </w:r>
    </w:p>
    <w:p w14:paraId="48F15FDE" w14:textId="77777777" w:rsidR="003F3DD8" w:rsidRPr="00BF392C" w:rsidRDefault="00A91EB7">
      <w:pPr>
        <w:numPr>
          <w:ilvl w:val="0"/>
          <w:numId w:val="41"/>
        </w:numPr>
        <w:tabs>
          <w:tab w:val="left" w:pos="851"/>
          <w:tab w:val="left" w:pos="3306"/>
        </w:tabs>
        <w:suppressAutoHyphens/>
        <w:spacing w:before="240"/>
        <w:ind w:left="567" w:hanging="567"/>
        <w:rPr>
          <w:color w:val="000000"/>
          <w:lang w:val="en-GB"/>
        </w:rPr>
      </w:pPr>
      <w:r w:rsidRPr="00BF392C">
        <w:rPr>
          <w:color w:val="000000"/>
          <w:lang w:val="en-GB"/>
        </w:rPr>
        <w:t>that the block edge mask (BEM) concept has been developed by CEPT to facilitate implementation of spectrum rights of use which are as technology neutral as possible;</w:t>
      </w:r>
    </w:p>
    <w:p w14:paraId="48F15FDF" w14:textId="0DBB5B74" w:rsidR="003F3DD8" w:rsidRPr="00BF392C" w:rsidRDefault="00A91EB7">
      <w:pPr>
        <w:numPr>
          <w:ilvl w:val="0"/>
          <w:numId w:val="41"/>
        </w:numPr>
        <w:tabs>
          <w:tab w:val="left" w:pos="851"/>
          <w:tab w:val="left" w:pos="3306"/>
        </w:tabs>
        <w:suppressAutoHyphens/>
        <w:spacing w:before="240"/>
        <w:ind w:left="567" w:hanging="567"/>
        <w:rPr>
          <w:color w:val="000000"/>
          <w:spacing w:val="-2"/>
          <w:lang w:val="en-GB" w:eastAsia="bn-IN" w:bidi="bn-IN"/>
        </w:rPr>
      </w:pPr>
      <w:bookmarkStart w:id="0" w:name="_Ref507685627"/>
      <w:r w:rsidRPr="00BF392C">
        <w:rPr>
          <w:lang w:val="en-GB" w:eastAsia="bn-IN" w:bidi="bn-IN"/>
        </w:rPr>
        <w:t>that the</w:t>
      </w:r>
      <w:r w:rsidRPr="00BF392C">
        <w:rPr>
          <w:color w:val="000000"/>
          <w:lang w:val="en-GB" w:eastAsia="bn-IN" w:bidi="bn-IN"/>
        </w:rPr>
        <w:t xml:space="preserve"> technical conditions related to coexistence with other services attached to this Decision have been developed on the assumption of an individual authorisation framework; any other assumption on the authorisation framework, such as general authorisation or a combined individual/general authorisation regime may require different and/or supplementary technical conditions;</w:t>
      </w:r>
      <w:bookmarkEnd w:id="0"/>
    </w:p>
    <w:p w14:paraId="48F15FE0" w14:textId="2A975EEE" w:rsidR="003F3DD8" w:rsidRPr="00BF392C" w:rsidRDefault="00A91EB7">
      <w:pPr>
        <w:numPr>
          <w:ilvl w:val="0"/>
          <w:numId w:val="41"/>
        </w:numPr>
        <w:tabs>
          <w:tab w:val="left" w:pos="851"/>
          <w:tab w:val="left" w:pos="3306"/>
        </w:tabs>
        <w:suppressAutoHyphens/>
        <w:spacing w:before="240"/>
        <w:ind w:left="567" w:hanging="567"/>
        <w:rPr>
          <w:color w:val="000000"/>
          <w:spacing w:val="-2"/>
          <w:lang w:val="en-GB" w:eastAsia="bn-IN" w:bidi="bn-IN"/>
        </w:rPr>
      </w:pPr>
      <w:r w:rsidRPr="00BF392C">
        <w:rPr>
          <w:color w:val="000000"/>
          <w:spacing w:val="-2"/>
          <w:lang w:val="en-GB" w:eastAsia="bn-IN" w:bidi="bn-IN"/>
        </w:rPr>
        <w:t xml:space="preserve">that it is beneficial to synchronise MFCN networks operating in the same location (avoid </w:t>
      </w:r>
      <w:r w:rsidR="00FF42D1" w:rsidRPr="00BF392C">
        <w:rPr>
          <w:color w:val="000000"/>
          <w:spacing w:val="-2"/>
          <w:lang w:val="en-GB" w:eastAsia="bn-IN" w:bidi="bn-IN"/>
        </w:rPr>
        <w:t>simultaneous</w:t>
      </w:r>
      <w:r w:rsidRPr="00BF392C">
        <w:rPr>
          <w:color w:val="000000"/>
          <w:spacing w:val="-2"/>
          <w:lang w:val="en-GB" w:eastAsia="bn-IN" w:bidi="bn-IN"/>
        </w:rPr>
        <w:t xml:space="preserve"> uplink and downlink transmissions) since this would increase the efficient usage of spectrum;</w:t>
      </w:r>
    </w:p>
    <w:p w14:paraId="48F15FE1" w14:textId="65CF242A" w:rsidR="003F3DD8" w:rsidRPr="00BF392C" w:rsidRDefault="00A91EB7" w:rsidP="00F41E60">
      <w:pPr>
        <w:numPr>
          <w:ilvl w:val="0"/>
          <w:numId w:val="41"/>
        </w:numPr>
        <w:tabs>
          <w:tab w:val="left" w:pos="851"/>
          <w:tab w:val="left" w:pos="3306"/>
        </w:tabs>
        <w:suppressAutoHyphens/>
        <w:spacing w:before="240"/>
        <w:ind w:left="567" w:hanging="567"/>
        <w:rPr>
          <w:color w:val="000000"/>
          <w:spacing w:val="-2"/>
          <w:lang w:val="en-GB" w:eastAsia="bn-IN" w:bidi="bn-IN"/>
        </w:rPr>
      </w:pPr>
      <w:r w:rsidRPr="00BF392C">
        <w:rPr>
          <w:color w:val="000000"/>
          <w:spacing w:val="-2"/>
          <w:lang w:val="en-GB" w:eastAsia="bn-IN" w:bidi="bn-IN"/>
        </w:rPr>
        <w:t>that the technical conditions for co-existence between adjacent MFCN systems in the 26 GHz band have been developed based on the assumption of synchronised operation</w:t>
      </w:r>
      <w:r w:rsidR="00BB7F8B">
        <w:rPr>
          <w:color w:val="000000"/>
          <w:spacing w:val="-2"/>
          <w:lang w:val="en-GB" w:eastAsia="bn-IN" w:bidi="bn-IN"/>
        </w:rPr>
        <w:t xml:space="preserve"> and CEPT is developing a toolbox </w:t>
      </w:r>
      <w:r w:rsidR="00BB7F8B" w:rsidRPr="00BB7F8B">
        <w:rPr>
          <w:color w:val="000000"/>
          <w:spacing w:val="-2"/>
          <w:lang w:val="en-GB" w:eastAsia="bn-IN" w:bidi="bn-IN"/>
        </w:rPr>
        <w:t xml:space="preserve">for coexistence of MFCN in </w:t>
      </w:r>
      <w:r w:rsidR="00EC43AA" w:rsidRPr="00BB7F8B">
        <w:rPr>
          <w:color w:val="000000"/>
          <w:spacing w:val="-2"/>
          <w:lang w:val="en-GB" w:eastAsia="bn-IN" w:bidi="bn-IN"/>
        </w:rPr>
        <w:t>unsynchroni</w:t>
      </w:r>
      <w:r w:rsidR="00EC43AA">
        <w:rPr>
          <w:color w:val="000000"/>
          <w:spacing w:val="-2"/>
          <w:lang w:val="en-GB" w:eastAsia="bn-IN" w:bidi="bn-IN"/>
        </w:rPr>
        <w:t>s</w:t>
      </w:r>
      <w:r w:rsidR="00EC43AA" w:rsidRPr="00BB7F8B">
        <w:rPr>
          <w:color w:val="000000"/>
          <w:spacing w:val="-2"/>
          <w:lang w:val="en-GB" w:eastAsia="bn-IN" w:bidi="bn-IN"/>
        </w:rPr>
        <w:t xml:space="preserve">ed </w:t>
      </w:r>
      <w:r w:rsidR="00BB7F8B" w:rsidRPr="00BB7F8B">
        <w:rPr>
          <w:color w:val="000000"/>
          <w:spacing w:val="-2"/>
          <w:lang w:val="en-GB" w:eastAsia="bn-IN" w:bidi="bn-IN"/>
        </w:rPr>
        <w:t>or semi-</w:t>
      </w:r>
      <w:r w:rsidR="00EC43AA" w:rsidRPr="00BB7F8B">
        <w:rPr>
          <w:color w:val="000000"/>
          <w:spacing w:val="-2"/>
          <w:lang w:val="en-GB" w:eastAsia="bn-IN" w:bidi="bn-IN"/>
        </w:rPr>
        <w:t>synchroni</w:t>
      </w:r>
      <w:r w:rsidR="00EC43AA">
        <w:rPr>
          <w:color w:val="000000"/>
          <w:spacing w:val="-2"/>
          <w:lang w:val="en-GB" w:eastAsia="bn-IN" w:bidi="bn-IN"/>
        </w:rPr>
        <w:t>s</w:t>
      </w:r>
      <w:r w:rsidR="00EC43AA" w:rsidRPr="00BB7F8B">
        <w:rPr>
          <w:color w:val="000000"/>
          <w:spacing w:val="-2"/>
          <w:lang w:val="en-GB" w:eastAsia="bn-IN" w:bidi="bn-IN"/>
        </w:rPr>
        <w:t xml:space="preserve">ed </w:t>
      </w:r>
      <w:r w:rsidR="00BB7F8B" w:rsidRPr="00BB7F8B">
        <w:rPr>
          <w:color w:val="000000"/>
          <w:spacing w:val="-2"/>
          <w:lang w:val="en-GB" w:eastAsia="bn-IN" w:bidi="bn-IN"/>
        </w:rPr>
        <w:t>operations</w:t>
      </w:r>
      <w:r w:rsidRPr="00BF392C">
        <w:rPr>
          <w:color w:val="000000"/>
          <w:spacing w:val="-2"/>
          <w:lang w:val="en-GB" w:eastAsia="bn-IN" w:bidi="bn-IN"/>
        </w:rPr>
        <w:t>;</w:t>
      </w:r>
    </w:p>
    <w:p w14:paraId="48F15FE2" w14:textId="77777777" w:rsidR="003F3DD8" w:rsidRPr="00BF392C" w:rsidRDefault="00A91EB7">
      <w:pPr>
        <w:numPr>
          <w:ilvl w:val="0"/>
          <w:numId w:val="41"/>
        </w:numPr>
        <w:tabs>
          <w:tab w:val="left" w:pos="851"/>
          <w:tab w:val="left" w:pos="3306"/>
        </w:tabs>
        <w:suppressAutoHyphens/>
        <w:spacing w:before="240"/>
        <w:ind w:left="567" w:hanging="567"/>
        <w:rPr>
          <w:lang w:val="en-GB" w:eastAsia="zh-CN"/>
        </w:rPr>
      </w:pPr>
      <w:r w:rsidRPr="00BF392C">
        <w:rPr>
          <w:lang w:val="en-GB" w:eastAsia="zh-CN"/>
        </w:rPr>
        <w:t xml:space="preserve">that the 26 GHz band will mainly be used for urban and suburban </w:t>
      </w:r>
      <w:r w:rsidRPr="00BF392C">
        <w:rPr>
          <w:lang w:val="en-GB"/>
        </w:rPr>
        <w:t>hotspot areas</w:t>
      </w:r>
      <w:r w:rsidRPr="00BF392C">
        <w:rPr>
          <w:lang w:val="en-GB" w:eastAsia="zh-CN"/>
        </w:rPr>
        <w:t>; however t</w:t>
      </w:r>
      <w:r w:rsidRPr="00BF392C">
        <w:rPr>
          <w:lang w:val="en-GB"/>
        </w:rPr>
        <w:t xml:space="preserve">here may be a need for a limited number of hotspots in rural areas; it is not expected that the band will be used for contiguous wide/nationwide coverage of MFCN; </w:t>
      </w:r>
    </w:p>
    <w:p w14:paraId="48F15FE3" w14:textId="4765BC35" w:rsidR="003F3DD8" w:rsidRPr="00BF392C" w:rsidRDefault="00A91EB7" w:rsidP="00D42410">
      <w:pPr>
        <w:numPr>
          <w:ilvl w:val="0"/>
          <w:numId w:val="41"/>
        </w:numPr>
        <w:tabs>
          <w:tab w:val="left" w:pos="851"/>
          <w:tab w:val="left" w:pos="3306"/>
        </w:tabs>
        <w:suppressAutoHyphens/>
        <w:spacing w:before="240"/>
        <w:ind w:left="567" w:hanging="567"/>
        <w:rPr>
          <w:lang w:val="en-GB" w:eastAsia="zh-CN"/>
        </w:rPr>
      </w:pPr>
      <w:r w:rsidRPr="00BF392C">
        <w:rPr>
          <w:lang w:val="en-GB"/>
        </w:rPr>
        <w:t xml:space="preserve">that a regular assessment of the evolution of MFCN system characteristics, including </w:t>
      </w:r>
      <w:r w:rsidR="00272081" w:rsidRPr="00BF392C">
        <w:rPr>
          <w:lang w:val="en-GB"/>
        </w:rPr>
        <w:t xml:space="preserve">network </w:t>
      </w:r>
      <w:r w:rsidR="00B8678E" w:rsidRPr="00BF392C">
        <w:rPr>
          <w:lang w:val="en-GB"/>
        </w:rPr>
        <w:t>deployment</w:t>
      </w:r>
      <w:r w:rsidR="00272081" w:rsidRPr="00BF392C">
        <w:rPr>
          <w:lang w:val="en-GB"/>
        </w:rPr>
        <w:t>s</w:t>
      </w:r>
      <w:r w:rsidR="00B8678E" w:rsidRPr="00BF392C">
        <w:rPr>
          <w:lang w:val="en-GB"/>
        </w:rPr>
        <w:t>,</w:t>
      </w:r>
      <w:r w:rsidR="00784FAB" w:rsidRPr="00BF392C">
        <w:rPr>
          <w:lang w:val="en-GB"/>
        </w:rPr>
        <w:t xml:space="preserve"> in a timeline consistent with the 5 years review process of the Decision, or sooner if necessary,</w:t>
      </w:r>
      <w:r w:rsidR="00B8678E" w:rsidRPr="00BF392C">
        <w:rPr>
          <w:lang w:val="en-GB"/>
        </w:rPr>
        <w:t xml:space="preserve"> </w:t>
      </w:r>
      <w:r w:rsidRPr="00BF392C">
        <w:rPr>
          <w:lang w:val="en-GB"/>
        </w:rPr>
        <w:t xml:space="preserve">will provide </w:t>
      </w:r>
      <w:r w:rsidR="00784FAB" w:rsidRPr="00BF392C">
        <w:rPr>
          <w:lang w:val="en-GB"/>
        </w:rPr>
        <w:t xml:space="preserve">additional confidence </w:t>
      </w:r>
      <w:r w:rsidR="00B8678E" w:rsidRPr="00BF392C">
        <w:rPr>
          <w:lang w:val="en-GB"/>
        </w:rPr>
        <w:t xml:space="preserve">that </w:t>
      </w:r>
      <w:r w:rsidR="00784FAB" w:rsidRPr="00BF392C">
        <w:rPr>
          <w:lang w:val="en-GB"/>
        </w:rPr>
        <w:t xml:space="preserve">these LRTC ensure </w:t>
      </w:r>
      <w:r w:rsidRPr="00BF392C">
        <w:rPr>
          <w:lang w:val="en-GB"/>
        </w:rPr>
        <w:t>adequate protection of other services, in particular space services;</w:t>
      </w:r>
    </w:p>
    <w:p w14:paraId="48F15FE4" w14:textId="24F21419" w:rsidR="003F3DD8" w:rsidRPr="00BF392C" w:rsidRDefault="00A91EB7" w:rsidP="00E24D2B">
      <w:pPr>
        <w:numPr>
          <w:ilvl w:val="0"/>
          <w:numId w:val="41"/>
        </w:numPr>
        <w:tabs>
          <w:tab w:val="left" w:pos="851"/>
          <w:tab w:val="left" w:pos="3306"/>
        </w:tabs>
        <w:suppressAutoHyphens/>
        <w:spacing w:before="240"/>
        <w:ind w:left="567" w:hanging="567"/>
        <w:rPr>
          <w:lang w:val="en-GB" w:eastAsia="zh-CN"/>
        </w:rPr>
      </w:pPr>
      <w:bookmarkStart w:id="1" w:name="_Ref507685631"/>
      <w:bookmarkStart w:id="2" w:name="_Ref511048094"/>
      <w:r w:rsidRPr="00BF392C">
        <w:rPr>
          <w:lang w:val="en-GB" w:eastAsia="zh-CN"/>
        </w:rPr>
        <w:lastRenderedPageBreak/>
        <w:t xml:space="preserve">that appropriate provisions are needed in the authorisation for MFCN to define precisely how to safeguard in a proportionate way the use of existing </w:t>
      </w:r>
      <w:r w:rsidR="00D42410" w:rsidRPr="00BF392C">
        <w:rPr>
          <w:lang w:val="en-GB" w:eastAsia="zh-CN"/>
        </w:rPr>
        <w:t>EESS/SRS receiving</w:t>
      </w:r>
      <w:r w:rsidRPr="00BF392C">
        <w:rPr>
          <w:lang w:val="en-GB" w:eastAsia="zh-CN"/>
        </w:rPr>
        <w:t xml:space="preserve"> earth stations and the possibility for future earth station deployments in the 25.</w:t>
      </w:r>
      <w:r w:rsidR="003574CF" w:rsidRPr="00BF392C">
        <w:rPr>
          <w:lang w:val="en-GB" w:eastAsia="zh-CN"/>
        </w:rPr>
        <w:t>5-27</w:t>
      </w:r>
      <w:r w:rsidRPr="00BF392C">
        <w:rPr>
          <w:lang w:val="en-GB" w:eastAsia="zh-CN"/>
        </w:rPr>
        <w:t xml:space="preserve"> GHz frequency </w:t>
      </w:r>
      <w:r w:rsidR="003574CF" w:rsidRPr="00BF392C">
        <w:rPr>
          <w:lang w:val="en-GB" w:eastAsia="zh-CN"/>
        </w:rPr>
        <w:t>band</w:t>
      </w:r>
      <w:r w:rsidRPr="00BF392C">
        <w:rPr>
          <w:lang w:val="en-GB" w:eastAsia="zh-CN"/>
        </w:rPr>
        <w:t>;</w:t>
      </w:r>
      <w:bookmarkEnd w:id="1"/>
      <w:bookmarkEnd w:id="2"/>
    </w:p>
    <w:p w14:paraId="48F15FE5" w14:textId="471A4CD2" w:rsidR="00110B2E" w:rsidRPr="00BF392C" w:rsidRDefault="003574CF">
      <w:pPr>
        <w:numPr>
          <w:ilvl w:val="0"/>
          <w:numId w:val="41"/>
        </w:numPr>
        <w:tabs>
          <w:tab w:val="left" w:pos="851"/>
          <w:tab w:val="left" w:pos="3306"/>
        </w:tabs>
        <w:suppressAutoHyphens/>
        <w:spacing w:before="240"/>
        <w:ind w:left="567" w:hanging="567"/>
        <w:rPr>
          <w:lang w:val="en-GB" w:eastAsia="zh-CN"/>
        </w:rPr>
      </w:pPr>
      <w:bookmarkStart w:id="3" w:name="_Ref515868690"/>
      <w:r w:rsidRPr="00BF392C">
        <w:rPr>
          <w:lang w:val="en-GB" w:eastAsia="zh-CN"/>
        </w:rPr>
        <w:t>that appropriate provisions are needed in the authori</w:t>
      </w:r>
      <w:r w:rsidR="0078619F" w:rsidRPr="00BF392C">
        <w:rPr>
          <w:lang w:val="en-GB" w:eastAsia="zh-CN"/>
        </w:rPr>
        <w:t>s</w:t>
      </w:r>
      <w:r w:rsidRPr="00BF392C">
        <w:rPr>
          <w:lang w:val="en-GB" w:eastAsia="zh-CN"/>
        </w:rPr>
        <w:t xml:space="preserve">ation for MFCN to define precisely how to safeguard in a proportionate way the use of existing </w:t>
      </w:r>
      <w:r w:rsidR="00086071" w:rsidRPr="00BF392C">
        <w:rPr>
          <w:lang w:val="en-GB" w:eastAsia="zh-CN"/>
        </w:rPr>
        <w:t xml:space="preserve">FSS transmitting </w:t>
      </w:r>
      <w:r w:rsidRPr="00BF392C">
        <w:rPr>
          <w:lang w:val="en-GB" w:eastAsia="zh-CN"/>
        </w:rPr>
        <w:t xml:space="preserve">earth stations and the possibility for future </w:t>
      </w:r>
      <w:r w:rsidR="00982474" w:rsidRPr="00BF392C">
        <w:rPr>
          <w:lang w:val="en-GB" w:eastAsia="zh-CN"/>
        </w:rPr>
        <w:t>e</w:t>
      </w:r>
      <w:r w:rsidRPr="00BF392C">
        <w:rPr>
          <w:lang w:val="en-GB" w:eastAsia="zh-CN"/>
        </w:rPr>
        <w:t xml:space="preserve">arth station </w:t>
      </w:r>
      <w:r w:rsidR="002D071A" w:rsidRPr="00BF392C">
        <w:rPr>
          <w:lang w:val="en-GB" w:eastAsia="zh-CN"/>
        </w:rPr>
        <w:t xml:space="preserve">deployments </w:t>
      </w:r>
      <w:r w:rsidRPr="00BF392C">
        <w:rPr>
          <w:lang w:val="en-GB" w:eastAsia="zh-CN"/>
        </w:rPr>
        <w:t>in the 24.65-25.25</w:t>
      </w:r>
      <w:r w:rsidR="00885EAF" w:rsidRPr="00BF392C">
        <w:rPr>
          <w:lang w:val="en-GB" w:eastAsia="zh-CN"/>
        </w:rPr>
        <w:t> GHz</w:t>
      </w:r>
      <w:r w:rsidRPr="00BF392C">
        <w:rPr>
          <w:lang w:val="en-GB" w:eastAsia="zh-CN"/>
        </w:rPr>
        <w:t xml:space="preserve"> frequency band;</w:t>
      </w:r>
      <w:bookmarkEnd w:id="3"/>
    </w:p>
    <w:p w14:paraId="48F15FE7" w14:textId="77777777" w:rsidR="003F3DD8" w:rsidRPr="00BF392C" w:rsidRDefault="00A91EB7">
      <w:pPr>
        <w:numPr>
          <w:ilvl w:val="0"/>
          <w:numId w:val="41"/>
        </w:numPr>
        <w:tabs>
          <w:tab w:val="left" w:pos="851"/>
          <w:tab w:val="left" w:pos="3306"/>
        </w:tabs>
        <w:suppressAutoHyphens/>
        <w:spacing w:before="240"/>
        <w:ind w:left="567" w:hanging="567"/>
        <w:rPr>
          <w:lang w:val="en-GB" w:eastAsia="zh-CN"/>
        </w:rPr>
      </w:pPr>
      <w:r w:rsidRPr="00BF392C">
        <w:rPr>
          <w:lang w:val="en-GB" w:eastAsia="zh-CN"/>
        </w:rPr>
        <w:t xml:space="preserve">that methodologies will be developed to support coordination/coexistence between MFCN and earth stations in the 26 GHz band (receiving EESS/SRS and transmitting FSS earth stations) through the definition of </w:t>
      </w:r>
      <w:r w:rsidRPr="00BF392C">
        <w:rPr>
          <w:lang w:val="en-GB"/>
        </w:rPr>
        <w:t xml:space="preserve">suitable separation/coordination areas and/or any other solutions as part of </w:t>
      </w:r>
      <w:r w:rsidRPr="00BF392C">
        <w:rPr>
          <w:lang w:val="en-GB" w:eastAsia="zh-CN"/>
        </w:rPr>
        <w:t xml:space="preserve">appropriate provisions mentioned in considerings </w:t>
      </w:r>
      <w:r w:rsidR="00497129" w:rsidRPr="00BF392C">
        <w:rPr>
          <w:lang w:val="en-GB" w:eastAsia="zh-CN"/>
        </w:rPr>
        <w:fldChar w:fldCharType="begin"/>
      </w:r>
      <w:r w:rsidR="00497129" w:rsidRPr="00BF392C">
        <w:rPr>
          <w:lang w:val="en-GB" w:eastAsia="zh-CN"/>
        </w:rPr>
        <w:instrText xml:space="preserve"> REF _Ref507685631 \r \h </w:instrText>
      </w:r>
      <w:r w:rsidR="00497129" w:rsidRPr="00BF392C">
        <w:rPr>
          <w:lang w:val="en-GB" w:eastAsia="zh-CN"/>
        </w:rPr>
      </w:r>
      <w:r w:rsidR="00497129" w:rsidRPr="00BF392C">
        <w:rPr>
          <w:lang w:val="en-GB" w:eastAsia="zh-CN"/>
        </w:rPr>
        <w:fldChar w:fldCharType="separate"/>
      </w:r>
      <w:r w:rsidR="00497129" w:rsidRPr="00BF392C">
        <w:rPr>
          <w:lang w:val="en-GB" w:eastAsia="zh-CN"/>
        </w:rPr>
        <w:t>o)</w:t>
      </w:r>
      <w:r w:rsidR="00497129" w:rsidRPr="00BF392C">
        <w:rPr>
          <w:lang w:val="en-GB" w:eastAsia="zh-CN"/>
        </w:rPr>
        <w:fldChar w:fldCharType="end"/>
      </w:r>
      <w:r w:rsidRPr="00BF392C">
        <w:rPr>
          <w:lang w:val="en-GB" w:eastAsia="zh-CN"/>
        </w:rPr>
        <w:t xml:space="preserve">and </w:t>
      </w:r>
      <w:r w:rsidR="00497129" w:rsidRPr="00BF392C">
        <w:rPr>
          <w:lang w:val="en-GB" w:eastAsia="zh-CN"/>
        </w:rPr>
        <w:fldChar w:fldCharType="begin"/>
      </w:r>
      <w:r w:rsidR="00497129" w:rsidRPr="00BF392C">
        <w:rPr>
          <w:lang w:val="en-GB" w:eastAsia="zh-CN"/>
        </w:rPr>
        <w:instrText xml:space="preserve"> REF _Ref515868690 \r \h </w:instrText>
      </w:r>
      <w:r w:rsidR="00497129" w:rsidRPr="00BF392C">
        <w:rPr>
          <w:lang w:val="en-GB" w:eastAsia="zh-CN"/>
        </w:rPr>
      </w:r>
      <w:r w:rsidR="00497129" w:rsidRPr="00BF392C">
        <w:rPr>
          <w:lang w:val="en-GB" w:eastAsia="zh-CN"/>
        </w:rPr>
        <w:fldChar w:fldCharType="separate"/>
      </w:r>
      <w:r w:rsidR="00497129" w:rsidRPr="00BF392C">
        <w:rPr>
          <w:lang w:val="en-GB" w:eastAsia="zh-CN"/>
        </w:rPr>
        <w:t>p)</w:t>
      </w:r>
      <w:r w:rsidR="00497129" w:rsidRPr="00BF392C">
        <w:rPr>
          <w:lang w:val="en-GB" w:eastAsia="zh-CN"/>
        </w:rPr>
        <w:fldChar w:fldCharType="end"/>
      </w:r>
      <w:r w:rsidRPr="00BF392C">
        <w:rPr>
          <w:lang w:val="en-GB" w:eastAsia="zh-CN"/>
        </w:rPr>
        <w:t>);</w:t>
      </w:r>
    </w:p>
    <w:p w14:paraId="48F15FE8" w14:textId="049FE464" w:rsidR="003F3DD8" w:rsidRPr="008326C2" w:rsidRDefault="00A91EB7">
      <w:pPr>
        <w:numPr>
          <w:ilvl w:val="0"/>
          <w:numId w:val="41"/>
        </w:numPr>
        <w:tabs>
          <w:tab w:val="left" w:pos="851"/>
          <w:tab w:val="left" w:pos="3306"/>
        </w:tabs>
        <w:suppressAutoHyphens/>
        <w:spacing w:before="240"/>
        <w:ind w:left="567" w:hanging="567"/>
        <w:rPr>
          <w:lang w:val="en-GB" w:eastAsia="zh-CN"/>
        </w:rPr>
      </w:pPr>
      <w:bookmarkStart w:id="4" w:name="_Ref514761435"/>
      <w:r w:rsidRPr="008326C2">
        <w:rPr>
          <w:lang w:val="en-GB"/>
        </w:rPr>
        <w:t xml:space="preserve">that </w:t>
      </w:r>
      <w:r w:rsidR="00163C55">
        <w:rPr>
          <w:lang w:val="en-GB"/>
        </w:rPr>
        <w:t>most</w:t>
      </w:r>
      <w:r w:rsidRPr="008326C2">
        <w:rPr>
          <w:lang w:val="en-GB"/>
        </w:rPr>
        <w:t xml:space="preserve"> </w:t>
      </w:r>
      <w:r w:rsidR="006A39F6" w:rsidRPr="008326C2">
        <w:rPr>
          <w:lang w:val="en-GB"/>
        </w:rPr>
        <w:t xml:space="preserve">sharing studies have shown that </w:t>
      </w:r>
      <w:r w:rsidR="00EC43AA" w:rsidRPr="008326C2">
        <w:rPr>
          <w:lang w:val="en-GB"/>
        </w:rPr>
        <w:t>Fixed</w:t>
      </w:r>
      <w:r w:rsidR="00EC43AA">
        <w:rPr>
          <w:lang w:val="en-GB"/>
        </w:rPr>
        <w:t>-</w:t>
      </w:r>
      <w:r w:rsidRPr="008326C2">
        <w:rPr>
          <w:lang w:val="en-GB"/>
        </w:rPr>
        <w:t>Satellite Service (FSS) and the Inter-Satellite Service (ISS)</w:t>
      </w:r>
      <w:r w:rsidR="006A39F6" w:rsidRPr="008326C2">
        <w:rPr>
          <w:lang w:val="en-GB"/>
        </w:rPr>
        <w:t xml:space="preserve"> would be protected with a margin of more than 12 dB, based on agreed assumptions, and it will be necessary to ensure that these services remain protected (see considering n)</w:t>
      </w:r>
      <w:r w:rsidRPr="008326C2">
        <w:rPr>
          <w:lang w:val="en-GB"/>
        </w:rPr>
        <w:t>;</w:t>
      </w:r>
      <w:bookmarkEnd w:id="4"/>
    </w:p>
    <w:p w14:paraId="48F15FE9" w14:textId="51958131" w:rsidR="00E24D2B" w:rsidRPr="008326C2" w:rsidRDefault="006A39F6">
      <w:pPr>
        <w:numPr>
          <w:ilvl w:val="0"/>
          <w:numId w:val="41"/>
        </w:numPr>
        <w:tabs>
          <w:tab w:val="left" w:pos="851"/>
          <w:tab w:val="left" w:pos="3306"/>
        </w:tabs>
        <w:suppressAutoHyphens/>
        <w:spacing w:before="240"/>
        <w:ind w:left="567" w:hanging="567"/>
        <w:rPr>
          <w:lang w:val="en-GB" w:eastAsia="zh-CN"/>
        </w:rPr>
      </w:pPr>
      <w:r w:rsidRPr="008326C2">
        <w:rPr>
          <w:lang w:val="en-GB" w:eastAsia="zh-CN"/>
        </w:rPr>
        <w:t>t</w:t>
      </w:r>
      <w:r w:rsidR="00E24D2B" w:rsidRPr="008326C2">
        <w:rPr>
          <w:lang w:val="en-GB" w:eastAsia="zh-CN"/>
        </w:rPr>
        <w:t xml:space="preserve">hat </w:t>
      </w:r>
      <w:r w:rsidR="00A91EB7" w:rsidRPr="008326C2">
        <w:rPr>
          <w:lang w:val="en-GB" w:eastAsia="zh-CN"/>
        </w:rPr>
        <w:t>the</w:t>
      </w:r>
      <w:r w:rsidRPr="008326C2">
        <w:rPr>
          <w:lang w:val="en-GB" w:eastAsia="zh-CN"/>
        </w:rPr>
        <w:t xml:space="preserve"> pointing</w:t>
      </w:r>
      <w:r w:rsidR="00A91EB7" w:rsidRPr="008326C2">
        <w:rPr>
          <w:lang w:val="en-GB" w:eastAsia="zh-CN"/>
        </w:rPr>
        <w:t xml:space="preserve"> elevation of the main beam </w:t>
      </w:r>
      <w:r w:rsidRPr="008326C2">
        <w:rPr>
          <w:lang w:val="en-GB" w:eastAsia="zh-CN"/>
        </w:rPr>
        <w:t>(electric</w:t>
      </w:r>
      <w:r w:rsidR="00A25A9B" w:rsidRPr="008326C2">
        <w:rPr>
          <w:lang w:val="en-GB" w:eastAsia="zh-CN"/>
        </w:rPr>
        <w:t xml:space="preserve">al and mechanical) </w:t>
      </w:r>
      <w:r w:rsidR="00A91EB7" w:rsidRPr="008326C2">
        <w:rPr>
          <w:lang w:val="en-GB" w:eastAsia="zh-CN"/>
        </w:rPr>
        <w:t xml:space="preserve">should normally be </w:t>
      </w:r>
      <w:r w:rsidRPr="008326C2">
        <w:rPr>
          <w:lang w:val="en-GB" w:eastAsia="zh-CN"/>
        </w:rPr>
        <w:t>below</w:t>
      </w:r>
      <w:r w:rsidR="00A91EB7" w:rsidRPr="008326C2">
        <w:rPr>
          <w:lang w:val="en-GB" w:eastAsia="zh-CN"/>
        </w:rPr>
        <w:t xml:space="preserve"> the horizon for outdoor base stations</w:t>
      </w:r>
      <w:r w:rsidR="008326C2">
        <w:rPr>
          <w:lang w:val="en-GB" w:eastAsia="zh-CN"/>
        </w:rPr>
        <w:t>;</w:t>
      </w:r>
    </w:p>
    <w:p w14:paraId="48F15FEA" w14:textId="77777777" w:rsidR="003F3DD8" w:rsidRPr="00BF392C" w:rsidRDefault="00A91EB7">
      <w:pPr>
        <w:numPr>
          <w:ilvl w:val="0"/>
          <w:numId w:val="41"/>
        </w:numPr>
        <w:tabs>
          <w:tab w:val="left" w:pos="851"/>
          <w:tab w:val="left" w:pos="3306"/>
        </w:tabs>
        <w:suppressAutoHyphens/>
        <w:spacing w:before="240"/>
        <w:ind w:left="567" w:hanging="567"/>
        <w:rPr>
          <w:lang w:val="en-GB" w:eastAsia="zh-CN"/>
        </w:rPr>
      </w:pPr>
      <w:r w:rsidRPr="00BF392C">
        <w:rPr>
          <w:lang w:val="en-GB" w:eastAsia="zh-CN"/>
        </w:rPr>
        <w:t xml:space="preserve">that coexistence issues between fixed links and MFCN in the 26 GHz frequency band will be managed at national level or through the cross-border coordination framework; </w:t>
      </w:r>
    </w:p>
    <w:p w14:paraId="48F15FEC" w14:textId="345A3E11" w:rsidR="003F3DD8" w:rsidRDefault="00A91EB7">
      <w:pPr>
        <w:numPr>
          <w:ilvl w:val="0"/>
          <w:numId w:val="41"/>
        </w:numPr>
        <w:tabs>
          <w:tab w:val="left" w:pos="851"/>
        </w:tabs>
        <w:suppressAutoHyphens/>
        <w:spacing w:before="240"/>
        <w:ind w:left="567" w:hanging="567"/>
        <w:rPr>
          <w:lang w:val="en-GB"/>
        </w:rPr>
      </w:pPr>
      <w:r w:rsidRPr="00BF392C">
        <w:rPr>
          <w:lang w:val="en-GB"/>
        </w:rPr>
        <w:t xml:space="preserve">that the protection of the </w:t>
      </w:r>
      <w:r w:rsidR="00A81D92">
        <w:rPr>
          <w:lang w:val="en-GB"/>
        </w:rPr>
        <w:t xml:space="preserve">Earth Exploration-Satellite Service </w:t>
      </w:r>
      <w:r w:rsidRPr="00BF392C">
        <w:rPr>
          <w:lang w:val="en-GB"/>
        </w:rPr>
        <w:t xml:space="preserve">(EESS) </w:t>
      </w:r>
      <w:r w:rsidR="00063CA3">
        <w:rPr>
          <w:lang w:val="en-GB"/>
        </w:rPr>
        <w:t>(</w:t>
      </w:r>
      <w:r w:rsidRPr="00BF392C">
        <w:rPr>
          <w:lang w:val="en-GB"/>
        </w:rPr>
        <w:t>passive</w:t>
      </w:r>
      <w:r w:rsidR="00063CA3">
        <w:rPr>
          <w:lang w:val="en-GB"/>
        </w:rPr>
        <w:t>)</w:t>
      </w:r>
      <w:r w:rsidRPr="00BF392C">
        <w:rPr>
          <w:lang w:val="en-GB"/>
        </w:rPr>
        <w:t>, requires the introduction of appropriate limits of unwanted emission power in the band 23.6-24 GHz</w:t>
      </w:r>
      <w:r w:rsidRPr="00BF392C">
        <w:rPr>
          <w:rFonts w:cs="Arial"/>
          <w:lang w:val="en-GB"/>
        </w:rPr>
        <w:t>,</w:t>
      </w:r>
      <w:r w:rsidRPr="00BF392C">
        <w:rPr>
          <w:lang w:val="en-GB"/>
        </w:rPr>
        <w:t xml:space="preserve"> applying to MFCN operating in the band the 24.25-27.5 GHz; additionally the protection of RAS will require the implementation of suitable separation distances between RAS stations and MFCN transmitters on a case-by-case basis;</w:t>
      </w:r>
    </w:p>
    <w:p w14:paraId="629844E4" w14:textId="32D504DF" w:rsidR="000B6738" w:rsidRPr="008326C2" w:rsidRDefault="001034BD">
      <w:pPr>
        <w:numPr>
          <w:ilvl w:val="0"/>
          <w:numId w:val="41"/>
        </w:numPr>
        <w:tabs>
          <w:tab w:val="left" w:pos="851"/>
        </w:tabs>
        <w:suppressAutoHyphens/>
        <w:spacing w:before="240"/>
        <w:ind w:left="567" w:hanging="567"/>
        <w:rPr>
          <w:lang w:val="en-GB"/>
        </w:rPr>
      </w:pPr>
      <w:r w:rsidRPr="008326C2">
        <w:t xml:space="preserve">that </w:t>
      </w:r>
      <w:r w:rsidRPr="008326C2">
        <w:rPr>
          <w:lang w:val="en-GB"/>
        </w:rPr>
        <w:t xml:space="preserve">the protection of the </w:t>
      </w:r>
      <w:r w:rsidR="00A81D92">
        <w:rPr>
          <w:lang w:val="en-GB"/>
        </w:rPr>
        <w:t xml:space="preserve">Earth Exploration-Satellite Service </w:t>
      </w:r>
      <w:r w:rsidRPr="008326C2">
        <w:rPr>
          <w:lang w:val="en-GB"/>
        </w:rPr>
        <w:t xml:space="preserve">(EESS) </w:t>
      </w:r>
      <w:r w:rsidR="00063CA3">
        <w:rPr>
          <w:lang w:val="en-GB"/>
        </w:rPr>
        <w:t>(</w:t>
      </w:r>
      <w:r w:rsidRPr="008326C2">
        <w:rPr>
          <w:lang w:val="en-GB"/>
        </w:rPr>
        <w:t>passive</w:t>
      </w:r>
      <w:r w:rsidR="00063CA3">
        <w:rPr>
          <w:lang w:val="en-GB"/>
        </w:rPr>
        <w:t>)</w:t>
      </w:r>
      <w:r w:rsidRPr="008326C2">
        <w:rPr>
          <w:lang w:val="en-GB"/>
        </w:rPr>
        <w:t xml:space="preserve"> in the band</w:t>
      </w:r>
      <w:r w:rsidRPr="008326C2">
        <w:t xml:space="preserve"> </w:t>
      </w:r>
      <w:r w:rsidRPr="008326C2">
        <w:rPr>
          <w:rFonts w:cs="Arial"/>
          <w:lang w:val="en-GB"/>
        </w:rPr>
        <w:t>50.2-50.4 GHz and 52.6-54.25 GHz is ensured by the existing</w:t>
      </w:r>
      <w:r w:rsidRPr="008326C2">
        <w:t xml:space="preserve"> </w:t>
      </w:r>
      <w:r w:rsidR="000B6738" w:rsidRPr="008326C2">
        <w:t xml:space="preserve">generic spurious limits of -30 dBm/MHz </w:t>
      </w:r>
      <w:r w:rsidRPr="008326C2">
        <w:t>applying to base stations;</w:t>
      </w:r>
    </w:p>
    <w:p w14:paraId="266DD7A5" w14:textId="24195B5B" w:rsidR="00F37548" w:rsidRPr="008326C2" w:rsidRDefault="00F37548">
      <w:pPr>
        <w:numPr>
          <w:ilvl w:val="0"/>
          <w:numId w:val="41"/>
        </w:numPr>
        <w:tabs>
          <w:tab w:val="left" w:pos="851"/>
        </w:tabs>
        <w:suppressAutoHyphens/>
        <w:spacing w:before="240"/>
        <w:ind w:left="567" w:hanging="567"/>
        <w:rPr>
          <w:lang w:val="en-GB"/>
        </w:rPr>
      </w:pPr>
      <w:r w:rsidRPr="008326C2">
        <w:rPr>
          <w:lang w:val="en-GB"/>
        </w:rPr>
        <w:t xml:space="preserve">that the </w:t>
      </w:r>
      <w:r w:rsidRPr="008326C2">
        <w:rPr>
          <w:lang w:val="en-GB" w:eastAsia="zh-CN"/>
        </w:rPr>
        <w:t xml:space="preserve">coverage of outdoor hotspot has been assumed in sharing studies to be achieved with the deployment of base stations communicating with terminals on the ground and a very limited number of indoor terminals with positive elevation, resulting in an </w:t>
      </w:r>
      <w:r w:rsidRPr="008326C2">
        <w:rPr>
          <w:lang w:val="en-GB"/>
        </w:rPr>
        <w:t xml:space="preserve">elevation of the main beam </w:t>
      </w:r>
      <w:r w:rsidRPr="008326C2">
        <w:rPr>
          <w:lang w:val="en-GB" w:eastAsia="zh-CN"/>
        </w:rPr>
        <w:t xml:space="preserve">of outdoor base stations </w:t>
      </w:r>
      <w:r w:rsidRPr="008326C2">
        <w:rPr>
          <w:lang w:val="en-GB"/>
        </w:rPr>
        <w:t xml:space="preserve">normally </w:t>
      </w:r>
      <w:r w:rsidRPr="008326C2">
        <w:rPr>
          <w:lang w:val="en-GB" w:eastAsia="zh-CN"/>
        </w:rPr>
        <w:t>below</w:t>
      </w:r>
      <w:r w:rsidRPr="008326C2">
        <w:rPr>
          <w:lang w:val="en-GB"/>
        </w:rPr>
        <w:t xml:space="preserve"> the horizon</w:t>
      </w:r>
      <w:r w:rsidRPr="008326C2">
        <w:rPr>
          <w:lang w:val="en-GB" w:eastAsia="zh-CN"/>
        </w:rPr>
        <w:t>, thus with high discrimination towards the satellites</w:t>
      </w:r>
      <w:r w:rsidR="0007773D">
        <w:rPr>
          <w:lang w:val="en-GB" w:eastAsia="zh-CN"/>
        </w:rPr>
        <w:t>;</w:t>
      </w:r>
    </w:p>
    <w:p w14:paraId="48F15FED" w14:textId="3128AD2A" w:rsidR="003F3DD8" w:rsidRPr="008326C2" w:rsidRDefault="00A91EB7">
      <w:pPr>
        <w:numPr>
          <w:ilvl w:val="0"/>
          <w:numId w:val="41"/>
        </w:numPr>
        <w:tabs>
          <w:tab w:val="left" w:pos="851"/>
        </w:tabs>
        <w:suppressAutoHyphens/>
        <w:spacing w:before="240"/>
        <w:ind w:left="567" w:hanging="567"/>
        <w:rPr>
          <w:lang w:val="en-GB"/>
        </w:rPr>
      </w:pPr>
      <w:proofErr w:type="gramStart"/>
      <w:r w:rsidRPr="008326C2">
        <w:rPr>
          <w:lang w:val="en-GB"/>
        </w:rPr>
        <w:t>that</w:t>
      </w:r>
      <w:proofErr w:type="gramEnd"/>
      <w:r w:rsidRPr="008326C2">
        <w:rPr>
          <w:lang w:val="en-GB"/>
        </w:rPr>
        <w:t xml:space="preserve"> CEPT is studying usage of MFCN for the command, control and payload link of </w:t>
      </w:r>
      <w:r w:rsidR="00CC3B35">
        <w:rPr>
          <w:lang w:val="en-GB"/>
        </w:rPr>
        <w:t>unmanned aircraft systems (</w:t>
      </w:r>
      <w:r w:rsidRPr="008326C2">
        <w:rPr>
          <w:lang w:val="en-GB"/>
        </w:rPr>
        <w:t>UAS</w:t>
      </w:r>
      <w:r w:rsidR="00CC3B35">
        <w:rPr>
          <w:lang w:val="en-GB"/>
        </w:rPr>
        <w:t>)</w:t>
      </w:r>
      <w:r w:rsidRPr="008326C2">
        <w:rPr>
          <w:lang w:val="en-GB"/>
        </w:rPr>
        <w:t xml:space="preserve"> in MFCN bands</w:t>
      </w:r>
      <w:r w:rsidR="002B3589">
        <w:rPr>
          <w:lang w:val="en-GB"/>
        </w:rPr>
        <w:t xml:space="preserve">, including in the 26 GHz band. However, </w:t>
      </w:r>
      <w:r w:rsidRPr="008326C2">
        <w:rPr>
          <w:lang w:val="en-GB"/>
        </w:rPr>
        <w:t xml:space="preserve">due to its specific characteristics and usage, the 24.25-27.5 GHz MFCN band is not to be used for connectivity </w:t>
      </w:r>
      <w:r w:rsidR="00A25A9B" w:rsidRPr="008326C2">
        <w:rPr>
          <w:lang w:val="en-GB"/>
        </w:rPr>
        <w:t>from base station</w:t>
      </w:r>
      <w:r w:rsidR="002B3589">
        <w:rPr>
          <w:lang w:val="en-GB"/>
        </w:rPr>
        <w:t>s</w:t>
      </w:r>
      <w:r w:rsidR="00A25A9B" w:rsidRPr="008326C2">
        <w:rPr>
          <w:lang w:val="en-GB"/>
        </w:rPr>
        <w:t xml:space="preserve"> to</w:t>
      </w:r>
      <w:r w:rsidRPr="008326C2">
        <w:rPr>
          <w:lang w:val="en-GB"/>
        </w:rPr>
        <w:t xml:space="preserve"> </w:t>
      </w:r>
      <w:r w:rsidR="002B3589">
        <w:rPr>
          <w:lang w:val="en-GB"/>
        </w:rPr>
        <w:t>terminals on board</w:t>
      </w:r>
      <w:r w:rsidR="00CC3B35">
        <w:rPr>
          <w:lang w:val="en-GB"/>
        </w:rPr>
        <w:t xml:space="preserve"> unmanned aircraft vehicles (</w:t>
      </w:r>
      <w:r w:rsidRPr="008326C2">
        <w:rPr>
          <w:lang w:val="en-GB"/>
        </w:rPr>
        <w:t>UA</w:t>
      </w:r>
      <w:r w:rsidR="00A25A9B" w:rsidRPr="008326C2">
        <w:rPr>
          <w:lang w:val="en-GB"/>
        </w:rPr>
        <w:t>V</w:t>
      </w:r>
      <w:r w:rsidR="00CC3B35">
        <w:rPr>
          <w:lang w:val="en-GB"/>
        </w:rPr>
        <w:t>)</w:t>
      </w:r>
      <w:r w:rsidR="00A25A9B" w:rsidRPr="008326C2">
        <w:rPr>
          <w:lang w:val="en-GB"/>
        </w:rPr>
        <w:t>. In addition, the connectivit</w:t>
      </w:r>
      <w:r w:rsidR="000B6738" w:rsidRPr="008326C2">
        <w:rPr>
          <w:lang w:val="en-GB"/>
        </w:rPr>
        <w:t xml:space="preserve">y from </w:t>
      </w:r>
      <w:r w:rsidR="002B3589">
        <w:rPr>
          <w:lang w:val="en-GB"/>
        </w:rPr>
        <w:t xml:space="preserve">terminals on board </w:t>
      </w:r>
      <w:r w:rsidR="000B6738" w:rsidRPr="008326C2">
        <w:rPr>
          <w:lang w:val="en-GB"/>
        </w:rPr>
        <w:t>UAV to base station</w:t>
      </w:r>
      <w:r w:rsidR="002B3589">
        <w:rPr>
          <w:lang w:val="en-GB"/>
        </w:rPr>
        <w:t>s</w:t>
      </w:r>
      <w:r w:rsidR="000B6738" w:rsidRPr="008326C2">
        <w:rPr>
          <w:lang w:val="en-GB"/>
        </w:rPr>
        <w:t xml:space="preserve"> may</w:t>
      </w:r>
      <w:r w:rsidR="00A25A9B" w:rsidRPr="008326C2">
        <w:rPr>
          <w:lang w:val="en-GB"/>
        </w:rPr>
        <w:t xml:space="preserve"> have a significant impact</w:t>
      </w:r>
      <w:r w:rsidR="002B3589">
        <w:rPr>
          <w:lang w:val="en-GB"/>
        </w:rPr>
        <w:t>, e.g.</w:t>
      </w:r>
      <w:r w:rsidR="00A25A9B" w:rsidRPr="008326C2">
        <w:rPr>
          <w:lang w:val="en-GB"/>
        </w:rPr>
        <w:t xml:space="preserve"> on </w:t>
      </w:r>
      <w:r w:rsidR="00385473" w:rsidRPr="008326C2">
        <w:rPr>
          <w:lang w:val="en-GB"/>
        </w:rPr>
        <w:t>separation distance</w:t>
      </w:r>
      <w:r w:rsidR="00A25A9B" w:rsidRPr="008326C2">
        <w:rPr>
          <w:lang w:val="en-GB"/>
        </w:rPr>
        <w:t xml:space="preserve"> from EESS/SRS earth stations</w:t>
      </w:r>
      <w:r w:rsidR="00385473" w:rsidRPr="008326C2">
        <w:rPr>
          <w:lang w:val="en-GB"/>
        </w:rPr>
        <w:t>, which</w:t>
      </w:r>
      <w:r w:rsidR="00A25A9B" w:rsidRPr="008326C2">
        <w:rPr>
          <w:lang w:val="en-GB"/>
        </w:rPr>
        <w:t xml:space="preserve"> require</w:t>
      </w:r>
      <w:r w:rsidR="000B6738" w:rsidRPr="008326C2">
        <w:rPr>
          <w:lang w:val="en-GB"/>
        </w:rPr>
        <w:t>s further study</w:t>
      </w:r>
      <w:r w:rsidR="001034BD" w:rsidRPr="008326C2">
        <w:rPr>
          <w:lang w:val="en-GB"/>
        </w:rPr>
        <w:t xml:space="preserve">. These UAV operations </w:t>
      </w:r>
      <w:r w:rsidR="001E0736" w:rsidRPr="008326C2">
        <w:rPr>
          <w:lang w:val="en-GB"/>
        </w:rPr>
        <w:t>should not be an obstacle to</w:t>
      </w:r>
      <w:r w:rsidR="00D01095" w:rsidRPr="008326C2">
        <w:rPr>
          <w:lang w:val="en-GB"/>
        </w:rPr>
        <w:t xml:space="preserve"> the deployment of future EESS/SRS earth stations</w:t>
      </w:r>
      <w:r w:rsidRPr="008326C2">
        <w:rPr>
          <w:lang w:val="en-GB"/>
        </w:rPr>
        <w:t>;</w:t>
      </w:r>
    </w:p>
    <w:p w14:paraId="48F15FEE" w14:textId="77777777" w:rsidR="003F3DD8" w:rsidRPr="00BF392C" w:rsidRDefault="00A91EB7">
      <w:pPr>
        <w:numPr>
          <w:ilvl w:val="0"/>
          <w:numId w:val="41"/>
        </w:numPr>
        <w:tabs>
          <w:tab w:val="left" w:pos="851"/>
        </w:tabs>
        <w:suppressAutoHyphens/>
        <w:spacing w:before="240"/>
        <w:ind w:left="567" w:hanging="567"/>
        <w:rPr>
          <w:color w:val="000000"/>
          <w:lang w:val="en-GB"/>
        </w:rPr>
      </w:pPr>
      <w:proofErr w:type="gramStart"/>
      <w:r w:rsidRPr="00BF392C">
        <w:rPr>
          <w:lang w:val="en-GB"/>
        </w:rPr>
        <w:t>that</w:t>
      </w:r>
      <w:proofErr w:type="gramEnd"/>
      <w:r w:rsidRPr="00BF392C">
        <w:rPr>
          <w:lang w:val="en-GB"/>
        </w:rPr>
        <w:t xml:space="preserve"> in EU/EFTA countries the radio equipment that is under the scope of this Decision shall comply with the RE Directive </w:t>
      </w:r>
      <w:r w:rsidRPr="00BF392C">
        <w:rPr>
          <w:lang w:val="en-GB"/>
        </w:rPr>
        <w:fldChar w:fldCharType="begin"/>
      </w:r>
      <w:r w:rsidRPr="00BF392C">
        <w:rPr>
          <w:lang w:val="en-GB"/>
        </w:rPr>
        <w:instrText xml:space="preserve"> REF _Ref482018812 \r \h </w:instrText>
      </w:r>
      <w:r w:rsidRPr="00BF392C">
        <w:rPr>
          <w:lang w:val="en-GB"/>
        </w:rPr>
      </w:r>
      <w:r w:rsidRPr="00BF392C">
        <w:rPr>
          <w:lang w:val="en-GB"/>
        </w:rPr>
        <w:fldChar w:fldCharType="separate"/>
      </w:r>
      <w:r w:rsidR="00497129" w:rsidRPr="00BF392C">
        <w:rPr>
          <w:lang w:val="en-GB"/>
        </w:rPr>
        <w:t>[1]</w:t>
      </w:r>
      <w:r w:rsidRPr="00BF392C">
        <w:rPr>
          <w:lang w:val="en-GB"/>
        </w:rPr>
        <w:fldChar w:fldCharType="end"/>
      </w:r>
      <w:r w:rsidRPr="00BF392C">
        <w:rPr>
          <w:lang w:val="en-GB"/>
        </w:rPr>
        <w:t>. Conformity with the essential requirements of the RE Directive may be demonstrated by compliance with the applicable harmonised European standard(s) or by using the other conformity assessment procedures set out in the RE Directive</w:t>
      </w:r>
      <w:r w:rsidRPr="00BF392C">
        <w:rPr>
          <w:color w:val="000000"/>
          <w:lang w:val="en-GB"/>
        </w:rPr>
        <w:t>.</w:t>
      </w:r>
    </w:p>
    <w:p w14:paraId="48F15FEF" w14:textId="77777777" w:rsidR="003F3DD8" w:rsidRPr="00BF392C" w:rsidRDefault="003F3DD8">
      <w:pPr>
        <w:suppressAutoHyphens/>
        <w:spacing w:before="120"/>
        <w:ind w:left="720"/>
        <w:jc w:val="both"/>
        <w:rPr>
          <w:color w:val="000000"/>
          <w:lang w:val="en-GB"/>
        </w:rPr>
      </w:pPr>
    </w:p>
    <w:p w14:paraId="52506081" w14:textId="77777777" w:rsidR="006C31FD" w:rsidRDefault="006C31FD">
      <w:pPr>
        <w:rPr>
          <w:i/>
          <w:color w:val="D2232A"/>
          <w:lang w:val="en-GB"/>
        </w:rPr>
      </w:pPr>
      <w:r>
        <w:rPr>
          <w:i/>
          <w:color w:val="D2232A"/>
        </w:rPr>
        <w:br w:type="page"/>
      </w:r>
    </w:p>
    <w:p w14:paraId="48F15FF0" w14:textId="3E6F63B1" w:rsidR="003F3DD8" w:rsidRPr="00BF392C" w:rsidRDefault="00A91EB7">
      <w:pPr>
        <w:pStyle w:val="ECCParagraph"/>
        <w:rPr>
          <w:color w:val="D2232A"/>
        </w:rPr>
      </w:pPr>
      <w:r w:rsidRPr="00BF392C">
        <w:rPr>
          <w:i/>
          <w:color w:val="D2232A"/>
        </w:rPr>
        <w:lastRenderedPageBreak/>
        <w:t>DECIDES</w:t>
      </w:r>
      <w:r w:rsidRPr="00BF392C">
        <w:rPr>
          <w:color w:val="D2232A"/>
        </w:rPr>
        <w:t xml:space="preserve"> </w:t>
      </w:r>
    </w:p>
    <w:p w14:paraId="48F15FF1" w14:textId="2F845109" w:rsidR="003F3DD8" w:rsidRPr="00BF392C" w:rsidRDefault="00A91EB7">
      <w:pPr>
        <w:pStyle w:val="ECCNumbered-LetteredList"/>
        <w:rPr>
          <w:szCs w:val="20"/>
          <w:lang w:val="en-GB"/>
        </w:rPr>
      </w:pPr>
      <w:r w:rsidRPr="00BF392C">
        <w:rPr>
          <w:lang w:val="en-GB"/>
        </w:rPr>
        <w:t xml:space="preserve">that CEPT administrations shall designate the frequency band 24.25-27.5 GHz for MFCN on a non-exclusive basis to Mobile/Fixed Communications Networks (MFCN) taking into account </w:t>
      </w:r>
      <w:r w:rsidRPr="00BF392C">
        <w:rPr>
          <w:i/>
          <w:lang w:val="en-GB"/>
        </w:rPr>
        <w:t>considerings</w:t>
      </w:r>
      <w:r w:rsidRPr="00BF392C">
        <w:rPr>
          <w:lang w:val="en-GB"/>
        </w:rPr>
        <w:t xml:space="preserve"> </w:t>
      </w:r>
      <w:r w:rsidR="00E24D2B" w:rsidRPr="00BF392C">
        <w:rPr>
          <w:lang w:val="en-GB"/>
        </w:rPr>
        <w:fldChar w:fldCharType="begin"/>
      </w:r>
      <w:r w:rsidR="00E24D2B" w:rsidRPr="00BF392C">
        <w:rPr>
          <w:lang w:val="en-GB"/>
        </w:rPr>
        <w:instrText xml:space="preserve"> REF _Ref507685627 \r \h </w:instrText>
      </w:r>
      <w:r w:rsidR="00C31E3D" w:rsidRPr="00BF392C">
        <w:rPr>
          <w:lang w:val="en-GB"/>
        </w:rPr>
        <w:instrText xml:space="preserve"> \* MERGEFORMAT </w:instrText>
      </w:r>
      <w:r w:rsidR="00E24D2B" w:rsidRPr="00BF392C">
        <w:rPr>
          <w:lang w:val="en-GB"/>
        </w:rPr>
      </w:r>
      <w:r w:rsidR="00E24D2B" w:rsidRPr="00BF392C">
        <w:rPr>
          <w:lang w:val="en-GB"/>
        </w:rPr>
        <w:fldChar w:fldCharType="separate"/>
      </w:r>
      <w:r w:rsidR="00497129" w:rsidRPr="00BF392C">
        <w:rPr>
          <w:lang w:val="en-GB"/>
        </w:rPr>
        <w:t>j)</w:t>
      </w:r>
      <w:r w:rsidR="00E24D2B" w:rsidRPr="00BF392C">
        <w:rPr>
          <w:lang w:val="en-GB"/>
        </w:rPr>
        <w:fldChar w:fldCharType="end"/>
      </w:r>
      <w:r w:rsidRPr="00BF392C">
        <w:rPr>
          <w:lang w:val="en-GB"/>
        </w:rPr>
        <w:t xml:space="preserve">, </w:t>
      </w:r>
      <w:r w:rsidR="00497129" w:rsidRPr="00BF392C">
        <w:rPr>
          <w:lang w:val="en-GB"/>
        </w:rPr>
        <w:fldChar w:fldCharType="begin"/>
      </w:r>
      <w:r w:rsidR="00497129" w:rsidRPr="00BF392C">
        <w:rPr>
          <w:lang w:val="en-GB"/>
        </w:rPr>
        <w:instrText xml:space="preserve"> REF _Ref507685631 \r \h </w:instrText>
      </w:r>
      <w:r w:rsidR="00497129" w:rsidRPr="00BF392C">
        <w:rPr>
          <w:lang w:val="en-GB"/>
        </w:rPr>
      </w:r>
      <w:r w:rsidR="00497129" w:rsidRPr="00BF392C">
        <w:rPr>
          <w:lang w:val="en-GB"/>
        </w:rPr>
        <w:fldChar w:fldCharType="separate"/>
      </w:r>
      <w:r w:rsidR="00497129" w:rsidRPr="00BF392C">
        <w:rPr>
          <w:lang w:val="en-GB"/>
        </w:rPr>
        <w:t>o)</w:t>
      </w:r>
      <w:r w:rsidR="00497129" w:rsidRPr="00BF392C">
        <w:rPr>
          <w:lang w:val="en-GB"/>
        </w:rPr>
        <w:fldChar w:fldCharType="end"/>
      </w:r>
      <w:r w:rsidR="00A1088F">
        <w:rPr>
          <w:lang w:val="en-GB"/>
        </w:rPr>
        <w:t xml:space="preserve"> and</w:t>
      </w:r>
      <w:r w:rsidRPr="00BF392C">
        <w:rPr>
          <w:lang w:val="en-GB"/>
        </w:rPr>
        <w:t xml:space="preserve"> </w:t>
      </w:r>
      <w:r w:rsidR="00497129" w:rsidRPr="00BF392C">
        <w:rPr>
          <w:lang w:val="en-GB"/>
        </w:rPr>
        <w:fldChar w:fldCharType="begin"/>
      </w:r>
      <w:r w:rsidR="00497129" w:rsidRPr="00BF392C">
        <w:rPr>
          <w:lang w:val="en-GB"/>
        </w:rPr>
        <w:instrText xml:space="preserve"> REF _Ref515868690 \r \h </w:instrText>
      </w:r>
      <w:r w:rsidR="00497129" w:rsidRPr="00BF392C">
        <w:rPr>
          <w:lang w:val="en-GB"/>
        </w:rPr>
      </w:r>
      <w:r w:rsidR="00497129" w:rsidRPr="00BF392C">
        <w:rPr>
          <w:lang w:val="en-GB"/>
        </w:rPr>
        <w:fldChar w:fldCharType="separate"/>
      </w:r>
      <w:r w:rsidR="00497129" w:rsidRPr="00BF392C">
        <w:rPr>
          <w:lang w:val="en-GB"/>
        </w:rPr>
        <w:t>p)</w:t>
      </w:r>
      <w:r w:rsidR="00497129" w:rsidRPr="00BF392C">
        <w:rPr>
          <w:lang w:val="en-GB"/>
        </w:rPr>
        <w:fldChar w:fldCharType="end"/>
      </w:r>
      <w:r w:rsidRPr="00BF392C">
        <w:rPr>
          <w:lang w:val="en-GB"/>
        </w:rPr>
        <w:t>;</w:t>
      </w:r>
    </w:p>
    <w:p w14:paraId="48F15FF2" w14:textId="336A75E8" w:rsidR="003F3DD8" w:rsidRPr="00BF392C" w:rsidRDefault="00A91EB7">
      <w:pPr>
        <w:pStyle w:val="ECCNumbered-LetteredList"/>
        <w:spacing w:before="240"/>
        <w:rPr>
          <w:szCs w:val="20"/>
          <w:lang w:val="en-GB"/>
        </w:rPr>
      </w:pPr>
      <w:r w:rsidRPr="00BF392C">
        <w:rPr>
          <w:lang w:val="en-GB"/>
        </w:rPr>
        <w:t xml:space="preserve">that CEPT administrations shall make available by </w:t>
      </w:r>
      <w:r w:rsidR="00163C55">
        <w:rPr>
          <w:lang w:val="en-GB"/>
        </w:rPr>
        <w:t xml:space="preserve">the end of </w:t>
      </w:r>
      <w:r w:rsidRPr="00BF392C">
        <w:rPr>
          <w:lang w:val="en-GB"/>
        </w:rPr>
        <w:t>2020 at least 1 GHz for MFCN in this band, subject to market demand;</w:t>
      </w:r>
    </w:p>
    <w:p w14:paraId="48F15FF3" w14:textId="77777777" w:rsidR="003F3DD8" w:rsidRPr="00BF392C" w:rsidRDefault="003F3DD8">
      <w:pPr>
        <w:pStyle w:val="ECCNumbered-LetteredList"/>
        <w:numPr>
          <w:ilvl w:val="0"/>
          <w:numId w:val="0"/>
        </w:numPr>
        <w:ind w:left="340"/>
        <w:rPr>
          <w:szCs w:val="20"/>
          <w:lang w:val="en-GB"/>
        </w:rPr>
      </w:pPr>
    </w:p>
    <w:p w14:paraId="48F15FF4" w14:textId="563A3CDB" w:rsidR="003F3DD8" w:rsidRPr="00BF392C" w:rsidRDefault="00A91EB7">
      <w:pPr>
        <w:pStyle w:val="ECCNumbered-LetteredList"/>
        <w:rPr>
          <w:lang w:val="en-GB"/>
        </w:rPr>
      </w:pPr>
      <w:r w:rsidRPr="00BF392C">
        <w:rPr>
          <w:lang w:val="en-GB"/>
        </w:rPr>
        <w:t xml:space="preserve">that CEPT administrations wishing to introduce MFCN in the band 24.25-27.5 GHz shall apply the frequency arrangement and technical conditions according to decides </w:t>
      </w:r>
      <w:r w:rsidRPr="00BF392C">
        <w:rPr>
          <w:lang w:val="en-GB"/>
        </w:rPr>
        <w:fldChar w:fldCharType="begin"/>
      </w:r>
      <w:r w:rsidRPr="00BF392C">
        <w:rPr>
          <w:lang w:val="en-GB"/>
        </w:rPr>
        <w:instrText xml:space="preserve"> REF _Ref507685679 \r \h  \* MERGEFORMAT </w:instrText>
      </w:r>
      <w:r w:rsidRPr="00BF392C">
        <w:rPr>
          <w:lang w:val="en-GB"/>
        </w:rPr>
      </w:r>
      <w:r w:rsidRPr="00BF392C">
        <w:rPr>
          <w:lang w:val="en-GB"/>
        </w:rPr>
        <w:fldChar w:fldCharType="separate"/>
      </w:r>
      <w:r w:rsidR="00497129" w:rsidRPr="00BF392C">
        <w:rPr>
          <w:lang w:val="en-GB"/>
        </w:rPr>
        <w:t>4</w:t>
      </w:r>
      <w:r w:rsidRPr="00BF392C">
        <w:rPr>
          <w:lang w:val="en-GB"/>
        </w:rPr>
        <w:fldChar w:fldCharType="end"/>
      </w:r>
      <w:r w:rsidR="00163C55">
        <w:rPr>
          <w:lang w:val="en-GB"/>
        </w:rPr>
        <w:t>,</w:t>
      </w:r>
      <w:r w:rsidRPr="00BF392C">
        <w:rPr>
          <w:lang w:val="en-GB"/>
        </w:rPr>
        <w:t xml:space="preserve"> </w:t>
      </w:r>
      <w:r w:rsidRPr="00BF392C">
        <w:rPr>
          <w:lang w:val="en-GB"/>
        </w:rPr>
        <w:fldChar w:fldCharType="begin"/>
      </w:r>
      <w:r w:rsidRPr="00BF392C">
        <w:rPr>
          <w:lang w:val="en-GB"/>
        </w:rPr>
        <w:instrText xml:space="preserve"> REF _Ref507685683 \r \h  \* MERGEFORMAT </w:instrText>
      </w:r>
      <w:r w:rsidRPr="00BF392C">
        <w:rPr>
          <w:lang w:val="en-GB"/>
        </w:rPr>
      </w:r>
      <w:r w:rsidRPr="00BF392C">
        <w:rPr>
          <w:lang w:val="en-GB"/>
        </w:rPr>
        <w:fldChar w:fldCharType="separate"/>
      </w:r>
      <w:r w:rsidR="00497129" w:rsidRPr="00BF392C">
        <w:rPr>
          <w:lang w:val="en-GB"/>
        </w:rPr>
        <w:t>5</w:t>
      </w:r>
      <w:r w:rsidRPr="00BF392C">
        <w:rPr>
          <w:lang w:val="en-GB"/>
        </w:rPr>
        <w:fldChar w:fldCharType="end"/>
      </w:r>
      <w:r w:rsidR="00163C55">
        <w:rPr>
          <w:lang w:val="en-GB"/>
        </w:rPr>
        <w:t xml:space="preserve"> and 7</w:t>
      </w:r>
      <w:r w:rsidRPr="00BF392C">
        <w:rPr>
          <w:lang w:val="en-GB"/>
        </w:rPr>
        <w:t>;</w:t>
      </w:r>
    </w:p>
    <w:p w14:paraId="48F15FF5" w14:textId="77777777" w:rsidR="003F3DD8" w:rsidRPr="00BF392C" w:rsidRDefault="003F3DD8">
      <w:pPr>
        <w:pStyle w:val="ECCNumbered-LetteredList"/>
        <w:numPr>
          <w:ilvl w:val="0"/>
          <w:numId w:val="0"/>
        </w:numPr>
        <w:rPr>
          <w:lang w:val="en-GB"/>
        </w:rPr>
      </w:pPr>
    </w:p>
    <w:p w14:paraId="48F15FF6" w14:textId="77777777" w:rsidR="003F3DD8" w:rsidRPr="00BF392C" w:rsidRDefault="00A91EB7">
      <w:pPr>
        <w:pStyle w:val="ECCNumbered-LetteredList"/>
        <w:rPr>
          <w:lang w:val="en-GB"/>
        </w:rPr>
      </w:pPr>
      <w:bookmarkStart w:id="5" w:name="_Ref507685679"/>
      <w:r w:rsidRPr="00BF392C">
        <w:rPr>
          <w:lang w:val="en-GB"/>
        </w:rPr>
        <w:t>that the MFCN frequency arrangement in the band 24.25-27.5 GHz is an unpaired Time Division Duplex (TDD) frequency arrangement as provided in Annex 1;</w:t>
      </w:r>
      <w:bookmarkEnd w:id="5"/>
    </w:p>
    <w:p w14:paraId="48F15FF7" w14:textId="77777777" w:rsidR="003F3DD8" w:rsidRPr="00BF392C" w:rsidRDefault="00A91EB7">
      <w:pPr>
        <w:pStyle w:val="ECCNumbered-LetteredList"/>
        <w:spacing w:before="240"/>
        <w:rPr>
          <w:lang w:val="en-GB"/>
        </w:rPr>
      </w:pPr>
      <w:bookmarkStart w:id="6" w:name="_Ref507685683"/>
      <w:r w:rsidRPr="00BF392C">
        <w:rPr>
          <w:lang w:val="en-GB"/>
        </w:rPr>
        <w:t>that the Least Restrictive Technical Conditions (LRTC) specified in Annex 2 shall apply to the MFCN systems;</w:t>
      </w:r>
      <w:bookmarkEnd w:id="6"/>
    </w:p>
    <w:p w14:paraId="48F15FF8" w14:textId="77777777" w:rsidR="003F3DD8" w:rsidRPr="00BF392C" w:rsidRDefault="00A91EB7">
      <w:pPr>
        <w:pStyle w:val="ECCNumbered-LetteredList"/>
        <w:spacing w:before="240"/>
        <w:rPr>
          <w:lang w:val="en-GB"/>
        </w:rPr>
      </w:pPr>
      <w:r w:rsidRPr="00BF392C">
        <w:rPr>
          <w:lang w:val="en-GB"/>
        </w:rPr>
        <w:t>that this Decision does not preclude the use of the band by other services to which the band is allocated;</w:t>
      </w:r>
    </w:p>
    <w:p w14:paraId="48F15FF9" w14:textId="133D8A6F" w:rsidR="003F3DD8" w:rsidRPr="00B47C20" w:rsidRDefault="00A91EB7">
      <w:pPr>
        <w:pStyle w:val="ECCNumbered-LetteredList"/>
        <w:spacing w:before="240"/>
        <w:rPr>
          <w:lang w:val="en-GB"/>
        </w:rPr>
      </w:pPr>
      <w:r w:rsidRPr="00B47C20">
        <w:rPr>
          <w:lang w:val="en-GB"/>
        </w:rPr>
        <w:t xml:space="preserve">that MFCN in the 24.25-27.5 GHz band shall not be used for connectivity </w:t>
      </w:r>
      <w:r w:rsidR="00951C9B" w:rsidRPr="00B47C20">
        <w:rPr>
          <w:lang w:val="en-GB"/>
        </w:rPr>
        <w:t>from base stations to</w:t>
      </w:r>
      <w:r w:rsidRPr="00B47C20">
        <w:rPr>
          <w:lang w:val="en-GB"/>
        </w:rPr>
        <w:t xml:space="preserve"> </w:t>
      </w:r>
      <w:r w:rsidR="00163C55">
        <w:rPr>
          <w:lang w:val="en-GB"/>
        </w:rPr>
        <w:t xml:space="preserve">terminals </w:t>
      </w:r>
      <w:r w:rsidR="00966AD7">
        <w:rPr>
          <w:lang w:val="en-GB"/>
        </w:rPr>
        <w:t xml:space="preserve">on-board </w:t>
      </w:r>
      <w:r w:rsidRPr="00B47C20">
        <w:rPr>
          <w:lang w:val="en-GB"/>
        </w:rPr>
        <w:t>UAV</w:t>
      </w:r>
      <w:r w:rsidR="00966AD7">
        <w:rPr>
          <w:lang w:val="en-GB"/>
        </w:rPr>
        <w:t xml:space="preserve"> and that only communications for connectivity from</w:t>
      </w:r>
      <w:r w:rsidR="00966AD7" w:rsidRPr="00966AD7">
        <w:rPr>
          <w:lang w:val="en-GB"/>
        </w:rPr>
        <w:t xml:space="preserve"> </w:t>
      </w:r>
      <w:r w:rsidR="00163C55">
        <w:rPr>
          <w:lang w:val="en-GB"/>
        </w:rPr>
        <w:t>terminals</w:t>
      </w:r>
      <w:r w:rsidR="00966AD7">
        <w:rPr>
          <w:lang w:val="en-GB"/>
        </w:rPr>
        <w:t xml:space="preserve"> on-board </w:t>
      </w:r>
      <w:r w:rsidR="00966AD7" w:rsidRPr="00B47C20">
        <w:rPr>
          <w:lang w:val="en-GB"/>
        </w:rPr>
        <w:t>UAV</w:t>
      </w:r>
      <w:r w:rsidR="00966AD7">
        <w:rPr>
          <w:lang w:val="en-GB"/>
        </w:rPr>
        <w:t xml:space="preserve"> to base stations is authori</w:t>
      </w:r>
      <w:r w:rsidR="000A43DE">
        <w:rPr>
          <w:lang w:val="en-GB"/>
        </w:rPr>
        <w:t>s</w:t>
      </w:r>
      <w:r w:rsidR="00966AD7">
        <w:rPr>
          <w:lang w:val="en-GB"/>
        </w:rPr>
        <w:t>ed</w:t>
      </w:r>
      <w:r w:rsidR="00FA2827">
        <w:rPr>
          <w:lang w:val="en-GB"/>
        </w:rPr>
        <w:t xml:space="preserve"> taking into account considering x)</w:t>
      </w:r>
      <w:r w:rsidR="00966AD7">
        <w:rPr>
          <w:lang w:val="en-GB"/>
        </w:rPr>
        <w:t xml:space="preserve"> </w:t>
      </w:r>
      <w:r w:rsidRPr="00B47C20">
        <w:rPr>
          <w:lang w:val="en-GB"/>
        </w:rPr>
        <w:t>;</w:t>
      </w:r>
    </w:p>
    <w:p w14:paraId="48F15FFA" w14:textId="4F34AA30" w:rsidR="003F3DD8" w:rsidRPr="00BF392C" w:rsidRDefault="00A91EB7">
      <w:pPr>
        <w:pStyle w:val="ECCNumbered-LetteredList"/>
        <w:spacing w:before="240"/>
        <w:rPr>
          <w:lang w:val="en-GB"/>
        </w:rPr>
      </w:pPr>
      <w:r w:rsidRPr="00BF392C">
        <w:rPr>
          <w:lang w:val="en-GB"/>
        </w:rPr>
        <w:t xml:space="preserve">that this Decision </w:t>
      </w:r>
      <w:r w:rsidRPr="00BF392C">
        <w:rPr>
          <w:b/>
          <w:lang w:val="en-GB"/>
        </w:rPr>
        <w:t>enters into force</w:t>
      </w:r>
      <w:r w:rsidRPr="00BF392C">
        <w:rPr>
          <w:lang w:val="en-GB"/>
        </w:rPr>
        <w:t xml:space="preserve"> on </w:t>
      </w:r>
      <w:r w:rsidR="004C1D51">
        <w:rPr>
          <w:lang w:val="en-GB"/>
        </w:rPr>
        <w:t>6 July</w:t>
      </w:r>
      <w:r w:rsidRPr="00BF392C">
        <w:rPr>
          <w:lang w:val="en-GB"/>
        </w:rPr>
        <w:t xml:space="preserve"> 2018; </w:t>
      </w:r>
    </w:p>
    <w:p w14:paraId="48F15FFB" w14:textId="3271D419" w:rsidR="003F3DD8" w:rsidRPr="00BF392C" w:rsidRDefault="00A91EB7">
      <w:pPr>
        <w:pStyle w:val="ECCNumbered-LetteredList"/>
        <w:spacing w:before="240"/>
        <w:rPr>
          <w:lang w:val="en-GB"/>
        </w:rPr>
      </w:pPr>
      <w:r w:rsidRPr="00BF392C">
        <w:rPr>
          <w:lang w:val="en-GB"/>
        </w:rPr>
        <w:t xml:space="preserve">that the preferred </w:t>
      </w:r>
      <w:r w:rsidRPr="00E85D58">
        <w:rPr>
          <w:b/>
          <w:lang w:val="en-GB"/>
        </w:rPr>
        <w:t>date for implementation</w:t>
      </w:r>
      <w:r w:rsidRPr="00BF392C">
        <w:rPr>
          <w:lang w:val="en-GB"/>
        </w:rPr>
        <w:t xml:space="preserve"> of this Decision shall be </w:t>
      </w:r>
      <w:r w:rsidR="004C1D51">
        <w:rPr>
          <w:lang w:val="en-GB"/>
        </w:rPr>
        <w:t>6 January 2019</w:t>
      </w:r>
      <w:r w:rsidRPr="00BF392C">
        <w:rPr>
          <w:lang w:val="en-GB"/>
        </w:rPr>
        <w:t xml:space="preserve"> </w:t>
      </w:r>
    </w:p>
    <w:p w14:paraId="48F15FFC" w14:textId="77777777" w:rsidR="003F3DD8" w:rsidRPr="00BF392C" w:rsidRDefault="00A91EB7">
      <w:pPr>
        <w:pStyle w:val="ECCNumbered-LetteredList"/>
        <w:spacing w:before="240"/>
        <w:rPr>
          <w:lang w:val="en-GB"/>
        </w:rPr>
      </w:pPr>
      <w:proofErr w:type="gramStart"/>
      <w:r w:rsidRPr="00BF392C">
        <w:rPr>
          <w:lang w:val="en-GB"/>
        </w:rPr>
        <w:t>that</w:t>
      </w:r>
      <w:proofErr w:type="gramEnd"/>
      <w:r w:rsidRPr="00BF392C">
        <w:rPr>
          <w:lang w:val="en-GB"/>
        </w:rPr>
        <w:t xml:space="preserve"> CEPT administrations shall communicate the </w:t>
      </w:r>
      <w:r w:rsidRPr="00BF392C">
        <w:rPr>
          <w:b/>
          <w:lang w:val="en-GB"/>
        </w:rPr>
        <w:t>national measures</w:t>
      </w:r>
      <w:r w:rsidRPr="00BF392C">
        <w:rPr>
          <w:lang w:val="en-GB"/>
        </w:rPr>
        <w:t xml:space="preserve"> implementing this Decision to the ECC Chairman and the Office when the Decision is nationally implemented.</w:t>
      </w:r>
    </w:p>
    <w:p w14:paraId="48F15FFD" w14:textId="77777777" w:rsidR="003F3DD8" w:rsidRPr="00BF392C" w:rsidRDefault="003F3DD8">
      <w:pPr>
        <w:pStyle w:val="ECCParagraph"/>
        <w:keepNext/>
      </w:pPr>
    </w:p>
    <w:p w14:paraId="48F15FFE" w14:textId="77777777" w:rsidR="003F3DD8" w:rsidRPr="00BF392C" w:rsidRDefault="00A91EB7">
      <w:pPr>
        <w:pStyle w:val="ECCParagraph"/>
        <w:keepNext/>
        <w:rPr>
          <w:i/>
          <w:color w:val="D2232A"/>
        </w:rPr>
      </w:pPr>
      <w:r w:rsidRPr="00BF392C">
        <w:rPr>
          <w:i/>
          <w:color w:val="D2232A"/>
        </w:rPr>
        <w:t xml:space="preserve">Note: </w:t>
      </w:r>
    </w:p>
    <w:p w14:paraId="48F15FFF" w14:textId="2D90483B" w:rsidR="00E85D58" w:rsidRDefault="00A91EB7">
      <w:pPr>
        <w:pStyle w:val="ECCParagraph"/>
        <w:keepNext/>
        <w:rPr>
          <w:i/>
          <w:szCs w:val="20"/>
        </w:rPr>
      </w:pPr>
      <w:r w:rsidRPr="00BF392C">
        <w:rPr>
          <w:i/>
          <w:szCs w:val="20"/>
        </w:rPr>
        <w:t>Please check the Office documentation database http</w:t>
      </w:r>
      <w:r w:rsidR="006C31FD">
        <w:rPr>
          <w:i/>
          <w:szCs w:val="20"/>
        </w:rPr>
        <w:t>s</w:t>
      </w:r>
      <w:r w:rsidRPr="00BF392C">
        <w:rPr>
          <w:i/>
          <w:szCs w:val="20"/>
        </w:rPr>
        <w:t>://www.ecodocdb.dk for the up to date position on the implementation of this and other ECC Decisions.</w:t>
      </w:r>
    </w:p>
    <w:p w14:paraId="132FBCA7" w14:textId="77777777" w:rsidR="00E85D58" w:rsidRDefault="00E85D58">
      <w:pPr>
        <w:rPr>
          <w:i/>
          <w:szCs w:val="20"/>
          <w:lang w:val="en-GB"/>
        </w:rPr>
      </w:pPr>
      <w:r>
        <w:rPr>
          <w:i/>
          <w:szCs w:val="20"/>
        </w:rPr>
        <w:br w:type="page"/>
      </w:r>
    </w:p>
    <w:p w14:paraId="48F16000" w14:textId="08AD7C84" w:rsidR="003F3DD8" w:rsidRPr="00BF392C" w:rsidRDefault="00A91EB7">
      <w:pPr>
        <w:pStyle w:val="ECCAnnex-heading1"/>
      </w:pPr>
      <w:r w:rsidRPr="00BF392C">
        <w:lastRenderedPageBreak/>
        <w:t>harmonised frequency arrangement for the band 24.25–27.5 GHz</w:t>
      </w:r>
    </w:p>
    <w:p w14:paraId="48F16001" w14:textId="53E282B2" w:rsidR="003F3DD8" w:rsidRPr="00BF392C" w:rsidRDefault="00A91EB7">
      <w:pPr>
        <w:pStyle w:val="ECCParBulleted"/>
      </w:pPr>
      <w:r w:rsidRPr="00BF392C">
        <w:t>The frequency arrangement is a TDD arrangement with a block size of 200 MHz</w:t>
      </w:r>
      <w:r w:rsidR="00A77CE0">
        <w:t>;</w:t>
      </w:r>
    </w:p>
    <w:p w14:paraId="48F16002" w14:textId="33BCC8AC" w:rsidR="003F3DD8" w:rsidRPr="00BF392C" w:rsidRDefault="00A91EB7">
      <w:pPr>
        <w:pStyle w:val="ECCParBulleted"/>
      </w:pPr>
      <w:r w:rsidRPr="00BF392C">
        <w:t>This block size could be adjusted to n</w:t>
      </w:r>
      <w:r w:rsidRPr="00BF392C">
        <w:rPr>
          <w:rFonts w:cs="Arial"/>
        </w:rPr>
        <w:t>arrower blocks (multiples of 50 MHz) adjacent to other users, to allow full use of spectrum, if required (see Annex 2)</w:t>
      </w:r>
      <w:r w:rsidR="00A77CE0">
        <w:rPr>
          <w:rFonts w:cs="Arial"/>
        </w:rPr>
        <w:t>;</w:t>
      </w:r>
    </w:p>
    <w:p w14:paraId="48F16003" w14:textId="77777777" w:rsidR="003F3DD8" w:rsidRPr="00BF392C" w:rsidRDefault="00A91EB7">
      <w:pPr>
        <w:pStyle w:val="ECCParBulleted"/>
      </w:pPr>
      <w:r w:rsidRPr="00BF392C">
        <w:rPr>
          <w:rFonts w:cs="Arial"/>
        </w:rPr>
        <w:t>If blocks need to be offset to accommodate other uses, this shift should be done in 10 MHz steps.</w:t>
      </w:r>
    </w:p>
    <w:p w14:paraId="48F16004" w14:textId="77777777" w:rsidR="003F3DD8" w:rsidRPr="00BF392C" w:rsidRDefault="003F3DD8">
      <w:pPr>
        <w:pStyle w:val="ECCParBulleted"/>
        <w:numPr>
          <w:ilvl w:val="0"/>
          <w:numId w:val="0"/>
        </w:numPr>
        <w:ind w:left="360" w:hanging="360"/>
      </w:pPr>
    </w:p>
    <w:p w14:paraId="48F16005" w14:textId="77777777" w:rsidR="003F3DD8" w:rsidRPr="00BF392C" w:rsidRDefault="00A91EB7">
      <w:pPr>
        <w:pStyle w:val="ECCParBulleted"/>
        <w:numPr>
          <w:ilvl w:val="0"/>
          <w:numId w:val="0"/>
        </w:numPr>
      </w:pPr>
      <w:r w:rsidRPr="00BF392C">
        <w:rPr>
          <w:noProof/>
          <w:lang w:val="da-DK" w:eastAsia="da-DK"/>
        </w:rPr>
        <w:drawing>
          <wp:inline distT="0" distB="0" distL="0" distR="0" wp14:anchorId="48F160B3" wp14:editId="6FBF72FE">
            <wp:extent cx="6120765" cy="635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vice Independent Bitmap) 1.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635635"/>
                    </a:xfrm>
                    <a:prstGeom prst="rect">
                      <a:avLst/>
                    </a:prstGeom>
                  </pic:spPr>
                </pic:pic>
              </a:graphicData>
            </a:graphic>
          </wp:inline>
        </w:drawing>
      </w:r>
    </w:p>
    <w:p w14:paraId="48F16006" w14:textId="77777777" w:rsidR="003F3DD8" w:rsidRPr="00BF392C" w:rsidRDefault="00A91EB7">
      <w:pPr>
        <w:pStyle w:val="ECCFiguretitle"/>
        <w:widowControl w:val="0"/>
        <w:ind w:left="357" w:hanging="357"/>
      </w:pPr>
      <w:r w:rsidRPr="00BF392C">
        <w:t>Example of possible frequency arrangements for MFCN in the 24.25-27.5 GHz band</w:t>
      </w:r>
    </w:p>
    <w:p w14:paraId="48F16007" w14:textId="77777777" w:rsidR="003F3DD8" w:rsidRPr="00BF392C" w:rsidRDefault="003F3DD8">
      <w:pPr>
        <w:pStyle w:val="ECCParBulleted"/>
        <w:numPr>
          <w:ilvl w:val="0"/>
          <w:numId w:val="0"/>
        </w:numPr>
      </w:pPr>
    </w:p>
    <w:p w14:paraId="48F16008" w14:textId="77777777" w:rsidR="003F3DD8" w:rsidRPr="00BF392C" w:rsidRDefault="003F3DD8">
      <w:pPr>
        <w:pStyle w:val="ECCParBulleted"/>
        <w:numPr>
          <w:ilvl w:val="0"/>
          <w:numId w:val="0"/>
        </w:numPr>
      </w:pPr>
    </w:p>
    <w:p w14:paraId="48F16009" w14:textId="77777777" w:rsidR="003F3DD8" w:rsidRPr="00BF392C" w:rsidRDefault="00A91EB7">
      <w:pPr>
        <w:pStyle w:val="ECCAnnex-heading1"/>
      </w:pPr>
      <w:r w:rsidRPr="00BF392C">
        <w:lastRenderedPageBreak/>
        <w:t xml:space="preserve">least restrictive technical conditions (LRTC) for the MFCN SYSTEMS </w:t>
      </w:r>
    </w:p>
    <w:p w14:paraId="48F1600A" w14:textId="57CEB9F0" w:rsidR="003F3DD8" w:rsidRPr="00BF392C" w:rsidRDefault="00A91EB7">
      <w:pPr>
        <w:pStyle w:val="ECCParagraph"/>
      </w:pPr>
      <w:r w:rsidRPr="00BF392C">
        <w:rPr>
          <w:bCs/>
        </w:rPr>
        <w:t xml:space="preserve">The technical conditions presented in this annex </w:t>
      </w:r>
      <w:r w:rsidRPr="00BF392C">
        <w:t>have been developed on the basis that the authorisation regime is expected to be on an individual authorisation basis</w:t>
      </w:r>
      <w:r w:rsidRPr="00BF392C">
        <w:rPr>
          <w:color w:val="000000"/>
          <w:lang w:eastAsia="bn-IN" w:bidi="bn-IN"/>
        </w:rPr>
        <w:t>. These conditions include provisions related to the coexistence between MFCN systems</w:t>
      </w:r>
      <w:r w:rsidRPr="00BF392C">
        <w:rPr>
          <w:bCs/>
        </w:rPr>
        <w:t xml:space="preserve"> in the form of block edge masks (BEMs), i.e.</w:t>
      </w:r>
      <w:r w:rsidRPr="00BF392C">
        <w:t xml:space="preserve"> related to spectrum licensing and the avoidance of interference between users of spectrum, as well as provisions related to the coexistence with EESS (passive) in the form of unwanted emission limits in the bands 23.6-24 GHz</w:t>
      </w:r>
      <w:r w:rsidR="00D46EBB">
        <w:t xml:space="preserve">. </w:t>
      </w:r>
    </w:p>
    <w:p w14:paraId="48F1600B" w14:textId="743D986A" w:rsidR="003F3DD8" w:rsidRPr="00BF392C" w:rsidRDefault="00A91EB7">
      <w:pPr>
        <w:pStyle w:val="ECCParagraph"/>
        <w:rPr>
          <w:bCs/>
        </w:rPr>
      </w:pPr>
      <w:r w:rsidRPr="00BF392C">
        <w:t xml:space="preserve">A BEM is an emission mask that is defined, as a function of frequency, relative to the edge of a block of spectrum that is licensed to an operator. </w:t>
      </w:r>
      <w:r w:rsidRPr="00BF392C">
        <w:rPr>
          <w:bCs/>
        </w:rPr>
        <w:t>It consists of components which specify the permitted emission levels</w:t>
      </w:r>
      <w:r w:rsidR="00B34637">
        <w:rPr>
          <w:bCs/>
        </w:rPr>
        <w:t xml:space="preserve"> in adjacent blocks (</w:t>
      </w:r>
      <w:r w:rsidR="00F730AC">
        <w:rPr>
          <w:bCs/>
        </w:rPr>
        <w:t xml:space="preserve">transitional region </w:t>
      </w:r>
      <w:r w:rsidR="00F730AC" w:rsidRPr="00BF392C">
        <w:t>0-50 MHz below or above operator block</w:t>
      </w:r>
      <w:r w:rsidR="00F730AC">
        <w:rPr>
          <w:bCs/>
        </w:rPr>
        <w:t xml:space="preserve">) and </w:t>
      </w:r>
      <w:r w:rsidR="00455CB9">
        <w:rPr>
          <w:bCs/>
        </w:rPr>
        <w:t>non-adjacent blocks in the band.</w:t>
      </w:r>
      <w:r w:rsidRPr="00BF392C">
        <w:rPr>
          <w:bCs/>
        </w:rPr>
        <w:t xml:space="preserve"> </w:t>
      </w:r>
    </w:p>
    <w:p w14:paraId="48F1600C" w14:textId="1CD0F170" w:rsidR="003F3DD8" w:rsidRPr="00BF392C" w:rsidRDefault="00A91EB7">
      <w:pPr>
        <w:pStyle w:val="ECCParagraph"/>
      </w:pPr>
      <w:r w:rsidRPr="00BF392C">
        <w:t xml:space="preserve">The technical conditions derived below for the frequency range </w:t>
      </w:r>
      <w:r w:rsidRPr="00BF392C">
        <w:rPr>
          <w:bCs/>
        </w:rPr>
        <w:t>24.25-27.5 GHz</w:t>
      </w:r>
      <w:r w:rsidRPr="00BF392C">
        <w:t xml:space="preserve"> are optimised for, but not limited to, fixed/mobile communications networks (two-way). Therefore, they are derived both for base stations (BS) and terminal stations (TS). The BEMs have been developed to ensure coexistence with other MFCN blocks, as well as other services and applications in</w:t>
      </w:r>
      <w:r w:rsidRPr="00BF392C">
        <w:rPr>
          <w:sz w:val="16"/>
        </w:rPr>
        <w:t xml:space="preserve"> </w:t>
      </w:r>
      <w:r w:rsidRPr="00BF392C">
        <w:t>adjacent bands</w:t>
      </w:r>
      <w:r w:rsidR="00675351">
        <w:t>.</w:t>
      </w:r>
      <w:r w:rsidRPr="00BF392C">
        <w:t xml:space="preserve"> Additional measures may be required at a national level to achieve coexistence with other services and applications. </w:t>
      </w:r>
    </w:p>
    <w:p w14:paraId="48F1600D" w14:textId="77777777" w:rsidR="003F3DD8" w:rsidRPr="00BF392C" w:rsidRDefault="00A91EB7">
      <w:pPr>
        <w:pStyle w:val="ECCAnnexheading2"/>
        <w:rPr>
          <w:lang w:val="en-GB"/>
        </w:rPr>
      </w:pPr>
      <w:r w:rsidRPr="00BF392C">
        <w:rPr>
          <w:lang w:val="en-GB"/>
        </w:rPr>
        <w:t>Base station</w:t>
      </w:r>
    </w:p>
    <w:p w14:paraId="48F1600E" w14:textId="1413AA2E" w:rsidR="003F3DD8" w:rsidRPr="00BF392C" w:rsidRDefault="00A91EB7" w:rsidP="004A160C">
      <w:pPr>
        <w:pStyle w:val="ECCParagraph"/>
      </w:pPr>
      <w:r w:rsidRPr="00BF392C">
        <w:t xml:space="preserve">The MFCN Base Station (BS) BEM consists of a baseline level, designed to protect the spectrum of other MFCN operators as well as </w:t>
      </w:r>
      <w:r w:rsidR="0081301B">
        <w:t xml:space="preserve">emission limits to protect </w:t>
      </w:r>
      <w:r w:rsidRPr="00BF392C">
        <w:t xml:space="preserve">adjacent services (additional baseline level(s)), and transitional levels </w:t>
      </w:r>
      <w:r w:rsidR="004A160C">
        <w:t>for coexistence between MFCN networks in adjacent blocks</w:t>
      </w:r>
      <w:r w:rsidR="00825B1F">
        <w:t>.</w:t>
      </w:r>
      <w:r w:rsidRPr="00BF392C">
        <w:t xml:space="preserve"> </w:t>
      </w:r>
    </w:p>
    <w:p w14:paraId="48F1600F" w14:textId="076EECEC" w:rsidR="003F3DD8" w:rsidRPr="00BF392C" w:rsidRDefault="00A91EB7">
      <w:pPr>
        <w:pStyle w:val="ECCParagraph"/>
      </w:pPr>
      <w:r w:rsidRPr="00BF392C">
        <w:fldChar w:fldCharType="begin"/>
      </w:r>
      <w:r w:rsidRPr="00BF392C">
        <w:instrText xml:space="preserve"> REF _Ref507684840 \h </w:instrText>
      </w:r>
      <w:r w:rsidR="00C61FDE" w:rsidRPr="00BF392C">
        <w:instrText xml:space="preserve"> \* MERGEFORMAT </w:instrText>
      </w:r>
      <w:r w:rsidRPr="00BF392C">
        <w:fldChar w:fldCharType="separate"/>
      </w:r>
      <w:r w:rsidR="00497129" w:rsidRPr="00BF392C">
        <w:t>Table 1</w:t>
      </w:r>
      <w:r w:rsidRPr="00BF392C">
        <w:fldChar w:fldCharType="end"/>
      </w:r>
      <w:r w:rsidRPr="00BF392C">
        <w:t xml:space="preserve"> contains the different elements of the BS BEM, and </w:t>
      </w:r>
      <w:r w:rsidR="00C61FDE" w:rsidRPr="00BF392C">
        <w:fldChar w:fldCharType="begin"/>
      </w:r>
      <w:r w:rsidR="00C61FDE" w:rsidRPr="00BF392C">
        <w:instrText xml:space="preserve"> REF _Ref507684854 \h </w:instrText>
      </w:r>
      <w:r w:rsidR="00C61FDE" w:rsidRPr="00BF392C">
        <w:fldChar w:fldCharType="separate"/>
      </w:r>
      <w:r w:rsidR="005C49AE" w:rsidRPr="00BF392C">
        <w:t xml:space="preserve">Table </w:t>
      </w:r>
      <w:r w:rsidR="005C49AE" w:rsidRPr="00BF392C">
        <w:rPr>
          <w:noProof/>
        </w:rPr>
        <w:t>2</w:t>
      </w:r>
      <w:r w:rsidR="00C61FDE" w:rsidRPr="00BF392C">
        <w:fldChar w:fldCharType="end"/>
      </w:r>
      <w:r w:rsidR="00C61FDE" w:rsidRPr="00BF392C">
        <w:t xml:space="preserve"> </w:t>
      </w:r>
      <w:r w:rsidR="00A32EAA">
        <w:t>to</w:t>
      </w:r>
      <w:r w:rsidR="00125E21">
        <w:t xml:space="preserve"> </w:t>
      </w:r>
      <w:r w:rsidR="0068098B">
        <w:fldChar w:fldCharType="begin"/>
      </w:r>
      <w:r w:rsidR="0068098B">
        <w:instrText xml:space="preserve"> REF _Ref518515224 \h </w:instrText>
      </w:r>
      <w:r w:rsidR="0068098B">
        <w:fldChar w:fldCharType="separate"/>
      </w:r>
      <w:r w:rsidR="0068098B" w:rsidRPr="00BF392C">
        <w:t xml:space="preserve">Table </w:t>
      </w:r>
      <w:r w:rsidR="0068098B">
        <w:rPr>
          <w:noProof/>
        </w:rPr>
        <w:t>4</w:t>
      </w:r>
      <w:r w:rsidR="0068098B">
        <w:fldChar w:fldCharType="end"/>
      </w:r>
      <w:r w:rsidR="0068098B">
        <w:t xml:space="preserve"> </w:t>
      </w:r>
      <w:proofErr w:type="gramStart"/>
      <w:r w:rsidRPr="00BF392C">
        <w:t>contain</w:t>
      </w:r>
      <w:proofErr w:type="gramEnd"/>
      <w:r w:rsidRPr="00BF392C">
        <w:t xml:space="preserve"> the power limits for the different BEM elements.</w:t>
      </w:r>
    </w:p>
    <w:p w14:paraId="48F16010" w14:textId="77777777" w:rsidR="003F3DD8" w:rsidRPr="00BF392C" w:rsidRDefault="00A91EB7">
      <w:pPr>
        <w:pStyle w:val="ECCParagraph"/>
      </w:pPr>
      <w:r w:rsidRPr="00BF392C">
        <w:t>To obtain a BS BEM for a specific block the BEM elements that are defined in Table 1 are used as follows:</w:t>
      </w:r>
    </w:p>
    <w:p w14:paraId="48F16011" w14:textId="517469D9" w:rsidR="003F3DD8" w:rsidRPr="00BF392C" w:rsidRDefault="00A91EB7">
      <w:pPr>
        <w:pStyle w:val="ECCParBulleted"/>
      </w:pPr>
      <w:r w:rsidRPr="00BF392C">
        <w:t>Transitional regions are determined, and corresponding power limits are used</w:t>
      </w:r>
      <w:r w:rsidR="00A77CE0">
        <w:t>;</w:t>
      </w:r>
    </w:p>
    <w:p w14:paraId="48F16012" w14:textId="7A0D7A14" w:rsidR="003F3DD8" w:rsidRPr="00BF392C" w:rsidRDefault="00A91EB7">
      <w:pPr>
        <w:pStyle w:val="ECCParBulleted"/>
      </w:pPr>
      <w:r w:rsidRPr="00BF392C">
        <w:t>For remaining spectrum assigned to MFCN, baseline power limits are used</w:t>
      </w:r>
      <w:r w:rsidR="00A77CE0">
        <w:t>;</w:t>
      </w:r>
    </w:p>
    <w:p w14:paraId="48F16013" w14:textId="72113FB5" w:rsidR="003F3DD8" w:rsidRPr="00BF392C" w:rsidRDefault="00A91EB7">
      <w:pPr>
        <w:pStyle w:val="ECCParBulleted"/>
      </w:pPr>
      <w:r w:rsidRPr="00BF392C">
        <w:t xml:space="preserve">For protection of services in adjacent bands, additional </w:t>
      </w:r>
      <w:r w:rsidR="00FD68EA">
        <w:t xml:space="preserve">baseline </w:t>
      </w:r>
      <w:r w:rsidRPr="00BF392C">
        <w:t>is used.</w:t>
      </w:r>
    </w:p>
    <w:p w14:paraId="48F16014" w14:textId="1AC5F8EB" w:rsidR="003F3DD8" w:rsidRPr="00BF392C" w:rsidRDefault="00A91EB7">
      <w:pPr>
        <w:jc w:val="both"/>
        <w:rPr>
          <w:lang w:val="en-GB"/>
        </w:rPr>
      </w:pPr>
      <w:bookmarkStart w:id="7" w:name="_Hlk510559125"/>
      <w:r w:rsidRPr="00BF392C">
        <w:rPr>
          <w:lang w:val="en-GB"/>
        </w:rPr>
        <w:t xml:space="preserve">For MFCN base stations, baseline requirements and requirements for transitional regions in </w:t>
      </w:r>
      <w:r w:rsidR="00C31E3D" w:rsidRPr="00BF392C">
        <w:rPr>
          <w:lang w:val="en-GB"/>
        </w:rPr>
        <w:fldChar w:fldCharType="begin"/>
      </w:r>
      <w:r w:rsidR="00C31E3D" w:rsidRPr="00BF392C">
        <w:rPr>
          <w:lang w:val="en-GB"/>
        </w:rPr>
        <w:instrText xml:space="preserve"> REF _Ref507684854 \h  \* MERGEFORMAT </w:instrText>
      </w:r>
      <w:r w:rsidR="00C31E3D" w:rsidRPr="00BF392C">
        <w:rPr>
          <w:lang w:val="en-GB"/>
        </w:rPr>
      </w:r>
      <w:r w:rsidR="00C31E3D" w:rsidRPr="00BF392C">
        <w:rPr>
          <w:lang w:val="en-GB"/>
        </w:rPr>
        <w:fldChar w:fldCharType="separate"/>
      </w:r>
      <w:r w:rsidR="00497129" w:rsidRPr="00BF392C">
        <w:rPr>
          <w:lang w:val="en-GB"/>
        </w:rPr>
        <w:t xml:space="preserve">Table </w:t>
      </w:r>
      <w:r w:rsidR="00497129" w:rsidRPr="00BF392C">
        <w:rPr>
          <w:noProof/>
          <w:lang w:val="en-GB"/>
        </w:rPr>
        <w:t>2</w:t>
      </w:r>
      <w:r w:rsidR="00C31E3D" w:rsidRPr="00BF392C">
        <w:rPr>
          <w:lang w:val="en-GB"/>
        </w:rPr>
        <w:fldChar w:fldCharType="end"/>
      </w:r>
      <w:r w:rsidRPr="00BF392C">
        <w:rPr>
          <w:lang w:val="en-GB"/>
        </w:rPr>
        <w:t xml:space="preserve"> and </w:t>
      </w:r>
      <w:r w:rsidR="00C31E3D" w:rsidRPr="00BF392C">
        <w:rPr>
          <w:lang w:val="en-GB"/>
        </w:rPr>
        <w:fldChar w:fldCharType="begin"/>
      </w:r>
      <w:r w:rsidR="00C31E3D" w:rsidRPr="00BF392C">
        <w:rPr>
          <w:lang w:val="en-GB"/>
        </w:rPr>
        <w:instrText xml:space="preserve"> REF _Ref514761838 \h  \* MERGEFORMAT </w:instrText>
      </w:r>
      <w:r w:rsidR="00C31E3D" w:rsidRPr="00BF392C">
        <w:rPr>
          <w:lang w:val="en-GB"/>
        </w:rPr>
      </w:r>
      <w:r w:rsidR="00C31E3D" w:rsidRPr="00BF392C">
        <w:rPr>
          <w:lang w:val="en-GB"/>
        </w:rPr>
        <w:fldChar w:fldCharType="separate"/>
      </w:r>
      <w:r w:rsidR="00497129" w:rsidRPr="00BF392C">
        <w:rPr>
          <w:lang w:val="en-GB"/>
        </w:rPr>
        <w:t xml:space="preserve">Table </w:t>
      </w:r>
      <w:r w:rsidR="00497129" w:rsidRPr="00BF392C">
        <w:rPr>
          <w:noProof/>
          <w:lang w:val="en-GB"/>
        </w:rPr>
        <w:t>3</w:t>
      </w:r>
      <w:r w:rsidR="00C31E3D" w:rsidRPr="00BF392C">
        <w:rPr>
          <w:lang w:val="en-GB"/>
        </w:rPr>
        <w:fldChar w:fldCharType="end"/>
      </w:r>
      <w:r w:rsidRPr="00BF392C">
        <w:rPr>
          <w:lang w:val="en-GB"/>
        </w:rPr>
        <w:t xml:space="preserve"> assume synchroni</w:t>
      </w:r>
      <w:r w:rsidR="00C31E3D" w:rsidRPr="00BF392C">
        <w:rPr>
          <w:lang w:val="en-GB"/>
        </w:rPr>
        <w:t>s</w:t>
      </w:r>
      <w:r w:rsidRPr="00BF392C">
        <w:rPr>
          <w:lang w:val="en-GB"/>
        </w:rPr>
        <w:t xml:space="preserve">ed operation. </w:t>
      </w:r>
      <w:bookmarkEnd w:id="7"/>
      <w:r w:rsidRPr="00BF392C">
        <w:rPr>
          <w:lang w:val="en-GB"/>
        </w:rPr>
        <w:t xml:space="preserve">Operators of mobile/fixed communications networks (MFCN) in the </w:t>
      </w:r>
      <w:r w:rsidRPr="00BF392C">
        <w:rPr>
          <w:bCs/>
          <w:lang w:val="en-GB"/>
        </w:rPr>
        <w:t>24.25-27.5 GHz</w:t>
      </w:r>
      <w:r w:rsidRPr="00BF392C">
        <w:rPr>
          <w:lang w:val="en-GB"/>
        </w:rPr>
        <w:t xml:space="preserve"> band may agree, on a bilateral or multilateral basis, less stringent technical parameters provided that they continue to comply with the technical conditions applicable for the protection of other services, applications or networks and with their cross-border obligations. Administrations should ensure that these less stringent technical parameters can be used, if agreed among all affected parties.</w:t>
      </w:r>
    </w:p>
    <w:p w14:paraId="48F16015" w14:textId="4800FC43" w:rsidR="003F3DD8" w:rsidRPr="00BF392C" w:rsidRDefault="00A91EB7" w:rsidP="00417276">
      <w:pPr>
        <w:pStyle w:val="ECCTabletitle"/>
      </w:pPr>
      <w:bookmarkStart w:id="8" w:name="_Ref507684840"/>
      <w:bookmarkStart w:id="9" w:name="_Ref514761792"/>
      <w:r w:rsidRPr="00BF392C">
        <w:t xml:space="preserve">Table </w:t>
      </w:r>
      <w:fldSimple w:instr=" SEQ Table \* ARABIC ">
        <w:r w:rsidR="00F4107E" w:rsidRPr="00BF392C">
          <w:rPr>
            <w:noProof/>
          </w:rPr>
          <w:t>1</w:t>
        </w:r>
      </w:fldSimple>
      <w:bookmarkEnd w:id="8"/>
      <w:bookmarkEnd w:id="9"/>
      <w:r w:rsidRPr="00BF392C">
        <w:t>: MFCN BS BEM elements</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701"/>
        <w:gridCol w:w="7371"/>
      </w:tblGrid>
      <w:tr w:rsidR="003F3DD8" w:rsidRPr="00BF392C" w14:paraId="48F16018" w14:textId="77777777" w:rsidTr="00BA6716">
        <w:trPr>
          <w:tblHeader/>
        </w:trPr>
        <w:tc>
          <w:tcPr>
            <w:tcW w:w="1701"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8F16016" w14:textId="77777777" w:rsidR="003F3DD8" w:rsidRPr="00BF392C" w:rsidRDefault="00A91EB7" w:rsidP="002155A4">
            <w:pPr>
              <w:keepNext/>
              <w:keepLines/>
              <w:spacing w:before="60" w:after="60" w:line="288" w:lineRule="auto"/>
              <w:jc w:val="center"/>
              <w:rPr>
                <w:b/>
                <w:color w:val="FFFFFF"/>
                <w:lang w:val="en-GB"/>
              </w:rPr>
            </w:pPr>
            <w:r w:rsidRPr="00BF392C">
              <w:rPr>
                <w:b/>
                <w:color w:val="FFFFFF"/>
                <w:lang w:val="en-GB"/>
              </w:rPr>
              <w:t>BEM element</w:t>
            </w:r>
          </w:p>
        </w:tc>
        <w:tc>
          <w:tcPr>
            <w:tcW w:w="7371"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8F16017" w14:textId="77777777" w:rsidR="003F3DD8" w:rsidRPr="00BF392C" w:rsidRDefault="00A91EB7" w:rsidP="002155A4">
            <w:pPr>
              <w:keepNext/>
              <w:keepLines/>
              <w:spacing w:before="60" w:after="60" w:line="288" w:lineRule="auto"/>
              <w:jc w:val="center"/>
              <w:rPr>
                <w:b/>
                <w:color w:val="FFFFFF"/>
                <w:lang w:val="en-GB"/>
              </w:rPr>
            </w:pPr>
            <w:r w:rsidRPr="00BF392C">
              <w:rPr>
                <w:b/>
                <w:color w:val="FFFFFF"/>
                <w:lang w:val="en-GB"/>
              </w:rPr>
              <w:t>Definition</w:t>
            </w:r>
          </w:p>
        </w:tc>
      </w:tr>
      <w:tr w:rsidR="003F3DD8" w:rsidRPr="00BF392C" w14:paraId="48F1601B" w14:textId="77777777" w:rsidTr="00BA6716">
        <w:tc>
          <w:tcPr>
            <w:tcW w:w="1701" w:type="dxa"/>
            <w:tcBorders>
              <w:top w:val="single" w:sz="4" w:space="0" w:color="D2232A"/>
              <w:left w:val="single" w:sz="4" w:space="0" w:color="D2232A"/>
              <w:bottom w:val="single" w:sz="4" w:space="0" w:color="D2232A"/>
              <w:right w:val="single" w:sz="4" w:space="0" w:color="D2232A"/>
            </w:tcBorders>
            <w:vAlign w:val="center"/>
          </w:tcPr>
          <w:p w14:paraId="48F16019" w14:textId="77777777" w:rsidR="003F3DD8" w:rsidRPr="00BF392C" w:rsidRDefault="00A91EB7" w:rsidP="002155A4">
            <w:pPr>
              <w:keepNext/>
              <w:keepLines/>
              <w:spacing w:before="60" w:after="60" w:line="288" w:lineRule="auto"/>
              <w:rPr>
                <w:lang w:val="en-GB"/>
              </w:rPr>
            </w:pPr>
            <w:r w:rsidRPr="00BF392C">
              <w:rPr>
                <w:rFonts w:eastAsia="MS Mincho" w:cs="Arial"/>
                <w:lang w:val="en-GB" w:eastAsia="ja-JP"/>
              </w:rPr>
              <w:t>Baseline</w:t>
            </w:r>
          </w:p>
        </w:tc>
        <w:tc>
          <w:tcPr>
            <w:tcW w:w="7371" w:type="dxa"/>
            <w:tcBorders>
              <w:top w:val="single" w:sz="4" w:space="0" w:color="D2232A"/>
              <w:left w:val="single" w:sz="4" w:space="0" w:color="D2232A"/>
              <w:bottom w:val="single" w:sz="4" w:space="0" w:color="D2232A"/>
              <w:right w:val="single" w:sz="4" w:space="0" w:color="D2232A"/>
            </w:tcBorders>
            <w:vAlign w:val="center"/>
          </w:tcPr>
          <w:p w14:paraId="48F1601A" w14:textId="77777777" w:rsidR="003F3DD8" w:rsidRPr="00BF392C" w:rsidRDefault="00A91EB7" w:rsidP="002155A4">
            <w:pPr>
              <w:keepNext/>
              <w:keepLines/>
              <w:spacing w:before="60" w:after="60"/>
              <w:rPr>
                <w:lang w:val="en-GB"/>
              </w:rPr>
            </w:pPr>
            <w:r w:rsidRPr="00BF392C">
              <w:rPr>
                <w:rFonts w:eastAsia="MS Mincho" w:cs="Arial"/>
                <w:lang w:val="en-GB" w:eastAsia="ja-JP"/>
              </w:rPr>
              <w:t>Applies in spectrum used for MFCN, except from the operator block in question and corresponding transitional regions.</w:t>
            </w:r>
          </w:p>
        </w:tc>
      </w:tr>
      <w:tr w:rsidR="003F3DD8" w:rsidRPr="00BF392C" w14:paraId="48F1601E" w14:textId="77777777" w:rsidTr="00BA6716">
        <w:tc>
          <w:tcPr>
            <w:tcW w:w="1701" w:type="dxa"/>
            <w:tcBorders>
              <w:top w:val="single" w:sz="4" w:space="0" w:color="D2232A"/>
              <w:left w:val="single" w:sz="4" w:space="0" w:color="D2232A"/>
              <w:bottom w:val="single" w:sz="4" w:space="0" w:color="D2232A"/>
              <w:right w:val="single" w:sz="4" w:space="0" w:color="D2232A"/>
            </w:tcBorders>
            <w:vAlign w:val="center"/>
          </w:tcPr>
          <w:p w14:paraId="48F1601C" w14:textId="77777777" w:rsidR="003F3DD8" w:rsidRPr="00BF392C" w:rsidRDefault="00A91EB7" w:rsidP="002155A4">
            <w:pPr>
              <w:keepNext/>
              <w:keepLines/>
              <w:spacing w:before="60" w:after="60" w:line="288" w:lineRule="auto"/>
              <w:rPr>
                <w:rFonts w:eastAsia="MS Mincho" w:cs="Arial"/>
                <w:lang w:val="en-GB" w:eastAsia="ja-JP"/>
              </w:rPr>
            </w:pPr>
            <w:r w:rsidRPr="00BF392C">
              <w:rPr>
                <w:rFonts w:eastAsia="MS Mincho" w:cs="Arial"/>
                <w:lang w:val="en-GB" w:eastAsia="ja-JP"/>
              </w:rPr>
              <w:t>Transitional region</w:t>
            </w:r>
          </w:p>
        </w:tc>
        <w:tc>
          <w:tcPr>
            <w:tcW w:w="7371" w:type="dxa"/>
            <w:tcBorders>
              <w:top w:val="single" w:sz="4" w:space="0" w:color="D2232A"/>
              <w:left w:val="single" w:sz="4" w:space="0" w:color="D2232A"/>
              <w:bottom w:val="single" w:sz="4" w:space="0" w:color="D2232A"/>
              <w:right w:val="single" w:sz="4" w:space="0" w:color="D2232A"/>
            </w:tcBorders>
            <w:vAlign w:val="center"/>
          </w:tcPr>
          <w:p w14:paraId="48F1601D" w14:textId="37EB1415" w:rsidR="003F3DD8" w:rsidRPr="00BF392C" w:rsidRDefault="00A91EB7" w:rsidP="002155A4">
            <w:pPr>
              <w:keepNext/>
              <w:keepLines/>
              <w:spacing w:before="60" w:after="60"/>
              <w:rPr>
                <w:rFonts w:eastAsia="MS Mincho" w:cs="Arial"/>
                <w:lang w:val="en-GB" w:eastAsia="ja-JP"/>
              </w:rPr>
            </w:pPr>
            <w:r w:rsidRPr="00BF392C">
              <w:rPr>
                <w:rFonts w:eastAsia="MS Mincho" w:cs="Arial"/>
                <w:lang w:val="en-GB" w:eastAsia="ja-JP"/>
              </w:rPr>
              <w:t>These are the regions adjacent to an operator block.</w:t>
            </w:r>
          </w:p>
        </w:tc>
      </w:tr>
      <w:tr w:rsidR="003F3DD8" w:rsidRPr="00BF392C" w14:paraId="48F16021" w14:textId="77777777" w:rsidTr="00BA6716">
        <w:tc>
          <w:tcPr>
            <w:tcW w:w="1701" w:type="dxa"/>
            <w:tcBorders>
              <w:top w:val="single" w:sz="4" w:space="0" w:color="D2232A"/>
              <w:left w:val="single" w:sz="4" w:space="0" w:color="D2232A"/>
              <w:bottom w:val="single" w:sz="4" w:space="0" w:color="D2232A"/>
              <w:right w:val="single" w:sz="4" w:space="0" w:color="D2232A"/>
            </w:tcBorders>
            <w:vAlign w:val="center"/>
          </w:tcPr>
          <w:p w14:paraId="48F1601F" w14:textId="77777777" w:rsidR="003F3DD8" w:rsidRPr="00BF392C" w:rsidRDefault="00A91EB7" w:rsidP="002155A4">
            <w:pPr>
              <w:keepNext/>
              <w:keepLines/>
              <w:spacing w:before="60" w:after="60" w:line="288" w:lineRule="auto"/>
              <w:rPr>
                <w:rFonts w:eastAsia="MS Mincho" w:cs="Arial"/>
                <w:lang w:val="en-GB" w:eastAsia="ja-JP"/>
              </w:rPr>
            </w:pPr>
            <w:r w:rsidRPr="00BF392C">
              <w:rPr>
                <w:rFonts w:eastAsia="MS Mincho" w:cs="Arial"/>
                <w:lang w:val="en-GB" w:eastAsia="ja-JP"/>
              </w:rPr>
              <w:t>Additional baseline</w:t>
            </w:r>
          </w:p>
        </w:tc>
        <w:tc>
          <w:tcPr>
            <w:tcW w:w="7371" w:type="dxa"/>
            <w:tcBorders>
              <w:top w:val="single" w:sz="4" w:space="0" w:color="D2232A"/>
              <w:left w:val="single" w:sz="4" w:space="0" w:color="D2232A"/>
              <w:bottom w:val="single" w:sz="4" w:space="0" w:color="D2232A"/>
              <w:right w:val="single" w:sz="4" w:space="0" w:color="D2232A"/>
            </w:tcBorders>
            <w:vAlign w:val="center"/>
          </w:tcPr>
          <w:p w14:paraId="48F16020" w14:textId="77777777" w:rsidR="003F3DD8" w:rsidRPr="00BF392C" w:rsidRDefault="00A91EB7" w:rsidP="002155A4">
            <w:pPr>
              <w:keepNext/>
              <w:keepLines/>
              <w:spacing w:before="60" w:after="60"/>
              <w:rPr>
                <w:rFonts w:eastAsia="MS Mincho" w:cs="Arial"/>
                <w:lang w:val="en-GB" w:eastAsia="ja-JP"/>
              </w:rPr>
            </w:pPr>
            <w:r w:rsidRPr="00BF392C">
              <w:rPr>
                <w:rFonts w:eastAsia="MS Mincho" w:cs="Arial"/>
                <w:lang w:val="en-GB" w:eastAsia="ja-JP"/>
              </w:rPr>
              <w:t>Additional baseline limits apply in adjacent bands where specific limits for other services are necessary.</w:t>
            </w:r>
          </w:p>
        </w:tc>
      </w:tr>
    </w:tbl>
    <w:p w14:paraId="26C2503C" w14:textId="77777777" w:rsidR="006E420C" w:rsidRPr="00BF392C" w:rsidRDefault="006E420C" w:rsidP="006E420C">
      <w:pPr>
        <w:spacing w:after="240"/>
        <w:ind w:left="284" w:right="1275"/>
        <w:jc w:val="both"/>
        <w:rPr>
          <w:sz w:val="18"/>
          <w:szCs w:val="18"/>
          <w:lang w:val="en-GB"/>
        </w:rPr>
      </w:pPr>
      <w:bookmarkStart w:id="10" w:name="_Ref507684854"/>
    </w:p>
    <w:p w14:paraId="48F16022" w14:textId="3376C887" w:rsidR="003F3DD8" w:rsidRPr="00BF392C" w:rsidRDefault="00A91EB7" w:rsidP="003E1AD2">
      <w:pPr>
        <w:pStyle w:val="ECCTabletitle"/>
      </w:pPr>
      <w:r w:rsidRPr="00BF392C">
        <w:lastRenderedPageBreak/>
        <w:t xml:space="preserve">Table </w:t>
      </w:r>
      <w:fldSimple w:instr=" SEQ Table \* ARABIC ">
        <w:r w:rsidR="00F4107E" w:rsidRPr="00BF392C">
          <w:rPr>
            <w:noProof/>
          </w:rPr>
          <w:t>2</w:t>
        </w:r>
      </w:fldSimple>
      <w:bookmarkEnd w:id="10"/>
      <w:r w:rsidRPr="00BF392C">
        <w:t xml:space="preserve">: MFCN BS transitional region requirements for coexistence </w:t>
      </w:r>
      <w:r w:rsidRPr="00BF392C">
        <w:br/>
        <w:t>between MFCN networks in adjacent blocks (assuming synchronised operation</w:t>
      </w:r>
      <w:r w:rsidR="00BB7F8B">
        <w:t>, see note 1</w:t>
      </w:r>
      <w:r w:rsidRPr="00BF392C">
        <w:t>)</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69"/>
        <w:gridCol w:w="2410"/>
        <w:gridCol w:w="2693"/>
      </w:tblGrid>
      <w:tr w:rsidR="003F3DD8" w:rsidRPr="00BF392C" w14:paraId="48F16026" w14:textId="77777777">
        <w:trPr>
          <w:tblHeader/>
        </w:trPr>
        <w:tc>
          <w:tcPr>
            <w:tcW w:w="3969"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8F16023" w14:textId="77777777" w:rsidR="003F3DD8" w:rsidRPr="00BF392C" w:rsidRDefault="00A91EB7">
            <w:pPr>
              <w:spacing w:before="60" w:after="60" w:line="288" w:lineRule="auto"/>
              <w:jc w:val="center"/>
              <w:rPr>
                <w:b/>
                <w:color w:val="FFFFFF"/>
                <w:lang w:val="en-GB"/>
              </w:rPr>
            </w:pPr>
            <w:r w:rsidRPr="00BF392C">
              <w:rPr>
                <w:b/>
                <w:color w:val="FFFFFF"/>
                <w:lang w:val="en-GB"/>
              </w:rPr>
              <w:t xml:space="preserve">Frequency range </w:t>
            </w:r>
          </w:p>
        </w:tc>
        <w:tc>
          <w:tcPr>
            <w:tcW w:w="2410"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8F16024" w14:textId="79736A7C" w:rsidR="003F3DD8" w:rsidRPr="00BF392C" w:rsidRDefault="00A91EB7">
            <w:pPr>
              <w:spacing w:before="60" w:after="60" w:line="288" w:lineRule="auto"/>
              <w:jc w:val="center"/>
              <w:rPr>
                <w:b/>
                <w:color w:val="FFFFFF"/>
                <w:lang w:val="en-GB"/>
              </w:rPr>
            </w:pPr>
            <w:r w:rsidRPr="00BF392C">
              <w:rPr>
                <w:b/>
                <w:color w:val="FFFFFF"/>
                <w:lang w:val="en-GB"/>
              </w:rPr>
              <w:t xml:space="preserve">Maximum TRP </w:t>
            </w:r>
          </w:p>
        </w:tc>
        <w:tc>
          <w:tcPr>
            <w:tcW w:w="2693"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8F16025" w14:textId="77777777" w:rsidR="003F3DD8" w:rsidRPr="00BF392C" w:rsidRDefault="00A91EB7">
            <w:pPr>
              <w:spacing w:before="60" w:after="60" w:line="288" w:lineRule="auto"/>
              <w:jc w:val="center"/>
              <w:rPr>
                <w:b/>
                <w:color w:val="FFFFFF"/>
                <w:lang w:val="en-GB"/>
              </w:rPr>
            </w:pPr>
            <w:r w:rsidRPr="00BF392C">
              <w:rPr>
                <w:b/>
                <w:color w:val="FFFFFF"/>
                <w:lang w:val="en-GB"/>
              </w:rPr>
              <w:t>Measurement Bandwidth</w:t>
            </w:r>
          </w:p>
        </w:tc>
      </w:tr>
      <w:tr w:rsidR="003F3DD8" w:rsidRPr="00BF392C" w14:paraId="48F1602A" w14:textId="77777777">
        <w:tc>
          <w:tcPr>
            <w:tcW w:w="3969" w:type="dxa"/>
            <w:tcBorders>
              <w:top w:val="single" w:sz="4" w:space="0" w:color="D2232A"/>
              <w:left w:val="single" w:sz="4" w:space="0" w:color="D2232A"/>
              <w:bottom w:val="single" w:sz="4" w:space="0" w:color="D2232A"/>
              <w:right w:val="single" w:sz="4" w:space="0" w:color="D2232A"/>
            </w:tcBorders>
            <w:vAlign w:val="center"/>
          </w:tcPr>
          <w:p w14:paraId="48F16027" w14:textId="77777777" w:rsidR="003F3DD8" w:rsidRPr="00BF392C" w:rsidRDefault="00A91EB7">
            <w:pPr>
              <w:spacing w:before="60" w:after="60" w:line="288" w:lineRule="auto"/>
              <w:rPr>
                <w:lang w:val="en-GB"/>
              </w:rPr>
            </w:pPr>
            <w:r w:rsidRPr="00BF392C">
              <w:rPr>
                <w:lang w:val="en-GB"/>
              </w:rPr>
              <w:t xml:space="preserve">0-50 MHz below or above operator block </w:t>
            </w:r>
          </w:p>
        </w:tc>
        <w:tc>
          <w:tcPr>
            <w:tcW w:w="2410" w:type="dxa"/>
            <w:tcBorders>
              <w:top w:val="single" w:sz="4" w:space="0" w:color="D2232A"/>
              <w:left w:val="single" w:sz="4" w:space="0" w:color="D2232A"/>
              <w:bottom w:val="single" w:sz="4" w:space="0" w:color="D2232A"/>
              <w:right w:val="single" w:sz="4" w:space="0" w:color="D2232A"/>
            </w:tcBorders>
            <w:vAlign w:val="center"/>
          </w:tcPr>
          <w:p w14:paraId="48F16028" w14:textId="77777777" w:rsidR="003F3DD8" w:rsidRPr="00BF392C" w:rsidRDefault="00A91EB7">
            <w:pPr>
              <w:spacing w:before="60" w:after="60"/>
              <w:jc w:val="center"/>
              <w:rPr>
                <w:lang w:val="en-GB"/>
              </w:rPr>
            </w:pPr>
            <w:r w:rsidRPr="00BF392C">
              <w:rPr>
                <w:rFonts w:eastAsia="MS Mincho" w:cs="Arial"/>
                <w:lang w:val="en-GB" w:eastAsia="ja-JP"/>
              </w:rPr>
              <w:t>12 dBm</w:t>
            </w:r>
          </w:p>
        </w:tc>
        <w:tc>
          <w:tcPr>
            <w:tcW w:w="2693" w:type="dxa"/>
            <w:tcBorders>
              <w:top w:val="single" w:sz="4" w:space="0" w:color="D2232A"/>
              <w:left w:val="single" w:sz="4" w:space="0" w:color="D2232A"/>
              <w:bottom w:val="single" w:sz="4" w:space="0" w:color="D2232A"/>
              <w:right w:val="single" w:sz="4" w:space="0" w:color="D2232A"/>
            </w:tcBorders>
            <w:vAlign w:val="center"/>
          </w:tcPr>
          <w:p w14:paraId="48F16029" w14:textId="77777777" w:rsidR="003F3DD8" w:rsidRPr="00BF392C" w:rsidRDefault="00A91EB7">
            <w:pPr>
              <w:spacing w:before="60" w:after="60" w:line="288" w:lineRule="auto"/>
              <w:jc w:val="center"/>
              <w:rPr>
                <w:lang w:val="en-GB"/>
              </w:rPr>
            </w:pPr>
            <w:r w:rsidRPr="00BF392C">
              <w:rPr>
                <w:lang w:val="en-GB"/>
              </w:rPr>
              <w:t>50 MHz</w:t>
            </w:r>
          </w:p>
        </w:tc>
      </w:tr>
    </w:tbl>
    <w:p w14:paraId="4A011653" w14:textId="77777777" w:rsidR="006E420C" w:rsidRPr="00BF392C" w:rsidRDefault="006E420C" w:rsidP="006E420C">
      <w:pPr>
        <w:spacing w:after="240"/>
        <w:ind w:left="284" w:right="1275"/>
        <w:jc w:val="both"/>
        <w:rPr>
          <w:sz w:val="18"/>
          <w:szCs w:val="18"/>
          <w:lang w:val="en-GB"/>
        </w:rPr>
      </w:pPr>
      <w:bookmarkStart w:id="11" w:name="_Ref514761838"/>
    </w:p>
    <w:p w14:paraId="48F1602B" w14:textId="2E7B19C7" w:rsidR="003F3DD8" w:rsidRPr="00BF392C" w:rsidRDefault="00A91EB7" w:rsidP="003E1AD2">
      <w:pPr>
        <w:pStyle w:val="ECCTabletitle"/>
      </w:pPr>
      <w:bookmarkStart w:id="12" w:name="_Ref518514892"/>
      <w:r w:rsidRPr="00BF392C">
        <w:t xml:space="preserve">Table </w:t>
      </w:r>
      <w:fldSimple w:instr=" SEQ Table \* ARABIC ">
        <w:r w:rsidR="00F4107E" w:rsidRPr="00BF392C">
          <w:rPr>
            <w:noProof/>
          </w:rPr>
          <w:t>3</w:t>
        </w:r>
      </w:fldSimple>
      <w:bookmarkEnd w:id="11"/>
      <w:bookmarkEnd w:id="12"/>
      <w:r w:rsidRPr="00BF392C">
        <w:t xml:space="preserve">: MFCN BS baseline requirements for coexistence </w:t>
      </w:r>
      <w:r w:rsidRPr="00BF392C">
        <w:br/>
        <w:t>with MFCN networks in other (non-adjacent) blocks in the band (assuming synchronised operation</w:t>
      </w:r>
      <w:r w:rsidR="00BB7F8B">
        <w:t>, see note 1</w:t>
      </w:r>
      <w:r w:rsidRPr="00BF392C">
        <w:t>)</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551"/>
        <w:gridCol w:w="2694"/>
        <w:gridCol w:w="2268"/>
        <w:gridCol w:w="1559"/>
      </w:tblGrid>
      <w:tr w:rsidR="003F3DD8" w:rsidRPr="00BF392C" w14:paraId="48F16030" w14:textId="77777777">
        <w:trPr>
          <w:tblHeader/>
        </w:trPr>
        <w:tc>
          <w:tcPr>
            <w:tcW w:w="2551"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8F1602C" w14:textId="77777777" w:rsidR="003F3DD8" w:rsidRPr="00BF392C" w:rsidRDefault="00A91EB7">
            <w:pPr>
              <w:spacing w:before="60" w:after="60" w:line="288" w:lineRule="auto"/>
              <w:jc w:val="center"/>
              <w:rPr>
                <w:b/>
                <w:color w:val="FFFFFF"/>
                <w:lang w:val="en-GB"/>
              </w:rPr>
            </w:pPr>
            <w:r w:rsidRPr="00BF392C">
              <w:rPr>
                <w:b/>
                <w:color w:val="FFFFFF"/>
                <w:lang w:val="en-GB"/>
              </w:rPr>
              <w:t xml:space="preserve">Frequency range </w:t>
            </w:r>
          </w:p>
        </w:tc>
        <w:tc>
          <w:tcPr>
            <w:tcW w:w="2694" w:type="dxa"/>
            <w:tcBorders>
              <w:top w:val="single" w:sz="4" w:space="0" w:color="D2232A"/>
              <w:left w:val="single" w:sz="8" w:space="0" w:color="FFFFFF"/>
              <w:bottom w:val="single" w:sz="4" w:space="0" w:color="D2232A"/>
              <w:right w:val="single" w:sz="8" w:space="0" w:color="FFFFFF"/>
            </w:tcBorders>
            <w:shd w:val="clear" w:color="auto" w:fill="D2232A"/>
          </w:tcPr>
          <w:p w14:paraId="48F1602D" w14:textId="77777777" w:rsidR="003F3DD8" w:rsidRPr="00BF392C" w:rsidRDefault="00A91EB7">
            <w:pPr>
              <w:spacing w:before="60" w:after="60" w:line="288" w:lineRule="auto"/>
              <w:jc w:val="center"/>
              <w:rPr>
                <w:b/>
                <w:color w:val="FFFFFF"/>
                <w:lang w:val="en-GB"/>
              </w:rPr>
            </w:pPr>
            <w:r w:rsidRPr="00BF392C">
              <w:rPr>
                <w:b/>
                <w:color w:val="FFFFFF"/>
                <w:lang w:val="en-GB"/>
              </w:rPr>
              <w:t>Protected frequency range</w:t>
            </w:r>
          </w:p>
        </w:tc>
        <w:tc>
          <w:tcPr>
            <w:tcW w:w="2268"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8F1602E" w14:textId="5BC90DCF" w:rsidR="003F3DD8" w:rsidRPr="00BF392C" w:rsidRDefault="00A91EB7">
            <w:pPr>
              <w:spacing w:before="60" w:after="60" w:line="288" w:lineRule="auto"/>
              <w:jc w:val="center"/>
              <w:rPr>
                <w:b/>
                <w:color w:val="FFFFFF"/>
                <w:lang w:val="en-GB"/>
              </w:rPr>
            </w:pPr>
            <w:r w:rsidRPr="00BF392C">
              <w:rPr>
                <w:b/>
                <w:color w:val="FFFFFF"/>
                <w:lang w:val="en-GB"/>
              </w:rPr>
              <w:t>Maximum TRP</w:t>
            </w:r>
          </w:p>
        </w:tc>
        <w:tc>
          <w:tcPr>
            <w:tcW w:w="1559"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8F1602F" w14:textId="77777777" w:rsidR="003F3DD8" w:rsidRPr="00BF392C" w:rsidRDefault="00A91EB7">
            <w:pPr>
              <w:spacing w:before="60" w:after="60" w:line="288" w:lineRule="auto"/>
              <w:jc w:val="center"/>
              <w:rPr>
                <w:b/>
                <w:color w:val="FFFFFF"/>
                <w:lang w:val="en-GB"/>
              </w:rPr>
            </w:pPr>
            <w:r w:rsidRPr="00BF392C">
              <w:rPr>
                <w:b/>
                <w:color w:val="FFFFFF"/>
                <w:lang w:val="en-GB"/>
              </w:rPr>
              <w:t>Measurement bandwidth</w:t>
            </w:r>
          </w:p>
        </w:tc>
      </w:tr>
      <w:tr w:rsidR="003F3DD8" w:rsidRPr="00BF392C" w14:paraId="48F16035" w14:textId="77777777" w:rsidTr="00E85D58">
        <w:tc>
          <w:tcPr>
            <w:tcW w:w="2551" w:type="dxa"/>
            <w:tcBorders>
              <w:top w:val="single" w:sz="4" w:space="0" w:color="D2232A"/>
              <w:left w:val="single" w:sz="4" w:space="0" w:color="D2232A"/>
              <w:bottom w:val="single" w:sz="4" w:space="0" w:color="D2232A"/>
              <w:right w:val="single" w:sz="4" w:space="0" w:color="D2232A"/>
            </w:tcBorders>
            <w:vAlign w:val="center"/>
          </w:tcPr>
          <w:p w14:paraId="48F16031" w14:textId="77777777" w:rsidR="003F3DD8" w:rsidRPr="00BF392C" w:rsidRDefault="00A91EB7">
            <w:pPr>
              <w:spacing w:before="60" w:after="60" w:line="288" w:lineRule="auto"/>
              <w:jc w:val="center"/>
              <w:rPr>
                <w:lang w:val="en-GB"/>
              </w:rPr>
            </w:pPr>
            <w:r w:rsidRPr="00BF392C">
              <w:rPr>
                <w:lang w:val="en-GB"/>
              </w:rPr>
              <w:t>In-band baseline</w:t>
            </w:r>
          </w:p>
        </w:tc>
        <w:tc>
          <w:tcPr>
            <w:tcW w:w="2694" w:type="dxa"/>
            <w:tcBorders>
              <w:top w:val="single" w:sz="4" w:space="0" w:color="D2232A"/>
              <w:left w:val="single" w:sz="4" w:space="0" w:color="D2232A"/>
              <w:bottom w:val="single" w:sz="4" w:space="0" w:color="D2232A"/>
              <w:right w:val="single" w:sz="4" w:space="0" w:color="D2232A"/>
            </w:tcBorders>
          </w:tcPr>
          <w:p w14:paraId="48F16032" w14:textId="77777777" w:rsidR="003F3DD8" w:rsidRPr="00BF392C" w:rsidRDefault="00A91EB7">
            <w:pPr>
              <w:spacing w:before="60" w:after="60" w:line="288" w:lineRule="auto"/>
              <w:jc w:val="center"/>
              <w:rPr>
                <w:lang w:val="en-GB"/>
              </w:rPr>
            </w:pPr>
            <w:r w:rsidRPr="00BF392C">
              <w:rPr>
                <w:lang w:val="en-GB"/>
              </w:rPr>
              <w:t>24.25-27.5 GHz</w:t>
            </w:r>
          </w:p>
        </w:tc>
        <w:tc>
          <w:tcPr>
            <w:tcW w:w="2268" w:type="dxa"/>
            <w:tcBorders>
              <w:top w:val="single" w:sz="4" w:space="0" w:color="D2232A"/>
              <w:left w:val="single" w:sz="4" w:space="0" w:color="D2232A"/>
              <w:bottom w:val="single" w:sz="4" w:space="0" w:color="D2232A"/>
              <w:right w:val="single" w:sz="4" w:space="0" w:color="D2232A"/>
            </w:tcBorders>
            <w:vAlign w:val="center"/>
          </w:tcPr>
          <w:p w14:paraId="48F16033" w14:textId="77777777" w:rsidR="003F3DD8" w:rsidRPr="00BF392C" w:rsidRDefault="00A91EB7">
            <w:pPr>
              <w:spacing w:before="60" w:after="60" w:line="288" w:lineRule="auto"/>
              <w:jc w:val="center"/>
              <w:rPr>
                <w:lang w:val="en-GB"/>
              </w:rPr>
            </w:pPr>
            <w:r w:rsidRPr="00BF392C">
              <w:rPr>
                <w:lang w:val="en-GB"/>
              </w:rPr>
              <w:t>4 dBm</w:t>
            </w:r>
          </w:p>
        </w:tc>
        <w:tc>
          <w:tcPr>
            <w:tcW w:w="1559" w:type="dxa"/>
            <w:tcBorders>
              <w:top w:val="single" w:sz="4" w:space="0" w:color="D2232A"/>
              <w:left w:val="single" w:sz="4" w:space="0" w:color="D2232A"/>
              <w:bottom w:val="single" w:sz="4" w:space="0" w:color="D2232A"/>
              <w:right w:val="single" w:sz="4" w:space="0" w:color="D2232A"/>
            </w:tcBorders>
            <w:vAlign w:val="center"/>
          </w:tcPr>
          <w:p w14:paraId="48F16034" w14:textId="77777777" w:rsidR="003F3DD8" w:rsidRPr="00BF392C" w:rsidRDefault="00A91EB7">
            <w:pPr>
              <w:spacing w:before="60" w:after="60" w:line="288" w:lineRule="auto"/>
              <w:jc w:val="center"/>
              <w:rPr>
                <w:lang w:val="en-GB"/>
              </w:rPr>
            </w:pPr>
            <w:r w:rsidRPr="00BF392C">
              <w:rPr>
                <w:lang w:val="en-GB"/>
              </w:rPr>
              <w:t>50 MHz</w:t>
            </w:r>
          </w:p>
        </w:tc>
      </w:tr>
      <w:tr w:rsidR="00E85D58" w:rsidRPr="00BF392C" w14:paraId="64919762" w14:textId="77777777" w:rsidTr="00F35EC5">
        <w:tc>
          <w:tcPr>
            <w:tcW w:w="9072" w:type="dxa"/>
            <w:gridSpan w:val="4"/>
            <w:tcBorders>
              <w:top w:val="single" w:sz="4" w:space="0" w:color="D2232A"/>
              <w:left w:val="single" w:sz="4" w:space="0" w:color="D2232A"/>
              <w:right w:val="single" w:sz="4" w:space="0" w:color="D2232A"/>
            </w:tcBorders>
            <w:vAlign w:val="center"/>
          </w:tcPr>
          <w:p w14:paraId="2F2CCBC2" w14:textId="0C6CFFA2" w:rsidR="00E85D58" w:rsidRPr="00BF392C" w:rsidRDefault="00E85D58" w:rsidP="00E85D58">
            <w:pPr>
              <w:pStyle w:val="ECCTablenote"/>
            </w:pPr>
            <w:r w:rsidRPr="00EC43AA">
              <w:t>Note 1: Administrations may define appropriate mitigation measures to be applied in case of unsynchroni</w:t>
            </w:r>
            <w:r>
              <w:t>s</w:t>
            </w:r>
            <w:r w:rsidRPr="00EC43AA">
              <w:t>ed or semi-synchroni</w:t>
            </w:r>
            <w:r>
              <w:t>s</w:t>
            </w:r>
            <w:r w:rsidRPr="00EC43AA">
              <w:t xml:space="preserve">ed operations, taking into account, if available, </w:t>
            </w:r>
            <w:r>
              <w:t xml:space="preserve">an </w:t>
            </w:r>
            <w:r w:rsidRPr="00EC43AA">
              <w:t>ECC Report on a toolbox for coexistence of MFCN in unsynchroni</w:t>
            </w:r>
            <w:r>
              <w:t>s</w:t>
            </w:r>
            <w:r w:rsidRPr="00EC43AA">
              <w:t>ed or semi-synchroni</w:t>
            </w:r>
            <w:r>
              <w:t>s</w:t>
            </w:r>
            <w:r w:rsidRPr="00EC43AA">
              <w:t xml:space="preserve">ed operations. Alternatively, administrations may further develop and use </w:t>
            </w:r>
            <w:r>
              <w:t xml:space="preserve">an </w:t>
            </w:r>
            <w:r w:rsidRPr="00EC43AA">
              <w:t>appropriate block edge mask at national level.</w:t>
            </w:r>
          </w:p>
        </w:tc>
      </w:tr>
    </w:tbl>
    <w:p w14:paraId="4B350EAE" w14:textId="77777777" w:rsidR="00354CBF" w:rsidRPr="00BF392C" w:rsidRDefault="00354CBF" w:rsidP="00E24D2B">
      <w:pPr>
        <w:spacing w:after="240"/>
        <w:ind w:left="284" w:right="1275"/>
        <w:jc w:val="both"/>
        <w:rPr>
          <w:lang w:val="en-GB"/>
        </w:rPr>
      </w:pPr>
      <w:bookmarkStart w:id="13" w:name="_Ref507684860"/>
    </w:p>
    <w:p w14:paraId="48F1604B" w14:textId="262756B0" w:rsidR="003F3DD8" w:rsidRPr="00BF392C" w:rsidRDefault="00A91EB7" w:rsidP="003E1AD2">
      <w:pPr>
        <w:pStyle w:val="ECCTabletitle"/>
      </w:pPr>
      <w:bookmarkStart w:id="14" w:name="_Ref518515224"/>
      <w:r w:rsidRPr="00BF392C">
        <w:t xml:space="preserve">Table </w:t>
      </w:r>
      <w:fldSimple w:instr=" SEQ Table \* ARABIC ">
        <w:r w:rsidR="007E482D">
          <w:rPr>
            <w:noProof/>
          </w:rPr>
          <w:t>4</w:t>
        </w:r>
      </w:fldSimple>
      <w:bookmarkEnd w:id="13"/>
      <w:bookmarkEnd w:id="14"/>
      <w:r w:rsidRPr="00BF392C">
        <w:t>: MFCN BS</w:t>
      </w:r>
      <w:r w:rsidR="00E62DF2">
        <w:t xml:space="preserve"> additional baseline</w:t>
      </w:r>
      <w:r w:rsidR="00F62F8F">
        <w:t xml:space="preserve"> requirement</w:t>
      </w:r>
      <w:r w:rsidR="006C0809">
        <w:t>:</w:t>
      </w:r>
      <w:r w:rsidRPr="00BF392C">
        <w:t xml:space="preserve"> maximum emissions into the 23.6-24.0 GHz band</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118"/>
        <w:gridCol w:w="3261"/>
        <w:gridCol w:w="2693"/>
      </w:tblGrid>
      <w:tr w:rsidR="003F3DD8" w:rsidRPr="00BF392C" w14:paraId="48F1604F" w14:textId="77777777">
        <w:trPr>
          <w:tblHeader/>
        </w:trPr>
        <w:tc>
          <w:tcPr>
            <w:tcW w:w="3118"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8F1604C" w14:textId="77777777" w:rsidR="003F3DD8" w:rsidRPr="00BF392C" w:rsidRDefault="00A91EB7" w:rsidP="00354CBF">
            <w:pPr>
              <w:keepNext/>
              <w:spacing w:before="60" w:after="60" w:line="288" w:lineRule="auto"/>
              <w:jc w:val="center"/>
              <w:rPr>
                <w:b/>
                <w:color w:val="FFFFFF"/>
                <w:lang w:val="en-GB"/>
              </w:rPr>
            </w:pPr>
            <w:r w:rsidRPr="00BF392C">
              <w:rPr>
                <w:b/>
                <w:color w:val="FFFFFF"/>
                <w:lang w:val="en-GB"/>
              </w:rPr>
              <w:t xml:space="preserve">Frequency range </w:t>
            </w:r>
          </w:p>
        </w:tc>
        <w:tc>
          <w:tcPr>
            <w:tcW w:w="3261"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8F1604D" w14:textId="77777777" w:rsidR="003F3DD8" w:rsidRPr="00BF392C" w:rsidRDefault="00A91EB7" w:rsidP="00354CBF">
            <w:pPr>
              <w:keepNext/>
              <w:spacing w:before="60" w:after="60" w:line="288" w:lineRule="auto"/>
              <w:jc w:val="center"/>
              <w:rPr>
                <w:b/>
                <w:color w:val="FFFFFF"/>
                <w:lang w:val="en-GB"/>
              </w:rPr>
            </w:pPr>
            <w:r w:rsidRPr="00BF392C">
              <w:rPr>
                <w:b/>
                <w:color w:val="FFFFFF"/>
                <w:lang w:val="en-GB"/>
              </w:rPr>
              <w:t>Maximum Total Radiated Power (TRP) (see note)</w:t>
            </w:r>
          </w:p>
        </w:tc>
        <w:tc>
          <w:tcPr>
            <w:tcW w:w="2693"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8F1604E" w14:textId="77777777" w:rsidR="003F3DD8" w:rsidRPr="00BF392C" w:rsidRDefault="00A91EB7" w:rsidP="00354CBF">
            <w:pPr>
              <w:keepNext/>
              <w:spacing w:before="60" w:after="60" w:line="288" w:lineRule="auto"/>
              <w:jc w:val="center"/>
              <w:rPr>
                <w:b/>
                <w:color w:val="FFFFFF"/>
                <w:lang w:val="en-GB"/>
              </w:rPr>
            </w:pPr>
            <w:r w:rsidRPr="00BF392C">
              <w:rPr>
                <w:b/>
                <w:color w:val="FFFFFF"/>
                <w:lang w:val="en-GB"/>
              </w:rPr>
              <w:t>Measurement bandwidth</w:t>
            </w:r>
          </w:p>
        </w:tc>
      </w:tr>
      <w:tr w:rsidR="003F3DD8" w:rsidRPr="00BF392C" w14:paraId="48F16053" w14:textId="77777777">
        <w:tc>
          <w:tcPr>
            <w:tcW w:w="3118" w:type="dxa"/>
            <w:tcBorders>
              <w:top w:val="single" w:sz="4" w:space="0" w:color="D2232A"/>
              <w:left w:val="single" w:sz="4" w:space="0" w:color="D2232A"/>
              <w:bottom w:val="single" w:sz="4" w:space="0" w:color="D2232A"/>
              <w:right w:val="single" w:sz="4" w:space="0" w:color="D2232A"/>
            </w:tcBorders>
            <w:vAlign w:val="center"/>
          </w:tcPr>
          <w:p w14:paraId="48F16050" w14:textId="77777777" w:rsidR="003F3DD8" w:rsidRPr="00BF392C" w:rsidRDefault="00A91EB7" w:rsidP="00354CBF">
            <w:pPr>
              <w:keepNext/>
              <w:spacing w:before="60" w:after="60" w:line="288" w:lineRule="auto"/>
              <w:rPr>
                <w:lang w:val="en-GB"/>
              </w:rPr>
            </w:pPr>
            <w:r w:rsidRPr="00BF392C">
              <w:rPr>
                <w:lang w:val="en-GB"/>
              </w:rPr>
              <w:t>23.6-24.0 GHz</w:t>
            </w:r>
          </w:p>
        </w:tc>
        <w:tc>
          <w:tcPr>
            <w:tcW w:w="3261" w:type="dxa"/>
            <w:tcBorders>
              <w:top w:val="single" w:sz="4" w:space="0" w:color="D2232A"/>
              <w:left w:val="single" w:sz="4" w:space="0" w:color="D2232A"/>
              <w:bottom w:val="single" w:sz="4" w:space="0" w:color="D2232A"/>
              <w:right w:val="single" w:sz="4" w:space="0" w:color="D2232A"/>
            </w:tcBorders>
            <w:vAlign w:val="center"/>
          </w:tcPr>
          <w:p w14:paraId="48F16051" w14:textId="5901B417" w:rsidR="003F3DD8" w:rsidRPr="00BF392C" w:rsidRDefault="00A91EB7" w:rsidP="00354CBF">
            <w:pPr>
              <w:keepNext/>
              <w:spacing w:before="60" w:after="60"/>
              <w:jc w:val="center"/>
              <w:rPr>
                <w:lang w:val="en-GB"/>
              </w:rPr>
            </w:pPr>
            <w:r w:rsidRPr="006E420C">
              <w:rPr>
                <w:lang w:val="en-GB"/>
              </w:rPr>
              <w:t>-42</w:t>
            </w:r>
            <w:r w:rsidRPr="00BF392C">
              <w:rPr>
                <w:lang w:val="en-GB"/>
              </w:rPr>
              <w:t xml:space="preserve"> dBW</w:t>
            </w:r>
          </w:p>
        </w:tc>
        <w:tc>
          <w:tcPr>
            <w:tcW w:w="2693" w:type="dxa"/>
            <w:tcBorders>
              <w:top w:val="single" w:sz="4" w:space="0" w:color="D2232A"/>
              <w:left w:val="single" w:sz="4" w:space="0" w:color="D2232A"/>
              <w:bottom w:val="single" w:sz="4" w:space="0" w:color="D2232A"/>
              <w:right w:val="single" w:sz="4" w:space="0" w:color="D2232A"/>
            </w:tcBorders>
            <w:vAlign w:val="center"/>
          </w:tcPr>
          <w:p w14:paraId="48F16052" w14:textId="77777777" w:rsidR="003F3DD8" w:rsidRPr="00BF392C" w:rsidRDefault="00A91EB7" w:rsidP="00354CBF">
            <w:pPr>
              <w:keepNext/>
              <w:spacing w:before="60" w:after="60" w:line="288" w:lineRule="auto"/>
              <w:jc w:val="center"/>
              <w:rPr>
                <w:lang w:val="en-GB"/>
              </w:rPr>
            </w:pPr>
            <w:r w:rsidRPr="00BF392C">
              <w:rPr>
                <w:lang w:val="en-GB"/>
              </w:rPr>
              <w:t>200 MHz</w:t>
            </w:r>
          </w:p>
        </w:tc>
      </w:tr>
      <w:tr w:rsidR="00E049A8" w:rsidRPr="00BF392C" w14:paraId="47929A6D" w14:textId="77777777" w:rsidTr="008C67A0">
        <w:tc>
          <w:tcPr>
            <w:tcW w:w="9072" w:type="dxa"/>
            <w:gridSpan w:val="3"/>
            <w:tcBorders>
              <w:top w:val="single" w:sz="4" w:space="0" w:color="D2232A"/>
              <w:left w:val="single" w:sz="4" w:space="0" w:color="D2232A"/>
              <w:bottom w:val="single" w:sz="4" w:space="0" w:color="D2232A"/>
              <w:right w:val="single" w:sz="4" w:space="0" w:color="D2232A"/>
            </w:tcBorders>
            <w:vAlign w:val="center"/>
          </w:tcPr>
          <w:p w14:paraId="7D58827B" w14:textId="0C18069A" w:rsidR="00E049A8" w:rsidRPr="00BF392C" w:rsidRDefault="00E049A8" w:rsidP="00E85D58">
            <w:pPr>
              <w:pStyle w:val="ECCTablenote"/>
            </w:pPr>
            <w:r w:rsidRPr="00E85D58">
              <w:t>Note: This level requirement applies for BS for all foreseen modes of operation (i.e. maximum in-band power, electrical pointing, carrier configurations)</w:t>
            </w:r>
          </w:p>
        </w:tc>
      </w:tr>
    </w:tbl>
    <w:p w14:paraId="714FE3B5" w14:textId="2D2E444E" w:rsidR="007B2BDE" w:rsidRPr="00BF392C" w:rsidRDefault="007B2BDE">
      <w:pPr>
        <w:spacing w:after="240"/>
        <w:ind w:left="284" w:right="1275"/>
        <w:jc w:val="both"/>
        <w:rPr>
          <w:sz w:val="18"/>
          <w:szCs w:val="18"/>
          <w:lang w:val="en-GB"/>
        </w:rPr>
      </w:pPr>
    </w:p>
    <w:p w14:paraId="4E900B79" w14:textId="1D8E28E9" w:rsidR="00C50510" w:rsidRPr="006E420C" w:rsidRDefault="00C31E3D" w:rsidP="003E1AD2">
      <w:pPr>
        <w:pStyle w:val="ECCTabletitle"/>
      </w:pPr>
      <w:bookmarkStart w:id="15" w:name="_Ref516661739"/>
      <w:r w:rsidRPr="006E420C">
        <w:t xml:space="preserve">Table </w:t>
      </w:r>
      <w:fldSimple w:instr=" SEQ Table \* ARABIC ">
        <w:r w:rsidR="007E482D">
          <w:rPr>
            <w:noProof/>
          </w:rPr>
          <w:t>5</w:t>
        </w:r>
      </w:fldSimple>
      <w:bookmarkEnd w:id="15"/>
      <w:r w:rsidR="00C20667" w:rsidRPr="006E420C">
        <w:rPr>
          <w:noProof/>
        </w:rPr>
        <w:t xml:space="preserve">: </w:t>
      </w:r>
      <w:r w:rsidR="00C50510" w:rsidRPr="006E420C">
        <w:t>Conditions applying to the elevation of the main beam from 5G AAS outdoor base stations</w:t>
      </w:r>
    </w:p>
    <w:tbl>
      <w:tblPr>
        <w:tblW w:w="4487" w:type="pct"/>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8844"/>
      </w:tblGrid>
      <w:tr w:rsidR="00C50510" w:rsidRPr="006E420C" w14:paraId="4CAF4138" w14:textId="77777777" w:rsidTr="00417276">
        <w:trPr>
          <w:tblHeader/>
          <w:jc w:val="center"/>
        </w:trPr>
        <w:tc>
          <w:tcPr>
            <w:tcW w:w="5000" w:type="pct"/>
            <w:shd w:val="clear" w:color="auto" w:fill="D2232A"/>
            <w:vAlign w:val="center"/>
            <w:hideMark/>
          </w:tcPr>
          <w:p w14:paraId="071506B7" w14:textId="5F8CC850" w:rsidR="00C50510" w:rsidRPr="006E420C" w:rsidRDefault="00C50510" w:rsidP="006C0809">
            <w:pPr>
              <w:keepNext/>
              <w:spacing w:before="60" w:after="60" w:line="288" w:lineRule="auto"/>
              <w:jc w:val="center"/>
              <w:rPr>
                <w:b/>
                <w:color w:val="FFFFFF"/>
                <w:lang w:val="en-GB"/>
              </w:rPr>
            </w:pPr>
            <w:r w:rsidRPr="006E420C">
              <w:rPr>
                <w:rFonts w:cs="Arial"/>
                <w:b/>
                <w:bCs/>
                <w:color w:val="FFFFFF"/>
                <w:lang w:val="en-GB"/>
              </w:rPr>
              <w:t>Requirement on elevation of the main beam of 5G AAS outdoor base stations</w:t>
            </w:r>
          </w:p>
        </w:tc>
      </w:tr>
      <w:tr w:rsidR="00C50510" w:rsidRPr="00BF392C" w14:paraId="300F51D3" w14:textId="77777777" w:rsidTr="00417276">
        <w:trPr>
          <w:jc w:val="center"/>
        </w:trPr>
        <w:tc>
          <w:tcPr>
            <w:tcW w:w="5000" w:type="pct"/>
            <w:vAlign w:val="center"/>
          </w:tcPr>
          <w:p w14:paraId="7A65D7A8" w14:textId="0F7842F7" w:rsidR="00C50510" w:rsidRPr="006E420C" w:rsidRDefault="00C50510">
            <w:pPr>
              <w:spacing w:before="60" w:after="60" w:line="288" w:lineRule="auto"/>
              <w:jc w:val="center"/>
              <w:rPr>
                <w:lang w:val="en-GB"/>
              </w:rPr>
            </w:pPr>
            <w:r w:rsidRPr="006E420C">
              <w:rPr>
                <w:rFonts w:cs="Arial"/>
                <w:lang w:val="en-GB"/>
              </w:rPr>
              <w:t xml:space="preserve">When deploying outdoor base stations, </w:t>
            </w:r>
            <w:r w:rsidR="00424A8C">
              <w:rPr>
                <w:rFonts w:cs="Arial"/>
                <w:lang w:val="en-GB"/>
              </w:rPr>
              <w:t>it</w:t>
            </w:r>
            <w:r w:rsidRPr="006E420C">
              <w:rPr>
                <w:rFonts w:cs="Arial"/>
                <w:lang w:val="en-GB"/>
              </w:rPr>
              <w:t xml:space="preserve"> shall</w:t>
            </w:r>
            <w:r w:rsidR="00424A8C">
              <w:rPr>
                <w:rFonts w:cs="Arial"/>
                <w:lang w:val="en-GB"/>
              </w:rPr>
              <w:t xml:space="preserve"> be</w:t>
            </w:r>
            <w:r w:rsidRPr="006E420C">
              <w:rPr>
                <w:rFonts w:cs="Arial"/>
                <w:lang w:val="en-GB"/>
              </w:rPr>
              <w:t xml:space="preserve"> ensure</w:t>
            </w:r>
            <w:r w:rsidR="00424A8C">
              <w:rPr>
                <w:rFonts w:cs="Arial"/>
                <w:lang w:val="en-GB"/>
              </w:rPr>
              <w:t>d</w:t>
            </w:r>
            <w:r w:rsidRPr="006E420C">
              <w:rPr>
                <w:rFonts w:cs="Arial"/>
                <w:lang w:val="en-GB"/>
              </w:rPr>
              <w:t xml:space="preserve"> that </w:t>
            </w:r>
            <w:r w:rsidR="00C86141">
              <w:rPr>
                <w:rFonts w:cs="Arial"/>
                <w:lang w:val="en-GB"/>
              </w:rPr>
              <w:t>each</w:t>
            </w:r>
            <w:r w:rsidRPr="006E420C">
              <w:rPr>
                <w:rFonts w:cs="Arial"/>
                <w:lang w:val="en-GB"/>
              </w:rPr>
              <w:t xml:space="preserve"> antenna is normally </w:t>
            </w:r>
            <w:r w:rsidR="00FA2827">
              <w:rPr>
                <w:rFonts w:cs="Arial"/>
                <w:lang w:val="en-GB"/>
              </w:rPr>
              <w:t>transmitting only with main beam pointing</w:t>
            </w:r>
            <w:r w:rsidRPr="006E420C">
              <w:rPr>
                <w:rFonts w:cs="Arial"/>
                <w:lang w:val="en-GB"/>
              </w:rPr>
              <w:t xml:space="preserve"> </w:t>
            </w:r>
            <w:r w:rsidR="001B5ED9">
              <w:rPr>
                <w:rFonts w:cs="Arial"/>
                <w:lang w:val="en-GB"/>
              </w:rPr>
              <w:t>below</w:t>
            </w:r>
            <w:r w:rsidRPr="006E420C">
              <w:rPr>
                <w:rFonts w:cs="Arial"/>
                <w:lang w:val="en-GB"/>
              </w:rPr>
              <w:t xml:space="preserve"> the horizon and in addition the antenna shall have mechanical pointing </w:t>
            </w:r>
            <w:r w:rsidR="001B5ED9">
              <w:rPr>
                <w:rFonts w:cs="Arial"/>
                <w:lang w:val="en-GB"/>
              </w:rPr>
              <w:t xml:space="preserve">below </w:t>
            </w:r>
            <w:r w:rsidRPr="006E420C">
              <w:rPr>
                <w:rFonts w:cs="Arial"/>
                <w:lang w:val="en-GB"/>
              </w:rPr>
              <w:t>the horizon</w:t>
            </w:r>
            <w:r w:rsidR="00FA7284">
              <w:rPr>
                <w:rFonts w:cs="Arial"/>
                <w:lang w:val="en-GB"/>
              </w:rPr>
              <w:t xml:space="preserve"> except when the base station is only receiving</w:t>
            </w:r>
          </w:p>
        </w:tc>
      </w:tr>
    </w:tbl>
    <w:p w14:paraId="28FAA01E" w14:textId="77777777" w:rsidR="000A43DE" w:rsidRDefault="000A43DE">
      <w:pPr>
        <w:pStyle w:val="ECCParagraph"/>
      </w:pPr>
    </w:p>
    <w:p w14:paraId="71D9B2D2" w14:textId="31DD61F6" w:rsidR="0079066C" w:rsidRPr="00BF392C" w:rsidRDefault="000A43DE">
      <w:pPr>
        <w:pStyle w:val="ECCParagraph"/>
      </w:pPr>
      <w:r w:rsidRPr="006E420C">
        <w:rPr>
          <w:rFonts w:cs="Arial"/>
        </w:rPr>
        <w:t>This requirement refers to the elevation of the main beam of 5G AAS outdoor base stations to ensure coexistence with space station receivers</w:t>
      </w:r>
      <w:r>
        <w:rPr>
          <w:rFonts w:cs="Arial"/>
        </w:rPr>
        <w:t>.</w:t>
      </w:r>
      <w:r w:rsidR="00143CD9" w:rsidRPr="00BF392C" w:rsidDel="00143CD9">
        <w:t xml:space="preserve"> </w:t>
      </w:r>
    </w:p>
    <w:p w14:paraId="48F16087" w14:textId="39686862" w:rsidR="003F3DD8" w:rsidRPr="00BF392C" w:rsidRDefault="00A91EB7">
      <w:pPr>
        <w:pStyle w:val="ECCAnnexheading2"/>
        <w:keepNext/>
        <w:ind w:left="578" w:hanging="578"/>
        <w:rPr>
          <w:lang w:val="en-GB"/>
        </w:rPr>
      </w:pPr>
      <w:r w:rsidRPr="00BF392C">
        <w:rPr>
          <w:lang w:val="en-GB"/>
        </w:rPr>
        <w:t>terminal station</w:t>
      </w:r>
    </w:p>
    <w:p w14:paraId="48F16090" w14:textId="46BF7392" w:rsidR="003F3DD8" w:rsidRPr="00BF392C" w:rsidRDefault="00A91EB7" w:rsidP="003E1AD2">
      <w:pPr>
        <w:pStyle w:val="ECCTabletitle"/>
      </w:pPr>
      <w:r w:rsidRPr="00BF392C">
        <w:t xml:space="preserve">Table </w:t>
      </w:r>
      <w:fldSimple w:instr=" SEQ Table \* ARABIC ">
        <w:r w:rsidR="007E482D">
          <w:rPr>
            <w:noProof/>
          </w:rPr>
          <w:t>6</w:t>
        </w:r>
      </w:fldSimple>
      <w:r w:rsidRPr="00BF392C">
        <w:t>: MFCN terminal station maximum emissions into the 23.6-24.0 GHz band</w:t>
      </w:r>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118"/>
        <w:gridCol w:w="3261"/>
        <w:gridCol w:w="2693"/>
      </w:tblGrid>
      <w:tr w:rsidR="003F3DD8" w:rsidRPr="00BF392C" w14:paraId="48F16094" w14:textId="77777777">
        <w:trPr>
          <w:tblHeader/>
        </w:trPr>
        <w:tc>
          <w:tcPr>
            <w:tcW w:w="3118"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8F16091" w14:textId="77777777" w:rsidR="003F3DD8" w:rsidRPr="00BF392C" w:rsidRDefault="00A91EB7" w:rsidP="006E420C">
            <w:pPr>
              <w:keepNext/>
              <w:spacing w:before="60" w:after="60" w:line="288" w:lineRule="auto"/>
              <w:jc w:val="center"/>
              <w:rPr>
                <w:b/>
                <w:color w:val="FFFFFF"/>
                <w:lang w:val="en-GB"/>
              </w:rPr>
            </w:pPr>
            <w:r w:rsidRPr="00BF392C">
              <w:rPr>
                <w:b/>
                <w:color w:val="FFFFFF"/>
                <w:lang w:val="en-GB"/>
              </w:rPr>
              <w:t xml:space="preserve">Frequency range </w:t>
            </w:r>
          </w:p>
        </w:tc>
        <w:tc>
          <w:tcPr>
            <w:tcW w:w="3261"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8F16092" w14:textId="77777777" w:rsidR="003F3DD8" w:rsidRPr="00BF392C" w:rsidRDefault="00A91EB7" w:rsidP="006E420C">
            <w:pPr>
              <w:keepNext/>
              <w:spacing w:before="60" w:after="60" w:line="288" w:lineRule="auto"/>
              <w:jc w:val="center"/>
              <w:rPr>
                <w:b/>
                <w:color w:val="FFFFFF"/>
                <w:lang w:val="en-GB"/>
              </w:rPr>
            </w:pPr>
            <w:r w:rsidRPr="00BF392C">
              <w:rPr>
                <w:b/>
                <w:color w:val="FFFFFF"/>
                <w:lang w:val="en-GB"/>
              </w:rPr>
              <w:t>Maximum emissions (see note)</w:t>
            </w:r>
          </w:p>
        </w:tc>
        <w:tc>
          <w:tcPr>
            <w:tcW w:w="2693"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48F16093" w14:textId="77777777" w:rsidR="003F3DD8" w:rsidRPr="00BF392C" w:rsidRDefault="00A91EB7" w:rsidP="006E420C">
            <w:pPr>
              <w:keepNext/>
              <w:spacing w:before="60" w:after="60" w:line="288" w:lineRule="auto"/>
              <w:jc w:val="center"/>
              <w:rPr>
                <w:b/>
                <w:color w:val="FFFFFF"/>
                <w:lang w:val="en-GB"/>
              </w:rPr>
            </w:pPr>
            <w:r w:rsidRPr="00BF392C">
              <w:rPr>
                <w:b/>
                <w:color w:val="FFFFFF"/>
                <w:lang w:val="en-GB"/>
              </w:rPr>
              <w:t>Measurement bandwidth</w:t>
            </w:r>
          </w:p>
        </w:tc>
      </w:tr>
      <w:tr w:rsidR="003F3DD8" w:rsidRPr="00BF392C" w14:paraId="48F16098" w14:textId="77777777">
        <w:tc>
          <w:tcPr>
            <w:tcW w:w="3118" w:type="dxa"/>
            <w:tcBorders>
              <w:top w:val="single" w:sz="4" w:space="0" w:color="D2232A"/>
              <w:left w:val="single" w:sz="4" w:space="0" w:color="D2232A"/>
              <w:bottom w:val="single" w:sz="4" w:space="0" w:color="D2232A"/>
              <w:right w:val="single" w:sz="4" w:space="0" w:color="D2232A"/>
            </w:tcBorders>
            <w:vAlign w:val="center"/>
          </w:tcPr>
          <w:p w14:paraId="48F16095" w14:textId="77777777" w:rsidR="003F3DD8" w:rsidRPr="00BF392C" w:rsidRDefault="00A91EB7">
            <w:pPr>
              <w:spacing w:before="60" w:after="60" w:line="288" w:lineRule="auto"/>
              <w:rPr>
                <w:lang w:val="en-GB"/>
              </w:rPr>
            </w:pPr>
            <w:r w:rsidRPr="00BF392C">
              <w:rPr>
                <w:lang w:val="en-GB"/>
              </w:rPr>
              <w:t>23.6-24.0 GHz</w:t>
            </w:r>
          </w:p>
        </w:tc>
        <w:tc>
          <w:tcPr>
            <w:tcW w:w="3261" w:type="dxa"/>
            <w:tcBorders>
              <w:top w:val="single" w:sz="4" w:space="0" w:color="D2232A"/>
              <w:left w:val="single" w:sz="4" w:space="0" w:color="D2232A"/>
              <w:bottom w:val="single" w:sz="4" w:space="0" w:color="D2232A"/>
              <w:right w:val="single" w:sz="4" w:space="0" w:color="D2232A"/>
            </w:tcBorders>
            <w:vAlign w:val="center"/>
          </w:tcPr>
          <w:p w14:paraId="48F16096" w14:textId="494D0B25" w:rsidR="003F3DD8" w:rsidRPr="00BF392C" w:rsidRDefault="00A91EB7">
            <w:pPr>
              <w:spacing w:before="60" w:after="60"/>
              <w:jc w:val="center"/>
              <w:rPr>
                <w:lang w:val="en-GB"/>
              </w:rPr>
            </w:pPr>
            <w:r w:rsidRPr="006E420C">
              <w:rPr>
                <w:lang w:val="en-GB"/>
              </w:rPr>
              <w:t>-38</w:t>
            </w:r>
            <w:r w:rsidRPr="00BF392C">
              <w:rPr>
                <w:lang w:val="en-GB"/>
              </w:rPr>
              <w:t xml:space="preserve"> dBW</w:t>
            </w:r>
          </w:p>
        </w:tc>
        <w:tc>
          <w:tcPr>
            <w:tcW w:w="2693" w:type="dxa"/>
            <w:tcBorders>
              <w:top w:val="single" w:sz="4" w:space="0" w:color="D2232A"/>
              <w:left w:val="single" w:sz="4" w:space="0" w:color="D2232A"/>
              <w:bottom w:val="single" w:sz="4" w:space="0" w:color="D2232A"/>
              <w:right w:val="single" w:sz="4" w:space="0" w:color="D2232A"/>
            </w:tcBorders>
            <w:vAlign w:val="center"/>
          </w:tcPr>
          <w:p w14:paraId="48F16097" w14:textId="77777777" w:rsidR="003F3DD8" w:rsidRPr="00BF392C" w:rsidRDefault="00A91EB7">
            <w:pPr>
              <w:spacing w:before="60" w:after="60" w:line="288" w:lineRule="auto"/>
              <w:jc w:val="center"/>
              <w:rPr>
                <w:lang w:val="en-GB"/>
              </w:rPr>
            </w:pPr>
            <w:r w:rsidRPr="00BF392C">
              <w:rPr>
                <w:lang w:val="en-GB"/>
              </w:rPr>
              <w:t>200 MHz</w:t>
            </w:r>
          </w:p>
        </w:tc>
      </w:tr>
      <w:tr w:rsidR="00E049A8" w:rsidRPr="00BF392C" w14:paraId="717D5E91" w14:textId="77777777" w:rsidTr="0080238D">
        <w:tc>
          <w:tcPr>
            <w:tcW w:w="9072" w:type="dxa"/>
            <w:gridSpan w:val="3"/>
            <w:tcBorders>
              <w:top w:val="single" w:sz="4" w:space="0" w:color="D2232A"/>
              <w:left w:val="single" w:sz="4" w:space="0" w:color="D2232A"/>
              <w:bottom w:val="single" w:sz="4" w:space="0" w:color="D2232A"/>
              <w:right w:val="single" w:sz="4" w:space="0" w:color="D2232A"/>
            </w:tcBorders>
            <w:vAlign w:val="center"/>
          </w:tcPr>
          <w:p w14:paraId="48F81D00" w14:textId="0047756D" w:rsidR="00E049A8" w:rsidRPr="00BF392C" w:rsidRDefault="00E049A8" w:rsidP="00E85D58">
            <w:pPr>
              <w:pStyle w:val="ECCTablenote"/>
            </w:pPr>
            <w:r w:rsidRPr="00BF392C">
              <w:t>Note: This level requirement applies for terminal station for all foreseen modes of operation (i.e. maximum in-band power, electrical pointing, carrier configurations)</w:t>
            </w:r>
          </w:p>
        </w:tc>
      </w:tr>
    </w:tbl>
    <w:p w14:paraId="7F15C5F0" w14:textId="77777777" w:rsidR="00F4107E" w:rsidRPr="00BF392C" w:rsidRDefault="00F4107E" w:rsidP="00E85D58">
      <w:pPr>
        <w:pStyle w:val="ECCTablenote"/>
      </w:pPr>
    </w:p>
    <w:p w14:paraId="48F1609B" w14:textId="77777777" w:rsidR="003F3DD8" w:rsidRPr="00BF392C" w:rsidRDefault="00A91EB7">
      <w:pPr>
        <w:pStyle w:val="ECCAnnex-heading1"/>
      </w:pPr>
      <w:bookmarkStart w:id="16" w:name="_Toc280099660"/>
      <w:r w:rsidRPr="00BF392C">
        <w:lastRenderedPageBreak/>
        <w:t>List of reference</w:t>
      </w:r>
      <w:bookmarkEnd w:id="16"/>
      <w:r w:rsidRPr="00BF392C">
        <w:t>s</w:t>
      </w:r>
    </w:p>
    <w:p w14:paraId="48F1609C" w14:textId="77777777" w:rsidR="003F3DD8" w:rsidRPr="00BF392C" w:rsidRDefault="00A91EB7">
      <w:pPr>
        <w:pStyle w:val="ECCParagraph"/>
      </w:pPr>
      <w:r w:rsidRPr="00BF392C">
        <w:t>This annex contains the list of relevant reference documents.</w:t>
      </w:r>
    </w:p>
    <w:p w14:paraId="48F1609D" w14:textId="54B3843C" w:rsidR="003F3DD8" w:rsidRPr="00BF392C" w:rsidRDefault="00A91EB7">
      <w:pPr>
        <w:pStyle w:val="reference"/>
        <w:rPr>
          <w:lang w:val="en-GB"/>
        </w:rPr>
      </w:pPr>
      <w:bookmarkStart w:id="17" w:name="_Ref482018812"/>
      <w:bookmarkStart w:id="18" w:name="_Ref213741794"/>
      <w:r w:rsidRPr="00BF392C">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7"/>
      <w:bookmarkEnd w:id="18"/>
      <w:r w:rsidRPr="00BF392C">
        <w:rPr>
          <w:lang w:val="en-GB"/>
        </w:rPr>
        <w:t xml:space="preserve"> (Radio Equipment Directive)</w:t>
      </w:r>
    </w:p>
    <w:p w14:paraId="48F1609E" w14:textId="77777777" w:rsidR="003F3DD8" w:rsidRPr="00BF392C" w:rsidRDefault="00A91EB7" w:rsidP="00135834">
      <w:pPr>
        <w:pStyle w:val="reference"/>
        <w:rPr>
          <w:lang w:val="en-GB"/>
        </w:rPr>
      </w:pPr>
      <w:r w:rsidRPr="00BF392C">
        <w:rPr>
          <w:lang w:val="en-GB"/>
        </w:rPr>
        <w:t>CEPT Report 68:</w:t>
      </w:r>
      <w:r w:rsidR="00E24D2B" w:rsidRPr="00BF392C">
        <w:rPr>
          <w:lang w:val="en-GB"/>
        </w:rPr>
        <w:t xml:space="preserve"> “Harmonised technical conditions for the 24.25-27.5 GHz ('26 GHz') frequency band”, July 2018</w:t>
      </w:r>
      <w:bookmarkStart w:id="19" w:name="_GoBack"/>
      <w:bookmarkEnd w:id="19"/>
    </w:p>
    <w:sectPr w:rsidR="003F3DD8" w:rsidRPr="00BF392C">
      <w:headerReference w:type="even" r:id="rId12"/>
      <w:headerReference w:type="default" r:id="rId13"/>
      <w:headerReference w:type="first" r:id="rId14"/>
      <w:pgSz w:w="11907" w:h="16840" w:code="9"/>
      <w:pgMar w:top="1440" w:right="1134" w:bottom="1440"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44F65" w14:textId="77777777" w:rsidR="00467E3A" w:rsidRDefault="00467E3A">
      <w:r>
        <w:separator/>
      </w:r>
    </w:p>
  </w:endnote>
  <w:endnote w:type="continuationSeparator" w:id="0">
    <w:p w14:paraId="62310004" w14:textId="77777777" w:rsidR="00467E3A" w:rsidRDefault="00467E3A">
      <w:r>
        <w:continuationSeparator/>
      </w:r>
    </w:p>
  </w:endnote>
  <w:endnote w:type="continuationNotice" w:id="1">
    <w:p w14:paraId="342C8E6B" w14:textId="77777777" w:rsidR="00467E3A" w:rsidRDefault="00467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charset w:val="00"/>
    <w:family w:val="auto"/>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7A3E1" w14:textId="77777777" w:rsidR="00467E3A" w:rsidRDefault="00467E3A">
      <w:r>
        <w:separator/>
      </w:r>
    </w:p>
  </w:footnote>
  <w:footnote w:type="continuationSeparator" w:id="0">
    <w:p w14:paraId="06493FDE" w14:textId="77777777" w:rsidR="00467E3A" w:rsidRDefault="00467E3A">
      <w:r>
        <w:continuationSeparator/>
      </w:r>
    </w:p>
  </w:footnote>
  <w:footnote w:type="continuationNotice" w:id="1">
    <w:p w14:paraId="5246A489" w14:textId="77777777" w:rsidR="00467E3A" w:rsidRDefault="00467E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0678B" w14:textId="60504ECC" w:rsidR="00FF4AED" w:rsidRPr="00417276" w:rsidRDefault="00FF4AED" w:rsidP="00417276">
    <w:pPr>
      <w:pStyle w:val="Header"/>
      <w:jc w:val="right"/>
      <w:rPr>
        <w:szCs w:val="16"/>
        <w:lang w:val="en-GB"/>
      </w:rPr>
    </w:pPr>
    <w:r w:rsidRPr="00417276">
      <w:rPr>
        <w:lang w:val="en-GB"/>
      </w:rPr>
      <w:t>ECC/DEC</w:t>
    </w:r>
    <w:proofErr w:type="gramStart"/>
    <w:r w:rsidR="00236D29" w:rsidRPr="00236D29">
      <w:rPr>
        <w:lang w:val="en-GB"/>
      </w:rPr>
      <w:t>/(</w:t>
    </w:r>
    <w:proofErr w:type="gramEnd"/>
    <w:r w:rsidR="00236D29" w:rsidRPr="00236D29">
      <w:rPr>
        <w:lang w:val="en-GB"/>
      </w:rPr>
      <w:t xml:space="preserve">18)06 </w:t>
    </w:r>
    <w:r w:rsidRPr="00417276">
      <w:rPr>
        <w:szCs w:val="16"/>
        <w:lang w:val="en-GB"/>
      </w:rPr>
      <w:t xml:space="preserve">Page </w:t>
    </w:r>
    <w:r>
      <w:fldChar w:fldCharType="begin"/>
    </w:r>
    <w:r>
      <w:instrText xml:space="preserve"> PAGE  \* Arabic  \* MERGEFORMAT </w:instrText>
    </w:r>
    <w:r>
      <w:fldChar w:fldCharType="separate"/>
    </w:r>
    <w:r w:rsidR="007312C4" w:rsidRPr="007312C4">
      <w:rPr>
        <w:noProof/>
        <w:szCs w:val="16"/>
        <w:lang w:val="en-GB"/>
      </w:rPr>
      <w:t>8</w:t>
    </w:r>
    <w:r>
      <w:rPr>
        <w:noProof/>
        <w:szCs w:val="16"/>
        <w:lang w:val="da-DK"/>
      </w:rPr>
      <w:fldChar w:fldCharType="end"/>
    </w:r>
  </w:p>
  <w:p w14:paraId="513E29E0" w14:textId="77777777" w:rsidR="00FF4AED" w:rsidRPr="00417276" w:rsidRDefault="00FF4AED">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27E08" w14:textId="03EBC480" w:rsidR="00FF4AED" w:rsidRPr="00417276" w:rsidRDefault="00FF4AED">
    <w:pPr>
      <w:pStyle w:val="Header"/>
      <w:rPr>
        <w:lang w:val="en-GB"/>
      </w:rPr>
    </w:pPr>
    <w:r w:rsidRPr="00417276">
      <w:rPr>
        <w:lang w:val="en-GB"/>
      </w:rPr>
      <w:t>ECC/DEC</w:t>
    </w:r>
    <w:proofErr w:type="gramStart"/>
    <w:r w:rsidR="00236D29">
      <w:rPr>
        <w:lang w:val="en-GB"/>
      </w:rPr>
      <w:t>/(</w:t>
    </w:r>
    <w:proofErr w:type="gramEnd"/>
    <w:r w:rsidR="00236D29">
      <w:rPr>
        <w:lang w:val="en-GB"/>
      </w:rPr>
      <w:t xml:space="preserve">18)06 </w:t>
    </w:r>
    <w:r w:rsidRPr="00417276">
      <w:rPr>
        <w:szCs w:val="16"/>
        <w:lang w:val="en-GB"/>
      </w:rPr>
      <w:t xml:space="preserve">Page </w:t>
    </w:r>
    <w:r>
      <w:fldChar w:fldCharType="begin"/>
    </w:r>
    <w:r>
      <w:instrText xml:space="preserve"> PAGE  \* Arabic  \* MERGEFORMAT </w:instrText>
    </w:r>
    <w:r>
      <w:fldChar w:fldCharType="separate"/>
    </w:r>
    <w:r w:rsidR="007312C4" w:rsidRPr="007312C4">
      <w:rPr>
        <w:noProof/>
        <w:szCs w:val="16"/>
        <w:lang w:val="en-GB"/>
      </w:rPr>
      <w:t>9</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160C8" w14:textId="2C9E2D3A" w:rsidR="00A91EB7" w:rsidRPr="000035B5" w:rsidRDefault="00A91EB7" w:rsidP="001154AA">
    <w:pPr>
      <w:pStyle w:val="Header"/>
      <w:jc w:val="right"/>
      <w:rPr>
        <w:sz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nsid w:val="04334CB3"/>
    <w:multiLevelType w:val="hybridMultilevel"/>
    <w:tmpl w:val="855A425C"/>
    <w:lvl w:ilvl="0" w:tplc="04463DC8">
      <w:start w:val="9"/>
      <w:numFmt w:val="bullet"/>
      <w:lvlText w:val="-"/>
      <w:lvlJc w:val="left"/>
      <w:pPr>
        <w:tabs>
          <w:tab w:val="num" w:pos="360"/>
        </w:tabs>
        <w:ind w:left="360" w:hanging="360"/>
      </w:pPr>
      <w:rPr>
        <w:rFonts w:ascii="Arial" w:eastAsia="MS Mincho" w:hAnsi="Arial" w:cs="Arial"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4">
    <w:nsid w:val="053200B9"/>
    <w:multiLevelType w:val="multilevel"/>
    <w:tmpl w:val="BF4C4C4E"/>
    <w:lvl w:ilvl="0">
      <w:start w:val="1"/>
      <w:numFmt w:val="decimal"/>
      <w:lvlText w:val="%1)"/>
      <w:lvlJc w:val="left"/>
      <w:pPr>
        <w:ind w:left="360" w:hanging="360"/>
      </w:pPr>
      <w:rPr>
        <w:lang w:val="en-G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356F62"/>
    <w:multiLevelType w:val="hybridMultilevel"/>
    <w:tmpl w:val="B2B8E6FA"/>
    <w:lvl w:ilvl="0" w:tplc="1C8A6162">
      <w:start w:val="1"/>
      <w:numFmt w:val="bullet"/>
      <w:lvlText w:val=""/>
      <w:lvlJc w:val="left"/>
      <w:pPr>
        <w:ind w:left="720" w:hanging="360"/>
      </w:pPr>
      <w:rPr>
        <w:rFonts w:ascii="Wingdings" w:hAnsi="Wingdings" w:hint="default"/>
        <w:color w:val="D2232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E0870B8"/>
    <w:multiLevelType w:val="hybridMultilevel"/>
    <w:tmpl w:val="0D5CBE5C"/>
    <w:lvl w:ilvl="0" w:tplc="48762B80">
      <w:start w:val="1"/>
      <w:numFmt w:val="decimal"/>
      <w:lvlText w:val="%1)"/>
      <w:lvlJc w:val="left"/>
      <w:pPr>
        <w:tabs>
          <w:tab w:val="num" w:pos="720"/>
        </w:tabs>
        <w:ind w:left="720" w:hanging="360"/>
      </w:pPr>
      <w:rPr>
        <w:rFonts w:hint="default"/>
      </w:rPr>
    </w:lvl>
    <w:lvl w:ilvl="1" w:tplc="4DEA9684">
      <w:start w:val="1"/>
      <w:numFmt w:val="lowerLetter"/>
      <w:lvlText w:val="%2."/>
      <w:lvlJc w:val="left"/>
      <w:pPr>
        <w:tabs>
          <w:tab w:val="num" w:pos="1440"/>
        </w:tabs>
        <w:ind w:left="1440" w:hanging="360"/>
      </w:pPr>
    </w:lvl>
    <w:lvl w:ilvl="2" w:tplc="EF3ED150">
      <w:start w:val="1"/>
      <w:numFmt w:val="lowerRoman"/>
      <w:lvlText w:val="%3."/>
      <w:lvlJc w:val="right"/>
      <w:pPr>
        <w:tabs>
          <w:tab w:val="num" w:pos="2160"/>
        </w:tabs>
        <w:ind w:left="2160" w:hanging="180"/>
      </w:pPr>
    </w:lvl>
    <w:lvl w:ilvl="3" w:tplc="69D807A4">
      <w:start w:val="1"/>
      <w:numFmt w:val="decimal"/>
      <w:lvlText w:val="%4."/>
      <w:lvlJc w:val="left"/>
      <w:pPr>
        <w:tabs>
          <w:tab w:val="num" w:pos="2880"/>
        </w:tabs>
        <w:ind w:left="2880" w:hanging="360"/>
      </w:pPr>
    </w:lvl>
    <w:lvl w:ilvl="4" w:tplc="A0FE983C">
      <w:start w:val="1"/>
      <w:numFmt w:val="lowerLetter"/>
      <w:lvlText w:val="%5."/>
      <w:lvlJc w:val="left"/>
      <w:pPr>
        <w:tabs>
          <w:tab w:val="num" w:pos="3600"/>
        </w:tabs>
        <w:ind w:left="3600" w:hanging="360"/>
      </w:pPr>
    </w:lvl>
    <w:lvl w:ilvl="5" w:tplc="A30CA852">
      <w:start w:val="1"/>
      <w:numFmt w:val="lowerRoman"/>
      <w:lvlText w:val="%6."/>
      <w:lvlJc w:val="right"/>
      <w:pPr>
        <w:tabs>
          <w:tab w:val="num" w:pos="4320"/>
        </w:tabs>
        <w:ind w:left="4320" w:hanging="180"/>
      </w:pPr>
    </w:lvl>
    <w:lvl w:ilvl="6" w:tplc="C6A42720">
      <w:start w:val="1"/>
      <w:numFmt w:val="decimal"/>
      <w:lvlText w:val="%7."/>
      <w:lvlJc w:val="left"/>
      <w:pPr>
        <w:tabs>
          <w:tab w:val="num" w:pos="5040"/>
        </w:tabs>
        <w:ind w:left="5040" w:hanging="360"/>
      </w:pPr>
    </w:lvl>
    <w:lvl w:ilvl="7" w:tplc="391C6140">
      <w:start w:val="1"/>
      <w:numFmt w:val="lowerLetter"/>
      <w:lvlText w:val="%8."/>
      <w:lvlJc w:val="left"/>
      <w:pPr>
        <w:tabs>
          <w:tab w:val="num" w:pos="5760"/>
        </w:tabs>
        <w:ind w:left="5760" w:hanging="360"/>
      </w:pPr>
    </w:lvl>
    <w:lvl w:ilvl="8" w:tplc="279610E8">
      <w:start w:val="1"/>
      <w:numFmt w:val="lowerRoman"/>
      <w:lvlText w:val="%9."/>
      <w:lvlJc w:val="right"/>
      <w:pPr>
        <w:tabs>
          <w:tab w:val="num" w:pos="6480"/>
        </w:tabs>
        <w:ind w:left="6480" w:hanging="180"/>
      </w:pPr>
    </w:lvl>
  </w:abstractNum>
  <w:abstractNum w:abstractNumId="7">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5229E6"/>
    <w:multiLevelType w:val="hybridMultilevel"/>
    <w:tmpl w:val="CECE4E22"/>
    <w:lvl w:ilvl="0" w:tplc="D78E0BD0">
      <w:start w:val="1"/>
      <w:numFmt w:val="upperLetter"/>
      <w:lvlText w:val="(%1)"/>
      <w:lvlJc w:val="left"/>
      <w:pPr>
        <w:ind w:left="1080" w:hanging="360"/>
      </w:pPr>
      <w:rPr>
        <w:rFonts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9EB73FE"/>
    <w:multiLevelType w:val="hybridMultilevel"/>
    <w:tmpl w:val="672EB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nsid w:val="1D3B27F9"/>
    <w:multiLevelType w:val="hybridMultilevel"/>
    <w:tmpl w:val="9A9E378A"/>
    <w:lvl w:ilvl="0" w:tplc="0816000F">
      <w:start w:val="1"/>
      <w:numFmt w:val="decimal"/>
      <w:lvlText w:val="%1."/>
      <w:lvlJc w:val="left"/>
      <w:pPr>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816001B">
      <w:start w:val="1"/>
      <w:numFmt w:val="lowerRoman"/>
      <w:lvlText w:val="%3."/>
      <w:lvlJc w:val="right"/>
      <w:pPr>
        <w:ind w:left="2160" w:hanging="180"/>
      </w:pPr>
      <w:rPr>
        <w:rFonts w:cs="Times New Roman"/>
      </w:rPr>
    </w:lvl>
    <w:lvl w:ilvl="3" w:tplc="0816000F">
      <w:start w:val="1"/>
      <w:numFmt w:val="decimal"/>
      <w:lvlText w:val="%4."/>
      <w:lvlJc w:val="left"/>
      <w:pPr>
        <w:ind w:left="2880" w:hanging="360"/>
      </w:pPr>
      <w:rPr>
        <w:rFonts w:cs="Times New Roman"/>
      </w:rPr>
    </w:lvl>
    <w:lvl w:ilvl="4" w:tplc="08160019">
      <w:start w:val="1"/>
      <w:numFmt w:val="lowerLetter"/>
      <w:lvlText w:val="%5."/>
      <w:lvlJc w:val="left"/>
      <w:pPr>
        <w:ind w:left="3600" w:hanging="360"/>
      </w:pPr>
      <w:rPr>
        <w:rFonts w:cs="Times New Roman"/>
      </w:rPr>
    </w:lvl>
    <w:lvl w:ilvl="5" w:tplc="0816001B">
      <w:start w:val="1"/>
      <w:numFmt w:val="lowerRoman"/>
      <w:lvlText w:val="%6."/>
      <w:lvlJc w:val="right"/>
      <w:pPr>
        <w:ind w:left="4320" w:hanging="180"/>
      </w:pPr>
      <w:rPr>
        <w:rFonts w:cs="Times New Roman"/>
      </w:rPr>
    </w:lvl>
    <w:lvl w:ilvl="6" w:tplc="0816000F">
      <w:start w:val="1"/>
      <w:numFmt w:val="decimal"/>
      <w:lvlText w:val="%7."/>
      <w:lvlJc w:val="left"/>
      <w:pPr>
        <w:ind w:left="5040" w:hanging="360"/>
      </w:pPr>
      <w:rPr>
        <w:rFonts w:cs="Times New Roman"/>
      </w:rPr>
    </w:lvl>
    <w:lvl w:ilvl="7" w:tplc="08160019">
      <w:start w:val="1"/>
      <w:numFmt w:val="lowerLetter"/>
      <w:lvlText w:val="%8."/>
      <w:lvlJc w:val="left"/>
      <w:pPr>
        <w:ind w:left="5760" w:hanging="360"/>
      </w:pPr>
      <w:rPr>
        <w:rFonts w:cs="Times New Roman"/>
      </w:rPr>
    </w:lvl>
    <w:lvl w:ilvl="8" w:tplc="0816001B">
      <w:start w:val="1"/>
      <w:numFmt w:val="lowerRoman"/>
      <w:lvlText w:val="%9."/>
      <w:lvlJc w:val="right"/>
      <w:pPr>
        <w:ind w:left="6480" w:hanging="180"/>
      </w:pPr>
      <w:rPr>
        <w:rFonts w:cs="Times New Roman"/>
      </w:rPr>
    </w:lvl>
  </w:abstractNum>
  <w:abstractNum w:abstractNumId="13">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4">
    <w:nsid w:val="212F4188"/>
    <w:multiLevelType w:val="multilevel"/>
    <w:tmpl w:val="557277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718"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B841FC1"/>
    <w:multiLevelType w:val="hybridMultilevel"/>
    <w:tmpl w:val="F0662AC4"/>
    <w:lvl w:ilvl="0" w:tplc="5748CF88">
      <w:start w:val="1"/>
      <w:numFmt w:val="lowerRoman"/>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434062"/>
    <w:multiLevelType w:val="hybridMultilevel"/>
    <w:tmpl w:val="FB14D49E"/>
    <w:lvl w:ilvl="0" w:tplc="42F28D0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2F9A72C9"/>
    <w:multiLevelType w:val="hybridMultilevel"/>
    <w:tmpl w:val="CF882B38"/>
    <w:lvl w:ilvl="0" w:tplc="78408B14">
      <w:start w:val="1"/>
      <w:numFmt w:val="lowerLetter"/>
      <w:lvlText w:val="%1)"/>
      <w:lvlJc w:val="left"/>
      <w:pPr>
        <w:ind w:left="786" w:hanging="360"/>
      </w:pPr>
      <w:rPr>
        <w:rFonts w:ascii="Arial" w:hAnsi="Arial" w:hint="default"/>
        <w:b w:val="0"/>
        <w:bCs w:val="0"/>
        <w:i w:val="0"/>
        <w:iCs w:val="0"/>
        <w:color w:val="D2232A"/>
        <w:sz w:val="20"/>
        <w:szCs w:val="20"/>
      </w:rPr>
    </w:lvl>
    <w:lvl w:ilvl="1" w:tplc="F26A9344" w:tentative="1">
      <w:start w:val="1"/>
      <w:numFmt w:val="lowerLetter"/>
      <w:lvlText w:val="%2."/>
      <w:lvlJc w:val="left"/>
      <w:pPr>
        <w:ind w:left="1440" w:hanging="360"/>
      </w:pPr>
    </w:lvl>
    <w:lvl w:ilvl="2" w:tplc="FE0CA83E" w:tentative="1">
      <w:start w:val="1"/>
      <w:numFmt w:val="lowerRoman"/>
      <w:lvlText w:val="%3."/>
      <w:lvlJc w:val="right"/>
      <w:pPr>
        <w:ind w:left="2160" w:hanging="180"/>
      </w:pPr>
    </w:lvl>
    <w:lvl w:ilvl="3" w:tplc="E3B06BEA" w:tentative="1">
      <w:start w:val="1"/>
      <w:numFmt w:val="decimal"/>
      <w:lvlText w:val="%4."/>
      <w:lvlJc w:val="left"/>
      <w:pPr>
        <w:ind w:left="2880" w:hanging="360"/>
      </w:pPr>
    </w:lvl>
    <w:lvl w:ilvl="4" w:tplc="61BA987E" w:tentative="1">
      <w:start w:val="1"/>
      <w:numFmt w:val="lowerLetter"/>
      <w:lvlText w:val="%5."/>
      <w:lvlJc w:val="left"/>
      <w:pPr>
        <w:ind w:left="3600" w:hanging="360"/>
      </w:pPr>
    </w:lvl>
    <w:lvl w:ilvl="5" w:tplc="9A6E0AE6" w:tentative="1">
      <w:start w:val="1"/>
      <w:numFmt w:val="lowerRoman"/>
      <w:lvlText w:val="%6."/>
      <w:lvlJc w:val="right"/>
      <w:pPr>
        <w:ind w:left="4320" w:hanging="180"/>
      </w:pPr>
    </w:lvl>
    <w:lvl w:ilvl="6" w:tplc="92DEE0C4" w:tentative="1">
      <w:start w:val="1"/>
      <w:numFmt w:val="decimal"/>
      <w:lvlText w:val="%7."/>
      <w:lvlJc w:val="left"/>
      <w:pPr>
        <w:ind w:left="5040" w:hanging="360"/>
      </w:pPr>
    </w:lvl>
    <w:lvl w:ilvl="7" w:tplc="596E3DBC" w:tentative="1">
      <w:start w:val="1"/>
      <w:numFmt w:val="lowerLetter"/>
      <w:lvlText w:val="%8."/>
      <w:lvlJc w:val="left"/>
      <w:pPr>
        <w:ind w:left="5760" w:hanging="360"/>
      </w:pPr>
    </w:lvl>
    <w:lvl w:ilvl="8" w:tplc="A0AA38E6" w:tentative="1">
      <w:start w:val="1"/>
      <w:numFmt w:val="lowerRoman"/>
      <w:lvlText w:val="%9."/>
      <w:lvlJc w:val="right"/>
      <w:pPr>
        <w:ind w:left="6480" w:hanging="180"/>
      </w:pPr>
    </w:lvl>
  </w:abstractNum>
  <w:abstractNum w:abstractNumId="18">
    <w:nsid w:val="31640B8E"/>
    <w:multiLevelType w:val="hybridMultilevel"/>
    <w:tmpl w:val="A0F433E6"/>
    <w:lvl w:ilvl="0" w:tplc="B5A617CE">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3269348F"/>
    <w:multiLevelType w:val="hybridMultilevel"/>
    <w:tmpl w:val="9EB40B58"/>
    <w:lvl w:ilvl="0" w:tplc="78E8E71C">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21">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nsid w:val="3BDA6569"/>
    <w:multiLevelType w:val="hybridMultilevel"/>
    <w:tmpl w:val="4E1014B0"/>
    <w:lvl w:ilvl="0" w:tplc="78E8E71C">
      <w:start w:val="1"/>
      <w:numFmt w:val="lowerLetter"/>
      <w:lvlText w:val="%1)"/>
      <w:lvlJc w:val="left"/>
      <w:pPr>
        <w:tabs>
          <w:tab w:val="num" w:pos="360"/>
        </w:tabs>
        <w:ind w:left="360" w:hanging="360"/>
      </w:pPr>
      <w:rPr>
        <w:rFonts w:ascii="Arial" w:hAnsi="Arial" w:hint="default"/>
        <w:b w:val="0"/>
        <w:bCs w:val="0"/>
        <w:i w:val="0"/>
        <w:iCs w:val="0"/>
        <w:color w:val="D2232A"/>
        <w:sz w:val="20"/>
        <w:szCs w:val="20"/>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4">
    <w:nsid w:val="3C275A4E"/>
    <w:multiLevelType w:val="hybridMultilevel"/>
    <w:tmpl w:val="5AE2E4D4"/>
    <w:lvl w:ilvl="0" w:tplc="4ECC6AEE">
      <w:start w:val="1"/>
      <w:numFmt w:val="decimal"/>
      <w:lvlText w:val="%1."/>
      <w:lvlJc w:val="left"/>
      <w:pPr>
        <w:tabs>
          <w:tab w:val="num" w:pos="720"/>
        </w:tabs>
        <w:ind w:left="720" w:hanging="360"/>
      </w:pPr>
    </w:lvl>
    <w:lvl w:ilvl="1" w:tplc="832A89EC" w:tentative="1">
      <w:start w:val="1"/>
      <w:numFmt w:val="lowerLetter"/>
      <w:lvlText w:val="%2."/>
      <w:lvlJc w:val="left"/>
      <w:pPr>
        <w:tabs>
          <w:tab w:val="num" w:pos="1440"/>
        </w:tabs>
        <w:ind w:left="1440" w:hanging="360"/>
      </w:pPr>
    </w:lvl>
    <w:lvl w:ilvl="2" w:tplc="CA584414" w:tentative="1">
      <w:start w:val="1"/>
      <w:numFmt w:val="lowerRoman"/>
      <w:lvlText w:val="%3."/>
      <w:lvlJc w:val="right"/>
      <w:pPr>
        <w:tabs>
          <w:tab w:val="num" w:pos="2160"/>
        </w:tabs>
        <w:ind w:left="2160" w:hanging="180"/>
      </w:pPr>
    </w:lvl>
    <w:lvl w:ilvl="3" w:tplc="166C7690" w:tentative="1">
      <w:start w:val="1"/>
      <w:numFmt w:val="decimal"/>
      <w:lvlText w:val="%4."/>
      <w:lvlJc w:val="left"/>
      <w:pPr>
        <w:tabs>
          <w:tab w:val="num" w:pos="2880"/>
        </w:tabs>
        <w:ind w:left="2880" w:hanging="360"/>
      </w:pPr>
    </w:lvl>
    <w:lvl w:ilvl="4" w:tplc="EACAF5F0" w:tentative="1">
      <w:start w:val="1"/>
      <w:numFmt w:val="lowerLetter"/>
      <w:lvlText w:val="%5."/>
      <w:lvlJc w:val="left"/>
      <w:pPr>
        <w:tabs>
          <w:tab w:val="num" w:pos="3600"/>
        </w:tabs>
        <w:ind w:left="3600" w:hanging="360"/>
      </w:pPr>
    </w:lvl>
    <w:lvl w:ilvl="5" w:tplc="827094C6" w:tentative="1">
      <w:start w:val="1"/>
      <w:numFmt w:val="lowerRoman"/>
      <w:lvlText w:val="%6."/>
      <w:lvlJc w:val="right"/>
      <w:pPr>
        <w:tabs>
          <w:tab w:val="num" w:pos="4320"/>
        </w:tabs>
        <w:ind w:left="4320" w:hanging="180"/>
      </w:pPr>
    </w:lvl>
    <w:lvl w:ilvl="6" w:tplc="E71A8F1C" w:tentative="1">
      <w:start w:val="1"/>
      <w:numFmt w:val="decimal"/>
      <w:lvlText w:val="%7."/>
      <w:lvlJc w:val="left"/>
      <w:pPr>
        <w:tabs>
          <w:tab w:val="num" w:pos="5040"/>
        </w:tabs>
        <w:ind w:left="5040" w:hanging="360"/>
      </w:pPr>
    </w:lvl>
    <w:lvl w:ilvl="7" w:tplc="9C8ADCB2" w:tentative="1">
      <w:start w:val="1"/>
      <w:numFmt w:val="lowerLetter"/>
      <w:lvlText w:val="%8."/>
      <w:lvlJc w:val="left"/>
      <w:pPr>
        <w:tabs>
          <w:tab w:val="num" w:pos="5760"/>
        </w:tabs>
        <w:ind w:left="5760" w:hanging="360"/>
      </w:pPr>
    </w:lvl>
    <w:lvl w:ilvl="8" w:tplc="4F7CB9AE" w:tentative="1">
      <w:start w:val="1"/>
      <w:numFmt w:val="lowerRoman"/>
      <w:lvlText w:val="%9."/>
      <w:lvlJc w:val="right"/>
      <w:pPr>
        <w:tabs>
          <w:tab w:val="num" w:pos="6480"/>
        </w:tabs>
        <w:ind w:left="6480" w:hanging="180"/>
      </w:pPr>
    </w:lvl>
  </w:abstractNum>
  <w:abstractNum w:abstractNumId="25">
    <w:nsid w:val="3D163F7A"/>
    <w:multiLevelType w:val="multilevel"/>
    <w:tmpl w:val="CB20FE4A"/>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3E1F77C0"/>
    <w:multiLevelType w:val="hybridMultilevel"/>
    <w:tmpl w:val="993406CE"/>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8">
    <w:nsid w:val="464A4333"/>
    <w:multiLevelType w:val="hybridMultilevel"/>
    <w:tmpl w:val="B91CE338"/>
    <w:lvl w:ilvl="0" w:tplc="04463DC8">
      <w:start w:val="9"/>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BE233B"/>
    <w:multiLevelType w:val="hybridMultilevel"/>
    <w:tmpl w:val="ECB22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6E6242A"/>
    <w:multiLevelType w:val="hybridMultilevel"/>
    <w:tmpl w:val="E17CFA6E"/>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31">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9E64B75"/>
    <w:multiLevelType w:val="hybridMultilevel"/>
    <w:tmpl w:val="15108F90"/>
    <w:lvl w:ilvl="0" w:tplc="1C8A6162">
      <w:start w:val="1"/>
      <w:numFmt w:val="bullet"/>
      <w:lvlText w:val=""/>
      <w:lvlJc w:val="left"/>
      <w:pPr>
        <w:ind w:left="720" w:hanging="360"/>
      </w:pPr>
      <w:rPr>
        <w:rFonts w:ascii="Wingdings" w:hAnsi="Wingdings" w:hint="default"/>
        <w:color w:val="D223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777A2F"/>
    <w:multiLevelType w:val="hybridMultilevel"/>
    <w:tmpl w:val="6A7EDAF8"/>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520C5403"/>
    <w:multiLevelType w:val="hybridMultilevel"/>
    <w:tmpl w:val="819A62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36">
    <w:nsid w:val="5CC11DC2"/>
    <w:multiLevelType w:val="hybridMultilevel"/>
    <w:tmpl w:val="8D6A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38">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9">
    <w:nsid w:val="6E394BEB"/>
    <w:multiLevelType w:val="hybridMultilevel"/>
    <w:tmpl w:val="4DAAEB3E"/>
    <w:lvl w:ilvl="0" w:tplc="D2D84F58">
      <w:numFmt w:val="bullet"/>
      <w:lvlText w:val="–"/>
      <w:lvlJc w:val="left"/>
      <w:pPr>
        <w:ind w:left="720" w:hanging="360"/>
      </w:pPr>
      <w:rPr>
        <w:rFonts w:ascii="Times New Roman" w:eastAsia="Times New Roman" w:hAnsi="Times New Roman" w:cs="Times New Roman" w:hint="default"/>
        <w:color w:val="FF0000"/>
      </w:rPr>
    </w:lvl>
    <w:lvl w:ilvl="1" w:tplc="5B705AB0" w:tentative="1">
      <w:start w:val="1"/>
      <w:numFmt w:val="bullet"/>
      <w:lvlText w:val="o"/>
      <w:lvlJc w:val="left"/>
      <w:pPr>
        <w:ind w:left="1440" w:hanging="360"/>
      </w:pPr>
      <w:rPr>
        <w:rFonts w:ascii="Courier New" w:hAnsi="Courier New" w:cs="Courier New" w:hint="default"/>
      </w:rPr>
    </w:lvl>
    <w:lvl w:ilvl="2" w:tplc="ABFA06D2" w:tentative="1">
      <w:start w:val="1"/>
      <w:numFmt w:val="bullet"/>
      <w:lvlText w:val=""/>
      <w:lvlJc w:val="left"/>
      <w:pPr>
        <w:ind w:left="2160" w:hanging="360"/>
      </w:pPr>
      <w:rPr>
        <w:rFonts w:ascii="Wingdings" w:hAnsi="Wingdings" w:hint="default"/>
      </w:rPr>
    </w:lvl>
    <w:lvl w:ilvl="3" w:tplc="1E0AE716" w:tentative="1">
      <w:start w:val="1"/>
      <w:numFmt w:val="bullet"/>
      <w:lvlText w:val=""/>
      <w:lvlJc w:val="left"/>
      <w:pPr>
        <w:ind w:left="2880" w:hanging="360"/>
      </w:pPr>
      <w:rPr>
        <w:rFonts w:ascii="Symbol" w:hAnsi="Symbol" w:hint="default"/>
      </w:rPr>
    </w:lvl>
    <w:lvl w:ilvl="4" w:tplc="EA100D4A" w:tentative="1">
      <w:start w:val="1"/>
      <w:numFmt w:val="bullet"/>
      <w:lvlText w:val="o"/>
      <w:lvlJc w:val="left"/>
      <w:pPr>
        <w:ind w:left="3600" w:hanging="360"/>
      </w:pPr>
      <w:rPr>
        <w:rFonts w:ascii="Courier New" w:hAnsi="Courier New" w:cs="Courier New" w:hint="default"/>
      </w:rPr>
    </w:lvl>
    <w:lvl w:ilvl="5" w:tplc="0CA2E652" w:tentative="1">
      <w:start w:val="1"/>
      <w:numFmt w:val="bullet"/>
      <w:lvlText w:val=""/>
      <w:lvlJc w:val="left"/>
      <w:pPr>
        <w:ind w:left="4320" w:hanging="360"/>
      </w:pPr>
      <w:rPr>
        <w:rFonts w:ascii="Wingdings" w:hAnsi="Wingdings" w:hint="default"/>
      </w:rPr>
    </w:lvl>
    <w:lvl w:ilvl="6" w:tplc="8032A674" w:tentative="1">
      <w:start w:val="1"/>
      <w:numFmt w:val="bullet"/>
      <w:lvlText w:val=""/>
      <w:lvlJc w:val="left"/>
      <w:pPr>
        <w:ind w:left="5040" w:hanging="360"/>
      </w:pPr>
      <w:rPr>
        <w:rFonts w:ascii="Symbol" w:hAnsi="Symbol" w:hint="default"/>
      </w:rPr>
    </w:lvl>
    <w:lvl w:ilvl="7" w:tplc="2050F288" w:tentative="1">
      <w:start w:val="1"/>
      <w:numFmt w:val="bullet"/>
      <w:lvlText w:val="o"/>
      <w:lvlJc w:val="left"/>
      <w:pPr>
        <w:ind w:left="5760" w:hanging="360"/>
      </w:pPr>
      <w:rPr>
        <w:rFonts w:ascii="Courier New" w:hAnsi="Courier New" w:cs="Courier New" w:hint="default"/>
      </w:rPr>
    </w:lvl>
    <w:lvl w:ilvl="8" w:tplc="F16E9CF2" w:tentative="1">
      <w:start w:val="1"/>
      <w:numFmt w:val="bullet"/>
      <w:lvlText w:val=""/>
      <w:lvlJc w:val="left"/>
      <w:pPr>
        <w:ind w:left="6480" w:hanging="360"/>
      </w:pPr>
      <w:rPr>
        <w:rFonts w:ascii="Wingdings" w:hAnsi="Wingdings" w:hint="default"/>
      </w:rPr>
    </w:lvl>
  </w:abstractNum>
  <w:abstractNum w:abstractNumId="40">
    <w:nsid w:val="6FAF5003"/>
    <w:multiLevelType w:val="hybridMultilevel"/>
    <w:tmpl w:val="A8CC41D6"/>
    <w:lvl w:ilvl="0" w:tplc="040C0001">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7412367D"/>
    <w:multiLevelType w:val="hybridMultilevel"/>
    <w:tmpl w:val="D69E0AA0"/>
    <w:lvl w:ilvl="0" w:tplc="1C8A6162">
      <w:start w:val="1"/>
      <w:numFmt w:val="bullet"/>
      <w:lvlText w:val=""/>
      <w:lvlJc w:val="left"/>
      <w:pPr>
        <w:ind w:left="1851" w:hanging="360"/>
      </w:pPr>
      <w:rPr>
        <w:rFonts w:ascii="Wingdings" w:hAnsi="Wingdings" w:hint="default"/>
        <w:color w:val="D2232A"/>
      </w:rPr>
    </w:lvl>
    <w:lvl w:ilvl="1" w:tplc="08090003">
      <w:start w:val="1"/>
      <w:numFmt w:val="bullet"/>
      <w:lvlText w:val="o"/>
      <w:lvlJc w:val="left"/>
      <w:pPr>
        <w:ind w:left="2571" w:hanging="360"/>
      </w:pPr>
      <w:rPr>
        <w:rFonts w:ascii="Courier New" w:hAnsi="Courier New" w:cs="Courier New" w:hint="default"/>
      </w:rPr>
    </w:lvl>
    <w:lvl w:ilvl="2" w:tplc="08090005">
      <w:start w:val="1"/>
      <w:numFmt w:val="bullet"/>
      <w:lvlText w:val=""/>
      <w:lvlJc w:val="left"/>
      <w:pPr>
        <w:ind w:left="3291" w:hanging="360"/>
      </w:pPr>
      <w:rPr>
        <w:rFonts w:ascii="Wingdings" w:hAnsi="Wingdings" w:hint="default"/>
      </w:rPr>
    </w:lvl>
    <w:lvl w:ilvl="3" w:tplc="08090001">
      <w:start w:val="1"/>
      <w:numFmt w:val="bullet"/>
      <w:lvlText w:val=""/>
      <w:lvlJc w:val="left"/>
      <w:pPr>
        <w:ind w:left="4011" w:hanging="360"/>
      </w:pPr>
      <w:rPr>
        <w:rFonts w:ascii="Symbol" w:hAnsi="Symbol" w:hint="default"/>
      </w:rPr>
    </w:lvl>
    <w:lvl w:ilvl="4" w:tplc="08090003">
      <w:start w:val="1"/>
      <w:numFmt w:val="bullet"/>
      <w:lvlText w:val="o"/>
      <w:lvlJc w:val="left"/>
      <w:pPr>
        <w:ind w:left="4731" w:hanging="360"/>
      </w:pPr>
      <w:rPr>
        <w:rFonts w:ascii="Courier New" w:hAnsi="Courier New" w:cs="Courier New" w:hint="default"/>
      </w:rPr>
    </w:lvl>
    <w:lvl w:ilvl="5" w:tplc="08090005">
      <w:start w:val="1"/>
      <w:numFmt w:val="bullet"/>
      <w:lvlText w:val=""/>
      <w:lvlJc w:val="left"/>
      <w:pPr>
        <w:ind w:left="5451" w:hanging="360"/>
      </w:pPr>
      <w:rPr>
        <w:rFonts w:ascii="Wingdings" w:hAnsi="Wingdings" w:hint="default"/>
      </w:rPr>
    </w:lvl>
    <w:lvl w:ilvl="6" w:tplc="08090001">
      <w:start w:val="1"/>
      <w:numFmt w:val="bullet"/>
      <w:lvlText w:val=""/>
      <w:lvlJc w:val="left"/>
      <w:pPr>
        <w:ind w:left="6171" w:hanging="360"/>
      </w:pPr>
      <w:rPr>
        <w:rFonts w:ascii="Symbol" w:hAnsi="Symbol" w:hint="default"/>
      </w:rPr>
    </w:lvl>
    <w:lvl w:ilvl="7" w:tplc="08090003">
      <w:start w:val="1"/>
      <w:numFmt w:val="bullet"/>
      <w:lvlText w:val="o"/>
      <w:lvlJc w:val="left"/>
      <w:pPr>
        <w:ind w:left="6891" w:hanging="360"/>
      </w:pPr>
      <w:rPr>
        <w:rFonts w:ascii="Courier New" w:hAnsi="Courier New" w:cs="Courier New" w:hint="default"/>
      </w:rPr>
    </w:lvl>
    <w:lvl w:ilvl="8" w:tplc="08090005">
      <w:start w:val="1"/>
      <w:numFmt w:val="bullet"/>
      <w:lvlText w:val=""/>
      <w:lvlJc w:val="left"/>
      <w:pPr>
        <w:ind w:left="7611" w:hanging="360"/>
      </w:pPr>
      <w:rPr>
        <w:rFonts w:ascii="Wingdings" w:hAnsi="Wingdings" w:hint="default"/>
      </w:rPr>
    </w:lvl>
  </w:abstractNum>
  <w:abstractNum w:abstractNumId="43">
    <w:nsid w:val="7B3212E4"/>
    <w:multiLevelType w:val="multilevel"/>
    <w:tmpl w:val="2CF2BB00"/>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BC90F0A"/>
    <w:multiLevelType w:val="hybridMultilevel"/>
    <w:tmpl w:val="4A1451DE"/>
    <w:lvl w:ilvl="0" w:tplc="513AA840">
      <w:numFmt w:val="bullet"/>
      <w:lvlText w:val="–"/>
      <w:lvlJc w:val="left"/>
      <w:pPr>
        <w:ind w:left="720" w:hanging="360"/>
      </w:pPr>
      <w:rPr>
        <w:rFonts w:ascii="Times New Roman" w:eastAsia="Times New Roman" w:hAnsi="Times New Roman" w:cs="Times New Roman" w:hint="default"/>
        <w:color w:val="FF0000"/>
      </w:rPr>
    </w:lvl>
    <w:lvl w:ilvl="1" w:tplc="42B4758A">
      <w:start w:val="1"/>
      <w:numFmt w:val="bullet"/>
      <w:lvlText w:val="o"/>
      <w:lvlJc w:val="left"/>
      <w:pPr>
        <w:ind w:left="1440" w:hanging="360"/>
      </w:pPr>
      <w:rPr>
        <w:rFonts w:ascii="Courier New" w:hAnsi="Courier New" w:cs="Courier New" w:hint="default"/>
      </w:rPr>
    </w:lvl>
    <w:lvl w:ilvl="2" w:tplc="A05A2E70" w:tentative="1">
      <w:start w:val="1"/>
      <w:numFmt w:val="bullet"/>
      <w:lvlText w:val=""/>
      <w:lvlJc w:val="left"/>
      <w:pPr>
        <w:ind w:left="2160" w:hanging="360"/>
      </w:pPr>
      <w:rPr>
        <w:rFonts w:ascii="Wingdings" w:hAnsi="Wingdings" w:hint="default"/>
      </w:rPr>
    </w:lvl>
    <w:lvl w:ilvl="3" w:tplc="CD5029AC" w:tentative="1">
      <w:start w:val="1"/>
      <w:numFmt w:val="bullet"/>
      <w:lvlText w:val=""/>
      <w:lvlJc w:val="left"/>
      <w:pPr>
        <w:ind w:left="2880" w:hanging="360"/>
      </w:pPr>
      <w:rPr>
        <w:rFonts w:ascii="Symbol" w:hAnsi="Symbol" w:hint="default"/>
      </w:rPr>
    </w:lvl>
    <w:lvl w:ilvl="4" w:tplc="2F764464" w:tentative="1">
      <w:start w:val="1"/>
      <w:numFmt w:val="bullet"/>
      <w:lvlText w:val="o"/>
      <w:lvlJc w:val="left"/>
      <w:pPr>
        <w:ind w:left="3600" w:hanging="360"/>
      </w:pPr>
      <w:rPr>
        <w:rFonts w:ascii="Courier New" w:hAnsi="Courier New" w:cs="Courier New" w:hint="default"/>
      </w:rPr>
    </w:lvl>
    <w:lvl w:ilvl="5" w:tplc="36C6D5E4" w:tentative="1">
      <w:start w:val="1"/>
      <w:numFmt w:val="bullet"/>
      <w:lvlText w:val=""/>
      <w:lvlJc w:val="left"/>
      <w:pPr>
        <w:ind w:left="4320" w:hanging="360"/>
      </w:pPr>
      <w:rPr>
        <w:rFonts w:ascii="Wingdings" w:hAnsi="Wingdings" w:hint="default"/>
      </w:rPr>
    </w:lvl>
    <w:lvl w:ilvl="6" w:tplc="1BBA16DE" w:tentative="1">
      <w:start w:val="1"/>
      <w:numFmt w:val="bullet"/>
      <w:lvlText w:val=""/>
      <w:lvlJc w:val="left"/>
      <w:pPr>
        <w:ind w:left="5040" w:hanging="360"/>
      </w:pPr>
      <w:rPr>
        <w:rFonts w:ascii="Symbol" w:hAnsi="Symbol" w:hint="default"/>
      </w:rPr>
    </w:lvl>
    <w:lvl w:ilvl="7" w:tplc="8D58F5BA" w:tentative="1">
      <w:start w:val="1"/>
      <w:numFmt w:val="bullet"/>
      <w:lvlText w:val="o"/>
      <w:lvlJc w:val="left"/>
      <w:pPr>
        <w:ind w:left="5760" w:hanging="360"/>
      </w:pPr>
      <w:rPr>
        <w:rFonts w:ascii="Courier New" w:hAnsi="Courier New" w:cs="Courier New" w:hint="default"/>
      </w:rPr>
    </w:lvl>
    <w:lvl w:ilvl="8" w:tplc="685ADD66" w:tentative="1">
      <w:start w:val="1"/>
      <w:numFmt w:val="bullet"/>
      <w:lvlText w:val=""/>
      <w:lvlJc w:val="left"/>
      <w:pPr>
        <w:ind w:left="6480" w:hanging="360"/>
      </w:pPr>
      <w:rPr>
        <w:rFonts w:ascii="Wingdings" w:hAnsi="Wingdings" w:hint="default"/>
      </w:rPr>
    </w:lvl>
  </w:abstractNum>
  <w:abstractNum w:abstractNumId="45">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5"/>
  </w:num>
  <w:num w:numId="2">
    <w:abstractNumId w:val="43"/>
  </w:num>
  <w:num w:numId="3">
    <w:abstractNumId w:val="31"/>
  </w:num>
  <w:num w:numId="4">
    <w:abstractNumId w:val="14"/>
  </w:num>
  <w:num w:numId="5">
    <w:abstractNumId w:val="35"/>
  </w:num>
  <w:num w:numId="6">
    <w:abstractNumId w:val="21"/>
  </w:num>
  <w:num w:numId="7">
    <w:abstractNumId w:val="20"/>
  </w:num>
  <w:num w:numId="8">
    <w:abstractNumId w:val="30"/>
  </w:num>
  <w:num w:numId="9">
    <w:abstractNumId w:val="27"/>
  </w:num>
  <w:num w:numId="10">
    <w:abstractNumId w:val="22"/>
  </w:num>
  <w:num w:numId="11">
    <w:abstractNumId w:val="30"/>
  </w:num>
  <w:num w:numId="12">
    <w:abstractNumId w:val="13"/>
  </w:num>
  <w:num w:numId="13">
    <w:abstractNumId w:val="8"/>
  </w:num>
  <w:num w:numId="14">
    <w:abstractNumId w:val="38"/>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39"/>
  </w:num>
  <w:num w:numId="20">
    <w:abstractNumId w:val="24"/>
  </w:num>
  <w:num w:numId="21">
    <w:abstractNumId w:val="44"/>
  </w:num>
  <w:num w:numId="22">
    <w:abstractNumId w:val="45"/>
  </w:num>
  <w:num w:numId="23">
    <w:abstractNumId w:val="6"/>
  </w:num>
  <w:num w:numId="24">
    <w:abstractNumId w:val="11"/>
  </w:num>
  <w:num w:numId="25">
    <w:abstractNumId w:val="25"/>
  </w:num>
  <w:num w:numId="26">
    <w:abstractNumId w:val="1"/>
  </w:num>
  <w:num w:numId="27">
    <w:abstractNumId w:val="27"/>
  </w:num>
  <w:num w:numId="28">
    <w:abstractNumId w:val="0"/>
  </w:num>
  <w:num w:numId="29">
    <w:abstractNumId w:val="4"/>
  </w:num>
  <w:num w:numId="30">
    <w:abstractNumId w:val="33"/>
  </w:num>
  <w:num w:numId="31">
    <w:abstractNumId w:val="26"/>
  </w:num>
  <w:num w:numId="32">
    <w:abstractNumId w:val="32"/>
  </w:num>
  <w:num w:numId="33">
    <w:abstractNumId w:val="15"/>
  </w:num>
  <w:num w:numId="34">
    <w:abstractNumId w:val="36"/>
  </w:num>
  <w:num w:numId="35">
    <w:abstractNumId w:val="40"/>
  </w:num>
  <w:num w:numId="36">
    <w:abstractNumId w:val="2"/>
  </w:num>
  <w:num w:numId="37">
    <w:abstractNumId w:val="5"/>
  </w:num>
  <w:num w:numId="38">
    <w:abstractNumId w:val="42"/>
  </w:num>
  <w:num w:numId="39">
    <w:abstractNumId w:val="9"/>
  </w:num>
  <w:num w:numId="40">
    <w:abstractNumId w:val="28"/>
  </w:num>
  <w:num w:numId="41">
    <w:abstractNumId w:val="41"/>
  </w:num>
  <w:num w:numId="42">
    <w:abstractNumId w:val="23"/>
  </w:num>
  <w:num w:numId="43">
    <w:abstractNumId w:val="18"/>
  </w:num>
  <w:num w:numId="44">
    <w:abstractNumId w:val="3"/>
  </w:num>
  <w:num w:numId="45">
    <w:abstractNumId w:val="16"/>
  </w:num>
  <w:num w:numId="46">
    <w:abstractNumId w:val="7"/>
  </w:num>
  <w:num w:numId="4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7"/>
  </w:num>
  <w:num w:numId="50">
    <w:abstractNumId w:val="27"/>
  </w:num>
  <w:num w:numId="51">
    <w:abstractNumId w:val="27"/>
  </w:num>
  <w:num w:numId="52">
    <w:abstractNumId w:val="10"/>
  </w:num>
  <w:num w:numId="53">
    <w:abstractNumId w:val="27"/>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38"/>
  </w:num>
  <w:num w:numId="57">
    <w:abstractNumId w:val="3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w15:presenceInfo w15:providerId="None" w15:userId="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4337">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D8"/>
    <w:rsid w:val="000035B5"/>
    <w:rsid w:val="0000562B"/>
    <w:rsid w:val="00014ADD"/>
    <w:rsid w:val="00020424"/>
    <w:rsid w:val="000267CB"/>
    <w:rsid w:val="00027100"/>
    <w:rsid w:val="0004000C"/>
    <w:rsid w:val="00047CDE"/>
    <w:rsid w:val="00063CA3"/>
    <w:rsid w:val="00072D3D"/>
    <w:rsid w:val="00075B6E"/>
    <w:rsid w:val="0007773D"/>
    <w:rsid w:val="00086071"/>
    <w:rsid w:val="00092292"/>
    <w:rsid w:val="00096057"/>
    <w:rsid w:val="000A43DE"/>
    <w:rsid w:val="000B0999"/>
    <w:rsid w:val="000B34A4"/>
    <w:rsid w:val="000B6738"/>
    <w:rsid w:val="000C50DF"/>
    <w:rsid w:val="000D7959"/>
    <w:rsid w:val="000E30F5"/>
    <w:rsid w:val="000E7230"/>
    <w:rsid w:val="001034BD"/>
    <w:rsid w:val="001059EF"/>
    <w:rsid w:val="00110B2E"/>
    <w:rsid w:val="0011133D"/>
    <w:rsid w:val="001154AA"/>
    <w:rsid w:val="001247BD"/>
    <w:rsid w:val="00125E21"/>
    <w:rsid w:val="001329A6"/>
    <w:rsid w:val="00135834"/>
    <w:rsid w:val="00141366"/>
    <w:rsid w:val="00141E68"/>
    <w:rsid w:val="00143CD9"/>
    <w:rsid w:val="00161C38"/>
    <w:rsid w:val="00163C55"/>
    <w:rsid w:val="00166502"/>
    <w:rsid w:val="001758E6"/>
    <w:rsid w:val="00180AF8"/>
    <w:rsid w:val="001818A8"/>
    <w:rsid w:val="001A1368"/>
    <w:rsid w:val="001B5ED9"/>
    <w:rsid w:val="001C0EFB"/>
    <w:rsid w:val="001C5080"/>
    <w:rsid w:val="001E0736"/>
    <w:rsid w:val="001E16E5"/>
    <w:rsid w:val="001E4E2B"/>
    <w:rsid w:val="001F3543"/>
    <w:rsid w:val="0021312C"/>
    <w:rsid w:val="002155A4"/>
    <w:rsid w:val="00226C1D"/>
    <w:rsid w:val="00236D29"/>
    <w:rsid w:val="00246A03"/>
    <w:rsid w:val="00252457"/>
    <w:rsid w:val="00272081"/>
    <w:rsid w:val="00280AF3"/>
    <w:rsid w:val="00295656"/>
    <w:rsid w:val="002B3589"/>
    <w:rsid w:val="002D071A"/>
    <w:rsid w:val="002D4DEC"/>
    <w:rsid w:val="002F5B3F"/>
    <w:rsid w:val="0032115B"/>
    <w:rsid w:val="00354CBF"/>
    <w:rsid w:val="003574CF"/>
    <w:rsid w:val="00375A9D"/>
    <w:rsid w:val="00384723"/>
    <w:rsid w:val="00385473"/>
    <w:rsid w:val="00386213"/>
    <w:rsid w:val="003865ED"/>
    <w:rsid w:val="003C1190"/>
    <w:rsid w:val="003D3681"/>
    <w:rsid w:val="003E1AD2"/>
    <w:rsid w:val="003E3E68"/>
    <w:rsid w:val="003F3DD8"/>
    <w:rsid w:val="00400D94"/>
    <w:rsid w:val="00415530"/>
    <w:rsid w:val="00417276"/>
    <w:rsid w:val="00424A8C"/>
    <w:rsid w:val="004408AE"/>
    <w:rsid w:val="00455CB9"/>
    <w:rsid w:val="00457B8E"/>
    <w:rsid w:val="00467E3A"/>
    <w:rsid w:val="00472ACE"/>
    <w:rsid w:val="00480AE7"/>
    <w:rsid w:val="004878BE"/>
    <w:rsid w:val="00497129"/>
    <w:rsid w:val="004A160C"/>
    <w:rsid w:val="004A29AE"/>
    <w:rsid w:val="004C1D51"/>
    <w:rsid w:val="004E1753"/>
    <w:rsid w:val="004F2AF5"/>
    <w:rsid w:val="0050327B"/>
    <w:rsid w:val="005271E3"/>
    <w:rsid w:val="0058280C"/>
    <w:rsid w:val="005B2024"/>
    <w:rsid w:val="005C2CB8"/>
    <w:rsid w:val="005C3D4B"/>
    <w:rsid w:val="005C49AE"/>
    <w:rsid w:val="005F358B"/>
    <w:rsid w:val="00636ACF"/>
    <w:rsid w:val="00641C8E"/>
    <w:rsid w:val="00642D50"/>
    <w:rsid w:val="0067286B"/>
    <w:rsid w:val="00672AC8"/>
    <w:rsid w:val="00675351"/>
    <w:rsid w:val="0068098B"/>
    <w:rsid w:val="00682EC6"/>
    <w:rsid w:val="0068360B"/>
    <w:rsid w:val="00685D44"/>
    <w:rsid w:val="006871FC"/>
    <w:rsid w:val="006948C2"/>
    <w:rsid w:val="006A39F6"/>
    <w:rsid w:val="006B4711"/>
    <w:rsid w:val="006B5276"/>
    <w:rsid w:val="006C0809"/>
    <w:rsid w:val="006C1E86"/>
    <w:rsid w:val="006C2BD1"/>
    <w:rsid w:val="006C31FD"/>
    <w:rsid w:val="006D63C9"/>
    <w:rsid w:val="006E420C"/>
    <w:rsid w:val="006F22D5"/>
    <w:rsid w:val="00701D41"/>
    <w:rsid w:val="00724EFA"/>
    <w:rsid w:val="007304C1"/>
    <w:rsid w:val="007312C4"/>
    <w:rsid w:val="00736082"/>
    <w:rsid w:val="0074105C"/>
    <w:rsid w:val="00743A64"/>
    <w:rsid w:val="00751DB6"/>
    <w:rsid w:val="007525C7"/>
    <w:rsid w:val="00754C77"/>
    <w:rsid w:val="00784FAB"/>
    <w:rsid w:val="0078619F"/>
    <w:rsid w:val="0079066C"/>
    <w:rsid w:val="007979BE"/>
    <w:rsid w:val="007B17E6"/>
    <w:rsid w:val="007B2BDE"/>
    <w:rsid w:val="007C12FB"/>
    <w:rsid w:val="007D0001"/>
    <w:rsid w:val="007D19AE"/>
    <w:rsid w:val="007E482D"/>
    <w:rsid w:val="007F1813"/>
    <w:rsid w:val="007F34EA"/>
    <w:rsid w:val="007F7E48"/>
    <w:rsid w:val="00810F56"/>
    <w:rsid w:val="0081301B"/>
    <w:rsid w:val="00823EEF"/>
    <w:rsid w:val="00825B1F"/>
    <w:rsid w:val="008317B3"/>
    <w:rsid w:val="008326C2"/>
    <w:rsid w:val="00852077"/>
    <w:rsid w:val="00856394"/>
    <w:rsid w:val="00870B4B"/>
    <w:rsid w:val="00870FB1"/>
    <w:rsid w:val="00885EAF"/>
    <w:rsid w:val="008924DD"/>
    <w:rsid w:val="00892917"/>
    <w:rsid w:val="008A41D2"/>
    <w:rsid w:val="008B1136"/>
    <w:rsid w:val="008B2098"/>
    <w:rsid w:val="008C2D5B"/>
    <w:rsid w:val="008D15F3"/>
    <w:rsid w:val="008D5B40"/>
    <w:rsid w:val="00903FE5"/>
    <w:rsid w:val="00907685"/>
    <w:rsid w:val="009126D4"/>
    <w:rsid w:val="00923E46"/>
    <w:rsid w:val="009426FE"/>
    <w:rsid w:val="00951C9B"/>
    <w:rsid w:val="00966AD7"/>
    <w:rsid w:val="00982474"/>
    <w:rsid w:val="009A4D31"/>
    <w:rsid w:val="009D08BE"/>
    <w:rsid w:val="00A03C43"/>
    <w:rsid w:val="00A06AD6"/>
    <w:rsid w:val="00A1088F"/>
    <w:rsid w:val="00A25A9B"/>
    <w:rsid w:val="00A32EAA"/>
    <w:rsid w:val="00A46F56"/>
    <w:rsid w:val="00A64ECD"/>
    <w:rsid w:val="00A6673B"/>
    <w:rsid w:val="00A77761"/>
    <w:rsid w:val="00A77CE0"/>
    <w:rsid w:val="00A81D92"/>
    <w:rsid w:val="00A8391C"/>
    <w:rsid w:val="00A91EB7"/>
    <w:rsid w:val="00A945A9"/>
    <w:rsid w:val="00A96048"/>
    <w:rsid w:val="00AF0B88"/>
    <w:rsid w:val="00AF6599"/>
    <w:rsid w:val="00B34637"/>
    <w:rsid w:val="00B47C20"/>
    <w:rsid w:val="00B56060"/>
    <w:rsid w:val="00B60DCA"/>
    <w:rsid w:val="00B634A4"/>
    <w:rsid w:val="00B8678E"/>
    <w:rsid w:val="00B91E12"/>
    <w:rsid w:val="00B95B1C"/>
    <w:rsid w:val="00BA01A2"/>
    <w:rsid w:val="00BA14A4"/>
    <w:rsid w:val="00BA2F36"/>
    <w:rsid w:val="00BA6716"/>
    <w:rsid w:val="00BB3B86"/>
    <w:rsid w:val="00BB7F8B"/>
    <w:rsid w:val="00BE06C5"/>
    <w:rsid w:val="00BE77BC"/>
    <w:rsid w:val="00BF0846"/>
    <w:rsid w:val="00BF392C"/>
    <w:rsid w:val="00C10B3A"/>
    <w:rsid w:val="00C20667"/>
    <w:rsid w:val="00C24F0C"/>
    <w:rsid w:val="00C31E3D"/>
    <w:rsid w:val="00C4077E"/>
    <w:rsid w:val="00C50510"/>
    <w:rsid w:val="00C61FDE"/>
    <w:rsid w:val="00C63C9F"/>
    <w:rsid w:val="00C74D09"/>
    <w:rsid w:val="00C86141"/>
    <w:rsid w:val="00CB5240"/>
    <w:rsid w:val="00CB6167"/>
    <w:rsid w:val="00CC3B35"/>
    <w:rsid w:val="00CD0EF3"/>
    <w:rsid w:val="00CD4D09"/>
    <w:rsid w:val="00CD5EB5"/>
    <w:rsid w:val="00CD64C3"/>
    <w:rsid w:val="00CE407F"/>
    <w:rsid w:val="00CE7AB3"/>
    <w:rsid w:val="00CF11E3"/>
    <w:rsid w:val="00CF4C74"/>
    <w:rsid w:val="00D01095"/>
    <w:rsid w:val="00D27BE4"/>
    <w:rsid w:val="00D34A6E"/>
    <w:rsid w:val="00D42410"/>
    <w:rsid w:val="00D46EBB"/>
    <w:rsid w:val="00D479CF"/>
    <w:rsid w:val="00D65075"/>
    <w:rsid w:val="00D73A35"/>
    <w:rsid w:val="00D9033D"/>
    <w:rsid w:val="00D91089"/>
    <w:rsid w:val="00DD2C7F"/>
    <w:rsid w:val="00E049A8"/>
    <w:rsid w:val="00E24D2B"/>
    <w:rsid w:val="00E31A88"/>
    <w:rsid w:val="00E55296"/>
    <w:rsid w:val="00E60251"/>
    <w:rsid w:val="00E62DF2"/>
    <w:rsid w:val="00E76C94"/>
    <w:rsid w:val="00E85D58"/>
    <w:rsid w:val="00EA3F7A"/>
    <w:rsid w:val="00EB22B7"/>
    <w:rsid w:val="00EB53E5"/>
    <w:rsid w:val="00EB6682"/>
    <w:rsid w:val="00EC43AA"/>
    <w:rsid w:val="00F03A7A"/>
    <w:rsid w:val="00F263A9"/>
    <w:rsid w:val="00F35CE0"/>
    <w:rsid w:val="00F37548"/>
    <w:rsid w:val="00F4107E"/>
    <w:rsid w:val="00F41E60"/>
    <w:rsid w:val="00F62F8F"/>
    <w:rsid w:val="00F67BB8"/>
    <w:rsid w:val="00F730AC"/>
    <w:rsid w:val="00F73627"/>
    <w:rsid w:val="00F8783A"/>
    <w:rsid w:val="00FA2827"/>
    <w:rsid w:val="00FA7284"/>
    <w:rsid w:val="00FB6ACD"/>
    <w:rsid w:val="00FC2BB0"/>
    <w:rsid w:val="00FD68EA"/>
    <w:rsid w:val="00FF42D1"/>
    <w:rsid w:val="00FF4AE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7b6c58,#887e6e,#d2232a,#57433e,#b0a696"/>
    </o:shapedefaults>
    <o:shapelayout v:ext="edit">
      <o:idmap v:ext="edit" data="1"/>
    </o:shapelayout>
  </w:shapeDefaults>
  <w:decimalSymbol w:val=","/>
  <w:listSeparator w:val=";"/>
  <w14:docId w14:val="48F1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1"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link w:val="HeaderChar"/>
    <w:pPr>
      <w:tabs>
        <w:tab w:val="center" w:pos="4320"/>
        <w:tab w:val="right" w:pos="8640"/>
      </w:tabs>
    </w:pPr>
    <w:rPr>
      <w:b/>
      <w:sz w:val="16"/>
    </w:rPr>
  </w:style>
  <w:style w:type="paragraph" w:styleId="Footer">
    <w:name w:val="footer"/>
    <w:basedOn w:val="Normal"/>
    <w:link w:val="FooterChar"/>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3E1AD2"/>
    <w:pPr>
      <w:keepNext/>
      <w:numPr>
        <w:numId w:val="0"/>
      </w:numPr>
      <w:spacing w:after="240"/>
    </w:pPr>
  </w:style>
  <w:style w:type="paragraph" w:customStyle="1" w:styleId="ECCFootnote">
    <w:name w:val="ECC Footnote"/>
    <w:basedOn w:val="Normal"/>
    <w:autoRedefine/>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E85D58"/>
    <w:pPr>
      <w:spacing w:after="0"/>
      <w:ind w:left="284"/>
      <w:jc w:val="left"/>
    </w:pPr>
    <w:rPr>
      <w:sz w:val="16"/>
      <w:szCs w:val="16"/>
    </w:rPr>
  </w:style>
  <w:style w:type="paragraph" w:customStyle="1" w:styleId="reference">
    <w:name w:val="reference"/>
    <w:basedOn w:val="Normal"/>
    <w:pPr>
      <w:numPr>
        <w:numId w:val="11"/>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ind w:left="576"/>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qFormat/>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locked/>
    <w:rPr>
      <w:rFonts w:ascii="Arial" w:hAnsi="Arial"/>
      <w:lang w:val="en-US"/>
    </w:rPr>
  </w:style>
  <w:style w:type="paragraph" w:customStyle="1" w:styleId="Brief">
    <w:name w:val="Brief"/>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locked/>
    <w:rPr>
      <w:rFonts w:ascii="Arial" w:hAnsi="Arial"/>
      <w:szCs w:val="24"/>
    </w:rPr>
  </w:style>
  <w:style w:type="paragraph" w:customStyle="1" w:styleId="ECCAnnexheading1">
    <w:name w:val="ECC Annex heading1"/>
    <w:basedOn w:val="Heading1"/>
    <w:next w:val="ECCParagraph"/>
    <w:pPr>
      <w:pageBreakBefore w:val="0"/>
      <w:spacing w:before="600"/>
    </w:pPr>
    <w:rPr>
      <w:bCs w:val="0"/>
    </w:rPr>
  </w:style>
  <w:style w:type="paragraph" w:customStyle="1" w:styleId="eccparagraph0">
    <w:name w:val="eccparagraph"/>
    <w:basedOn w:val="Normal"/>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Revision">
    <w:name w:val="Revision"/>
    <w:hidden/>
    <w:uiPriority w:val="99"/>
    <w:semiHidden/>
    <w:rPr>
      <w:rFonts w:ascii="Arial" w:hAnsi="Arial"/>
      <w:szCs w:val="24"/>
      <w:lang w:val="en-US"/>
    </w:rPr>
  </w:style>
  <w:style w:type="character" w:customStyle="1" w:styleId="normaltextrun">
    <w:name w:val="normaltextrun"/>
    <w:basedOn w:val="DefaultParagraphFont"/>
  </w:style>
  <w:style w:type="character" w:customStyle="1" w:styleId="FooterChar">
    <w:name w:val="Footer Char"/>
    <w:basedOn w:val="DefaultParagraphFont"/>
    <w:link w:val="Footer"/>
    <w:rPr>
      <w:rFonts w:ascii="Arial" w:hAnsi="Arial"/>
      <w:szCs w:val="24"/>
      <w:lang w:val="en-US"/>
    </w:rPr>
  </w:style>
  <w:style w:type="paragraph" w:customStyle="1" w:styleId="TabellenInhalt">
    <w:name w:val="Tabellen Inhalt"/>
    <w:basedOn w:val="Normal"/>
    <w:pPr>
      <w:suppressLineNumbers/>
      <w:suppressAutoHyphens/>
    </w:pPr>
    <w:rPr>
      <w:rFonts w:ascii="Times New Roman" w:hAnsi="Times New Roman"/>
      <w:sz w:val="24"/>
      <w:lang w:val="en-GB" w:eastAsia="ar-SA"/>
    </w:rPr>
  </w:style>
  <w:style w:type="character" w:customStyle="1" w:styleId="HeaderChar">
    <w:name w:val="Header Char"/>
    <w:basedOn w:val="DefaultParagraphFont"/>
    <w:link w:val="Header"/>
    <w:rPr>
      <w:rFonts w:ascii="Arial" w:hAnsi="Arial"/>
      <w:b/>
      <w:sz w:val="16"/>
      <w:szCs w:val="24"/>
      <w:lang w:val="en-US"/>
    </w:rPr>
  </w:style>
  <w:style w:type="paragraph" w:customStyle="1" w:styleId="ECCBulletsLv1">
    <w:name w:val="ECC Bullets Lv1"/>
    <w:basedOn w:val="Normal"/>
    <w:qFormat/>
    <w:pPr>
      <w:numPr>
        <w:numId w:val="46"/>
      </w:numPr>
      <w:tabs>
        <w:tab w:val="left" w:pos="340"/>
      </w:tabs>
      <w:spacing w:before="60"/>
      <w:jc w:val="both"/>
    </w:pPr>
    <w:rPr>
      <w:rFonts w:eastAsia="Calibri"/>
      <w:szCs w:val="22"/>
      <w:lang w:val="en-GB"/>
    </w:rPr>
  </w:style>
  <w:style w:type="paragraph" w:customStyle="1" w:styleId="ECCBulletsLv2">
    <w:name w:val="ECC Bullets Lv2"/>
    <w:basedOn w:val="ECCBulletsLv1"/>
    <w:pPr>
      <w:ind w:left="680" w:hanging="340"/>
    </w:pPr>
  </w:style>
  <w:style w:type="character" w:customStyle="1" w:styleId="ECCHLbold">
    <w:name w:val="ECC HL bold"/>
    <w:basedOn w:val="DefaultParagraphFont"/>
    <w:uiPriority w:val="1"/>
    <w:qFormat/>
    <w:rPr>
      <w:b/>
      <w:bCs/>
    </w:rPr>
  </w:style>
  <w:style w:type="character" w:styleId="Emphasis">
    <w:name w:val="Emphasis"/>
    <w:aliases w:val="ECC HL italics"/>
    <w:uiPriority w:val="1"/>
    <w:qFormat/>
    <w:rPr>
      <w:i/>
    </w:rPr>
  </w:style>
  <w:style w:type="character" w:customStyle="1" w:styleId="ECCHLunderlined">
    <w:name w:val="ECC HL underlined"/>
    <w:uiPriority w:val="1"/>
    <w:qFormat/>
    <w:rPr>
      <w:u w:val="single"/>
    </w:rPr>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paragraph" w:styleId="Subtitle">
    <w:name w:val="Subtitle"/>
    <w:basedOn w:val="Normal"/>
    <w:next w:val="Normal"/>
    <w:link w:val="SubtitleChar"/>
    <w:qFormat/>
    <w:pPr>
      <w:spacing w:after="120"/>
      <w:jc w:val="both"/>
    </w:pPr>
    <w:rPr>
      <w:rFonts w:asciiTheme="majorHAnsi" w:eastAsiaTheme="majorEastAsia" w:hAnsiTheme="majorHAnsi" w:cstheme="majorBidi"/>
      <w:i/>
      <w:iCs/>
      <w:color w:val="4F81BD" w:themeColor="accent1"/>
      <w:spacing w:val="15"/>
      <w:sz w:val="24"/>
      <w:lang w:val="nb-NO" w:eastAsia="de-DE"/>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nb-NO" w:eastAsia="de-DE"/>
    </w:rPr>
  </w:style>
  <w:style w:type="paragraph" w:customStyle="1" w:styleId="ECCTabletext">
    <w:name w:val="ECC Table text"/>
    <w:basedOn w:val="Normal"/>
    <w:qFormat/>
    <w:pPr>
      <w:spacing w:before="60" w:after="60"/>
      <w:jc w:val="both"/>
    </w:pPr>
    <w:rPr>
      <w:rFonts w:eastAsia="Calibri"/>
      <w:szCs w:val="22"/>
      <w:lang w:val="en-GB"/>
    </w:rPr>
  </w:style>
  <w:style w:type="character" w:customStyle="1" w:styleId="Heading1Char">
    <w:name w:val="Heading 1 Char"/>
    <w:aliases w:val="ECC Heading 1 Char"/>
    <w:basedOn w:val="DefaultParagraphFont"/>
    <w:link w:val="Heading1"/>
    <w:rPr>
      <w:rFonts w:ascii="Arial" w:hAnsi="Arial" w:cs="Arial"/>
      <w:b/>
      <w:bCs/>
      <w:caps/>
      <w:color w:val="D2232A"/>
      <w:kern w:val="32"/>
      <w:szCs w:val="32"/>
    </w:rPr>
  </w:style>
  <w:style w:type="character" w:customStyle="1" w:styleId="Heading2Char">
    <w:name w:val="Heading 2 Char"/>
    <w:aliases w:val="ECC Heading 2 Char"/>
    <w:basedOn w:val="DefaultParagraphFont"/>
    <w:link w:val="Heading2"/>
    <w:rPr>
      <w:rFonts w:ascii="Arial" w:hAnsi="Arial" w:cs="Arial"/>
      <w:b/>
      <w:bCs/>
      <w:iCs/>
      <w:caps/>
      <w:color w:val="D2232A"/>
      <w:szCs w:val="28"/>
      <w:lang w:val="en-US"/>
    </w:rPr>
  </w:style>
  <w:style w:type="character" w:customStyle="1" w:styleId="Heading5Char">
    <w:name w:val="Heading 5 Char"/>
    <w:basedOn w:val="DefaultParagraphFont"/>
    <w:link w:val="Heading5"/>
    <w:rPr>
      <w:rFonts w:ascii="Arial" w:hAnsi="Arial"/>
      <w:b/>
      <w:bCs/>
      <w:i/>
      <w:iCs/>
      <w:sz w:val="26"/>
      <w:szCs w:val="26"/>
      <w:lang w:val="en-US"/>
    </w:rPr>
  </w:style>
  <w:style w:type="paragraph" w:customStyle="1" w:styleId="Tabletext">
    <w:name w:val="Table_text"/>
    <w:basedOn w:val="Normal"/>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szCs w:val="20"/>
      <w:lang w:val="en-GB"/>
    </w:rPr>
  </w:style>
  <w:style w:type="paragraph" w:customStyle="1" w:styleId="Tablehead">
    <w:name w:val="Table_head"/>
    <w:basedOn w:val="Normal"/>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Cs w:val="20"/>
      <w:lang w:val="en-GB"/>
    </w:rPr>
  </w:style>
  <w:style w:type="paragraph" w:customStyle="1" w:styleId="Tablelegend">
    <w:name w:val="Table_legend"/>
    <w:basedOn w:val="Normal"/>
    <w:link w:val="TablelegendChar"/>
    <w:pPr>
      <w:tabs>
        <w:tab w:val="left" w:pos="284"/>
        <w:tab w:val="left" w:pos="1134"/>
        <w:tab w:val="left" w:pos="1871"/>
        <w:tab w:val="left" w:pos="2268"/>
      </w:tabs>
      <w:overflowPunct w:val="0"/>
      <w:autoSpaceDE w:val="0"/>
      <w:autoSpaceDN w:val="0"/>
      <w:adjustRightInd w:val="0"/>
      <w:spacing w:before="40" w:after="40"/>
      <w:textAlignment w:val="baseline"/>
    </w:pPr>
    <w:rPr>
      <w:rFonts w:ascii="Times New Roman" w:hAnsi="Times New Roman"/>
      <w:sz w:val="18"/>
      <w:szCs w:val="20"/>
      <w:lang w:val="en-GB"/>
    </w:rPr>
  </w:style>
  <w:style w:type="paragraph" w:customStyle="1" w:styleId="TableNo">
    <w:name w:val="Table_No"/>
    <w:basedOn w:val="Normal"/>
    <w:next w:val="Normal"/>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hAnsi="Times New Roman"/>
      <w:caps/>
      <w:szCs w:val="20"/>
      <w:lang w:val="en-GB"/>
    </w:rPr>
  </w:style>
  <w:style w:type="paragraph" w:customStyle="1" w:styleId="Tabletitle">
    <w:name w:val="Table_title"/>
    <w:basedOn w:val="Normal"/>
    <w:next w:val="Tabletex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Headingb">
    <w:name w:val="Heading_b"/>
    <w:basedOn w:val="Normal"/>
    <w:next w:val="Normal"/>
    <w:qFormat/>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szCs w:val="20"/>
      <w:lang w:val="en-GB"/>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Pr>
      <w:b/>
      <w:sz w:val="24"/>
      <w:lang w:val="en-GB" w:eastAsia="en-US"/>
    </w:rPr>
  </w:style>
  <w:style w:type="paragraph" w:customStyle="1" w:styleId="Tablefin">
    <w:name w:val="Table_fin"/>
    <w:basedOn w:val="Normal"/>
    <w:next w:val="Normal"/>
    <w:pPr>
      <w:suppressAutoHyphens/>
      <w:autoSpaceDN w:val="0"/>
      <w:jc w:val="both"/>
    </w:pPr>
    <w:rPr>
      <w:rFonts w:ascii="Times New Roman" w:eastAsia="Batang" w:hAnsi="Times New Roman"/>
      <w:szCs w:val="20"/>
    </w:rPr>
  </w:style>
  <w:style w:type="table" w:customStyle="1" w:styleId="TableGrid5">
    <w:name w:val="Table Grid5"/>
    <w:basedOn w:val="TableNormal"/>
    <w:next w:val="TableGrid"/>
    <w:uiPriority w:val="59"/>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Pr>
      <w:sz w:val="18"/>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PageNumber">
    <w:name w:val="page number"/>
    <w:basedOn w:val="DefaultParagraphFont"/>
  </w:style>
  <w:style w:type="character" w:customStyle="1" w:styleId="ECCHLblue">
    <w:name w:val="ECC HL blue"/>
    <w:basedOn w:val="DefaultParagraphFont"/>
    <w:uiPriority w:val="1"/>
    <w:qFormat/>
    <w:rPr>
      <w:rFonts w:eastAsia="Calibri"/>
      <w:color w:val="FFFF00"/>
      <w:szCs w:val="22"/>
      <w:bdr w:val="none" w:sz="0" w:space="0" w:color="auto"/>
      <w:shd w:val="solid" w:color="4F81BD" w:themeColor="accent1" w:fill="auto"/>
      <w:lang w:val="en-GB"/>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lang w:val="de-DE" w:eastAsia="de-DE"/>
    </w:rPr>
  </w:style>
  <w:style w:type="paragraph" w:styleId="Caption">
    <w:name w:val="caption"/>
    <w:basedOn w:val="Normal"/>
    <w:next w:val="Normal"/>
    <w:uiPriority w:val="35"/>
    <w:unhideWhenUsed/>
    <w:qFormat/>
    <w:rsid w:val="00C50510"/>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1"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link w:val="HeaderChar"/>
    <w:pPr>
      <w:tabs>
        <w:tab w:val="center" w:pos="4320"/>
        <w:tab w:val="right" w:pos="8640"/>
      </w:tabs>
    </w:pPr>
    <w:rPr>
      <w:b/>
      <w:sz w:val="16"/>
    </w:rPr>
  </w:style>
  <w:style w:type="paragraph" w:styleId="Footer">
    <w:name w:val="footer"/>
    <w:basedOn w:val="Normal"/>
    <w:link w:val="FooterChar"/>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3E1AD2"/>
    <w:pPr>
      <w:keepNext/>
      <w:numPr>
        <w:numId w:val="0"/>
      </w:numPr>
      <w:spacing w:after="240"/>
    </w:pPr>
  </w:style>
  <w:style w:type="paragraph" w:customStyle="1" w:styleId="ECCFootnote">
    <w:name w:val="ECC Footnote"/>
    <w:basedOn w:val="Normal"/>
    <w:autoRedefine/>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E85D58"/>
    <w:pPr>
      <w:spacing w:after="0"/>
      <w:ind w:left="284"/>
      <w:jc w:val="left"/>
    </w:pPr>
    <w:rPr>
      <w:sz w:val="16"/>
      <w:szCs w:val="16"/>
    </w:rPr>
  </w:style>
  <w:style w:type="paragraph" w:customStyle="1" w:styleId="reference">
    <w:name w:val="reference"/>
    <w:basedOn w:val="Normal"/>
    <w:pPr>
      <w:numPr>
        <w:numId w:val="11"/>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ind w:left="576"/>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qFormat/>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locked/>
    <w:rPr>
      <w:rFonts w:ascii="Arial" w:hAnsi="Arial"/>
      <w:lang w:val="en-US"/>
    </w:rPr>
  </w:style>
  <w:style w:type="paragraph" w:customStyle="1" w:styleId="Brief">
    <w:name w:val="Brief"/>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locked/>
    <w:rPr>
      <w:rFonts w:ascii="Arial" w:hAnsi="Arial"/>
      <w:szCs w:val="24"/>
    </w:rPr>
  </w:style>
  <w:style w:type="paragraph" w:customStyle="1" w:styleId="ECCAnnexheading1">
    <w:name w:val="ECC Annex heading1"/>
    <w:basedOn w:val="Heading1"/>
    <w:next w:val="ECCParagraph"/>
    <w:pPr>
      <w:pageBreakBefore w:val="0"/>
      <w:spacing w:before="600"/>
    </w:pPr>
    <w:rPr>
      <w:bCs w:val="0"/>
    </w:rPr>
  </w:style>
  <w:style w:type="paragraph" w:customStyle="1" w:styleId="eccparagraph0">
    <w:name w:val="eccparagraph"/>
    <w:basedOn w:val="Normal"/>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Revision">
    <w:name w:val="Revision"/>
    <w:hidden/>
    <w:uiPriority w:val="99"/>
    <w:semiHidden/>
    <w:rPr>
      <w:rFonts w:ascii="Arial" w:hAnsi="Arial"/>
      <w:szCs w:val="24"/>
      <w:lang w:val="en-US"/>
    </w:rPr>
  </w:style>
  <w:style w:type="character" w:customStyle="1" w:styleId="normaltextrun">
    <w:name w:val="normaltextrun"/>
    <w:basedOn w:val="DefaultParagraphFont"/>
  </w:style>
  <w:style w:type="character" w:customStyle="1" w:styleId="FooterChar">
    <w:name w:val="Footer Char"/>
    <w:basedOn w:val="DefaultParagraphFont"/>
    <w:link w:val="Footer"/>
    <w:rPr>
      <w:rFonts w:ascii="Arial" w:hAnsi="Arial"/>
      <w:szCs w:val="24"/>
      <w:lang w:val="en-US"/>
    </w:rPr>
  </w:style>
  <w:style w:type="paragraph" w:customStyle="1" w:styleId="TabellenInhalt">
    <w:name w:val="Tabellen Inhalt"/>
    <w:basedOn w:val="Normal"/>
    <w:pPr>
      <w:suppressLineNumbers/>
      <w:suppressAutoHyphens/>
    </w:pPr>
    <w:rPr>
      <w:rFonts w:ascii="Times New Roman" w:hAnsi="Times New Roman"/>
      <w:sz w:val="24"/>
      <w:lang w:val="en-GB" w:eastAsia="ar-SA"/>
    </w:rPr>
  </w:style>
  <w:style w:type="character" w:customStyle="1" w:styleId="HeaderChar">
    <w:name w:val="Header Char"/>
    <w:basedOn w:val="DefaultParagraphFont"/>
    <w:link w:val="Header"/>
    <w:rPr>
      <w:rFonts w:ascii="Arial" w:hAnsi="Arial"/>
      <w:b/>
      <w:sz w:val="16"/>
      <w:szCs w:val="24"/>
      <w:lang w:val="en-US"/>
    </w:rPr>
  </w:style>
  <w:style w:type="paragraph" w:customStyle="1" w:styleId="ECCBulletsLv1">
    <w:name w:val="ECC Bullets Lv1"/>
    <w:basedOn w:val="Normal"/>
    <w:qFormat/>
    <w:pPr>
      <w:numPr>
        <w:numId w:val="46"/>
      </w:numPr>
      <w:tabs>
        <w:tab w:val="left" w:pos="340"/>
      </w:tabs>
      <w:spacing w:before="60"/>
      <w:jc w:val="both"/>
    </w:pPr>
    <w:rPr>
      <w:rFonts w:eastAsia="Calibri"/>
      <w:szCs w:val="22"/>
      <w:lang w:val="en-GB"/>
    </w:rPr>
  </w:style>
  <w:style w:type="paragraph" w:customStyle="1" w:styleId="ECCBulletsLv2">
    <w:name w:val="ECC Bullets Lv2"/>
    <w:basedOn w:val="ECCBulletsLv1"/>
    <w:pPr>
      <w:ind w:left="680" w:hanging="340"/>
    </w:pPr>
  </w:style>
  <w:style w:type="character" w:customStyle="1" w:styleId="ECCHLbold">
    <w:name w:val="ECC HL bold"/>
    <w:basedOn w:val="DefaultParagraphFont"/>
    <w:uiPriority w:val="1"/>
    <w:qFormat/>
    <w:rPr>
      <w:b/>
      <w:bCs/>
    </w:rPr>
  </w:style>
  <w:style w:type="character" w:styleId="Emphasis">
    <w:name w:val="Emphasis"/>
    <w:aliases w:val="ECC HL italics"/>
    <w:uiPriority w:val="1"/>
    <w:qFormat/>
    <w:rPr>
      <w:i/>
    </w:rPr>
  </w:style>
  <w:style w:type="character" w:customStyle="1" w:styleId="ECCHLunderlined">
    <w:name w:val="ECC HL underlined"/>
    <w:uiPriority w:val="1"/>
    <w:qFormat/>
    <w:rPr>
      <w:u w:val="single"/>
    </w:rPr>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paragraph" w:styleId="Subtitle">
    <w:name w:val="Subtitle"/>
    <w:basedOn w:val="Normal"/>
    <w:next w:val="Normal"/>
    <w:link w:val="SubtitleChar"/>
    <w:qFormat/>
    <w:pPr>
      <w:spacing w:after="120"/>
      <w:jc w:val="both"/>
    </w:pPr>
    <w:rPr>
      <w:rFonts w:asciiTheme="majorHAnsi" w:eastAsiaTheme="majorEastAsia" w:hAnsiTheme="majorHAnsi" w:cstheme="majorBidi"/>
      <w:i/>
      <w:iCs/>
      <w:color w:val="4F81BD" w:themeColor="accent1"/>
      <w:spacing w:val="15"/>
      <w:sz w:val="24"/>
      <w:lang w:val="nb-NO" w:eastAsia="de-DE"/>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nb-NO" w:eastAsia="de-DE"/>
    </w:rPr>
  </w:style>
  <w:style w:type="paragraph" w:customStyle="1" w:styleId="ECCTabletext">
    <w:name w:val="ECC Table text"/>
    <w:basedOn w:val="Normal"/>
    <w:qFormat/>
    <w:pPr>
      <w:spacing w:before="60" w:after="60"/>
      <w:jc w:val="both"/>
    </w:pPr>
    <w:rPr>
      <w:rFonts w:eastAsia="Calibri"/>
      <w:szCs w:val="22"/>
      <w:lang w:val="en-GB"/>
    </w:rPr>
  </w:style>
  <w:style w:type="character" w:customStyle="1" w:styleId="Heading1Char">
    <w:name w:val="Heading 1 Char"/>
    <w:aliases w:val="ECC Heading 1 Char"/>
    <w:basedOn w:val="DefaultParagraphFont"/>
    <w:link w:val="Heading1"/>
    <w:rPr>
      <w:rFonts w:ascii="Arial" w:hAnsi="Arial" w:cs="Arial"/>
      <w:b/>
      <w:bCs/>
      <w:caps/>
      <w:color w:val="D2232A"/>
      <w:kern w:val="32"/>
      <w:szCs w:val="32"/>
    </w:rPr>
  </w:style>
  <w:style w:type="character" w:customStyle="1" w:styleId="Heading2Char">
    <w:name w:val="Heading 2 Char"/>
    <w:aliases w:val="ECC Heading 2 Char"/>
    <w:basedOn w:val="DefaultParagraphFont"/>
    <w:link w:val="Heading2"/>
    <w:rPr>
      <w:rFonts w:ascii="Arial" w:hAnsi="Arial" w:cs="Arial"/>
      <w:b/>
      <w:bCs/>
      <w:iCs/>
      <w:caps/>
      <w:color w:val="D2232A"/>
      <w:szCs w:val="28"/>
      <w:lang w:val="en-US"/>
    </w:rPr>
  </w:style>
  <w:style w:type="character" w:customStyle="1" w:styleId="Heading5Char">
    <w:name w:val="Heading 5 Char"/>
    <w:basedOn w:val="DefaultParagraphFont"/>
    <w:link w:val="Heading5"/>
    <w:rPr>
      <w:rFonts w:ascii="Arial" w:hAnsi="Arial"/>
      <w:b/>
      <w:bCs/>
      <w:i/>
      <w:iCs/>
      <w:sz w:val="26"/>
      <w:szCs w:val="26"/>
      <w:lang w:val="en-US"/>
    </w:rPr>
  </w:style>
  <w:style w:type="paragraph" w:customStyle="1" w:styleId="Tabletext">
    <w:name w:val="Table_text"/>
    <w:basedOn w:val="Normal"/>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szCs w:val="20"/>
      <w:lang w:val="en-GB"/>
    </w:rPr>
  </w:style>
  <w:style w:type="paragraph" w:customStyle="1" w:styleId="Tablehead">
    <w:name w:val="Table_head"/>
    <w:basedOn w:val="Normal"/>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Cs w:val="20"/>
      <w:lang w:val="en-GB"/>
    </w:rPr>
  </w:style>
  <w:style w:type="paragraph" w:customStyle="1" w:styleId="Tablelegend">
    <w:name w:val="Table_legend"/>
    <w:basedOn w:val="Normal"/>
    <w:link w:val="TablelegendChar"/>
    <w:pPr>
      <w:tabs>
        <w:tab w:val="left" w:pos="284"/>
        <w:tab w:val="left" w:pos="1134"/>
        <w:tab w:val="left" w:pos="1871"/>
        <w:tab w:val="left" w:pos="2268"/>
      </w:tabs>
      <w:overflowPunct w:val="0"/>
      <w:autoSpaceDE w:val="0"/>
      <w:autoSpaceDN w:val="0"/>
      <w:adjustRightInd w:val="0"/>
      <w:spacing w:before="40" w:after="40"/>
      <w:textAlignment w:val="baseline"/>
    </w:pPr>
    <w:rPr>
      <w:rFonts w:ascii="Times New Roman" w:hAnsi="Times New Roman"/>
      <w:sz w:val="18"/>
      <w:szCs w:val="20"/>
      <w:lang w:val="en-GB"/>
    </w:rPr>
  </w:style>
  <w:style w:type="paragraph" w:customStyle="1" w:styleId="TableNo">
    <w:name w:val="Table_No"/>
    <w:basedOn w:val="Normal"/>
    <w:next w:val="Normal"/>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hAnsi="Times New Roman"/>
      <w:caps/>
      <w:szCs w:val="20"/>
      <w:lang w:val="en-GB"/>
    </w:rPr>
  </w:style>
  <w:style w:type="paragraph" w:customStyle="1" w:styleId="Tabletitle">
    <w:name w:val="Table_title"/>
    <w:basedOn w:val="Normal"/>
    <w:next w:val="Tabletex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Headingb">
    <w:name w:val="Heading_b"/>
    <w:basedOn w:val="Normal"/>
    <w:next w:val="Normal"/>
    <w:qFormat/>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szCs w:val="20"/>
      <w:lang w:val="en-GB"/>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Pr>
      <w:b/>
      <w:sz w:val="24"/>
      <w:lang w:val="en-GB" w:eastAsia="en-US"/>
    </w:rPr>
  </w:style>
  <w:style w:type="paragraph" w:customStyle="1" w:styleId="Tablefin">
    <w:name w:val="Table_fin"/>
    <w:basedOn w:val="Normal"/>
    <w:next w:val="Normal"/>
    <w:pPr>
      <w:suppressAutoHyphens/>
      <w:autoSpaceDN w:val="0"/>
      <w:jc w:val="both"/>
    </w:pPr>
    <w:rPr>
      <w:rFonts w:ascii="Times New Roman" w:eastAsia="Batang" w:hAnsi="Times New Roman"/>
      <w:szCs w:val="20"/>
    </w:rPr>
  </w:style>
  <w:style w:type="table" w:customStyle="1" w:styleId="TableGrid5">
    <w:name w:val="Table Grid5"/>
    <w:basedOn w:val="TableNormal"/>
    <w:next w:val="TableGrid"/>
    <w:uiPriority w:val="59"/>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Pr>
      <w:sz w:val="18"/>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PageNumber">
    <w:name w:val="page number"/>
    <w:basedOn w:val="DefaultParagraphFont"/>
  </w:style>
  <w:style w:type="character" w:customStyle="1" w:styleId="ECCHLblue">
    <w:name w:val="ECC HL blue"/>
    <w:basedOn w:val="DefaultParagraphFont"/>
    <w:uiPriority w:val="1"/>
    <w:qFormat/>
    <w:rPr>
      <w:rFonts w:eastAsia="Calibri"/>
      <w:color w:val="FFFF00"/>
      <w:szCs w:val="22"/>
      <w:bdr w:val="none" w:sz="0" w:space="0" w:color="auto"/>
      <w:shd w:val="solid" w:color="4F81BD" w:themeColor="accent1" w:fill="auto"/>
      <w:lang w:val="en-GB"/>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lang w:val="de-DE" w:eastAsia="de-DE"/>
    </w:rPr>
  </w:style>
  <w:style w:type="paragraph" w:styleId="Caption">
    <w:name w:val="caption"/>
    <w:basedOn w:val="Normal"/>
    <w:next w:val="Normal"/>
    <w:uiPriority w:val="35"/>
    <w:unhideWhenUsed/>
    <w:qFormat/>
    <w:rsid w:val="00C5051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126">
      <w:bodyDiv w:val="1"/>
      <w:marLeft w:val="0"/>
      <w:marRight w:val="0"/>
      <w:marTop w:val="0"/>
      <w:marBottom w:val="0"/>
      <w:divBdr>
        <w:top w:val="none" w:sz="0" w:space="0" w:color="auto"/>
        <w:left w:val="none" w:sz="0" w:space="0" w:color="auto"/>
        <w:bottom w:val="none" w:sz="0" w:space="0" w:color="auto"/>
        <w:right w:val="none" w:sz="0" w:space="0" w:color="auto"/>
      </w:divBdr>
    </w:div>
    <w:div w:id="125978475">
      <w:bodyDiv w:val="1"/>
      <w:marLeft w:val="0"/>
      <w:marRight w:val="0"/>
      <w:marTop w:val="0"/>
      <w:marBottom w:val="0"/>
      <w:divBdr>
        <w:top w:val="none" w:sz="0" w:space="0" w:color="auto"/>
        <w:left w:val="none" w:sz="0" w:space="0" w:color="auto"/>
        <w:bottom w:val="none" w:sz="0" w:space="0" w:color="auto"/>
        <w:right w:val="none" w:sz="0" w:space="0" w:color="auto"/>
      </w:divBdr>
    </w:div>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55939384">
      <w:bodyDiv w:val="1"/>
      <w:marLeft w:val="0"/>
      <w:marRight w:val="0"/>
      <w:marTop w:val="0"/>
      <w:marBottom w:val="0"/>
      <w:divBdr>
        <w:top w:val="none" w:sz="0" w:space="0" w:color="auto"/>
        <w:left w:val="none" w:sz="0" w:space="0" w:color="auto"/>
        <w:bottom w:val="none" w:sz="0" w:space="0" w:color="auto"/>
        <w:right w:val="none" w:sz="0" w:space="0" w:color="auto"/>
      </w:divBdr>
    </w:div>
    <w:div w:id="260528607">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365913159">
      <w:bodyDiv w:val="1"/>
      <w:marLeft w:val="0"/>
      <w:marRight w:val="0"/>
      <w:marTop w:val="0"/>
      <w:marBottom w:val="0"/>
      <w:divBdr>
        <w:top w:val="none" w:sz="0" w:space="0" w:color="auto"/>
        <w:left w:val="none" w:sz="0" w:space="0" w:color="auto"/>
        <w:bottom w:val="none" w:sz="0" w:space="0" w:color="auto"/>
        <w:right w:val="none" w:sz="0" w:space="0" w:color="auto"/>
      </w:divBdr>
    </w:div>
    <w:div w:id="393358496">
      <w:bodyDiv w:val="1"/>
      <w:marLeft w:val="0"/>
      <w:marRight w:val="0"/>
      <w:marTop w:val="0"/>
      <w:marBottom w:val="0"/>
      <w:divBdr>
        <w:top w:val="none" w:sz="0" w:space="0" w:color="auto"/>
        <w:left w:val="none" w:sz="0" w:space="0" w:color="auto"/>
        <w:bottom w:val="none" w:sz="0" w:space="0" w:color="auto"/>
        <w:right w:val="none" w:sz="0" w:space="0" w:color="auto"/>
      </w:divBdr>
    </w:div>
    <w:div w:id="399795123">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462576877">
      <w:bodyDiv w:val="1"/>
      <w:marLeft w:val="0"/>
      <w:marRight w:val="0"/>
      <w:marTop w:val="0"/>
      <w:marBottom w:val="0"/>
      <w:divBdr>
        <w:top w:val="none" w:sz="0" w:space="0" w:color="auto"/>
        <w:left w:val="none" w:sz="0" w:space="0" w:color="auto"/>
        <w:bottom w:val="none" w:sz="0" w:space="0" w:color="auto"/>
        <w:right w:val="none" w:sz="0" w:space="0" w:color="auto"/>
      </w:divBdr>
    </w:div>
    <w:div w:id="515272404">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17686602">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831525346">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193231089">
      <w:bodyDiv w:val="1"/>
      <w:marLeft w:val="0"/>
      <w:marRight w:val="0"/>
      <w:marTop w:val="0"/>
      <w:marBottom w:val="0"/>
      <w:divBdr>
        <w:top w:val="none" w:sz="0" w:space="0" w:color="auto"/>
        <w:left w:val="none" w:sz="0" w:space="0" w:color="auto"/>
        <w:bottom w:val="none" w:sz="0" w:space="0" w:color="auto"/>
        <w:right w:val="none" w:sz="0" w:space="0" w:color="auto"/>
      </w:divBdr>
    </w:div>
    <w:div w:id="1262033149">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581675987">
      <w:bodyDiv w:val="1"/>
      <w:marLeft w:val="0"/>
      <w:marRight w:val="0"/>
      <w:marTop w:val="0"/>
      <w:marBottom w:val="0"/>
      <w:divBdr>
        <w:top w:val="none" w:sz="0" w:space="0" w:color="auto"/>
        <w:left w:val="none" w:sz="0" w:space="0" w:color="auto"/>
        <w:bottom w:val="none" w:sz="0" w:space="0" w:color="auto"/>
        <w:right w:val="none" w:sz="0" w:space="0" w:color="auto"/>
      </w:divBdr>
    </w:div>
    <w:div w:id="1618561878">
      <w:bodyDiv w:val="1"/>
      <w:marLeft w:val="0"/>
      <w:marRight w:val="0"/>
      <w:marTop w:val="0"/>
      <w:marBottom w:val="0"/>
      <w:divBdr>
        <w:top w:val="none" w:sz="0" w:space="0" w:color="auto"/>
        <w:left w:val="none" w:sz="0" w:space="0" w:color="auto"/>
        <w:bottom w:val="none" w:sz="0" w:space="0" w:color="auto"/>
        <w:right w:val="none" w:sz="0" w:space="0" w:color="auto"/>
      </w:divBdr>
    </w:div>
    <w:div w:id="1673416128">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610494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F0E9D-D9AE-428A-B4A2-50BFB298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3138</Words>
  <Characters>19145</Characters>
  <Application>Microsoft Office Word</Application>
  <DocSecurity>0</DocSecurity>
  <Lines>159</Lines>
  <Paragraphs>44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Intel Corporation</Company>
  <LinksUpToDate>false</LinksUpToDate>
  <CharactersWithSpaces>22239</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SWG A</dc:creator>
  <cp:keywords>CTPClassification=CTP_PUBLIC:VisualMarkings=, CTPClassification=CTP_NT</cp:keywords>
  <cp:lastModifiedBy>Anne-Dorthe Hjelm Christensen</cp:lastModifiedBy>
  <cp:revision>3</cp:revision>
  <dcterms:created xsi:type="dcterms:W3CDTF">2018-08-22T07:26:00Z</dcterms:created>
  <dcterms:modified xsi:type="dcterms:W3CDTF">2018-08-22T07:53:00Z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64dfb969-817d-4265-a866-f6356c9d414a</vt:lpwstr>
  </property>
  <property fmtid="{D5CDD505-2E9C-101B-9397-08002B2CF9AE}" pid="3" name="CTP_TimeStamp">
    <vt:lpwstr>2018-04-19 20:37:13Z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