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57D" w:rsidRPr="00830205" w:rsidRDefault="0052357D" w:rsidP="0052357D">
      <w:pPr>
        <w:jc w:val="center"/>
        <w:rPr>
          <w:lang w:val="en-GB"/>
        </w:rPr>
      </w:pPr>
    </w:p>
    <w:p w:rsidR="0052357D" w:rsidRPr="00830205" w:rsidRDefault="0052357D" w:rsidP="0052357D">
      <w:pPr>
        <w:jc w:val="center"/>
        <w:rPr>
          <w:lang w:val="en-GB"/>
        </w:rPr>
      </w:pPr>
    </w:p>
    <w:p w:rsidR="007334D9" w:rsidRPr="00830205" w:rsidRDefault="007334D9" w:rsidP="0052357D">
      <w:pPr>
        <w:jc w:val="center"/>
        <w:rPr>
          <w:lang w:val="en-GB"/>
        </w:rPr>
      </w:pPr>
    </w:p>
    <w:p w:rsidR="007334D9" w:rsidRPr="00830205" w:rsidRDefault="007334D9" w:rsidP="0052357D">
      <w:pPr>
        <w:jc w:val="center"/>
        <w:rPr>
          <w:lang w:val="en-GB"/>
        </w:rPr>
      </w:pPr>
    </w:p>
    <w:p w:rsidR="0052357D" w:rsidRPr="00830205" w:rsidRDefault="0052357D" w:rsidP="0052357D">
      <w:pPr>
        <w:rPr>
          <w:lang w:val="en-GB"/>
        </w:rPr>
      </w:pPr>
    </w:p>
    <w:p w:rsidR="0052357D" w:rsidRPr="00830205" w:rsidRDefault="00BC2E9D" w:rsidP="0052357D">
      <w:pPr>
        <w:rPr>
          <w:lang w:val="en-GB"/>
        </w:rPr>
      </w:pPr>
      <w:r>
        <w:rPr>
          <w:noProof/>
          <w:lang w:val="en-GB" w:eastAsia="en-GB"/>
        </w:rPr>
        <w:drawing>
          <wp:anchor distT="0" distB="0" distL="114300" distR="114300" simplePos="0" relativeHeight="251658240" behindDoc="0" locked="0" layoutInCell="1" allowOverlap="1">
            <wp:simplePos x="0" y="0"/>
            <wp:positionH relativeFrom="page">
              <wp:posOffset>5717540</wp:posOffset>
            </wp:positionH>
            <wp:positionV relativeFrom="page">
              <wp:posOffset>648335</wp:posOffset>
            </wp:positionV>
            <wp:extent cx="1461770" cy="546100"/>
            <wp:effectExtent l="0" t="0" r="5080" b="6350"/>
            <wp:wrapNone/>
            <wp:docPr id="9" name="Bild 9"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c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simplePos x="0" y="0"/>
            <wp:positionH relativeFrom="page">
              <wp:posOffset>572770</wp:posOffset>
            </wp:positionH>
            <wp:positionV relativeFrom="page">
              <wp:posOffset>457200</wp:posOffset>
            </wp:positionV>
            <wp:extent cx="889000" cy="889000"/>
            <wp:effectExtent l="0" t="0" r="6350" b="6350"/>
            <wp:wrapNone/>
            <wp:docPr id="8" name="Bild 8"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pt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p w:rsidR="0065720A" w:rsidRPr="00830205" w:rsidRDefault="00BC2E9D" w:rsidP="0052357D">
      <w:pPr>
        <w:jc w:val="center"/>
        <w:rPr>
          <w:b/>
          <w:sz w:val="24"/>
          <w:lang w:val="en-GB"/>
        </w:rPr>
      </w:pPr>
      <w:r>
        <w:rPr>
          <w:b/>
          <w:noProof/>
          <w:sz w:val="24"/>
          <w:lang w:val="en-GB" w:eastAsia="en-GB"/>
        </w:rPr>
        <mc:AlternateContent>
          <mc:Choice Requires="wpg">
            <w:drawing>
              <wp:anchor distT="0" distB="0" distL="114300" distR="114300" simplePos="0" relativeHeight="251656192" behindDoc="0" locked="0" layoutInCell="1" allowOverlap="1">
                <wp:simplePos x="0" y="0"/>
                <wp:positionH relativeFrom="column">
                  <wp:posOffset>-897890</wp:posOffset>
                </wp:positionH>
                <wp:positionV relativeFrom="paragraph">
                  <wp:posOffset>168910</wp:posOffset>
                </wp:positionV>
                <wp:extent cx="7550785" cy="855726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785" cy="8557260"/>
                          <a:chOff x="0" y="2700"/>
                          <a:chExt cx="11912" cy="13022"/>
                        </a:xfrm>
                      </wpg:grpSpPr>
                      <wps:wsp>
                        <wps:cNvPr id="2" name="Rectangle 3"/>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3" name="Text Box 4"/>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99C" w:rsidRPr="00C36947" w:rsidRDefault="00B5499C" w:rsidP="007334D9">
                              <w:pPr>
                                <w:ind w:right="-336"/>
                                <w:rPr>
                                  <w:rFonts w:ascii="Arial" w:hAnsi="Arial" w:cs="Arial"/>
                                  <w:color w:val="57433E"/>
                                  <w:sz w:val="68"/>
                                </w:rPr>
                              </w:pPr>
                              <w:r w:rsidRPr="00C36947">
                                <w:rPr>
                                  <w:rFonts w:ascii="Arial" w:hAnsi="Arial" w:cs="Arial"/>
                                  <w:color w:val="FFFFFF"/>
                                  <w:sz w:val="68"/>
                                </w:rPr>
                                <w:t xml:space="preserve">ERC Decision </w:t>
                              </w:r>
                              <w:r w:rsidRPr="00C36947">
                                <w:rPr>
                                  <w:rFonts w:ascii="Arial" w:hAnsi="Arial" w:cs="Arial"/>
                                  <w:color w:val="887E6E"/>
                                  <w:sz w:val="68"/>
                                </w:rPr>
                                <w:t>(01)17</w:t>
                              </w:r>
                            </w:p>
                          </w:txbxContent>
                        </wps:txbx>
                        <wps:bodyPr rot="0" vert="horz" wrap="square" lIns="2880000" tIns="540000" rIns="72000" bIns="45720" anchor="t" anchorCtr="0" upright="1">
                          <a:noAutofit/>
                        </wps:bodyPr>
                      </wps:wsp>
                      <wpg:grpSp>
                        <wpg:cNvPr id="4" name="Group 5"/>
                        <wpg:cNvGrpSpPr>
                          <a:grpSpLocks/>
                        </wpg:cNvGrpSpPr>
                        <wpg:grpSpPr bwMode="auto">
                          <a:xfrm>
                            <a:off x="1739" y="3125"/>
                            <a:ext cx="1735" cy="1735"/>
                            <a:chOff x="954" y="3125"/>
                            <a:chExt cx="1735" cy="1735"/>
                          </a:xfrm>
                        </wpg:grpSpPr>
                        <wps:wsp>
                          <wps:cNvPr id="5" name="Rectangle 6"/>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Rectangle 7"/>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70.7pt;margin-top:13.3pt;width:594.55pt;height:673.8pt;z-index:251656192"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DN/AMAAAUSAAAOAAAAZHJzL2Uyb0RvYy54bWzsWNtu4zYQfS/QfyD47uhiybKEKIvcHBRI&#10;20V3+wG0RF1QiVRJOXJa9N87HEqy4+yi3Vu3ReMHmRSH1MyZOTMjnb/atw154ErXUqTUO3Mp4SKT&#10;eS3KlP78drNYU6J7JnLWSMFT+sg1fXXx7TfnQ5dwX1ayybkicIjQydCltOr7LnEcnVW8ZfpMdlzA&#10;YiFVy3qYqtLJFRvg9LZxfNddOYNUeadkxrWGuzd2kV7g+UXBs/7HotC8J01KQbcerwqvW3N1Ls5Z&#10;UirWVXU2qsE+QouW1QIeOh91w3pGdqp+dlRbZ0pqWfRnmWwdWRR1xtEGsMZzT6y5U3LXoS1lMpTd&#10;DBNAe4LTRx+b/fDwWpE6B99RIlgLLsKnEt9AM3RlAhJ3qnvTvVbWPhjey+wXDcvO6bqZl1aYbIfv&#10;ZQ7HsV0vEZp9oVpzBBhN9uiBx9kDfN+TDG5GYehG65CSDNbWYRj5q9FHWQWOPOzzI3deuB03e17s&#10;+Xart3R9tMBhiX0u6jrqZgyDcNMHRPWnIfqmYh1HR2mD14go6GIR/QnCkImy4WRpUUWpCVJt8SRC&#10;XlcgxS+VkkPFWQ5KeUYeVD/aYCYavPGXAK8oARC9MFjGNswnkAEnFxYNxP4aNZpRYkmndH/HZUvM&#10;IKUKVEfvsYd73RtlDiLGmVo2db6pmwYnqtxeN4o8MGDbje8v/UvU/0SsEUZYSLPNnmjvgH7wDLNm&#10;NEX2/A4eDdwrP15sVutoEWyCcBFH7nrhevFVvHKDOLjZ/GEU9IKkqvOci/ta8InJXvD3/DrmFMtB&#10;5DIZUhqHfoi2v99IF3/vMrKte0hsTd1CHM9CLDF+vRU5mM2SntWNHTtP1UeUAYPpH1HBKDCOt9G7&#10;lfkjBIGS4CRIbJCCYVBJ9RslA6SzlOpfd0xxSprvBARS7AWByX84CQOjESUKZxHkUZhscRIA5WDC&#10;RAZnpbSfhte9TZq7TtVlBY/yEBkhL4HeRY2RYSLTqjXGLDDsH6LacqLaWxM6V3JPAuOUI+KQfg+3&#10;J72/FOcAOsOqOTkZbUxeO6ZcuELdXjiHdfy/xLl+v92PUfWB9PPXmAS+EgHHomz4gPV8rE/BRBpb&#10;8UPLmC9X8b0IKpHhx9KDxIopcOZHtByLPgiNa3PFj0PQ9Mm2rLqdiPVs48yrr1DxwYbTir86yUMm&#10;8T/LPrqDMmty0+dpAmxVMFnIZHbzxLHneo7k+x0w43go+J/cE2zwZxCB059U1Zee4KUnOH7x+6AX&#10;mne339DinpIx+jeRETpbILzJa0GAHYHte2274I8NuufByPJlen/6bB16GAXL5e0LG//vHfqhUGLf&#10;jt8aMEOP30XMx4zjOUodvt5c/AkAAP//AwBQSwMEFAAGAAgAAAAhAAc3IGPjAAAADQEAAA8AAABk&#10;cnMvZG93bnJldi54bWxMj8FqwzAMhu+DvYPRYLfWcZolI4tTStl2KoO1g7GbGqtJaGyH2E3St597&#10;2m4S+vj1/cV61h0baXCtNRLEMgJGprKqNbWEr8Pb4hmY82gUdtaQhCs5WJf3dwXmyk7mk8a9r1kI&#10;MS5HCY33fc65qxrS6Ja2JxNuJzto9GEdaq4GnEK47ngcRSnX2JrwocGetg1V5/1FS3ifcNqsxOu4&#10;O5+215/D08f3TpCUjw/z5gWYp9n/wXDTD+pQBqejvRjlWCdhIRKRBFZCnKbAbkSUZBmwY5hWWRID&#10;Lwv+v0X5CwAA//8DAFBLAQItABQABgAIAAAAIQC2gziS/gAAAOEBAAATAAAAAAAAAAAAAAAAAAAA&#10;AABbQ29udGVudF9UeXBlc10ueG1sUEsBAi0AFAAGAAgAAAAhADj9If/WAAAAlAEAAAsAAAAAAAAA&#10;AAAAAAAALwEAAF9yZWxzLy5yZWxzUEsBAi0AFAAGAAgAAAAhAEYIkM38AwAABRIAAA4AAAAAAAAA&#10;AAAAAAAALgIAAGRycy9lMm9Eb2MueG1sUEsBAi0AFAAGAAgAAAAhAAc3IGPjAAAADQEAAA8AAAAA&#10;AAAAAAAAAAAAVgYAAGRycy9kb3ducmV2LnhtbFBLBQYAAAAABAAEAPMAAABmBwAAAAA=&#10;">
                <v:rect id="Rectangle 3"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2V/MEA&#10;AADaAAAADwAAAGRycy9kb3ducmV2LnhtbESPQYvCMBSE74L/ITzBi2iqQpGuURZB7FGtHrw9mrdt&#10;2ealNlHrvzeC4HGYmW+Y5boztbhT6yrLCqaTCARxbnXFhYJTth0vQDiPrLG2TAqe5GC96veWmGj7&#10;4APdj74QAcIuQQWl900ipctLMugmtiEO3p9tDfog20LqFh8Bbmo5i6JYGqw4LJTY0Kak/P94MwoW&#10;8fUcp/G+2mS70Si7+fQyN6lSw0H3+wPCU+e/4U871Qpm8L4Sb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dlfzBAAAA2gAAAA8AAAAAAAAAAAAAAAAAmAIAAGRycy9kb3du&#10;cmV2LnhtbFBLBQYAAAAABAAEAPUAAACGAwAAAAA=&#10;" fillcolor="#d2232a" stroked="f">
                  <v:textbox inset=",15mm,2mm"/>
                </v:rect>
                <v:shapetype id="_x0000_t202" coordsize="21600,21600" o:spt="202" path="m,l,21600r21600,l21600,xe">
                  <v:stroke joinstyle="miter"/>
                  <v:path gradientshapeok="t" o:connecttype="rect"/>
                </v:shapetype>
                <v:shape id="Text Box 4"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1E58MA&#10;AADaAAAADwAAAGRycy9kb3ducmV2LnhtbESPT4vCMBTE78J+h/AWvGnaVUS7jbIognhQ/HfY26N5&#10;25ZtXkoTa/32RhA8DjPzGyZddKYSLTWutKwgHkYgiDOrS84VnE/rwRSE88gaK8uk4E4OFvOPXoqJ&#10;tjc+UHv0uQgQdgkqKLyvEyldVpBBN7Q1cfD+bGPQB9nkUjd4C3BTya8omkiDJYeFAmtaFpT9H69G&#10;AR5+t7vxqtrMxsv9Oo/LGCVdlOp/dj/fIDx1/h1+tTdawQieV8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1E58MAAADaAAAADwAAAAAAAAAAAAAAAACYAgAAZHJzL2Rv&#10;d25yZXYueG1sUEsFBgAAAAAEAAQA9QAAAIgDAAAAAA==&#10;" fillcolor="#d2232a" stroked="f">
                  <v:textbox inset="80mm,15mm,2mm">
                    <w:txbxContent>
                      <w:p w:rsidR="00B5499C" w:rsidRPr="00C36947" w:rsidRDefault="00B5499C" w:rsidP="007334D9">
                        <w:pPr>
                          <w:ind w:right="-336"/>
                          <w:rPr>
                            <w:rFonts w:ascii="Arial" w:hAnsi="Arial" w:cs="Arial"/>
                            <w:color w:val="57433E"/>
                            <w:sz w:val="68"/>
                          </w:rPr>
                        </w:pPr>
                        <w:r w:rsidRPr="00C36947">
                          <w:rPr>
                            <w:rFonts w:ascii="Arial" w:hAnsi="Arial" w:cs="Arial"/>
                            <w:color w:val="FFFFFF"/>
                            <w:sz w:val="68"/>
                          </w:rPr>
                          <w:t xml:space="preserve">ERC Decision </w:t>
                        </w:r>
                        <w:r w:rsidRPr="00C36947">
                          <w:rPr>
                            <w:rFonts w:ascii="Arial" w:hAnsi="Arial" w:cs="Arial"/>
                            <w:color w:val="887E6E"/>
                            <w:sz w:val="68"/>
                          </w:rPr>
                          <w:t>(01)17</w:t>
                        </w:r>
                      </w:p>
                    </w:txbxContent>
                  </v:textbox>
                </v:shape>
                <v:group id="Group 5"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1hMIA&#10;AADaAAAADwAAAGRycy9kb3ducmV2LnhtbESPT4vCMBTE7wt+h/AEL4umK+hKNYq4iEX24v/ro3m2&#10;xealNNHWb28WhD0OM/MbZrZoTSkeVLvCsoKvQQSCOLW64EzB8bDuT0A4j6yxtEwKnuRgMe98zDDW&#10;tuEdPfY+EwHCLkYFufdVLKVLczLoBrYiDt7V1gZ9kHUmdY1NgJtSDqNoLA0WHBZyrGiVU3rb342C&#10;aLPafibt5HxKmjtRs+Pv35+LUr1uu5yC8NT6//C7nWgFI/i7Em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3WEwgAAANoAAAAPAAAAAAAAAAAAAAAAAJgCAABkcnMvZG93&#10;bnJldi54bWxQSwUGAAAAAAQABAD1AAAAhwMAAAAA&#10;" stroked="f">
                    <o:lock v:ext="edit" aspectratio="t"/>
                    <v:textbox inset=",15mm,2mm"/>
                  </v:rect>
                  <v:rect id="Rectangle 7"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wfMEA&#10;AADaAAAADwAAAGRycy9kb3ducmV2LnhtbESPQYvCMBSE74L/ITzBi6ypikVqU1mEBW+LVoS9PZpn&#10;W9q8dJus1n+/EQSPw8x8w6S7wbTiRr2rLStYzCMQxIXVNZcKzvnXxwaE88gaW8uk4EEOdtl4lGKi&#10;7Z2PdDv5UgQIuwQVVN53iZSuqMigm9uOOHhX2xv0Qfal1D3eA9y0chlFsTRYc1iosKN9RUVz+jMK&#10;iNarTb5sc+Sf31nT6Mvhm4xS08nwuQXhafDv8Kt90ApieF4JN0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cHzBAAAA2gAAAA8AAAAAAAAAAAAAAAAAmAIAAGRycy9kb3du&#10;cmV2LnhtbFBLBQYAAAAABAAEAPUAAACGAwAAAAA=&#10;" fillcolor="#57433e" stroked="f">
                    <o:lock v:ext="edit" aspectratio="t"/>
                    <v:textbox inset=",15mm,2mm"/>
                  </v:rect>
                </v:group>
              </v:group>
            </w:pict>
          </mc:Fallback>
        </mc:AlternateContent>
      </w:r>
    </w:p>
    <w:p w:rsidR="0052357D" w:rsidRPr="00830205" w:rsidRDefault="0052357D" w:rsidP="0052357D">
      <w:pPr>
        <w:jc w:val="center"/>
        <w:rPr>
          <w:b/>
          <w:sz w:val="24"/>
          <w:lang w:val="en-GB"/>
        </w:rPr>
      </w:pPr>
    </w:p>
    <w:p w:rsidR="0052357D" w:rsidRPr="00830205" w:rsidRDefault="0052357D" w:rsidP="0052357D">
      <w:pPr>
        <w:jc w:val="center"/>
        <w:rPr>
          <w:b/>
          <w:sz w:val="24"/>
          <w:lang w:val="en-GB"/>
        </w:rPr>
      </w:pPr>
    </w:p>
    <w:p w:rsidR="0052357D" w:rsidRPr="00830205" w:rsidRDefault="0052357D" w:rsidP="0052357D">
      <w:pPr>
        <w:jc w:val="center"/>
        <w:rPr>
          <w:b/>
          <w:sz w:val="24"/>
          <w:lang w:val="en-GB"/>
        </w:rPr>
      </w:pPr>
    </w:p>
    <w:p w:rsidR="0052357D" w:rsidRPr="00830205" w:rsidRDefault="0052357D" w:rsidP="0052357D">
      <w:pPr>
        <w:jc w:val="center"/>
        <w:rPr>
          <w:b/>
          <w:sz w:val="24"/>
          <w:lang w:val="en-GB"/>
        </w:rPr>
      </w:pPr>
    </w:p>
    <w:p w:rsidR="0052357D" w:rsidRPr="00830205" w:rsidRDefault="0052357D" w:rsidP="0052357D">
      <w:pPr>
        <w:jc w:val="center"/>
        <w:rPr>
          <w:b/>
          <w:sz w:val="24"/>
          <w:lang w:val="en-GB"/>
        </w:rPr>
      </w:pPr>
    </w:p>
    <w:p w:rsidR="0052357D" w:rsidRPr="00830205" w:rsidRDefault="0052357D" w:rsidP="0052357D">
      <w:pPr>
        <w:jc w:val="center"/>
        <w:rPr>
          <w:b/>
          <w:sz w:val="24"/>
          <w:lang w:val="en-GB"/>
        </w:rPr>
      </w:pPr>
    </w:p>
    <w:p w:rsidR="0052357D" w:rsidRPr="00830205" w:rsidRDefault="0052357D" w:rsidP="0052357D">
      <w:pPr>
        <w:pStyle w:val="Title"/>
        <w:spacing w:before="0" w:after="0"/>
        <w:rPr>
          <w:lang w:val="en-GB"/>
        </w:rPr>
      </w:pPr>
    </w:p>
    <w:p w:rsidR="0052357D" w:rsidRPr="00830205" w:rsidRDefault="0052357D">
      <w:pPr>
        <w:jc w:val="center"/>
        <w:rPr>
          <w:sz w:val="40"/>
          <w:lang w:val="en-GB"/>
        </w:rPr>
      </w:pPr>
    </w:p>
    <w:p w:rsidR="0052357D" w:rsidRPr="00830205" w:rsidRDefault="0052357D">
      <w:pPr>
        <w:jc w:val="center"/>
        <w:rPr>
          <w:sz w:val="40"/>
          <w:lang w:val="en-GB"/>
        </w:rPr>
      </w:pPr>
    </w:p>
    <w:p w:rsidR="0052357D" w:rsidRPr="00830205" w:rsidRDefault="0052357D">
      <w:pPr>
        <w:jc w:val="center"/>
        <w:rPr>
          <w:sz w:val="40"/>
          <w:lang w:val="en-GB"/>
        </w:rPr>
      </w:pPr>
    </w:p>
    <w:p w:rsidR="0052357D" w:rsidRPr="00830205" w:rsidRDefault="00430C1C" w:rsidP="0052357D">
      <w:pPr>
        <w:pStyle w:val="Reporttitledescription"/>
        <w:rPr>
          <w:lang w:val="en-GB"/>
        </w:rPr>
      </w:pPr>
      <w:r w:rsidRPr="00830205">
        <w:rPr>
          <w:lang w:val="en-GB"/>
        </w:rPr>
        <w:t>Harmonised f</w:t>
      </w:r>
      <w:r w:rsidR="0052357D" w:rsidRPr="00830205">
        <w:rPr>
          <w:lang w:val="en-GB"/>
        </w:rPr>
        <w:t>requencies, technical characteristics and exemption from individual licensing of Ultra Low Power Active Medical Implant (ULP-AMI) communication systems operating in the frequency band 401 - 406 MHz on a secondary basis</w:t>
      </w:r>
      <w:r w:rsidR="007706F8" w:rsidRPr="00830205">
        <w:rPr>
          <w:bCs/>
          <w:color w:val="auto"/>
          <w:sz w:val="20"/>
          <w:vertAlign w:val="superscript"/>
          <w:lang w:val="en-GB"/>
        </w:rPr>
        <w:footnoteReference w:id="1"/>
      </w:r>
      <w:r w:rsidR="007706F8" w:rsidRPr="00830205">
        <w:rPr>
          <w:lang w:val="en-GB"/>
        </w:rPr>
        <w:t xml:space="preserve"> </w:t>
      </w:r>
      <w:r w:rsidR="0052357D" w:rsidRPr="00830205">
        <w:rPr>
          <w:lang w:val="en-GB"/>
        </w:rPr>
        <w:t xml:space="preserve"> </w:t>
      </w:r>
    </w:p>
    <w:p w:rsidR="0052357D" w:rsidRPr="00830205" w:rsidRDefault="00394B64" w:rsidP="0052357D">
      <w:pPr>
        <w:pStyle w:val="Reporttitledescription"/>
        <w:rPr>
          <w:b/>
          <w:sz w:val="18"/>
          <w:szCs w:val="18"/>
          <w:lang w:val="en-GB"/>
        </w:rPr>
      </w:pPr>
      <w:r w:rsidRPr="00830205">
        <w:rPr>
          <w:b/>
          <w:sz w:val="18"/>
          <w:szCs w:val="18"/>
          <w:lang w:val="en-GB"/>
        </w:rPr>
        <w:t xml:space="preserve">Approved </w:t>
      </w:r>
      <w:r w:rsidR="004A32CB" w:rsidRPr="00830205">
        <w:rPr>
          <w:b/>
          <w:sz w:val="18"/>
          <w:szCs w:val="18"/>
          <w:lang w:val="en-GB"/>
        </w:rPr>
        <w:t>12 March 2001</w:t>
      </w:r>
    </w:p>
    <w:p w:rsidR="0052357D" w:rsidRPr="00830205" w:rsidRDefault="00394B64" w:rsidP="0052357D">
      <w:pPr>
        <w:pStyle w:val="Lastupdated"/>
        <w:rPr>
          <w:lang w:val="en-GB"/>
        </w:rPr>
      </w:pPr>
      <w:r w:rsidRPr="00830205">
        <w:rPr>
          <w:lang w:val="en-GB"/>
        </w:rPr>
        <w:t xml:space="preserve">Amended </w:t>
      </w:r>
      <w:r w:rsidR="00430C1C" w:rsidRPr="00830205">
        <w:rPr>
          <w:lang w:val="en-GB"/>
        </w:rPr>
        <w:t>9 December 2011</w:t>
      </w:r>
    </w:p>
    <w:p w:rsidR="007706F8" w:rsidRPr="00830205" w:rsidRDefault="007706F8" w:rsidP="0052357D">
      <w:pPr>
        <w:pStyle w:val="Lastupdated"/>
        <w:rPr>
          <w:lang w:val="en-GB"/>
        </w:rPr>
      </w:pPr>
      <w:r w:rsidRPr="00830205">
        <w:rPr>
          <w:lang w:val="en-GB"/>
        </w:rPr>
        <w:t xml:space="preserve">Updated </w:t>
      </w:r>
      <w:r w:rsidR="000A4F89">
        <w:rPr>
          <w:lang w:val="en-GB"/>
        </w:rPr>
        <w:t>17</w:t>
      </w:r>
      <w:r w:rsidR="00206828">
        <w:rPr>
          <w:lang w:val="en-GB"/>
        </w:rPr>
        <w:t xml:space="preserve"> </w:t>
      </w:r>
      <w:r w:rsidR="009E6C40">
        <w:rPr>
          <w:lang w:val="en-GB"/>
        </w:rPr>
        <w:t xml:space="preserve">November </w:t>
      </w:r>
      <w:r w:rsidRPr="00830205">
        <w:rPr>
          <w:lang w:val="en-GB"/>
        </w:rPr>
        <w:t>2017</w:t>
      </w:r>
    </w:p>
    <w:p w:rsidR="00394B64" w:rsidRPr="00830205" w:rsidRDefault="00394B64" w:rsidP="0052357D">
      <w:pPr>
        <w:pStyle w:val="Lastupdated"/>
        <w:rPr>
          <w:lang w:val="en-GB"/>
        </w:rPr>
      </w:pPr>
    </w:p>
    <w:p w:rsidR="004A32CB" w:rsidRPr="00830205" w:rsidRDefault="004A32CB" w:rsidP="004A32CB">
      <w:pPr>
        <w:ind w:right="-694"/>
        <w:rPr>
          <w:lang w:val="en-GB"/>
        </w:rPr>
        <w:sectPr w:rsidR="004A32CB" w:rsidRPr="00830205" w:rsidSect="00B5499C">
          <w:headerReference w:type="even" r:id="rId11"/>
          <w:headerReference w:type="default" r:id="rId12"/>
          <w:footerReference w:type="even" r:id="rId13"/>
          <w:type w:val="continuous"/>
          <w:pgSz w:w="11906" w:h="16838" w:code="9"/>
          <w:pgMar w:top="1418" w:right="1418" w:bottom="567" w:left="1418" w:header="720" w:footer="720" w:gutter="0"/>
          <w:pgNumType w:start="1"/>
          <w:cols w:space="720"/>
          <w:titlePg/>
          <w:docGrid w:linePitch="272"/>
        </w:sectPr>
      </w:pPr>
    </w:p>
    <w:p w:rsidR="001F5C30" w:rsidRPr="00830205" w:rsidRDefault="001F5C30" w:rsidP="007334D9">
      <w:pPr>
        <w:pStyle w:val="Heading1"/>
        <w:pageBreakBefore/>
        <w:widowControl/>
        <w:spacing w:before="400"/>
        <w:rPr>
          <w:rFonts w:ascii="Arial" w:hAnsi="Arial" w:cs="Arial"/>
          <w:bCs/>
          <w:caps/>
          <w:snapToGrid/>
          <w:color w:val="D2232A"/>
          <w:kern w:val="32"/>
          <w:szCs w:val="32"/>
        </w:rPr>
      </w:pPr>
      <w:r w:rsidRPr="00830205">
        <w:rPr>
          <w:rFonts w:ascii="Arial" w:hAnsi="Arial" w:cs="Arial"/>
          <w:bCs/>
          <w:caps/>
          <w:snapToGrid/>
          <w:color w:val="D2232A"/>
          <w:kern w:val="32"/>
          <w:szCs w:val="32"/>
        </w:rPr>
        <w:lastRenderedPageBreak/>
        <w:t>EXPLANATORY MEMORANDUM</w:t>
      </w:r>
    </w:p>
    <w:p w:rsidR="001F5C30" w:rsidRPr="00830205" w:rsidRDefault="001F5C30" w:rsidP="007334D9">
      <w:pPr>
        <w:pStyle w:val="Heading2"/>
        <w:ind w:left="426"/>
        <w:rPr>
          <w:lang w:val="en-GB"/>
        </w:rPr>
      </w:pPr>
      <w:r w:rsidRPr="00830205">
        <w:rPr>
          <w:lang w:val="en-GB"/>
        </w:rPr>
        <w:t>INTRODUCTION</w:t>
      </w:r>
    </w:p>
    <w:p w:rsidR="001F5C30" w:rsidRPr="00830205" w:rsidRDefault="00DE5D98" w:rsidP="007334D9">
      <w:pPr>
        <w:pStyle w:val="ECCParagraph"/>
      </w:pPr>
      <w:proofErr w:type="spellStart"/>
      <w:r w:rsidRPr="00830205">
        <w:rPr>
          <w:b/>
        </w:rPr>
        <w:t>U</w:t>
      </w:r>
      <w:r w:rsidRPr="00830205">
        <w:t xml:space="preserve">ltra </w:t>
      </w:r>
      <w:r w:rsidRPr="00830205">
        <w:rPr>
          <w:b/>
        </w:rPr>
        <w:t>L</w:t>
      </w:r>
      <w:r w:rsidRPr="00830205">
        <w:t>ow</w:t>
      </w:r>
      <w:proofErr w:type="spellEnd"/>
      <w:r w:rsidRPr="00830205">
        <w:t xml:space="preserve"> </w:t>
      </w:r>
      <w:r w:rsidRPr="00830205">
        <w:rPr>
          <w:b/>
        </w:rPr>
        <w:t>P</w:t>
      </w:r>
      <w:r w:rsidRPr="00830205">
        <w:t xml:space="preserve">ower </w:t>
      </w:r>
      <w:r w:rsidRPr="00830205">
        <w:rPr>
          <w:b/>
        </w:rPr>
        <w:t>A</w:t>
      </w:r>
      <w:r w:rsidRPr="00830205">
        <w:t xml:space="preserve">ctive </w:t>
      </w:r>
      <w:r w:rsidRPr="00830205">
        <w:rPr>
          <w:b/>
        </w:rPr>
        <w:t>M</w:t>
      </w:r>
      <w:r w:rsidRPr="00830205">
        <w:t xml:space="preserve">edical </w:t>
      </w:r>
      <w:r w:rsidRPr="00830205">
        <w:rPr>
          <w:b/>
        </w:rPr>
        <w:t>I</w:t>
      </w:r>
      <w:r w:rsidRPr="00830205">
        <w:t>mplants (</w:t>
      </w:r>
      <w:r w:rsidRPr="00830205">
        <w:rPr>
          <w:b/>
        </w:rPr>
        <w:t>ULP-AMI</w:t>
      </w:r>
      <w:r w:rsidRPr="00830205">
        <w:t xml:space="preserve">) </w:t>
      </w:r>
      <w:r w:rsidR="00D92CAC" w:rsidRPr="00830205">
        <w:t xml:space="preserve">communication systems </w:t>
      </w:r>
      <w:r w:rsidR="001F5C30" w:rsidRPr="00830205">
        <w:t xml:space="preserve">are specific </w:t>
      </w:r>
      <w:r w:rsidR="00D92CAC" w:rsidRPr="00830205">
        <w:t>low power</w:t>
      </w:r>
      <w:r w:rsidR="001F5C30" w:rsidRPr="00830205">
        <w:t xml:space="preserve"> devices</w:t>
      </w:r>
      <w:r w:rsidR="00D92CAC" w:rsidRPr="00830205">
        <w:t xml:space="preserve"> to provide </w:t>
      </w:r>
      <w:r w:rsidR="0097693F" w:rsidRPr="00830205">
        <w:t xml:space="preserve">non-voice digital </w:t>
      </w:r>
      <w:r w:rsidR="00D92CAC" w:rsidRPr="00830205">
        <w:t>communications capability between implanted and external devices</w:t>
      </w:r>
      <w:r w:rsidR="001F5C30" w:rsidRPr="00830205">
        <w:t xml:space="preserve"> (Se</w:t>
      </w:r>
      <w:r w:rsidR="009A3772" w:rsidRPr="00830205">
        <w:t>e</w:t>
      </w:r>
      <w:r w:rsidR="001F5C30" w:rsidRPr="00830205">
        <w:t xml:space="preserve"> also the EC Directive 90/385/EEC). </w:t>
      </w:r>
      <w:r w:rsidR="00D92CAC" w:rsidRPr="00830205">
        <w:t>ULP-AMI communication systems</w:t>
      </w:r>
      <w:r w:rsidR="001F5C30" w:rsidRPr="00830205">
        <w:t xml:space="preserve"> use frequency bands </w:t>
      </w:r>
      <w:r w:rsidR="00124F3A" w:rsidRPr="00830205">
        <w:t xml:space="preserve">shared with </w:t>
      </w:r>
      <w:r w:rsidR="001F5C30" w:rsidRPr="00830205">
        <w:t xml:space="preserve">other services. </w:t>
      </w:r>
    </w:p>
    <w:p w:rsidR="001F5C30" w:rsidRPr="00830205" w:rsidRDefault="00F748F8" w:rsidP="007334D9">
      <w:pPr>
        <w:pStyle w:val="ECCParagraph"/>
      </w:pPr>
      <w:r w:rsidRPr="00830205">
        <w:t xml:space="preserve">The frequency band 401-406 MHz is allocated to the mobile service on a secondary basis. </w:t>
      </w:r>
      <w:r w:rsidR="00D92CAC" w:rsidRPr="00830205">
        <w:t xml:space="preserve">This Decision addresses frequency designation within the band 401-406 MHz for the harmonised implementation of </w:t>
      </w:r>
      <w:r w:rsidR="00DE5D98" w:rsidRPr="00830205">
        <w:t>ULP-AMI</w:t>
      </w:r>
      <w:r w:rsidR="003B4555" w:rsidRPr="00830205">
        <w:t xml:space="preserve"> </w:t>
      </w:r>
      <w:r w:rsidR="00D92CAC" w:rsidRPr="00830205">
        <w:t>communication</w:t>
      </w:r>
      <w:r w:rsidR="003B4555" w:rsidRPr="00830205">
        <w:t xml:space="preserve"> systems</w:t>
      </w:r>
      <w:r w:rsidR="00F77687" w:rsidRPr="00830205">
        <w:t xml:space="preserve"> under this allocation for the mobile service</w:t>
      </w:r>
      <w:r w:rsidR="002417B0" w:rsidRPr="00830205">
        <w:t>.</w:t>
      </w:r>
      <w:r w:rsidR="00D92CAC" w:rsidRPr="00830205">
        <w:t xml:space="preserve"> The frequency band 401-406 is </w:t>
      </w:r>
      <w:r w:rsidR="00124F3A" w:rsidRPr="00830205">
        <w:t xml:space="preserve">also </w:t>
      </w:r>
      <w:r w:rsidR="00D92CAC" w:rsidRPr="00830205">
        <w:t xml:space="preserve">allocated to the Meteorological Aids Service </w:t>
      </w:r>
      <w:r w:rsidR="00124F3A" w:rsidRPr="00830205">
        <w:t xml:space="preserve">whereas </w:t>
      </w:r>
      <w:r w:rsidR="00D92CAC" w:rsidRPr="00830205">
        <w:t>the band 401</w:t>
      </w:r>
      <w:bookmarkStart w:id="0" w:name="_GoBack"/>
      <w:bookmarkEnd w:id="0"/>
      <w:r w:rsidR="00D92CAC" w:rsidRPr="00830205">
        <w:t xml:space="preserve">-403 </w:t>
      </w:r>
      <w:r w:rsidR="00124F3A" w:rsidRPr="00830205">
        <w:t xml:space="preserve">MHz is allocated </w:t>
      </w:r>
      <w:r w:rsidR="00D92CAC" w:rsidRPr="00830205">
        <w:t xml:space="preserve">to Space operation, </w:t>
      </w:r>
      <w:r w:rsidR="003B4555" w:rsidRPr="00830205">
        <w:t xml:space="preserve">the </w:t>
      </w:r>
      <w:r w:rsidR="00D92CAC" w:rsidRPr="00830205">
        <w:t xml:space="preserve">Earth </w:t>
      </w:r>
      <w:r w:rsidR="00DE5D98" w:rsidRPr="00830205">
        <w:t>E</w:t>
      </w:r>
      <w:r w:rsidR="00D92CAC" w:rsidRPr="00830205">
        <w:t>xploration</w:t>
      </w:r>
      <w:r w:rsidR="00DE5D98" w:rsidRPr="00830205">
        <w:t xml:space="preserve"> </w:t>
      </w:r>
      <w:r w:rsidR="00D92CAC" w:rsidRPr="00830205">
        <w:t>Satellite</w:t>
      </w:r>
      <w:r w:rsidR="00DE5D98" w:rsidRPr="00830205">
        <w:t xml:space="preserve"> Service and</w:t>
      </w:r>
      <w:r w:rsidR="003B4555" w:rsidRPr="00830205">
        <w:t xml:space="preserve"> the</w:t>
      </w:r>
      <w:r w:rsidR="00DE5D98" w:rsidRPr="00830205">
        <w:t xml:space="preserve"> </w:t>
      </w:r>
      <w:r w:rsidR="00D92CAC" w:rsidRPr="00830205">
        <w:t>Meteorological Satellite</w:t>
      </w:r>
      <w:r w:rsidR="00DE5D98" w:rsidRPr="00830205">
        <w:t xml:space="preserve"> Service</w:t>
      </w:r>
      <w:r w:rsidR="00D92CAC" w:rsidRPr="00830205">
        <w:t xml:space="preserve"> on a primary basis in the three regions of ITU</w:t>
      </w:r>
      <w:r w:rsidR="00D414E6" w:rsidRPr="00830205">
        <w:t>,</w:t>
      </w:r>
      <w:r w:rsidR="00D92CAC" w:rsidRPr="00830205">
        <w:t xml:space="preserve"> and in accordance with the European Common Allocation Table (ECA</w:t>
      </w:r>
      <w:r w:rsidRPr="00830205">
        <w:t>).</w:t>
      </w:r>
    </w:p>
    <w:p w:rsidR="001F5C30" w:rsidRPr="00830205" w:rsidRDefault="001F5C30" w:rsidP="007334D9">
      <w:pPr>
        <w:pStyle w:val="Heading2"/>
        <w:ind w:left="426" w:hanging="426"/>
        <w:rPr>
          <w:lang w:val="en-GB"/>
        </w:rPr>
      </w:pPr>
      <w:r w:rsidRPr="00830205">
        <w:rPr>
          <w:lang w:val="en-GB"/>
        </w:rPr>
        <w:t>BACKGROUND</w:t>
      </w:r>
    </w:p>
    <w:p w:rsidR="001F5C30" w:rsidRPr="00830205" w:rsidRDefault="009A3772" w:rsidP="007334D9">
      <w:pPr>
        <w:pStyle w:val="ECCParagraph"/>
      </w:pPr>
      <w:r w:rsidRPr="00830205">
        <w:t xml:space="preserve">Based on the </w:t>
      </w:r>
      <w:r w:rsidR="00124F3A" w:rsidRPr="00830205">
        <w:t xml:space="preserve">sharing studies given in </w:t>
      </w:r>
      <w:r w:rsidRPr="00830205">
        <w:t xml:space="preserve">ITU-R </w:t>
      </w:r>
      <w:r w:rsidR="00124F3A" w:rsidRPr="00830205">
        <w:t xml:space="preserve">Recommendation </w:t>
      </w:r>
      <w:r w:rsidRPr="00830205">
        <w:t>RS</w:t>
      </w:r>
      <w:r w:rsidR="004101BB" w:rsidRPr="00830205">
        <w:t>.</w:t>
      </w:r>
      <w:r w:rsidRPr="00830205">
        <w:t>1346</w:t>
      </w:r>
      <w:r w:rsidR="00124F3A" w:rsidRPr="00830205">
        <w:t xml:space="preserve"> </w:t>
      </w:r>
      <w:r w:rsidRPr="00830205">
        <w:t>and internally conducted WGSE sharing analysis</w:t>
      </w:r>
      <w:r w:rsidR="00EC4DF6" w:rsidRPr="00830205">
        <w:t xml:space="preserve"> (incl. ECC Report 92)</w:t>
      </w:r>
      <w:r w:rsidRPr="00830205">
        <w:t>,</w:t>
      </w:r>
      <w:r w:rsidR="00F37C98" w:rsidRPr="00830205">
        <w:t xml:space="preserve"> CEPT designated the band 401-</w:t>
      </w:r>
      <w:r w:rsidRPr="00830205">
        <w:t xml:space="preserve">406 MHz for use by </w:t>
      </w:r>
      <w:r w:rsidR="00D54A59" w:rsidRPr="00830205">
        <w:t>ULP-AMI communication systems</w:t>
      </w:r>
      <w:r w:rsidRPr="00830205">
        <w:t>. It should be noted that the ITU-R Rec</w:t>
      </w:r>
      <w:r w:rsidR="00124F3A" w:rsidRPr="00830205">
        <w:t>ommendation</w:t>
      </w:r>
      <w:r w:rsidRPr="00830205">
        <w:t xml:space="preserve"> RS 1346 </w:t>
      </w:r>
      <w:r w:rsidR="00124F3A" w:rsidRPr="00830205">
        <w:t xml:space="preserve">considers </w:t>
      </w:r>
      <w:r w:rsidR="00D54A59" w:rsidRPr="00830205">
        <w:t>ULP-AMI</w:t>
      </w:r>
      <w:r w:rsidRPr="00830205">
        <w:t xml:space="preserve"> communication systems </w:t>
      </w:r>
      <w:r w:rsidR="00124F3A" w:rsidRPr="00830205">
        <w:t xml:space="preserve">as </w:t>
      </w:r>
      <w:r w:rsidRPr="00830205">
        <w:t>operat</w:t>
      </w:r>
      <w:r w:rsidR="00124F3A" w:rsidRPr="00830205">
        <w:t xml:space="preserve">ing under </w:t>
      </w:r>
      <w:r w:rsidRPr="00830205">
        <w:t>the</w:t>
      </w:r>
      <w:r w:rsidR="00D54A59" w:rsidRPr="00830205">
        <w:t xml:space="preserve"> </w:t>
      </w:r>
      <w:r w:rsidR="00124F3A" w:rsidRPr="00830205">
        <w:t xml:space="preserve">secondary </w:t>
      </w:r>
      <w:r w:rsidR="00D54A59" w:rsidRPr="00830205">
        <w:t>m</w:t>
      </w:r>
      <w:r w:rsidRPr="00830205">
        <w:t>obile</w:t>
      </w:r>
      <w:r w:rsidR="003B4555" w:rsidRPr="00830205">
        <w:t xml:space="preserve"> service</w:t>
      </w:r>
      <w:r w:rsidRPr="00830205">
        <w:t xml:space="preserve">. Harmonised </w:t>
      </w:r>
      <w:r w:rsidR="004101BB" w:rsidRPr="00830205">
        <w:t>European s</w:t>
      </w:r>
      <w:r w:rsidRPr="00830205">
        <w:t xml:space="preserve">tandards have been developed by ETSI and approved by the </w:t>
      </w:r>
      <w:r w:rsidR="001D3FBB" w:rsidRPr="00830205">
        <w:t>n</w:t>
      </w:r>
      <w:r w:rsidRPr="00830205">
        <w:t xml:space="preserve">ational </w:t>
      </w:r>
      <w:r w:rsidR="00AA7BBA" w:rsidRPr="00830205">
        <w:t>a</w:t>
      </w:r>
      <w:r w:rsidRPr="00830205">
        <w:t>dministrations</w:t>
      </w:r>
      <w:r w:rsidR="00124F3A" w:rsidRPr="00830205">
        <w:t xml:space="preserve"> and</w:t>
      </w:r>
      <w:r w:rsidRPr="00830205">
        <w:t xml:space="preserve"> show presumption of conformity with the regulations</w:t>
      </w:r>
      <w:r w:rsidR="00797FC6" w:rsidRPr="00830205">
        <w:t xml:space="preserve"> for spectrum usage</w:t>
      </w:r>
      <w:r w:rsidRPr="00830205">
        <w:t>. These standards include advanced interference mitigation techniques as called for by ITU-R Rec</w:t>
      </w:r>
      <w:r w:rsidR="00124F3A" w:rsidRPr="00830205">
        <w:t>ommendation</w:t>
      </w:r>
      <w:r w:rsidRPr="00830205">
        <w:t xml:space="preserve"> RS</w:t>
      </w:r>
      <w:r w:rsidR="004101BB" w:rsidRPr="00830205">
        <w:t>.</w:t>
      </w:r>
      <w:r w:rsidRPr="00830205">
        <w:t xml:space="preserve">1346 to prevent interference to the primary users </w:t>
      </w:r>
      <w:r w:rsidR="00124F3A" w:rsidRPr="00830205">
        <w:t xml:space="preserve">(mainly meteorological radiosondes) </w:t>
      </w:r>
      <w:r w:rsidRPr="00830205">
        <w:t xml:space="preserve">as well as interference between </w:t>
      </w:r>
      <w:r w:rsidR="003C49AA" w:rsidRPr="00830205">
        <w:t>ULP-AMI</w:t>
      </w:r>
      <w:r w:rsidRPr="00830205">
        <w:t xml:space="preserve"> communication systems.</w:t>
      </w:r>
    </w:p>
    <w:p w:rsidR="001F5C30" w:rsidRPr="00830205" w:rsidRDefault="001F5C30" w:rsidP="007334D9">
      <w:pPr>
        <w:pStyle w:val="ECCParagraph"/>
      </w:pPr>
      <w:r w:rsidRPr="00830205">
        <w:t>It is agreed that use of radio equipment may be exempted from individual licensing when the efficient use of the frequency spectrum is not at risk and as long as harmful interference is unlikely and usage is on a non-protected/non-interference basis</w:t>
      </w:r>
      <w:r w:rsidR="008C3BF5" w:rsidRPr="00830205">
        <w:t xml:space="preserve"> to and from </w:t>
      </w:r>
      <w:r w:rsidR="00124F3A" w:rsidRPr="00830205">
        <w:t xml:space="preserve">primary </w:t>
      </w:r>
      <w:r w:rsidR="008C3BF5" w:rsidRPr="00830205">
        <w:t>radio services</w:t>
      </w:r>
      <w:r w:rsidRPr="00830205">
        <w:t xml:space="preserve">. </w:t>
      </w:r>
      <w:r w:rsidR="009A3772" w:rsidRPr="00830205">
        <w:t>The harmonisation on a European basis support</w:t>
      </w:r>
      <w:r w:rsidR="007706F8" w:rsidRPr="00830205">
        <w:t>s</w:t>
      </w:r>
      <w:r w:rsidR="009A3772" w:rsidRPr="00830205">
        <w:t xml:space="preserve"> the </w:t>
      </w:r>
      <w:r w:rsidR="007706F8" w:rsidRPr="00830205">
        <w:t xml:space="preserve">Radio Equipment </w:t>
      </w:r>
      <w:r w:rsidR="009A3772" w:rsidRPr="00830205">
        <w:t xml:space="preserve">Directive </w:t>
      </w:r>
      <w:r w:rsidR="007706F8" w:rsidRPr="00830205">
        <w:t>2014/53/EU</w:t>
      </w:r>
      <w:r w:rsidR="009A3772" w:rsidRPr="00830205">
        <w:t>.</w:t>
      </w:r>
    </w:p>
    <w:p w:rsidR="001F5C30" w:rsidRPr="00830205" w:rsidRDefault="001F5C30" w:rsidP="007334D9">
      <w:pPr>
        <w:pStyle w:val="ECCParagraph"/>
      </w:pPr>
      <w:r w:rsidRPr="00830205">
        <w:t>When radio equipment is subject to an exemption from individual licensing, anyone can use the equipment without requiring individual permission from the Administration. Furthermore, the Administration will not register the individual equipment. The use of the equipment can be subject to general provisions or general licence.</w:t>
      </w:r>
    </w:p>
    <w:p w:rsidR="001F5C30" w:rsidRPr="00830205" w:rsidRDefault="001F5C30" w:rsidP="007334D9">
      <w:pPr>
        <w:pStyle w:val="ECCParagraph"/>
      </w:pPr>
      <w:r w:rsidRPr="00830205">
        <w:t xml:space="preserve">Within countries which have implemented the </w:t>
      </w:r>
      <w:r w:rsidR="007706F8" w:rsidRPr="00830205">
        <w:t>Radio Equipment</w:t>
      </w:r>
      <w:r w:rsidRPr="00830205">
        <w:t xml:space="preserve"> Directive the conformity assessment, placing on the market</w:t>
      </w:r>
      <w:r w:rsidR="00A55878" w:rsidRPr="00830205">
        <w:t>,</w:t>
      </w:r>
      <w:r w:rsidRPr="00830205">
        <w:t xml:space="preserve"> and putting into service of </w:t>
      </w:r>
      <w:r w:rsidR="00841FD0" w:rsidRPr="00830205">
        <w:t>equipment is</w:t>
      </w:r>
      <w:r w:rsidRPr="00830205">
        <w:t xml:space="preserve"> governed by </w:t>
      </w:r>
      <w:r w:rsidR="007706F8" w:rsidRPr="00830205">
        <w:t xml:space="preserve">the </w:t>
      </w:r>
      <w:r w:rsidRPr="00830205">
        <w:t>Directive. Thus this E</w:t>
      </w:r>
      <w:r w:rsidR="00BD3362">
        <w:t>R</w:t>
      </w:r>
      <w:r w:rsidRPr="00830205">
        <w:t>C Decision can not impede EEA countries and countries which have implemented the Directive from fulfilling their obligations according to Community law.</w:t>
      </w:r>
    </w:p>
    <w:p w:rsidR="001F5C30" w:rsidRPr="00830205" w:rsidRDefault="001F5C30" w:rsidP="007334D9">
      <w:pPr>
        <w:pStyle w:val="ECCParagraph"/>
      </w:pPr>
      <w:r w:rsidRPr="00830205">
        <w:t xml:space="preserve">This Decision describes the spectrum management requirements for and intends to provide for individual licence exemption for </w:t>
      </w:r>
      <w:r w:rsidR="00056920" w:rsidRPr="00830205">
        <w:t>ULP-AMI communication systems</w:t>
      </w:r>
      <w:r w:rsidRPr="00830205">
        <w:t xml:space="preserve">. </w:t>
      </w:r>
    </w:p>
    <w:p w:rsidR="001F5C30" w:rsidRPr="00830205" w:rsidRDefault="001F5C30" w:rsidP="007334D9">
      <w:pPr>
        <w:pStyle w:val="Heading2"/>
        <w:ind w:left="426" w:hanging="426"/>
        <w:rPr>
          <w:lang w:val="en-GB"/>
        </w:rPr>
      </w:pPr>
      <w:r w:rsidRPr="00830205">
        <w:rPr>
          <w:lang w:val="en-GB"/>
        </w:rPr>
        <w:br w:type="page"/>
      </w:r>
      <w:r w:rsidRPr="00830205">
        <w:rPr>
          <w:lang w:val="en-GB"/>
        </w:rPr>
        <w:lastRenderedPageBreak/>
        <w:t>REQUIREMENTS FOR AN ERC DECISION</w:t>
      </w:r>
    </w:p>
    <w:p w:rsidR="001F5C30" w:rsidRPr="00830205" w:rsidRDefault="001F5C30" w:rsidP="007334D9">
      <w:pPr>
        <w:pStyle w:val="ECCParagraph"/>
      </w:pPr>
      <w:r w:rsidRPr="00830205">
        <w:t>The allocation or designation of frequencies for use by a service or system under specified conditions in CEPT member countries is laid down by law, regulation or administrative action. The E</w:t>
      </w:r>
      <w:r w:rsidR="006948A7" w:rsidRPr="00830205">
        <w:t>C</w:t>
      </w:r>
      <w:r w:rsidRPr="00830205">
        <w:t xml:space="preserve">C recognises that for </w:t>
      </w:r>
      <w:r w:rsidR="00CF50BA" w:rsidRPr="00830205">
        <w:t>ULP-AMI communication systems</w:t>
      </w:r>
      <w:r w:rsidRPr="00830205">
        <w:t xml:space="preserve"> to pursue their successful development throughout Europe, manufacturers must be encouraged to make the necessary investments in these systems. It is therefore considered necessary to designate frequency bands within which </w:t>
      </w:r>
      <w:r w:rsidR="00750F11" w:rsidRPr="00830205">
        <w:t>ULP-AMI communication systems</w:t>
      </w:r>
      <w:r w:rsidRPr="00830205">
        <w:t xml:space="preserve"> can be operated under specified conditions.</w:t>
      </w:r>
      <w:r w:rsidR="00E45680" w:rsidRPr="00830205">
        <w:t xml:space="preserve"> Consistently with recommendation ITU-R RS.1346, this E</w:t>
      </w:r>
      <w:r w:rsidR="00EC4DF6" w:rsidRPr="00830205">
        <w:t>R</w:t>
      </w:r>
      <w:r w:rsidR="00E45680" w:rsidRPr="00830205">
        <w:t>C Decision hence proposes to authorise ULP-AMI in the 401-406 MHz</w:t>
      </w:r>
      <w:r w:rsidR="002417B0" w:rsidRPr="00830205">
        <w:t xml:space="preserve"> </w:t>
      </w:r>
      <w:r w:rsidR="00F77687" w:rsidRPr="00830205">
        <w:t xml:space="preserve">under the secondary mobile service. Such an allocation presents both advantages to, on the one hand, maintaining the non-protected/non-interference status of ULP-AMI to and from primary radio </w:t>
      </w:r>
      <w:r w:rsidR="00BA26AD" w:rsidRPr="00830205">
        <w:t xml:space="preserve">services in this band and, on the other hand, </w:t>
      </w:r>
      <w:r w:rsidR="00BA26AD" w:rsidRPr="00830205">
        <w:rPr>
          <w:bCs/>
        </w:rPr>
        <w:t>grant</w:t>
      </w:r>
      <w:r w:rsidR="00F748F8" w:rsidRPr="00830205">
        <w:rPr>
          <w:bCs/>
        </w:rPr>
        <w:t xml:space="preserve"> a status which confers </w:t>
      </w:r>
      <w:r w:rsidR="00EC4DF6" w:rsidRPr="00830205">
        <w:rPr>
          <w:bCs/>
        </w:rPr>
        <w:t xml:space="preserve">to ULP-AMI </w:t>
      </w:r>
      <w:r w:rsidR="00F748F8" w:rsidRPr="00830205">
        <w:rPr>
          <w:bCs/>
        </w:rPr>
        <w:t xml:space="preserve">a protection </w:t>
      </w:r>
      <w:r w:rsidR="00EC4DF6" w:rsidRPr="00830205">
        <w:rPr>
          <w:bCs/>
        </w:rPr>
        <w:t>from</w:t>
      </w:r>
      <w:r w:rsidR="00F748F8" w:rsidRPr="00830205">
        <w:rPr>
          <w:bCs/>
        </w:rPr>
        <w:t xml:space="preserve"> SRD </w:t>
      </w:r>
      <w:proofErr w:type="spellStart"/>
      <w:r w:rsidR="00F748F8" w:rsidRPr="00830205">
        <w:rPr>
          <w:bCs/>
        </w:rPr>
        <w:t>equipments</w:t>
      </w:r>
      <w:proofErr w:type="spellEnd"/>
      <w:r w:rsidR="00F748F8" w:rsidRPr="00830205">
        <w:rPr>
          <w:bCs/>
        </w:rPr>
        <w:t>.</w:t>
      </w:r>
    </w:p>
    <w:p w:rsidR="007334D9" w:rsidRPr="00830205" w:rsidRDefault="001F5C30" w:rsidP="007334D9">
      <w:pPr>
        <w:pStyle w:val="ECCParagraph"/>
        <w:rPr>
          <w:b/>
        </w:rPr>
      </w:pPr>
      <w:r w:rsidRPr="00830205">
        <w:t xml:space="preserve">ERC/REC 01-07, adopted in 1995, listed harmonised criteria for the </w:t>
      </w:r>
      <w:r w:rsidR="00AA7BBA" w:rsidRPr="00830205">
        <w:t>a</w:t>
      </w:r>
      <w:r w:rsidRPr="00830205">
        <w:t xml:space="preserve">dministrations to decide whether an exemption from individual licence should be applied. The aim of this Decision is also to exempt </w:t>
      </w:r>
      <w:r w:rsidR="006376D8" w:rsidRPr="00830205">
        <w:t>ULP-AMI communication systems</w:t>
      </w:r>
      <w:r w:rsidRPr="00830205">
        <w:t xml:space="preserve"> from individual licensing as they fulfil </w:t>
      </w:r>
      <w:r w:rsidR="0009137D" w:rsidRPr="00830205">
        <w:t xml:space="preserve">all </w:t>
      </w:r>
      <w:r w:rsidRPr="00830205">
        <w:t>the criteria for exemption listed in ERC/REC 01-07.</w:t>
      </w:r>
    </w:p>
    <w:p w:rsidR="001F5C30" w:rsidRPr="00830205" w:rsidRDefault="001F5C30" w:rsidP="007334D9">
      <w:pPr>
        <w:pStyle w:val="Heading1"/>
        <w:pageBreakBefore/>
        <w:widowControl/>
        <w:spacing w:before="400"/>
        <w:rPr>
          <w:rFonts w:ascii="Arial" w:hAnsi="Arial" w:cs="Arial"/>
          <w:bCs/>
          <w:caps/>
          <w:snapToGrid/>
          <w:color w:val="D2232A"/>
          <w:kern w:val="32"/>
          <w:szCs w:val="32"/>
        </w:rPr>
      </w:pPr>
      <w:r w:rsidRPr="00830205">
        <w:rPr>
          <w:rFonts w:ascii="Arial" w:hAnsi="Arial" w:cs="Arial"/>
          <w:bCs/>
          <w:caps/>
          <w:snapToGrid/>
          <w:color w:val="D2232A"/>
          <w:kern w:val="32"/>
          <w:szCs w:val="32"/>
        </w:rPr>
        <w:lastRenderedPageBreak/>
        <w:t>ERC Decision</w:t>
      </w:r>
      <w:r w:rsidR="007334D9" w:rsidRPr="00830205">
        <w:rPr>
          <w:rFonts w:ascii="Arial" w:hAnsi="Arial" w:cs="Arial"/>
          <w:bCs/>
          <w:caps/>
          <w:snapToGrid/>
          <w:color w:val="D2232A"/>
          <w:kern w:val="32"/>
          <w:szCs w:val="32"/>
        </w:rPr>
        <w:t xml:space="preserve"> </w:t>
      </w:r>
      <w:r w:rsidRPr="00830205">
        <w:rPr>
          <w:rFonts w:ascii="Arial" w:hAnsi="Arial" w:cs="Arial"/>
          <w:bCs/>
          <w:caps/>
          <w:snapToGrid/>
          <w:color w:val="D2232A"/>
          <w:kern w:val="32"/>
          <w:szCs w:val="32"/>
        </w:rPr>
        <w:t>of 12 March 2001</w:t>
      </w:r>
      <w:r w:rsidR="007334D9" w:rsidRPr="00830205">
        <w:rPr>
          <w:rFonts w:ascii="Arial" w:hAnsi="Arial" w:cs="Arial"/>
          <w:bCs/>
          <w:caps/>
          <w:snapToGrid/>
          <w:color w:val="D2232A"/>
          <w:kern w:val="32"/>
          <w:szCs w:val="32"/>
        </w:rPr>
        <w:t xml:space="preserve"> </w:t>
      </w:r>
      <w:r w:rsidRPr="00830205">
        <w:rPr>
          <w:rFonts w:ascii="Arial" w:hAnsi="Arial" w:cs="Arial"/>
          <w:bCs/>
          <w:caps/>
          <w:snapToGrid/>
          <w:color w:val="D2232A"/>
          <w:kern w:val="32"/>
          <w:szCs w:val="32"/>
        </w:rPr>
        <w:t xml:space="preserve">on harmonised frequencies, technical characteristics and exemption from individual licensing of </w:t>
      </w:r>
      <w:r w:rsidR="00F72BB2" w:rsidRPr="00830205">
        <w:rPr>
          <w:rFonts w:ascii="Arial" w:hAnsi="Arial" w:cs="Arial"/>
          <w:bCs/>
          <w:caps/>
          <w:snapToGrid/>
          <w:color w:val="D2232A"/>
          <w:kern w:val="32"/>
          <w:szCs w:val="32"/>
        </w:rPr>
        <w:t>ULP-AMI communication systems</w:t>
      </w:r>
      <w:r w:rsidRPr="00830205">
        <w:rPr>
          <w:rFonts w:ascii="Arial" w:hAnsi="Arial" w:cs="Arial"/>
          <w:bCs/>
          <w:caps/>
          <w:snapToGrid/>
          <w:color w:val="D2232A"/>
          <w:kern w:val="32"/>
          <w:szCs w:val="32"/>
        </w:rPr>
        <w:t xml:space="preserve"> operating in the frequency band 40</w:t>
      </w:r>
      <w:r w:rsidR="0009669E" w:rsidRPr="00830205">
        <w:rPr>
          <w:rFonts w:ascii="Arial" w:hAnsi="Arial" w:cs="Arial"/>
          <w:bCs/>
          <w:caps/>
          <w:snapToGrid/>
          <w:color w:val="D2232A"/>
          <w:kern w:val="32"/>
          <w:szCs w:val="32"/>
        </w:rPr>
        <w:t>1</w:t>
      </w:r>
      <w:r w:rsidRPr="00830205">
        <w:rPr>
          <w:rFonts w:ascii="Arial" w:hAnsi="Arial" w:cs="Arial"/>
          <w:bCs/>
          <w:caps/>
          <w:snapToGrid/>
          <w:color w:val="D2232A"/>
          <w:kern w:val="32"/>
          <w:szCs w:val="32"/>
        </w:rPr>
        <w:t>-40</w:t>
      </w:r>
      <w:r w:rsidR="0009669E" w:rsidRPr="00830205">
        <w:rPr>
          <w:rFonts w:ascii="Arial" w:hAnsi="Arial" w:cs="Arial"/>
          <w:bCs/>
          <w:caps/>
          <w:snapToGrid/>
          <w:color w:val="D2232A"/>
          <w:kern w:val="32"/>
          <w:szCs w:val="32"/>
        </w:rPr>
        <w:t>6</w:t>
      </w:r>
      <w:r w:rsidRPr="00830205">
        <w:rPr>
          <w:rFonts w:ascii="Arial" w:hAnsi="Arial" w:cs="Arial"/>
          <w:bCs/>
          <w:caps/>
          <w:snapToGrid/>
          <w:color w:val="D2232A"/>
          <w:kern w:val="32"/>
          <w:szCs w:val="32"/>
        </w:rPr>
        <w:t xml:space="preserve"> MH</w:t>
      </w:r>
      <w:r w:rsidR="00394B64" w:rsidRPr="00830205">
        <w:rPr>
          <w:rFonts w:ascii="Arial" w:hAnsi="Arial" w:cs="Arial"/>
          <w:bCs/>
          <w:snapToGrid/>
          <w:color w:val="D2232A"/>
          <w:kern w:val="32"/>
          <w:szCs w:val="32"/>
        </w:rPr>
        <w:t>z</w:t>
      </w:r>
      <w:r w:rsidR="00F80B73" w:rsidRPr="00830205">
        <w:rPr>
          <w:rFonts w:ascii="Arial" w:hAnsi="Arial" w:cs="Arial"/>
          <w:bCs/>
          <w:caps/>
          <w:snapToGrid/>
          <w:color w:val="D2232A"/>
          <w:kern w:val="32"/>
          <w:szCs w:val="32"/>
        </w:rPr>
        <w:t xml:space="preserve"> on a secondary </w:t>
      </w:r>
      <w:r w:rsidR="00430C1C" w:rsidRPr="00830205">
        <w:rPr>
          <w:rFonts w:ascii="Arial" w:hAnsi="Arial" w:cs="Arial"/>
          <w:bCs/>
          <w:caps/>
          <w:snapToGrid/>
          <w:color w:val="D2232A"/>
          <w:kern w:val="32"/>
          <w:szCs w:val="32"/>
        </w:rPr>
        <w:t>basis</w:t>
      </w:r>
      <w:r w:rsidR="007334D9" w:rsidRPr="00830205">
        <w:rPr>
          <w:rFonts w:ascii="Arial" w:hAnsi="Arial" w:cs="Arial"/>
          <w:bCs/>
          <w:caps/>
          <w:snapToGrid/>
          <w:color w:val="D2232A"/>
          <w:kern w:val="32"/>
          <w:szCs w:val="32"/>
        </w:rPr>
        <w:t xml:space="preserve"> </w:t>
      </w:r>
      <w:r w:rsidRPr="00830205">
        <w:rPr>
          <w:rFonts w:ascii="Arial" w:hAnsi="Arial" w:cs="Arial"/>
          <w:bCs/>
          <w:caps/>
          <w:snapToGrid/>
          <w:color w:val="D2232A"/>
          <w:kern w:val="32"/>
          <w:szCs w:val="32"/>
        </w:rPr>
        <w:t>(ERC/DEC/(01)17)</w:t>
      </w:r>
      <w:r w:rsidR="007706F8" w:rsidRPr="00830205">
        <w:rPr>
          <w:rFonts w:ascii="Arial" w:hAnsi="Arial" w:cs="Arial"/>
          <w:bCs/>
          <w:caps/>
          <w:snapToGrid/>
          <w:color w:val="D2232A"/>
          <w:kern w:val="32"/>
          <w:szCs w:val="32"/>
        </w:rPr>
        <w:t xml:space="preserve"> Amended on 9</w:t>
      </w:r>
      <w:r w:rsidR="009E4665">
        <w:rPr>
          <w:rFonts w:ascii="Arial" w:hAnsi="Arial" w:cs="Arial"/>
          <w:bCs/>
          <w:caps/>
          <w:snapToGrid/>
          <w:color w:val="D2232A"/>
          <w:kern w:val="32"/>
          <w:szCs w:val="32"/>
        </w:rPr>
        <w:t xml:space="preserve"> </w:t>
      </w:r>
      <w:r w:rsidR="007706F8" w:rsidRPr="00830205">
        <w:rPr>
          <w:rFonts w:ascii="Arial" w:hAnsi="Arial" w:cs="Arial"/>
          <w:bCs/>
          <w:caps/>
          <w:snapToGrid/>
          <w:color w:val="D2232A"/>
          <w:kern w:val="32"/>
          <w:szCs w:val="32"/>
        </w:rPr>
        <w:t xml:space="preserve">december 2011 and updated on </w:t>
      </w:r>
      <w:r w:rsidR="00BD3362">
        <w:rPr>
          <w:rFonts w:ascii="Arial" w:hAnsi="Arial" w:cs="Arial"/>
          <w:bCs/>
          <w:caps/>
          <w:snapToGrid/>
          <w:color w:val="D2232A"/>
          <w:kern w:val="32"/>
          <w:szCs w:val="32"/>
        </w:rPr>
        <w:t>17 NOVEMBER 2017</w:t>
      </w:r>
      <w:r w:rsidR="009E4665">
        <w:rPr>
          <w:rFonts w:ascii="Arial" w:hAnsi="Arial" w:cs="Arial"/>
          <w:bCs/>
          <w:caps/>
          <w:snapToGrid/>
          <w:color w:val="D2232A"/>
          <w:kern w:val="32"/>
          <w:szCs w:val="32"/>
        </w:rPr>
        <w:t xml:space="preserve"> </w:t>
      </w:r>
      <w:r w:rsidR="00F97F72" w:rsidRPr="00830205">
        <w:rPr>
          <w:rFonts w:ascii="Arial" w:hAnsi="Arial" w:cs="Arial"/>
          <w:bCs/>
          <w:caps/>
          <w:snapToGrid/>
          <w:color w:val="D2232A"/>
          <w:kern w:val="32"/>
          <w:szCs w:val="32"/>
        </w:rPr>
        <w:t xml:space="preserve"> </w:t>
      </w:r>
    </w:p>
    <w:p w:rsidR="001F5C30" w:rsidRPr="00830205" w:rsidRDefault="001F5C30" w:rsidP="007334D9">
      <w:pPr>
        <w:pStyle w:val="ECCParagraph"/>
      </w:pPr>
      <w:r w:rsidRPr="00830205">
        <w:t>"The European Conference of Postal and Telecommunications Administrations,</w:t>
      </w:r>
    </w:p>
    <w:p w:rsidR="001F5C30" w:rsidRPr="00830205" w:rsidRDefault="001F5C30" w:rsidP="007334D9">
      <w:pPr>
        <w:pStyle w:val="ECCParagraph"/>
        <w:rPr>
          <w:i/>
          <w:color w:val="D2232A"/>
        </w:rPr>
      </w:pPr>
      <w:proofErr w:type="gramStart"/>
      <w:r w:rsidRPr="00830205">
        <w:rPr>
          <w:i/>
          <w:color w:val="D2232A"/>
        </w:rPr>
        <w:t>considering</w:t>
      </w:r>
      <w:proofErr w:type="gramEnd"/>
    </w:p>
    <w:p w:rsidR="00D92CAC" w:rsidRPr="00830205" w:rsidRDefault="00455689" w:rsidP="00394B64">
      <w:pPr>
        <w:pStyle w:val="ListParagraph"/>
        <w:jc w:val="both"/>
        <w:rPr>
          <w:lang w:val="en-GB"/>
        </w:rPr>
      </w:pPr>
      <w:r w:rsidRPr="00830205">
        <w:rPr>
          <w:lang w:val="en-GB"/>
        </w:rPr>
        <w:t xml:space="preserve">that ULP-AMI </w:t>
      </w:r>
      <w:r w:rsidR="00E4563E" w:rsidRPr="00830205">
        <w:rPr>
          <w:lang w:val="en-GB"/>
        </w:rPr>
        <w:t xml:space="preserve">communication systems </w:t>
      </w:r>
      <w:r w:rsidRPr="00830205">
        <w:rPr>
          <w:lang w:val="en-GB"/>
        </w:rPr>
        <w:t>represent the radio part of Active Implantable Medical Device</w:t>
      </w:r>
      <w:r w:rsidR="00E4563E" w:rsidRPr="00830205">
        <w:rPr>
          <w:lang w:val="en-GB"/>
        </w:rPr>
        <w:t>s</w:t>
      </w:r>
      <w:r w:rsidRPr="00830205">
        <w:rPr>
          <w:lang w:val="en-GB"/>
        </w:rPr>
        <w:t xml:space="preserve"> (AIMD</w:t>
      </w:r>
      <w:r w:rsidR="00E4563E" w:rsidRPr="00830205">
        <w:rPr>
          <w:lang w:val="en-GB"/>
        </w:rPr>
        <w:t>s</w:t>
      </w:r>
      <w:r w:rsidRPr="00830205">
        <w:rPr>
          <w:lang w:val="en-GB"/>
        </w:rPr>
        <w:t>)</w:t>
      </w:r>
      <w:r w:rsidR="00E4563E" w:rsidRPr="00830205">
        <w:rPr>
          <w:lang w:val="en-GB"/>
        </w:rPr>
        <w:t>,</w:t>
      </w:r>
      <w:r w:rsidRPr="00830205">
        <w:rPr>
          <w:lang w:val="en-GB"/>
        </w:rPr>
        <w:t xml:space="preserve"> </w:t>
      </w:r>
      <w:r w:rsidR="00E4563E" w:rsidRPr="00830205">
        <w:rPr>
          <w:lang w:val="en-GB"/>
        </w:rPr>
        <w:t xml:space="preserve">one </w:t>
      </w:r>
      <w:r w:rsidR="00054D9D" w:rsidRPr="00830205">
        <w:rPr>
          <w:lang w:val="en-GB"/>
        </w:rPr>
        <w:t xml:space="preserve">or more </w:t>
      </w:r>
      <w:r w:rsidR="00E4563E" w:rsidRPr="00830205">
        <w:rPr>
          <w:lang w:val="en-GB"/>
        </w:rPr>
        <w:t xml:space="preserve">of </w:t>
      </w:r>
      <w:r w:rsidRPr="00830205">
        <w:rPr>
          <w:lang w:val="en-GB"/>
        </w:rPr>
        <w:t xml:space="preserve">which is </w:t>
      </w:r>
      <w:r w:rsidR="00E4563E" w:rsidRPr="00830205">
        <w:rPr>
          <w:lang w:val="en-GB"/>
        </w:rPr>
        <w:t xml:space="preserve">implanted </w:t>
      </w:r>
      <w:r w:rsidRPr="00830205">
        <w:rPr>
          <w:lang w:val="en-GB"/>
        </w:rPr>
        <w:t>into the human body</w:t>
      </w:r>
      <w:r w:rsidR="00E4563E" w:rsidRPr="00830205">
        <w:rPr>
          <w:lang w:val="en-GB"/>
        </w:rPr>
        <w:t>, used for transferring individual patient-related physiological information</w:t>
      </w:r>
      <w:r w:rsidR="001F5C30" w:rsidRPr="00830205">
        <w:rPr>
          <w:lang w:val="en-GB"/>
        </w:rPr>
        <w:t>;</w:t>
      </w:r>
    </w:p>
    <w:p w:rsidR="001F5C30" w:rsidRPr="00830205" w:rsidRDefault="0099371B" w:rsidP="00394B64">
      <w:pPr>
        <w:pStyle w:val="ListParagraph"/>
        <w:jc w:val="both"/>
        <w:rPr>
          <w:lang w:val="en-GB"/>
        </w:rPr>
      </w:pPr>
      <w:r w:rsidRPr="00830205">
        <w:rPr>
          <w:lang w:val="en-GB"/>
        </w:rPr>
        <w:t>t</w:t>
      </w:r>
      <w:r w:rsidR="00DD3ACB" w:rsidRPr="00830205">
        <w:rPr>
          <w:lang w:val="en-GB"/>
        </w:rPr>
        <w:t xml:space="preserve">hat the ITU-R, in adopting ITU-R </w:t>
      </w:r>
      <w:r w:rsidR="00054D9D" w:rsidRPr="00830205">
        <w:rPr>
          <w:lang w:val="en-GB"/>
        </w:rPr>
        <w:t>Rec</w:t>
      </w:r>
      <w:r w:rsidR="004101BB" w:rsidRPr="00830205">
        <w:rPr>
          <w:lang w:val="en-GB"/>
        </w:rPr>
        <w:t>ommendation</w:t>
      </w:r>
      <w:r w:rsidR="00054D9D" w:rsidRPr="00830205">
        <w:rPr>
          <w:lang w:val="en-GB"/>
        </w:rPr>
        <w:t xml:space="preserve"> </w:t>
      </w:r>
      <w:r w:rsidR="00DD3ACB" w:rsidRPr="00830205">
        <w:rPr>
          <w:lang w:val="en-GB"/>
        </w:rPr>
        <w:t>RS</w:t>
      </w:r>
      <w:r w:rsidR="004101BB" w:rsidRPr="00830205">
        <w:rPr>
          <w:lang w:val="en-GB"/>
        </w:rPr>
        <w:t>.</w:t>
      </w:r>
      <w:r w:rsidR="00DD3ACB" w:rsidRPr="00830205">
        <w:rPr>
          <w:lang w:val="en-GB"/>
        </w:rPr>
        <w:t xml:space="preserve">1346, considered Medical Implant Communication Systems to require a band </w:t>
      </w:r>
      <w:r w:rsidR="00054D9D" w:rsidRPr="00830205">
        <w:rPr>
          <w:lang w:val="en-GB"/>
        </w:rPr>
        <w:t xml:space="preserve">that is </w:t>
      </w:r>
      <w:r w:rsidR="00DD3ACB" w:rsidRPr="00830205">
        <w:rPr>
          <w:lang w:val="en-GB"/>
        </w:rPr>
        <w:t>available worldwide, and may operate in the mobile service currently allocated on a secondary basis in the band 401</w:t>
      </w:r>
      <w:r w:rsidR="00F37C98" w:rsidRPr="00830205">
        <w:rPr>
          <w:lang w:val="en-GB"/>
        </w:rPr>
        <w:t>-</w:t>
      </w:r>
      <w:r w:rsidR="00DD3ACB" w:rsidRPr="00830205">
        <w:rPr>
          <w:lang w:val="en-GB"/>
        </w:rPr>
        <w:t>406 MHz</w:t>
      </w:r>
      <w:r w:rsidR="001F5C30" w:rsidRPr="00830205">
        <w:rPr>
          <w:lang w:val="en-GB"/>
        </w:rPr>
        <w:t>;</w:t>
      </w:r>
    </w:p>
    <w:p w:rsidR="001F5C30" w:rsidRPr="00830205" w:rsidRDefault="00EA78EF" w:rsidP="00394B64">
      <w:pPr>
        <w:pStyle w:val="ListParagraph"/>
        <w:jc w:val="both"/>
        <w:rPr>
          <w:lang w:val="en-GB"/>
        </w:rPr>
      </w:pPr>
      <w:r w:rsidRPr="00830205">
        <w:rPr>
          <w:lang w:val="en-GB"/>
        </w:rPr>
        <w:t>that there is an industry requirement for designation of frequency spectrum within the band 401-406 MHz for harmonised implementation and deployment of Ultra Low Power Active Medical Implant (ULP-AMI) communication systems</w:t>
      </w:r>
      <w:r w:rsidR="001F5C30" w:rsidRPr="00830205">
        <w:rPr>
          <w:lang w:val="en-GB"/>
        </w:rPr>
        <w:t>;</w:t>
      </w:r>
    </w:p>
    <w:p w:rsidR="001F5C30" w:rsidRPr="00830205" w:rsidRDefault="00503DB2" w:rsidP="00394B64">
      <w:pPr>
        <w:pStyle w:val="ListParagraph"/>
        <w:jc w:val="both"/>
        <w:rPr>
          <w:lang w:val="en-GB"/>
        </w:rPr>
      </w:pPr>
      <w:r w:rsidRPr="00830205">
        <w:rPr>
          <w:lang w:val="en-GB"/>
        </w:rPr>
        <w:t xml:space="preserve">that the frequency band 401-406 MHz is allocated to the Meteorological Aids Service </w:t>
      </w:r>
      <w:r w:rsidR="00E4563E" w:rsidRPr="00830205">
        <w:rPr>
          <w:lang w:val="en-GB"/>
        </w:rPr>
        <w:t>on a</w:t>
      </w:r>
      <w:r w:rsidR="00337CC1" w:rsidRPr="00830205">
        <w:rPr>
          <w:lang w:val="en-GB"/>
        </w:rPr>
        <w:t xml:space="preserve"> primary basis</w:t>
      </w:r>
      <w:r w:rsidRPr="00830205">
        <w:rPr>
          <w:lang w:val="en-GB"/>
        </w:rPr>
        <w:t xml:space="preserve"> </w:t>
      </w:r>
      <w:r w:rsidR="00337CC1" w:rsidRPr="00830205">
        <w:rPr>
          <w:lang w:val="en-GB"/>
        </w:rPr>
        <w:t>and t</w:t>
      </w:r>
      <w:r w:rsidRPr="00830205">
        <w:rPr>
          <w:lang w:val="en-GB"/>
        </w:rPr>
        <w:t xml:space="preserve">he band 401-403 to </w:t>
      </w:r>
      <w:r w:rsidR="00BB7B56" w:rsidRPr="00830205">
        <w:rPr>
          <w:lang w:val="en-GB"/>
        </w:rPr>
        <w:t>Earth</w:t>
      </w:r>
      <w:r w:rsidR="00EC4DF6" w:rsidRPr="00830205">
        <w:rPr>
          <w:lang w:val="en-GB"/>
        </w:rPr>
        <w:t>-to-space</w:t>
      </w:r>
      <w:r w:rsidRPr="00830205">
        <w:rPr>
          <w:lang w:val="en-GB"/>
        </w:rPr>
        <w:t xml:space="preserve"> operation</w:t>
      </w:r>
      <w:r w:rsidR="00BB7B56" w:rsidRPr="00830205">
        <w:rPr>
          <w:lang w:val="en-GB"/>
        </w:rPr>
        <w:t xml:space="preserve"> in the Earth E</w:t>
      </w:r>
      <w:r w:rsidRPr="00830205">
        <w:rPr>
          <w:lang w:val="en-GB"/>
        </w:rPr>
        <w:t>xploration</w:t>
      </w:r>
      <w:r w:rsidR="00EC4DF6" w:rsidRPr="00830205">
        <w:rPr>
          <w:lang w:val="en-GB"/>
        </w:rPr>
        <w:t xml:space="preserve"> </w:t>
      </w:r>
      <w:r w:rsidR="00BB7B56" w:rsidRPr="00830205">
        <w:rPr>
          <w:lang w:val="en-GB"/>
        </w:rPr>
        <w:t>and</w:t>
      </w:r>
      <w:r w:rsidRPr="00830205">
        <w:rPr>
          <w:lang w:val="en-GB"/>
        </w:rPr>
        <w:t xml:space="preserve"> Meteorological Satellite </w:t>
      </w:r>
      <w:r w:rsidR="00EC4DF6" w:rsidRPr="00830205">
        <w:rPr>
          <w:lang w:val="en-GB"/>
        </w:rPr>
        <w:t>S</w:t>
      </w:r>
      <w:r w:rsidR="00BB7B56" w:rsidRPr="00830205">
        <w:rPr>
          <w:lang w:val="en-GB"/>
        </w:rPr>
        <w:t xml:space="preserve">ervices </w:t>
      </w:r>
      <w:r w:rsidRPr="00830205">
        <w:rPr>
          <w:lang w:val="en-GB"/>
        </w:rPr>
        <w:t>on a primary basis in all regions of ITU and in the European Common Allocation table</w:t>
      </w:r>
      <w:r w:rsidR="001F5C30" w:rsidRPr="00830205">
        <w:rPr>
          <w:lang w:val="en-GB"/>
        </w:rPr>
        <w:t>;</w:t>
      </w:r>
    </w:p>
    <w:p w:rsidR="00503DB2" w:rsidRPr="00830205" w:rsidRDefault="00503DB2" w:rsidP="00394B64">
      <w:pPr>
        <w:pStyle w:val="ListParagraph"/>
        <w:jc w:val="both"/>
        <w:rPr>
          <w:lang w:val="en-GB"/>
        </w:rPr>
      </w:pPr>
      <w:r w:rsidRPr="00830205">
        <w:rPr>
          <w:lang w:val="en-GB"/>
        </w:rPr>
        <w:t xml:space="preserve">that consistent with </w:t>
      </w:r>
      <w:r w:rsidR="00BD3362">
        <w:rPr>
          <w:lang w:val="en-GB"/>
        </w:rPr>
        <w:t>R</w:t>
      </w:r>
      <w:r w:rsidRPr="00830205">
        <w:rPr>
          <w:lang w:val="en-GB"/>
        </w:rPr>
        <w:t>ecommendation ITU-R RS.1346, ULP-AMI communication systems operate in the mobile service in the band 401-406 MHz</w:t>
      </w:r>
      <w:r w:rsidR="001F5C30" w:rsidRPr="00830205">
        <w:rPr>
          <w:lang w:val="en-GB"/>
        </w:rPr>
        <w:t>;</w:t>
      </w:r>
    </w:p>
    <w:p w:rsidR="001F5C30" w:rsidRPr="00830205" w:rsidRDefault="00CA752C" w:rsidP="00394B64">
      <w:pPr>
        <w:pStyle w:val="ListParagraph"/>
        <w:jc w:val="both"/>
        <w:rPr>
          <w:lang w:val="en-GB"/>
        </w:rPr>
      </w:pPr>
      <w:r w:rsidRPr="00830205">
        <w:rPr>
          <w:lang w:val="en-GB"/>
        </w:rPr>
        <w:t xml:space="preserve">that, pursuant </w:t>
      </w:r>
      <w:r w:rsidR="00337CC1" w:rsidRPr="00830205">
        <w:rPr>
          <w:lang w:val="en-GB"/>
        </w:rPr>
        <w:t xml:space="preserve">to </w:t>
      </w:r>
      <w:r w:rsidRPr="00830205">
        <w:rPr>
          <w:lang w:val="en-GB"/>
        </w:rPr>
        <w:t>considering</w:t>
      </w:r>
      <w:r w:rsidR="00337CC1" w:rsidRPr="00830205">
        <w:rPr>
          <w:lang w:val="en-GB"/>
        </w:rPr>
        <w:t>s</w:t>
      </w:r>
      <w:r w:rsidRPr="00830205">
        <w:rPr>
          <w:lang w:val="en-GB"/>
        </w:rPr>
        <w:t xml:space="preserve"> </w:t>
      </w:r>
      <w:r w:rsidR="00E4563E" w:rsidRPr="00830205">
        <w:rPr>
          <w:lang w:val="en-GB"/>
        </w:rPr>
        <w:t>d</w:t>
      </w:r>
      <w:r w:rsidR="00A81DE7" w:rsidRPr="00830205">
        <w:rPr>
          <w:lang w:val="en-GB"/>
        </w:rPr>
        <w:t>)</w:t>
      </w:r>
      <w:r w:rsidR="00983377" w:rsidRPr="00830205">
        <w:rPr>
          <w:lang w:val="en-GB"/>
        </w:rPr>
        <w:t xml:space="preserve"> and </w:t>
      </w:r>
      <w:r w:rsidR="00E4563E" w:rsidRPr="00830205">
        <w:rPr>
          <w:lang w:val="en-GB"/>
        </w:rPr>
        <w:t>e</w:t>
      </w:r>
      <w:r w:rsidR="00A81DE7" w:rsidRPr="00830205">
        <w:rPr>
          <w:lang w:val="en-GB"/>
        </w:rPr>
        <w:t>)</w:t>
      </w:r>
      <w:r w:rsidRPr="00830205">
        <w:rPr>
          <w:lang w:val="en-GB"/>
        </w:rPr>
        <w:t>, ULP-AMI communication systems cannot claim protection from nor cause harmful interference to primary services in the frequency band 401-406 MHz</w:t>
      </w:r>
      <w:r w:rsidR="00F97F72" w:rsidRPr="00830205">
        <w:rPr>
          <w:lang w:val="en-GB"/>
        </w:rPr>
        <w:t>;</w:t>
      </w:r>
    </w:p>
    <w:p w:rsidR="001F5C30" w:rsidRPr="00830205" w:rsidRDefault="001F5C30" w:rsidP="00394B64">
      <w:pPr>
        <w:pStyle w:val="ListParagraph"/>
        <w:jc w:val="both"/>
        <w:rPr>
          <w:lang w:val="en-GB"/>
        </w:rPr>
      </w:pPr>
      <w:r w:rsidRPr="00830205">
        <w:rPr>
          <w:lang w:val="en-GB"/>
        </w:rPr>
        <w:t xml:space="preserve">that the technical characteristics shown in Annex 1 have been chosen to ensure the best use of the band identified in Decide 1 by </w:t>
      </w:r>
      <w:r w:rsidR="00503DB2" w:rsidRPr="00830205">
        <w:rPr>
          <w:lang w:val="en-GB"/>
        </w:rPr>
        <w:t>ULP-AMI communication systems</w:t>
      </w:r>
      <w:r w:rsidRPr="00830205">
        <w:rPr>
          <w:lang w:val="en-GB"/>
        </w:rPr>
        <w:t xml:space="preserve">, minimising interference between </w:t>
      </w:r>
      <w:r w:rsidR="0043180C" w:rsidRPr="00830205">
        <w:rPr>
          <w:lang w:val="en-GB"/>
        </w:rPr>
        <w:t>ULP-AMI communication systems</w:t>
      </w:r>
      <w:r w:rsidRPr="00830205">
        <w:rPr>
          <w:lang w:val="en-GB"/>
        </w:rPr>
        <w:t xml:space="preserve"> and sharing with other radio services operating in this band;</w:t>
      </w:r>
    </w:p>
    <w:p w:rsidR="0043180C" w:rsidRPr="00830205" w:rsidRDefault="007334D9" w:rsidP="007706F8">
      <w:pPr>
        <w:pStyle w:val="ListParagraph"/>
        <w:rPr>
          <w:lang w:val="en-GB"/>
        </w:rPr>
      </w:pPr>
      <w:r w:rsidRPr="00830205">
        <w:rPr>
          <w:lang w:val="en-GB"/>
        </w:rPr>
        <w:t>that e</w:t>
      </w:r>
      <w:r w:rsidR="0043180C" w:rsidRPr="00830205">
        <w:rPr>
          <w:lang w:val="en-GB"/>
        </w:rPr>
        <w:t xml:space="preserve">quipment must </w:t>
      </w:r>
      <w:r w:rsidR="004101BB" w:rsidRPr="00830205">
        <w:rPr>
          <w:lang w:val="en-GB"/>
        </w:rPr>
        <w:t>fulfil</w:t>
      </w:r>
      <w:r w:rsidR="0043180C" w:rsidRPr="00830205">
        <w:rPr>
          <w:lang w:val="en-GB"/>
        </w:rPr>
        <w:t xml:space="preserve"> the essential requirements listed in</w:t>
      </w:r>
      <w:r w:rsidR="00BB7B56" w:rsidRPr="00830205">
        <w:rPr>
          <w:lang w:val="en-GB"/>
        </w:rPr>
        <w:t xml:space="preserve"> the </w:t>
      </w:r>
      <w:r w:rsidR="007706F8" w:rsidRPr="00830205">
        <w:rPr>
          <w:lang w:val="en-GB"/>
        </w:rPr>
        <w:t>Radio Equipment</w:t>
      </w:r>
      <w:r w:rsidR="00BB7B56" w:rsidRPr="00830205">
        <w:rPr>
          <w:lang w:val="en-GB"/>
        </w:rPr>
        <w:t xml:space="preserve"> D</w:t>
      </w:r>
      <w:r w:rsidR="0043180C" w:rsidRPr="00830205">
        <w:rPr>
          <w:lang w:val="en-GB"/>
        </w:rPr>
        <w:t xml:space="preserve">irective </w:t>
      </w:r>
      <w:r w:rsidR="007706F8" w:rsidRPr="00830205">
        <w:rPr>
          <w:lang w:val="en-GB"/>
        </w:rPr>
        <w:t>2014/53/EU</w:t>
      </w:r>
      <w:r w:rsidR="007706F8" w:rsidRPr="00830205" w:rsidDel="007706F8">
        <w:rPr>
          <w:lang w:val="en-GB"/>
        </w:rPr>
        <w:t xml:space="preserve"> </w:t>
      </w:r>
      <w:r w:rsidR="0043180C" w:rsidRPr="00830205">
        <w:rPr>
          <w:lang w:val="en-GB"/>
        </w:rPr>
        <w:t xml:space="preserve"> for those countries which are legally bound by it</w:t>
      </w:r>
      <w:r w:rsidR="001F5C30" w:rsidRPr="00830205">
        <w:rPr>
          <w:lang w:val="en-GB"/>
        </w:rPr>
        <w:t>;</w:t>
      </w:r>
    </w:p>
    <w:p w:rsidR="001F5C30" w:rsidRPr="00830205" w:rsidRDefault="0043180C" w:rsidP="00394B64">
      <w:pPr>
        <w:pStyle w:val="ListParagraph"/>
        <w:jc w:val="both"/>
        <w:rPr>
          <w:lang w:val="en-GB"/>
        </w:rPr>
      </w:pPr>
      <w:r w:rsidRPr="00830205">
        <w:rPr>
          <w:lang w:val="en-GB"/>
        </w:rPr>
        <w:t>that ETSI has develope</w:t>
      </w:r>
      <w:r w:rsidR="00A8256D" w:rsidRPr="00830205">
        <w:rPr>
          <w:lang w:val="en-GB"/>
        </w:rPr>
        <w:t xml:space="preserve">d </w:t>
      </w:r>
      <w:r w:rsidR="00EC4DF6" w:rsidRPr="00830205">
        <w:rPr>
          <w:lang w:val="en-GB"/>
        </w:rPr>
        <w:t xml:space="preserve">the </w:t>
      </w:r>
      <w:r w:rsidR="00A8256D" w:rsidRPr="00830205">
        <w:rPr>
          <w:lang w:val="en-GB"/>
        </w:rPr>
        <w:t xml:space="preserve">product specific </w:t>
      </w:r>
      <w:r w:rsidR="004101BB" w:rsidRPr="00830205">
        <w:rPr>
          <w:lang w:val="en-GB"/>
        </w:rPr>
        <w:t>h</w:t>
      </w:r>
      <w:r w:rsidR="00BB7B56" w:rsidRPr="00830205">
        <w:rPr>
          <w:lang w:val="en-GB"/>
        </w:rPr>
        <w:t>armonis</w:t>
      </w:r>
      <w:r w:rsidR="00A8256D" w:rsidRPr="00830205">
        <w:rPr>
          <w:lang w:val="en-GB"/>
        </w:rPr>
        <w:t>ed</w:t>
      </w:r>
      <w:r w:rsidR="004101BB" w:rsidRPr="00830205">
        <w:rPr>
          <w:lang w:val="en-GB"/>
        </w:rPr>
        <w:t xml:space="preserve"> European s</w:t>
      </w:r>
      <w:r w:rsidRPr="00830205">
        <w:rPr>
          <w:lang w:val="en-GB"/>
        </w:rPr>
        <w:t xml:space="preserve">tandards listed in the informative </w:t>
      </w:r>
      <w:r w:rsidR="0099271F" w:rsidRPr="00830205">
        <w:rPr>
          <w:lang w:val="en-GB"/>
        </w:rPr>
        <w:t>A</w:t>
      </w:r>
      <w:r w:rsidRPr="00830205">
        <w:rPr>
          <w:lang w:val="en-GB"/>
        </w:rPr>
        <w:t>nnex 2</w:t>
      </w:r>
      <w:r w:rsidR="0099271F" w:rsidRPr="00830205">
        <w:rPr>
          <w:lang w:val="en-GB"/>
        </w:rPr>
        <w:t>;</w:t>
      </w:r>
    </w:p>
    <w:p w:rsidR="001F5C30" w:rsidRPr="00830205" w:rsidRDefault="001F5C30" w:rsidP="00394B64">
      <w:pPr>
        <w:pStyle w:val="ListParagraph"/>
        <w:jc w:val="both"/>
        <w:rPr>
          <w:lang w:val="en-GB"/>
        </w:rPr>
      </w:pPr>
      <w:r w:rsidRPr="00830205">
        <w:rPr>
          <w:lang w:val="en-GB"/>
        </w:rPr>
        <w:t xml:space="preserve">that for frequency planning, frequency co-ordination and in handling interference complaints the national frequency management and enforcement authorities assume </w:t>
      </w:r>
      <w:r w:rsidR="0043180C" w:rsidRPr="00830205">
        <w:rPr>
          <w:lang w:val="en-GB"/>
        </w:rPr>
        <w:t>ULP-AMI communication systems</w:t>
      </w:r>
      <w:r w:rsidRPr="00830205">
        <w:rPr>
          <w:lang w:val="en-GB"/>
        </w:rPr>
        <w:t xml:space="preserve"> comply with receiver performance characteristics given in the </w:t>
      </w:r>
      <w:r w:rsidR="0043180C" w:rsidRPr="00830205">
        <w:rPr>
          <w:lang w:val="en-GB"/>
        </w:rPr>
        <w:t>ETSI product specific standards</w:t>
      </w:r>
      <w:r w:rsidR="00D64633" w:rsidRPr="00830205">
        <w:rPr>
          <w:lang w:val="en-GB"/>
        </w:rPr>
        <w:t xml:space="preserve"> </w:t>
      </w:r>
      <w:r w:rsidR="0043180C" w:rsidRPr="00830205">
        <w:rPr>
          <w:lang w:val="en-GB"/>
        </w:rPr>
        <w:t xml:space="preserve">shown in </w:t>
      </w:r>
      <w:r w:rsidRPr="00830205">
        <w:rPr>
          <w:lang w:val="en-GB"/>
        </w:rPr>
        <w:t>Annex</w:t>
      </w:r>
      <w:r w:rsidR="0043180C" w:rsidRPr="00830205">
        <w:rPr>
          <w:lang w:val="en-GB"/>
        </w:rPr>
        <w:t xml:space="preserve"> 2</w:t>
      </w:r>
      <w:r w:rsidRPr="00830205">
        <w:rPr>
          <w:lang w:val="en-GB"/>
        </w:rPr>
        <w:t>;</w:t>
      </w:r>
    </w:p>
    <w:p w:rsidR="001F5C30" w:rsidRPr="00830205" w:rsidRDefault="001F5C30" w:rsidP="00394B64">
      <w:pPr>
        <w:pStyle w:val="ListParagraph"/>
        <w:jc w:val="both"/>
        <w:rPr>
          <w:lang w:val="en-GB"/>
        </w:rPr>
      </w:pPr>
      <w:r w:rsidRPr="00830205">
        <w:rPr>
          <w:lang w:val="en-GB"/>
        </w:rPr>
        <w:t xml:space="preserve">that when selecting parameters for new </w:t>
      </w:r>
      <w:r w:rsidR="002B1EA8" w:rsidRPr="00830205">
        <w:rPr>
          <w:lang w:val="en-GB"/>
        </w:rPr>
        <w:t>ULP-AMI communication systems</w:t>
      </w:r>
      <w:r w:rsidRPr="00830205">
        <w:rPr>
          <w:lang w:val="en-GB"/>
        </w:rPr>
        <w:t xml:space="preserve">, which may have inherent safety of human life implications, manufacturers and </w:t>
      </w:r>
      <w:r w:rsidR="0024178C" w:rsidRPr="00830205">
        <w:rPr>
          <w:lang w:val="en-GB"/>
        </w:rPr>
        <w:t xml:space="preserve">suppliers </w:t>
      </w:r>
      <w:r w:rsidRPr="00830205">
        <w:rPr>
          <w:lang w:val="en-GB"/>
        </w:rPr>
        <w:t>should pay particular attention to the potential for interference from other systems operating in the same or adjacent bands;</w:t>
      </w:r>
    </w:p>
    <w:p w:rsidR="001F5C30" w:rsidRPr="00830205" w:rsidRDefault="001F5C30" w:rsidP="00394B64">
      <w:pPr>
        <w:pStyle w:val="ListParagraph"/>
        <w:jc w:val="both"/>
        <w:rPr>
          <w:lang w:val="en-GB"/>
        </w:rPr>
      </w:pPr>
      <w:r w:rsidRPr="00830205">
        <w:rPr>
          <w:lang w:val="en-GB"/>
        </w:rPr>
        <w:t>that allocation, assignment and technical co-ordination of frequencies must be done in an objective, timely, impartial, transparent and non-discriminatory manner, and should not be more burdensome than necessary under international rules, in particular, to ensure the efficient use of the frequency spectrum;</w:t>
      </w:r>
    </w:p>
    <w:p w:rsidR="001F5C30" w:rsidRPr="00830205" w:rsidRDefault="001F5C30" w:rsidP="00AC3CEA">
      <w:pPr>
        <w:pStyle w:val="ListParagraph"/>
        <w:jc w:val="both"/>
        <w:rPr>
          <w:lang w:val="en-GB"/>
        </w:rPr>
      </w:pPr>
      <w:r w:rsidRPr="00830205">
        <w:rPr>
          <w:lang w:val="en-GB"/>
        </w:rPr>
        <w:lastRenderedPageBreak/>
        <w:t xml:space="preserve">that Recommendation ITU-R </w:t>
      </w:r>
      <w:r w:rsidR="003D0B45" w:rsidRPr="00830205">
        <w:rPr>
          <w:lang w:val="en-GB"/>
        </w:rPr>
        <w:t>R</w:t>
      </w:r>
      <w:r w:rsidRPr="00830205">
        <w:rPr>
          <w:lang w:val="en-GB"/>
        </w:rPr>
        <w:t xml:space="preserve">S.1346, specifies the feasibility of sharing in the band 401-406 MHz between the Meteorological Aids Service and Medical Implant Communication Systems (MICS) </w:t>
      </w:r>
      <w:r w:rsidR="009071B3" w:rsidRPr="00830205">
        <w:rPr>
          <w:lang w:val="en-GB"/>
        </w:rPr>
        <w:t xml:space="preserve">operating in the mobile service </w:t>
      </w:r>
      <w:r w:rsidRPr="00830205">
        <w:rPr>
          <w:lang w:val="en-GB"/>
        </w:rPr>
        <w:t>that are in compliance with the technical and operational characteristics described in the Recommendation;</w:t>
      </w:r>
    </w:p>
    <w:p w:rsidR="001F5C30" w:rsidRPr="00830205" w:rsidRDefault="001F5C30" w:rsidP="00AC3CEA">
      <w:pPr>
        <w:pStyle w:val="ListParagraph"/>
        <w:jc w:val="both"/>
        <w:rPr>
          <w:lang w:val="en-GB"/>
        </w:rPr>
      </w:pPr>
      <w:r w:rsidRPr="00830205">
        <w:rPr>
          <w:lang w:val="en-GB"/>
        </w:rPr>
        <w:t xml:space="preserve">that interference mitigation techniques used by </w:t>
      </w:r>
      <w:r w:rsidR="00DD3ACB" w:rsidRPr="00830205">
        <w:rPr>
          <w:lang w:val="en-GB"/>
        </w:rPr>
        <w:t>ULP-AMI communication systems</w:t>
      </w:r>
      <w:r w:rsidRPr="00830205">
        <w:rPr>
          <w:lang w:val="en-GB"/>
        </w:rPr>
        <w:t xml:space="preserve">, as described in Annex 1 provide a high level of protection to their operation from possible interference </w:t>
      </w:r>
      <w:r w:rsidR="009071B3" w:rsidRPr="00830205">
        <w:rPr>
          <w:lang w:val="en-GB"/>
        </w:rPr>
        <w:t xml:space="preserve">to or from </w:t>
      </w:r>
      <w:r w:rsidR="00775F8A">
        <w:rPr>
          <w:lang w:val="en-GB"/>
        </w:rPr>
        <w:t>the Meteorological Aids systems.</w:t>
      </w:r>
    </w:p>
    <w:p w:rsidR="001F5C30" w:rsidRPr="00830205" w:rsidRDefault="001F5C30">
      <w:pPr>
        <w:tabs>
          <w:tab w:val="left" w:pos="283"/>
          <w:tab w:val="left" w:pos="1134"/>
          <w:tab w:val="left" w:pos="1985"/>
          <w:tab w:val="left" w:pos="2836"/>
          <w:tab w:val="left" w:pos="3686"/>
          <w:tab w:val="left" w:pos="4537"/>
          <w:tab w:val="left" w:pos="5388"/>
          <w:tab w:val="left" w:pos="6239"/>
          <w:tab w:val="left" w:pos="7090"/>
          <w:tab w:val="left" w:pos="7940"/>
          <w:tab w:val="left" w:pos="8791"/>
        </w:tabs>
        <w:suppressAutoHyphens/>
        <w:jc w:val="both"/>
        <w:rPr>
          <w:lang w:val="en-GB"/>
        </w:rPr>
      </w:pPr>
    </w:p>
    <w:p w:rsidR="001F5C30" w:rsidRPr="00830205" w:rsidRDefault="001F5C30" w:rsidP="007334D9">
      <w:pPr>
        <w:pStyle w:val="ECCParagraph"/>
        <w:rPr>
          <w:i/>
          <w:color w:val="D2232A"/>
        </w:rPr>
      </w:pPr>
      <w:r w:rsidRPr="00830205">
        <w:rPr>
          <w:i/>
          <w:color w:val="D2232A"/>
        </w:rPr>
        <w:t>DECIDES</w:t>
      </w:r>
    </w:p>
    <w:p w:rsidR="00724676" w:rsidRPr="00830205" w:rsidRDefault="001F5C30" w:rsidP="000C4D08">
      <w:pPr>
        <w:pStyle w:val="NumberedList"/>
        <w:numPr>
          <w:ilvl w:val="0"/>
          <w:numId w:val="15"/>
        </w:numPr>
        <w:tabs>
          <w:tab w:val="left" w:pos="426"/>
        </w:tabs>
        <w:ind w:left="425" w:hanging="425"/>
      </w:pPr>
      <w:r w:rsidRPr="00830205">
        <w:t xml:space="preserve">to </w:t>
      </w:r>
      <w:r w:rsidR="00724676" w:rsidRPr="00830205">
        <w:t>harmonise</w:t>
      </w:r>
      <w:r w:rsidRPr="00830205">
        <w:t xml:space="preserve"> the </w:t>
      </w:r>
      <w:r w:rsidR="00414649" w:rsidRPr="00830205">
        <w:t xml:space="preserve">use of the </w:t>
      </w:r>
      <w:r w:rsidRPr="00830205">
        <w:t>frequency band 40</w:t>
      </w:r>
      <w:r w:rsidR="00724676" w:rsidRPr="00830205">
        <w:t>1</w:t>
      </w:r>
      <w:r w:rsidRPr="00830205">
        <w:t xml:space="preserve"> - 40</w:t>
      </w:r>
      <w:r w:rsidR="00724676" w:rsidRPr="00830205">
        <w:t>6</w:t>
      </w:r>
      <w:r w:rsidRPr="00830205">
        <w:t xml:space="preserve"> MHz </w:t>
      </w:r>
      <w:r w:rsidR="001410DB" w:rsidRPr="00830205">
        <w:t xml:space="preserve">for </w:t>
      </w:r>
      <w:r w:rsidR="00724676" w:rsidRPr="00830205">
        <w:t>ULP-AMI communication systems</w:t>
      </w:r>
      <w:r w:rsidR="00E52731" w:rsidRPr="00830205">
        <w:t xml:space="preserve"> on a secondary basis</w:t>
      </w:r>
      <w:r w:rsidR="00E70967" w:rsidRPr="00830205">
        <w:t xml:space="preserve"> to </w:t>
      </w:r>
      <w:r w:rsidR="00761957" w:rsidRPr="00830205">
        <w:t xml:space="preserve">meteorological </w:t>
      </w:r>
      <w:r w:rsidR="001410DB" w:rsidRPr="00830205">
        <w:t xml:space="preserve">radio </w:t>
      </w:r>
      <w:r w:rsidR="00761957" w:rsidRPr="00830205">
        <w:t>services</w:t>
      </w:r>
      <w:r w:rsidRPr="00830205">
        <w:t>;</w:t>
      </w:r>
    </w:p>
    <w:p w:rsidR="00724676" w:rsidRPr="00830205" w:rsidRDefault="00724676" w:rsidP="000C4D08">
      <w:pPr>
        <w:pStyle w:val="NumberedList"/>
        <w:numPr>
          <w:ilvl w:val="0"/>
          <w:numId w:val="15"/>
        </w:numPr>
        <w:tabs>
          <w:tab w:val="left" w:pos="426"/>
        </w:tabs>
        <w:ind w:left="425" w:hanging="425"/>
      </w:pPr>
      <w:r w:rsidRPr="00830205">
        <w:t>that CEPT administrations shall designate the frequency band 401-406 MHz</w:t>
      </w:r>
      <w:r w:rsidR="007334D9" w:rsidRPr="00830205">
        <w:t xml:space="preserve"> for ULP-AMI communication syste</w:t>
      </w:r>
      <w:r w:rsidRPr="00830205">
        <w:t>ms operating in accordance with tech</w:t>
      </w:r>
      <w:r w:rsidR="004E02C0" w:rsidRPr="00830205">
        <w:t>nical characteristics given in A</w:t>
      </w:r>
      <w:r w:rsidRPr="00830205">
        <w:t>nnex 1;</w:t>
      </w:r>
    </w:p>
    <w:p w:rsidR="00F9483A" w:rsidRPr="00830205" w:rsidRDefault="00724676" w:rsidP="000C4D08">
      <w:pPr>
        <w:pStyle w:val="NumberedList"/>
        <w:numPr>
          <w:ilvl w:val="0"/>
          <w:numId w:val="15"/>
        </w:numPr>
        <w:tabs>
          <w:tab w:val="left" w:pos="426"/>
        </w:tabs>
        <w:ind w:left="425" w:hanging="425"/>
      </w:pPr>
      <w:r w:rsidRPr="00830205">
        <w:t xml:space="preserve">that protection of existing services from ULP-AMI communication systems </w:t>
      </w:r>
      <w:r w:rsidR="00F80B73" w:rsidRPr="00830205">
        <w:t>shall be ensured</w:t>
      </w:r>
      <w:r w:rsidRPr="00830205">
        <w:t xml:space="preserve"> in the 401-406 MHz band and in adjacent bands</w:t>
      </w:r>
      <w:r w:rsidR="00F9483A" w:rsidRPr="00830205">
        <w:t>;</w:t>
      </w:r>
    </w:p>
    <w:p w:rsidR="001F5C30" w:rsidRPr="00830205" w:rsidRDefault="00F9483A" w:rsidP="000C4D08">
      <w:pPr>
        <w:pStyle w:val="NumberedList"/>
        <w:numPr>
          <w:ilvl w:val="0"/>
          <w:numId w:val="15"/>
        </w:numPr>
        <w:tabs>
          <w:tab w:val="left" w:pos="426"/>
        </w:tabs>
        <w:ind w:left="425" w:hanging="425"/>
      </w:pPr>
      <w:r w:rsidRPr="00830205">
        <w:t>that protection of ULP-AMI communication systems from short range device applications shall be ensured in the 401-406 MHz frequency band;</w:t>
      </w:r>
    </w:p>
    <w:p w:rsidR="001F5C30" w:rsidRPr="00830205" w:rsidRDefault="001F5C30" w:rsidP="000C4D08">
      <w:pPr>
        <w:pStyle w:val="NumberedList"/>
        <w:numPr>
          <w:ilvl w:val="0"/>
          <w:numId w:val="15"/>
        </w:numPr>
        <w:tabs>
          <w:tab w:val="left" w:pos="426"/>
        </w:tabs>
        <w:ind w:left="425" w:hanging="425"/>
      </w:pPr>
      <w:r w:rsidRPr="00830205">
        <w:t xml:space="preserve">to exempt </w:t>
      </w:r>
      <w:r w:rsidR="001B7864" w:rsidRPr="00830205">
        <w:t>ULP-AMI communication systems</w:t>
      </w:r>
      <w:r w:rsidRPr="00830205">
        <w:t xml:space="preserve"> covered by this Decision from individual licensing;</w:t>
      </w:r>
    </w:p>
    <w:p w:rsidR="001F5C30" w:rsidRPr="00830205" w:rsidRDefault="001F5C30" w:rsidP="000C4D08">
      <w:pPr>
        <w:pStyle w:val="NumberedList"/>
        <w:numPr>
          <w:ilvl w:val="0"/>
          <w:numId w:val="15"/>
        </w:numPr>
        <w:tabs>
          <w:tab w:val="left" w:pos="426"/>
        </w:tabs>
        <w:ind w:left="425" w:hanging="425"/>
      </w:pPr>
      <w:r w:rsidRPr="00830205">
        <w:t>that this Decision enter</w:t>
      </w:r>
      <w:r w:rsidR="00BD3362">
        <w:t>s</w:t>
      </w:r>
      <w:r w:rsidRPr="00830205">
        <w:t xml:space="preserve"> into force on </w:t>
      </w:r>
      <w:r w:rsidR="006E7A6F" w:rsidRPr="00830205">
        <w:t>9 December 2011</w:t>
      </w:r>
      <w:r w:rsidRPr="00830205">
        <w:t>;</w:t>
      </w:r>
    </w:p>
    <w:p w:rsidR="001F5C30" w:rsidRPr="00830205" w:rsidRDefault="00AC3CEA" w:rsidP="000C4D08">
      <w:pPr>
        <w:pStyle w:val="NumberedList"/>
        <w:numPr>
          <w:ilvl w:val="0"/>
          <w:numId w:val="15"/>
        </w:numPr>
        <w:tabs>
          <w:tab w:val="left" w:pos="426"/>
        </w:tabs>
        <w:ind w:left="425" w:hanging="425"/>
      </w:pPr>
      <w:proofErr w:type="gramStart"/>
      <w:r w:rsidRPr="00830205">
        <w:t>that</w:t>
      </w:r>
      <w:proofErr w:type="gramEnd"/>
      <w:r w:rsidRPr="00830205">
        <w:t xml:space="preserve"> the CEPT a</w:t>
      </w:r>
      <w:r w:rsidR="001F5C30" w:rsidRPr="00830205">
        <w:t>dministrations shall communicate the national measures implementing this Decision to the E</w:t>
      </w:r>
      <w:r w:rsidR="001B7864" w:rsidRPr="00830205">
        <w:t>C</w:t>
      </w:r>
      <w:r w:rsidR="001F5C30" w:rsidRPr="00830205">
        <w:t>C Chairman and the E</w:t>
      </w:r>
      <w:r w:rsidR="001B7864" w:rsidRPr="00830205">
        <w:t>C</w:t>
      </w:r>
      <w:r w:rsidR="001F5C30" w:rsidRPr="00830205">
        <w:t>O when the Decision is nationally implemented.”</w:t>
      </w:r>
    </w:p>
    <w:p w:rsidR="001F5C30" w:rsidRPr="00830205" w:rsidRDefault="001F5C30">
      <w:pPr>
        <w:rPr>
          <w:lang w:val="en-GB"/>
        </w:rPr>
      </w:pPr>
    </w:p>
    <w:p w:rsidR="007334D9" w:rsidRPr="00830205" w:rsidRDefault="007334D9" w:rsidP="007334D9">
      <w:pPr>
        <w:pStyle w:val="ECCParagraph"/>
        <w:keepNext/>
        <w:rPr>
          <w:i/>
          <w:color w:val="D2232A"/>
        </w:rPr>
      </w:pPr>
      <w:r w:rsidRPr="00830205">
        <w:rPr>
          <w:i/>
          <w:color w:val="D2232A"/>
        </w:rPr>
        <w:t xml:space="preserve">Note: </w:t>
      </w:r>
    </w:p>
    <w:p w:rsidR="007334D9" w:rsidRPr="00830205" w:rsidRDefault="007334D9" w:rsidP="007334D9">
      <w:pPr>
        <w:pStyle w:val="ECCParagraph"/>
        <w:keepNext/>
        <w:rPr>
          <w:i/>
          <w:szCs w:val="20"/>
        </w:rPr>
      </w:pPr>
      <w:r w:rsidRPr="00830205">
        <w:rPr>
          <w:i/>
          <w:szCs w:val="20"/>
        </w:rPr>
        <w:t xml:space="preserve">Please check the Office documentation database </w:t>
      </w:r>
      <w:hyperlink r:id="rId14" w:history="1">
        <w:r w:rsidR="007706F8" w:rsidRPr="00830205">
          <w:rPr>
            <w:rStyle w:val="Hyperlink"/>
            <w:i/>
            <w:szCs w:val="20"/>
          </w:rPr>
          <w:t>http://www.ecodocdb.dk</w:t>
        </w:r>
      </w:hyperlink>
      <w:r w:rsidRPr="00830205">
        <w:rPr>
          <w:i/>
          <w:szCs w:val="20"/>
        </w:rPr>
        <w:t xml:space="preserve"> for the up to date position on the implementation of this and other </w:t>
      </w:r>
      <w:smartTag w:uri="urn:schemas-microsoft-com:office:smarttags" w:element="stockticker">
        <w:r w:rsidRPr="00830205">
          <w:rPr>
            <w:i/>
            <w:szCs w:val="20"/>
          </w:rPr>
          <w:t>ECC</w:t>
        </w:r>
      </w:smartTag>
      <w:r w:rsidRPr="00830205">
        <w:rPr>
          <w:i/>
          <w:szCs w:val="20"/>
        </w:rPr>
        <w:t xml:space="preserve"> Decisions.</w:t>
      </w:r>
    </w:p>
    <w:p w:rsidR="00CC559D" w:rsidRPr="00830205" w:rsidRDefault="007334D9" w:rsidP="00AC3CEA">
      <w:pPr>
        <w:pStyle w:val="ECCAnnex-heading1"/>
        <w:rPr>
          <w:color w:val="C00000"/>
        </w:rPr>
      </w:pPr>
      <w:r w:rsidRPr="00830205">
        <w:lastRenderedPageBreak/>
        <w:t>A</w:t>
      </w:r>
      <w:r w:rsidR="001F5C30" w:rsidRPr="00830205">
        <w:t>NNEX 1</w:t>
      </w:r>
      <w:r w:rsidR="00AC3CEA" w:rsidRPr="00830205">
        <w:t>:</w:t>
      </w:r>
      <w:r w:rsidRPr="00830205">
        <w:t xml:space="preserve"> </w:t>
      </w:r>
      <w:r w:rsidR="001F5C30" w:rsidRPr="00830205">
        <w:t xml:space="preserve">Regulatory Annex: Technical characteristics of </w:t>
      </w:r>
      <w:r w:rsidR="00A45844" w:rsidRPr="00830205">
        <w:t>ULP-AMI communication systems</w:t>
      </w:r>
      <w:r w:rsidR="001F5C30" w:rsidRPr="00830205">
        <w:t xml:space="preserve"> using</w:t>
      </w:r>
      <w:r w:rsidR="00CC559D" w:rsidRPr="00830205">
        <w:rPr>
          <w:color w:val="C00000"/>
        </w:rPr>
        <w:t xml:space="preserve"> The frequencies identified in decides 1</w:t>
      </w:r>
    </w:p>
    <w:p w:rsidR="00276BD0" w:rsidRPr="00830205" w:rsidRDefault="00276BD0" w:rsidP="00F37C98">
      <w:pPr>
        <w:pStyle w:val="ECCAnnexheading2"/>
        <w:numPr>
          <w:ilvl w:val="0"/>
          <w:numId w:val="9"/>
        </w:numPr>
        <w:tabs>
          <w:tab w:val="clear" w:pos="720"/>
        </w:tabs>
        <w:spacing w:before="240"/>
        <w:ind w:left="578" w:hanging="578"/>
        <w:rPr>
          <w:lang w:val="en-GB"/>
        </w:rPr>
      </w:pPr>
      <w:r w:rsidRPr="00830205">
        <w:rPr>
          <w:lang w:val="en-GB"/>
        </w:rPr>
        <w:t>U</w:t>
      </w:r>
      <w:r w:rsidR="00DE5122" w:rsidRPr="00830205">
        <w:rPr>
          <w:lang w:val="en-GB"/>
        </w:rPr>
        <w:t>LP-AMI communication systems</w:t>
      </w:r>
      <w:r w:rsidRPr="00830205">
        <w:rPr>
          <w:lang w:val="en-GB"/>
        </w:rPr>
        <w:t xml:space="preserve"> operating in the 402-405</w:t>
      </w:r>
      <w:r w:rsidR="00F97F72" w:rsidRPr="00830205">
        <w:rPr>
          <w:lang w:val="en-GB"/>
        </w:rPr>
        <w:t xml:space="preserve"> </w:t>
      </w:r>
      <w:r w:rsidRPr="00830205">
        <w:rPr>
          <w:lang w:val="en-GB"/>
        </w:rPr>
        <w:t>MH</w:t>
      </w:r>
      <w:r w:rsidR="00AC3CEA" w:rsidRPr="00830205">
        <w:rPr>
          <w:caps w:val="0"/>
          <w:lang w:val="en-GB"/>
        </w:rPr>
        <w:t>z</w:t>
      </w:r>
    </w:p>
    <w:p w:rsidR="001F5C30" w:rsidRPr="00830205" w:rsidRDefault="00276BD0" w:rsidP="00CC559D">
      <w:pPr>
        <w:pStyle w:val="ECCParagraph"/>
      </w:pPr>
      <w:r w:rsidRPr="00830205">
        <w:t xml:space="preserve">This category covers systems specifically designed for the purpose of providing non-voice digital communications between active implantable medical devices and </w:t>
      </w:r>
      <w:r w:rsidR="00D11A03" w:rsidRPr="00830205">
        <w:t>associated peripherals</w:t>
      </w:r>
      <w:r w:rsidRPr="00830205">
        <w:t>, as defined in Council Directive 90/385/EEC of 20 June 1990 on the approximation of the laws of the Member States relating to active implantable medical devices (OJ L 189, 20.7.1990, p.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014"/>
        <w:gridCol w:w="2015"/>
        <w:gridCol w:w="2706"/>
        <w:gridCol w:w="2445"/>
      </w:tblGrid>
      <w:tr w:rsidR="00F37C98" w:rsidRPr="00830205" w:rsidTr="001437A9">
        <w:trPr>
          <w:tblHeader/>
        </w:trPr>
        <w:tc>
          <w:tcPr>
            <w:tcW w:w="2014" w:type="dxa"/>
            <w:tcBorders>
              <w:top w:val="single" w:sz="4" w:space="0" w:color="D2232A"/>
              <w:left w:val="single" w:sz="4" w:space="0" w:color="D2232A"/>
              <w:bottom w:val="single" w:sz="2" w:space="0" w:color="FFFFFF"/>
              <w:right w:val="single" w:sz="2" w:space="0" w:color="FFFFFF"/>
            </w:tcBorders>
            <w:shd w:val="clear" w:color="auto" w:fill="D2232A"/>
            <w:vAlign w:val="center"/>
          </w:tcPr>
          <w:p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 xml:space="preserve">Frequency Band </w:t>
            </w:r>
          </w:p>
        </w:tc>
        <w:tc>
          <w:tcPr>
            <w:tcW w:w="2015" w:type="dxa"/>
            <w:tcBorders>
              <w:top w:val="single" w:sz="4" w:space="0" w:color="D2232A"/>
              <w:left w:val="single" w:sz="2" w:space="0" w:color="FFFFFF"/>
              <w:bottom w:val="single" w:sz="2" w:space="0" w:color="FFFFFF"/>
              <w:right w:val="single" w:sz="2" w:space="0" w:color="FFFFFF"/>
            </w:tcBorders>
            <w:shd w:val="clear" w:color="auto" w:fill="D2232A"/>
            <w:vAlign w:val="center"/>
          </w:tcPr>
          <w:p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Power</w:t>
            </w:r>
          </w:p>
        </w:tc>
        <w:tc>
          <w:tcPr>
            <w:tcW w:w="2706" w:type="dxa"/>
            <w:tcBorders>
              <w:top w:val="single" w:sz="4" w:space="0" w:color="D2232A"/>
              <w:left w:val="single" w:sz="2" w:space="0" w:color="FFFFFF"/>
              <w:bottom w:val="single" w:sz="2" w:space="0" w:color="FFFFFF"/>
              <w:right w:val="single" w:sz="2" w:space="0" w:color="FFFFFF"/>
            </w:tcBorders>
            <w:shd w:val="clear" w:color="auto" w:fill="D2232A"/>
            <w:vAlign w:val="center"/>
          </w:tcPr>
          <w:p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Channel Spacing</w:t>
            </w:r>
          </w:p>
        </w:tc>
        <w:tc>
          <w:tcPr>
            <w:tcW w:w="2445" w:type="dxa"/>
            <w:tcBorders>
              <w:top w:val="single" w:sz="4" w:space="0" w:color="D2232A"/>
              <w:left w:val="single" w:sz="2" w:space="0" w:color="FFFFFF"/>
              <w:bottom w:val="single" w:sz="2" w:space="0" w:color="FFFFFF"/>
              <w:right w:val="single" w:sz="4" w:space="0" w:color="D2232A"/>
            </w:tcBorders>
            <w:shd w:val="clear" w:color="auto" w:fill="D2232A"/>
            <w:vAlign w:val="center"/>
          </w:tcPr>
          <w:p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Spectrum access</w:t>
            </w:r>
          </w:p>
          <w:p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and mitigation</w:t>
            </w:r>
          </w:p>
          <w:p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requirement</w:t>
            </w:r>
          </w:p>
        </w:tc>
      </w:tr>
      <w:tr w:rsidR="00F37C98" w:rsidRPr="00830205" w:rsidTr="001437A9">
        <w:tc>
          <w:tcPr>
            <w:tcW w:w="2014" w:type="dxa"/>
            <w:tcBorders>
              <w:top w:val="single" w:sz="2" w:space="0" w:color="FFFFFF"/>
              <w:left w:val="single" w:sz="4" w:space="0" w:color="D2232A"/>
              <w:bottom w:val="single" w:sz="4" w:space="0" w:color="D2232A"/>
              <w:right w:val="single" w:sz="4" w:space="0" w:color="D2232A"/>
            </w:tcBorders>
            <w:vAlign w:val="center"/>
          </w:tcPr>
          <w:p w:rsidR="00F37C98" w:rsidRPr="00830205" w:rsidRDefault="00F37C98" w:rsidP="00F46F1D">
            <w:pPr>
              <w:rPr>
                <w:rFonts w:ascii="Arial" w:hAnsi="Arial"/>
                <w:szCs w:val="24"/>
                <w:lang w:val="en-GB" w:eastAsia="en-US"/>
              </w:rPr>
            </w:pPr>
            <w:r w:rsidRPr="00830205">
              <w:rPr>
                <w:rFonts w:ascii="Arial" w:hAnsi="Arial"/>
                <w:szCs w:val="24"/>
                <w:lang w:val="en-GB" w:eastAsia="en-US"/>
              </w:rPr>
              <w:t>402-405 MHz</w:t>
            </w:r>
          </w:p>
        </w:tc>
        <w:tc>
          <w:tcPr>
            <w:tcW w:w="2015" w:type="dxa"/>
            <w:tcBorders>
              <w:top w:val="single" w:sz="2" w:space="0" w:color="FFFFFF"/>
              <w:left w:val="single" w:sz="4" w:space="0" w:color="D2232A"/>
              <w:bottom w:val="single" w:sz="4" w:space="0" w:color="D2232A"/>
              <w:right w:val="single" w:sz="4" w:space="0" w:color="D2232A"/>
            </w:tcBorders>
            <w:vAlign w:val="center"/>
          </w:tcPr>
          <w:p w:rsidR="00F37C98" w:rsidRPr="00830205" w:rsidRDefault="00F37C98" w:rsidP="00F46F1D">
            <w:pPr>
              <w:rPr>
                <w:rFonts w:ascii="Arial" w:hAnsi="Arial"/>
                <w:szCs w:val="24"/>
                <w:lang w:val="en-GB" w:eastAsia="en-US"/>
              </w:rPr>
            </w:pPr>
          </w:p>
          <w:p w:rsidR="00F37C98" w:rsidRPr="00830205" w:rsidRDefault="00F37C98" w:rsidP="00F46F1D">
            <w:pPr>
              <w:rPr>
                <w:rFonts w:ascii="Arial" w:hAnsi="Arial"/>
                <w:szCs w:val="24"/>
                <w:lang w:val="en-GB" w:eastAsia="en-US"/>
              </w:rPr>
            </w:pPr>
            <w:r w:rsidRPr="00830205">
              <w:rPr>
                <w:rFonts w:ascii="Arial" w:hAnsi="Arial"/>
                <w:szCs w:val="24"/>
                <w:lang w:val="en-GB" w:eastAsia="en-US"/>
              </w:rPr>
              <w:t>25 µW e.r.p.</w:t>
            </w:r>
          </w:p>
          <w:p w:rsidR="00F37C98" w:rsidRPr="00830205" w:rsidRDefault="00F37C98" w:rsidP="00F46F1D">
            <w:pPr>
              <w:rPr>
                <w:rFonts w:ascii="Arial" w:hAnsi="Arial"/>
                <w:szCs w:val="24"/>
                <w:lang w:val="en-GB" w:eastAsia="en-US"/>
              </w:rPr>
            </w:pPr>
          </w:p>
        </w:tc>
        <w:tc>
          <w:tcPr>
            <w:tcW w:w="2706" w:type="dxa"/>
            <w:tcBorders>
              <w:top w:val="single" w:sz="2" w:space="0" w:color="FFFFFF"/>
              <w:left w:val="single" w:sz="4" w:space="0" w:color="D2232A"/>
              <w:bottom w:val="single" w:sz="4" w:space="0" w:color="D2232A"/>
              <w:right w:val="single" w:sz="4" w:space="0" w:color="D2232A"/>
            </w:tcBorders>
            <w:vAlign w:val="center"/>
          </w:tcPr>
          <w:p w:rsidR="00F37C98" w:rsidRPr="00830205" w:rsidRDefault="00F37C98" w:rsidP="00F46F1D">
            <w:pPr>
              <w:rPr>
                <w:rFonts w:ascii="Arial" w:hAnsi="Arial"/>
                <w:szCs w:val="24"/>
                <w:lang w:val="en-GB" w:eastAsia="en-US"/>
              </w:rPr>
            </w:pPr>
            <w:r w:rsidRPr="00830205">
              <w:rPr>
                <w:rFonts w:ascii="Arial" w:hAnsi="Arial"/>
                <w:szCs w:val="24"/>
                <w:lang w:val="en-GB" w:eastAsia="en-US"/>
              </w:rPr>
              <w:t>25 kHz</w:t>
            </w:r>
          </w:p>
          <w:p w:rsidR="00F37C98" w:rsidRPr="00830205" w:rsidRDefault="00F37C98" w:rsidP="00F46F1D">
            <w:pPr>
              <w:rPr>
                <w:rFonts w:ascii="Arial" w:hAnsi="Arial"/>
                <w:szCs w:val="24"/>
                <w:lang w:val="en-GB" w:eastAsia="en-US"/>
              </w:rPr>
            </w:pPr>
            <w:r w:rsidRPr="00830205">
              <w:rPr>
                <w:rFonts w:ascii="Arial" w:hAnsi="Arial"/>
                <w:szCs w:val="24"/>
                <w:lang w:val="en-GB" w:eastAsia="en-US"/>
              </w:rPr>
              <w:t>Individual transmitters may combine adjacent channels for increased bandwidth up to 300 kHz</w:t>
            </w:r>
          </w:p>
        </w:tc>
        <w:tc>
          <w:tcPr>
            <w:tcW w:w="2445" w:type="dxa"/>
            <w:tcBorders>
              <w:top w:val="single" w:sz="2" w:space="0" w:color="FFFFFF"/>
              <w:left w:val="single" w:sz="4" w:space="0" w:color="D2232A"/>
              <w:bottom w:val="single" w:sz="4" w:space="0" w:color="D2232A"/>
              <w:right w:val="single" w:sz="4" w:space="0" w:color="D2232A"/>
            </w:tcBorders>
            <w:vAlign w:val="center"/>
          </w:tcPr>
          <w:p w:rsidR="00F37C98" w:rsidRPr="00830205" w:rsidRDefault="00F37C98" w:rsidP="00F46F1D">
            <w:pPr>
              <w:rPr>
                <w:rFonts w:ascii="Arial" w:hAnsi="Arial"/>
                <w:szCs w:val="24"/>
                <w:lang w:val="en-GB" w:eastAsia="en-US"/>
              </w:rPr>
            </w:pPr>
            <w:r w:rsidRPr="00830205">
              <w:rPr>
                <w:rFonts w:ascii="Arial" w:hAnsi="Arial"/>
                <w:szCs w:val="24"/>
                <w:lang w:val="en-GB" w:eastAsia="en-US"/>
              </w:rPr>
              <w:t xml:space="preserve">As specified in the product specific  </w:t>
            </w:r>
            <w:r w:rsidR="004101BB" w:rsidRPr="00830205">
              <w:rPr>
                <w:rFonts w:ascii="Arial" w:hAnsi="Arial"/>
                <w:szCs w:val="24"/>
                <w:lang w:val="en-GB" w:eastAsia="en-US"/>
              </w:rPr>
              <w:t>h</w:t>
            </w:r>
            <w:r w:rsidRPr="00830205">
              <w:rPr>
                <w:rFonts w:ascii="Arial" w:hAnsi="Arial"/>
                <w:szCs w:val="24"/>
                <w:lang w:val="en-GB" w:eastAsia="en-US"/>
              </w:rPr>
              <w:t xml:space="preserve">armonised European </w:t>
            </w:r>
            <w:r w:rsidR="004101BB" w:rsidRPr="00830205">
              <w:rPr>
                <w:rFonts w:ascii="Arial" w:hAnsi="Arial"/>
                <w:szCs w:val="24"/>
                <w:lang w:val="en-GB" w:eastAsia="en-US"/>
              </w:rPr>
              <w:t>s</w:t>
            </w:r>
            <w:r w:rsidRPr="00830205">
              <w:rPr>
                <w:rFonts w:ascii="Arial" w:hAnsi="Arial"/>
                <w:szCs w:val="24"/>
                <w:lang w:val="en-GB" w:eastAsia="en-US"/>
              </w:rPr>
              <w:t>tandard (see Annex 2) or equivalent spectrum access and mitigation techniques.</w:t>
            </w:r>
          </w:p>
        </w:tc>
      </w:tr>
    </w:tbl>
    <w:p w:rsidR="00DE5122" w:rsidRPr="00830205" w:rsidRDefault="00DE5122" w:rsidP="00CC559D">
      <w:pPr>
        <w:pStyle w:val="ECCAnnexheading2"/>
        <w:numPr>
          <w:ilvl w:val="0"/>
          <w:numId w:val="9"/>
        </w:numPr>
        <w:tabs>
          <w:tab w:val="clear" w:pos="720"/>
        </w:tabs>
        <w:ind w:left="576" w:hanging="576"/>
        <w:rPr>
          <w:lang w:val="en-GB"/>
        </w:rPr>
      </w:pPr>
      <w:r w:rsidRPr="00830205">
        <w:rPr>
          <w:lang w:val="en-GB"/>
        </w:rPr>
        <w:t>ULP-AMI communication systems operating in the 401-402</w:t>
      </w:r>
      <w:r w:rsidR="00F97F72" w:rsidRPr="00830205">
        <w:rPr>
          <w:lang w:val="en-GB"/>
        </w:rPr>
        <w:t xml:space="preserve"> </w:t>
      </w:r>
      <w:r w:rsidRPr="00830205">
        <w:rPr>
          <w:lang w:val="en-GB"/>
        </w:rPr>
        <w:t>MH</w:t>
      </w:r>
      <w:r w:rsidR="00AC3CEA" w:rsidRPr="00830205">
        <w:rPr>
          <w:caps w:val="0"/>
          <w:lang w:val="en-GB"/>
        </w:rPr>
        <w:t>z</w:t>
      </w:r>
      <w:r w:rsidRPr="00830205">
        <w:rPr>
          <w:lang w:val="en-GB"/>
        </w:rPr>
        <w:t xml:space="preserve"> and 405-406</w:t>
      </w:r>
      <w:r w:rsidR="00F97F72" w:rsidRPr="00830205">
        <w:rPr>
          <w:lang w:val="en-GB"/>
        </w:rPr>
        <w:t xml:space="preserve"> </w:t>
      </w:r>
      <w:r w:rsidRPr="00830205">
        <w:rPr>
          <w:lang w:val="en-GB"/>
        </w:rPr>
        <w:t>MH</w:t>
      </w:r>
      <w:r w:rsidR="00F37C98" w:rsidRPr="00830205">
        <w:rPr>
          <w:caps w:val="0"/>
          <w:lang w:val="en-GB"/>
        </w:rPr>
        <w:t>z</w:t>
      </w:r>
      <w:r w:rsidRPr="00830205">
        <w:rPr>
          <w:lang w:val="en-GB"/>
        </w:rPr>
        <w:t xml:space="preserve"> bands:</w:t>
      </w:r>
    </w:p>
    <w:p w:rsidR="00DE5122" w:rsidRPr="00830205" w:rsidRDefault="00DE5122" w:rsidP="00CC559D">
      <w:pPr>
        <w:pStyle w:val="ECCParagraph"/>
      </w:pPr>
      <w:r w:rsidRPr="00830205">
        <w:t>This category covers systems specifically designed for the purpose of providing non-voice digital communications b</w:t>
      </w:r>
      <w:r w:rsidR="00D75ED7" w:rsidRPr="00830205">
        <w:t xml:space="preserve">etween active medical implants </w:t>
      </w:r>
      <w:r w:rsidRPr="00830205">
        <w:t xml:space="preserve">and/or body-worn devices and other </w:t>
      </w:r>
      <w:r w:rsidR="00D11A03" w:rsidRPr="00830205">
        <w:t>associated peripheral</w:t>
      </w:r>
      <w:r w:rsidR="007136E9" w:rsidRPr="00830205">
        <w:t>s</w:t>
      </w:r>
      <w:r w:rsidR="00D11A03" w:rsidRPr="00830205">
        <w:t xml:space="preserve"> </w:t>
      </w:r>
      <w:r w:rsidRPr="00830205">
        <w:t>used for transferring non-time critical individual patient-related physiological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014"/>
        <w:gridCol w:w="2015"/>
        <w:gridCol w:w="2706"/>
        <w:gridCol w:w="2445"/>
      </w:tblGrid>
      <w:tr w:rsidR="00F37C98" w:rsidRPr="00830205" w:rsidTr="00F37C98">
        <w:trPr>
          <w:tblHeader/>
        </w:trPr>
        <w:tc>
          <w:tcPr>
            <w:tcW w:w="2014" w:type="dxa"/>
            <w:tcBorders>
              <w:top w:val="single" w:sz="4" w:space="0" w:color="D2232A"/>
              <w:left w:val="single" w:sz="4" w:space="0" w:color="D2232A"/>
              <w:bottom w:val="single" w:sz="2" w:space="0" w:color="FFFFFF"/>
              <w:right w:val="single" w:sz="2" w:space="0" w:color="FFFFFF"/>
            </w:tcBorders>
            <w:shd w:val="clear" w:color="auto" w:fill="D2232A"/>
            <w:vAlign w:val="center"/>
          </w:tcPr>
          <w:p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 xml:space="preserve">Frequency Band </w:t>
            </w:r>
          </w:p>
        </w:tc>
        <w:tc>
          <w:tcPr>
            <w:tcW w:w="2015" w:type="dxa"/>
            <w:tcBorders>
              <w:top w:val="single" w:sz="4" w:space="0" w:color="D2232A"/>
              <w:left w:val="single" w:sz="2" w:space="0" w:color="FFFFFF"/>
              <w:bottom w:val="single" w:sz="2" w:space="0" w:color="FFFFFF"/>
              <w:right w:val="single" w:sz="2" w:space="0" w:color="FFFFFF"/>
            </w:tcBorders>
            <w:shd w:val="clear" w:color="auto" w:fill="D2232A"/>
            <w:vAlign w:val="center"/>
          </w:tcPr>
          <w:p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Power</w:t>
            </w:r>
          </w:p>
        </w:tc>
        <w:tc>
          <w:tcPr>
            <w:tcW w:w="2706" w:type="dxa"/>
            <w:tcBorders>
              <w:top w:val="single" w:sz="4" w:space="0" w:color="D2232A"/>
              <w:left w:val="single" w:sz="2" w:space="0" w:color="FFFFFF"/>
              <w:bottom w:val="single" w:sz="2" w:space="0" w:color="FFFFFF"/>
              <w:right w:val="single" w:sz="2" w:space="0" w:color="FFFFFF"/>
            </w:tcBorders>
            <w:shd w:val="clear" w:color="auto" w:fill="D2232A"/>
            <w:vAlign w:val="center"/>
          </w:tcPr>
          <w:p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Channel Spacing</w:t>
            </w:r>
          </w:p>
        </w:tc>
        <w:tc>
          <w:tcPr>
            <w:tcW w:w="2445" w:type="dxa"/>
            <w:tcBorders>
              <w:top w:val="single" w:sz="4" w:space="0" w:color="D2232A"/>
              <w:left w:val="single" w:sz="2" w:space="0" w:color="FFFFFF"/>
              <w:bottom w:val="single" w:sz="2" w:space="0" w:color="FFFFFF"/>
              <w:right w:val="single" w:sz="4" w:space="0" w:color="D2232A"/>
            </w:tcBorders>
            <w:shd w:val="clear" w:color="auto" w:fill="D2232A"/>
            <w:vAlign w:val="center"/>
          </w:tcPr>
          <w:p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Spectrum access</w:t>
            </w:r>
          </w:p>
          <w:p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and mitigation</w:t>
            </w:r>
          </w:p>
          <w:p w:rsidR="00F37C98" w:rsidRPr="00830205" w:rsidRDefault="00F37C98" w:rsidP="001437A9">
            <w:pPr>
              <w:spacing w:line="288" w:lineRule="auto"/>
              <w:jc w:val="center"/>
              <w:rPr>
                <w:rFonts w:ascii="Arial" w:hAnsi="Arial"/>
                <w:b/>
                <w:color w:val="FFFFFF"/>
                <w:szCs w:val="24"/>
                <w:lang w:val="en-GB" w:eastAsia="en-US"/>
              </w:rPr>
            </w:pPr>
            <w:r w:rsidRPr="00830205">
              <w:rPr>
                <w:rFonts w:ascii="Arial" w:hAnsi="Arial"/>
                <w:b/>
                <w:color w:val="FFFFFF"/>
                <w:szCs w:val="24"/>
                <w:lang w:val="en-GB" w:eastAsia="en-US"/>
              </w:rPr>
              <w:t>requirement</w:t>
            </w:r>
          </w:p>
        </w:tc>
      </w:tr>
      <w:tr w:rsidR="00F37C98" w:rsidRPr="00830205" w:rsidTr="00F37C98">
        <w:tc>
          <w:tcPr>
            <w:tcW w:w="2014" w:type="dxa"/>
            <w:tcBorders>
              <w:top w:val="single" w:sz="2" w:space="0" w:color="FFFFFF"/>
              <w:left w:val="single" w:sz="4" w:space="0" w:color="D2232A"/>
              <w:bottom w:val="single" w:sz="4" w:space="0" w:color="D2232A"/>
              <w:right w:val="single" w:sz="4" w:space="0" w:color="D2232A"/>
            </w:tcBorders>
            <w:vAlign w:val="center"/>
          </w:tcPr>
          <w:p w:rsidR="00F37C98" w:rsidRPr="00830205" w:rsidRDefault="00F37C98" w:rsidP="00F46F1D">
            <w:pPr>
              <w:rPr>
                <w:rFonts w:ascii="Arial" w:hAnsi="Arial"/>
                <w:szCs w:val="24"/>
                <w:lang w:val="en-GB" w:eastAsia="en-US"/>
              </w:rPr>
            </w:pPr>
            <w:r w:rsidRPr="00830205">
              <w:rPr>
                <w:rFonts w:ascii="Arial" w:hAnsi="Arial"/>
                <w:szCs w:val="24"/>
                <w:lang w:val="en-GB" w:eastAsia="en-US"/>
              </w:rPr>
              <w:t>401-402 MHz</w:t>
            </w:r>
          </w:p>
          <w:p w:rsidR="00F37C98" w:rsidRPr="00830205" w:rsidRDefault="00F37C98" w:rsidP="00F46F1D">
            <w:pPr>
              <w:rPr>
                <w:rFonts w:ascii="Arial" w:hAnsi="Arial"/>
                <w:szCs w:val="24"/>
                <w:lang w:val="en-GB" w:eastAsia="en-US"/>
              </w:rPr>
            </w:pPr>
            <w:r w:rsidRPr="00830205">
              <w:rPr>
                <w:rFonts w:ascii="Arial" w:hAnsi="Arial"/>
                <w:szCs w:val="24"/>
                <w:lang w:val="en-GB" w:eastAsia="en-US"/>
              </w:rPr>
              <w:t>and</w:t>
            </w:r>
          </w:p>
          <w:p w:rsidR="00F37C98" w:rsidRPr="00830205" w:rsidRDefault="00F37C98" w:rsidP="00F46F1D">
            <w:pPr>
              <w:rPr>
                <w:rFonts w:ascii="Arial" w:hAnsi="Arial"/>
                <w:szCs w:val="24"/>
                <w:lang w:val="en-GB" w:eastAsia="en-US"/>
              </w:rPr>
            </w:pPr>
            <w:r w:rsidRPr="00830205">
              <w:rPr>
                <w:rFonts w:ascii="Arial" w:hAnsi="Arial"/>
                <w:szCs w:val="24"/>
                <w:lang w:val="en-GB" w:eastAsia="en-US"/>
              </w:rPr>
              <w:t>405-406 MHz</w:t>
            </w:r>
          </w:p>
        </w:tc>
        <w:tc>
          <w:tcPr>
            <w:tcW w:w="2015" w:type="dxa"/>
            <w:tcBorders>
              <w:top w:val="single" w:sz="2" w:space="0" w:color="FFFFFF"/>
              <w:left w:val="single" w:sz="4" w:space="0" w:color="D2232A"/>
              <w:bottom w:val="single" w:sz="4" w:space="0" w:color="D2232A"/>
              <w:right w:val="single" w:sz="4" w:space="0" w:color="D2232A"/>
            </w:tcBorders>
            <w:vAlign w:val="center"/>
          </w:tcPr>
          <w:p w:rsidR="00F37C98" w:rsidRPr="00830205" w:rsidRDefault="00F37C98" w:rsidP="00F46F1D">
            <w:pPr>
              <w:rPr>
                <w:rFonts w:ascii="Arial" w:hAnsi="Arial"/>
                <w:szCs w:val="24"/>
                <w:lang w:val="en-GB" w:eastAsia="en-US"/>
              </w:rPr>
            </w:pPr>
          </w:p>
          <w:p w:rsidR="00F37C98" w:rsidRPr="00830205" w:rsidRDefault="00F37C98" w:rsidP="00F46F1D">
            <w:pPr>
              <w:rPr>
                <w:rFonts w:ascii="Arial" w:hAnsi="Arial"/>
                <w:szCs w:val="24"/>
                <w:lang w:val="en-GB" w:eastAsia="en-US"/>
              </w:rPr>
            </w:pPr>
            <w:r w:rsidRPr="00830205">
              <w:rPr>
                <w:rFonts w:ascii="Arial" w:hAnsi="Arial"/>
                <w:szCs w:val="24"/>
                <w:lang w:val="en-GB" w:eastAsia="en-US"/>
              </w:rPr>
              <w:t>25 µW e.r.p.</w:t>
            </w:r>
          </w:p>
          <w:p w:rsidR="00F37C98" w:rsidRPr="00830205" w:rsidRDefault="00F37C98" w:rsidP="00F46F1D">
            <w:pPr>
              <w:rPr>
                <w:rFonts w:ascii="Arial" w:hAnsi="Arial"/>
                <w:szCs w:val="24"/>
                <w:lang w:val="en-GB" w:eastAsia="en-US"/>
              </w:rPr>
            </w:pPr>
          </w:p>
        </w:tc>
        <w:tc>
          <w:tcPr>
            <w:tcW w:w="2706" w:type="dxa"/>
            <w:tcBorders>
              <w:top w:val="single" w:sz="2" w:space="0" w:color="FFFFFF"/>
              <w:left w:val="single" w:sz="4" w:space="0" w:color="D2232A"/>
              <w:bottom w:val="single" w:sz="4" w:space="0" w:color="D2232A"/>
              <w:right w:val="single" w:sz="4" w:space="0" w:color="D2232A"/>
            </w:tcBorders>
            <w:vAlign w:val="center"/>
          </w:tcPr>
          <w:p w:rsidR="00F37C98" w:rsidRPr="00830205" w:rsidRDefault="00F37C98" w:rsidP="00F46F1D">
            <w:pPr>
              <w:rPr>
                <w:rFonts w:ascii="Arial" w:hAnsi="Arial"/>
                <w:szCs w:val="24"/>
                <w:lang w:val="en-GB" w:eastAsia="en-US"/>
              </w:rPr>
            </w:pPr>
            <w:r w:rsidRPr="00830205">
              <w:rPr>
                <w:rFonts w:ascii="Arial" w:hAnsi="Arial"/>
                <w:szCs w:val="24"/>
                <w:lang w:val="en-GB" w:eastAsia="en-US"/>
              </w:rPr>
              <w:t>25 kHz</w:t>
            </w:r>
          </w:p>
          <w:p w:rsidR="00F37C98" w:rsidRPr="00830205" w:rsidRDefault="00F37C98" w:rsidP="00F46F1D">
            <w:pPr>
              <w:rPr>
                <w:rFonts w:ascii="Arial" w:hAnsi="Arial"/>
                <w:szCs w:val="24"/>
                <w:lang w:val="en-GB" w:eastAsia="en-US"/>
              </w:rPr>
            </w:pPr>
            <w:r w:rsidRPr="00830205">
              <w:rPr>
                <w:rFonts w:ascii="Arial" w:hAnsi="Arial"/>
                <w:szCs w:val="24"/>
                <w:lang w:val="en-GB" w:eastAsia="en-US"/>
              </w:rPr>
              <w:t>Individual transmitters may combine adjacent channels for increased bandwidth up to 100 kHz</w:t>
            </w:r>
          </w:p>
        </w:tc>
        <w:tc>
          <w:tcPr>
            <w:tcW w:w="2445" w:type="dxa"/>
            <w:tcBorders>
              <w:top w:val="single" w:sz="2" w:space="0" w:color="FFFFFF"/>
              <w:left w:val="single" w:sz="4" w:space="0" w:color="D2232A"/>
              <w:bottom w:val="single" w:sz="4" w:space="0" w:color="D2232A"/>
              <w:right w:val="single" w:sz="4" w:space="0" w:color="D2232A"/>
            </w:tcBorders>
            <w:vAlign w:val="center"/>
          </w:tcPr>
          <w:p w:rsidR="00F37C98" w:rsidRPr="00830205" w:rsidRDefault="00F37C98" w:rsidP="00F46F1D">
            <w:pPr>
              <w:rPr>
                <w:rFonts w:ascii="Arial" w:hAnsi="Arial"/>
                <w:szCs w:val="24"/>
                <w:lang w:val="en-GB" w:eastAsia="en-US"/>
              </w:rPr>
            </w:pPr>
            <w:r w:rsidRPr="00830205">
              <w:rPr>
                <w:rFonts w:ascii="Arial" w:hAnsi="Arial"/>
                <w:szCs w:val="24"/>
                <w:lang w:val="en-GB" w:eastAsia="en-US"/>
              </w:rPr>
              <w:t>As specified in</w:t>
            </w:r>
          </w:p>
          <w:p w:rsidR="00F37C98" w:rsidRPr="00830205" w:rsidRDefault="00F37C98" w:rsidP="00F46F1D">
            <w:pPr>
              <w:rPr>
                <w:rFonts w:ascii="Arial" w:hAnsi="Arial"/>
                <w:szCs w:val="24"/>
                <w:lang w:val="en-GB" w:eastAsia="en-US"/>
              </w:rPr>
            </w:pPr>
            <w:r w:rsidRPr="00830205">
              <w:rPr>
                <w:rFonts w:ascii="Arial" w:hAnsi="Arial"/>
                <w:szCs w:val="24"/>
                <w:lang w:val="en-GB" w:eastAsia="en-US"/>
              </w:rPr>
              <w:t xml:space="preserve">The product specific  </w:t>
            </w:r>
            <w:r w:rsidR="004101BB" w:rsidRPr="00830205">
              <w:rPr>
                <w:rFonts w:ascii="Arial" w:hAnsi="Arial"/>
                <w:szCs w:val="24"/>
                <w:lang w:val="en-GB" w:eastAsia="en-US"/>
              </w:rPr>
              <w:t>h</w:t>
            </w:r>
            <w:r w:rsidRPr="00830205">
              <w:rPr>
                <w:rFonts w:ascii="Arial" w:hAnsi="Arial"/>
                <w:szCs w:val="24"/>
                <w:lang w:val="en-GB" w:eastAsia="en-US"/>
              </w:rPr>
              <w:t xml:space="preserve">armonised European </w:t>
            </w:r>
            <w:r w:rsidR="004101BB" w:rsidRPr="00830205">
              <w:rPr>
                <w:rFonts w:ascii="Arial" w:hAnsi="Arial"/>
                <w:szCs w:val="24"/>
                <w:lang w:val="en-GB" w:eastAsia="en-US"/>
              </w:rPr>
              <w:t>s</w:t>
            </w:r>
            <w:r w:rsidRPr="00830205">
              <w:rPr>
                <w:rFonts w:ascii="Arial" w:hAnsi="Arial"/>
                <w:szCs w:val="24"/>
                <w:lang w:val="en-GB" w:eastAsia="en-US"/>
              </w:rPr>
              <w:t>tandard (see Annex 2) or equivalent spectrum access and mitigation techniques.</w:t>
            </w:r>
          </w:p>
        </w:tc>
      </w:tr>
    </w:tbl>
    <w:p w:rsidR="001F5C30" w:rsidRPr="00830205" w:rsidRDefault="001F5C30" w:rsidP="00DE5122">
      <w:pPr>
        <w:pStyle w:val="Footer"/>
        <w:tabs>
          <w:tab w:val="left" w:pos="283"/>
          <w:tab w:val="left" w:pos="1134"/>
          <w:tab w:val="left" w:pos="1985"/>
          <w:tab w:val="left" w:pos="2836"/>
          <w:tab w:val="left" w:pos="3686"/>
          <w:tab w:val="left" w:pos="4537"/>
          <w:tab w:val="left" w:pos="5388"/>
          <w:tab w:val="left" w:pos="6239"/>
          <w:tab w:val="left" w:pos="7090"/>
          <w:tab w:val="left" w:pos="7940"/>
          <w:tab w:val="left" w:pos="8791"/>
        </w:tabs>
        <w:suppressAutoHyphens/>
        <w:rPr>
          <w:lang w:val="en-GB"/>
        </w:rPr>
      </w:pPr>
    </w:p>
    <w:p w:rsidR="001F5C30" w:rsidRPr="00830205" w:rsidRDefault="00CC559D" w:rsidP="00F37C98">
      <w:pPr>
        <w:pStyle w:val="ECCAnnex-heading1"/>
      </w:pPr>
      <w:r w:rsidRPr="00830205">
        <w:lastRenderedPageBreak/>
        <w:t>A</w:t>
      </w:r>
      <w:r w:rsidR="001F5C30" w:rsidRPr="00830205">
        <w:t>NNEX 2</w:t>
      </w:r>
      <w:r w:rsidR="00F37C98" w:rsidRPr="00830205">
        <w:t>:</w:t>
      </w:r>
      <w:r w:rsidRPr="00830205">
        <w:t xml:space="preserve"> </w:t>
      </w:r>
      <w:r w:rsidR="001F5C30" w:rsidRPr="00830205">
        <w:t xml:space="preserve">Informative Annex: Additional technical characteristics with which </w:t>
      </w:r>
      <w:r w:rsidR="00721C3E" w:rsidRPr="00830205">
        <w:t xml:space="preserve">ULP-AMI communication systems </w:t>
      </w:r>
      <w:r w:rsidR="001F5C30" w:rsidRPr="00830205">
        <w:t>using the frequencies identified in Decides 1 are recommended to</w:t>
      </w:r>
      <w:r w:rsidRPr="00830205">
        <w:t xml:space="preserve"> </w:t>
      </w:r>
      <w:r w:rsidR="001F5C30" w:rsidRPr="00830205">
        <w:t>comply to ensure efficient use of the spectrum</w:t>
      </w:r>
    </w:p>
    <w:p w:rsidR="001F5C30" w:rsidRPr="00830205" w:rsidRDefault="001F5C30">
      <w:pPr>
        <w:tabs>
          <w:tab w:val="left" w:pos="283"/>
          <w:tab w:val="left" w:pos="1134"/>
          <w:tab w:val="left" w:pos="1985"/>
          <w:tab w:val="left" w:pos="2836"/>
          <w:tab w:val="left" w:pos="3686"/>
          <w:tab w:val="left" w:pos="4537"/>
          <w:tab w:val="left" w:pos="5388"/>
          <w:tab w:val="left" w:pos="6239"/>
          <w:tab w:val="left" w:pos="7090"/>
          <w:tab w:val="left" w:pos="7940"/>
          <w:tab w:val="left" w:pos="8791"/>
        </w:tabs>
        <w:suppressAutoHyphens/>
        <w:jc w:val="both"/>
        <w:rPr>
          <w:lang w:val="en-GB"/>
        </w:rPr>
      </w:pPr>
    </w:p>
    <w:p w:rsidR="00C135C1" w:rsidRPr="00830205" w:rsidRDefault="001F5C30" w:rsidP="00AA7BBA">
      <w:pPr>
        <w:pStyle w:val="ECCParagraph"/>
        <w:keepNext/>
        <w:tabs>
          <w:tab w:val="left" w:pos="851"/>
        </w:tabs>
        <w:spacing w:after="120"/>
      </w:pPr>
      <w:r w:rsidRPr="00830205">
        <w:rPr>
          <w:i/>
          <w:color w:val="D2232A"/>
        </w:rPr>
        <w:t>Note:</w:t>
      </w:r>
      <w:r w:rsidRPr="00830205">
        <w:t xml:space="preserve"> In this ERC Decision this annex is for information only; however, in cases where the relevant harmonised </w:t>
      </w:r>
      <w:r w:rsidR="007136E9" w:rsidRPr="00830205">
        <w:t xml:space="preserve">European </w:t>
      </w:r>
      <w:r w:rsidRPr="00830205">
        <w:t xml:space="preserve">standard applicable to </w:t>
      </w:r>
      <w:r w:rsidR="00150610" w:rsidRPr="00830205">
        <w:t>ULP-AMI communication systems</w:t>
      </w:r>
      <w:r w:rsidRPr="00830205">
        <w:t xml:space="preserve"> contains essential requirements for transmitter or receiver parameters, this harmonised </w:t>
      </w:r>
      <w:r w:rsidR="007136E9" w:rsidRPr="00830205">
        <w:t xml:space="preserve">European </w:t>
      </w:r>
      <w:r w:rsidRPr="00830205">
        <w:t>standard prevails upon the following information. For the conditions and methods of measurement refer to the relevant ETSI standard</w:t>
      </w:r>
      <w:r w:rsidR="00C135C1" w:rsidRPr="00830205">
        <w:t>:</w:t>
      </w:r>
    </w:p>
    <w:p w:rsidR="00C135C1" w:rsidRPr="00830205" w:rsidRDefault="001F5C30" w:rsidP="00AA7BBA">
      <w:pPr>
        <w:numPr>
          <w:ilvl w:val="0"/>
          <w:numId w:val="17"/>
        </w:numPr>
        <w:tabs>
          <w:tab w:val="left" w:pos="567"/>
          <w:tab w:val="left" w:pos="1134"/>
          <w:tab w:val="left" w:pos="1985"/>
          <w:tab w:val="left" w:pos="2836"/>
          <w:tab w:val="left" w:pos="3686"/>
          <w:tab w:val="left" w:pos="4537"/>
          <w:tab w:val="left" w:pos="5388"/>
          <w:tab w:val="left" w:pos="6239"/>
          <w:tab w:val="left" w:pos="7090"/>
          <w:tab w:val="left" w:pos="7940"/>
          <w:tab w:val="left" w:pos="8791"/>
        </w:tabs>
        <w:suppressAutoHyphens/>
        <w:ind w:left="567" w:hanging="425"/>
        <w:rPr>
          <w:rFonts w:ascii="Arial" w:hAnsi="Arial" w:cs="Arial"/>
          <w:spacing w:val="-3"/>
          <w:lang w:val="en-GB"/>
        </w:rPr>
      </w:pPr>
      <w:r w:rsidRPr="00830205">
        <w:rPr>
          <w:rFonts w:ascii="Arial" w:hAnsi="Arial" w:cs="Arial"/>
          <w:spacing w:val="-3"/>
          <w:lang w:val="en-GB"/>
        </w:rPr>
        <w:t>EN 30</w:t>
      </w:r>
      <w:r w:rsidR="00CA4634" w:rsidRPr="00830205">
        <w:rPr>
          <w:rFonts w:ascii="Arial" w:hAnsi="Arial" w:cs="Arial"/>
          <w:spacing w:val="-3"/>
          <w:lang w:val="en-GB"/>
        </w:rPr>
        <w:t>1</w:t>
      </w:r>
      <w:r w:rsidRPr="00830205">
        <w:rPr>
          <w:rFonts w:ascii="Arial" w:hAnsi="Arial" w:cs="Arial"/>
          <w:spacing w:val="-3"/>
          <w:lang w:val="en-GB"/>
        </w:rPr>
        <w:t xml:space="preserve"> </w:t>
      </w:r>
      <w:r w:rsidR="00C135C1" w:rsidRPr="00830205">
        <w:rPr>
          <w:rFonts w:ascii="Arial" w:hAnsi="Arial" w:cs="Arial"/>
          <w:spacing w:val="-3"/>
          <w:lang w:val="en-GB"/>
        </w:rPr>
        <w:t xml:space="preserve">839 for the </w:t>
      </w:r>
      <w:r w:rsidR="004101BB" w:rsidRPr="00830205">
        <w:rPr>
          <w:rFonts w:ascii="Arial" w:hAnsi="Arial" w:cs="Arial"/>
          <w:spacing w:val="-3"/>
          <w:lang w:val="en-GB"/>
        </w:rPr>
        <w:t xml:space="preserve">frequency </w:t>
      </w:r>
      <w:r w:rsidR="00C135C1" w:rsidRPr="00830205">
        <w:rPr>
          <w:rFonts w:ascii="Arial" w:hAnsi="Arial" w:cs="Arial"/>
          <w:spacing w:val="-3"/>
          <w:lang w:val="en-GB"/>
        </w:rPr>
        <w:t>band 402-405</w:t>
      </w:r>
      <w:r w:rsidR="007136E9" w:rsidRPr="00830205">
        <w:rPr>
          <w:rFonts w:ascii="Arial" w:hAnsi="Arial" w:cs="Arial"/>
          <w:spacing w:val="-3"/>
          <w:lang w:val="en-GB"/>
        </w:rPr>
        <w:t xml:space="preserve"> </w:t>
      </w:r>
      <w:r w:rsidR="00C135C1" w:rsidRPr="00830205">
        <w:rPr>
          <w:rFonts w:ascii="Arial" w:hAnsi="Arial" w:cs="Arial"/>
          <w:spacing w:val="-3"/>
          <w:lang w:val="en-GB"/>
        </w:rPr>
        <w:t>MHz and</w:t>
      </w:r>
    </w:p>
    <w:p w:rsidR="001F5C30" w:rsidRPr="00830205" w:rsidRDefault="00C135C1" w:rsidP="00AA7BBA">
      <w:pPr>
        <w:numPr>
          <w:ilvl w:val="0"/>
          <w:numId w:val="17"/>
        </w:numPr>
        <w:tabs>
          <w:tab w:val="left" w:pos="567"/>
          <w:tab w:val="left" w:pos="1134"/>
          <w:tab w:val="left" w:pos="1985"/>
          <w:tab w:val="left" w:pos="2836"/>
          <w:tab w:val="left" w:pos="3686"/>
          <w:tab w:val="left" w:pos="4537"/>
          <w:tab w:val="left" w:pos="5388"/>
          <w:tab w:val="left" w:pos="6239"/>
          <w:tab w:val="left" w:pos="7090"/>
          <w:tab w:val="left" w:pos="7940"/>
          <w:tab w:val="left" w:pos="8791"/>
        </w:tabs>
        <w:suppressAutoHyphens/>
        <w:ind w:left="567" w:hanging="425"/>
        <w:rPr>
          <w:rFonts w:ascii="Arial" w:hAnsi="Arial" w:cs="Arial"/>
          <w:spacing w:val="-3"/>
          <w:lang w:val="en-GB"/>
        </w:rPr>
      </w:pPr>
      <w:r w:rsidRPr="00830205">
        <w:rPr>
          <w:rFonts w:ascii="Arial" w:hAnsi="Arial" w:cs="Arial"/>
          <w:spacing w:val="-3"/>
          <w:lang w:val="en-GB"/>
        </w:rPr>
        <w:t xml:space="preserve">EN 302 537 for the </w:t>
      </w:r>
      <w:r w:rsidR="004101BB" w:rsidRPr="00830205">
        <w:rPr>
          <w:rFonts w:ascii="Arial" w:hAnsi="Arial" w:cs="Arial"/>
          <w:spacing w:val="-3"/>
          <w:lang w:val="en-GB"/>
        </w:rPr>
        <w:t xml:space="preserve">frequency </w:t>
      </w:r>
      <w:r w:rsidRPr="00830205">
        <w:rPr>
          <w:rFonts w:ascii="Arial" w:hAnsi="Arial" w:cs="Arial"/>
          <w:spacing w:val="-3"/>
          <w:lang w:val="en-GB"/>
        </w:rPr>
        <w:t>bands 401-402</w:t>
      </w:r>
      <w:r w:rsidR="007136E9" w:rsidRPr="00830205">
        <w:rPr>
          <w:rFonts w:ascii="Arial" w:hAnsi="Arial" w:cs="Arial"/>
          <w:spacing w:val="-3"/>
          <w:lang w:val="en-GB"/>
        </w:rPr>
        <w:t xml:space="preserve"> </w:t>
      </w:r>
      <w:r w:rsidRPr="00830205">
        <w:rPr>
          <w:rFonts w:ascii="Arial" w:hAnsi="Arial" w:cs="Arial"/>
          <w:spacing w:val="-3"/>
          <w:lang w:val="en-GB"/>
        </w:rPr>
        <w:t>MHz and 405-406</w:t>
      </w:r>
      <w:r w:rsidR="007136E9" w:rsidRPr="00830205">
        <w:rPr>
          <w:rFonts w:ascii="Arial" w:hAnsi="Arial" w:cs="Arial"/>
          <w:spacing w:val="-3"/>
          <w:lang w:val="en-GB"/>
        </w:rPr>
        <w:t xml:space="preserve"> </w:t>
      </w:r>
      <w:r w:rsidRPr="00830205">
        <w:rPr>
          <w:rFonts w:ascii="Arial" w:hAnsi="Arial" w:cs="Arial"/>
          <w:spacing w:val="-3"/>
          <w:lang w:val="en-GB"/>
        </w:rPr>
        <w:t>MHz</w:t>
      </w:r>
    </w:p>
    <w:p w:rsidR="001F5C30" w:rsidRPr="00830205" w:rsidRDefault="001F5C30" w:rsidP="003329D3">
      <w:pPr>
        <w:tabs>
          <w:tab w:val="left" w:pos="283"/>
          <w:tab w:val="left" w:pos="1134"/>
          <w:tab w:val="left" w:pos="1985"/>
          <w:tab w:val="left" w:pos="2836"/>
          <w:tab w:val="left" w:pos="3686"/>
          <w:tab w:val="left" w:pos="4537"/>
          <w:tab w:val="left" w:pos="5388"/>
          <w:tab w:val="left" w:pos="6239"/>
          <w:tab w:val="left" w:pos="7090"/>
          <w:tab w:val="left" w:pos="7940"/>
          <w:tab w:val="left" w:pos="8791"/>
        </w:tabs>
        <w:suppressAutoHyphens/>
        <w:rPr>
          <w:lang w:val="en-GB"/>
        </w:rPr>
      </w:pPr>
    </w:p>
    <w:sectPr w:rsidR="001F5C30" w:rsidRPr="00830205" w:rsidSect="00B5499C">
      <w:headerReference w:type="even" r:id="rId15"/>
      <w:headerReference w:type="default" r:id="rId16"/>
      <w:footerReference w:type="even" r:id="rId17"/>
      <w:footerReference w:type="default" r:id="rId18"/>
      <w:headerReference w:type="first" r:id="rId19"/>
      <w:type w:val="evenPage"/>
      <w:pgSz w:w="11906" w:h="16838" w:code="9"/>
      <w:pgMar w:top="1412" w:right="1412" w:bottom="561" w:left="1412"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3DA" w:rsidRDefault="00BB23DA">
      <w:r>
        <w:separator/>
      </w:r>
    </w:p>
  </w:endnote>
  <w:endnote w:type="continuationSeparator" w:id="0">
    <w:p w:rsidR="00BB23DA" w:rsidRDefault="00BB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9C" w:rsidRDefault="00B5499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9C" w:rsidRDefault="00B5499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9C" w:rsidRDefault="00B5499C">
    <w:pPr>
      <w:pStyle w:val="Footer"/>
      <w:rPr>
        <w:sz w:val="16"/>
        <w:lang w:val="da-D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3DA" w:rsidRDefault="00BB23DA">
      <w:r>
        <w:separator/>
      </w:r>
    </w:p>
  </w:footnote>
  <w:footnote w:type="continuationSeparator" w:id="0">
    <w:p w:rsidR="00BB23DA" w:rsidRDefault="00BB23DA">
      <w:r>
        <w:continuationSeparator/>
      </w:r>
    </w:p>
  </w:footnote>
  <w:footnote w:id="1">
    <w:p w:rsidR="007706F8" w:rsidRPr="007706F8" w:rsidRDefault="007706F8" w:rsidP="007706F8">
      <w:pPr>
        <w:pStyle w:val="FootnoteText"/>
        <w:rPr>
          <w:lang w:val="en-US"/>
        </w:rPr>
      </w:pPr>
      <w:r>
        <w:rPr>
          <w:rStyle w:val="FootnoteReference"/>
        </w:rPr>
        <w:footnoteRef/>
      </w:r>
      <w:r w:rsidRPr="007706F8">
        <w:rPr>
          <w:lang w:val="en-US"/>
        </w:rPr>
        <w:t xml:space="preserve"> </w:t>
      </w:r>
      <w:r w:rsidRPr="00F840BE">
        <w:rPr>
          <w:rFonts w:ascii="Arial" w:hAnsi="Arial" w:cs="Arial"/>
          <w:lang w:val="en-US" w:eastAsia="de-DE"/>
        </w:rPr>
        <w:t>Comparable technical specifications to those given in this ECC Decision are given in the amended EC Decision 2006/771/EC for SRD. EU Member States and, if so approved by the EEA Joint Committee, Iceland, Liechtenstein and Norway are obliged to implement the EC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9C" w:rsidRDefault="0023477F" w:rsidP="0065720A">
    <w:pPr>
      <w:pStyle w:val="Header"/>
      <w:rPr>
        <w:b/>
        <w:lang w:val="da-DK"/>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3" type="#_x0000_t136" style="position:absolute;margin-left:0;margin-top:0;width:513.8pt;height:205.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5499C" w:rsidRPr="005021FC">
      <w:rPr>
        <w:b/>
        <w:lang w:val="da-DK"/>
      </w:rPr>
      <w:t>DRAFT amended ERC/DEC/(0</w:t>
    </w:r>
    <w:r w:rsidR="00B5499C">
      <w:rPr>
        <w:b/>
        <w:lang w:val="da-DK"/>
      </w:rPr>
      <w:t>1)17</w:t>
    </w:r>
  </w:p>
  <w:p w:rsidR="00B5499C" w:rsidRDefault="00B5499C" w:rsidP="0065720A">
    <w:pPr>
      <w:pStyle w:val="Header"/>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Pr>
        <w:noProof/>
        <w:sz w:val="16"/>
        <w:lang w:val="da-DK"/>
      </w:rPr>
      <w:t>4</w:t>
    </w:r>
    <w:r>
      <w:rPr>
        <w:sz w:val="16"/>
        <w:lang w:val="da-DK"/>
      </w:rPr>
      <w:fldChar w:fldCharType="end"/>
    </w:r>
  </w:p>
  <w:p w:rsidR="00B5499C" w:rsidRDefault="0023477F" w:rsidP="004A32CB">
    <w:pPr>
      <w:pStyle w:val="Header"/>
      <w:rPr>
        <w:sz w:val="16"/>
      </w:rPr>
    </w:pPr>
    <w:r>
      <w:rPr>
        <w:noProof/>
      </w:rPr>
      <w:pict>
        <v:shape id="PowerPlusWaterMarkObject14648310" o:spid="_x0000_s2079" type="#_x0000_t136" style="position:absolute;margin-left:0;margin-top:0;width:513.8pt;height:205.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9C" w:rsidRDefault="0023477F">
    <w:pPr>
      <w:pStyle w:val="Header"/>
      <w:jc w:val="right"/>
      <w:rPr>
        <w:b/>
        <w:lang w:val="da-DK"/>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48311" o:spid="_x0000_s2080" type="#_x0000_t136" style="position:absolute;left:0;text-align:left;margin-left:0;margin-top:0;width:513.8pt;height:205.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5499C" w:rsidRPr="005021FC">
      <w:rPr>
        <w:b/>
        <w:lang w:val="da-DK"/>
      </w:rPr>
      <w:t>DRAFT amended ERC/DEC/(0</w:t>
    </w:r>
    <w:r w:rsidR="00B5499C">
      <w:rPr>
        <w:b/>
        <w:lang w:val="da-DK"/>
      </w:rPr>
      <w:t>1)17</w:t>
    </w:r>
  </w:p>
  <w:p w:rsidR="00B5499C" w:rsidRDefault="00B5499C">
    <w:pPr>
      <w:pStyle w:val="Header"/>
      <w:jc w:val="right"/>
      <w:rPr>
        <w:sz w:val="16"/>
        <w:lang w:val="da-DK"/>
      </w:rPr>
    </w:pPr>
    <w:r>
      <w:rPr>
        <w:sz w:val="16"/>
        <w:lang w:val="da-DK"/>
      </w:rPr>
      <w:t xml:space="preserve">Page </w:t>
    </w:r>
    <w:r>
      <w:rPr>
        <w:sz w:val="16"/>
        <w:lang w:val="da-DK"/>
      </w:rPr>
      <w:fldChar w:fldCharType="begin"/>
    </w:r>
    <w:r>
      <w:rPr>
        <w:sz w:val="16"/>
        <w:lang w:val="da-DK"/>
      </w:rPr>
      <w:instrText xml:space="preserve"> PAGE </w:instrText>
    </w:r>
    <w:r>
      <w:rPr>
        <w:sz w:val="16"/>
        <w:lang w:val="da-DK"/>
      </w:rPr>
      <w:fldChar w:fldCharType="separate"/>
    </w:r>
    <w:r>
      <w:rPr>
        <w:noProof/>
        <w:sz w:val="16"/>
        <w:lang w:val="da-DK"/>
      </w:rPr>
      <w:t>3</w:t>
    </w:r>
    <w:r>
      <w:rPr>
        <w:sz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9C" w:rsidRPr="000F4F5B" w:rsidRDefault="00B5499C" w:rsidP="00394B64">
    <w:pPr>
      <w:pStyle w:val="Header"/>
      <w:rPr>
        <w:rFonts w:ascii="Arial" w:hAnsi="Arial" w:cs="Arial"/>
      </w:rPr>
    </w:pPr>
    <w:r w:rsidRPr="000F4F5B">
      <w:rPr>
        <w:rFonts w:ascii="Arial" w:hAnsi="Arial" w:cs="Arial"/>
        <w:b/>
        <w:sz w:val="16"/>
        <w:szCs w:val="16"/>
        <w:lang w:val="en-US"/>
      </w:rPr>
      <w:t>E</w:t>
    </w:r>
    <w:r w:rsidR="00BC419A">
      <w:rPr>
        <w:rFonts w:ascii="Arial" w:hAnsi="Arial" w:cs="Arial"/>
        <w:b/>
        <w:sz w:val="16"/>
        <w:szCs w:val="16"/>
        <w:lang w:val="en-US"/>
      </w:rPr>
      <w:t>R</w:t>
    </w:r>
    <w:r w:rsidRPr="000F4F5B">
      <w:rPr>
        <w:rFonts w:ascii="Arial" w:hAnsi="Arial" w:cs="Arial"/>
        <w:b/>
        <w:sz w:val="16"/>
        <w:szCs w:val="16"/>
        <w:lang w:val="en-US"/>
      </w:rPr>
      <w:t xml:space="preserve">C DECISION (01)17 Page </w:t>
    </w:r>
    <w:r w:rsidRPr="000F4F5B">
      <w:rPr>
        <w:rFonts w:ascii="Arial" w:hAnsi="Arial" w:cs="Arial"/>
        <w:b/>
        <w:sz w:val="16"/>
        <w:szCs w:val="16"/>
        <w:lang w:val="en-US"/>
      </w:rPr>
      <w:fldChar w:fldCharType="begin"/>
    </w:r>
    <w:r w:rsidRPr="000F4F5B">
      <w:rPr>
        <w:rFonts w:ascii="Arial" w:hAnsi="Arial" w:cs="Arial"/>
        <w:b/>
        <w:sz w:val="16"/>
        <w:szCs w:val="16"/>
      </w:rPr>
      <w:instrText xml:space="preserve"> PAGE  \* Arabic  \* MERGEFORMAT </w:instrText>
    </w:r>
    <w:r w:rsidRPr="000F4F5B">
      <w:rPr>
        <w:rFonts w:ascii="Arial" w:hAnsi="Arial" w:cs="Arial"/>
        <w:b/>
        <w:sz w:val="16"/>
        <w:szCs w:val="16"/>
        <w:lang w:val="en-US"/>
      </w:rPr>
      <w:fldChar w:fldCharType="separate"/>
    </w:r>
    <w:r w:rsidR="000E0AF2" w:rsidRPr="000E0AF2">
      <w:rPr>
        <w:rFonts w:ascii="Arial" w:hAnsi="Arial" w:cs="Arial"/>
        <w:b/>
        <w:noProof/>
        <w:sz w:val="16"/>
        <w:szCs w:val="16"/>
        <w:lang w:val="en-US"/>
      </w:rPr>
      <w:t>2</w:t>
    </w:r>
    <w:r w:rsidRPr="000F4F5B">
      <w:rPr>
        <w:rFonts w:ascii="Arial" w:hAnsi="Arial" w:cs="Arial"/>
        <w:b/>
        <w:noProof/>
        <w:sz w:val="16"/>
        <w:szCs w:val="16"/>
        <w:lang w:val="da-DK"/>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9C" w:rsidRPr="00AA7BBA" w:rsidRDefault="00B5499C" w:rsidP="001854B2">
    <w:pPr>
      <w:pStyle w:val="Header"/>
      <w:jc w:val="right"/>
      <w:rPr>
        <w:rFonts w:ascii="Arial" w:hAnsi="Arial" w:cs="Arial"/>
      </w:rPr>
    </w:pPr>
    <w:r w:rsidRPr="00AA7BBA">
      <w:rPr>
        <w:rFonts w:ascii="Arial" w:hAnsi="Arial" w:cs="Arial"/>
        <w:b/>
        <w:sz w:val="16"/>
        <w:szCs w:val="16"/>
        <w:lang w:val="en-US"/>
      </w:rPr>
      <w:t>E</w:t>
    </w:r>
    <w:r w:rsidR="00BC419A">
      <w:rPr>
        <w:rFonts w:ascii="Arial" w:hAnsi="Arial" w:cs="Arial"/>
        <w:b/>
        <w:sz w:val="16"/>
        <w:szCs w:val="16"/>
        <w:lang w:val="en-US"/>
      </w:rPr>
      <w:t>R</w:t>
    </w:r>
    <w:r w:rsidRPr="00AA7BBA">
      <w:rPr>
        <w:rFonts w:ascii="Arial" w:hAnsi="Arial" w:cs="Arial"/>
        <w:b/>
        <w:sz w:val="16"/>
        <w:szCs w:val="16"/>
        <w:lang w:val="en-US"/>
      </w:rPr>
      <w:t xml:space="preserve">C DECISION (01)17 Page </w:t>
    </w:r>
    <w:r w:rsidRPr="00AA7BBA">
      <w:rPr>
        <w:rFonts w:ascii="Arial" w:hAnsi="Arial" w:cs="Arial"/>
        <w:b/>
        <w:sz w:val="16"/>
        <w:szCs w:val="16"/>
        <w:lang w:val="en-US"/>
      </w:rPr>
      <w:fldChar w:fldCharType="begin"/>
    </w:r>
    <w:r w:rsidRPr="00AA7BBA">
      <w:rPr>
        <w:rFonts w:ascii="Arial" w:hAnsi="Arial" w:cs="Arial"/>
        <w:b/>
        <w:sz w:val="16"/>
        <w:szCs w:val="16"/>
      </w:rPr>
      <w:instrText xml:space="preserve"> PAGE  \* Arabic  \* MERGEFORMAT </w:instrText>
    </w:r>
    <w:r w:rsidRPr="00AA7BBA">
      <w:rPr>
        <w:rFonts w:ascii="Arial" w:hAnsi="Arial" w:cs="Arial"/>
        <w:b/>
        <w:sz w:val="16"/>
        <w:szCs w:val="16"/>
        <w:lang w:val="en-US"/>
      </w:rPr>
      <w:fldChar w:fldCharType="separate"/>
    </w:r>
    <w:r w:rsidR="000E0AF2" w:rsidRPr="000E0AF2">
      <w:rPr>
        <w:rFonts w:ascii="Arial" w:hAnsi="Arial" w:cs="Arial"/>
        <w:b/>
        <w:noProof/>
        <w:sz w:val="16"/>
        <w:szCs w:val="16"/>
        <w:lang w:val="en-US"/>
      </w:rPr>
      <w:t>3</w:t>
    </w:r>
    <w:r w:rsidRPr="00AA7BBA">
      <w:rPr>
        <w:rFonts w:ascii="Arial" w:hAnsi="Arial" w:cs="Arial"/>
        <w:b/>
        <w:noProof/>
        <w:sz w:val="16"/>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99C" w:rsidRPr="00AA7BBA" w:rsidRDefault="00B5499C">
    <w:pPr>
      <w:pStyle w:val="Header"/>
      <w:rPr>
        <w:rFonts w:ascii="Arial" w:hAnsi="Arial" w:cs="Arial"/>
        <w:b/>
        <w:sz w:val="16"/>
        <w:szCs w:val="16"/>
      </w:rPr>
    </w:pPr>
    <w:r w:rsidRPr="00AA7BBA">
      <w:rPr>
        <w:rFonts w:ascii="Arial" w:hAnsi="Arial" w:cs="Arial"/>
        <w:b/>
        <w:sz w:val="16"/>
        <w:szCs w:val="16"/>
        <w:lang w:val="en-US"/>
      </w:rPr>
      <w:t xml:space="preserve">ECC DECISION (01)17 Page </w:t>
    </w:r>
    <w:r w:rsidRPr="00AA7BBA">
      <w:rPr>
        <w:rFonts w:ascii="Arial" w:hAnsi="Arial" w:cs="Arial"/>
        <w:b/>
        <w:sz w:val="16"/>
        <w:szCs w:val="16"/>
        <w:lang w:val="en-US"/>
      </w:rPr>
      <w:fldChar w:fldCharType="begin"/>
    </w:r>
    <w:r w:rsidRPr="00AA7BBA">
      <w:rPr>
        <w:rFonts w:ascii="Arial" w:hAnsi="Arial" w:cs="Arial"/>
        <w:b/>
        <w:sz w:val="16"/>
        <w:szCs w:val="16"/>
      </w:rPr>
      <w:instrText xml:space="preserve"> PAGE  \* Arabic  \* MERGEFORMAT </w:instrText>
    </w:r>
    <w:r w:rsidRPr="00AA7BBA">
      <w:rPr>
        <w:rFonts w:ascii="Arial" w:hAnsi="Arial" w:cs="Arial"/>
        <w:b/>
        <w:sz w:val="16"/>
        <w:szCs w:val="16"/>
        <w:lang w:val="en-US"/>
      </w:rPr>
      <w:fldChar w:fldCharType="separate"/>
    </w:r>
    <w:r w:rsidRPr="00B5499C">
      <w:rPr>
        <w:rFonts w:ascii="Arial" w:hAnsi="Arial" w:cs="Arial"/>
        <w:b/>
        <w:noProof/>
        <w:sz w:val="16"/>
        <w:szCs w:val="16"/>
        <w:lang w:val="en-US"/>
      </w:rPr>
      <w:t>2</w:t>
    </w:r>
    <w:r w:rsidRPr="00AA7BBA">
      <w:rPr>
        <w:rFonts w:ascii="Arial" w:hAnsi="Arial" w:cs="Arial"/>
        <w:b/>
        <w:noProof/>
        <w:sz w:val="16"/>
        <w:szCs w:val="16"/>
        <w:lang w:val="da-DK"/>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F47"/>
    <w:multiLevelType w:val="hybridMultilevel"/>
    <w:tmpl w:val="8A429C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BF69F2"/>
    <w:multiLevelType w:val="hybridMultilevel"/>
    <w:tmpl w:val="30661F4C"/>
    <w:lvl w:ilvl="0" w:tplc="27D479BA">
      <w:start w:val="1"/>
      <w:numFmt w:val="lowerLetter"/>
      <w:pStyle w:val="ListParagraph"/>
      <w:lvlText w:val="%1)"/>
      <w:lvlJc w:val="left"/>
      <w:pPr>
        <w:ind w:left="360" w:hanging="360"/>
      </w:pPr>
      <w:rPr>
        <w:rFonts w:ascii="Arial" w:hAnsi="Arial" w:hint="default"/>
        <w:b w:val="0"/>
        <w:bCs w:val="0"/>
        <w:i w:val="0"/>
        <w:iCs w:val="0"/>
        <w:color w:val="D2232A"/>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3E8A72BC"/>
    <w:multiLevelType w:val="singleLevel"/>
    <w:tmpl w:val="0409000F"/>
    <w:lvl w:ilvl="0">
      <w:start w:val="1"/>
      <w:numFmt w:val="decimal"/>
      <w:lvlText w:val="%1."/>
      <w:lvlJc w:val="left"/>
      <w:pPr>
        <w:tabs>
          <w:tab w:val="num" w:pos="360"/>
        </w:tabs>
        <w:ind w:left="360" w:hanging="360"/>
      </w:pPr>
    </w:lvl>
  </w:abstractNum>
  <w:abstractNum w:abstractNumId="3">
    <w:nsid w:val="48733A07"/>
    <w:multiLevelType w:val="singleLevel"/>
    <w:tmpl w:val="3DA2F800"/>
    <w:lvl w:ilvl="0">
      <w:start w:val="1"/>
      <w:numFmt w:val="lowerLetter"/>
      <w:lvlText w:val="%1)"/>
      <w:lvlJc w:val="left"/>
      <w:pPr>
        <w:tabs>
          <w:tab w:val="num" w:pos="360"/>
        </w:tabs>
        <w:ind w:left="360" w:hanging="360"/>
      </w:pPr>
      <w:rPr>
        <w:rFonts w:hint="default"/>
      </w:rPr>
    </w:lvl>
  </w:abstractNum>
  <w:abstractNum w:abstractNumId="4">
    <w:nsid w:val="4BEA25B4"/>
    <w:multiLevelType w:val="singleLevel"/>
    <w:tmpl w:val="25C68424"/>
    <w:lvl w:ilvl="0">
      <w:start w:val="1"/>
      <w:numFmt w:val="lowerRoman"/>
      <w:lvlText w:val="%1)"/>
      <w:lvlJc w:val="left"/>
      <w:pPr>
        <w:tabs>
          <w:tab w:val="num" w:pos="720"/>
        </w:tabs>
        <w:ind w:left="720" w:hanging="720"/>
      </w:pPr>
      <w:rPr>
        <w:rFonts w:hint="default"/>
      </w:rPr>
    </w:lvl>
  </w:abstractNum>
  <w:abstractNum w:abstractNumId="5">
    <w:nsid w:val="50563314"/>
    <w:multiLevelType w:val="hybridMultilevel"/>
    <w:tmpl w:val="8D465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0B66B9"/>
    <w:multiLevelType w:val="hybridMultilevel"/>
    <w:tmpl w:val="BDC2317C"/>
    <w:lvl w:ilvl="0" w:tplc="C93A41DE">
      <w:start w:val="1"/>
      <w:numFmt w:val="decimal"/>
      <w:pStyle w:val="Heading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7F22303"/>
    <w:multiLevelType w:val="hybridMultilevel"/>
    <w:tmpl w:val="EC4827EE"/>
    <w:lvl w:ilvl="0" w:tplc="31CCAEF4">
      <w:start w:val="1"/>
      <w:numFmt w:val="decimal"/>
      <w:lvlText w:val="%1."/>
      <w:lvlJc w:val="left"/>
      <w:pPr>
        <w:ind w:left="360" w:hanging="360"/>
      </w:pPr>
      <w:rPr>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58F85E08"/>
    <w:multiLevelType w:val="singleLevel"/>
    <w:tmpl w:val="3BD022D2"/>
    <w:lvl w:ilvl="0">
      <w:start w:val="1"/>
      <w:numFmt w:val="bullet"/>
      <w:lvlText w:val="-"/>
      <w:lvlJc w:val="left"/>
      <w:pPr>
        <w:tabs>
          <w:tab w:val="num" w:pos="928"/>
        </w:tabs>
        <w:ind w:left="928" w:hanging="360"/>
      </w:pPr>
      <w:rPr>
        <w:rFonts w:hint="default"/>
      </w:rPr>
    </w:lvl>
  </w:abstractNum>
  <w:abstractNum w:abstractNumId="9">
    <w:nsid w:val="61013CF6"/>
    <w:multiLevelType w:val="singleLevel"/>
    <w:tmpl w:val="3DA2F800"/>
    <w:lvl w:ilvl="0">
      <w:start w:val="1"/>
      <w:numFmt w:val="lowerLetter"/>
      <w:lvlText w:val="%1)"/>
      <w:lvlJc w:val="left"/>
      <w:pPr>
        <w:tabs>
          <w:tab w:val="num" w:pos="360"/>
        </w:tabs>
        <w:ind w:left="360" w:hanging="360"/>
      </w:pPr>
      <w:rPr>
        <w:rFonts w:hint="default"/>
      </w:rPr>
    </w:lvl>
  </w:abstractNum>
  <w:abstractNum w:abstractNumId="10">
    <w:nsid w:val="6EE171A7"/>
    <w:multiLevelType w:val="singleLevel"/>
    <w:tmpl w:val="0809000F"/>
    <w:lvl w:ilvl="0">
      <w:start w:val="1"/>
      <w:numFmt w:val="decimal"/>
      <w:lvlText w:val="%1."/>
      <w:lvlJc w:val="left"/>
      <w:pPr>
        <w:tabs>
          <w:tab w:val="num" w:pos="360"/>
        </w:tabs>
        <w:ind w:left="360" w:hanging="360"/>
      </w:pPr>
    </w:lvl>
  </w:abstractNum>
  <w:abstractNum w:abstractNumId="11">
    <w:nsid w:val="73210896"/>
    <w:multiLevelType w:val="singleLevel"/>
    <w:tmpl w:val="5BD69222"/>
    <w:lvl w:ilvl="0">
      <w:start w:val="1"/>
      <w:numFmt w:val="decimal"/>
      <w:lvlText w:val="%1"/>
      <w:lvlJc w:val="left"/>
      <w:pPr>
        <w:tabs>
          <w:tab w:val="num" w:pos="360"/>
        </w:tabs>
        <w:ind w:left="360" w:hanging="360"/>
      </w:pPr>
      <w:rPr>
        <w:rFonts w:hint="default"/>
      </w:rPr>
    </w:lvl>
  </w:abstractNum>
  <w:abstractNum w:abstractNumId="12">
    <w:nsid w:val="74EB328E"/>
    <w:multiLevelType w:val="singleLevel"/>
    <w:tmpl w:val="7CAEADEA"/>
    <w:lvl w:ilvl="0">
      <w:start w:val="1"/>
      <w:numFmt w:val="decimal"/>
      <w:lvlText w:val="%1)"/>
      <w:lvlJc w:val="left"/>
      <w:pPr>
        <w:tabs>
          <w:tab w:val="num" w:pos="360"/>
        </w:tabs>
        <w:ind w:left="360" w:hanging="360"/>
      </w:pPr>
      <w:rPr>
        <w:rFonts w:hint="default"/>
      </w:rPr>
    </w:lvl>
  </w:abstractNum>
  <w:abstractNum w:abstractNumId="13">
    <w:nsid w:val="78EA7B78"/>
    <w:multiLevelType w:val="hybridMultilevel"/>
    <w:tmpl w:val="E99ED506"/>
    <w:lvl w:ilvl="0" w:tplc="73C4B67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4"/>
  </w:num>
  <w:num w:numId="5">
    <w:abstractNumId w:val="3"/>
  </w:num>
  <w:num w:numId="6">
    <w:abstractNumId w:val="9"/>
  </w:num>
  <w:num w:numId="7">
    <w:abstractNumId w:val="10"/>
  </w:num>
  <w:num w:numId="8">
    <w:abstractNumId w:val="12"/>
  </w:num>
  <w:num w:numId="9">
    <w:abstractNumId w:val="0"/>
  </w:num>
  <w:num w:numId="10">
    <w:abstractNumId w:val="6"/>
  </w:num>
  <w:num w:numId="11">
    <w:abstractNumId w:val="6"/>
  </w:num>
  <w:num w:numId="12">
    <w:abstractNumId w:val="6"/>
  </w:num>
  <w:num w:numId="13">
    <w:abstractNumId w:val="6"/>
  </w:num>
  <w:num w:numId="14">
    <w:abstractNumId w:val="1"/>
  </w:num>
  <w:num w:numId="15">
    <w:abstractNumId w:val="7"/>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08"/>
    <w:rsid w:val="000066A0"/>
    <w:rsid w:val="000106CB"/>
    <w:rsid w:val="00045946"/>
    <w:rsid w:val="00054D9D"/>
    <w:rsid w:val="00056920"/>
    <w:rsid w:val="0009137D"/>
    <w:rsid w:val="00093A15"/>
    <w:rsid w:val="0009669E"/>
    <w:rsid w:val="000A1BCA"/>
    <w:rsid w:val="000A4F89"/>
    <w:rsid w:val="000A7C08"/>
    <w:rsid w:val="000B4735"/>
    <w:rsid w:val="000C4D08"/>
    <w:rsid w:val="000C572D"/>
    <w:rsid w:val="000D0AE3"/>
    <w:rsid w:val="000E0AF2"/>
    <w:rsid w:val="000F4F5B"/>
    <w:rsid w:val="001017A0"/>
    <w:rsid w:val="0012111B"/>
    <w:rsid w:val="00124F3A"/>
    <w:rsid w:val="001410DB"/>
    <w:rsid w:val="001437A9"/>
    <w:rsid w:val="00150610"/>
    <w:rsid w:val="00164AC6"/>
    <w:rsid w:val="001854B2"/>
    <w:rsid w:val="001B7864"/>
    <w:rsid w:val="001D3FBB"/>
    <w:rsid w:val="001F5C30"/>
    <w:rsid w:val="00206828"/>
    <w:rsid w:val="002257BD"/>
    <w:rsid w:val="0024178C"/>
    <w:rsid w:val="002417B0"/>
    <w:rsid w:val="00255014"/>
    <w:rsid w:val="002656A2"/>
    <w:rsid w:val="00276BD0"/>
    <w:rsid w:val="00277A5B"/>
    <w:rsid w:val="002805D2"/>
    <w:rsid w:val="002949A8"/>
    <w:rsid w:val="002B1EA8"/>
    <w:rsid w:val="002C2A5A"/>
    <w:rsid w:val="002C63F7"/>
    <w:rsid w:val="002D3868"/>
    <w:rsid w:val="002D5929"/>
    <w:rsid w:val="0030149F"/>
    <w:rsid w:val="00302B5B"/>
    <w:rsid w:val="003329D3"/>
    <w:rsid w:val="00337CC1"/>
    <w:rsid w:val="00360117"/>
    <w:rsid w:val="00367501"/>
    <w:rsid w:val="003717A6"/>
    <w:rsid w:val="00394B64"/>
    <w:rsid w:val="003B4555"/>
    <w:rsid w:val="003C49AA"/>
    <w:rsid w:val="003D0B45"/>
    <w:rsid w:val="003E1FB8"/>
    <w:rsid w:val="003F4D3B"/>
    <w:rsid w:val="00402424"/>
    <w:rsid w:val="00406405"/>
    <w:rsid w:val="00407545"/>
    <w:rsid w:val="004101BB"/>
    <w:rsid w:val="00414649"/>
    <w:rsid w:val="004214C1"/>
    <w:rsid w:val="00430C1C"/>
    <w:rsid w:val="0043180C"/>
    <w:rsid w:val="00435B7B"/>
    <w:rsid w:val="00455689"/>
    <w:rsid w:val="0049464F"/>
    <w:rsid w:val="004960DD"/>
    <w:rsid w:val="004A32CB"/>
    <w:rsid w:val="004B323E"/>
    <w:rsid w:val="004E02C0"/>
    <w:rsid w:val="004E5052"/>
    <w:rsid w:val="005021FC"/>
    <w:rsid w:val="00503DB2"/>
    <w:rsid w:val="005163AC"/>
    <w:rsid w:val="0052357D"/>
    <w:rsid w:val="005318A6"/>
    <w:rsid w:val="00533840"/>
    <w:rsid w:val="005758D3"/>
    <w:rsid w:val="0058729E"/>
    <w:rsid w:val="005A2E66"/>
    <w:rsid w:val="005A4F76"/>
    <w:rsid w:val="005E0B36"/>
    <w:rsid w:val="00611905"/>
    <w:rsid w:val="00632F41"/>
    <w:rsid w:val="00634D6D"/>
    <w:rsid w:val="006376D8"/>
    <w:rsid w:val="0065720A"/>
    <w:rsid w:val="006630D1"/>
    <w:rsid w:val="00665CE0"/>
    <w:rsid w:val="00673E04"/>
    <w:rsid w:val="006948A7"/>
    <w:rsid w:val="00696B91"/>
    <w:rsid w:val="006C052E"/>
    <w:rsid w:val="006D3621"/>
    <w:rsid w:val="006E7A6F"/>
    <w:rsid w:val="007136E9"/>
    <w:rsid w:val="00721C3E"/>
    <w:rsid w:val="00724676"/>
    <w:rsid w:val="007334D9"/>
    <w:rsid w:val="00735A5D"/>
    <w:rsid w:val="00737D03"/>
    <w:rsid w:val="00750F11"/>
    <w:rsid w:val="007532DD"/>
    <w:rsid w:val="00761957"/>
    <w:rsid w:val="007706F8"/>
    <w:rsid w:val="00775F8A"/>
    <w:rsid w:val="00782CA3"/>
    <w:rsid w:val="00797FC6"/>
    <w:rsid w:val="007A50A5"/>
    <w:rsid w:val="007B759E"/>
    <w:rsid w:val="007D0122"/>
    <w:rsid w:val="007D46AC"/>
    <w:rsid w:val="007D5D19"/>
    <w:rsid w:val="007D65CC"/>
    <w:rsid w:val="007E3FD6"/>
    <w:rsid w:val="007F2A5C"/>
    <w:rsid w:val="007F4588"/>
    <w:rsid w:val="00830205"/>
    <w:rsid w:val="008349B6"/>
    <w:rsid w:val="00841FD0"/>
    <w:rsid w:val="00862B62"/>
    <w:rsid w:val="00885EB6"/>
    <w:rsid w:val="008B02D1"/>
    <w:rsid w:val="008C3BF5"/>
    <w:rsid w:val="008C4480"/>
    <w:rsid w:val="008F3E9C"/>
    <w:rsid w:val="009071B3"/>
    <w:rsid w:val="009214BD"/>
    <w:rsid w:val="0097693F"/>
    <w:rsid w:val="00983377"/>
    <w:rsid w:val="0099271F"/>
    <w:rsid w:val="0099371B"/>
    <w:rsid w:val="009A3772"/>
    <w:rsid w:val="009B2596"/>
    <w:rsid w:val="009C46CB"/>
    <w:rsid w:val="009E30D0"/>
    <w:rsid w:val="009E4665"/>
    <w:rsid w:val="009E6C40"/>
    <w:rsid w:val="00A0443D"/>
    <w:rsid w:val="00A07BC9"/>
    <w:rsid w:val="00A27E3A"/>
    <w:rsid w:val="00A3749D"/>
    <w:rsid w:val="00A45844"/>
    <w:rsid w:val="00A55878"/>
    <w:rsid w:val="00A669C2"/>
    <w:rsid w:val="00A7096F"/>
    <w:rsid w:val="00A81DE7"/>
    <w:rsid w:val="00A8256D"/>
    <w:rsid w:val="00A95333"/>
    <w:rsid w:val="00AA2654"/>
    <w:rsid w:val="00AA3665"/>
    <w:rsid w:val="00AA7BBA"/>
    <w:rsid w:val="00AB561C"/>
    <w:rsid w:val="00AC3CEA"/>
    <w:rsid w:val="00B24930"/>
    <w:rsid w:val="00B25423"/>
    <w:rsid w:val="00B5499C"/>
    <w:rsid w:val="00BA26AD"/>
    <w:rsid w:val="00BA3C3F"/>
    <w:rsid w:val="00BB23DA"/>
    <w:rsid w:val="00BB7B56"/>
    <w:rsid w:val="00BC2E9D"/>
    <w:rsid w:val="00BC419A"/>
    <w:rsid w:val="00BD3362"/>
    <w:rsid w:val="00BE3888"/>
    <w:rsid w:val="00C00657"/>
    <w:rsid w:val="00C135C1"/>
    <w:rsid w:val="00C31731"/>
    <w:rsid w:val="00C36294"/>
    <w:rsid w:val="00C36947"/>
    <w:rsid w:val="00C57022"/>
    <w:rsid w:val="00CA4634"/>
    <w:rsid w:val="00CA752C"/>
    <w:rsid w:val="00CB3493"/>
    <w:rsid w:val="00CC559D"/>
    <w:rsid w:val="00CD2E8C"/>
    <w:rsid w:val="00CE1065"/>
    <w:rsid w:val="00CE5BFD"/>
    <w:rsid w:val="00CF50BA"/>
    <w:rsid w:val="00D11A03"/>
    <w:rsid w:val="00D200B2"/>
    <w:rsid w:val="00D358EC"/>
    <w:rsid w:val="00D414E6"/>
    <w:rsid w:val="00D45CEC"/>
    <w:rsid w:val="00D463C6"/>
    <w:rsid w:val="00D517C3"/>
    <w:rsid w:val="00D54A59"/>
    <w:rsid w:val="00D604E1"/>
    <w:rsid w:val="00D64633"/>
    <w:rsid w:val="00D65FFC"/>
    <w:rsid w:val="00D75ED7"/>
    <w:rsid w:val="00D92CAC"/>
    <w:rsid w:val="00D96DE6"/>
    <w:rsid w:val="00DA0DFC"/>
    <w:rsid w:val="00DA34F3"/>
    <w:rsid w:val="00DA7A4F"/>
    <w:rsid w:val="00DB0391"/>
    <w:rsid w:val="00DC227B"/>
    <w:rsid w:val="00DC2B90"/>
    <w:rsid w:val="00DC374F"/>
    <w:rsid w:val="00DD3ACB"/>
    <w:rsid w:val="00DE2FEF"/>
    <w:rsid w:val="00DE359F"/>
    <w:rsid w:val="00DE5122"/>
    <w:rsid w:val="00DE5D98"/>
    <w:rsid w:val="00E11EF7"/>
    <w:rsid w:val="00E1294A"/>
    <w:rsid w:val="00E21D3F"/>
    <w:rsid w:val="00E2482E"/>
    <w:rsid w:val="00E4563E"/>
    <w:rsid w:val="00E45680"/>
    <w:rsid w:val="00E52731"/>
    <w:rsid w:val="00E57002"/>
    <w:rsid w:val="00E70967"/>
    <w:rsid w:val="00E87461"/>
    <w:rsid w:val="00EA78EF"/>
    <w:rsid w:val="00EC2433"/>
    <w:rsid w:val="00EC4DF6"/>
    <w:rsid w:val="00ED5932"/>
    <w:rsid w:val="00EE0227"/>
    <w:rsid w:val="00EE6EF8"/>
    <w:rsid w:val="00F10778"/>
    <w:rsid w:val="00F135E2"/>
    <w:rsid w:val="00F37C98"/>
    <w:rsid w:val="00F46F1D"/>
    <w:rsid w:val="00F625B7"/>
    <w:rsid w:val="00F72BB2"/>
    <w:rsid w:val="00F748F8"/>
    <w:rsid w:val="00F77687"/>
    <w:rsid w:val="00F77FA6"/>
    <w:rsid w:val="00F80B73"/>
    <w:rsid w:val="00F840BE"/>
    <w:rsid w:val="00F92307"/>
    <w:rsid w:val="00F9483A"/>
    <w:rsid w:val="00F97F72"/>
    <w:rsid w:val="00FB24F0"/>
    <w:rsid w:val="00FC46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ja-JP"/>
    </w:rPr>
  </w:style>
  <w:style w:type="paragraph" w:styleId="Heading1">
    <w:name w:val="heading 1"/>
    <w:aliases w:val="ECC Heading 1"/>
    <w:basedOn w:val="Normal"/>
    <w:next w:val="Normal"/>
    <w:autoRedefine/>
    <w:qFormat/>
    <w:pPr>
      <w:keepNext/>
      <w:widowControl w:val="0"/>
      <w:spacing w:before="480" w:after="240"/>
      <w:outlineLvl w:val="0"/>
    </w:pPr>
    <w:rPr>
      <w:b/>
      <w:snapToGrid w:val="0"/>
      <w:lang w:val="en-GB" w:eastAsia="en-US"/>
    </w:rPr>
  </w:style>
  <w:style w:type="paragraph" w:styleId="Heading2">
    <w:name w:val="heading 2"/>
    <w:aliases w:val="ECC Heading 2"/>
    <w:basedOn w:val="Normal"/>
    <w:next w:val="Normal"/>
    <w:qFormat/>
    <w:rsid w:val="007334D9"/>
    <w:pPr>
      <w:keepNext/>
      <w:numPr>
        <w:numId w:val="10"/>
      </w:numPr>
      <w:tabs>
        <w:tab w:val="left" w:pos="426"/>
      </w:tabs>
      <w:spacing w:before="480" w:after="240"/>
      <w:outlineLvl w:val="1"/>
    </w:pPr>
    <w:rPr>
      <w:rFonts w:ascii="Arial" w:hAnsi="Arial" w:cs="Arial"/>
      <w:b/>
      <w:bCs/>
      <w:iCs/>
      <w:caps/>
      <w:color w:val="D2232A"/>
      <w:szCs w:val="28"/>
      <w:lang w:eastAsia="en-US"/>
    </w:rPr>
  </w:style>
  <w:style w:type="paragraph" w:styleId="Heading7">
    <w:name w:val="heading 7"/>
    <w:basedOn w:val="Normal"/>
    <w:next w:val="Normal"/>
    <w:qFormat/>
    <w:pPr>
      <w:keepNext/>
      <w:outlineLvl w:val="6"/>
    </w:pPr>
    <w:rPr>
      <w:b/>
      <w:lang w:val="en-GB" w:eastAsia="en-US"/>
    </w:rPr>
  </w:style>
  <w:style w:type="paragraph" w:styleId="Heading8">
    <w:name w:val="heading 8"/>
    <w:basedOn w:val="Normal"/>
    <w:next w:val="Normal"/>
    <w:qFormat/>
    <w:pPr>
      <w:keepNext/>
      <w:tabs>
        <w:tab w:val="left" w:pos="283"/>
        <w:tab w:val="left" w:pos="1134"/>
        <w:tab w:val="left" w:pos="1985"/>
        <w:tab w:val="left" w:pos="2836"/>
        <w:tab w:val="left" w:pos="3686"/>
        <w:tab w:val="left" w:pos="4537"/>
        <w:tab w:val="left" w:pos="5388"/>
        <w:tab w:val="left" w:pos="6239"/>
        <w:tab w:val="left" w:pos="7090"/>
        <w:tab w:val="left" w:pos="7940"/>
        <w:tab w:val="left" w:pos="8791"/>
      </w:tabs>
      <w:suppressAutoHyphens/>
      <w:jc w:val="right"/>
      <w:outlineLvl w:val="7"/>
    </w:pPr>
    <w:rPr>
      <w:b/>
      <w: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153"/>
        <w:tab w:val="right" w:pos="8306"/>
      </w:tabs>
    </w:pPr>
    <w:rPr>
      <w:snapToGrid w:val="0"/>
      <w:lang w:val="fi-FI" w:eastAsia="en-US"/>
    </w:rPr>
  </w:style>
  <w:style w:type="paragraph" w:styleId="Footer">
    <w:name w:val="footer"/>
    <w:basedOn w:val="Normal"/>
    <w:pPr>
      <w:widowControl w:val="0"/>
      <w:tabs>
        <w:tab w:val="center" w:pos="4153"/>
        <w:tab w:val="right" w:pos="8306"/>
      </w:tabs>
    </w:pPr>
    <w:rPr>
      <w:snapToGrid w:val="0"/>
      <w:lang w:val="fi-FI" w:eastAsia="en-US"/>
    </w:rPr>
  </w:style>
  <w:style w:type="paragraph" w:customStyle="1" w:styleId="BlockQuotation">
    <w:name w:val="Block Quotation"/>
    <w:basedOn w:val="Normal"/>
    <w:pPr>
      <w:widowControl w:val="0"/>
      <w:tabs>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s>
      <w:spacing w:after="120" w:line="259" w:lineRule="auto"/>
      <w:ind w:left="840" w:right="-18" w:hanging="720"/>
    </w:pPr>
    <w:rPr>
      <w:rFonts w:ascii="Swis721 Lt BT" w:hAnsi="Swis721 Lt BT"/>
      <w:sz w:val="24"/>
      <w:lang w:eastAsia="en-US"/>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styleId="Title">
    <w:name w:val="Title"/>
    <w:basedOn w:val="Normal"/>
    <w:qFormat/>
    <w:pPr>
      <w:spacing w:before="2500" w:after="1600"/>
      <w:jc w:val="center"/>
    </w:pPr>
    <w:rPr>
      <w:b/>
      <w:sz w:val="36"/>
    </w:rPr>
  </w:style>
  <w:style w:type="paragraph" w:styleId="BodyTextIndent">
    <w:name w:val="Body Text Indent"/>
    <w:basedOn w:val="Normal"/>
    <w:pPr>
      <w:jc w:val="both"/>
    </w:pPr>
    <w:rPr>
      <w:spacing w:val="-3"/>
      <w:sz w:val="24"/>
      <w:lang w:val="en-GB" w:eastAsia="en-US"/>
    </w:rPr>
  </w:style>
  <w:style w:type="character" w:styleId="FootnoteReference">
    <w:name w:val="footnote reference"/>
    <w:aliases w:val="Appel note de bas de p"/>
    <w:semiHidden/>
    <w:rPr>
      <w:vertAlign w:val="superscript"/>
    </w:rPr>
  </w:style>
  <w:style w:type="paragraph" w:styleId="FootnoteText">
    <w:name w:val="footnote text"/>
    <w:basedOn w:val="Normal"/>
    <w:semiHidden/>
    <w:rPr>
      <w:lang w:val="da-DK" w:eastAsia="en-US"/>
    </w:rPr>
  </w:style>
  <w:style w:type="paragraph" w:customStyle="1" w:styleId="TAH">
    <w:name w:val="TAH"/>
    <w:basedOn w:val="TAC"/>
    <w:rPr>
      <w:b/>
    </w:rPr>
  </w:style>
  <w:style w:type="paragraph" w:customStyle="1" w:styleId="TAC">
    <w:name w:val="TAC"/>
    <w:basedOn w:val="Normal"/>
    <w:pPr>
      <w:keepNext/>
      <w:keepLines/>
      <w:jc w:val="center"/>
    </w:pPr>
    <w:rPr>
      <w:rFonts w:ascii="Arial" w:hAnsi="Arial"/>
      <w:sz w:val="18"/>
      <w:lang w:val="en-GB" w:eastAsia="en-US"/>
    </w:rPr>
  </w:style>
  <w:style w:type="paragraph" w:customStyle="1" w:styleId="B1">
    <w:name w:val="B1"/>
    <w:basedOn w:val="List"/>
    <w:pPr>
      <w:spacing w:after="180"/>
      <w:ind w:left="568" w:hanging="284"/>
    </w:pPr>
    <w:rPr>
      <w:lang w:val="en-GB" w:eastAsia="en-US"/>
    </w:rPr>
  </w:style>
  <w:style w:type="paragraph" w:styleId="BodyText">
    <w:name w:val="Body Text"/>
    <w:basedOn w:val="Normal"/>
    <w:pPr>
      <w:spacing w:after="120"/>
    </w:pPr>
    <w:rPr>
      <w:lang w:val="en-GB" w:eastAsia="en-US"/>
    </w:rPr>
  </w:style>
  <w:style w:type="paragraph" w:styleId="List">
    <w:name w:val="List"/>
    <w:basedOn w:val="Normal"/>
    <w:pPr>
      <w:ind w:left="283" w:hanging="283"/>
    </w:pPr>
  </w:style>
  <w:style w:type="paragraph" w:styleId="BodyTextIndent2">
    <w:name w:val="Body Text Indent 2"/>
    <w:basedOn w:val="Normal"/>
    <w:pPr>
      <w:ind w:left="180"/>
    </w:pPr>
  </w:style>
  <w:style w:type="paragraph" w:styleId="BalloonText">
    <w:name w:val="Balloon Text"/>
    <w:basedOn w:val="Normal"/>
    <w:semiHidden/>
    <w:rsid w:val="00BE3888"/>
    <w:rPr>
      <w:rFonts w:ascii="Tahoma" w:hAnsi="Tahoma" w:cs="Tahoma"/>
      <w:sz w:val="16"/>
      <w:szCs w:val="16"/>
    </w:rPr>
  </w:style>
  <w:style w:type="character" w:styleId="Strong">
    <w:name w:val="Strong"/>
    <w:qFormat/>
    <w:rsid w:val="00F748F8"/>
    <w:rPr>
      <w:b/>
      <w:bCs/>
    </w:rPr>
  </w:style>
  <w:style w:type="paragraph" w:customStyle="1" w:styleId="Reporttitledescription">
    <w:name w:val="Report title/description"/>
    <w:basedOn w:val="Normal"/>
    <w:rsid w:val="0052357D"/>
    <w:pPr>
      <w:spacing w:before="600" w:line="288" w:lineRule="auto"/>
      <w:ind w:left="3402"/>
    </w:pPr>
    <w:rPr>
      <w:rFonts w:ascii="Arial" w:hAnsi="Arial"/>
      <w:color w:val="57433E"/>
      <w:sz w:val="24"/>
      <w:szCs w:val="24"/>
      <w:lang w:eastAsia="en-US"/>
    </w:rPr>
  </w:style>
  <w:style w:type="paragraph" w:customStyle="1" w:styleId="Lastupdated">
    <w:name w:val="Last updated"/>
    <w:basedOn w:val="Normal"/>
    <w:rsid w:val="0052357D"/>
    <w:pPr>
      <w:spacing w:before="120" w:after="120"/>
      <w:ind w:left="3402"/>
    </w:pPr>
    <w:rPr>
      <w:rFonts w:ascii="Arial" w:hAnsi="Arial"/>
      <w:bCs/>
      <w:sz w:val="18"/>
      <w:szCs w:val="24"/>
      <w:lang w:eastAsia="en-US"/>
    </w:rPr>
  </w:style>
  <w:style w:type="paragraph" w:customStyle="1" w:styleId="ECCParagraph">
    <w:name w:val="ECC Paragraph"/>
    <w:basedOn w:val="Normal"/>
    <w:rsid w:val="007334D9"/>
    <w:pPr>
      <w:spacing w:after="240"/>
      <w:jc w:val="both"/>
    </w:pPr>
    <w:rPr>
      <w:rFonts w:ascii="Arial" w:hAnsi="Arial"/>
      <w:szCs w:val="24"/>
      <w:lang w:val="en-GB" w:eastAsia="en-US"/>
    </w:rPr>
  </w:style>
  <w:style w:type="paragraph" w:styleId="ListParagraph">
    <w:name w:val="List Paragraph"/>
    <w:basedOn w:val="Normal"/>
    <w:uiPriority w:val="34"/>
    <w:qFormat/>
    <w:rsid w:val="007334D9"/>
    <w:pPr>
      <w:numPr>
        <w:numId w:val="14"/>
      </w:numPr>
      <w:tabs>
        <w:tab w:val="left" w:pos="567"/>
      </w:tabs>
      <w:spacing w:after="240"/>
      <w:ind w:left="567" w:hanging="567"/>
    </w:pPr>
    <w:rPr>
      <w:rFonts w:ascii="Arial" w:hAnsi="Arial"/>
      <w:szCs w:val="24"/>
      <w:lang w:eastAsia="en-US"/>
    </w:rPr>
  </w:style>
  <w:style w:type="paragraph" w:customStyle="1" w:styleId="NumberedList">
    <w:name w:val="Numbered List"/>
    <w:basedOn w:val="ECCParagraph"/>
    <w:rsid w:val="007334D9"/>
  </w:style>
  <w:style w:type="paragraph" w:customStyle="1" w:styleId="ECCAnnex-heading1">
    <w:name w:val="ECC Annex - heading1"/>
    <w:basedOn w:val="Heading1"/>
    <w:next w:val="ECCParagraph"/>
    <w:rsid w:val="007334D9"/>
    <w:pPr>
      <w:pageBreakBefore/>
      <w:widowControl/>
      <w:spacing w:before="400"/>
    </w:pPr>
    <w:rPr>
      <w:rFonts w:ascii="Arial" w:hAnsi="Arial" w:cs="Arial"/>
      <w:bCs/>
      <w:caps/>
      <w:snapToGrid/>
      <w:color w:val="D2232A"/>
      <w:kern w:val="32"/>
      <w:szCs w:val="32"/>
    </w:rPr>
  </w:style>
  <w:style w:type="paragraph" w:customStyle="1" w:styleId="ECCAnnexheading2">
    <w:name w:val="ECC Annex heading2"/>
    <w:basedOn w:val="Normal"/>
    <w:next w:val="ECCParagraph"/>
    <w:rsid w:val="007334D9"/>
    <w:pPr>
      <w:overflowPunct w:val="0"/>
      <w:autoSpaceDE w:val="0"/>
      <w:autoSpaceDN w:val="0"/>
      <w:adjustRightInd w:val="0"/>
      <w:spacing w:before="480" w:after="240"/>
      <w:textAlignment w:val="baseline"/>
    </w:pPr>
    <w:rPr>
      <w:rFonts w:ascii="Arial" w:hAnsi="Arial"/>
      <w:b/>
      <w:cap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ja-JP"/>
    </w:rPr>
  </w:style>
  <w:style w:type="paragraph" w:styleId="Heading1">
    <w:name w:val="heading 1"/>
    <w:aliases w:val="ECC Heading 1"/>
    <w:basedOn w:val="Normal"/>
    <w:next w:val="Normal"/>
    <w:autoRedefine/>
    <w:qFormat/>
    <w:pPr>
      <w:keepNext/>
      <w:widowControl w:val="0"/>
      <w:spacing w:before="480" w:after="240"/>
      <w:outlineLvl w:val="0"/>
    </w:pPr>
    <w:rPr>
      <w:b/>
      <w:snapToGrid w:val="0"/>
      <w:lang w:val="en-GB" w:eastAsia="en-US"/>
    </w:rPr>
  </w:style>
  <w:style w:type="paragraph" w:styleId="Heading2">
    <w:name w:val="heading 2"/>
    <w:aliases w:val="ECC Heading 2"/>
    <w:basedOn w:val="Normal"/>
    <w:next w:val="Normal"/>
    <w:qFormat/>
    <w:rsid w:val="007334D9"/>
    <w:pPr>
      <w:keepNext/>
      <w:numPr>
        <w:numId w:val="10"/>
      </w:numPr>
      <w:tabs>
        <w:tab w:val="left" w:pos="426"/>
      </w:tabs>
      <w:spacing w:before="480" w:after="240"/>
      <w:outlineLvl w:val="1"/>
    </w:pPr>
    <w:rPr>
      <w:rFonts w:ascii="Arial" w:hAnsi="Arial" w:cs="Arial"/>
      <w:b/>
      <w:bCs/>
      <w:iCs/>
      <w:caps/>
      <w:color w:val="D2232A"/>
      <w:szCs w:val="28"/>
      <w:lang w:eastAsia="en-US"/>
    </w:rPr>
  </w:style>
  <w:style w:type="paragraph" w:styleId="Heading7">
    <w:name w:val="heading 7"/>
    <w:basedOn w:val="Normal"/>
    <w:next w:val="Normal"/>
    <w:qFormat/>
    <w:pPr>
      <w:keepNext/>
      <w:outlineLvl w:val="6"/>
    </w:pPr>
    <w:rPr>
      <w:b/>
      <w:lang w:val="en-GB" w:eastAsia="en-US"/>
    </w:rPr>
  </w:style>
  <w:style w:type="paragraph" w:styleId="Heading8">
    <w:name w:val="heading 8"/>
    <w:basedOn w:val="Normal"/>
    <w:next w:val="Normal"/>
    <w:qFormat/>
    <w:pPr>
      <w:keepNext/>
      <w:tabs>
        <w:tab w:val="left" w:pos="283"/>
        <w:tab w:val="left" w:pos="1134"/>
        <w:tab w:val="left" w:pos="1985"/>
        <w:tab w:val="left" w:pos="2836"/>
        <w:tab w:val="left" w:pos="3686"/>
        <w:tab w:val="left" w:pos="4537"/>
        <w:tab w:val="left" w:pos="5388"/>
        <w:tab w:val="left" w:pos="6239"/>
        <w:tab w:val="left" w:pos="7090"/>
        <w:tab w:val="left" w:pos="7940"/>
        <w:tab w:val="left" w:pos="8791"/>
      </w:tabs>
      <w:suppressAutoHyphens/>
      <w:jc w:val="right"/>
      <w:outlineLvl w:val="7"/>
    </w:pPr>
    <w:rPr>
      <w:b/>
      <w: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153"/>
        <w:tab w:val="right" w:pos="8306"/>
      </w:tabs>
    </w:pPr>
    <w:rPr>
      <w:snapToGrid w:val="0"/>
      <w:lang w:val="fi-FI" w:eastAsia="en-US"/>
    </w:rPr>
  </w:style>
  <w:style w:type="paragraph" w:styleId="Footer">
    <w:name w:val="footer"/>
    <w:basedOn w:val="Normal"/>
    <w:pPr>
      <w:widowControl w:val="0"/>
      <w:tabs>
        <w:tab w:val="center" w:pos="4153"/>
        <w:tab w:val="right" w:pos="8306"/>
      </w:tabs>
    </w:pPr>
    <w:rPr>
      <w:snapToGrid w:val="0"/>
      <w:lang w:val="fi-FI" w:eastAsia="en-US"/>
    </w:rPr>
  </w:style>
  <w:style w:type="paragraph" w:customStyle="1" w:styleId="BlockQuotation">
    <w:name w:val="Block Quotation"/>
    <w:basedOn w:val="Normal"/>
    <w:pPr>
      <w:widowControl w:val="0"/>
      <w:tabs>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s>
      <w:spacing w:after="120" w:line="259" w:lineRule="auto"/>
      <w:ind w:left="840" w:right="-18" w:hanging="720"/>
    </w:pPr>
    <w:rPr>
      <w:rFonts w:ascii="Swis721 Lt BT" w:hAnsi="Swis721 Lt BT"/>
      <w:sz w:val="24"/>
      <w:lang w:eastAsia="en-US"/>
    </w:r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styleId="Title">
    <w:name w:val="Title"/>
    <w:basedOn w:val="Normal"/>
    <w:qFormat/>
    <w:pPr>
      <w:spacing w:before="2500" w:after="1600"/>
      <w:jc w:val="center"/>
    </w:pPr>
    <w:rPr>
      <w:b/>
      <w:sz w:val="36"/>
    </w:rPr>
  </w:style>
  <w:style w:type="paragraph" w:styleId="BodyTextIndent">
    <w:name w:val="Body Text Indent"/>
    <w:basedOn w:val="Normal"/>
    <w:pPr>
      <w:jc w:val="both"/>
    </w:pPr>
    <w:rPr>
      <w:spacing w:val="-3"/>
      <w:sz w:val="24"/>
      <w:lang w:val="en-GB" w:eastAsia="en-US"/>
    </w:rPr>
  </w:style>
  <w:style w:type="character" w:styleId="FootnoteReference">
    <w:name w:val="footnote reference"/>
    <w:aliases w:val="Appel note de bas de p"/>
    <w:semiHidden/>
    <w:rPr>
      <w:vertAlign w:val="superscript"/>
    </w:rPr>
  </w:style>
  <w:style w:type="paragraph" w:styleId="FootnoteText">
    <w:name w:val="footnote text"/>
    <w:basedOn w:val="Normal"/>
    <w:semiHidden/>
    <w:rPr>
      <w:lang w:val="da-DK" w:eastAsia="en-US"/>
    </w:rPr>
  </w:style>
  <w:style w:type="paragraph" w:customStyle="1" w:styleId="TAH">
    <w:name w:val="TAH"/>
    <w:basedOn w:val="TAC"/>
    <w:rPr>
      <w:b/>
    </w:rPr>
  </w:style>
  <w:style w:type="paragraph" w:customStyle="1" w:styleId="TAC">
    <w:name w:val="TAC"/>
    <w:basedOn w:val="Normal"/>
    <w:pPr>
      <w:keepNext/>
      <w:keepLines/>
      <w:jc w:val="center"/>
    </w:pPr>
    <w:rPr>
      <w:rFonts w:ascii="Arial" w:hAnsi="Arial"/>
      <w:sz w:val="18"/>
      <w:lang w:val="en-GB" w:eastAsia="en-US"/>
    </w:rPr>
  </w:style>
  <w:style w:type="paragraph" w:customStyle="1" w:styleId="B1">
    <w:name w:val="B1"/>
    <w:basedOn w:val="List"/>
    <w:pPr>
      <w:spacing w:after="180"/>
      <w:ind w:left="568" w:hanging="284"/>
    </w:pPr>
    <w:rPr>
      <w:lang w:val="en-GB" w:eastAsia="en-US"/>
    </w:rPr>
  </w:style>
  <w:style w:type="paragraph" w:styleId="BodyText">
    <w:name w:val="Body Text"/>
    <w:basedOn w:val="Normal"/>
    <w:pPr>
      <w:spacing w:after="120"/>
    </w:pPr>
    <w:rPr>
      <w:lang w:val="en-GB" w:eastAsia="en-US"/>
    </w:rPr>
  </w:style>
  <w:style w:type="paragraph" w:styleId="List">
    <w:name w:val="List"/>
    <w:basedOn w:val="Normal"/>
    <w:pPr>
      <w:ind w:left="283" w:hanging="283"/>
    </w:pPr>
  </w:style>
  <w:style w:type="paragraph" w:styleId="BodyTextIndent2">
    <w:name w:val="Body Text Indent 2"/>
    <w:basedOn w:val="Normal"/>
    <w:pPr>
      <w:ind w:left="180"/>
    </w:pPr>
  </w:style>
  <w:style w:type="paragraph" w:styleId="BalloonText">
    <w:name w:val="Balloon Text"/>
    <w:basedOn w:val="Normal"/>
    <w:semiHidden/>
    <w:rsid w:val="00BE3888"/>
    <w:rPr>
      <w:rFonts w:ascii="Tahoma" w:hAnsi="Tahoma" w:cs="Tahoma"/>
      <w:sz w:val="16"/>
      <w:szCs w:val="16"/>
    </w:rPr>
  </w:style>
  <w:style w:type="character" w:styleId="Strong">
    <w:name w:val="Strong"/>
    <w:qFormat/>
    <w:rsid w:val="00F748F8"/>
    <w:rPr>
      <w:b/>
      <w:bCs/>
    </w:rPr>
  </w:style>
  <w:style w:type="paragraph" w:customStyle="1" w:styleId="Reporttitledescription">
    <w:name w:val="Report title/description"/>
    <w:basedOn w:val="Normal"/>
    <w:rsid w:val="0052357D"/>
    <w:pPr>
      <w:spacing w:before="600" w:line="288" w:lineRule="auto"/>
      <w:ind w:left="3402"/>
    </w:pPr>
    <w:rPr>
      <w:rFonts w:ascii="Arial" w:hAnsi="Arial"/>
      <w:color w:val="57433E"/>
      <w:sz w:val="24"/>
      <w:szCs w:val="24"/>
      <w:lang w:eastAsia="en-US"/>
    </w:rPr>
  </w:style>
  <w:style w:type="paragraph" w:customStyle="1" w:styleId="Lastupdated">
    <w:name w:val="Last updated"/>
    <w:basedOn w:val="Normal"/>
    <w:rsid w:val="0052357D"/>
    <w:pPr>
      <w:spacing w:before="120" w:after="120"/>
      <w:ind w:left="3402"/>
    </w:pPr>
    <w:rPr>
      <w:rFonts w:ascii="Arial" w:hAnsi="Arial"/>
      <w:bCs/>
      <w:sz w:val="18"/>
      <w:szCs w:val="24"/>
      <w:lang w:eastAsia="en-US"/>
    </w:rPr>
  </w:style>
  <w:style w:type="paragraph" w:customStyle="1" w:styleId="ECCParagraph">
    <w:name w:val="ECC Paragraph"/>
    <w:basedOn w:val="Normal"/>
    <w:rsid w:val="007334D9"/>
    <w:pPr>
      <w:spacing w:after="240"/>
      <w:jc w:val="both"/>
    </w:pPr>
    <w:rPr>
      <w:rFonts w:ascii="Arial" w:hAnsi="Arial"/>
      <w:szCs w:val="24"/>
      <w:lang w:val="en-GB" w:eastAsia="en-US"/>
    </w:rPr>
  </w:style>
  <w:style w:type="paragraph" w:styleId="ListParagraph">
    <w:name w:val="List Paragraph"/>
    <w:basedOn w:val="Normal"/>
    <w:uiPriority w:val="34"/>
    <w:qFormat/>
    <w:rsid w:val="007334D9"/>
    <w:pPr>
      <w:numPr>
        <w:numId w:val="14"/>
      </w:numPr>
      <w:tabs>
        <w:tab w:val="left" w:pos="567"/>
      </w:tabs>
      <w:spacing w:after="240"/>
      <w:ind w:left="567" w:hanging="567"/>
    </w:pPr>
    <w:rPr>
      <w:rFonts w:ascii="Arial" w:hAnsi="Arial"/>
      <w:szCs w:val="24"/>
      <w:lang w:eastAsia="en-US"/>
    </w:rPr>
  </w:style>
  <w:style w:type="paragraph" w:customStyle="1" w:styleId="NumberedList">
    <w:name w:val="Numbered List"/>
    <w:basedOn w:val="ECCParagraph"/>
    <w:rsid w:val="007334D9"/>
  </w:style>
  <w:style w:type="paragraph" w:customStyle="1" w:styleId="ECCAnnex-heading1">
    <w:name w:val="ECC Annex - heading1"/>
    <w:basedOn w:val="Heading1"/>
    <w:next w:val="ECCParagraph"/>
    <w:rsid w:val="007334D9"/>
    <w:pPr>
      <w:pageBreakBefore/>
      <w:widowControl/>
      <w:spacing w:before="400"/>
    </w:pPr>
    <w:rPr>
      <w:rFonts w:ascii="Arial" w:hAnsi="Arial" w:cs="Arial"/>
      <w:bCs/>
      <w:caps/>
      <w:snapToGrid/>
      <w:color w:val="D2232A"/>
      <w:kern w:val="32"/>
      <w:szCs w:val="32"/>
    </w:rPr>
  </w:style>
  <w:style w:type="paragraph" w:customStyle="1" w:styleId="ECCAnnexheading2">
    <w:name w:val="ECC Annex heading2"/>
    <w:basedOn w:val="Normal"/>
    <w:next w:val="ECCParagraph"/>
    <w:rsid w:val="007334D9"/>
    <w:pPr>
      <w:overflowPunct w:val="0"/>
      <w:autoSpaceDE w:val="0"/>
      <w:autoSpaceDN w:val="0"/>
      <w:adjustRightInd w:val="0"/>
      <w:spacing w:before="480" w:after="240"/>
      <w:textAlignment w:val="baseline"/>
    </w:pPr>
    <w:rPr>
      <w:rFonts w:ascii="Arial" w:hAnsi="Arial"/>
      <w:b/>
      <w:cap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ecodocdb.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2001bp.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CE483FD-8F64-46F5-97BF-5751F6BA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Dec2001bp</Template>
  <TotalTime>0</TotalTime>
  <Pages>7</Pages>
  <Words>1708</Words>
  <Characters>10195</Characters>
  <Application>Microsoft Office Word</Application>
  <DocSecurity>0</DocSecurity>
  <Lines>328</Lines>
  <Paragraphs>224</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ULP-AMI</vt:lpstr>
      <vt:lpstr>ULP-AMI</vt:lpstr>
      <vt:lpstr>EUROPEAN RADIOCOMMUNICATIONS COMMITTEE</vt:lpstr>
    </vt:vector>
  </TitlesOfParts>
  <Company>WGFM#89</Company>
  <LinksUpToDate>false</LinksUpToDate>
  <CharactersWithSpaces>11679</CharactersWithSpaces>
  <SharedDoc>false</SharedDoc>
  <HLinks>
    <vt:vector size="6" baseType="variant">
      <vt:variant>
        <vt:i4>7274546</vt:i4>
      </vt:variant>
      <vt:variant>
        <vt:i4>0</vt:i4>
      </vt:variant>
      <vt:variant>
        <vt:i4>0</vt:i4>
      </vt:variant>
      <vt:variant>
        <vt:i4>5</vt:i4>
      </vt:variant>
      <vt:variant>
        <vt:lpwstr>http://www.ecodocdb.dk/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ULP-AMI</dc:title>
  <dc:creator>Bente Pedersen</dc:creator>
  <cp:lastModifiedBy>author</cp:lastModifiedBy>
  <cp:revision>2</cp:revision>
  <cp:lastPrinted>2011-12-15T06:14:00Z</cp:lastPrinted>
  <dcterms:created xsi:type="dcterms:W3CDTF">2017-11-21T13:33:00Z</dcterms:created>
  <dcterms:modified xsi:type="dcterms:W3CDTF">2017-11-21T13:33:00Z</dcterms:modified>
  <cp:contentStatus>for ECC approval</cp:contentStatus>
</cp:coreProperties>
</file>