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74336" w14:textId="5668B725" w:rsidR="00C74BE6" w:rsidRPr="00EE1E00" w:rsidRDefault="00C74BE6" w:rsidP="00F942BE">
      <w:pPr>
        <w:jc w:val="center"/>
        <w:rPr>
          <w:lang w:val="en-GB"/>
        </w:rPr>
      </w:pPr>
    </w:p>
    <w:p w14:paraId="1D5A642F" w14:textId="37C6AC50" w:rsidR="00C74BE6" w:rsidRPr="00EE1E00" w:rsidRDefault="00C74BE6" w:rsidP="00C74BE6">
      <w:pPr>
        <w:jc w:val="center"/>
        <w:rPr>
          <w:lang w:val="en-GB"/>
        </w:rPr>
      </w:pPr>
    </w:p>
    <w:p w14:paraId="2FC21267" w14:textId="694F456D" w:rsidR="00C74BE6" w:rsidRPr="00EE1E00" w:rsidRDefault="00C74BE6" w:rsidP="00C74BE6">
      <w:pPr>
        <w:jc w:val="center"/>
        <w:rPr>
          <w:lang w:val="en-GB"/>
        </w:rPr>
      </w:pPr>
    </w:p>
    <w:p w14:paraId="4348BD27" w14:textId="77777777" w:rsidR="00C74BE6" w:rsidRPr="00EE1E00" w:rsidRDefault="00C74BE6" w:rsidP="00C74BE6">
      <w:pPr>
        <w:rPr>
          <w:lang w:val="en-GB"/>
        </w:rPr>
      </w:pPr>
    </w:p>
    <w:p w14:paraId="588D62CC" w14:textId="432F1878" w:rsidR="00C74BE6" w:rsidRPr="00EE1E00" w:rsidRDefault="00C74BE6" w:rsidP="00C74BE6">
      <w:pPr>
        <w:rPr>
          <w:lang w:val="en-GB"/>
        </w:rPr>
      </w:pPr>
    </w:p>
    <w:p w14:paraId="43141FF3" w14:textId="77777777" w:rsidR="00C74BE6" w:rsidRPr="00EE1E00" w:rsidRDefault="00FD3FA4" w:rsidP="00C74BE6">
      <w:pPr>
        <w:jc w:val="center"/>
        <w:rPr>
          <w:b/>
          <w:sz w:val="24"/>
          <w:lang w:val="en-GB"/>
        </w:rPr>
      </w:pPr>
      <w:r w:rsidRPr="00EE1E00">
        <w:rPr>
          <w:b/>
          <w:noProof/>
          <w:sz w:val="24"/>
          <w:szCs w:val="20"/>
          <w:lang w:val="fr-FR" w:eastAsia="fr-FR"/>
        </w:rPr>
        <mc:AlternateContent>
          <mc:Choice Requires="wpg">
            <w:drawing>
              <wp:anchor distT="0" distB="0" distL="114300" distR="114300" simplePos="0" relativeHeight="251656704" behindDoc="0" locked="0" layoutInCell="1" allowOverlap="1" wp14:anchorId="0AB992CF" wp14:editId="0C41CC92">
                <wp:simplePos x="0" y="0"/>
                <wp:positionH relativeFrom="column">
                  <wp:posOffset>-720090</wp:posOffset>
                </wp:positionH>
                <wp:positionV relativeFrom="paragraph">
                  <wp:posOffset>69850</wp:posOffset>
                </wp:positionV>
                <wp:extent cx="7564120" cy="8268970"/>
                <wp:effectExtent l="0" t="0" r="5080" b="0"/>
                <wp:wrapNone/>
                <wp:docPr id="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F5DC33" w14:textId="11692FD2" w:rsidR="00EC2097" w:rsidRPr="00C95C7C" w:rsidRDefault="00EC2097" w:rsidP="00C74BE6">
                              <w:pPr>
                                <w:rPr>
                                  <w:color w:val="FFFFFF"/>
                                  <w:sz w:val="68"/>
                                </w:rPr>
                              </w:pPr>
                              <w:r w:rsidRPr="00C95C7C">
                                <w:rPr>
                                  <w:color w:val="FFFFFF"/>
                                  <w:sz w:val="68"/>
                                </w:rPr>
                                <w:t xml:space="preserve">ECC Recommendation </w:t>
                              </w:r>
                              <w:r w:rsidRPr="002C6AA9">
                                <w:rPr>
                                  <w:color w:val="887E6E"/>
                                  <w:sz w:val="68"/>
                                </w:rPr>
                                <w:t>(</w:t>
                              </w:r>
                              <w:r w:rsidR="00D6088C">
                                <w:rPr>
                                  <w:color w:val="887E6E"/>
                                  <w:sz w:val="68"/>
                                </w:rPr>
                                <w:t>20</w:t>
                              </w:r>
                              <w:r w:rsidRPr="002C6AA9">
                                <w:rPr>
                                  <w:color w:val="887E6E"/>
                                  <w:sz w:val="68"/>
                                </w:rPr>
                                <w:t>)</w:t>
                              </w:r>
                              <w:r w:rsidR="00D6088C">
                                <w:rPr>
                                  <w:color w:val="887E6E"/>
                                  <w:sz w:val="68"/>
                                </w:rPr>
                                <w:t>03</w:t>
                              </w:r>
                            </w:p>
                          </w:txbxContent>
                        </wps:txbx>
                        <wps:bodyPr rot="0" vert="horz" wrap="square" lIns="2880000" tIns="360000" rIns="91440" bIns="45720" anchor="t" anchorCtr="0" upright="1">
                          <a:noAutofit/>
                        </wps:bodyPr>
                      </wps:wsp>
                      <wpg:grpSp>
                        <wpg:cNvPr id="7" name="Group 28"/>
                        <wpg:cNvGrpSpPr>
                          <a:grpSpLocks/>
                        </wpg:cNvGrpSpPr>
                        <wpg:grpSpPr bwMode="auto">
                          <a:xfrm>
                            <a:off x="1674" y="3087"/>
                            <a:ext cx="1790" cy="1790"/>
                            <a:chOff x="964" y="3424"/>
                            <a:chExt cx="1457" cy="1457"/>
                          </a:xfrm>
                        </wpg:grpSpPr>
                        <wps:wsp>
                          <wps:cNvPr id="8" name="Rectangle 29"/>
                          <wps:cNvSpPr>
                            <a:spLocks noChangeAspect="1" noChangeArrowheads="1"/>
                          </wps:cNvSpPr>
                          <wps:spPr bwMode="auto">
                            <a:xfrm rot="2700000">
                              <a:off x="964" y="3424"/>
                              <a:ext cx="145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9" name="AutoShape 30"/>
                          <wps:cNvSpPr>
                            <a:spLocks noChangeArrowheads="1"/>
                          </wps:cNvSpPr>
                          <wps:spPr bwMode="auto">
                            <a:xfrm rot="5400000">
                              <a:off x="1338" y="3781"/>
                              <a:ext cx="1429" cy="737"/>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B992CF" id="Group 31" o:spid="_x0000_s1026" style="position:absolute;left:0;text-align:left;margin-left:-56.7pt;margin-top:5.5pt;width:595.6pt;height:651.1pt;z-index:251656704"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" fillcolor="#57433e" stroked="f">
                  <v:textbox inset="80mm,10mm">
                    <w:txbxContent>
                      <w:p w14:paraId="6DF5DC33" w14:textId="11692FD2" w:rsidR="00EC2097" w:rsidRPr="00C95C7C" w:rsidRDefault="00EC2097" w:rsidP="00C74BE6">
                        <w:pPr>
                          <w:rPr>
                            <w:color w:val="FFFFFF"/>
                            <w:sz w:val="68"/>
                          </w:rPr>
                        </w:pPr>
                        <w:r w:rsidRPr="00C95C7C">
                          <w:rPr>
                            <w:color w:val="FFFFFF"/>
                            <w:sz w:val="68"/>
                          </w:rPr>
                          <w:t xml:space="preserve">ECC Recommendation </w:t>
                        </w:r>
                        <w:r w:rsidRPr="002C6AA9">
                          <w:rPr>
                            <w:color w:val="887E6E"/>
                            <w:sz w:val="68"/>
                          </w:rPr>
                          <w:t>(</w:t>
                        </w:r>
                        <w:r w:rsidR="00D6088C">
                          <w:rPr>
                            <w:color w:val="887E6E"/>
                            <w:sz w:val="68"/>
                          </w:rPr>
                          <w:t>20</w:t>
                        </w:r>
                        <w:r w:rsidRPr="002C6AA9">
                          <w:rPr>
                            <w:color w:val="887E6E"/>
                            <w:sz w:val="68"/>
                          </w:rPr>
                          <w:t>)</w:t>
                        </w:r>
                        <w:r w:rsidR="00D6088C">
                          <w:rPr>
                            <w:color w:val="887E6E"/>
                            <w:sz w:val="68"/>
                          </w:rPr>
                          <w:t>03</w:t>
                        </w:r>
                      </w:p>
                    </w:txbxContent>
                  </v:textbox>
                </v:shape>
                <v:group id="Group 28" o:spid="_x0000_s1029" style="position:absolute;left:1674;top:3087;width:1790;height:1790" coordorigin="964,3424" coordsize="1457,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9" o:spid="_x0000_s1030" style="position:absolute;left:964;top:3424;width:1457;height:1457;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1338;top:3781;width:1429;height:73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" fillcolor="#d2232a" stroked="f">
                    <v:textbox inset=",10mm"/>
                  </v:shape>
                </v:group>
              </v:group>
            </w:pict>
          </mc:Fallback>
        </mc:AlternateContent>
      </w:r>
    </w:p>
    <w:p w14:paraId="7C42EC9C" w14:textId="77777777" w:rsidR="00C74BE6" w:rsidRPr="00EE1E00" w:rsidRDefault="00C74BE6" w:rsidP="00C74BE6">
      <w:pPr>
        <w:jc w:val="center"/>
        <w:rPr>
          <w:b/>
          <w:sz w:val="24"/>
          <w:lang w:val="en-GB"/>
        </w:rPr>
      </w:pPr>
    </w:p>
    <w:p w14:paraId="2E7C1B9A" w14:textId="77777777" w:rsidR="00C74BE6" w:rsidRPr="00EE1E00" w:rsidRDefault="00C74BE6" w:rsidP="00C74BE6">
      <w:pPr>
        <w:jc w:val="center"/>
        <w:rPr>
          <w:b/>
          <w:sz w:val="24"/>
          <w:lang w:val="en-GB"/>
        </w:rPr>
      </w:pPr>
    </w:p>
    <w:p w14:paraId="6A3BB165" w14:textId="77777777" w:rsidR="00C74BE6" w:rsidRPr="00EE1E00" w:rsidRDefault="00C74BE6" w:rsidP="00C74BE6">
      <w:pPr>
        <w:jc w:val="center"/>
        <w:rPr>
          <w:b/>
          <w:sz w:val="24"/>
          <w:lang w:val="en-GB"/>
        </w:rPr>
      </w:pPr>
    </w:p>
    <w:p w14:paraId="0F11505A" w14:textId="77777777" w:rsidR="00C74BE6" w:rsidRPr="00EE1E00" w:rsidRDefault="00C74BE6" w:rsidP="00C74BE6">
      <w:pPr>
        <w:jc w:val="center"/>
        <w:rPr>
          <w:b/>
          <w:sz w:val="24"/>
          <w:lang w:val="en-GB"/>
        </w:rPr>
      </w:pPr>
    </w:p>
    <w:p w14:paraId="26444C50" w14:textId="77777777" w:rsidR="00C74BE6" w:rsidRPr="00EE1E00" w:rsidRDefault="00C74BE6" w:rsidP="00C74BE6">
      <w:pPr>
        <w:jc w:val="center"/>
        <w:rPr>
          <w:b/>
          <w:sz w:val="24"/>
          <w:lang w:val="en-GB"/>
        </w:rPr>
      </w:pPr>
    </w:p>
    <w:p w14:paraId="253054B5" w14:textId="77777777" w:rsidR="00C74BE6" w:rsidRPr="00EE1E00" w:rsidRDefault="00C74BE6" w:rsidP="00C74BE6">
      <w:pPr>
        <w:jc w:val="center"/>
        <w:rPr>
          <w:b/>
          <w:sz w:val="24"/>
          <w:lang w:val="en-GB"/>
        </w:rPr>
      </w:pPr>
    </w:p>
    <w:p w14:paraId="4A2E6DB5" w14:textId="77777777" w:rsidR="00C74BE6" w:rsidRPr="00EE1E00" w:rsidRDefault="00C74BE6" w:rsidP="00C74BE6">
      <w:pPr>
        <w:jc w:val="center"/>
        <w:rPr>
          <w:b/>
          <w:sz w:val="24"/>
          <w:lang w:val="en-GB"/>
        </w:rPr>
      </w:pPr>
    </w:p>
    <w:p w14:paraId="72339D4E" w14:textId="77777777" w:rsidR="00C74BE6" w:rsidRPr="00EE1E00" w:rsidRDefault="00C74BE6" w:rsidP="00C74BE6">
      <w:pPr>
        <w:jc w:val="center"/>
        <w:rPr>
          <w:b/>
          <w:sz w:val="24"/>
          <w:lang w:val="en-GB"/>
        </w:rPr>
      </w:pPr>
    </w:p>
    <w:p w14:paraId="4126B066" w14:textId="77777777" w:rsidR="00C74BE6" w:rsidRPr="00EE1E00" w:rsidRDefault="00C74BE6" w:rsidP="00C74BE6">
      <w:pPr>
        <w:jc w:val="center"/>
        <w:rPr>
          <w:b/>
          <w:sz w:val="24"/>
          <w:lang w:val="en-GB"/>
        </w:rPr>
      </w:pPr>
    </w:p>
    <w:p w14:paraId="044A04A9" w14:textId="77777777" w:rsidR="00C74BE6" w:rsidRPr="00EE1E00" w:rsidRDefault="00C74BE6" w:rsidP="00C74BE6">
      <w:pPr>
        <w:jc w:val="center"/>
        <w:rPr>
          <w:b/>
          <w:sz w:val="24"/>
          <w:lang w:val="en-GB"/>
        </w:rPr>
      </w:pPr>
    </w:p>
    <w:p w14:paraId="26A18570" w14:textId="77777777" w:rsidR="00C74BE6" w:rsidRPr="00EE1E00" w:rsidRDefault="00C74BE6" w:rsidP="00C74BE6">
      <w:pPr>
        <w:rPr>
          <w:b/>
          <w:sz w:val="24"/>
          <w:lang w:val="en-GB"/>
        </w:rPr>
      </w:pPr>
    </w:p>
    <w:p w14:paraId="1D88DC73" w14:textId="77777777" w:rsidR="00C74BE6" w:rsidRPr="00EE1E00" w:rsidRDefault="00C74BE6" w:rsidP="00C74BE6">
      <w:pPr>
        <w:jc w:val="center"/>
        <w:rPr>
          <w:b/>
          <w:sz w:val="24"/>
          <w:lang w:val="en-GB"/>
        </w:rPr>
      </w:pPr>
    </w:p>
    <w:p w14:paraId="7BFB6334" w14:textId="3709FC7D" w:rsidR="00BA71EA" w:rsidRPr="008A023E" w:rsidRDefault="00566CB2" w:rsidP="00BA71EA">
      <w:pPr>
        <w:pStyle w:val="Reporttitledescription"/>
        <w:rPr>
          <w:lang w:val="en-GB"/>
        </w:rPr>
      </w:pPr>
      <w:r w:rsidRPr="008A023E">
        <w:rPr>
          <w:lang w:val="en-GB"/>
        </w:rPr>
        <w:fldChar w:fldCharType="begin">
          <w:ffData>
            <w:name w:val="Text7"/>
            <w:enabled/>
            <w:calcOnExit w:val="0"/>
            <w:textInput>
              <w:default w:val="Frame structures to facilitate cross-border coordination of TDD MFCN in the frequency band 3400-3800 MHz "/>
            </w:textInput>
          </w:ffData>
        </w:fldChar>
      </w:r>
      <w:r w:rsidRPr="008A023E">
        <w:rPr>
          <w:lang w:val="en-GB"/>
        </w:rPr>
        <w:instrText xml:space="preserve"> </w:instrText>
      </w:r>
      <w:bookmarkStart w:id="0" w:name="Text7"/>
      <w:r w:rsidRPr="008A023E">
        <w:rPr>
          <w:lang w:val="en-GB"/>
        </w:rPr>
        <w:instrText xml:space="preserve">FORMTEXT </w:instrText>
      </w:r>
      <w:r w:rsidRPr="008A023E">
        <w:rPr>
          <w:lang w:val="en-GB"/>
        </w:rPr>
      </w:r>
      <w:r w:rsidRPr="008A023E">
        <w:rPr>
          <w:lang w:val="en-GB"/>
        </w:rPr>
        <w:fldChar w:fldCharType="separate"/>
      </w:r>
      <w:r w:rsidRPr="008A023E">
        <w:rPr>
          <w:lang w:val="en-GB"/>
        </w:rPr>
        <w:t xml:space="preserve">Frame structures to facilitate cross-border coordination of TDD MFCN in the frequency band 3400-3800 MHz </w:t>
      </w:r>
      <w:r w:rsidRPr="008A023E">
        <w:rPr>
          <w:lang w:val="en-GB"/>
        </w:rPr>
        <w:fldChar w:fldCharType="end"/>
      </w:r>
      <w:bookmarkEnd w:id="0"/>
      <w:r w:rsidR="00BA71EA" w:rsidRPr="008A023E">
        <w:rPr>
          <w:lang w:val="en-GB"/>
        </w:rPr>
        <w:t xml:space="preserve"> </w:t>
      </w:r>
    </w:p>
    <w:p w14:paraId="4A28068C" w14:textId="09D5FF33" w:rsidR="00C74BE6" w:rsidRPr="00EE1E00" w:rsidRDefault="0006662D" w:rsidP="00C74BE6">
      <w:pPr>
        <w:pStyle w:val="Reporttitledescription"/>
        <w:rPr>
          <w:b/>
          <w:sz w:val="18"/>
          <w:lang w:val="en-GB"/>
        </w:rPr>
      </w:pPr>
      <w:r>
        <w:rPr>
          <w:b/>
          <w:sz w:val="18"/>
          <w:lang w:val="en-GB"/>
        </w:rPr>
        <w:fldChar w:fldCharType="begin">
          <w:ffData>
            <w:name w:val="Text8"/>
            <w:enabled/>
            <w:calcOnExit w:val="0"/>
            <w:textInput>
              <w:default w:val="approved 23 October 2020"/>
            </w:textInput>
          </w:ffData>
        </w:fldChar>
      </w:r>
      <w:bookmarkStart w:id="1" w:name="Text8"/>
      <w:r>
        <w:rPr>
          <w:b/>
          <w:sz w:val="18"/>
          <w:lang w:val="en-GB"/>
        </w:rPr>
        <w:instrText xml:space="preserve"> FORMTEXT </w:instrText>
      </w:r>
      <w:r>
        <w:rPr>
          <w:b/>
          <w:sz w:val="18"/>
          <w:lang w:val="en-GB"/>
        </w:rPr>
      </w:r>
      <w:r>
        <w:rPr>
          <w:b/>
          <w:sz w:val="18"/>
          <w:lang w:val="en-GB"/>
        </w:rPr>
        <w:fldChar w:fldCharType="separate"/>
      </w:r>
      <w:r>
        <w:rPr>
          <w:b/>
          <w:noProof/>
          <w:sz w:val="18"/>
          <w:lang w:val="en-GB"/>
        </w:rPr>
        <w:t>approved 23 October 2020</w:t>
      </w:r>
      <w:r>
        <w:rPr>
          <w:b/>
          <w:sz w:val="18"/>
          <w:lang w:val="en-GB"/>
        </w:rPr>
        <w:fldChar w:fldCharType="end"/>
      </w:r>
      <w:bookmarkEnd w:id="1"/>
    </w:p>
    <w:p w14:paraId="2984B8D2" w14:textId="159A63E7" w:rsidR="00BA71EA" w:rsidRPr="008A023E" w:rsidRDefault="00BA71EA" w:rsidP="00BA71EA">
      <w:pPr>
        <w:pStyle w:val="Lastupdated"/>
        <w:rPr>
          <w:b/>
          <w:lang w:val="en-GB"/>
        </w:rPr>
      </w:pPr>
      <w:r w:rsidRPr="008A023E">
        <w:rPr>
          <w:b/>
          <w:lang w:val="en-GB"/>
        </w:rPr>
        <w:fldChar w:fldCharType="begin">
          <w:ffData>
            <w:name w:val="Text3"/>
            <w:enabled/>
            <w:calcOnExit w:val="0"/>
            <w:textInput/>
          </w:ffData>
        </w:fldChar>
      </w:r>
      <w:bookmarkStart w:id="2" w:name="Text3"/>
      <w:r w:rsidRPr="008A023E">
        <w:rPr>
          <w:b/>
          <w:lang w:val="en-GB"/>
        </w:rPr>
        <w:instrText xml:space="preserve"> FORMTEXT </w:instrText>
      </w:r>
      <w:r w:rsidRPr="008A023E">
        <w:rPr>
          <w:b/>
          <w:lang w:val="en-GB"/>
        </w:rPr>
      </w:r>
      <w:r w:rsidRPr="008A023E">
        <w:rPr>
          <w:b/>
          <w:lang w:val="en-GB"/>
        </w:rPr>
        <w:fldChar w:fldCharType="separate"/>
      </w:r>
      <w:r w:rsidRPr="008A023E">
        <w:rPr>
          <w:b/>
          <w:lang w:val="en-GB"/>
        </w:rPr>
        <w:t> </w:t>
      </w:r>
      <w:r w:rsidRPr="008A023E">
        <w:rPr>
          <w:b/>
          <w:lang w:val="en-GB"/>
        </w:rPr>
        <w:t> </w:t>
      </w:r>
      <w:r w:rsidRPr="008A023E">
        <w:rPr>
          <w:b/>
          <w:lang w:val="en-GB"/>
        </w:rPr>
        <w:t> </w:t>
      </w:r>
      <w:r w:rsidRPr="008A023E">
        <w:rPr>
          <w:b/>
          <w:lang w:val="en-GB"/>
        </w:rPr>
        <w:t> </w:t>
      </w:r>
      <w:r w:rsidRPr="008A023E">
        <w:rPr>
          <w:b/>
          <w:lang w:val="en-GB"/>
        </w:rPr>
        <w:t> </w:t>
      </w:r>
      <w:r w:rsidRPr="008A023E">
        <w:rPr>
          <w:b/>
          <w:lang w:val="en-GB"/>
        </w:rPr>
        <w:fldChar w:fldCharType="end"/>
      </w:r>
      <w:bookmarkEnd w:id="2"/>
    </w:p>
    <w:p w14:paraId="655C663F" w14:textId="77777777" w:rsidR="00BA71EA" w:rsidRPr="00EE1E00" w:rsidRDefault="00BA71EA" w:rsidP="00C74BE6">
      <w:pPr>
        <w:pStyle w:val="Reporttitledescription"/>
        <w:rPr>
          <w:b/>
          <w:sz w:val="18"/>
          <w:lang w:val="en-GB"/>
        </w:rPr>
      </w:pPr>
    </w:p>
    <w:p w14:paraId="7C8FF6C8" w14:textId="77777777" w:rsidR="00C74BE6" w:rsidRPr="00EE1E00" w:rsidRDefault="00C74BE6">
      <w:pPr>
        <w:rPr>
          <w:lang w:val="en-GB"/>
        </w:rPr>
      </w:pPr>
    </w:p>
    <w:p w14:paraId="1D7AC8BA" w14:textId="77777777" w:rsidR="00203E66" w:rsidRPr="00EE1E00" w:rsidRDefault="00203E66">
      <w:pPr>
        <w:rPr>
          <w:lang w:val="en-GB"/>
        </w:rPr>
        <w:sectPr w:rsidR="00203E66" w:rsidRPr="00EE1E00">
          <w:headerReference w:type="even" r:id="rId11"/>
          <w:headerReference w:type="default" r:id="rId12"/>
          <w:footerReference w:type="even" r:id="rId13"/>
          <w:footerReference w:type="default" r:id="rId14"/>
          <w:headerReference w:type="first" r:id="rId15"/>
          <w:footerReference w:type="first" r:id="rId16"/>
          <w:pgSz w:w="11907" w:h="16840" w:code="9"/>
          <w:pgMar w:top="1440" w:right="1134" w:bottom="1440" w:left="1134" w:header="709" w:footer="709" w:gutter="0"/>
          <w:cols w:space="708"/>
          <w:titlePg/>
          <w:docGrid w:linePitch="360"/>
        </w:sectPr>
      </w:pPr>
    </w:p>
    <w:p w14:paraId="0A73379A" w14:textId="77777777" w:rsidR="005928A1" w:rsidRPr="00EE1E00" w:rsidRDefault="00B90690" w:rsidP="005928A1">
      <w:pPr>
        <w:pStyle w:val="Heading1"/>
      </w:pPr>
      <w:r w:rsidRPr="00EE1E00">
        <w:lastRenderedPageBreak/>
        <w:t>introduction</w:t>
      </w:r>
    </w:p>
    <w:p w14:paraId="0128D2FC" w14:textId="05412D80" w:rsidR="00463886" w:rsidRPr="00EE1E00" w:rsidRDefault="00B90690" w:rsidP="00A17062">
      <w:pPr>
        <w:pStyle w:val="ECCParagraph"/>
      </w:pPr>
      <w:r w:rsidRPr="00EE1E00">
        <w:t>The ECC Recommendation (15)01</w:t>
      </w:r>
      <w:r w:rsidR="00792F10" w:rsidRPr="00EE1E00">
        <w:t xml:space="preserve"> </w:t>
      </w:r>
      <w:r w:rsidR="00792F10" w:rsidRPr="00EE1E00">
        <w:fldChar w:fldCharType="begin"/>
      </w:r>
      <w:r w:rsidR="00792F10" w:rsidRPr="00EE1E00">
        <w:instrText xml:space="preserve"> REF _Ref43282118 \r \h </w:instrText>
      </w:r>
      <w:r w:rsidR="00792F10" w:rsidRPr="00EE1E00">
        <w:fldChar w:fldCharType="separate"/>
      </w:r>
      <w:r w:rsidR="00792F10" w:rsidRPr="00EE1E00">
        <w:t>[3]</w:t>
      </w:r>
      <w:r w:rsidR="00792F10" w:rsidRPr="00EE1E00">
        <w:fldChar w:fldCharType="end"/>
      </w:r>
      <w:r w:rsidRPr="00EE1E00">
        <w:t xml:space="preserve">, as amended on 14 February 2020, addresses, among other bands, the cross-border coordination </w:t>
      </w:r>
      <w:r w:rsidR="0002060B" w:rsidRPr="00EE1E00">
        <w:t xml:space="preserve">of TDD MFCN </w:t>
      </w:r>
      <w:r w:rsidRPr="00EE1E00">
        <w:t xml:space="preserve">in the frequency band 3400-3800 </w:t>
      </w:r>
      <w:r w:rsidR="00305977" w:rsidRPr="00EE1E00">
        <w:t>MHz.</w:t>
      </w:r>
      <w:r w:rsidR="00A17062" w:rsidRPr="00EE1E00">
        <w:t xml:space="preserve"> </w:t>
      </w:r>
      <w:r w:rsidRPr="00EE1E00">
        <w:t>The synchronis</w:t>
      </w:r>
      <w:r w:rsidR="0002060B" w:rsidRPr="00EE1E00">
        <w:t>ation</w:t>
      </w:r>
      <w:r w:rsidRPr="00EE1E00">
        <w:t xml:space="preserve"> </w:t>
      </w:r>
      <w:r w:rsidR="0002060B" w:rsidRPr="00EE1E00">
        <w:t>of</w:t>
      </w:r>
      <w:r w:rsidR="00BE3DE4" w:rsidRPr="00EE1E00">
        <w:t xml:space="preserve"> </w:t>
      </w:r>
      <w:r w:rsidR="0002060B" w:rsidRPr="00EE1E00">
        <w:t xml:space="preserve">TDD </w:t>
      </w:r>
      <w:r w:rsidRPr="00EE1E00">
        <w:t>networks in border areas in this frequency band is recommended</w:t>
      </w:r>
      <w:r w:rsidR="00A17062" w:rsidRPr="00EE1E00">
        <w:t xml:space="preserve"> as it ensures a higher degree of efficient spectrum utilisation especially for outdoor network deployments. In addition</w:t>
      </w:r>
      <w:r w:rsidR="00110CEE" w:rsidRPr="00EE1E00">
        <w:t>,</w:t>
      </w:r>
      <w:r w:rsidR="00A17062" w:rsidRPr="00EE1E00">
        <w:t xml:space="preserve"> </w:t>
      </w:r>
      <w:r w:rsidR="00110CEE" w:rsidRPr="00EE1E00">
        <w:t>c</w:t>
      </w:r>
      <w:r w:rsidR="00DE4283" w:rsidRPr="00EE1E00">
        <w:t>ross-border synchronisation requires a common phase clock reference and a compatible frame st</w:t>
      </w:r>
      <w:r w:rsidR="0066546C" w:rsidRPr="00EE1E00">
        <w:t xml:space="preserve">ructure to be used </w:t>
      </w:r>
      <w:r w:rsidR="00110CEE" w:rsidRPr="00EE1E00">
        <w:t xml:space="preserve">on </w:t>
      </w:r>
      <w:r w:rsidR="0066546C" w:rsidRPr="00EE1E00">
        <w:t>both side</w:t>
      </w:r>
      <w:r w:rsidR="00110CEE" w:rsidRPr="00EE1E00">
        <w:t xml:space="preserve"> of </w:t>
      </w:r>
      <w:r w:rsidR="00DE4283" w:rsidRPr="00EE1E00">
        <w:t>the border to avoid simultaneous UL/DL transmission</w:t>
      </w:r>
      <w:r w:rsidR="0066546C" w:rsidRPr="00EE1E00">
        <w:t>s</w:t>
      </w:r>
      <w:r w:rsidR="00DE4283" w:rsidRPr="00EE1E00">
        <w:t>.</w:t>
      </w:r>
    </w:p>
    <w:p w14:paraId="1632BE54" w14:textId="70F6A26F" w:rsidR="00442CE8" w:rsidRPr="00EE1E00" w:rsidRDefault="00750AEA" w:rsidP="00C10985">
      <w:pPr>
        <w:pStyle w:val="LetteredList"/>
        <w:numPr>
          <w:ilvl w:val="0"/>
          <w:numId w:val="0"/>
        </w:numPr>
        <w:rPr>
          <w:lang w:val="en-GB"/>
        </w:rPr>
      </w:pPr>
      <w:r w:rsidRPr="00EE1E00">
        <w:rPr>
          <w:lang w:val="en-GB"/>
        </w:rPr>
        <w:t xml:space="preserve">When </w:t>
      </w:r>
      <w:r w:rsidR="0085011B" w:rsidRPr="00EE1E00">
        <w:rPr>
          <w:lang w:val="en-GB"/>
        </w:rPr>
        <w:t>non</w:t>
      </w:r>
      <w:r w:rsidR="004C6054" w:rsidRPr="00EE1E00">
        <w:rPr>
          <w:lang w:val="en-GB"/>
        </w:rPr>
        <w:t xml:space="preserve">-compatible </w:t>
      </w:r>
      <w:r w:rsidRPr="00EE1E00">
        <w:rPr>
          <w:lang w:val="en-GB"/>
        </w:rPr>
        <w:t>frame structure</w:t>
      </w:r>
      <w:r w:rsidR="0066546C" w:rsidRPr="00EE1E00">
        <w:rPr>
          <w:lang w:val="en-GB"/>
        </w:rPr>
        <w:t>s</w:t>
      </w:r>
      <w:r w:rsidR="00702655" w:rsidRPr="00EE1E00">
        <w:rPr>
          <w:lang w:val="en-GB"/>
        </w:rPr>
        <w:t xml:space="preserve"> </w:t>
      </w:r>
      <w:r w:rsidR="0066546C" w:rsidRPr="00EE1E00">
        <w:rPr>
          <w:lang w:val="en-GB"/>
        </w:rPr>
        <w:t>are</w:t>
      </w:r>
      <w:r w:rsidR="00702655" w:rsidRPr="00EE1E00">
        <w:rPr>
          <w:lang w:val="en-GB"/>
        </w:rPr>
        <w:t xml:space="preserve"> used </w:t>
      </w:r>
      <w:r w:rsidR="0066546C" w:rsidRPr="00EE1E00">
        <w:rPr>
          <w:lang w:val="en-GB"/>
        </w:rPr>
        <w:t xml:space="preserve">but </w:t>
      </w:r>
      <w:r w:rsidR="00702655" w:rsidRPr="00E020B0">
        <w:rPr>
          <w:lang w:val="en-GB"/>
        </w:rPr>
        <w:t>with a common phase clock reference</w:t>
      </w:r>
      <w:r w:rsidRPr="00E020B0">
        <w:rPr>
          <w:lang w:val="en-GB"/>
        </w:rPr>
        <w:t xml:space="preserve">, </w:t>
      </w:r>
      <w:r w:rsidR="00605E92" w:rsidRPr="00E020B0">
        <w:rPr>
          <w:lang w:val="en-GB"/>
        </w:rPr>
        <w:t xml:space="preserve">the </w:t>
      </w:r>
      <w:r w:rsidRPr="00E020B0">
        <w:rPr>
          <w:lang w:val="en-GB"/>
        </w:rPr>
        <w:t>DL symbol blanking feature allows to avoid interference from DL symbol</w:t>
      </w:r>
      <w:r w:rsidR="00605E92" w:rsidRPr="00E020B0">
        <w:rPr>
          <w:lang w:val="en-GB"/>
        </w:rPr>
        <w:t>s</w:t>
      </w:r>
      <w:r w:rsidRPr="00E020B0">
        <w:rPr>
          <w:lang w:val="en-GB"/>
        </w:rPr>
        <w:t xml:space="preserve"> into UL symbol</w:t>
      </w:r>
      <w:r w:rsidR="00605E92" w:rsidRPr="00E020B0">
        <w:rPr>
          <w:lang w:val="en-GB"/>
        </w:rPr>
        <w:t>s</w:t>
      </w:r>
      <w:r w:rsidRPr="00E020B0">
        <w:rPr>
          <w:lang w:val="en-GB"/>
        </w:rPr>
        <w:t xml:space="preserve"> of a base station in a neighbouring country</w:t>
      </w:r>
      <w:r w:rsidR="00463886" w:rsidRPr="00E020B0">
        <w:rPr>
          <w:lang w:val="en-GB"/>
        </w:rPr>
        <w:t xml:space="preserve"> </w:t>
      </w:r>
      <w:r w:rsidR="00463886" w:rsidRPr="00E020B0">
        <w:rPr>
          <w:rFonts w:cs="Arial"/>
          <w:szCs w:val="20"/>
          <w:lang w:val="en-GB" w:eastAsia="fr-FR"/>
        </w:rPr>
        <w:t>with some degree of downlink capacity loss and some loss in coverage</w:t>
      </w:r>
      <w:r w:rsidRPr="00EE1E00">
        <w:rPr>
          <w:lang w:val="en-GB"/>
        </w:rPr>
        <w:t xml:space="preserve">. </w:t>
      </w:r>
      <w:r w:rsidR="00B17B4F" w:rsidRPr="00EE1E00">
        <w:rPr>
          <w:lang w:val="en-GB"/>
        </w:rPr>
        <w:t>DL symbol blanking is not available yet in existing equipment and further studies are being carried out within CEPT. In this regard, the availability of such feature will be fostered by a limited choice of frame structure</w:t>
      </w:r>
      <w:r w:rsidR="00EC5396" w:rsidRPr="00EE1E00">
        <w:rPr>
          <w:lang w:val="en-GB"/>
        </w:rPr>
        <w:t>s</w:t>
      </w:r>
      <w:r w:rsidR="00463886" w:rsidRPr="00EE1E00">
        <w:rPr>
          <w:lang w:val="en-GB"/>
        </w:rPr>
        <w:t>.</w:t>
      </w:r>
      <w:r w:rsidR="00922789" w:rsidRPr="00EE1E00">
        <w:rPr>
          <w:lang w:val="en-GB"/>
        </w:rPr>
        <w:t xml:space="preserve"> </w:t>
      </w:r>
      <w:r w:rsidR="00463886" w:rsidRPr="00EE1E00">
        <w:rPr>
          <w:lang w:val="en-GB"/>
        </w:rPr>
        <w:t>The</w:t>
      </w:r>
      <w:r w:rsidR="00E22B78" w:rsidRPr="00EE1E00">
        <w:rPr>
          <w:lang w:val="en-GB"/>
        </w:rPr>
        <w:t xml:space="preserve"> list of frame structures</w:t>
      </w:r>
      <w:r w:rsidR="00922789" w:rsidRPr="00EE1E00">
        <w:rPr>
          <w:lang w:val="en-GB"/>
        </w:rPr>
        <w:t xml:space="preserve"> </w:t>
      </w:r>
      <w:r w:rsidR="00BE3DE4" w:rsidRPr="00EE1E00">
        <w:rPr>
          <w:lang w:val="en-GB"/>
        </w:rPr>
        <w:t>may need to be</w:t>
      </w:r>
      <w:r w:rsidR="00922789" w:rsidRPr="00EE1E00">
        <w:rPr>
          <w:lang w:val="en-GB"/>
        </w:rPr>
        <w:t xml:space="preserve"> updated when </w:t>
      </w:r>
      <w:r w:rsidR="00296A09" w:rsidRPr="00EE1E00">
        <w:rPr>
          <w:lang w:val="en-GB"/>
        </w:rPr>
        <w:t xml:space="preserve">more information about </w:t>
      </w:r>
      <w:r w:rsidR="00E97D4D" w:rsidRPr="00EE1E00">
        <w:rPr>
          <w:lang w:val="en-GB"/>
        </w:rPr>
        <w:t xml:space="preserve">existing systems, </w:t>
      </w:r>
      <w:r w:rsidR="00296A09" w:rsidRPr="00EE1E00">
        <w:rPr>
          <w:lang w:val="en-GB"/>
        </w:rPr>
        <w:t xml:space="preserve">new services </w:t>
      </w:r>
      <w:r w:rsidR="008458D2" w:rsidRPr="00EE1E00">
        <w:rPr>
          <w:lang w:val="en-GB"/>
        </w:rPr>
        <w:t>and</w:t>
      </w:r>
      <w:r w:rsidR="00E97D4D" w:rsidRPr="00EE1E00">
        <w:rPr>
          <w:lang w:val="en-GB"/>
        </w:rPr>
        <w:t xml:space="preserve"> performance requirements</w:t>
      </w:r>
      <w:r w:rsidR="008458D2" w:rsidRPr="00EE1E00">
        <w:rPr>
          <w:lang w:val="en-GB"/>
        </w:rPr>
        <w:t xml:space="preserve"> </w:t>
      </w:r>
      <w:r w:rsidR="00E97D4D" w:rsidRPr="00EE1E00">
        <w:rPr>
          <w:lang w:val="en-GB"/>
        </w:rPr>
        <w:t xml:space="preserve">are known. </w:t>
      </w:r>
      <w:r w:rsidR="00463886" w:rsidRPr="00EE1E00">
        <w:rPr>
          <w:lang w:val="en-GB"/>
        </w:rPr>
        <w:t xml:space="preserve">DL symbol blanking </w:t>
      </w:r>
      <w:r w:rsidR="00E97D4D" w:rsidRPr="00EE1E00">
        <w:rPr>
          <w:lang w:val="en-GB"/>
        </w:rPr>
        <w:t xml:space="preserve">could be complemented by </w:t>
      </w:r>
      <w:r w:rsidR="00463886" w:rsidRPr="00EE1E00">
        <w:rPr>
          <w:lang w:val="en-GB"/>
        </w:rPr>
        <w:t>one or more of interference avoidance mechanisms</w:t>
      </w:r>
      <w:r w:rsidR="00E97D4D" w:rsidRPr="00EE1E00">
        <w:rPr>
          <w:lang w:val="en-GB"/>
        </w:rPr>
        <w:t xml:space="preserve"> </w:t>
      </w:r>
      <w:r w:rsidR="00DC7B9E" w:rsidRPr="00EE1E00">
        <w:rPr>
          <w:lang w:val="en-GB"/>
        </w:rPr>
        <w:t>such as antenna tilting, restricted beamforming, downlink power reduction, minimum inter-cell interference scheduling</w:t>
      </w:r>
      <w:r w:rsidR="0066546C" w:rsidRPr="00EE1E00">
        <w:rPr>
          <w:lang w:val="en-GB"/>
        </w:rPr>
        <w:t xml:space="preserve">. Such mechanisms </w:t>
      </w:r>
      <w:r w:rsidR="001E3AA9" w:rsidRPr="00EE1E00">
        <w:rPr>
          <w:lang w:val="en-GB"/>
        </w:rPr>
        <w:t xml:space="preserve">could </w:t>
      </w:r>
      <w:r w:rsidR="00463886" w:rsidRPr="00EE1E00">
        <w:rPr>
          <w:lang w:val="en-GB"/>
        </w:rPr>
        <w:t>reduce the area where DL symbol blanking needs to be applied</w:t>
      </w:r>
      <w:r w:rsidR="00E97D4D" w:rsidRPr="00EE1E00">
        <w:rPr>
          <w:lang w:val="en-GB"/>
        </w:rPr>
        <w:t>.</w:t>
      </w:r>
    </w:p>
    <w:p w14:paraId="33BC5982" w14:textId="0050947E" w:rsidR="00B17B4F" w:rsidRPr="00EE1E00" w:rsidRDefault="0024709E" w:rsidP="00B90690">
      <w:pPr>
        <w:pStyle w:val="ECCParagraph"/>
      </w:pPr>
      <w:r w:rsidRPr="00EE1E00">
        <w:t>Many CEPT countries have authori</w:t>
      </w:r>
      <w:r w:rsidR="00792F10" w:rsidRPr="00EE1E00">
        <w:t>s</w:t>
      </w:r>
      <w:r w:rsidRPr="00EE1E00">
        <w:t>ed or will authori</w:t>
      </w:r>
      <w:r w:rsidR="00792F10" w:rsidRPr="00EE1E00">
        <w:t>s</w:t>
      </w:r>
      <w:r w:rsidRPr="00EE1E00">
        <w:t>e soon the frequency band 3400-3800 MHz for MFCN and have engaged in cross-border negotiations with their neighbours in order to enable spectrum efficient deployment at the border.</w:t>
      </w:r>
    </w:p>
    <w:p w14:paraId="5BC2B005" w14:textId="40C26CCB" w:rsidR="007860C5" w:rsidRPr="00EE1E00" w:rsidRDefault="007860C5" w:rsidP="007860C5">
      <w:pPr>
        <w:pStyle w:val="ECCParagraph"/>
      </w:pPr>
      <w:r w:rsidRPr="00EE1E00">
        <w:t xml:space="preserve">Therefore, CEPT has identified a need for an </w:t>
      </w:r>
      <w:r w:rsidRPr="00E020B0">
        <w:t xml:space="preserve">ECC </w:t>
      </w:r>
      <w:r w:rsidR="003159FF" w:rsidRPr="00E020B0">
        <w:t>R</w:t>
      </w:r>
      <w:r w:rsidRPr="00E020B0">
        <w:t xml:space="preserve">ecommendation regarding </w:t>
      </w:r>
      <w:r w:rsidR="001751CF" w:rsidRPr="00E020B0">
        <w:t xml:space="preserve">TDD </w:t>
      </w:r>
      <w:r w:rsidR="00AC3A73" w:rsidRPr="00E020B0">
        <w:t xml:space="preserve">MFCN </w:t>
      </w:r>
      <w:r w:rsidRPr="00E020B0">
        <w:t xml:space="preserve">frame structures to be used in cross-border coordination in order to facilitate </w:t>
      </w:r>
      <w:r w:rsidR="001E3AA9" w:rsidRPr="00E020B0">
        <w:t xml:space="preserve">the negotiation of cross-border coordination agreements between administrations and facilitate </w:t>
      </w:r>
      <w:r w:rsidR="008313E9" w:rsidRPr="00E020B0">
        <w:t xml:space="preserve">the conclusion </w:t>
      </w:r>
      <w:r w:rsidR="00772D3C" w:rsidRPr="00E020B0">
        <w:t>o</w:t>
      </w:r>
      <w:r w:rsidR="00F91066" w:rsidRPr="00E020B0">
        <w:t xml:space="preserve">f </w:t>
      </w:r>
      <w:r w:rsidR="001E3AA9" w:rsidRPr="00E020B0">
        <w:t>operator arrangements</w:t>
      </w:r>
      <w:r w:rsidRPr="00EE1E00">
        <w:t xml:space="preserve">, as well as </w:t>
      </w:r>
      <w:r w:rsidR="001E3AA9" w:rsidRPr="00EE1E00">
        <w:t>the development of DL symbol blanking feature in due time.</w:t>
      </w:r>
    </w:p>
    <w:p w14:paraId="0FC7837F" w14:textId="77777777" w:rsidR="00B90690" w:rsidRPr="00EE1E00" w:rsidRDefault="00B90690" w:rsidP="00B90690">
      <w:pPr>
        <w:pStyle w:val="ECCParagraph"/>
      </w:pPr>
    </w:p>
    <w:p w14:paraId="740C4E1D" w14:textId="631CC446" w:rsidR="00C74BE6" w:rsidRPr="00EE1E00" w:rsidRDefault="00835C5B" w:rsidP="00C74BE6">
      <w:pPr>
        <w:pStyle w:val="Heading1"/>
      </w:pPr>
      <w:r w:rsidRPr="00EE1E00">
        <w:lastRenderedPageBreak/>
        <w:t xml:space="preserve">ECC recommendation </w:t>
      </w:r>
      <w:r w:rsidR="00D6088C" w:rsidRPr="00EE1E00">
        <w:t>20</w:t>
      </w:r>
      <w:r w:rsidR="00D6088C" w:rsidRPr="00EE1E00">
        <w:fldChar w:fldCharType="begin">
          <w:ffData>
            <w:name w:val="Text4"/>
            <w:enabled/>
            <w:calcOnExit w:val="0"/>
            <w:textInput>
              <w:default w:val="YY(No)"/>
            </w:textInput>
          </w:ffData>
        </w:fldChar>
      </w:r>
      <w:r w:rsidR="00D6088C" w:rsidRPr="00EE1E00">
        <w:instrText xml:space="preserve"> FORMTEXT </w:instrText>
      </w:r>
      <w:r w:rsidR="00D6088C" w:rsidRPr="00EE1E00">
        <w:fldChar w:fldCharType="separate"/>
      </w:r>
      <w:r w:rsidR="00D6088C" w:rsidRPr="00EE1E00">
        <w:t>(03)</w:t>
      </w:r>
      <w:r w:rsidR="00D6088C" w:rsidRPr="00EE1E00">
        <w:fldChar w:fldCharType="end"/>
      </w:r>
      <w:r w:rsidR="00D6088C" w:rsidRPr="00EE1E00">
        <w:t xml:space="preserve"> </w:t>
      </w:r>
      <w:r w:rsidRPr="00EE1E00">
        <w:t xml:space="preserve">of </w:t>
      </w:r>
      <w:bookmarkStart w:id="3" w:name="Text4"/>
      <w:r w:rsidR="0006662D">
        <w:t>23 October 2020</w:t>
      </w:r>
      <w:bookmarkEnd w:id="3"/>
      <w:r w:rsidR="00391650" w:rsidRPr="00EE1E00">
        <w:t xml:space="preserve"> on Frame structures to facilitate cross-border coordination </w:t>
      </w:r>
      <w:r w:rsidR="00CE7EFC" w:rsidRPr="00EE1E00">
        <w:t xml:space="preserve">OF TDD MFCN </w:t>
      </w:r>
      <w:r w:rsidR="00391650" w:rsidRPr="00EE1E00">
        <w:t>in the frequency band 3400-3800 MHz</w:t>
      </w:r>
    </w:p>
    <w:p w14:paraId="171DAA78" w14:textId="74A2DFD3" w:rsidR="00C74BE6" w:rsidRPr="00EE1E00" w:rsidRDefault="00835C5B" w:rsidP="00C74BE6">
      <w:pPr>
        <w:pStyle w:val="ECCParagraph"/>
      </w:pPr>
      <w:r w:rsidRPr="00EE1E00">
        <w:t>“The European Conference of Postal and Telecommunications Administrations,</w:t>
      </w:r>
    </w:p>
    <w:p w14:paraId="682181DA" w14:textId="77777777" w:rsidR="00C74BE6" w:rsidRPr="00EE1E00" w:rsidRDefault="00835C5B" w:rsidP="00C74BE6">
      <w:pPr>
        <w:pStyle w:val="ECCParagraph"/>
        <w:rPr>
          <w:i/>
          <w:color w:val="D2232A"/>
        </w:rPr>
      </w:pPr>
      <w:r w:rsidRPr="00EE1E00">
        <w:rPr>
          <w:i/>
          <w:color w:val="D2232A"/>
        </w:rPr>
        <w:t xml:space="preserve">considering </w:t>
      </w:r>
    </w:p>
    <w:p w14:paraId="687F743D" w14:textId="6C2C8B4C" w:rsidR="00B51301" w:rsidRPr="00EE1E00" w:rsidRDefault="00B51301" w:rsidP="005977A8">
      <w:pPr>
        <w:pStyle w:val="LetteredList"/>
        <w:spacing w:after="240"/>
        <w:ind w:left="425" w:hanging="357"/>
        <w:rPr>
          <w:lang w:val="en-GB"/>
        </w:rPr>
      </w:pPr>
      <w:r w:rsidRPr="00EE1E00">
        <w:rPr>
          <w:lang w:val="en-GB"/>
        </w:rPr>
        <w:t>that ECC Decision (11)06</w:t>
      </w:r>
      <w:r w:rsidR="00322074" w:rsidRPr="00EE1E00">
        <w:rPr>
          <w:lang w:val="en-GB"/>
        </w:rPr>
        <w:t xml:space="preserve"> </w:t>
      </w:r>
      <w:r w:rsidR="00D6088C" w:rsidRPr="00EE1E00">
        <w:rPr>
          <w:lang w:val="en-GB"/>
        </w:rPr>
        <w:fldChar w:fldCharType="begin"/>
      </w:r>
      <w:r w:rsidR="00D6088C" w:rsidRPr="00EE1E00">
        <w:rPr>
          <w:lang w:val="en-GB"/>
        </w:rPr>
        <w:instrText xml:space="preserve"> REF _Ref43282099 \r \h </w:instrText>
      </w:r>
      <w:r w:rsidR="00D6088C" w:rsidRPr="00EE1E00">
        <w:rPr>
          <w:lang w:val="en-GB"/>
        </w:rPr>
      </w:r>
      <w:r w:rsidR="00D6088C" w:rsidRPr="00EE1E00">
        <w:rPr>
          <w:lang w:val="en-GB"/>
        </w:rPr>
        <w:fldChar w:fldCharType="separate"/>
      </w:r>
      <w:r w:rsidR="00D6088C" w:rsidRPr="00EE1E00">
        <w:rPr>
          <w:lang w:val="en-GB"/>
        </w:rPr>
        <w:t>[1]</w:t>
      </w:r>
      <w:r w:rsidR="00D6088C" w:rsidRPr="00EE1E00">
        <w:rPr>
          <w:lang w:val="en-GB"/>
        </w:rPr>
        <w:fldChar w:fldCharType="end"/>
      </w:r>
      <w:r w:rsidRPr="00EE1E00">
        <w:rPr>
          <w:lang w:val="en-GB"/>
        </w:rPr>
        <w:t xml:space="preserve"> provides the harmonised conditions for Mobile/Fixed Communications Networks (MFCN) operating in the </w:t>
      </w:r>
      <w:r w:rsidR="00CE7EFC" w:rsidRPr="00EE1E00">
        <w:rPr>
          <w:lang w:val="en-GB"/>
        </w:rPr>
        <w:t xml:space="preserve">frequency </w:t>
      </w:r>
      <w:r w:rsidRPr="00EE1E00">
        <w:rPr>
          <w:lang w:val="en-GB"/>
        </w:rPr>
        <w:t xml:space="preserve">band 3400-3800 MHz; </w:t>
      </w:r>
    </w:p>
    <w:p w14:paraId="7C9B4583" w14:textId="03E8E537" w:rsidR="00187918" w:rsidRPr="00EE1E00" w:rsidRDefault="00187918" w:rsidP="005977A8">
      <w:pPr>
        <w:pStyle w:val="LetteredList"/>
        <w:spacing w:after="240"/>
        <w:ind w:left="425" w:hanging="357"/>
        <w:rPr>
          <w:lang w:val="en-GB"/>
        </w:rPr>
      </w:pPr>
      <w:bookmarkStart w:id="4" w:name="_Ref36155113"/>
      <w:r w:rsidRPr="00EE1E00">
        <w:rPr>
          <w:lang w:val="en-GB"/>
        </w:rPr>
        <w:t xml:space="preserve">that ECC </w:t>
      </w:r>
      <w:r w:rsidR="001802DF" w:rsidRPr="00EE1E00">
        <w:rPr>
          <w:lang w:val="en-GB"/>
        </w:rPr>
        <w:t>R</w:t>
      </w:r>
      <w:r w:rsidRPr="00EE1E00">
        <w:rPr>
          <w:lang w:val="en-GB"/>
        </w:rPr>
        <w:t>eport 296</w:t>
      </w:r>
      <w:r w:rsidR="00322074" w:rsidRPr="00EE1E00">
        <w:rPr>
          <w:lang w:val="en-GB"/>
        </w:rPr>
        <w:t xml:space="preserve"> </w:t>
      </w:r>
      <w:r w:rsidR="00D6088C" w:rsidRPr="00EE1E00">
        <w:rPr>
          <w:lang w:val="en-GB"/>
        </w:rPr>
        <w:fldChar w:fldCharType="begin"/>
      </w:r>
      <w:r w:rsidR="00D6088C" w:rsidRPr="00EE1E00">
        <w:rPr>
          <w:lang w:val="en-GB"/>
        </w:rPr>
        <w:instrText xml:space="preserve"> REF _Ref43282033 \r \h </w:instrText>
      </w:r>
      <w:r w:rsidR="00D6088C" w:rsidRPr="00EE1E00">
        <w:rPr>
          <w:lang w:val="en-GB"/>
        </w:rPr>
      </w:r>
      <w:r w:rsidR="00D6088C" w:rsidRPr="00EE1E00">
        <w:rPr>
          <w:lang w:val="en-GB"/>
        </w:rPr>
        <w:fldChar w:fldCharType="separate"/>
      </w:r>
      <w:r w:rsidR="00D6088C" w:rsidRPr="00EE1E00">
        <w:rPr>
          <w:lang w:val="en-GB"/>
        </w:rPr>
        <w:t>[2]</w:t>
      </w:r>
      <w:r w:rsidR="00D6088C" w:rsidRPr="00EE1E00">
        <w:rPr>
          <w:lang w:val="en-GB"/>
        </w:rPr>
        <w:fldChar w:fldCharType="end"/>
      </w:r>
      <w:r w:rsidRPr="00EE1E00">
        <w:rPr>
          <w:lang w:val="en-GB"/>
        </w:rPr>
        <w:t xml:space="preserve"> </w:t>
      </w:r>
      <w:r w:rsidR="001A19BB" w:rsidRPr="00EE1E00">
        <w:rPr>
          <w:lang w:val="en-GB"/>
        </w:rPr>
        <w:t>describes</w:t>
      </w:r>
      <w:r w:rsidRPr="00EE1E00">
        <w:rPr>
          <w:lang w:val="en-GB"/>
        </w:rPr>
        <w:t xml:space="preserve"> national synchronisation framework options in 3400-3800 MHz</w:t>
      </w:r>
      <w:r w:rsidR="00D6088C" w:rsidRPr="00EE1E00">
        <w:rPr>
          <w:lang w:val="en-GB"/>
        </w:rPr>
        <w:t>;</w:t>
      </w:r>
      <w:r w:rsidRPr="00EE1E00">
        <w:rPr>
          <w:lang w:val="en-GB"/>
        </w:rPr>
        <w:t xml:space="preserve"> </w:t>
      </w:r>
      <w:bookmarkEnd w:id="4"/>
    </w:p>
    <w:p w14:paraId="6BC6AE5E" w14:textId="06E87669" w:rsidR="00FD56BB" w:rsidRPr="00EE1E00" w:rsidRDefault="00FD56BB" w:rsidP="005977A8">
      <w:pPr>
        <w:pStyle w:val="LetteredList"/>
        <w:spacing w:after="240"/>
        <w:ind w:left="425" w:hanging="357"/>
        <w:rPr>
          <w:lang w:val="en-GB"/>
        </w:rPr>
      </w:pPr>
      <w:r w:rsidRPr="00EE1E00">
        <w:rPr>
          <w:lang w:val="en-GB"/>
        </w:rPr>
        <w:t xml:space="preserve">that </w:t>
      </w:r>
      <w:r w:rsidR="00B85066" w:rsidRPr="00EE1E00">
        <w:rPr>
          <w:lang w:val="en-GB"/>
        </w:rPr>
        <w:t>ECC Recommendation (15)01</w:t>
      </w:r>
      <w:r w:rsidR="00322074" w:rsidRPr="00EE1E00">
        <w:rPr>
          <w:lang w:val="en-GB"/>
        </w:rPr>
        <w:t xml:space="preserve"> </w:t>
      </w:r>
      <w:r w:rsidR="00D6088C" w:rsidRPr="00EE1E00">
        <w:rPr>
          <w:lang w:val="en-GB"/>
        </w:rPr>
        <w:fldChar w:fldCharType="begin"/>
      </w:r>
      <w:r w:rsidR="00D6088C" w:rsidRPr="00EE1E00">
        <w:rPr>
          <w:lang w:val="en-GB"/>
        </w:rPr>
        <w:instrText xml:space="preserve"> REF _Ref43282118 \r \h </w:instrText>
      </w:r>
      <w:r w:rsidR="00D6088C" w:rsidRPr="00EE1E00">
        <w:rPr>
          <w:lang w:val="en-GB"/>
        </w:rPr>
      </w:r>
      <w:r w:rsidR="00D6088C" w:rsidRPr="00EE1E00">
        <w:rPr>
          <w:lang w:val="en-GB"/>
        </w:rPr>
        <w:fldChar w:fldCharType="separate"/>
      </w:r>
      <w:r w:rsidR="00D6088C" w:rsidRPr="00EE1E00">
        <w:rPr>
          <w:lang w:val="en-GB"/>
        </w:rPr>
        <w:t>[3]</w:t>
      </w:r>
      <w:r w:rsidR="00D6088C" w:rsidRPr="00EE1E00">
        <w:rPr>
          <w:lang w:val="en-GB"/>
        </w:rPr>
        <w:fldChar w:fldCharType="end"/>
      </w:r>
      <w:r w:rsidR="00B85066" w:rsidRPr="00EE1E00">
        <w:rPr>
          <w:lang w:val="en-GB"/>
        </w:rPr>
        <w:t xml:space="preserve"> on cross-border coordination for MFCN defines a</w:t>
      </w:r>
      <w:r w:rsidR="002A3809" w:rsidRPr="00EE1E00">
        <w:rPr>
          <w:lang w:val="en-GB"/>
        </w:rPr>
        <w:t xml:space="preserve"> </w:t>
      </w:r>
      <w:r w:rsidRPr="00EE1E00">
        <w:rPr>
          <w:lang w:val="en-GB"/>
        </w:rPr>
        <w:t xml:space="preserve">coordination </w:t>
      </w:r>
      <w:r w:rsidR="002A3809" w:rsidRPr="00EE1E00">
        <w:rPr>
          <w:lang w:val="en-GB"/>
        </w:rPr>
        <w:t xml:space="preserve">trigger value </w:t>
      </w:r>
      <w:r w:rsidR="009B793F" w:rsidRPr="00EE1E00">
        <w:rPr>
          <w:lang w:val="en-GB"/>
        </w:rPr>
        <w:t xml:space="preserve">at the </w:t>
      </w:r>
      <w:r w:rsidR="00A30121" w:rsidRPr="00EE1E00">
        <w:rPr>
          <w:lang w:val="en-GB"/>
        </w:rPr>
        <w:t xml:space="preserve">geographical </w:t>
      </w:r>
      <w:r w:rsidR="009B793F" w:rsidRPr="00EE1E00">
        <w:rPr>
          <w:lang w:val="en-GB"/>
        </w:rPr>
        <w:t xml:space="preserve">border </w:t>
      </w:r>
      <w:r w:rsidR="00355B8E" w:rsidRPr="00EE1E00">
        <w:rPr>
          <w:lang w:val="en-GB"/>
        </w:rPr>
        <w:t>for unsynchroni</w:t>
      </w:r>
      <w:r w:rsidR="00D6088C" w:rsidRPr="00EE1E00">
        <w:rPr>
          <w:lang w:val="en-GB"/>
        </w:rPr>
        <w:t>s</w:t>
      </w:r>
      <w:r w:rsidR="00355B8E" w:rsidRPr="00EE1E00">
        <w:rPr>
          <w:lang w:val="en-GB"/>
        </w:rPr>
        <w:t xml:space="preserve">ed </w:t>
      </w:r>
      <w:r w:rsidR="009B793F" w:rsidRPr="00EE1E00">
        <w:rPr>
          <w:lang w:val="en-GB"/>
        </w:rPr>
        <w:t xml:space="preserve">TDD </w:t>
      </w:r>
      <w:r w:rsidR="00355B8E" w:rsidRPr="00EE1E00">
        <w:rPr>
          <w:lang w:val="en-GB"/>
        </w:rPr>
        <w:t>networks</w:t>
      </w:r>
      <w:r w:rsidR="00B85066" w:rsidRPr="00EE1E00">
        <w:rPr>
          <w:lang w:val="en-GB"/>
        </w:rPr>
        <w:t xml:space="preserve"> </w:t>
      </w:r>
      <w:r w:rsidRPr="00EE1E00">
        <w:rPr>
          <w:lang w:val="en-GB"/>
        </w:rPr>
        <w:t>in the frequency band 3400-3800 MHz</w:t>
      </w:r>
      <w:r w:rsidR="00B85066" w:rsidRPr="00EE1E00">
        <w:rPr>
          <w:lang w:val="en-GB"/>
        </w:rPr>
        <w:t xml:space="preserve"> which</w:t>
      </w:r>
      <w:r w:rsidRPr="00EE1E00">
        <w:rPr>
          <w:lang w:val="en-GB"/>
        </w:rPr>
        <w:t xml:space="preserve"> may result in </w:t>
      </w:r>
      <w:r w:rsidR="009B793F" w:rsidRPr="00EE1E00">
        <w:rPr>
          <w:lang w:val="en-GB"/>
        </w:rPr>
        <w:t>large</w:t>
      </w:r>
      <w:r w:rsidR="00F44620" w:rsidRPr="00EE1E00">
        <w:rPr>
          <w:lang w:val="en-GB"/>
        </w:rPr>
        <w:t xml:space="preserve"> </w:t>
      </w:r>
      <w:r w:rsidRPr="00EE1E00">
        <w:rPr>
          <w:lang w:val="en-GB"/>
        </w:rPr>
        <w:t xml:space="preserve">distances from the border where </w:t>
      </w:r>
      <w:r w:rsidR="005B4BB1" w:rsidRPr="00EE1E00">
        <w:rPr>
          <w:lang w:val="en-GB"/>
        </w:rPr>
        <w:t>neighbouring</w:t>
      </w:r>
      <w:r w:rsidRPr="00EE1E00">
        <w:rPr>
          <w:lang w:val="en-GB"/>
        </w:rPr>
        <w:t xml:space="preserve"> administrations will need to coordinate base stations deployment</w:t>
      </w:r>
      <w:r w:rsidR="00355B8E" w:rsidRPr="00EE1E00">
        <w:rPr>
          <w:lang w:val="en-GB"/>
        </w:rPr>
        <w:t>;</w:t>
      </w:r>
      <w:r w:rsidR="00301E68" w:rsidRPr="00EE1E00">
        <w:rPr>
          <w:lang w:val="en-GB"/>
        </w:rPr>
        <w:t xml:space="preserve"> such large distances may impact negatively coverage and services provisions at both sides of the border</w:t>
      </w:r>
      <w:r w:rsidR="00B1130D" w:rsidRPr="00EE1E00">
        <w:rPr>
          <w:lang w:val="en-GB"/>
        </w:rPr>
        <w:t>;</w:t>
      </w:r>
      <w:r w:rsidR="002276FA" w:rsidRPr="00EE1E00">
        <w:rPr>
          <w:lang w:val="en-GB"/>
        </w:rPr>
        <w:t xml:space="preserve"> </w:t>
      </w:r>
    </w:p>
    <w:p w14:paraId="401C4F0C" w14:textId="1F13562A" w:rsidR="00FD56BB" w:rsidRPr="00EE1E00" w:rsidRDefault="004C50B9" w:rsidP="005977A8">
      <w:pPr>
        <w:pStyle w:val="LetteredList"/>
        <w:spacing w:after="240"/>
        <w:ind w:left="425" w:hanging="357"/>
        <w:rPr>
          <w:lang w:val="en-GB"/>
        </w:rPr>
      </w:pPr>
      <w:r w:rsidRPr="00EE1E00">
        <w:rPr>
          <w:lang w:val="en-GB"/>
        </w:rPr>
        <w:t>that ECC Recommendation (15)01</w:t>
      </w:r>
      <w:r w:rsidR="00322074" w:rsidRPr="00EE1E00">
        <w:rPr>
          <w:lang w:val="en-GB"/>
        </w:rPr>
        <w:t xml:space="preserve"> </w:t>
      </w:r>
      <w:r w:rsidRPr="00EE1E00">
        <w:rPr>
          <w:lang w:val="en-GB"/>
        </w:rPr>
        <w:t xml:space="preserve">recommends the synchronisation of </w:t>
      </w:r>
      <w:r w:rsidR="001751CF" w:rsidRPr="00EE1E00">
        <w:rPr>
          <w:lang w:val="en-GB"/>
        </w:rPr>
        <w:t xml:space="preserve">TDD </w:t>
      </w:r>
      <w:r w:rsidRPr="00EE1E00">
        <w:rPr>
          <w:lang w:val="en-GB"/>
        </w:rPr>
        <w:t>MFCN</w:t>
      </w:r>
      <w:r w:rsidR="00B120B0" w:rsidRPr="00EE1E00">
        <w:rPr>
          <w:lang w:val="en-GB"/>
        </w:rPr>
        <w:t xml:space="preserve"> at the border and</w:t>
      </w:r>
      <w:r w:rsidRPr="00EE1E00">
        <w:rPr>
          <w:lang w:val="en-GB"/>
        </w:rPr>
        <w:t xml:space="preserve"> provides further guidance on its implementation</w:t>
      </w:r>
      <w:r w:rsidR="00B120B0" w:rsidRPr="00EE1E00">
        <w:rPr>
          <w:lang w:val="en-GB"/>
        </w:rPr>
        <w:t xml:space="preserve"> including examples of frame structure options</w:t>
      </w:r>
      <w:r w:rsidR="00E1631A" w:rsidRPr="00EE1E00">
        <w:rPr>
          <w:lang w:val="en-GB"/>
        </w:rPr>
        <w:t xml:space="preserve"> and mitigation techniques</w:t>
      </w:r>
      <w:r w:rsidR="00E1631A" w:rsidRPr="00EE1E00">
        <w:rPr>
          <w:rStyle w:val="FootnoteReference"/>
          <w:color w:val="auto"/>
          <w:lang w:val="en-GB"/>
        </w:rPr>
        <w:footnoteReference w:id="2"/>
      </w:r>
      <w:r w:rsidR="00355B8E" w:rsidRPr="00EE1E00">
        <w:rPr>
          <w:lang w:val="en-GB"/>
        </w:rPr>
        <w:t>;</w:t>
      </w:r>
      <w:r w:rsidR="00676862" w:rsidRPr="00EE1E00">
        <w:rPr>
          <w:lang w:val="en-GB"/>
        </w:rPr>
        <w:t xml:space="preserve"> </w:t>
      </w:r>
    </w:p>
    <w:p w14:paraId="3D90BA8C" w14:textId="38A52F9D" w:rsidR="00865FC6" w:rsidRPr="00EE1E00" w:rsidRDefault="00865FC6" w:rsidP="005977A8">
      <w:pPr>
        <w:pStyle w:val="LetteredList"/>
        <w:spacing w:after="240"/>
        <w:ind w:left="425" w:hanging="357"/>
        <w:rPr>
          <w:lang w:val="en-GB"/>
        </w:rPr>
      </w:pPr>
      <w:r w:rsidRPr="00EE1E00">
        <w:rPr>
          <w:lang w:val="en-GB"/>
        </w:rPr>
        <w:t xml:space="preserve">that frame structures </w:t>
      </w:r>
      <w:r w:rsidR="00A63BE8" w:rsidRPr="00EE1E00">
        <w:rPr>
          <w:lang w:val="en-GB"/>
        </w:rPr>
        <w:t xml:space="preserve">in order </w:t>
      </w:r>
      <w:r w:rsidRPr="00EE1E00">
        <w:rPr>
          <w:lang w:val="en-GB"/>
        </w:rPr>
        <w:t xml:space="preserve">to </w:t>
      </w:r>
      <w:r w:rsidRPr="00E020B0">
        <w:rPr>
          <w:lang w:val="en-GB"/>
        </w:rPr>
        <w:t>facilitate cross</w:t>
      </w:r>
      <w:r w:rsidR="00BA71EA" w:rsidRPr="00E020B0">
        <w:rPr>
          <w:lang w:val="en-GB"/>
        </w:rPr>
        <w:t>-</w:t>
      </w:r>
      <w:r w:rsidRPr="00E020B0">
        <w:rPr>
          <w:lang w:val="en-GB"/>
        </w:rPr>
        <w:t xml:space="preserve">border coordination </w:t>
      </w:r>
      <w:r w:rsidR="00A63BE8" w:rsidRPr="00E020B0">
        <w:rPr>
          <w:lang w:val="en-GB"/>
        </w:rPr>
        <w:t xml:space="preserve">of </w:t>
      </w:r>
      <w:r w:rsidR="00565FF4" w:rsidRPr="00E020B0">
        <w:rPr>
          <w:lang w:val="en-GB"/>
        </w:rPr>
        <w:t xml:space="preserve">TDD </w:t>
      </w:r>
      <w:r w:rsidR="00A63BE8" w:rsidRPr="00E020B0">
        <w:rPr>
          <w:lang w:val="en-GB"/>
        </w:rPr>
        <w:t xml:space="preserve">MFCN </w:t>
      </w:r>
      <w:r w:rsidRPr="00E020B0">
        <w:rPr>
          <w:lang w:val="en-GB"/>
        </w:rPr>
        <w:t>in the frequency band 3400-3800 MHz</w:t>
      </w:r>
      <w:r w:rsidR="00A63BE8" w:rsidRPr="00E020B0">
        <w:rPr>
          <w:lang w:val="en-GB"/>
        </w:rPr>
        <w:t xml:space="preserve">, as defined in </w:t>
      </w:r>
      <w:r w:rsidR="00BA71EA">
        <w:rPr>
          <w:lang w:val="en-GB"/>
        </w:rPr>
        <w:fldChar w:fldCharType="begin"/>
      </w:r>
      <w:r w:rsidR="00BA71EA">
        <w:rPr>
          <w:lang w:val="en-GB"/>
        </w:rPr>
        <w:instrText xml:space="preserve"> REF _Ref43282211 \r \h </w:instrText>
      </w:r>
      <w:r w:rsidR="00BA71EA">
        <w:rPr>
          <w:lang w:val="en-GB"/>
        </w:rPr>
      </w:r>
      <w:r w:rsidR="00BA71EA">
        <w:rPr>
          <w:lang w:val="en-GB"/>
        </w:rPr>
        <w:fldChar w:fldCharType="separate"/>
      </w:r>
      <w:r w:rsidR="00BA71EA">
        <w:rPr>
          <w:lang w:val="en-GB"/>
        </w:rPr>
        <w:t>Annex 1</w:t>
      </w:r>
      <w:r w:rsidR="00BA71EA">
        <w:rPr>
          <w:lang w:val="en-GB"/>
        </w:rPr>
        <w:fldChar w:fldCharType="end"/>
      </w:r>
      <w:r w:rsidR="00A63BE8" w:rsidRPr="00E020B0">
        <w:rPr>
          <w:lang w:val="en-GB"/>
        </w:rPr>
        <w:t>,</w:t>
      </w:r>
      <w:r w:rsidRPr="00E020B0">
        <w:rPr>
          <w:lang w:val="en-GB"/>
        </w:rPr>
        <w:t xml:space="preserve"> </w:t>
      </w:r>
      <w:r w:rsidR="00A32C94" w:rsidRPr="00E020B0">
        <w:rPr>
          <w:lang w:val="en-GB"/>
        </w:rPr>
        <w:t>related to</w:t>
      </w:r>
      <w:r w:rsidRPr="00E020B0">
        <w:rPr>
          <w:lang w:val="en-GB"/>
        </w:rPr>
        <w:t xml:space="preserve"> the</w:t>
      </w:r>
      <w:r w:rsidRPr="00EE1E00">
        <w:rPr>
          <w:lang w:val="en-GB"/>
        </w:rPr>
        <w:t xml:space="preserve"> important timing required for synchronisation but does not preclude the use of classical mitigation techniques and further studies in the future;</w:t>
      </w:r>
    </w:p>
    <w:p w14:paraId="745173A8" w14:textId="34205B99" w:rsidR="00010876" w:rsidRPr="00EE1E00" w:rsidRDefault="00010876" w:rsidP="00994AAD">
      <w:pPr>
        <w:pStyle w:val="LetteredList"/>
        <w:ind w:left="426"/>
        <w:rPr>
          <w:lang w:val="en-GB"/>
        </w:rPr>
      </w:pPr>
      <w:r w:rsidRPr="00E020B0">
        <w:rPr>
          <w:lang w:val="en-GB"/>
        </w:rPr>
        <w:t xml:space="preserve">that </w:t>
      </w:r>
      <w:r w:rsidR="000A30C4" w:rsidRPr="00E020B0">
        <w:rPr>
          <w:lang w:val="en-GB"/>
        </w:rPr>
        <w:t>synchroni</w:t>
      </w:r>
      <w:r w:rsidR="008D24FA">
        <w:rPr>
          <w:lang w:val="en-GB"/>
        </w:rPr>
        <w:t>s</w:t>
      </w:r>
      <w:r w:rsidR="000A30C4" w:rsidRPr="00E020B0">
        <w:rPr>
          <w:lang w:val="en-GB"/>
        </w:rPr>
        <w:t>ed operation</w:t>
      </w:r>
      <w:r w:rsidRPr="00E020B0">
        <w:rPr>
          <w:lang w:val="en-GB"/>
        </w:rPr>
        <w:t xml:space="preserve"> ensures</w:t>
      </w:r>
      <w:r w:rsidRPr="00EE1E00">
        <w:rPr>
          <w:lang w:val="en-GB"/>
        </w:rPr>
        <w:t xml:space="preserve"> an efficient spectrum usage especially for outdoor network deployments in case of </w:t>
      </w:r>
      <w:r w:rsidR="001751CF" w:rsidRPr="00EE1E00">
        <w:rPr>
          <w:lang w:val="en-GB"/>
        </w:rPr>
        <w:t xml:space="preserve">TDD </w:t>
      </w:r>
      <w:r w:rsidRPr="00EE1E00">
        <w:rPr>
          <w:lang w:val="en-GB"/>
        </w:rPr>
        <w:t>MFCN in the 3400-3800 MHz frequency band</w:t>
      </w:r>
      <w:r w:rsidR="001802DF" w:rsidRPr="00EE1E00">
        <w:rPr>
          <w:lang w:val="en-GB"/>
        </w:rPr>
        <w:t>;</w:t>
      </w:r>
    </w:p>
    <w:p w14:paraId="73CEFC53" w14:textId="5866D3F2" w:rsidR="00C4185B" w:rsidRPr="00EE1E00" w:rsidRDefault="002934A9" w:rsidP="00994AAD">
      <w:pPr>
        <w:pStyle w:val="LetteredList"/>
        <w:ind w:left="426"/>
        <w:rPr>
          <w:lang w:val="en-GB"/>
        </w:rPr>
      </w:pPr>
      <w:r w:rsidRPr="00EE1E00">
        <w:rPr>
          <w:lang w:val="en-GB"/>
        </w:rPr>
        <w:t>that i</w:t>
      </w:r>
      <w:r w:rsidR="000733C2" w:rsidRPr="00EE1E00">
        <w:rPr>
          <w:lang w:val="en-GB"/>
        </w:rPr>
        <w:t xml:space="preserve">n line with ECC Report </w:t>
      </w:r>
      <w:r w:rsidR="00286D2A" w:rsidRPr="00EE1E00">
        <w:rPr>
          <w:lang w:val="en-GB"/>
        </w:rPr>
        <w:t xml:space="preserve">216 </w:t>
      </w:r>
      <w:r w:rsidR="00792F10" w:rsidRPr="00EE1E00">
        <w:rPr>
          <w:lang w:val="en-GB"/>
        </w:rPr>
        <w:fldChar w:fldCharType="begin"/>
      </w:r>
      <w:r w:rsidR="00792F10" w:rsidRPr="00EE1E00">
        <w:rPr>
          <w:lang w:val="en-GB"/>
        </w:rPr>
        <w:instrText xml:space="preserve"> REF _Ref43282173 \r \h </w:instrText>
      </w:r>
      <w:r w:rsidR="00792F10" w:rsidRPr="00EE1E00">
        <w:rPr>
          <w:lang w:val="en-GB"/>
        </w:rPr>
      </w:r>
      <w:r w:rsidR="00792F10" w:rsidRPr="00EE1E00">
        <w:rPr>
          <w:lang w:val="en-GB"/>
        </w:rPr>
        <w:fldChar w:fldCharType="separate"/>
      </w:r>
      <w:r w:rsidR="00792F10" w:rsidRPr="00EE1E00">
        <w:rPr>
          <w:lang w:val="en-GB"/>
        </w:rPr>
        <w:t>[</w:t>
      </w:r>
      <w:r w:rsidR="003267BB">
        <w:rPr>
          <w:lang w:val="en-GB"/>
        </w:rPr>
        <w:t>4</w:t>
      </w:r>
      <w:r w:rsidR="00792F10" w:rsidRPr="00EE1E00">
        <w:rPr>
          <w:lang w:val="en-GB"/>
        </w:rPr>
        <w:t>]</w:t>
      </w:r>
      <w:r w:rsidR="00792F10" w:rsidRPr="00EE1E00">
        <w:rPr>
          <w:lang w:val="en-GB"/>
        </w:rPr>
        <w:fldChar w:fldCharType="end"/>
      </w:r>
      <w:r w:rsidR="00792F10" w:rsidRPr="00EE1E00">
        <w:rPr>
          <w:lang w:val="en-GB"/>
        </w:rPr>
        <w:t xml:space="preserve"> </w:t>
      </w:r>
      <w:r w:rsidR="00286D2A" w:rsidRPr="00EE1E00">
        <w:rPr>
          <w:lang w:val="en-GB"/>
        </w:rPr>
        <w:t xml:space="preserve">and </w:t>
      </w:r>
      <w:r w:rsidR="008D24FA" w:rsidRPr="00EE1E00">
        <w:rPr>
          <w:lang w:val="en-GB"/>
        </w:rPr>
        <w:t xml:space="preserve">ECC Report </w:t>
      </w:r>
      <w:r w:rsidR="000733C2" w:rsidRPr="00792F10">
        <w:rPr>
          <w:lang w:val="en-GB"/>
        </w:rPr>
        <w:t>296</w:t>
      </w:r>
      <w:r w:rsidR="008D24FA">
        <w:rPr>
          <w:lang w:val="en-GB"/>
        </w:rPr>
        <w:t xml:space="preserve"> </w:t>
      </w:r>
      <w:r w:rsidR="008D24FA" w:rsidRPr="00EE1E00">
        <w:rPr>
          <w:lang w:val="en-GB"/>
        </w:rPr>
        <w:fldChar w:fldCharType="begin"/>
      </w:r>
      <w:r w:rsidR="008D24FA" w:rsidRPr="00EE1E00">
        <w:rPr>
          <w:lang w:val="en-GB"/>
        </w:rPr>
        <w:instrText xml:space="preserve"> REF _Ref43282033 \r \h </w:instrText>
      </w:r>
      <w:r w:rsidR="008D24FA" w:rsidRPr="00EE1E00">
        <w:rPr>
          <w:lang w:val="en-GB"/>
        </w:rPr>
      </w:r>
      <w:r w:rsidR="008D24FA" w:rsidRPr="00EE1E00">
        <w:rPr>
          <w:lang w:val="en-GB"/>
        </w:rPr>
        <w:fldChar w:fldCharType="separate"/>
      </w:r>
      <w:r w:rsidR="008D24FA" w:rsidRPr="00EE1E00">
        <w:rPr>
          <w:lang w:val="en-GB"/>
        </w:rPr>
        <w:t>[2]</w:t>
      </w:r>
      <w:r w:rsidR="008D24FA" w:rsidRPr="00EE1E00">
        <w:rPr>
          <w:lang w:val="en-GB"/>
        </w:rPr>
        <w:fldChar w:fldCharType="end"/>
      </w:r>
      <w:r w:rsidR="000733C2" w:rsidRPr="00792F10">
        <w:rPr>
          <w:lang w:val="en-GB"/>
        </w:rPr>
        <w:t>,</w:t>
      </w:r>
      <w:r w:rsidR="000733C2" w:rsidRPr="00EE1E00">
        <w:rPr>
          <w:lang w:val="en-GB"/>
        </w:rPr>
        <w:t xml:space="preserve"> the synchroni</w:t>
      </w:r>
      <w:r w:rsidR="007372A9" w:rsidRPr="00EE1E00">
        <w:rPr>
          <w:lang w:val="en-GB"/>
        </w:rPr>
        <w:t>s</w:t>
      </w:r>
      <w:r w:rsidR="000733C2" w:rsidRPr="00EE1E00">
        <w:rPr>
          <w:lang w:val="en-GB"/>
        </w:rPr>
        <w:t xml:space="preserve">ed operation of TDD networks requires a common phase clock reference (i.e. </w:t>
      </w:r>
      <w:r w:rsidR="00F14A3A" w:rsidRPr="00EE1E00">
        <w:rPr>
          <w:lang w:val="en-GB"/>
        </w:rPr>
        <w:t>a reference clock with</w:t>
      </w:r>
      <w:r w:rsidR="000733C2" w:rsidRPr="00EE1E00">
        <w:rPr>
          <w:lang w:val="en-GB"/>
        </w:rPr>
        <w:t xml:space="preserve"> consistent time offsets relatively to a common UTC-based time reference to ensure full alignment of transmissions)</w:t>
      </w:r>
      <w:r w:rsidR="00297A2C" w:rsidRPr="00EE1E00">
        <w:rPr>
          <w:lang w:val="en-GB"/>
        </w:rPr>
        <w:t xml:space="preserve"> and a compatible frame structure</w:t>
      </w:r>
      <w:r w:rsidR="001802DF" w:rsidRPr="00EE1E00">
        <w:rPr>
          <w:lang w:val="en-GB"/>
        </w:rPr>
        <w:t>;</w:t>
      </w:r>
    </w:p>
    <w:p w14:paraId="66B2E593" w14:textId="7BDDE32C" w:rsidR="00010876" w:rsidRPr="00EE1E00" w:rsidRDefault="00950FFA" w:rsidP="003605FC">
      <w:pPr>
        <w:pStyle w:val="LetteredList"/>
        <w:ind w:left="426"/>
        <w:rPr>
          <w:lang w:val="en-GB" w:eastAsia="fr-FR"/>
        </w:rPr>
      </w:pPr>
      <w:r w:rsidRPr="00EE1E00">
        <w:rPr>
          <w:lang w:val="en-GB" w:eastAsia="fr-FR"/>
        </w:rPr>
        <w:t xml:space="preserve">that </w:t>
      </w:r>
      <w:r w:rsidRPr="00EE1E00">
        <w:rPr>
          <w:rStyle w:val="author-a-z83zuyz73zvimm6z74zz80zcz73zz72zz73zb"/>
          <w:lang w:val="en-GB"/>
        </w:rPr>
        <w:t xml:space="preserve">ECC Report 216 states that synchronised operation </w:t>
      </w:r>
      <w:r w:rsidRPr="00E020B0">
        <w:rPr>
          <w:rStyle w:val="author-a-z83zuyz73zvimm6z74zz80zcz73zz72zz73zb"/>
          <w:lang w:val="en-GB"/>
        </w:rPr>
        <w:t xml:space="preserve">implies </w:t>
      </w:r>
      <w:r w:rsidR="00C072D4" w:rsidRPr="00E020B0">
        <w:rPr>
          <w:rStyle w:val="author-a-z83zuyz73zvimm6z74zz80zcz73zz72zz73zb"/>
          <w:lang w:val="en-GB"/>
        </w:rPr>
        <w:t>"</w:t>
      </w:r>
      <w:r w:rsidRPr="00E020B0">
        <w:rPr>
          <w:rStyle w:val="author-a-z83zuyz73zvimm6z74zz80zcz73zz72zz73zb"/>
          <w:lang w:val="en-GB"/>
        </w:rPr>
        <w:t>configuring compatible frame structures, i.e. setting the length of the frame, the TDD uplink/downlink ratio and</w:t>
      </w:r>
      <w:r w:rsidRPr="00EE1E00">
        <w:rPr>
          <w:rStyle w:val="author-a-z83zuyz73zvimm6z74zz80zcz73zz72zz73zb"/>
          <w:lang w:val="en-GB"/>
        </w:rPr>
        <w:t xml:space="preserve"> guard period in order to align UL/DL switching points, so that the last transmitter stops before the first receiver starts, taking into account the propagation delay (e.g. in LOS non co-sited cases). Frame structures do not need to be exactly identical provided this condition is met", which </w:t>
      </w:r>
      <w:r w:rsidRPr="00EE1E00">
        <w:rPr>
          <w:rStyle w:val="author-a-uxz69zz81z6z90zz74zfxfu730ox"/>
          <w:lang w:val="en-GB"/>
        </w:rPr>
        <w:t>enable</w:t>
      </w:r>
      <w:r w:rsidRPr="00EE1E00">
        <w:rPr>
          <w:rStyle w:val="author-a-z83zuyz73zvimm6z74zz80zcz73zz72zz73zb"/>
          <w:lang w:val="en-GB"/>
        </w:rPr>
        <w:t>s different sizes for the guard period</w:t>
      </w:r>
      <w:r w:rsidR="001802DF" w:rsidRPr="00EE1E00">
        <w:rPr>
          <w:rStyle w:val="author-a-z83zuyz73zvimm6z74zz80zcz73zz72zz73zb"/>
          <w:lang w:val="en-GB"/>
        </w:rPr>
        <w:t>;</w:t>
      </w:r>
    </w:p>
    <w:p w14:paraId="781E281E" w14:textId="513EE6C6" w:rsidR="00B120B0" w:rsidRPr="00EE1E00" w:rsidRDefault="005977A8" w:rsidP="00994AAD">
      <w:pPr>
        <w:pStyle w:val="LetteredList"/>
        <w:ind w:left="426"/>
        <w:rPr>
          <w:strike/>
          <w:lang w:val="en-GB"/>
        </w:rPr>
      </w:pPr>
      <w:r w:rsidRPr="00EE1E00">
        <w:rPr>
          <w:rFonts w:cs="Arial"/>
          <w:lang w:val="en-GB" w:eastAsia="fr-FR"/>
        </w:rPr>
        <w:t>w</w:t>
      </w:r>
      <w:r w:rsidR="00B52FFD" w:rsidRPr="00EE1E00">
        <w:rPr>
          <w:rFonts w:cs="Arial"/>
          <w:lang w:val="en-GB" w:eastAsia="fr-FR"/>
        </w:rPr>
        <w:t xml:space="preserve">hen networks have a common phase clock reference, </w:t>
      </w:r>
      <w:r w:rsidR="00B52FFD" w:rsidRPr="00EE1E00">
        <w:rPr>
          <w:lang w:val="en-GB" w:eastAsia="fr-FR"/>
        </w:rPr>
        <w:t xml:space="preserve">downlink </w:t>
      </w:r>
      <w:r w:rsidR="00C072D4" w:rsidRPr="00E020B0">
        <w:rPr>
          <w:lang w:val="en-GB" w:eastAsia="fr-FR"/>
        </w:rPr>
        <w:t>symbol</w:t>
      </w:r>
      <w:r w:rsidR="00C072D4">
        <w:rPr>
          <w:lang w:val="en-GB" w:eastAsia="fr-FR"/>
        </w:rPr>
        <w:t xml:space="preserve"> </w:t>
      </w:r>
      <w:r w:rsidR="00B52FFD" w:rsidRPr="00EE1E00">
        <w:rPr>
          <w:lang w:val="en-GB" w:eastAsia="fr-FR"/>
        </w:rPr>
        <w:t>blanking allows the base stations’ schedulers</w:t>
      </w:r>
      <w:r w:rsidR="00B52FFD" w:rsidRPr="00EE1E00">
        <w:rPr>
          <w:rFonts w:cs="Arial"/>
          <w:lang w:val="en-GB" w:eastAsia="fr-FR"/>
        </w:rPr>
        <w:t xml:space="preserve"> to</w:t>
      </w:r>
      <w:r w:rsidR="00B52FFD" w:rsidRPr="00EE1E00">
        <w:rPr>
          <w:lang w:val="en-GB"/>
        </w:rPr>
        <w:t xml:space="preserve"> switch off transmissions (“blanking”) </w:t>
      </w:r>
      <w:r w:rsidR="00B52FFD" w:rsidRPr="00EE1E00">
        <w:rPr>
          <w:lang w:val="en-GB" w:eastAsia="fr-FR"/>
        </w:rPr>
        <w:t xml:space="preserve">for those downlink symbols of each network that correspond to simultaneous uplink transmissions or simultaneous gap symbols. </w:t>
      </w:r>
      <w:r w:rsidR="00B52FFD" w:rsidRPr="00EE1E00">
        <w:rPr>
          <w:lang w:val="en-GB"/>
        </w:rPr>
        <w:t>This</w:t>
      </w:r>
      <w:r w:rsidR="00B52FFD" w:rsidRPr="00EE1E00">
        <w:rPr>
          <w:rFonts w:cs="Arial"/>
          <w:lang w:val="en-GB" w:eastAsia="fr-FR"/>
        </w:rPr>
        <w:t xml:space="preserve"> allows the deployment of non-compatible frame structures across borders with some degree of downlink capacity loss and some loss in coverage. Downlink symbol blanking is a base station scheduler feature in the cross-border coordination area </w:t>
      </w:r>
      <w:r w:rsidR="00B52FFD" w:rsidRPr="00E020B0">
        <w:rPr>
          <w:rFonts w:cs="Arial"/>
          <w:lang w:val="en-GB" w:eastAsia="fr-FR"/>
        </w:rPr>
        <w:t>and does not require standardi</w:t>
      </w:r>
      <w:r w:rsidR="00792F10" w:rsidRPr="00E020B0">
        <w:rPr>
          <w:rFonts w:cs="Arial"/>
          <w:lang w:val="en-GB" w:eastAsia="fr-FR"/>
        </w:rPr>
        <w:t>s</w:t>
      </w:r>
      <w:r w:rsidR="00B52FFD" w:rsidRPr="00E020B0">
        <w:rPr>
          <w:rFonts w:cs="Arial"/>
          <w:lang w:val="en-GB" w:eastAsia="fr-FR"/>
        </w:rPr>
        <w:t>ation by 3GPP</w:t>
      </w:r>
      <w:r w:rsidR="001802DF" w:rsidRPr="00792F10">
        <w:rPr>
          <w:rFonts w:cs="Arial"/>
          <w:lang w:val="en-GB" w:eastAsia="fr-FR"/>
        </w:rPr>
        <w:t>;</w:t>
      </w:r>
    </w:p>
    <w:p w14:paraId="37F6006F" w14:textId="77777777" w:rsidR="00B51301" w:rsidRPr="00EE1E00" w:rsidRDefault="00B51301" w:rsidP="00994AAD">
      <w:pPr>
        <w:pStyle w:val="LetteredList"/>
        <w:ind w:left="426"/>
        <w:rPr>
          <w:lang w:val="en-GB"/>
        </w:rPr>
      </w:pPr>
      <w:bookmarkStart w:id="5" w:name="_ftnref1"/>
      <w:bookmarkEnd w:id="5"/>
      <w:r w:rsidRPr="00EE1E00">
        <w:rPr>
          <w:lang w:val="en-GB"/>
        </w:rPr>
        <w:t xml:space="preserve">that </w:t>
      </w:r>
      <w:r w:rsidR="00C87B7C" w:rsidRPr="00EE1E00">
        <w:rPr>
          <w:lang w:val="en-GB"/>
        </w:rPr>
        <w:t xml:space="preserve">there are legacy networks in some CEPT countries which may </w:t>
      </w:r>
      <w:r w:rsidR="00376678" w:rsidRPr="00EE1E00">
        <w:rPr>
          <w:lang w:val="en-GB"/>
        </w:rPr>
        <w:t>constrain the choice of a frame structure at a national level</w:t>
      </w:r>
      <w:r w:rsidR="00355B8E" w:rsidRPr="00EE1E00">
        <w:rPr>
          <w:lang w:val="en-GB"/>
        </w:rPr>
        <w:t>;</w:t>
      </w:r>
    </w:p>
    <w:p w14:paraId="737B6DC6" w14:textId="115E4E63" w:rsidR="00F6267F" w:rsidRPr="00EE1E00" w:rsidRDefault="005977A8" w:rsidP="002A657A">
      <w:pPr>
        <w:pStyle w:val="LetteredList"/>
        <w:ind w:left="426"/>
        <w:rPr>
          <w:rStyle w:val="author-a-z83zuyz73zvimm6z74zz80zcz73zz72zz73zb"/>
          <w:lang w:val="en-GB" w:eastAsia="fr-FR"/>
        </w:rPr>
      </w:pPr>
      <w:r w:rsidRPr="00EE1E00">
        <w:rPr>
          <w:rStyle w:val="author-a-z83zuyz73zvimm6z74zz80zcz73zz72zz73zb"/>
          <w:lang w:val="en-GB"/>
        </w:rPr>
        <w:t>t</w:t>
      </w:r>
      <w:r w:rsidR="00010876" w:rsidRPr="00EE1E00">
        <w:rPr>
          <w:rStyle w:val="author-a-z83zuyz73zvimm6z74zz80zcz73zz72zz73zb"/>
          <w:lang w:val="en-GB"/>
        </w:rPr>
        <w:t xml:space="preserve">hat the </w:t>
      </w:r>
      <w:r w:rsidR="00010876" w:rsidRPr="00E020B0">
        <w:rPr>
          <w:rStyle w:val="author-a-z83zuyz73zvimm6z74zz80zcz73zz72zz73zb"/>
          <w:lang w:val="en-GB"/>
        </w:rPr>
        <w:t xml:space="preserve">frame structures given in </w:t>
      </w:r>
      <w:r w:rsidR="00792F10" w:rsidRPr="00E020B0">
        <w:rPr>
          <w:rStyle w:val="author-a-z83zuyz73zvimm6z74zz80zcz73zz72zz73zb"/>
          <w:lang w:val="en-GB"/>
        </w:rPr>
        <w:fldChar w:fldCharType="begin"/>
      </w:r>
      <w:r w:rsidR="00792F10" w:rsidRPr="00E020B0">
        <w:rPr>
          <w:rStyle w:val="author-a-z83zuyz73zvimm6z74zz80zcz73zz72zz73zb"/>
          <w:lang w:val="en-GB"/>
        </w:rPr>
        <w:instrText xml:space="preserve"> REF _Ref43282211 \r \h </w:instrText>
      </w:r>
      <w:r w:rsidR="00E020B0">
        <w:rPr>
          <w:rStyle w:val="author-a-z83zuyz73zvimm6z74zz80zcz73zz72zz73zb"/>
          <w:lang w:val="en-GB"/>
        </w:rPr>
        <w:instrText xml:space="preserve"> \* MERGEFORMAT </w:instrText>
      </w:r>
      <w:r w:rsidR="00792F10" w:rsidRPr="00E020B0">
        <w:rPr>
          <w:rStyle w:val="author-a-z83zuyz73zvimm6z74zz80zcz73zz72zz73zb"/>
          <w:lang w:val="en-GB"/>
        </w:rPr>
      </w:r>
      <w:r w:rsidR="00792F10" w:rsidRPr="00E020B0">
        <w:rPr>
          <w:rStyle w:val="author-a-z83zuyz73zvimm6z74zz80zcz73zz72zz73zb"/>
          <w:lang w:val="en-GB"/>
        </w:rPr>
        <w:fldChar w:fldCharType="separate"/>
      </w:r>
      <w:r w:rsidR="00792F10" w:rsidRPr="00E020B0">
        <w:rPr>
          <w:rStyle w:val="author-a-z83zuyz73zvimm6z74zz80zcz73zz72zz73zb"/>
          <w:lang w:val="en-GB"/>
        </w:rPr>
        <w:t>Annex 1</w:t>
      </w:r>
      <w:r w:rsidR="00792F10" w:rsidRPr="00E020B0">
        <w:rPr>
          <w:rStyle w:val="author-a-z83zuyz73zvimm6z74zz80zcz73zz72zz73zb"/>
          <w:lang w:val="en-GB"/>
        </w:rPr>
        <w:fldChar w:fldCharType="end"/>
      </w:r>
      <w:r w:rsidR="00010876" w:rsidRPr="00E020B0">
        <w:rPr>
          <w:rStyle w:val="author-a-z83zuyz73zvimm6z74zz80zcz73zz72zz73zb"/>
          <w:lang w:val="en-GB"/>
        </w:rPr>
        <w:t>, Frame A and Frame B can be implemented for NR</w:t>
      </w:r>
      <w:r w:rsidR="007A1ABF" w:rsidRPr="00E020B0">
        <w:rPr>
          <w:rStyle w:val="author-a-z83zuyz73zvimm6z74zz80zcz73zz72zz73zb"/>
          <w:lang w:val="en-GB"/>
        </w:rPr>
        <w:t xml:space="preserve"> (New Radio)</w:t>
      </w:r>
      <w:r w:rsidR="00010876" w:rsidRPr="00E020B0">
        <w:rPr>
          <w:rStyle w:val="author-a-z83zuyz73zvimm6z74zz80zcz73zz72zz73zb"/>
          <w:lang w:val="en-GB"/>
        </w:rPr>
        <w:t xml:space="preserve"> s</w:t>
      </w:r>
      <w:r w:rsidR="00010876" w:rsidRPr="00EE1E00">
        <w:rPr>
          <w:rStyle w:val="author-a-z83zuyz73zvimm6z74zz80zcz73zz72zz73zb"/>
          <w:lang w:val="en-GB"/>
        </w:rPr>
        <w:t>ystems</w:t>
      </w:r>
      <w:r w:rsidR="00F6267F" w:rsidRPr="00EE1E00">
        <w:rPr>
          <w:rStyle w:val="author-a-z83zuyz73zvimm6z74zz80zcz73zz72zz73zb"/>
          <w:lang w:val="en-GB"/>
        </w:rPr>
        <w:t>;</w:t>
      </w:r>
    </w:p>
    <w:p w14:paraId="612F41C2" w14:textId="169D389D" w:rsidR="007860C5" w:rsidRPr="00EE1E00" w:rsidRDefault="005977A8" w:rsidP="002A657A">
      <w:pPr>
        <w:pStyle w:val="LetteredList"/>
        <w:ind w:left="426"/>
        <w:rPr>
          <w:lang w:val="en-GB"/>
        </w:rPr>
      </w:pPr>
      <w:r w:rsidRPr="00EE1E00">
        <w:rPr>
          <w:lang w:val="en-GB"/>
        </w:rPr>
        <w:t>t</w:t>
      </w:r>
      <w:r w:rsidR="007860C5" w:rsidRPr="00EE1E00">
        <w:rPr>
          <w:lang w:val="en-GB"/>
        </w:rPr>
        <w:t>hat the Frame B</w:t>
      </w:r>
      <w:r w:rsidR="00823596" w:rsidRPr="00EE1E00">
        <w:rPr>
          <w:rStyle w:val="FootnoteReference"/>
          <w:color w:val="auto"/>
          <w:lang w:val="en-GB"/>
        </w:rPr>
        <w:footnoteReference w:id="3"/>
      </w:r>
      <w:r w:rsidR="007860C5" w:rsidRPr="00EE1E00">
        <w:rPr>
          <w:lang w:val="en-GB"/>
        </w:rPr>
        <w:t xml:space="preserve"> given in </w:t>
      </w:r>
      <w:r w:rsidR="00792F10" w:rsidRPr="00EE1E00">
        <w:rPr>
          <w:rStyle w:val="author-a-z83zuyz73zvimm6z74zz80zcz73zz72zz73zb"/>
          <w:lang w:val="en-GB"/>
        </w:rPr>
        <w:fldChar w:fldCharType="begin"/>
      </w:r>
      <w:r w:rsidR="00792F10" w:rsidRPr="00EE1E00">
        <w:rPr>
          <w:rStyle w:val="author-a-z83zuyz73zvimm6z74zz80zcz73zz72zz73zb"/>
          <w:lang w:val="en-GB"/>
        </w:rPr>
        <w:instrText xml:space="preserve"> REF _Ref43282211 \r \h </w:instrText>
      </w:r>
      <w:r w:rsidR="00792F10" w:rsidRPr="00EE1E00">
        <w:rPr>
          <w:rStyle w:val="author-a-z83zuyz73zvimm6z74zz80zcz73zz72zz73zb"/>
          <w:lang w:val="en-GB"/>
        </w:rPr>
      </w:r>
      <w:r w:rsidR="00792F10" w:rsidRPr="00EE1E00">
        <w:rPr>
          <w:rStyle w:val="author-a-z83zuyz73zvimm6z74zz80zcz73zz72zz73zb"/>
          <w:lang w:val="en-GB"/>
        </w:rPr>
        <w:fldChar w:fldCharType="separate"/>
      </w:r>
      <w:r w:rsidR="00792F10" w:rsidRPr="00EE1E00">
        <w:rPr>
          <w:rStyle w:val="author-a-z83zuyz73zvimm6z74zz80zcz73zz72zz73zb"/>
          <w:lang w:val="en-GB"/>
        </w:rPr>
        <w:t>Annex 1</w:t>
      </w:r>
      <w:r w:rsidR="00792F10" w:rsidRPr="00EE1E00">
        <w:rPr>
          <w:rStyle w:val="author-a-z83zuyz73zvimm6z74zz80zcz73zz72zz73zb"/>
          <w:lang w:val="en-GB"/>
        </w:rPr>
        <w:fldChar w:fldCharType="end"/>
      </w:r>
      <w:r w:rsidR="007860C5" w:rsidRPr="00EE1E00">
        <w:rPr>
          <w:lang w:val="en-GB"/>
        </w:rPr>
        <w:t xml:space="preserve"> is compatible with the LTE</w:t>
      </w:r>
      <w:r w:rsidR="00A363A1" w:rsidRPr="00EE1E00">
        <w:rPr>
          <w:lang w:val="en-GB"/>
        </w:rPr>
        <w:t>-TDD</w:t>
      </w:r>
      <w:r w:rsidR="007860C5" w:rsidRPr="00EE1E00">
        <w:rPr>
          <w:lang w:val="en-GB"/>
        </w:rPr>
        <w:t xml:space="preserve"> frame structure </w:t>
      </w:r>
      <w:r w:rsidR="007860C5" w:rsidRPr="00E020B0">
        <w:rPr>
          <w:lang w:val="en-GB"/>
        </w:rPr>
        <w:t>configuration n</w:t>
      </w:r>
      <w:r w:rsidR="00B30B5F" w:rsidRPr="00E020B0">
        <w:rPr>
          <w:lang w:val="en-GB"/>
        </w:rPr>
        <w:t>o.</w:t>
      </w:r>
      <w:r w:rsidR="00B30B5F">
        <w:rPr>
          <w:lang w:val="en-GB"/>
        </w:rPr>
        <w:t xml:space="preserve"> </w:t>
      </w:r>
      <w:r w:rsidR="007860C5" w:rsidRPr="00EE1E00">
        <w:rPr>
          <w:lang w:val="en-GB"/>
        </w:rPr>
        <w:t>2 DSUDDDSUDD (10</w:t>
      </w:r>
      <w:r w:rsidR="006F2C91" w:rsidRPr="00EE1E00">
        <w:rPr>
          <w:lang w:val="en-GB"/>
        </w:rPr>
        <w:t xml:space="preserve"> </w:t>
      </w:r>
      <w:r w:rsidR="007860C5" w:rsidRPr="00EE1E00">
        <w:rPr>
          <w:lang w:val="en-GB"/>
        </w:rPr>
        <w:t>ms</w:t>
      </w:r>
      <w:r w:rsidR="009F3832" w:rsidRPr="00EE1E00">
        <w:rPr>
          <w:lang w:val="en-GB"/>
        </w:rPr>
        <w:t xml:space="preserve"> duration</w:t>
      </w:r>
      <w:r w:rsidR="007860C5" w:rsidRPr="00EE1E00">
        <w:rPr>
          <w:lang w:val="en-GB"/>
        </w:rPr>
        <w:t xml:space="preserve">), where different </w:t>
      </w:r>
      <w:r w:rsidR="00515EC2" w:rsidRPr="00EE1E00">
        <w:rPr>
          <w:lang w:val="en-GB"/>
        </w:rPr>
        <w:t>s</w:t>
      </w:r>
      <w:r w:rsidR="007860C5" w:rsidRPr="00EE1E00">
        <w:rPr>
          <w:lang w:val="en-GB"/>
        </w:rPr>
        <w:t xml:space="preserve">pecial subframe “S” </w:t>
      </w:r>
      <w:r w:rsidR="00304F28" w:rsidRPr="00EE1E00">
        <w:rPr>
          <w:lang w:val="en-GB"/>
        </w:rPr>
        <w:t xml:space="preserve">configurations </w:t>
      </w:r>
      <w:r w:rsidR="007860C5" w:rsidRPr="00EE1E00">
        <w:rPr>
          <w:lang w:val="en-GB"/>
        </w:rPr>
        <w:t xml:space="preserve">are possible such </w:t>
      </w:r>
      <w:r w:rsidR="006F2C91" w:rsidRPr="00EE1E00">
        <w:rPr>
          <w:lang w:val="en-GB"/>
        </w:rPr>
        <w:lastRenderedPageBreak/>
        <w:t>as</w:t>
      </w:r>
      <w:r w:rsidR="00515EC2" w:rsidRPr="00EE1E00">
        <w:rPr>
          <w:lang w:val="en-GB"/>
        </w:rPr>
        <w:t xml:space="preserve"> “S</w:t>
      </w:r>
      <w:r w:rsidR="006F2C91" w:rsidRPr="00EE1E00">
        <w:rPr>
          <w:lang w:val="en-GB"/>
        </w:rPr>
        <w:t>”</w:t>
      </w:r>
      <w:r w:rsidR="00304F28" w:rsidRPr="00EE1E00">
        <w:rPr>
          <w:lang w:val="en-GB"/>
        </w:rPr>
        <w:t xml:space="preserve"> configuration</w:t>
      </w:r>
      <w:r w:rsidR="008458F9" w:rsidRPr="00EE1E00">
        <w:rPr>
          <w:lang w:val="en-GB"/>
        </w:rPr>
        <w:t xml:space="preserve"> </w:t>
      </w:r>
      <w:r w:rsidR="007860C5" w:rsidRPr="00EE1E00">
        <w:rPr>
          <w:lang w:val="en-GB"/>
        </w:rPr>
        <w:t xml:space="preserve">n°6 </w:t>
      </w:r>
      <w:r w:rsidR="006F2C91" w:rsidRPr="00EE1E00">
        <w:rPr>
          <w:lang w:val="en-GB"/>
        </w:rPr>
        <w:t>(</w:t>
      </w:r>
      <w:r w:rsidR="007860C5" w:rsidRPr="00EE1E00">
        <w:rPr>
          <w:lang w:val="en-GB"/>
        </w:rPr>
        <w:t>9:3:2</w:t>
      </w:r>
      <w:r w:rsidR="006F2C91" w:rsidRPr="00EE1E00">
        <w:rPr>
          <w:lang w:val="en-GB"/>
        </w:rPr>
        <w:t>)</w:t>
      </w:r>
      <w:r w:rsidR="007860C5" w:rsidRPr="00EE1E00">
        <w:rPr>
          <w:lang w:val="en-GB"/>
        </w:rPr>
        <w:t xml:space="preserve"> or n°7 </w:t>
      </w:r>
      <w:r w:rsidR="006F2C91" w:rsidRPr="00EE1E00">
        <w:rPr>
          <w:lang w:val="en-GB"/>
        </w:rPr>
        <w:t>(</w:t>
      </w:r>
      <w:r w:rsidR="007860C5" w:rsidRPr="00EE1E00">
        <w:rPr>
          <w:lang w:val="en-GB"/>
        </w:rPr>
        <w:t>10:2:2</w:t>
      </w:r>
      <w:r w:rsidR="006F2C91" w:rsidRPr="00EE1E00">
        <w:rPr>
          <w:lang w:val="en-GB"/>
        </w:rPr>
        <w:t>), where</w:t>
      </w:r>
      <w:r w:rsidR="007860C5" w:rsidRPr="00EE1E00">
        <w:rPr>
          <w:lang w:val="en-GB"/>
        </w:rPr>
        <w:t xml:space="preserve"> </w:t>
      </w:r>
      <w:r w:rsidR="006F2C91" w:rsidRPr="00EE1E00">
        <w:rPr>
          <w:lang w:val="en-GB"/>
        </w:rPr>
        <w:t xml:space="preserve">(x:y:z) represents the </w:t>
      </w:r>
      <w:r w:rsidR="007860C5" w:rsidRPr="00EE1E00">
        <w:rPr>
          <w:lang w:val="en-GB"/>
        </w:rPr>
        <w:t xml:space="preserve">number </w:t>
      </w:r>
      <w:r w:rsidR="009F3832" w:rsidRPr="00EE1E00">
        <w:rPr>
          <w:lang w:val="en-GB"/>
        </w:rPr>
        <w:t>of</w:t>
      </w:r>
      <w:r w:rsidR="007F036B" w:rsidRPr="00EE1E00">
        <w:rPr>
          <w:lang w:val="en-GB"/>
        </w:rPr>
        <w:t>,</w:t>
      </w:r>
      <w:r w:rsidR="009F3832" w:rsidRPr="00EE1E00">
        <w:rPr>
          <w:lang w:val="en-GB"/>
        </w:rPr>
        <w:t xml:space="preserve"> </w:t>
      </w:r>
      <w:r w:rsidR="008458F9" w:rsidRPr="00EE1E00">
        <w:rPr>
          <w:lang w:val="en-GB"/>
        </w:rPr>
        <w:t>Downlink:</w:t>
      </w:r>
      <w:r w:rsidR="007860C5" w:rsidRPr="00EE1E00">
        <w:rPr>
          <w:lang w:val="en-GB"/>
        </w:rPr>
        <w:t>Guard Period</w:t>
      </w:r>
      <w:r w:rsidR="008458F9" w:rsidRPr="00EE1E00">
        <w:rPr>
          <w:lang w:val="en-GB"/>
        </w:rPr>
        <w:t>:</w:t>
      </w:r>
      <w:r w:rsidR="007860C5" w:rsidRPr="00EE1E00">
        <w:rPr>
          <w:lang w:val="en-GB"/>
        </w:rPr>
        <w:t>Uplink</w:t>
      </w:r>
      <w:r w:rsidR="007F036B" w:rsidRPr="00EE1E00">
        <w:rPr>
          <w:lang w:val="en-GB"/>
        </w:rPr>
        <w:t>,</w:t>
      </w:r>
      <w:r w:rsidR="008458F9" w:rsidRPr="00EE1E00">
        <w:rPr>
          <w:lang w:val="en-GB"/>
        </w:rPr>
        <w:t xml:space="preserve"> OFDM symbols</w:t>
      </w:r>
      <w:r w:rsidR="006F2C91" w:rsidRPr="00EE1E00">
        <w:rPr>
          <w:lang w:val="en-GB"/>
        </w:rPr>
        <w:t>.</w:t>
      </w:r>
      <w:r w:rsidR="000D0ADA" w:rsidRPr="00EE1E00">
        <w:rPr>
          <w:rStyle w:val="Emphasis"/>
          <w:rFonts w:cs="Arial"/>
          <w:i w:val="0"/>
          <w:color w:val="000000"/>
          <w:szCs w:val="21"/>
          <w:shd w:val="clear" w:color="auto" w:fill="FFFFFF"/>
          <w:lang w:val="en-GB"/>
        </w:rPr>
        <w:t xml:space="preserve"> </w:t>
      </w:r>
    </w:p>
    <w:p w14:paraId="0544E013" w14:textId="77777777" w:rsidR="00D37EE3" w:rsidRPr="00EE1E00" w:rsidRDefault="00835C5B" w:rsidP="00D37EE3">
      <w:pPr>
        <w:pStyle w:val="ECCParagraph"/>
        <w:rPr>
          <w:color w:val="D2232A"/>
        </w:rPr>
      </w:pPr>
      <w:r w:rsidRPr="00EE1E00">
        <w:rPr>
          <w:color w:val="D2232A"/>
        </w:rPr>
        <w:t>recommends</w:t>
      </w:r>
      <w:r w:rsidR="00D37EE3" w:rsidRPr="00EE1E00">
        <w:rPr>
          <w:color w:val="D2232A"/>
        </w:rPr>
        <w:t xml:space="preserve"> </w:t>
      </w:r>
    </w:p>
    <w:p w14:paraId="3E54F200" w14:textId="1EC32AE4" w:rsidR="00C10985" w:rsidRPr="00EE1E00" w:rsidRDefault="00C74BE6" w:rsidP="00AA23CB">
      <w:pPr>
        <w:pStyle w:val="ECCParagraph"/>
        <w:numPr>
          <w:ilvl w:val="0"/>
          <w:numId w:val="41"/>
        </w:numPr>
      </w:pPr>
      <w:r w:rsidRPr="00EE1E00">
        <w:t>that</w:t>
      </w:r>
      <w:r w:rsidR="00914CD2" w:rsidRPr="00EE1E00">
        <w:t xml:space="preserve"> CEPT administrations should use the</w:t>
      </w:r>
      <w:r w:rsidR="00545F7F" w:rsidRPr="00EE1E00">
        <w:t xml:space="preserve"> </w:t>
      </w:r>
      <w:r w:rsidR="00914CD2" w:rsidRPr="00EE1E00">
        <w:t xml:space="preserve">frame structures defined in </w:t>
      </w:r>
      <w:r w:rsidR="00792F10" w:rsidRPr="00EE1E00">
        <w:rPr>
          <w:rStyle w:val="author-a-z83zuyz73zvimm6z74zz80zcz73zz72zz73zb"/>
        </w:rPr>
        <w:fldChar w:fldCharType="begin"/>
      </w:r>
      <w:r w:rsidR="00792F10" w:rsidRPr="00EE1E00">
        <w:rPr>
          <w:rStyle w:val="author-a-z83zuyz73zvimm6z74zz80zcz73zz72zz73zb"/>
        </w:rPr>
        <w:instrText xml:space="preserve"> REF _Ref43282211 \r \h </w:instrText>
      </w:r>
      <w:r w:rsidR="00792F10" w:rsidRPr="00EE1E00">
        <w:rPr>
          <w:rStyle w:val="author-a-z83zuyz73zvimm6z74zz80zcz73zz72zz73zb"/>
        </w:rPr>
      </w:r>
      <w:r w:rsidR="00792F10" w:rsidRPr="00EE1E00">
        <w:rPr>
          <w:rStyle w:val="author-a-z83zuyz73zvimm6z74zz80zcz73zz72zz73zb"/>
        </w:rPr>
        <w:fldChar w:fldCharType="separate"/>
      </w:r>
      <w:r w:rsidR="00792F10" w:rsidRPr="00EE1E00">
        <w:rPr>
          <w:rStyle w:val="author-a-z83zuyz73zvimm6z74zz80zcz73zz72zz73zb"/>
        </w:rPr>
        <w:t>Annex 1</w:t>
      </w:r>
      <w:r w:rsidR="00792F10" w:rsidRPr="00EE1E00">
        <w:rPr>
          <w:rStyle w:val="author-a-z83zuyz73zvimm6z74zz80zcz73zz72zz73zb"/>
        </w:rPr>
        <w:fldChar w:fldCharType="end"/>
      </w:r>
      <w:r w:rsidR="00914CD2" w:rsidRPr="00EE1E00">
        <w:t xml:space="preserve"> for </w:t>
      </w:r>
      <w:r w:rsidR="007D1FAF" w:rsidRPr="00EE1E00">
        <w:t xml:space="preserve">especially </w:t>
      </w:r>
      <w:r w:rsidR="00D055EE" w:rsidRPr="00EE1E00">
        <w:t xml:space="preserve">outdoor </w:t>
      </w:r>
      <w:r w:rsidR="001751CF" w:rsidRPr="00EE1E00">
        <w:t xml:space="preserve">TDD </w:t>
      </w:r>
      <w:r w:rsidR="00914CD2" w:rsidRPr="00EE1E00">
        <w:t xml:space="preserve">MFCN </w:t>
      </w:r>
      <w:r w:rsidR="00B120B0" w:rsidRPr="00EE1E00">
        <w:t>in the frequency band 3400-3800 MHz</w:t>
      </w:r>
      <w:r w:rsidR="00F519F0" w:rsidRPr="00EE1E00">
        <w:t xml:space="preserve"> with</w:t>
      </w:r>
      <w:r w:rsidR="00AA38CC" w:rsidRPr="00EE1E00">
        <w:t xml:space="preserve"> </w:t>
      </w:r>
      <w:r w:rsidR="00D85403" w:rsidRPr="00EE1E00">
        <w:t xml:space="preserve">an agreed </w:t>
      </w:r>
      <w:r w:rsidR="001E555A" w:rsidRPr="00EE1E00">
        <w:t xml:space="preserve">common </w:t>
      </w:r>
      <w:r w:rsidR="00235709" w:rsidRPr="00EE1E00">
        <w:t>phase clock reference</w:t>
      </w:r>
      <w:r w:rsidR="00B120B0" w:rsidRPr="00EE1E00">
        <w:t xml:space="preserve"> </w:t>
      </w:r>
      <w:r w:rsidR="00914CD2" w:rsidRPr="00EE1E00">
        <w:t>in order to facilitate cross-border coordination</w:t>
      </w:r>
      <w:r w:rsidR="00887EBE" w:rsidRPr="00EE1E00">
        <w:t>;</w:t>
      </w:r>
      <w:r w:rsidR="000D0ADA" w:rsidRPr="00EE1E00">
        <w:t xml:space="preserve"> </w:t>
      </w:r>
    </w:p>
    <w:p w14:paraId="5BD4AD36" w14:textId="7DE68F39" w:rsidR="00D37EE3" w:rsidRPr="00EE1E00" w:rsidRDefault="00914CD2" w:rsidP="00203E66">
      <w:pPr>
        <w:pStyle w:val="ECCParagraph"/>
        <w:numPr>
          <w:ilvl w:val="0"/>
          <w:numId w:val="41"/>
        </w:numPr>
        <w:ind w:left="357" w:hanging="357"/>
      </w:pPr>
      <w:r w:rsidRPr="00EE1E00">
        <w:t>that CEPT administrations should retain the flexibility to adapt to national circumstances, e.g. for taking into account legacy networks</w:t>
      </w:r>
      <w:r w:rsidR="005D02E6" w:rsidRPr="00EE1E00">
        <w:t xml:space="preserve"> (although a national migration roadmap of all legacy systems should be defined)</w:t>
      </w:r>
      <w:r w:rsidR="00BC09C4" w:rsidRPr="00EE1E00">
        <w:t>, indoor TDD MFCN</w:t>
      </w:r>
      <w:r w:rsidR="005D02E6" w:rsidRPr="00EE1E00">
        <w:t xml:space="preserve"> </w:t>
      </w:r>
      <w:r w:rsidRPr="00EE1E00">
        <w:t>and</w:t>
      </w:r>
      <w:r w:rsidR="00C10CAC" w:rsidRPr="00EE1E00">
        <w:t xml:space="preserve"> </w:t>
      </w:r>
      <w:r w:rsidR="00C32FF8" w:rsidRPr="00EE1E00">
        <w:t>new services</w:t>
      </w:r>
      <w:r w:rsidR="00CD7331" w:rsidRPr="00EE1E00">
        <w:t>;</w:t>
      </w:r>
    </w:p>
    <w:p w14:paraId="0905C7D6" w14:textId="4DEFAF7A" w:rsidR="00B120B0" w:rsidRPr="00EE1E00" w:rsidRDefault="00B120B0" w:rsidP="00B120B0">
      <w:pPr>
        <w:pStyle w:val="ECCParagraph"/>
        <w:numPr>
          <w:ilvl w:val="0"/>
          <w:numId w:val="41"/>
        </w:numPr>
        <w:ind w:left="357" w:hanging="357"/>
      </w:pPr>
      <w:r w:rsidRPr="00EE1E00">
        <w:t xml:space="preserve">that bilateral/multilateral </w:t>
      </w:r>
      <w:r w:rsidRPr="00E020B0">
        <w:t xml:space="preserve">agreements </w:t>
      </w:r>
      <w:r w:rsidR="00976312" w:rsidRPr="00E020B0">
        <w:t xml:space="preserve">and operator arrangements </w:t>
      </w:r>
      <w:r w:rsidRPr="00E020B0">
        <w:t xml:space="preserve">should </w:t>
      </w:r>
      <w:r w:rsidR="00FD56BB" w:rsidRPr="00E020B0">
        <w:t xml:space="preserve">address </w:t>
      </w:r>
      <w:r w:rsidR="00FB69A6" w:rsidRPr="00E020B0">
        <w:t xml:space="preserve">the </w:t>
      </w:r>
      <w:r w:rsidR="00FD56BB" w:rsidRPr="00E020B0">
        <w:t xml:space="preserve">transition </w:t>
      </w:r>
      <w:r w:rsidR="00FB69A6" w:rsidRPr="00E020B0">
        <w:t xml:space="preserve">period </w:t>
      </w:r>
      <w:r w:rsidR="00FD56BB" w:rsidRPr="00E020B0">
        <w:t xml:space="preserve">which may be necessary </w:t>
      </w:r>
      <w:r w:rsidRPr="00E020B0">
        <w:t xml:space="preserve">until </w:t>
      </w:r>
      <w:r w:rsidR="00643865" w:rsidRPr="00E020B0">
        <w:t xml:space="preserve">the </w:t>
      </w:r>
      <w:r w:rsidRPr="00E020B0">
        <w:t>DL symbol blank</w:t>
      </w:r>
      <w:r w:rsidR="00FD56BB" w:rsidRPr="00E020B0">
        <w:t>ing</w:t>
      </w:r>
      <w:r w:rsidR="0014176A" w:rsidRPr="00E020B0">
        <w:t xml:space="preserve"> </w:t>
      </w:r>
      <w:r w:rsidR="00E83910" w:rsidRPr="00E020B0">
        <w:t>feature</w:t>
      </w:r>
      <w:r w:rsidR="00FD56BB" w:rsidRPr="00E020B0">
        <w:t xml:space="preserve"> is</w:t>
      </w:r>
      <w:r w:rsidR="00FD56BB" w:rsidRPr="00EE1E00">
        <w:t xml:space="preserve"> available</w:t>
      </w:r>
      <w:r w:rsidR="001802DF" w:rsidRPr="00EE1E00">
        <w:t>.</w:t>
      </w:r>
      <w:r w:rsidR="00BA71EA" w:rsidRPr="00EE1E00">
        <w:t>”</w:t>
      </w:r>
    </w:p>
    <w:p w14:paraId="7075A0C9" w14:textId="77777777" w:rsidR="00C74BE6" w:rsidRPr="00EE1E00" w:rsidRDefault="00C74BE6" w:rsidP="00D37EE3">
      <w:pPr>
        <w:pStyle w:val="ECCParagraph"/>
      </w:pPr>
    </w:p>
    <w:p w14:paraId="6BA63960" w14:textId="77777777" w:rsidR="00A2604A" w:rsidRPr="00EE1E00" w:rsidRDefault="00A2604A" w:rsidP="00A2604A">
      <w:pPr>
        <w:pStyle w:val="ECCParagraph"/>
        <w:rPr>
          <w:i/>
          <w:color w:val="D2232A"/>
        </w:rPr>
      </w:pPr>
      <w:r w:rsidRPr="00EE1E00">
        <w:rPr>
          <w:i/>
          <w:color w:val="D2232A"/>
        </w:rPr>
        <w:t xml:space="preserve">Note: </w:t>
      </w:r>
    </w:p>
    <w:p w14:paraId="62F4098A" w14:textId="7730079A" w:rsidR="00A2604A" w:rsidRPr="00EE1E00" w:rsidRDefault="00A2604A" w:rsidP="00A2604A">
      <w:pPr>
        <w:rPr>
          <w:lang w:val="en-GB"/>
        </w:rPr>
      </w:pPr>
      <w:r w:rsidRPr="00EE1E00">
        <w:rPr>
          <w:i/>
          <w:szCs w:val="20"/>
          <w:lang w:val="en-GB"/>
        </w:rPr>
        <w:t xml:space="preserve">Please check the Office documentation database </w:t>
      </w:r>
      <w:hyperlink r:id="rId17" w:history="1">
        <w:r w:rsidR="00AC769B" w:rsidRPr="004F4C62">
          <w:rPr>
            <w:rStyle w:val="Hyperlink"/>
            <w:i/>
            <w:szCs w:val="20"/>
            <w:lang w:val="en-GB"/>
          </w:rPr>
          <w:t>https://docdb.cept.org/home</w:t>
        </w:r>
      </w:hyperlink>
      <w:r w:rsidR="00AC769B">
        <w:rPr>
          <w:i/>
          <w:szCs w:val="20"/>
          <w:lang w:val="en-GB"/>
        </w:rPr>
        <w:t xml:space="preserve"> </w:t>
      </w:r>
      <w:r w:rsidRPr="00EE1E00">
        <w:rPr>
          <w:i/>
          <w:szCs w:val="20"/>
          <w:lang w:val="en-GB"/>
        </w:rPr>
        <w:t>for the up to date position on the implementation of this and other ECC Recommendations.</w:t>
      </w:r>
    </w:p>
    <w:p w14:paraId="471EE21A" w14:textId="75E11A98" w:rsidR="00F205D2" w:rsidRPr="00EE1E00" w:rsidRDefault="00176480" w:rsidP="00566CB2">
      <w:pPr>
        <w:pStyle w:val="ECCAnnex-heading1"/>
      </w:pPr>
      <w:bookmarkStart w:id="6" w:name="_Ref43282211"/>
      <w:r w:rsidRPr="00EE1E00">
        <w:lastRenderedPageBreak/>
        <w:t xml:space="preserve">Recommended </w:t>
      </w:r>
      <w:r w:rsidR="0034022A" w:rsidRPr="00EE1E00">
        <w:t xml:space="preserve">frame structures </w:t>
      </w:r>
      <w:r w:rsidR="00B120B0" w:rsidRPr="00EE1E00">
        <w:t xml:space="preserve">IN Order </w:t>
      </w:r>
      <w:r w:rsidR="00914CD2" w:rsidRPr="00EE1E00">
        <w:t xml:space="preserve">to facilitate </w:t>
      </w:r>
      <w:r w:rsidR="0034022A" w:rsidRPr="00EE1E00">
        <w:t xml:space="preserve">cross-border coordination </w:t>
      </w:r>
      <w:r w:rsidR="00613A20" w:rsidRPr="00EE1E00">
        <w:t>OF TDD MFCN in the frequency band 3400-3800 MHz</w:t>
      </w:r>
      <w:bookmarkEnd w:id="6"/>
    </w:p>
    <w:p w14:paraId="06D4D9AA" w14:textId="5BF3B80B" w:rsidR="003A2A4A" w:rsidRPr="00EE1E00" w:rsidRDefault="00F205D2" w:rsidP="00F205D2">
      <w:pPr>
        <w:pStyle w:val="ECCParagraph"/>
      </w:pPr>
      <w:r w:rsidRPr="00EE1E00">
        <w:t>Table 1 defines the two frame structures (Frame A and Frame B) for</w:t>
      </w:r>
      <w:r w:rsidR="00F33E71" w:rsidRPr="00EE1E00">
        <w:t xml:space="preserve"> </w:t>
      </w:r>
      <w:r w:rsidR="00BC09C4" w:rsidRPr="00EE1E00">
        <w:t xml:space="preserve">TDD </w:t>
      </w:r>
      <w:r w:rsidRPr="00EE1E00">
        <w:t>MFCN in order to facilitate cross-border coordination in the frequency band 3400-3800 MHz.</w:t>
      </w:r>
      <w:r w:rsidR="00012E14" w:rsidRPr="00EE1E00">
        <w:t xml:space="preserve"> </w:t>
      </w:r>
      <w:r w:rsidR="003A2A4A" w:rsidRPr="00EE1E00">
        <w:t>Frames are of 10 ms duration, divided into two equally-sized half-frames. Each frame consists of twenty slots. The number of consecutive symbols per slot is 14</w:t>
      </w:r>
      <w:r w:rsidR="007D1FAF" w:rsidRPr="00EE1E00">
        <w:t>, for example, these might represent OFDM symbols in NR technology</w:t>
      </w:r>
      <w:r w:rsidR="00F942BE" w:rsidRPr="00EE1E00">
        <w:t>.</w:t>
      </w:r>
    </w:p>
    <w:p w14:paraId="57ADE290" w14:textId="07A598C8" w:rsidR="00FF2D6C" w:rsidRPr="00EE1E00" w:rsidRDefault="00D368E9" w:rsidP="000574CB">
      <w:pPr>
        <w:pStyle w:val="ECCTabletitle"/>
      </w:pPr>
      <w:r w:rsidRPr="00EE1E00">
        <w:t>R</w:t>
      </w:r>
      <w:r w:rsidR="00196CF5" w:rsidRPr="00EE1E00">
        <w:t>ecommended f</w:t>
      </w:r>
      <w:r w:rsidR="00EA3CCA" w:rsidRPr="00EE1E00">
        <w:t>rame structures for TDD MFCN cross-border coordination</w:t>
      </w:r>
      <w:r w:rsidRPr="00EE1E00">
        <w:t xml:space="preserve"> in 3400-3800 MHz</w:t>
      </w:r>
    </w:p>
    <w:tbl>
      <w:tblPr>
        <w:tblStyle w:val="TableGrid"/>
        <w:tblpPr w:leftFromText="141" w:rightFromText="141" w:vertAnchor="text" w:horzAnchor="margin" w:tblpXSpec="center" w:tblpY="1"/>
        <w:tblOverlap w:val="never"/>
        <w:tblW w:w="4693" w:type="pct"/>
        <w:tblLook w:val="04A0" w:firstRow="1" w:lastRow="0" w:firstColumn="1" w:lastColumn="0" w:noHBand="0" w:noVBand="1"/>
      </w:tblPr>
      <w:tblGrid>
        <w:gridCol w:w="2364"/>
        <w:gridCol w:w="1030"/>
        <w:gridCol w:w="1412"/>
        <w:gridCol w:w="1027"/>
        <w:gridCol w:w="1143"/>
        <w:gridCol w:w="1502"/>
        <w:gridCol w:w="772"/>
      </w:tblGrid>
      <w:tr w:rsidR="00B441AF" w:rsidRPr="00EE1E00" w14:paraId="1E4A4725" w14:textId="77777777" w:rsidTr="00566CB2">
        <w:tc>
          <w:tcPr>
            <w:tcW w:w="1278" w:type="pct"/>
            <w:tcBorders>
              <w:top w:val="single" w:sz="4" w:space="0" w:color="FFFFFF" w:themeColor="background1"/>
              <w:left w:val="single" w:sz="4" w:space="0" w:color="FFFFFF" w:themeColor="background1"/>
              <w:bottom w:val="single" w:sz="4" w:space="0" w:color="D2232A"/>
              <w:right w:val="single" w:sz="4" w:space="0" w:color="FFFFFF" w:themeColor="background1"/>
            </w:tcBorders>
            <w:shd w:val="clear" w:color="auto" w:fill="D2232A"/>
          </w:tcPr>
          <w:p w14:paraId="2EAEF68C" w14:textId="77777777" w:rsidR="00F205D2" w:rsidRPr="00EE1E00" w:rsidRDefault="00F205D2" w:rsidP="00B312A2">
            <w:pPr>
              <w:pStyle w:val="ECCParagraph"/>
              <w:spacing w:before="120" w:after="120"/>
              <w:jc w:val="left"/>
              <w:rPr>
                <w:color w:val="FFFFFF" w:themeColor="background1"/>
              </w:rPr>
            </w:pPr>
          </w:p>
        </w:tc>
        <w:tc>
          <w:tcPr>
            <w:tcW w:w="1875" w:type="pct"/>
            <w:gridSpan w:val="3"/>
            <w:tcBorders>
              <w:top w:val="single" w:sz="4" w:space="0" w:color="FFFFFF" w:themeColor="background1"/>
              <w:left w:val="single" w:sz="4" w:space="0" w:color="FFFFFF" w:themeColor="background1"/>
              <w:bottom w:val="single" w:sz="4" w:space="0" w:color="D2232A"/>
              <w:right w:val="single" w:sz="4" w:space="0" w:color="FFFFFF" w:themeColor="background1"/>
            </w:tcBorders>
            <w:shd w:val="clear" w:color="auto" w:fill="D2232A"/>
          </w:tcPr>
          <w:p w14:paraId="09351DA6" w14:textId="77777777" w:rsidR="00F205D2" w:rsidRPr="00EE1E00" w:rsidRDefault="00F205D2" w:rsidP="00545F7F">
            <w:pPr>
              <w:pStyle w:val="ECCParagraph"/>
              <w:spacing w:before="120" w:after="120"/>
              <w:jc w:val="center"/>
              <w:rPr>
                <w:b/>
                <w:color w:val="FFFFFF" w:themeColor="background1"/>
              </w:rPr>
            </w:pPr>
            <w:r w:rsidRPr="00EE1E00">
              <w:rPr>
                <w:b/>
                <w:color w:val="FFFFFF" w:themeColor="background1"/>
              </w:rPr>
              <w:t>Frame A</w:t>
            </w:r>
          </w:p>
        </w:tc>
        <w:tc>
          <w:tcPr>
            <w:tcW w:w="1847" w:type="pct"/>
            <w:gridSpan w:val="3"/>
            <w:tcBorders>
              <w:top w:val="single" w:sz="4" w:space="0" w:color="FFFFFF" w:themeColor="background1"/>
              <w:left w:val="single" w:sz="4" w:space="0" w:color="FFFFFF" w:themeColor="background1"/>
              <w:bottom w:val="single" w:sz="4" w:space="0" w:color="D2232A"/>
              <w:right w:val="single" w:sz="4" w:space="0" w:color="FFFFFF" w:themeColor="background1"/>
            </w:tcBorders>
            <w:shd w:val="clear" w:color="auto" w:fill="D2232A"/>
          </w:tcPr>
          <w:p w14:paraId="55BF130A" w14:textId="77777777" w:rsidR="00F205D2" w:rsidRPr="00EE1E00" w:rsidRDefault="00F205D2" w:rsidP="00545F7F">
            <w:pPr>
              <w:pStyle w:val="ECCParagraph"/>
              <w:spacing w:before="120" w:after="120"/>
              <w:jc w:val="center"/>
              <w:rPr>
                <w:b/>
                <w:color w:val="FFFFFF" w:themeColor="background1"/>
              </w:rPr>
            </w:pPr>
            <w:r w:rsidRPr="00EE1E00">
              <w:rPr>
                <w:b/>
                <w:color w:val="FFFFFF" w:themeColor="background1"/>
              </w:rPr>
              <w:t>Frame B</w:t>
            </w:r>
          </w:p>
        </w:tc>
      </w:tr>
      <w:tr w:rsidR="00566CB2" w:rsidRPr="00EE1E00" w14:paraId="2A8971CF" w14:textId="77777777" w:rsidTr="00CA032D">
        <w:tc>
          <w:tcPr>
            <w:tcW w:w="1278" w:type="pct"/>
            <w:tcBorders>
              <w:top w:val="single" w:sz="4" w:space="0" w:color="D2232A"/>
              <w:left w:val="single" w:sz="4" w:space="0" w:color="D2232A"/>
              <w:bottom w:val="single" w:sz="4" w:space="0" w:color="D2232A"/>
              <w:right w:val="single" w:sz="4" w:space="0" w:color="D2232A"/>
            </w:tcBorders>
          </w:tcPr>
          <w:p w14:paraId="2298081F" w14:textId="77777777" w:rsidR="00F205D2" w:rsidRPr="00EE1E00" w:rsidRDefault="00F205D2" w:rsidP="00566CB2">
            <w:pPr>
              <w:pStyle w:val="ECCParagraph"/>
              <w:spacing w:before="60" w:after="60"/>
              <w:jc w:val="left"/>
            </w:pPr>
            <w:r w:rsidRPr="00EE1E00">
              <w:t xml:space="preserve">DL/UL </w:t>
            </w:r>
            <w:r w:rsidR="007F036B" w:rsidRPr="00EE1E00">
              <w:t xml:space="preserve">slot </w:t>
            </w:r>
            <w:r w:rsidRPr="00EE1E00">
              <w:t>pattern</w:t>
            </w:r>
          </w:p>
        </w:tc>
        <w:tc>
          <w:tcPr>
            <w:tcW w:w="1875" w:type="pct"/>
            <w:gridSpan w:val="3"/>
            <w:tcBorders>
              <w:top w:val="single" w:sz="4" w:space="0" w:color="D2232A"/>
              <w:left w:val="single" w:sz="4" w:space="0" w:color="D2232A"/>
              <w:bottom w:val="single" w:sz="4" w:space="0" w:color="D2232A"/>
              <w:right w:val="single" w:sz="4" w:space="0" w:color="D2232A"/>
            </w:tcBorders>
            <w:vAlign w:val="center"/>
          </w:tcPr>
          <w:p w14:paraId="3D7C5126" w14:textId="77777777" w:rsidR="000E3611" w:rsidRPr="00EE1E00" w:rsidRDefault="00F205D2" w:rsidP="00CA032D">
            <w:pPr>
              <w:pStyle w:val="ECCParagraph"/>
              <w:spacing w:before="60" w:after="60"/>
              <w:jc w:val="center"/>
            </w:pPr>
            <w:r w:rsidRPr="00EE1E00">
              <w:t>DDDSU</w:t>
            </w:r>
            <w:r w:rsidR="00BC09C4" w:rsidRPr="00EE1E00">
              <w:t xml:space="preserve"> </w:t>
            </w:r>
            <w:r w:rsidRPr="00EE1E00">
              <w:t>DDDSU</w:t>
            </w:r>
            <w:r w:rsidR="00BD0252" w:rsidRPr="00EE1E00">
              <w:t xml:space="preserve"> </w:t>
            </w:r>
            <w:r w:rsidR="000E3611" w:rsidRPr="00EE1E00">
              <w:t>DDDSU</w:t>
            </w:r>
            <w:r w:rsidR="00BC09C4" w:rsidRPr="00EE1E00">
              <w:t xml:space="preserve"> </w:t>
            </w:r>
            <w:r w:rsidR="000E3611" w:rsidRPr="00EE1E00">
              <w:t>DDDSU</w:t>
            </w:r>
          </w:p>
          <w:p w14:paraId="6541E802" w14:textId="2262DB7E" w:rsidR="00F205D2" w:rsidRPr="00EE1E00" w:rsidRDefault="00F205D2" w:rsidP="00CA032D">
            <w:pPr>
              <w:pStyle w:val="ECCParagraph"/>
              <w:spacing w:before="60" w:after="60"/>
              <w:jc w:val="center"/>
            </w:pPr>
            <w:r w:rsidRPr="00EE1E00">
              <w:t>(see note 1)</w:t>
            </w:r>
          </w:p>
        </w:tc>
        <w:tc>
          <w:tcPr>
            <w:tcW w:w="1847" w:type="pct"/>
            <w:gridSpan w:val="3"/>
            <w:tcBorders>
              <w:top w:val="single" w:sz="4" w:space="0" w:color="D2232A"/>
              <w:left w:val="single" w:sz="4" w:space="0" w:color="D2232A"/>
              <w:bottom w:val="single" w:sz="4" w:space="0" w:color="D2232A"/>
              <w:right w:val="single" w:sz="4" w:space="0" w:color="D2232A"/>
            </w:tcBorders>
            <w:vAlign w:val="center"/>
          </w:tcPr>
          <w:p w14:paraId="2C6E8053" w14:textId="0916B91A" w:rsidR="000E3611" w:rsidRPr="00EE1E00" w:rsidRDefault="00F205D2" w:rsidP="00CA032D">
            <w:pPr>
              <w:pStyle w:val="ECCParagraph"/>
              <w:spacing w:before="60" w:after="60"/>
              <w:jc w:val="center"/>
            </w:pPr>
            <w:r w:rsidRPr="00EE1E00">
              <w:t>DDDSUUDDDD</w:t>
            </w:r>
            <w:r w:rsidR="00515EC2" w:rsidRPr="00EE1E00">
              <w:t xml:space="preserve"> </w:t>
            </w:r>
            <w:r w:rsidR="000E3611" w:rsidRPr="00EE1E00">
              <w:t>DDDSUUDDDD</w:t>
            </w:r>
          </w:p>
          <w:p w14:paraId="263DC3B3" w14:textId="6DDF1E59" w:rsidR="00F205D2" w:rsidRPr="00EE1E00" w:rsidRDefault="00F205D2" w:rsidP="00CA032D">
            <w:pPr>
              <w:pStyle w:val="ECCParagraph"/>
              <w:spacing w:before="60" w:after="60"/>
              <w:jc w:val="center"/>
            </w:pPr>
            <w:r w:rsidRPr="00EE1E00">
              <w:t>(see note</w:t>
            </w:r>
            <w:r w:rsidR="003A7D6A" w:rsidRPr="00EE1E00">
              <w:t>s</w:t>
            </w:r>
            <w:r w:rsidRPr="00EE1E00">
              <w:t xml:space="preserve"> 1,</w:t>
            </w:r>
            <w:r w:rsidR="003A7D6A" w:rsidRPr="00EE1E00">
              <w:t xml:space="preserve"> </w:t>
            </w:r>
            <w:r w:rsidRPr="00EE1E00">
              <w:t>4)</w:t>
            </w:r>
          </w:p>
        </w:tc>
      </w:tr>
      <w:tr w:rsidR="00566CB2" w:rsidRPr="00EE1E00" w14:paraId="2BFC8903" w14:textId="77777777" w:rsidTr="00CA032D">
        <w:tc>
          <w:tcPr>
            <w:tcW w:w="1278" w:type="pct"/>
            <w:tcBorders>
              <w:top w:val="single" w:sz="4" w:space="0" w:color="D2232A"/>
              <w:left w:val="single" w:sz="4" w:space="0" w:color="D2232A"/>
              <w:bottom w:val="single" w:sz="4" w:space="0" w:color="D2232A"/>
              <w:right w:val="single" w:sz="4" w:space="0" w:color="D2232A"/>
            </w:tcBorders>
          </w:tcPr>
          <w:p w14:paraId="75DFEC7C" w14:textId="1AD19862" w:rsidR="000E3611" w:rsidRPr="00EE1E00" w:rsidRDefault="000E3611" w:rsidP="00566CB2">
            <w:pPr>
              <w:pStyle w:val="ECCParagraph"/>
              <w:spacing w:before="60" w:after="60"/>
              <w:jc w:val="left"/>
            </w:pPr>
            <w:r w:rsidRPr="00EE1E00">
              <w:t xml:space="preserve">Frame </w:t>
            </w:r>
            <w:r w:rsidR="005D02E6" w:rsidRPr="00EE1E00">
              <w:t>d</w:t>
            </w:r>
            <w:r w:rsidRPr="00EE1E00">
              <w:t>uration</w:t>
            </w:r>
          </w:p>
        </w:tc>
        <w:tc>
          <w:tcPr>
            <w:tcW w:w="1875" w:type="pct"/>
            <w:gridSpan w:val="3"/>
            <w:tcBorders>
              <w:top w:val="single" w:sz="4" w:space="0" w:color="D2232A"/>
              <w:left w:val="single" w:sz="4" w:space="0" w:color="D2232A"/>
              <w:bottom w:val="single" w:sz="4" w:space="0" w:color="D2232A"/>
              <w:right w:val="single" w:sz="4" w:space="0" w:color="D2232A"/>
            </w:tcBorders>
            <w:vAlign w:val="center"/>
          </w:tcPr>
          <w:p w14:paraId="2A804C88" w14:textId="77777777" w:rsidR="000E3611" w:rsidRPr="00EE1E00" w:rsidRDefault="000E3611" w:rsidP="00CA032D">
            <w:pPr>
              <w:pStyle w:val="ECCParagraph"/>
              <w:spacing w:before="60" w:after="60"/>
              <w:jc w:val="center"/>
            </w:pPr>
            <w:r w:rsidRPr="00EE1E00">
              <w:t>10 ms</w:t>
            </w:r>
          </w:p>
        </w:tc>
        <w:tc>
          <w:tcPr>
            <w:tcW w:w="1847" w:type="pct"/>
            <w:gridSpan w:val="3"/>
            <w:tcBorders>
              <w:top w:val="single" w:sz="4" w:space="0" w:color="D2232A"/>
              <w:left w:val="single" w:sz="4" w:space="0" w:color="D2232A"/>
              <w:bottom w:val="single" w:sz="4" w:space="0" w:color="D2232A"/>
              <w:right w:val="single" w:sz="4" w:space="0" w:color="D2232A"/>
            </w:tcBorders>
            <w:vAlign w:val="center"/>
          </w:tcPr>
          <w:p w14:paraId="1704BE12" w14:textId="77777777" w:rsidR="000E3611" w:rsidRPr="00EE1E00" w:rsidRDefault="000E3611" w:rsidP="00CA032D">
            <w:pPr>
              <w:pStyle w:val="ECCParagraph"/>
              <w:spacing w:before="60" w:after="60"/>
              <w:jc w:val="center"/>
            </w:pPr>
            <w:r w:rsidRPr="00EE1E00">
              <w:t>10 ms</w:t>
            </w:r>
          </w:p>
        </w:tc>
      </w:tr>
      <w:tr w:rsidR="00566CB2" w:rsidRPr="00EE1E00" w14:paraId="0083ADC5" w14:textId="77777777" w:rsidTr="00CA032D">
        <w:tc>
          <w:tcPr>
            <w:tcW w:w="1278" w:type="pct"/>
            <w:tcBorders>
              <w:top w:val="single" w:sz="4" w:space="0" w:color="D2232A"/>
              <w:left w:val="single" w:sz="4" w:space="0" w:color="D2232A"/>
              <w:bottom w:val="single" w:sz="4" w:space="0" w:color="D2232A"/>
              <w:right w:val="single" w:sz="4" w:space="0" w:color="D2232A"/>
            </w:tcBorders>
          </w:tcPr>
          <w:p w14:paraId="12211514" w14:textId="77777777" w:rsidR="000E3611" w:rsidRPr="00EE1E00" w:rsidRDefault="000E3611" w:rsidP="00566CB2">
            <w:pPr>
              <w:pStyle w:val="ECCParagraph"/>
              <w:spacing w:before="60" w:after="60"/>
              <w:jc w:val="left"/>
            </w:pPr>
            <w:r w:rsidRPr="00EE1E00">
              <w:t>Slot Duration</w:t>
            </w:r>
          </w:p>
        </w:tc>
        <w:tc>
          <w:tcPr>
            <w:tcW w:w="1875" w:type="pct"/>
            <w:gridSpan w:val="3"/>
            <w:tcBorders>
              <w:top w:val="single" w:sz="4" w:space="0" w:color="D2232A"/>
              <w:left w:val="single" w:sz="4" w:space="0" w:color="D2232A"/>
              <w:bottom w:val="single" w:sz="4" w:space="0" w:color="D2232A"/>
              <w:right w:val="single" w:sz="4" w:space="0" w:color="D2232A"/>
            </w:tcBorders>
            <w:vAlign w:val="center"/>
          </w:tcPr>
          <w:p w14:paraId="1A3263B4" w14:textId="77777777" w:rsidR="000E3611" w:rsidRPr="00EE1E00" w:rsidRDefault="000E3611" w:rsidP="00CA032D">
            <w:pPr>
              <w:pStyle w:val="ECCParagraph"/>
              <w:spacing w:before="60" w:after="60"/>
              <w:jc w:val="center"/>
            </w:pPr>
            <w:r w:rsidRPr="00EE1E00">
              <w:t>0.5 ms</w:t>
            </w:r>
          </w:p>
        </w:tc>
        <w:tc>
          <w:tcPr>
            <w:tcW w:w="1847" w:type="pct"/>
            <w:gridSpan w:val="3"/>
            <w:tcBorders>
              <w:top w:val="single" w:sz="4" w:space="0" w:color="D2232A"/>
              <w:left w:val="single" w:sz="4" w:space="0" w:color="D2232A"/>
              <w:bottom w:val="single" w:sz="4" w:space="0" w:color="D2232A"/>
              <w:right w:val="single" w:sz="4" w:space="0" w:color="D2232A"/>
            </w:tcBorders>
            <w:vAlign w:val="center"/>
          </w:tcPr>
          <w:p w14:paraId="1A27B627" w14:textId="77777777" w:rsidR="000E3611" w:rsidRPr="00EE1E00" w:rsidRDefault="000E3611" w:rsidP="00CA032D">
            <w:pPr>
              <w:pStyle w:val="ECCParagraph"/>
              <w:spacing w:before="60" w:after="60"/>
              <w:jc w:val="center"/>
            </w:pPr>
            <w:r w:rsidRPr="00EE1E00">
              <w:t>0.5 ms</w:t>
            </w:r>
          </w:p>
        </w:tc>
      </w:tr>
      <w:tr w:rsidR="00566CB2" w:rsidRPr="00EE1E00" w14:paraId="727942E9" w14:textId="77777777" w:rsidTr="00CA032D">
        <w:trPr>
          <w:trHeight w:val="92"/>
        </w:trPr>
        <w:tc>
          <w:tcPr>
            <w:tcW w:w="1278" w:type="pct"/>
            <w:tcBorders>
              <w:top w:val="single" w:sz="4" w:space="0" w:color="D2232A"/>
              <w:left w:val="single" w:sz="4" w:space="0" w:color="D2232A"/>
              <w:bottom w:val="single" w:sz="4" w:space="0" w:color="D2232A"/>
              <w:right w:val="single" w:sz="4" w:space="0" w:color="D2232A"/>
            </w:tcBorders>
          </w:tcPr>
          <w:p w14:paraId="56AE0980" w14:textId="77777777" w:rsidR="00515EC2" w:rsidRPr="00EE1E00" w:rsidDel="000E3611" w:rsidRDefault="00AE2324" w:rsidP="00566CB2">
            <w:pPr>
              <w:pStyle w:val="ECCParagraph"/>
              <w:spacing w:before="60" w:after="60"/>
              <w:jc w:val="left"/>
            </w:pPr>
            <w:r w:rsidRPr="00EE1E00">
              <w:t xml:space="preserve">Slot pattern </w:t>
            </w:r>
            <w:r w:rsidR="00515EC2" w:rsidRPr="00EE1E00">
              <w:t>periodicity</w:t>
            </w:r>
          </w:p>
        </w:tc>
        <w:tc>
          <w:tcPr>
            <w:tcW w:w="1875" w:type="pct"/>
            <w:gridSpan w:val="3"/>
            <w:tcBorders>
              <w:top w:val="single" w:sz="4" w:space="0" w:color="D2232A"/>
              <w:left w:val="single" w:sz="4" w:space="0" w:color="D2232A"/>
              <w:bottom w:val="single" w:sz="4" w:space="0" w:color="D2232A"/>
              <w:right w:val="single" w:sz="4" w:space="0" w:color="D2232A"/>
            </w:tcBorders>
            <w:vAlign w:val="center"/>
          </w:tcPr>
          <w:p w14:paraId="6DAF5069" w14:textId="77777777" w:rsidR="00515EC2" w:rsidRPr="00EE1E00" w:rsidRDefault="00515EC2" w:rsidP="00CA032D">
            <w:pPr>
              <w:pStyle w:val="ECCParagraph"/>
              <w:spacing w:before="60" w:after="60"/>
              <w:jc w:val="center"/>
            </w:pPr>
            <w:r w:rsidRPr="00EE1E00">
              <w:t>2.5 ms</w:t>
            </w:r>
          </w:p>
        </w:tc>
        <w:tc>
          <w:tcPr>
            <w:tcW w:w="1847" w:type="pct"/>
            <w:gridSpan w:val="3"/>
            <w:tcBorders>
              <w:top w:val="single" w:sz="4" w:space="0" w:color="D2232A"/>
              <w:left w:val="single" w:sz="4" w:space="0" w:color="D2232A"/>
              <w:bottom w:val="single" w:sz="4" w:space="0" w:color="D2232A"/>
              <w:right w:val="single" w:sz="4" w:space="0" w:color="D2232A"/>
            </w:tcBorders>
            <w:vAlign w:val="center"/>
          </w:tcPr>
          <w:p w14:paraId="79ACBA70" w14:textId="77777777" w:rsidR="00515EC2" w:rsidRPr="00EE1E00" w:rsidRDefault="004A2580" w:rsidP="00CA032D">
            <w:pPr>
              <w:pStyle w:val="ECCParagraph"/>
              <w:spacing w:before="60" w:after="60"/>
              <w:jc w:val="center"/>
            </w:pPr>
            <w:r w:rsidRPr="00EE1E00">
              <w:t>5</w:t>
            </w:r>
            <w:r w:rsidR="00515EC2" w:rsidRPr="00EE1E00">
              <w:t xml:space="preserve"> ms</w:t>
            </w:r>
          </w:p>
        </w:tc>
      </w:tr>
      <w:tr w:rsidR="00566CB2" w:rsidRPr="00EE1E00" w14:paraId="37B72243" w14:textId="77777777" w:rsidTr="00CA032D">
        <w:tc>
          <w:tcPr>
            <w:tcW w:w="1278" w:type="pct"/>
            <w:vMerge w:val="restart"/>
            <w:tcBorders>
              <w:top w:val="single" w:sz="4" w:space="0" w:color="D2232A"/>
              <w:left w:val="single" w:sz="4" w:space="0" w:color="D2232A"/>
              <w:bottom w:val="single" w:sz="4" w:space="0" w:color="D2232A"/>
              <w:right w:val="single" w:sz="4" w:space="0" w:color="D2232A"/>
            </w:tcBorders>
          </w:tcPr>
          <w:p w14:paraId="3108D7F6" w14:textId="1BC56A23" w:rsidR="0084421C" w:rsidRPr="00EE1E00" w:rsidRDefault="00B312A2" w:rsidP="00566CB2">
            <w:pPr>
              <w:pStyle w:val="ECCParagraph"/>
              <w:spacing w:before="60" w:after="60"/>
              <w:jc w:val="left"/>
            </w:pPr>
            <w:r w:rsidRPr="00EE1E00">
              <w:t xml:space="preserve">Special </w:t>
            </w:r>
            <w:r w:rsidR="000E479E" w:rsidRPr="00EE1E00">
              <w:t>s</w:t>
            </w:r>
            <w:r w:rsidR="000E3611" w:rsidRPr="00EE1E00">
              <w:t xml:space="preserve">lot </w:t>
            </w:r>
            <w:r w:rsidR="000E479E" w:rsidRPr="00EE1E00">
              <w:t xml:space="preserve">“S” </w:t>
            </w:r>
            <w:r w:rsidR="000E3611" w:rsidRPr="00EE1E00">
              <w:t>configuration</w:t>
            </w:r>
            <w:r w:rsidR="0084421C" w:rsidRPr="00EE1E00">
              <w:t xml:space="preserve"> </w:t>
            </w:r>
          </w:p>
          <w:p w14:paraId="4A5F2AEE" w14:textId="6C362E0E" w:rsidR="000E3611" w:rsidRPr="00EE1E00" w:rsidRDefault="007F036B" w:rsidP="00566CB2">
            <w:pPr>
              <w:pStyle w:val="ECCParagraph"/>
              <w:spacing w:before="60" w:after="60"/>
              <w:jc w:val="left"/>
            </w:pPr>
            <w:r w:rsidRPr="00EE1E00">
              <w:t>(i.e., DL:GP:UL symbols)</w:t>
            </w:r>
          </w:p>
        </w:tc>
        <w:tc>
          <w:tcPr>
            <w:tcW w:w="557" w:type="pct"/>
            <w:tcBorders>
              <w:top w:val="single" w:sz="4" w:space="0" w:color="D2232A"/>
              <w:left w:val="single" w:sz="4" w:space="0" w:color="D2232A"/>
              <w:bottom w:val="single" w:sz="4" w:space="0" w:color="D2232A"/>
              <w:right w:val="single" w:sz="4" w:space="0" w:color="D2232A"/>
            </w:tcBorders>
            <w:vAlign w:val="center"/>
          </w:tcPr>
          <w:p w14:paraId="3FFEC2DB" w14:textId="77777777" w:rsidR="000E3611" w:rsidRPr="00EE1E00" w:rsidRDefault="000E3611" w:rsidP="00CA032D">
            <w:pPr>
              <w:pStyle w:val="ECCParagraph"/>
              <w:spacing w:before="60" w:after="60"/>
              <w:jc w:val="center"/>
            </w:pPr>
            <w:r w:rsidRPr="00EE1E00">
              <w:t>Downlink</w:t>
            </w:r>
          </w:p>
        </w:tc>
        <w:tc>
          <w:tcPr>
            <w:tcW w:w="763" w:type="pct"/>
            <w:tcBorders>
              <w:top w:val="single" w:sz="4" w:space="0" w:color="D2232A"/>
              <w:left w:val="single" w:sz="4" w:space="0" w:color="D2232A"/>
              <w:bottom w:val="single" w:sz="4" w:space="0" w:color="D2232A"/>
              <w:right w:val="single" w:sz="4" w:space="0" w:color="D2232A"/>
            </w:tcBorders>
            <w:vAlign w:val="center"/>
          </w:tcPr>
          <w:p w14:paraId="2B860F98" w14:textId="77777777" w:rsidR="000E3611" w:rsidRPr="00EE1E00" w:rsidRDefault="000E3611" w:rsidP="00CA032D">
            <w:pPr>
              <w:pStyle w:val="ECCParagraph"/>
              <w:spacing w:before="60" w:after="60"/>
              <w:jc w:val="center"/>
            </w:pPr>
            <w:r w:rsidRPr="00EE1E00">
              <w:t>Guard</w:t>
            </w:r>
            <w:r w:rsidR="00BD0252" w:rsidRPr="00EE1E00">
              <w:t xml:space="preserve"> </w:t>
            </w:r>
            <w:r w:rsidR="007372A9" w:rsidRPr="00EE1E00">
              <w:t>period</w:t>
            </w:r>
          </w:p>
        </w:tc>
        <w:tc>
          <w:tcPr>
            <w:tcW w:w="554" w:type="pct"/>
            <w:tcBorders>
              <w:top w:val="single" w:sz="4" w:space="0" w:color="D2232A"/>
              <w:left w:val="single" w:sz="4" w:space="0" w:color="D2232A"/>
              <w:bottom w:val="single" w:sz="4" w:space="0" w:color="D2232A"/>
              <w:right w:val="single" w:sz="4" w:space="0" w:color="D2232A"/>
            </w:tcBorders>
            <w:vAlign w:val="center"/>
          </w:tcPr>
          <w:p w14:paraId="5111115C" w14:textId="77777777" w:rsidR="000E3611" w:rsidRPr="00EE1E00" w:rsidRDefault="000E3611" w:rsidP="00CA032D">
            <w:pPr>
              <w:pStyle w:val="ECCParagraph"/>
              <w:spacing w:before="60" w:after="60"/>
              <w:jc w:val="center"/>
            </w:pPr>
            <w:r w:rsidRPr="00EE1E00">
              <w:t>Uplink</w:t>
            </w:r>
          </w:p>
        </w:tc>
        <w:tc>
          <w:tcPr>
            <w:tcW w:w="618" w:type="pct"/>
            <w:tcBorders>
              <w:top w:val="single" w:sz="4" w:space="0" w:color="D2232A"/>
              <w:left w:val="single" w:sz="4" w:space="0" w:color="D2232A"/>
              <w:bottom w:val="single" w:sz="4" w:space="0" w:color="D2232A"/>
              <w:right w:val="single" w:sz="4" w:space="0" w:color="D2232A"/>
            </w:tcBorders>
            <w:vAlign w:val="center"/>
          </w:tcPr>
          <w:p w14:paraId="16D3D9C8" w14:textId="77777777" w:rsidR="000E3611" w:rsidRPr="00EE1E00" w:rsidRDefault="000E3611" w:rsidP="00CA032D">
            <w:pPr>
              <w:pStyle w:val="ECCParagraph"/>
              <w:spacing w:before="60" w:after="60"/>
              <w:jc w:val="center"/>
            </w:pPr>
            <w:r w:rsidRPr="00EE1E00">
              <w:t>Downlink</w:t>
            </w:r>
          </w:p>
        </w:tc>
        <w:tc>
          <w:tcPr>
            <w:tcW w:w="812" w:type="pct"/>
            <w:tcBorders>
              <w:top w:val="single" w:sz="4" w:space="0" w:color="D2232A"/>
              <w:left w:val="single" w:sz="4" w:space="0" w:color="D2232A"/>
              <w:bottom w:val="single" w:sz="4" w:space="0" w:color="D2232A"/>
              <w:right w:val="single" w:sz="4" w:space="0" w:color="D2232A"/>
            </w:tcBorders>
            <w:vAlign w:val="center"/>
          </w:tcPr>
          <w:p w14:paraId="58567B96" w14:textId="04DC6BDB" w:rsidR="00BD0252" w:rsidRPr="00EE1E00" w:rsidRDefault="000E3611" w:rsidP="00CA032D">
            <w:pPr>
              <w:pStyle w:val="ECCParagraph"/>
              <w:spacing w:after="0"/>
              <w:jc w:val="center"/>
            </w:pPr>
            <w:r w:rsidRPr="00EE1E00">
              <w:t>Guard</w:t>
            </w:r>
            <w:r w:rsidR="007372A9" w:rsidRPr="00EE1E00">
              <w:t xml:space="preserve"> period</w:t>
            </w:r>
          </w:p>
          <w:p w14:paraId="08D01099" w14:textId="77777777" w:rsidR="000E3611" w:rsidRPr="00EE1E00" w:rsidRDefault="000E3611" w:rsidP="00CA032D">
            <w:pPr>
              <w:pStyle w:val="ECCParagraph"/>
              <w:spacing w:after="0"/>
              <w:jc w:val="center"/>
            </w:pPr>
            <w:r w:rsidRPr="00EE1E00">
              <w:t>(note 5)</w:t>
            </w:r>
          </w:p>
        </w:tc>
        <w:tc>
          <w:tcPr>
            <w:tcW w:w="417" w:type="pct"/>
            <w:tcBorders>
              <w:top w:val="single" w:sz="4" w:space="0" w:color="D2232A"/>
              <w:left w:val="single" w:sz="4" w:space="0" w:color="D2232A"/>
              <w:bottom w:val="single" w:sz="4" w:space="0" w:color="D2232A"/>
              <w:right w:val="single" w:sz="4" w:space="0" w:color="D2232A"/>
            </w:tcBorders>
            <w:vAlign w:val="center"/>
          </w:tcPr>
          <w:p w14:paraId="31196EA9" w14:textId="77777777" w:rsidR="000E3611" w:rsidRPr="00EE1E00" w:rsidRDefault="000E3611" w:rsidP="00CA032D">
            <w:pPr>
              <w:pStyle w:val="ECCParagraph"/>
              <w:spacing w:before="60" w:after="60"/>
              <w:jc w:val="center"/>
            </w:pPr>
            <w:r w:rsidRPr="00EE1E00">
              <w:t>Uplink</w:t>
            </w:r>
          </w:p>
        </w:tc>
      </w:tr>
      <w:tr w:rsidR="00566CB2" w:rsidRPr="00EE1E00" w14:paraId="4516E1C9" w14:textId="77777777" w:rsidTr="00CA032D">
        <w:trPr>
          <w:trHeight w:val="345"/>
        </w:trPr>
        <w:tc>
          <w:tcPr>
            <w:tcW w:w="1278" w:type="pct"/>
            <w:vMerge/>
            <w:tcBorders>
              <w:top w:val="single" w:sz="4" w:space="0" w:color="D2232A"/>
              <w:left w:val="single" w:sz="4" w:space="0" w:color="D2232A"/>
              <w:bottom w:val="single" w:sz="4" w:space="0" w:color="D2232A"/>
              <w:right w:val="single" w:sz="4" w:space="0" w:color="D2232A"/>
            </w:tcBorders>
          </w:tcPr>
          <w:p w14:paraId="07AA2827" w14:textId="77777777" w:rsidR="000E3611" w:rsidRPr="00EE1E00" w:rsidRDefault="000E3611" w:rsidP="00566CB2">
            <w:pPr>
              <w:pStyle w:val="ECCParagraph"/>
              <w:spacing w:before="60" w:after="60"/>
              <w:jc w:val="left"/>
            </w:pPr>
          </w:p>
        </w:tc>
        <w:tc>
          <w:tcPr>
            <w:tcW w:w="557" w:type="pct"/>
            <w:vMerge w:val="restart"/>
            <w:tcBorders>
              <w:top w:val="single" w:sz="4" w:space="0" w:color="D2232A"/>
              <w:left w:val="single" w:sz="4" w:space="0" w:color="D2232A"/>
              <w:bottom w:val="single" w:sz="4" w:space="0" w:color="D2232A"/>
              <w:right w:val="single" w:sz="4" w:space="0" w:color="D2232A"/>
            </w:tcBorders>
            <w:vAlign w:val="center"/>
          </w:tcPr>
          <w:p w14:paraId="25D32268" w14:textId="77777777" w:rsidR="000E3611" w:rsidRPr="00EE1E00" w:rsidRDefault="000E3611" w:rsidP="00CA032D">
            <w:pPr>
              <w:pStyle w:val="ECCParagraph"/>
              <w:spacing w:before="60" w:after="60"/>
              <w:jc w:val="center"/>
            </w:pPr>
            <w:r w:rsidRPr="00EE1E00">
              <w:t>10</w:t>
            </w:r>
          </w:p>
        </w:tc>
        <w:tc>
          <w:tcPr>
            <w:tcW w:w="763" w:type="pct"/>
            <w:vMerge w:val="restart"/>
            <w:tcBorders>
              <w:top w:val="single" w:sz="4" w:space="0" w:color="D2232A"/>
              <w:left w:val="single" w:sz="4" w:space="0" w:color="D2232A"/>
              <w:bottom w:val="single" w:sz="4" w:space="0" w:color="D2232A"/>
              <w:right w:val="single" w:sz="4" w:space="0" w:color="D2232A"/>
            </w:tcBorders>
            <w:vAlign w:val="center"/>
          </w:tcPr>
          <w:p w14:paraId="2FDBB923" w14:textId="77777777" w:rsidR="000E3611" w:rsidRPr="00EE1E00" w:rsidRDefault="000E3611" w:rsidP="00CA032D">
            <w:pPr>
              <w:pStyle w:val="ECCParagraph"/>
              <w:spacing w:before="60" w:after="60"/>
              <w:jc w:val="center"/>
            </w:pPr>
            <w:r w:rsidRPr="00EE1E00">
              <w:t>2</w:t>
            </w:r>
          </w:p>
        </w:tc>
        <w:tc>
          <w:tcPr>
            <w:tcW w:w="554" w:type="pct"/>
            <w:vMerge w:val="restart"/>
            <w:tcBorders>
              <w:top w:val="single" w:sz="4" w:space="0" w:color="D2232A"/>
              <w:left w:val="single" w:sz="4" w:space="0" w:color="D2232A"/>
              <w:bottom w:val="single" w:sz="4" w:space="0" w:color="D2232A"/>
              <w:right w:val="single" w:sz="4" w:space="0" w:color="D2232A"/>
            </w:tcBorders>
            <w:vAlign w:val="center"/>
          </w:tcPr>
          <w:p w14:paraId="1B5A46E3" w14:textId="77777777" w:rsidR="000E3611" w:rsidRPr="00EE1E00" w:rsidRDefault="000E3611" w:rsidP="00CA032D">
            <w:pPr>
              <w:pStyle w:val="ECCParagraph"/>
              <w:spacing w:before="60" w:after="60"/>
              <w:jc w:val="center"/>
            </w:pPr>
            <w:r w:rsidRPr="00EE1E00">
              <w:t>2</w:t>
            </w:r>
          </w:p>
        </w:tc>
        <w:tc>
          <w:tcPr>
            <w:tcW w:w="618" w:type="pct"/>
            <w:tcBorders>
              <w:top w:val="single" w:sz="4" w:space="0" w:color="D2232A"/>
              <w:left w:val="single" w:sz="4" w:space="0" w:color="D2232A"/>
              <w:bottom w:val="single" w:sz="4" w:space="0" w:color="D2232A"/>
              <w:right w:val="single" w:sz="4" w:space="0" w:color="D2232A"/>
            </w:tcBorders>
            <w:vAlign w:val="center"/>
          </w:tcPr>
          <w:p w14:paraId="715E3DC4" w14:textId="77777777" w:rsidR="000E3611" w:rsidRPr="00EE1E00" w:rsidRDefault="000E3611" w:rsidP="00CA032D">
            <w:pPr>
              <w:pStyle w:val="ECCParagraph"/>
              <w:spacing w:before="60" w:after="60"/>
              <w:jc w:val="center"/>
            </w:pPr>
            <w:r w:rsidRPr="00EE1E00">
              <w:t>6</w:t>
            </w:r>
          </w:p>
        </w:tc>
        <w:tc>
          <w:tcPr>
            <w:tcW w:w="812" w:type="pct"/>
            <w:tcBorders>
              <w:top w:val="single" w:sz="4" w:space="0" w:color="D2232A"/>
              <w:left w:val="single" w:sz="4" w:space="0" w:color="D2232A"/>
              <w:bottom w:val="single" w:sz="4" w:space="0" w:color="D2232A"/>
              <w:right w:val="single" w:sz="4" w:space="0" w:color="D2232A"/>
            </w:tcBorders>
            <w:vAlign w:val="center"/>
          </w:tcPr>
          <w:p w14:paraId="47747719" w14:textId="77777777" w:rsidR="000E3611" w:rsidRPr="00EE1E00" w:rsidRDefault="000E3611" w:rsidP="00CA032D">
            <w:pPr>
              <w:pStyle w:val="ECCParagraph"/>
              <w:spacing w:before="60" w:after="60"/>
              <w:jc w:val="center"/>
            </w:pPr>
            <w:r w:rsidRPr="00EE1E00">
              <w:t>4</w:t>
            </w:r>
          </w:p>
        </w:tc>
        <w:tc>
          <w:tcPr>
            <w:tcW w:w="417" w:type="pct"/>
            <w:tcBorders>
              <w:top w:val="single" w:sz="4" w:space="0" w:color="D2232A"/>
              <w:left w:val="single" w:sz="4" w:space="0" w:color="D2232A"/>
              <w:bottom w:val="single" w:sz="4" w:space="0" w:color="D2232A"/>
              <w:right w:val="single" w:sz="4" w:space="0" w:color="D2232A"/>
            </w:tcBorders>
            <w:vAlign w:val="center"/>
          </w:tcPr>
          <w:p w14:paraId="5A09CD53" w14:textId="77777777" w:rsidR="000E3611" w:rsidRPr="00EE1E00" w:rsidRDefault="000E3611" w:rsidP="00CA032D">
            <w:pPr>
              <w:pStyle w:val="ECCParagraph"/>
              <w:spacing w:before="60" w:after="60"/>
              <w:jc w:val="center"/>
            </w:pPr>
            <w:r w:rsidRPr="00EE1E00">
              <w:t>4</w:t>
            </w:r>
          </w:p>
        </w:tc>
      </w:tr>
      <w:tr w:rsidR="00566CB2" w:rsidRPr="00EE1E00" w14:paraId="3F54A513" w14:textId="77777777" w:rsidTr="00CA032D">
        <w:trPr>
          <w:trHeight w:val="480"/>
        </w:trPr>
        <w:tc>
          <w:tcPr>
            <w:tcW w:w="1278" w:type="pct"/>
            <w:vMerge/>
            <w:tcBorders>
              <w:top w:val="single" w:sz="4" w:space="0" w:color="D2232A"/>
              <w:left w:val="single" w:sz="4" w:space="0" w:color="D2232A"/>
              <w:bottom w:val="single" w:sz="4" w:space="0" w:color="D2232A"/>
              <w:right w:val="single" w:sz="4" w:space="0" w:color="D2232A"/>
            </w:tcBorders>
          </w:tcPr>
          <w:p w14:paraId="19E0C6CC" w14:textId="77777777" w:rsidR="000E3611" w:rsidRPr="00EE1E00" w:rsidRDefault="000E3611" w:rsidP="00566CB2">
            <w:pPr>
              <w:pStyle w:val="ECCParagraph"/>
              <w:spacing w:before="60" w:after="60"/>
              <w:jc w:val="left"/>
            </w:pPr>
          </w:p>
        </w:tc>
        <w:tc>
          <w:tcPr>
            <w:tcW w:w="557" w:type="pct"/>
            <w:vMerge/>
            <w:tcBorders>
              <w:top w:val="single" w:sz="4" w:space="0" w:color="D2232A"/>
              <w:left w:val="single" w:sz="4" w:space="0" w:color="D2232A"/>
              <w:bottom w:val="single" w:sz="4" w:space="0" w:color="D2232A"/>
              <w:right w:val="single" w:sz="4" w:space="0" w:color="D2232A"/>
            </w:tcBorders>
            <w:vAlign w:val="center"/>
          </w:tcPr>
          <w:p w14:paraId="5F372D5D" w14:textId="77777777" w:rsidR="000E3611" w:rsidRPr="00EE1E00" w:rsidRDefault="000E3611" w:rsidP="00CA032D">
            <w:pPr>
              <w:pStyle w:val="ECCParagraph"/>
              <w:spacing w:before="60" w:after="60"/>
              <w:jc w:val="center"/>
            </w:pPr>
          </w:p>
        </w:tc>
        <w:tc>
          <w:tcPr>
            <w:tcW w:w="763" w:type="pct"/>
            <w:vMerge/>
            <w:tcBorders>
              <w:top w:val="single" w:sz="4" w:space="0" w:color="D2232A"/>
              <w:left w:val="single" w:sz="4" w:space="0" w:color="D2232A"/>
              <w:bottom w:val="single" w:sz="4" w:space="0" w:color="D2232A"/>
              <w:right w:val="single" w:sz="4" w:space="0" w:color="D2232A"/>
            </w:tcBorders>
            <w:vAlign w:val="center"/>
          </w:tcPr>
          <w:p w14:paraId="62D43DE5" w14:textId="77777777" w:rsidR="000E3611" w:rsidRPr="00EE1E00" w:rsidRDefault="000E3611" w:rsidP="00CA032D">
            <w:pPr>
              <w:pStyle w:val="ECCParagraph"/>
              <w:spacing w:before="60" w:after="60"/>
              <w:jc w:val="center"/>
            </w:pPr>
          </w:p>
        </w:tc>
        <w:tc>
          <w:tcPr>
            <w:tcW w:w="554" w:type="pct"/>
            <w:vMerge/>
            <w:tcBorders>
              <w:top w:val="single" w:sz="4" w:space="0" w:color="D2232A"/>
              <w:left w:val="single" w:sz="4" w:space="0" w:color="D2232A"/>
              <w:bottom w:val="single" w:sz="4" w:space="0" w:color="D2232A"/>
              <w:right w:val="single" w:sz="4" w:space="0" w:color="D2232A"/>
            </w:tcBorders>
            <w:vAlign w:val="center"/>
          </w:tcPr>
          <w:p w14:paraId="035776BA" w14:textId="77777777" w:rsidR="000E3611" w:rsidRPr="00EE1E00" w:rsidRDefault="000E3611" w:rsidP="00CA032D">
            <w:pPr>
              <w:pStyle w:val="ECCParagraph"/>
              <w:spacing w:before="60" w:after="60"/>
              <w:jc w:val="center"/>
            </w:pPr>
          </w:p>
        </w:tc>
        <w:tc>
          <w:tcPr>
            <w:tcW w:w="618" w:type="pct"/>
            <w:tcBorders>
              <w:top w:val="single" w:sz="4" w:space="0" w:color="D2232A"/>
              <w:left w:val="single" w:sz="4" w:space="0" w:color="D2232A"/>
              <w:bottom w:val="single" w:sz="4" w:space="0" w:color="D2232A"/>
              <w:right w:val="single" w:sz="4" w:space="0" w:color="D2232A"/>
            </w:tcBorders>
            <w:vAlign w:val="center"/>
          </w:tcPr>
          <w:p w14:paraId="4D726CB3" w14:textId="77777777" w:rsidR="000E3611" w:rsidRPr="00EE1E00" w:rsidRDefault="000E3611" w:rsidP="00CA032D">
            <w:pPr>
              <w:pStyle w:val="ECCParagraph"/>
              <w:spacing w:before="60" w:after="60"/>
              <w:jc w:val="center"/>
            </w:pPr>
            <w:r w:rsidRPr="00EE1E00">
              <w:t>4</w:t>
            </w:r>
          </w:p>
        </w:tc>
        <w:tc>
          <w:tcPr>
            <w:tcW w:w="812" w:type="pct"/>
            <w:tcBorders>
              <w:top w:val="single" w:sz="4" w:space="0" w:color="D2232A"/>
              <w:left w:val="single" w:sz="4" w:space="0" w:color="D2232A"/>
              <w:bottom w:val="single" w:sz="4" w:space="0" w:color="D2232A"/>
              <w:right w:val="single" w:sz="4" w:space="0" w:color="D2232A"/>
            </w:tcBorders>
            <w:vAlign w:val="center"/>
          </w:tcPr>
          <w:p w14:paraId="39C0F288" w14:textId="77777777" w:rsidR="000E3611" w:rsidRPr="00EE1E00" w:rsidRDefault="000E3611" w:rsidP="00CA032D">
            <w:pPr>
              <w:pStyle w:val="ECCParagraph"/>
              <w:spacing w:before="60" w:after="60"/>
              <w:jc w:val="center"/>
            </w:pPr>
            <w:r w:rsidRPr="00EE1E00">
              <w:t>6</w:t>
            </w:r>
          </w:p>
        </w:tc>
        <w:tc>
          <w:tcPr>
            <w:tcW w:w="417" w:type="pct"/>
            <w:tcBorders>
              <w:top w:val="single" w:sz="4" w:space="0" w:color="D2232A"/>
              <w:left w:val="single" w:sz="4" w:space="0" w:color="D2232A"/>
              <w:bottom w:val="single" w:sz="4" w:space="0" w:color="D2232A"/>
              <w:right w:val="single" w:sz="4" w:space="0" w:color="D2232A"/>
            </w:tcBorders>
            <w:vAlign w:val="center"/>
          </w:tcPr>
          <w:p w14:paraId="3A252DA3" w14:textId="77777777" w:rsidR="000E3611" w:rsidRPr="00EE1E00" w:rsidRDefault="002A657A" w:rsidP="00CA032D">
            <w:pPr>
              <w:pStyle w:val="ECCParagraph"/>
              <w:spacing w:before="60" w:after="60"/>
              <w:jc w:val="center"/>
            </w:pPr>
            <w:r w:rsidRPr="00EE1E00">
              <w:t>4</w:t>
            </w:r>
          </w:p>
        </w:tc>
      </w:tr>
      <w:tr w:rsidR="00566CB2" w:rsidRPr="00EE1E00" w14:paraId="75A8F9D9" w14:textId="77777777" w:rsidTr="00CA032D">
        <w:tc>
          <w:tcPr>
            <w:tcW w:w="1278" w:type="pct"/>
            <w:tcBorders>
              <w:top w:val="single" w:sz="4" w:space="0" w:color="D2232A"/>
              <w:left w:val="single" w:sz="4" w:space="0" w:color="D2232A"/>
              <w:bottom w:val="single" w:sz="4" w:space="0" w:color="D2232A"/>
              <w:right w:val="single" w:sz="4" w:space="0" w:color="D2232A"/>
            </w:tcBorders>
          </w:tcPr>
          <w:p w14:paraId="2D4DA218" w14:textId="77777777" w:rsidR="000E3611" w:rsidRPr="00EE1E00" w:rsidRDefault="000E3611" w:rsidP="00566CB2">
            <w:pPr>
              <w:pStyle w:val="ECCParagraph"/>
              <w:spacing w:before="60" w:after="60"/>
              <w:jc w:val="left"/>
            </w:pPr>
            <w:r w:rsidRPr="00EE1E00">
              <w:t>Time base (see note 3)</w:t>
            </w:r>
          </w:p>
        </w:tc>
        <w:tc>
          <w:tcPr>
            <w:tcW w:w="1875" w:type="pct"/>
            <w:gridSpan w:val="3"/>
            <w:tcBorders>
              <w:top w:val="single" w:sz="4" w:space="0" w:color="D2232A"/>
              <w:left w:val="single" w:sz="4" w:space="0" w:color="D2232A"/>
              <w:bottom w:val="single" w:sz="4" w:space="0" w:color="D2232A"/>
              <w:right w:val="single" w:sz="4" w:space="0" w:color="D2232A"/>
            </w:tcBorders>
            <w:vAlign w:val="center"/>
          </w:tcPr>
          <w:p w14:paraId="1650448B" w14:textId="197453D4" w:rsidR="000E3611" w:rsidRPr="00EE1E00" w:rsidRDefault="005648F7" w:rsidP="00CA032D">
            <w:pPr>
              <w:pStyle w:val="ECCParagraph"/>
              <w:spacing w:before="60" w:after="60"/>
              <w:jc w:val="center"/>
            </w:pPr>
            <w:r w:rsidRPr="00E020B0">
              <w:t xml:space="preserve">Start of </w:t>
            </w:r>
            <w:r w:rsidR="000E3611" w:rsidRPr="00E020B0">
              <w:t xml:space="preserve">UTC </w:t>
            </w:r>
            <w:r w:rsidRPr="00E020B0">
              <w:t>second</w:t>
            </w:r>
            <w:r w:rsidR="000E3611" w:rsidRPr="00E020B0">
              <w:t xml:space="preserve"> </w:t>
            </w:r>
            <w:r w:rsidR="009429C7" w:rsidRPr="00E020B0">
              <w:t>epoch</w:t>
            </w:r>
            <w:r w:rsidR="009429C7">
              <w:t xml:space="preserve"> </w:t>
            </w:r>
            <w:r w:rsidR="000E3611" w:rsidRPr="00EE1E00">
              <w:t>(see note 2) +/- 1.5 µs</w:t>
            </w:r>
          </w:p>
        </w:tc>
        <w:tc>
          <w:tcPr>
            <w:tcW w:w="1847" w:type="pct"/>
            <w:gridSpan w:val="3"/>
            <w:tcBorders>
              <w:top w:val="single" w:sz="4" w:space="0" w:color="D2232A"/>
              <w:left w:val="single" w:sz="4" w:space="0" w:color="D2232A"/>
              <w:bottom w:val="single" w:sz="4" w:space="0" w:color="D2232A"/>
              <w:right w:val="single" w:sz="4" w:space="0" w:color="D2232A"/>
            </w:tcBorders>
            <w:vAlign w:val="center"/>
          </w:tcPr>
          <w:p w14:paraId="20624976" w14:textId="1EC0B2D3" w:rsidR="000E3611" w:rsidRPr="00EE1E00" w:rsidRDefault="005648F7" w:rsidP="00CA032D">
            <w:pPr>
              <w:pStyle w:val="ECCParagraph"/>
              <w:spacing w:before="60" w:after="60"/>
              <w:jc w:val="center"/>
            </w:pPr>
            <w:r w:rsidRPr="00E020B0">
              <w:t xml:space="preserve">Start of </w:t>
            </w:r>
            <w:r w:rsidR="000E3611" w:rsidRPr="00E020B0">
              <w:t xml:space="preserve">UTC </w:t>
            </w:r>
            <w:r w:rsidRPr="00E020B0">
              <w:t xml:space="preserve">second </w:t>
            </w:r>
            <w:r w:rsidR="009429C7" w:rsidRPr="00E020B0">
              <w:t xml:space="preserve">epoch </w:t>
            </w:r>
            <w:r w:rsidR="000E3611" w:rsidRPr="00E020B0">
              <w:t>(see note 2) +/- 1.5 µs</w:t>
            </w:r>
          </w:p>
        </w:tc>
      </w:tr>
      <w:tr w:rsidR="00D6088C" w:rsidRPr="00EE1E00" w14:paraId="0B94D497" w14:textId="77777777" w:rsidTr="00B21F24">
        <w:tc>
          <w:tcPr>
            <w:tcW w:w="5000" w:type="pct"/>
            <w:gridSpan w:val="7"/>
            <w:tcBorders>
              <w:top w:val="single" w:sz="4" w:space="0" w:color="D2232A"/>
              <w:left w:val="single" w:sz="4" w:space="0" w:color="D2232A"/>
              <w:bottom w:val="single" w:sz="4" w:space="0" w:color="D2232A"/>
              <w:right w:val="single" w:sz="4" w:space="0" w:color="D2232A"/>
            </w:tcBorders>
          </w:tcPr>
          <w:p w14:paraId="61B90E72" w14:textId="3859FB94" w:rsidR="00D6088C" w:rsidRPr="00EE1E00" w:rsidRDefault="00D6088C" w:rsidP="0006662D">
            <w:pPr>
              <w:pStyle w:val="ECCTablenote"/>
              <w:rPr>
                <w:highlight w:val="green"/>
              </w:rPr>
            </w:pPr>
            <w:r w:rsidRPr="00EE1E00">
              <w:t xml:space="preserve">Note 1: D </w:t>
            </w:r>
            <w:r w:rsidRPr="00E020B0">
              <w:t xml:space="preserve">= </w:t>
            </w:r>
            <w:r w:rsidR="009429C7" w:rsidRPr="00E020B0">
              <w:t>D</w:t>
            </w:r>
            <w:r w:rsidRPr="00E020B0">
              <w:t xml:space="preserve">ownlink slot; S = </w:t>
            </w:r>
            <w:r w:rsidR="009429C7" w:rsidRPr="00E020B0">
              <w:t>S</w:t>
            </w:r>
            <w:r w:rsidRPr="00E020B0">
              <w:t>pecial</w:t>
            </w:r>
            <w:r w:rsidRPr="00EE1E00">
              <w:t xml:space="preserve"> slot; U = Uplink slot </w:t>
            </w:r>
          </w:p>
          <w:p w14:paraId="136C2241" w14:textId="494E10C7" w:rsidR="00D6088C" w:rsidRPr="00EE1E00" w:rsidRDefault="00D6088C" w:rsidP="0006662D">
            <w:pPr>
              <w:pStyle w:val="ECCTablenote"/>
            </w:pPr>
            <w:r w:rsidRPr="00EE1E00">
              <w:t xml:space="preserve">Note 2: UTC = Coordinated Universal Time in accordance with Recommendation ITU-R TF.460 </w:t>
            </w:r>
            <w:r w:rsidR="00CA032D">
              <w:fldChar w:fldCharType="begin"/>
            </w:r>
            <w:r w:rsidR="00CA032D">
              <w:instrText xml:space="preserve"> REF _Ref52788162 \r \h </w:instrText>
            </w:r>
            <w:r w:rsidR="0006662D">
              <w:instrText xml:space="preserve"> \* MERGEFORMAT </w:instrText>
            </w:r>
            <w:r w:rsidR="00CA032D">
              <w:fldChar w:fldCharType="separate"/>
            </w:r>
            <w:r w:rsidR="00CA032D">
              <w:t>[5]</w:t>
            </w:r>
            <w:r w:rsidR="00CA032D">
              <w:fldChar w:fldCharType="end"/>
            </w:r>
            <w:r w:rsidRPr="00566CB2">
              <w:t>.</w:t>
            </w:r>
            <w:r w:rsidRPr="00EE1E00">
              <w:t xml:space="preserve"> The typical measuring signal is 1 pps (pulse-per-second) signal from the clock device with the rising-edge materializing the exact second epoch.</w:t>
            </w:r>
          </w:p>
          <w:p w14:paraId="366ACE3D" w14:textId="425653DF" w:rsidR="00D6088C" w:rsidRPr="00EE1E00" w:rsidRDefault="00D6088C" w:rsidP="0006662D">
            <w:pPr>
              <w:pStyle w:val="ECCTablenote"/>
            </w:pPr>
            <w:r w:rsidRPr="00EE1E00">
              <w:t>Note 3: The start of frame (defined as the beginning of the first slot in the UL/DL pattern of the Table 1) has to be phase-synchronised with the time base.</w:t>
            </w:r>
            <w:r w:rsidR="005648F7" w:rsidRPr="00B8401F">
              <w:t xml:space="preserve"> </w:t>
            </w:r>
            <w:r w:rsidR="00CA032D">
              <w:t>T</w:t>
            </w:r>
            <w:r w:rsidR="005648F7" w:rsidRPr="00E020B0">
              <w:t xml:space="preserve">he start of the radio frame on the output shall be synchronous with the input time reference, i.e., when an UTC traceable reference is required, the start of the radio frame shall be aligned with the start time of the </w:t>
            </w:r>
            <w:r w:rsidR="005648F7" w:rsidRPr="00E020B0">
              <w:rPr>
                <w:iCs/>
              </w:rPr>
              <w:t xml:space="preserve">UTC </w:t>
            </w:r>
            <w:r w:rsidR="005648F7" w:rsidRPr="00E020B0">
              <w:t>second</w:t>
            </w:r>
            <w:r w:rsidR="009429C7" w:rsidRPr="00E020B0">
              <w:t xml:space="preserve"> epoch</w:t>
            </w:r>
            <w:r w:rsidR="005648F7" w:rsidRPr="00E020B0">
              <w:t xml:space="preserve">. A configurable </w:t>
            </w:r>
            <w:r w:rsidR="009429C7" w:rsidRPr="00E020B0">
              <w:t>time</w:t>
            </w:r>
            <w:r w:rsidR="005648F7" w:rsidRPr="00E020B0">
              <w:t xml:space="preserve">-offset of start frame shall be supported by all </w:t>
            </w:r>
            <w:r w:rsidR="009429C7" w:rsidRPr="00E020B0">
              <w:t>base stations</w:t>
            </w:r>
            <w:r w:rsidR="005648F7" w:rsidRPr="00E020B0">
              <w:t xml:space="preserve"> in synchronized TDD-unicast areas in order to achieve interoperability in coexistence scenarios.</w:t>
            </w:r>
          </w:p>
          <w:p w14:paraId="3A76BD99" w14:textId="77777777" w:rsidR="00D6088C" w:rsidRPr="00EE1E00" w:rsidRDefault="00D6088C" w:rsidP="0006662D">
            <w:pPr>
              <w:pStyle w:val="ECCTablenote"/>
            </w:pPr>
            <w:r w:rsidRPr="00EE1E00">
              <w:t xml:space="preserve">Note 4: In terms of DL/UL slot pattern DDDSUUDDDD </w:t>
            </w:r>
            <w:r w:rsidRPr="00EE1E00">
              <w:rPr>
                <w:rFonts w:cs="Arial"/>
              </w:rPr>
              <w:t>half-frame B</w:t>
            </w:r>
            <w:r w:rsidRPr="00EE1E00">
              <w:t xml:space="preserve"> is equivalent to the DDDDDDDSUU </w:t>
            </w:r>
            <w:r w:rsidRPr="00EE1E00">
              <w:rPr>
                <w:rFonts w:cs="Arial"/>
              </w:rPr>
              <w:t xml:space="preserve">half-frame </w:t>
            </w:r>
            <w:r w:rsidRPr="00EE1E00">
              <w:t xml:space="preserve">when a -2 ms or +3 ms time offset is applied. This means that, instead of frame B, operators may choose to implement </w:t>
            </w:r>
            <w:r w:rsidRPr="00EE1E00">
              <w:rPr>
                <w:rFonts w:cs="Arial"/>
              </w:rPr>
              <w:t>two consecutive DDDDDDDSUU half-frames</w:t>
            </w:r>
            <w:r w:rsidRPr="00EE1E00">
              <w:t xml:space="preserve"> with proper time offset. </w:t>
            </w:r>
          </w:p>
          <w:p w14:paraId="68B890B8" w14:textId="32C3BC41" w:rsidR="00D6088C" w:rsidRPr="00EE1E00" w:rsidRDefault="00D6088C" w:rsidP="0006662D">
            <w:pPr>
              <w:pStyle w:val="ECCTablenote"/>
            </w:pPr>
            <w:r w:rsidRPr="00EE1E00">
              <w:t xml:space="preserve">Note 5: </w:t>
            </w:r>
            <w:r w:rsidRPr="00EE1E00">
              <w:rPr>
                <w:rStyle w:val="author-a-z83zuyz73zvimm6z74zz80zcz73zz72zz73zb"/>
              </w:rPr>
              <w:t>As mentioned in considering (h), different guard period sizes can still be implemen</w:t>
            </w:r>
            <w:r w:rsidRPr="00EE1E00">
              <w:rPr>
                <w:rStyle w:val="author-a-uxz69zz81z6z90zz74zfxfu730ox"/>
              </w:rPr>
              <w:t>t</w:t>
            </w:r>
            <w:r w:rsidRPr="00EE1E00">
              <w:rPr>
                <w:rStyle w:val="author-a-z83zuyz73zvimm6z74zz80zcz73zz72zz73zb"/>
              </w:rPr>
              <w:t>ed while retaining synchronised operation. It</w:t>
            </w:r>
            <w:r w:rsidRPr="00EE1E00">
              <w:t xml:space="preserve"> should be noted that the size of the guard period defines a </w:t>
            </w:r>
            <w:r w:rsidRPr="00E020B0">
              <w:t xml:space="preserve">corresponding </w:t>
            </w:r>
            <w:r w:rsidR="00643865" w:rsidRPr="00E020B0">
              <w:t>geographical</w:t>
            </w:r>
            <w:r w:rsidRPr="00E020B0">
              <w:t xml:space="preserve"> area</w:t>
            </w:r>
            <w:r w:rsidRPr="00EE1E00">
              <w:t xml:space="preserve"> where synchronised operation is effective. Increasing this guard period also increases the size of the synchronised area at the expense of some capacity </w:t>
            </w:r>
            <w:r w:rsidR="003159FF" w:rsidRPr="00EE1E00">
              <w:t>loss and</w:t>
            </w:r>
            <w:r w:rsidRPr="00EE1E00">
              <w:t xml:space="preserve"> may contribute to solve some specific interference issues between far-away sites in line-of</w:t>
            </w:r>
            <w:r w:rsidRPr="00EE1E00">
              <w:rPr>
                <w:rStyle w:val="author-a-z83zuyz73zvimm6z74zz80zcz73zz72zz73zb"/>
              </w:rPr>
              <w:t>-sight with exceptional propagation conditions.</w:t>
            </w:r>
          </w:p>
        </w:tc>
      </w:tr>
    </w:tbl>
    <w:p w14:paraId="6E85ECB2" w14:textId="77777777" w:rsidR="00110CEE" w:rsidRPr="00EE1E00" w:rsidRDefault="00110CEE" w:rsidP="00F205D2">
      <w:pPr>
        <w:pStyle w:val="ECCParagraph"/>
        <w:rPr>
          <w:highlight w:val="green"/>
        </w:rPr>
      </w:pPr>
    </w:p>
    <w:p w14:paraId="54F24CA6" w14:textId="57C61F0C" w:rsidR="00664C9C" w:rsidRPr="00EE1E00" w:rsidRDefault="00664C9C" w:rsidP="00566CB2">
      <w:pPr>
        <w:pStyle w:val="ECCAnnex-heading1"/>
      </w:pPr>
      <w:r w:rsidRPr="00EE1E00">
        <w:lastRenderedPageBreak/>
        <w:t>LIST OF REFERENCES</w:t>
      </w:r>
    </w:p>
    <w:p w14:paraId="5C0420DC" w14:textId="77777777" w:rsidR="00664C9C" w:rsidRPr="00EE1E00" w:rsidRDefault="00664C9C" w:rsidP="00664C9C">
      <w:pPr>
        <w:pStyle w:val="ECCParagraph"/>
      </w:pPr>
      <w:r w:rsidRPr="00EE1E00">
        <w:t>This annex contains the list of relevant reference documents.</w:t>
      </w:r>
    </w:p>
    <w:p w14:paraId="256D78CE" w14:textId="7EBDEBAE" w:rsidR="00664C9C" w:rsidRPr="008A023E" w:rsidRDefault="00664C9C" w:rsidP="00AC769B">
      <w:pPr>
        <w:pStyle w:val="reference"/>
        <w:spacing w:after="60"/>
        <w:rPr>
          <w:lang w:val="en-GB"/>
        </w:rPr>
      </w:pPr>
      <w:bookmarkStart w:id="7" w:name="_Ref43282099"/>
      <w:r w:rsidRPr="00EE1E00">
        <w:rPr>
          <w:lang w:val="en-GB"/>
        </w:rPr>
        <w:t>ECC</w:t>
      </w:r>
      <w:r w:rsidR="00091054" w:rsidRPr="00EE1E00">
        <w:rPr>
          <w:lang w:val="en-GB"/>
        </w:rPr>
        <w:t xml:space="preserve"> </w:t>
      </w:r>
      <w:r w:rsidRPr="00EE1E00">
        <w:rPr>
          <w:lang w:val="en-GB"/>
        </w:rPr>
        <w:t>D</w:t>
      </w:r>
      <w:r w:rsidR="00091054" w:rsidRPr="00EE1E00">
        <w:rPr>
          <w:lang w:val="en-GB"/>
        </w:rPr>
        <w:t>ecision</w:t>
      </w:r>
      <w:r w:rsidR="00B861ED" w:rsidRPr="00EE1E00">
        <w:rPr>
          <w:lang w:val="en-GB"/>
        </w:rPr>
        <w:t xml:space="preserve"> </w:t>
      </w:r>
      <w:r w:rsidRPr="00EE1E00">
        <w:rPr>
          <w:lang w:val="en-GB"/>
        </w:rPr>
        <w:t>(11)06</w:t>
      </w:r>
      <w:r w:rsidR="00091054" w:rsidRPr="00EE1E00">
        <w:rPr>
          <w:lang w:val="en-GB"/>
        </w:rPr>
        <w:t>: “</w:t>
      </w:r>
      <w:r w:rsidR="00170870" w:rsidRPr="00EE1E00">
        <w:rPr>
          <w:lang w:val="en-GB"/>
        </w:rPr>
        <w:t>Harmonised technical and regulatory conditions for the use of the bands 3400-3600 MHz and 3600-3800 MHz for MFCN</w:t>
      </w:r>
      <w:r w:rsidR="00091054" w:rsidRPr="00EE1E00">
        <w:rPr>
          <w:lang w:val="en-GB"/>
        </w:rPr>
        <w:t>”</w:t>
      </w:r>
      <w:bookmarkEnd w:id="7"/>
      <w:r w:rsidR="003159FF" w:rsidRPr="00EE1E00">
        <w:rPr>
          <w:lang w:val="en-GB"/>
        </w:rPr>
        <w:t xml:space="preserve">, approved December 2011, latest amended October 2018 </w:t>
      </w:r>
    </w:p>
    <w:p w14:paraId="73C04B5A" w14:textId="5C158DF2" w:rsidR="00664C9C" w:rsidRPr="008A023E" w:rsidRDefault="00664C9C" w:rsidP="00AC769B">
      <w:pPr>
        <w:pStyle w:val="reference"/>
        <w:spacing w:after="60"/>
        <w:rPr>
          <w:lang w:val="en-GB"/>
        </w:rPr>
      </w:pPr>
      <w:bookmarkStart w:id="8" w:name="_Ref43282033"/>
      <w:r w:rsidRPr="00EE1E00">
        <w:rPr>
          <w:lang w:val="en-GB"/>
        </w:rPr>
        <w:t>ECC Report 296</w:t>
      </w:r>
      <w:r w:rsidR="00091054" w:rsidRPr="00EE1E00">
        <w:rPr>
          <w:lang w:val="en-GB"/>
        </w:rPr>
        <w:t>: “</w:t>
      </w:r>
      <w:r w:rsidR="00170870" w:rsidRPr="00EE1E00">
        <w:rPr>
          <w:lang w:val="en-GB"/>
        </w:rPr>
        <w:t>National synchronisation regulatory framework options in 3400-3800 MHz: a toolbox for coexistence of MFCNs in synchronised, unsynchronised and semi-synchronised operation in 3400-3800 MHz</w:t>
      </w:r>
      <w:r w:rsidR="00091054" w:rsidRPr="00EE1E00">
        <w:rPr>
          <w:lang w:val="en-GB"/>
        </w:rPr>
        <w:t>”</w:t>
      </w:r>
      <w:bookmarkEnd w:id="8"/>
      <w:r w:rsidR="003159FF" w:rsidRPr="00EE1E00">
        <w:rPr>
          <w:lang w:val="en-GB"/>
        </w:rPr>
        <w:t>, approved March 2019</w:t>
      </w:r>
    </w:p>
    <w:p w14:paraId="3317B7B4" w14:textId="69F1E907" w:rsidR="00322074" w:rsidRPr="008A023E" w:rsidRDefault="00322074" w:rsidP="00AC769B">
      <w:pPr>
        <w:pStyle w:val="reference"/>
        <w:spacing w:after="60"/>
        <w:rPr>
          <w:lang w:val="en-GB"/>
        </w:rPr>
      </w:pPr>
      <w:bookmarkStart w:id="9" w:name="_Ref43282023"/>
      <w:bookmarkStart w:id="10" w:name="_Ref43282118"/>
      <w:r w:rsidRPr="00EE1E00">
        <w:rPr>
          <w:lang w:val="en-GB"/>
        </w:rPr>
        <w:t>ECC</w:t>
      </w:r>
      <w:r w:rsidR="00091054" w:rsidRPr="00EE1E00">
        <w:rPr>
          <w:lang w:val="en-GB"/>
        </w:rPr>
        <w:t xml:space="preserve"> </w:t>
      </w:r>
      <w:r w:rsidRPr="00EE1E00">
        <w:rPr>
          <w:lang w:val="en-GB"/>
        </w:rPr>
        <w:t>R</w:t>
      </w:r>
      <w:r w:rsidR="00091054" w:rsidRPr="00EE1E00">
        <w:rPr>
          <w:lang w:val="en-GB"/>
        </w:rPr>
        <w:t xml:space="preserve">ecommendation </w:t>
      </w:r>
      <w:r w:rsidRPr="00EE1E00">
        <w:rPr>
          <w:lang w:val="en-GB"/>
        </w:rPr>
        <w:t>(15)01</w:t>
      </w:r>
      <w:r w:rsidR="00091054" w:rsidRPr="00EE1E00">
        <w:rPr>
          <w:lang w:val="en-GB"/>
        </w:rPr>
        <w:t>: “</w:t>
      </w:r>
      <w:r w:rsidRPr="00EE1E00">
        <w:rPr>
          <w:lang w:val="en-GB"/>
        </w:rPr>
        <w:t>Cross-border coordination for Mobile/Fixed Communications Networks (MFCN) in the frequency bands: 694-790 MHz, 1427-1518 MHz and 3400-3800 MHz</w:t>
      </w:r>
      <w:r w:rsidR="00091054" w:rsidRPr="00EE1E00">
        <w:rPr>
          <w:lang w:val="en-GB"/>
        </w:rPr>
        <w:t>”</w:t>
      </w:r>
      <w:bookmarkEnd w:id="9"/>
      <w:bookmarkEnd w:id="10"/>
      <w:r w:rsidR="003159FF" w:rsidRPr="00EE1E00">
        <w:rPr>
          <w:lang w:val="en-GB"/>
        </w:rPr>
        <w:t>, approved February 2016, latest amended February 2020</w:t>
      </w:r>
    </w:p>
    <w:p w14:paraId="0B9D19D5" w14:textId="16F0C2CE" w:rsidR="00792F10" w:rsidRPr="00B21F24" w:rsidRDefault="00792F10" w:rsidP="00AC769B">
      <w:pPr>
        <w:pStyle w:val="reference"/>
        <w:spacing w:after="60"/>
      </w:pPr>
      <w:bookmarkStart w:id="11" w:name="_Ref43282173"/>
      <w:r w:rsidRPr="00EE1E00">
        <w:rPr>
          <w:lang w:val="en-GB"/>
        </w:rPr>
        <w:t>ECC Report 216</w:t>
      </w:r>
      <w:bookmarkStart w:id="12" w:name="_Ref48828956"/>
      <w:bookmarkEnd w:id="11"/>
      <w:r w:rsidR="003159FF" w:rsidRPr="004F01EA">
        <w:rPr>
          <w:lang w:val="en-GB"/>
        </w:rPr>
        <w:t>: “Practical guidance for TDD networks synchronisation”, approved August 2014</w:t>
      </w:r>
      <w:bookmarkEnd w:id="12"/>
    </w:p>
    <w:p w14:paraId="59EB9ECF" w14:textId="77777777" w:rsidR="003267BB" w:rsidRPr="00EE1E00" w:rsidRDefault="003267BB" w:rsidP="00AC769B">
      <w:pPr>
        <w:pStyle w:val="reference"/>
        <w:spacing w:after="60"/>
        <w:rPr>
          <w:lang w:val="en-GB"/>
        </w:rPr>
      </w:pPr>
      <w:bookmarkStart w:id="13" w:name="_Ref52788162"/>
      <w:r w:rsidRPr="00EE1E00">
        <w:rPr>
          <w:lang w:val="en-GB"/>
        </w:rPr>
        <w:t>Recommendation ITU-R TF.460: “Standard-frequency and time-signal emissions”</w:t>
      </w:r>
      <w:bookmarkEnd w:id="13"/>
    </w:p>
    <w:p w14:paraId="2D6E1A66" w14:textId="3A0312A3" w:rsidR="004F01EA" w:rsidRPr="00775BBE" w:rsidRDefault="004F01EA" w:rsidP="00B34E06">
      <w:pPr>
        <w:pStyle w:val="ECCParagraph"/>
      </w:pPr>
    </w:p>
    <w:sectPr w:rsidR="004F01EA" w:rsidRPr="00775BBE" w:rsidSect="00C74BE6">
      <w:headerReference w:type="even" r:id="rId18"/>
      <w:headerReference w:type="default" r:id="rId19"/>
      <w:headerReference w:type="first" r:id="rId20"/>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F5E3B" w14:textId="77777777" w:rsidR="002C0941" w:rsidRDefault="002C0941" w:rsidP="00C74BE6">
      <w:r>
        <w:separator/>
      </w:r>
    </w:p>
  </w:endnote>
  <w:endnote w:type="continuationSeparator" w:id="0">
    <w:p w14:paraId="234DC967" w14:textId="77777777" w:rsidR="002C0941" w:rsidRDefault="002C0941" w:rsidP="00C74BE6">
      <w:r>
        <w:continuationSeparator/>
      </w:r>
    </w:p>
  </w:endnote>
  <w:endnote w:type="continuationNotice" w:id="1">
    <w:p w14:paraId="3DD44EE6" w14:textId="77777777" w:rsidR="002C0941" w:rsidRDefault="002C0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auto"/>
    <w:pitch w:val="default"/>
    <w:sig w:usb0="00000003" w:usb1="00000000" w:usb2="00000000" w:usb3="00000000" w:csb0="00000001" w:csb1="00000000"/>
  </w:font>
  <w:font w:name="Arial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23409" w14:textId="300E8665" w:rsidR="00EC2097" w:rsidRPr="0006662D" w:rsidRDefault="00EC2097">
    <w:pPr>
      <w:pStyle w:val="Footer"/>
      <w:rPr>
        <w:lang w:val="en-GB"/>
      </w:rPr>
    </w:pPr>
    <w:r w:rsidRPr="0006662D">
      <w:rPr>
        <w:sz w:val="18"/>
        <w:szCs w:val="18"/>
        <w:lang w:val="en-GB"/>
      </w:rPr>
      <w:t>Edition</w:t>
    </w:r>
    <w:r w:rsidR="0006662D" w:rsidRPr="0006662D">
      <w:rPr>
        <w:sz w:val="18"/>
        <w:szCs w:val="18"/>
        <w:lang w:val="en-GB"/>
      </w:rPr>
      <w:t xml:space="preserve"> 23 October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E6D62" w14:textId="3ECF9AEC" w:rsidR="00EC2097" w:rsidRPr="0006662D" w:rsidRDefault="00EC2097">
    <w:pPr>
      <w:pStyle w:val="Footer"/>
      <w:rPr>
        <w:lang w:val="en-GB"/>
      </w:rPr>
    </w:pPr>
    <w:r w:rsidRPr="00822AE0">
      <w:rPr>
        <w:sz w:val="18"/>
        <w:szCs w:val="18"/>
        <w:lang w:val="da-DK"/>
      </w:rPr>
      <w:t>Edition</w:t>
    </w:r>
    <w:r w:rsidR="0006662D">
      <w:rPr>
        <w:sz w:val="18"/>
        <w:szCs w:val="18"/>
        <w:lang w:val="da-DK"/>
      </w:rPr>
      <w:t xml:space="preserve"> </w:t>
    </w:r>
    <w:r w:rsidR="0006662D" w:rsidRPr="0006662D">
      <w:rPr>
        <w:sz w:val="18"/>
        <w:szCs w:val="18"/>
        <w:lang w:val="en-GB"/>
      </w:rPr>
      <w:t>23 October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9122A" w14:textId="765D3BF9" w:rsidR="00EC2097" w:rsidRPr="00822AE0" w:rsidRDefault="00EC2097">
    <w:pPr>
      <w:pStyle w:val="Footer"/>
      <w:rPr>
        <w:sz w:val="18"/>
        <w:szCs w:val="18"/>
        <w:lang w:val="da-DK"/>
      </w:rPr>
    </w:pPr>
    <w:r w:rsidRPr="00822AE0">
      <w:rPr>
        <w:sz w:val="18"/>
        <w:szCs w:val="18"/>
        <w:lang w:val="da-DK"/>
      </w:rPr>
      <w:t>Edition</w:t>
    </w:r>
    <w:r w:rsidR="0006662D">
      <w:rPr>
        <w:sz w:val="18"/>
        <w:szCs w:val="18"/>
        <w:lang w:val="da-DK"/>
      </w:rPr>
      <w:t xml:space="preserve"> </w:t>
    </w:r>
    <w:r w:rsidR="0006662D" w:rsidRPr="0006662D">
      <w:rPr>
        <w:sz w:val="18"/>
        <w:szCs w:val="18"/>
        <w:lang w:val="en-GB"/>
      </w:rPr>
      <w:t>23 October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27D3B" w14:textId="77777777" w:rsidR="002C0941" w:rsidRDefault="002C0941" w:rsidP="00C74BE6">
      <w:r>
        <w:separator/>
      </w:r>
    </w:p>
  </w:footnote>
  <w:footnote w:type="continuationSeparator" w:id="0">
    <w:p w14:paraId="69BC0791" w14:textId="77777777" w:rsidR="002C0941" w:rsidRDefault="002C0941" w:rsidP="00C74BE6">
      <w:r>
        <w:continuationSeparator/>
      </w:r>
    </w:p>
  </w:footnote>
  <w:footnote w:type="continuationNotice" w:id="1">
    <w:p w14:paraId="2985C4D5" w14:textId="77777777" w:rsidR="002C0941" w:rsidRDefault="002C0941"/>
  </w:footnote>
  <w:footnote w:id="2">
    <w:p w14:paraId="6A8BD9AC" w14:textId="63DF342B" w:rsidR="00E1631A" w:rsidRPr="00B34E06" w:rsidRDefault="00E1631A">
      <w:pPr>
        <w:pStyle w:val="FootnoteText"/>
        <w:rPr>
          <w:sz w:val="16"/>
          <w:szCs w:val="16"/>
          <w:lang w:val="en-GB"/>
        </w:rPr>
      </w:pPr>
      <w:r w:rsidRPr="005B4BB1">
        <w:rPr>
          <w:rStyle w:val="FootnoteReference"/>
        </w:rPr>
        <w:footnoteRef/>
      </w:r>
      <w:r w:rsidR="00B34E06">
        <w:rPr>
          <w:sz w:val="16"/>
        </w:rPr>
        <w:t xml:space="preserve"> </w:t>
      </w:r>
      <w:r w:rsidRPr="00B34E06">
        <w:rPr>
          <w:sz w:val="16"/>
          <w:szCs w:val="16"/>
          <w:lang w:val="en-GB"/>
        </w:rPr>
        <w:t>A list of mitigation techniques is provided in ECC Recommendation (15) 01 such as antenna tilting, restricted beamforming, downlink power reduction, minimum inter-cell interference scheduling, preferential frequency use</w:t>
      </w:r>
    </w:p>
  </w:footnote>
  <w:footnote w:id="3">
    <w:p w14:paraId="037350DA" w14:textId="738A2AEA" w:rsidR="00823596" w:rsidRPr="00B34E06" w:rsidRDefault="00823596">
      <w:pPr>
        <w:pStyle w:val="FootnoteText"/>
        <w:rPr>
          <w:sz w:val="16"/>
          <w:szCs w:val="16"/>
          <w:lang w:val="en-GB"/>
        </w:rPr>
      </w:pPr>
      <w:r w:rsidRPr="007F036B">
        <w:rPr>
          <w:rStyle w:val="FootnoteReference"/>
        </w:rPr>
        <w:footnoteRef/>
      </w:r>
      <w:r w:rsidRPr="007F036B">
        <w:t xml:space="preserve"> </w:t>
      </w:r>
      <w:r w:rsidRPr="00B34E06">
        <w:rPr>
          <w:sz w:val="16"/>
          <w:szCs w:val="16"/>
          <w:lang w:val="en-GB"/>
        </w:rPr>
        <w:t>In terms of DL/UL pattern frame B</w:t>
      </w:r>
      <w:r w:rsidR="009E2CC5" w:rsidRPr="00B34E06">
        <w:rPr>
          <w:sz w:val="16"/>
          <w:szCs w:val="16"/>
          <w:lang w:val="en-GB"/>
        </w:rPr>
        <w:t xml:space="preserve"> (DDDSUUDDDD)</w:t>
      </w:r>
      <w:r w:rsidRPr="00B34E06">
        <w:rPr>
          <w:sz w:val="16"/>
          <w:szCs w:val="16"/>
          <w:lang w:val="en-GB"/>
        </w:rPr>
        <w:t xml:space="preserve"> is equivalent to the frame DDDDDDDSUU</w:t>
      </w:r>
      <w:r w:rsidR="009E2CC5" w:rsidRPr="00B34E06">
        <w:rPr>
          <w:sz w:val="16"/>
          <w:szCs w:val="16"/>
          <w:lang w:val="en-GB"/>
        </w:rPr>
        <w:t xml:space="preserve"> with -2ms/+3ms time offset, which </w:t>
      </w:r>
      <w:r w:rsidR="00F03CB7" w:rsidRPr="00B34E06">
        <w:rPr>
          <w:sz w:val="16"/>
          <w:szCs w:val="16"/>
          <w:lang w:val="en-GB"/>
        </w:rPr>
        <w:t>in turn</w:t>
      </w:r>
      <w:r w:rsidR="009E2CC5" w:rsidRPr="00B34E06">
        <w:rPr>
          <w:sz w:val="16"/>
          <w:szCs w:val="16"/>
          <w:lang w:val="en-GB"/>
        </w:rPr>
        <w:t xml:space="preserve"> is compatible with LTE frame structure configuration n</w:t>
      </w:r>
      <w:r w:rsidR="00B30B5F" w:rsidRPr="00B34E06">
        <w:rPr>
          <w:sz w:val="16"/>
          <w:szCs w:val="16"/>
          <w:lang w:val="en-GB"/>
        </w:rPr>
        <w:t xml:space="preserve">o. </w:t>
      </w:r>
      <w:r w:rsidR="009E2CC5" w:rsidRPr="00B34E06">
        <w:rPr>
          <w:sz w:val="16"/>
          <w:szCs w:val="16"/>
          <w:lang w:val="en-GB"/>
        </w:rPr>
        <w:t>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60DE0" w14:textId="5D3AFF3E" w:rsidR="00EC2097" w:rsidRPr="007C5F95" w:rsidRDefault="00EC2097">
    <w:pPr>
      <w:pStyle w:val="Header"/>
      <w:rPr>
        <w:b w:val="0"/>
        <w:lang w:val="da-DK"/>
      </w:rPr>
    </w:pPr>
    <w:r w:rsidRPr="007C5F95">
      <w:rPr>
        <w:b w:val="0"/>
        <w:lang w:val="da-DK"/>
      </w:rPr>
      <w:t>Draft ECC REPORT XXX</w:t>
    </w:r>
  </w:p>
  <w:p w14:paraId="583F30BA" w14:textId="77777777" w:rsidR="00EC2097" w:rsidRPr="007C5F95" w:rsidRDefault="00EC2097">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2</w:t>
    </w:r>
    <w:r>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26A8A" w14:textId="3B5EE4BC" w:rsidR="00EC2097" w:rsidRPr="007C5F95" w:rsidRDefault="00EC2097" w:rsidP="00C74BE6">
    <w:pPr>
      <w:pStyle w:val="Header"/>
      <w:jc w:val="right"/>
      <w:rPr>
        <w:b w:val="0"/>
        <w:lang w:val="da-DK"/>
      </w:rPr>
    </w:pPr>
    <w:r w:rsidRPr="007C5F95">
      <w:rPr>
        <w:b w:val="0"/>
        <w:lang w:val="da-DK"/>
      </w:rPr>
      <w:t>Draft ECC REPORT XXX</w:t>
    </w:r>
  </w:p>
  <w:p w14:paraId="545E0E51" w14:textId="77777777" w:rsidR="00EC2097" w:rsidRPr="007C5F95" w:rsidRDefault="00EC2097" w:rsidP="00C74BE6">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3</w:t>
    </w:r>
    <w:r>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CDA85" w14:textId="420F3A43" w:rsidR="00EC2097" w:rsidRDefault="00EC2097">
    <w:pPr>
      <w:pStyle w:val="Header"/>
    </w:pPr>
    <w:r>
      <w:rPr>
        <w:noProof/>
        <w:szCs w:val="20"/>
        <w:lang w:val="fr-FR" w:eastAsia="fr-FR"/>
      </w:rPr>
      <w:drawing>
        <wp:anchor distT="0" distB="0" distL="114300" distR="114300" simplePos="0" relativeHeight="251657728" behindDoc="0" locked="0" layoutInCell="1" allowOverlap="1" wp14:anchorId="3A5AB88D" wp14:editId="4566BE28">
          <wp:simplePos x="0" y="0"/>
          <wp:positionH relativeFrom="page">
            <wp:posOffset>5717540</wp:posOffset>
          </wp:positionH>
          <wp:positionV relativeFrom="page">
            <wp:posOffset>648335</wp:posOffset>
          </wp:positionV>
          <wp:extent cx="1461770" cy="546100"/>
          <wp:effectExtent l="25400" t="0" r="11430" b="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fr-FR" w:eastAsia="fr-FR"/>
      </w:rPr>
      <w:drawing>
        <wp:anchor distT="0" distB="0" distL="114300" distR="114300" simplePos="0" relativeHeight="251655680" behindDoc="0" locked="0" layoutInCell="1" allowOverlap="1" wp14:anchorId="1199E292" wp14:editId="5795ACF1">
          <wp:simplePos x="0" y="0"/>
          <wp:positionH relativeFrom="page">
            <wp:posOffset>572770</wp:posOffset>
          </wp:positionH>
          <wp:positionV relativeFrom="page">
            <wp:posOffset>457200</wp:posOffset>
          </wp:positionV>
          <wp:extent cx="889000" cy="889000"/>
          <wp:effectExtent l="25400" t="0" r="0" b="0"/>
          <wp:wrapNone/>
          <wp:docPr id="1"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675A1" w14:textId="57A3E308" w:rsidR="00EC2097" w:rsidRPr="007C5F95" w:rsidRDefault="00EC2097">
    <w:pPr>
      <w:pStyle w:val="Header"/>
      <w:rPr>
        <w:szCs w:val="16"/>
        <w:lang w:val="da-DK"/>
      </w:rPr>
    </w:pPr>
    <w:r>
      <w:rPr>
        <w:lang w:val="da-DK"/>
      </w:rPr>
      <w:t>ECC/REC/</w:t>
    </w:r>
    <w:r w:rsidRPr="007C5F95">
      <w:rPr>
        <w:lang w:val="da-DK"/>
      </w:rPr>
      <w:t>(</w:t>
    </w:r>
    <w:r w:rsidR="00D6088C">
      <w:rPr>
        <w:lang w:val="da-DK"/>
      </w:rPr>
      <w:t>20</w:t>
    </w:r>
    <w:r w:rsidRPr="007C5F95">
      <w:rPr>
        <w:lang w:val="da-DK"/>
      </w:rPr>
      <w:t>)</w:t>
    </w:r>
    <w:r w:rsidR="00D6088C">
      <w:rPr>
        <w:lang w:val="da-DK"/>
      </w:rPr>
      <w:t>03</w:t>
    </w:r>
    <w:r>
      <w:rPr>
        <w:szCs w:val="16"/>
        <w:lang w:val="da-DK"/>
      </w:rPr>
      <w:t xml:space="preserve"> Page </w:t>
    </w:r>
    <w:r>
      <w:fldChar w:fldCharType="begin"/>
    </w:r>
    <w:r>
      <w:instrText xml:space="preserve"> PAGE  \* Arabic  \* MERGEFORMAT </w:instrText>
    </w:r>
    <w:r>
      <w:fldChar w:fldCharType="separate"/>
    </w:r>
    <w:r w:rsidR="00B550F2" w:rsidRPr="00B550F2">
      <w:rPr>
        <w:noProof/>
        <w:szCs w:val="16"/>
        <w:lang w:val="da-DK"/>
      </w:rPr>
      <w:t>6</w:t>
    </w:r>
    <w:r>
      <w:rPr>
        <w:noProof/>
        <w:szCs w:val="16"/>
        <w:lang w:val="da-DK"/>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8058A" w14:textId="454997E7" w:rsidR="00EC2097" w:rsidRPr="007C5F95" w:rsidRDefault="00D6088C" w:rsidP="00C74BE6">
    <w:pPr>
      <w:pStyle w:val="Header"/>
      <w:jc w:val="right"/>
      <w:rPr>
        <w:szCs w:val="16"/>
        <w:lang w:val="da-DK"/>
      </w:rPr>
    </w:pPr>
    <w:r>
      <w:rPr>
        <w:lang w:val="da-DK"/>
      </w:rPr>
      <w:t>ECC/REC/</w:t>
    </w:r>
    <w:r w:rsidRPr="007C5F95">
      <w:rPr>
        <w:lang w:val="da-DK"/>
      </w:rPr>
      <w:t>(</w:t>
    </w:r>
    <w:r>
      <w:rPr>
        <w:lang w:val="da-DK"/>
      </w:rPr>
      <w:t>20</w:t>
    </w:r>
    <w:r w:rsidRPr="007C5F95">
      <w:rPr>
        <w:lang w:val="da-DK"/>
      </w:rPr>
      <w:t>)</w:t>
    </w:r>
    <w:r>
      <w:rPr>
        <w:lang w:val="da-DK"/>
      </w:rPr>
      <w:t>03</w:t>
    </w:r>
    <w:r w:rsidR="00EC2097" w:rsidRPr="007C5F95">
      <w:rPr>
        <w:lang w:val="da-DK"/>
      </w:rPr>
      <w:t xml:space="preserve"> </w:t>
    </w:r>
    <w:r w:rsidR="00EC2097">
      <w:rPr>
        <w:szCs w:val="16"/>
        <w:lang w:val="da-DK"/>
      </w:rPr>
      <w:t xml:space="preserve">Page </w:t>
    </w:r>
    <w:r w:rsidR="00EC2097">
      <w:fldChar w:fldCharType="begin"/>
    </w:r>
    <w:r w:rsidR="00EC2097">
      <w:instrText xml:space="preserve"> PAGE  \* Arabic  \* MERGEFORMAT </w:instrText>
    </w:r>
    <w:r w:rsidR="00EC2097">
      <w:fldChar w:fldCharType="separate"/>
    </w:r>
    <w:r w:rsidR="00B550F2" w:rsidRPr="00B550F2">
      <w:rPr>
        <w:noProof/>
        <w:szCs w:val="16"/>
        <w:lang w:val="da-DK"/>
      </w:rPr>
      <w:t>5</w:t>
    </w:r>
    <w:r w:rsidR="00EC2097">
      <w:rPr>
        <w:noProof/>
        <w:szCs w:val="16"/>
        <w:lang w:val="da-DK"/>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85D9B" w14:textId="4279D9C3" w:rsidR="00EC2097" w:rsidRPr="001223D0" w:rsidRDefault="00EC2097" w:rsidP="00C74BE6">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2492C"/>
    <w:multiLevelType w:val="multilevel"/>
    <w:tmpl w:val="8378011E"/>
    <w:lvl w:ilvl="0">
      <w:numFmt w:val="decimal"/>
      <w:lvlText w:val="%1"/>
      <w:lvlJc w:val="left"/>
      <w:pPr>
        <w:tabs>
          <w:tab w:val="num" w:pos="4401"/>
        </w:tabs>
        <w:ind w:left="4401" w:hanging="432"/>
      </w:pPr>
      <w:rPr>
        <w:rFonts w:ascii="Arial" w:hAnsi="Arial" w:hint="default"/>
        <w:b/>
        <w:i w:val="0"/>
        <w:color w:val="D2232A"/>
        <w:sz w:val="20"/>
        <w:szCs w:val="20"/>
      </w:rPr>
    </w:lvl>
    <w:lvl w:ilvl="1">
      <w:start w:val="1"/>
      <w:numFmt w:val="decimal"/>
      <w:lvlText w:val="%1.%2"/>
      <w:lvlJc w:val="left"/>
      <w:pPr>
        <w:tabs>
          <w:tab w:val="num" w:pos="4545"/>
        </w:tabs>
        <w:ind w:left="4545" w:hanging="576"/>
      </w:pPr>
      <w:rPr>
        <w:rFonts w:ascii="Arial" w:hAnsi="Arial" w:hint="default"/>
        <w:b/>
        <w:i w:val="0"/>
        <w:sz w:val="20"/>
      </w:rPr>
    </w:lvl>
    <w:lvl w:ilvl="2">
      <w:start w:val="1"/>
      <w:numFmt w:val="decimal"/>
      <w:lvlText w:val="%1.%2.%3"/>
      <w:lvlJc w:val="left"/>
      <w:pPr>
        <w:tabs>
          <w:tab w:val="num" w:pos="4689"/>
        </w:tabs>
        <w:ind w:left="4689" w:hanging="720"/>
      </w:pPr>
      <w:rPr>
        <w:rFonts w:ascii="Arial" w:hAnsi="Arial" w:hint="default"/>
        <w:b/>
        <w:i w:val="0"/>
        <w:caps w:val="0"/>
        <w:sz w:val="20"/>
        <w:szCs w:val="20"/>
      </w:rPr>
    </w:lvl>
    <w:lvl w:ilvl="3">
      <w:start w:val="1"/>
      <w:numFmt w:val="decimal"/>
      <w:lvlText w:val="%1.%2.%3.%4"/>
      <w:lvlJc w:val="left"/>
      <w:pPr>
        <w:tabs>
          <w:tab w:val="num" w:pos="4833"/>
        </w:tabs>
        <w:ind w:left="4833" w:hanging="864"/>
      </w:pPr>
      <w:rPr>
        <w:rFonts w:ascii="Times New Roman" w:hAnsi="Times New Roman" w:hint="default"/>
        <w:b w:val="0"/>
        <w:i/>
        <w:sz w:val="20"/>
      </w:rPr>
    </w:lvl>
    <w:lvl w:ilvl="4">
      <w:start w:val="1"/>
      <w:numFmt w:val="decimal"/>
      <w:lvlText w:val="%1.%2.%3.%4.%5"/>
      <w:lvlJc w:val="left"/>
      <w:pPr>
        <w:tabs>
          <w:tab w:val="num" w:pos="4977"/>
        </w:tabs>
        <w:ind w:left="4977" w:hanging="1008"/>
      </w:pPr>
      <w:rPr>
        <w:rFonts w:hint="default"/>
        <w:sz w:val="24"/>
      </w:rPr>
    </w:lvl>
    <w:lvl w:ilvl="5">
      <w:start w:val="1"/>
      <w:numFmt w:val="decimal"/>
      <w:lvlText w:val="%1.%2.%3.%4.%5.%6"/>
      <w:lvlJc w:val="left"/>
      <w:pPr>
        <w:tabs>
          <w:tab w:val="num" w:pos="5121"/>
        </w:tabs>
        <w:ind w:left="5121" w:hanging="1152"/>
      </w:pPr>
      <w:rPr>
        <w:rFonts w:hint="default"/>
      </w:rPr>
    </w:lvl>
    <w:lvl w:ilvl="6">
      <w:start w:val="1"/>
      <w:numFmt w:val="decimal"/>
      <w:lvlText w:val="%1.%2.%3.%4.%5.%6.%7"/>
      <w:lvlJc w:val="left"/>
      <w:pPr>
        <w:tabs>
          <w:tab w:val="num" w:pos="5265"/>
        </w:tabs>
        <w:ind w:left="5265" w:hanging="1296"/>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553"/>
        </w:tabs>
        <w:ind w:left="5553" w:hanging="1584"/>
      </w:pPr>
      <w:rPr>
        <w:rFonts w:hint="default"/>
      </w:rPr>
    </w:lvl>
  </w:abstractNum>
  <w:abstractNum w:abstractNumId="1" w15:restartNumberingAfterBreak="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AD498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3321170"/>
    <w:multiLevelType w:val="multilevel"/>
    <w:tmpl w:val="3466827E"/>
    <w:lvl w:ilvl="0">
      <w:start w:val="1"/>
      <w:numFmt w:val="decimal"/>
      <w:lvlText w:val="[%1]"/>
      <w:lvlJc w:val="left"/>
      <w:pPr>
        <w:tabs>
          <w:tab w:val="num" w:pos="397"/>
        </w:tabs>
        <w:ind w:left="397" w:hanging="397"/>
      </w:pPr>
      <w:rPr>
        <w:rFonts w:ascii="Arial" w:hAnsi="Arial" w:hint="default"/>
        <w:b w:val="0"/>
        <w:i w:val="0"/>
        <w:color w:val="FF000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64190E"/>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1E060383"/>
    <w:multiLevelType w:val="multilevel"/>
    <w:tmpl w:val="C6B479E6"/>
    <w:lvl w:ilvl="0">
      <w:start w:val="1"/>
      <w:numFmt w:val="lowerLetter"/>
      <w:pStyle w:val="LetteredList"/>
      <w:lvlText w:val="%1)"/>
      <w:lvlJc w:val="left"/>
      <w:pPr>
        <w:ind w:left="3054" w:hanging="360"/>
      </w:pPr>
      <w:rPr>
        <w:rFonts w:ascii="Arial" w:hAnsi="Arial" w:hint="default"/>
        <w:b w:val="0"/>
        <w:bCs w:val="0"/>
        <w:i w:val="0"/>
        <w:iCs w:val="0"/>
        <w:strike w:val="0"/>
        <w:color w:val="D2232A"/>
        <w:sz w:val="20"/>
        <w:szCs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6" w15:restartNumberingAfterBreak="0">
    <w:nsid w:val="20A87A02"/>
    <w:multiLevelType w:val="hybridMultilevel"/>
    <w:tmpl w:val="C696EAB8"/>
    <w:lvl w:ilvl="0" w:tplc="AD46037E">
      <w:start w:val="1"/>
      <w:numFmt w:val="bullet"/>
      <w:pStyle w:val="ECCParBulleted"/>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13F2504"/>
    <w:multiLevelType w:val="multilevel"/>
    <w:tmpl w:val="B7782DC4"/>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70B16B4"/>
    <w:multiLevelType w:val="hybridMultilevel"/>
    <w:tmpl w:val="CB343CA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A1340F"/>
    <w:multiLevelType w:val="multilevel"/>
    <w:tmpl w:val="34562E8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AAF2372"/>
    <w:multiLevelType w:val="multilevel"/>
    <w:tmpl w:val="88FE1592"/>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Bold" w:hAnsi="Arial Bold"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B2448E4"/>
    <w:multiLevelType w:val="multilevel"/>
    <w:tmpl w:val="C0449AC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B4F312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D0B46CA"/>
    <w:multiLevelType w:val="multilevel"/>
    <w:tmpl w:val="25EC305E"/>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5" w15:restartNumberingAfterBreak="0">
    <w:nsid w:val="2DF95636"/>
    <w:multiLevelType w:val="multilevel"/>
    <w:tmpl w:val="2FFE94E8"/>
    <w:lvl w:ilvl="0">
      <w:start w:val="1"/>
      <w:numFmt w:val="decimal"/>
      <w:lvlText w:val="[%1]"/>
      <w:lvlJc w:val="left"/>
      <w:pPr>
        <w:tabs>
          <w:tab w:val="num" w:pos="720"/>
        </w:tabs>
        <w:ind w:left="720" w:hanging="720"/>
      </w:pPr>
      <w:rPr>
        <w:rFonts w:ascii="Times New Roman" w:hAnsi="Times New Roman"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6C25D0E"/>
    <w:multiLevelType w:val="multilevel"/>
    <w:tmpl w:val="25EC305E"/>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7" w15:restartNumberingAfterBreak="0">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8" w15:restartNumberingAfterBreak="0">
    <w:nsid w:val="3B880D6D"/>
    <w:multiLevelType w:val="multilevel"/>
    <w:tmpl w:val="ADCC13A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BCE08D9"/>
    <w:multiLevelType w:val="multilevel"/>
    <w:tmpl w:val="00144118"/>
    <w:lvl w:ilvl="0">
      <w:start w:val="1"/>
      <w:numFmt w:val="decimal"/>
      <w:suff w:val="space"/>
      <w:lvlText w:val="ANNEX %1:"/>
      <w:lvlJc w:val="left"/>
      <w:pPr>
        <w:ind w:left="0" w:firstLine="0"/>
      </w:pPr>
      <w:rPr>
        <w:rFonts w:ascii="Arial Bold" w:hAnsi="Arial Bold"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D163F7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3D7329F1"/>
    <w:multiLevelType w:val="multilevel"/>
    <w:tmpl w:val="23689E52"/>
    <w:lvl w:ilvl="0">
      <w:start w:val="1"/>
      <w:numFmt w:val="decimal"/>
      <w:suff w:val="space"/>
      <w:lvlText w:val="Figure %1:"/>
      <w:lvlJc w:val="left"/>
      <w:pPr>
        <w:ind w:left="360" w:hanging="360"/>
      </w:pPr>
      <w:rPr>
        <w:rFonts w:ascii="Times New Roman Bold" w:hAnsi="Times New Roman Bold" w:hint="default"/>
        <w:b/>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DE11B9E"/>
    <w:multiLevelType w:val="multilevel"/>
    <w:tmpl w:val="FB5EDC84"/>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E0808C4"/>
    <w:multiLevelType w:val="hybridMultilevel"/>
    <w:tmpl w:val="E6E460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EEE7FB8"/>
    <w:multiLevelType w:val="multilevel"/>
    <w:tmpl w:val="4F027B32"/>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18957A2"/>
    <w:multiLevelType w:val="multilevel"/>
    <w:tmpl w:val="08AE7DB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6E6242A"/>
    <w:multiLevelType w:val="hybridMultilevel"/>
    <w:tmpl w:val="2C004C02"/>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717084A"/>
    <w:multiLevelType w:val="hybridMultilevel"/>
    <w:tmpl w:val="FD5C471A"/>
    <w:lvl w:ilvl="0" w:tplc="920EA914">
      <w:start w:val="1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7C819E9"/>
    <w:multiLevelType w:val="multilevel"/>
    <w:tmpl w:val="D8721228"/>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BA83BD6"/>
    <w:multiLevelType w:val="multilevel"/>
    <w:tmpl w:val="0FA475FC"/>
    <w:lvl w:ilvl="0">
      <w:start w:val="1"/>
      <w:numFmt w:val="decimal"/>
      <w:suff w:val="space"/>
      <w:lvlText w:val="ANNEX %1:"/>
      <w:lvlJc w:val="left"/>
      <w:pPr>
        <w:ind w:left="360" w:hanging="360"/>
      </w:pPr>
      <w:rPr>
        <w:rFonts w:ascii="Times New Roman Bold" w:hAnsi="Times New Roman Bold"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F74682D"/>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B3128C3"/>
    <w:multiLevelType w:val="multilevel"/>
    <w:tmpl w:val="FB26665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B866EC8"/>
    <w:multiLevelType w:val="hybridMultilevel"/>
    <w:tmpl w:val="DAD49698"/>
    <w:lvl w:ilvl="0" w:tplc="D4CAD106">
      <w:start w:val="1"/>
      <w:numFmt w:val="decimal"/>
      <w:lvlText w:val="%1."/>
      <w:lvlJc w:val="left"/>
      <w:pPr>
        <w:ind w:left="360" w:hanging="360"/>
      </w:pPr>
      <w:rPr>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FBC077E"/>
    <w:multiLevelType w:val="multilevel"/>
    <w:tmpl w:val="8E609E68"/>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FCC657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0EC121D"/>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4002AD3"/>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5803DCD"/>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66575489"/>
    <w:multiLevelType w:val="multilevel"/>
    <w:tmpl w:val="4B4E4BCA"/>
    <w:lvl w:ilvl="0">
      <w:start w:val="1"/>
      <w:numFmt w:val="decimal"/>
      <w:suff w:val="space"/>
      <w:lvlText w:val="Table %1:"/>
      <w:lvlJc w:val="left"/>
      <w:pPr>
        <w:ind w:left="360" w:hanging="360"/>
      </w:pPr>
      <w:rPr>
        <w:rFonts w:ascii="Times New Roman Bold" w:hAnsi="Times New Roman Bold"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CA6796D"/>
    <w:multiLevelType w:val="multilevel"/>
    <w:tmpl w:val="04E62F1A"/>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41" w15:restartNumberingAfterBreak="0">
    <w:nsid w:val="6D79036B"/>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15:restartNumberingAfterBreak="0">
    <w:nsid w:val="6DF23EFC"/>
    <w:multiLevelType w:val="multilevel"/>
    <w:tmpl w:val="10E45B70"/>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43" w15:restartNumberingAfterBreak="0">
    <w:nsid w:val="6ED2343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172623F"/>
    <w:multiLevelType w:val="multilevel"/>
    <w:tmpl w:val="0409001D"/>
    <w:lvl w:ilvl="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22504B"/>
    <w:multiLevelType w:val="multilevel"/>
    <w:tmpl w:val="A724997C"/>
    <w:lvl w:ilvl="0">
      <w:start w:val="1"/>
      <w:numFmt w:val="decimal"/>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20"/>
  </w:num>
  <w:num w:numId="3">
    <w:abstractNumId w:val="46"/>
  </w:num>
  <w:num w:numId="4">
    <w:abstractNumId w:val="29"/>
  </w:num>
  <w:num w:numId="5">
    <w:abstractNumId w:val="30"/>
  </w:num>
  <w:num w:numId="6">
    <w:abstractNumId w:val="26"/>
  </w:num>
  <w:num w:numId="7">
    <w:abstractNumId w:val="7"/>
  </w:num>
  <w:num w:numId="8">
    <w:abstractNumId w:val="43"/>
  </w:num>
  <w:num w:numId="9">
    <w:abstractNumId w:val="28"/>
  </w:num>
  <w:num w:numId="10">
    <w:abstractNumId w:val="18"/>
  </w:num>
  <w:num w:numId="11">
    <w:abstractNumId w:val="32"/>
  </w:num>
  <w:num w:numId="12">
    <w:abstractNumId w:val="12"/>
  </w:num>
  <w:num w:numId="13">
    <w:abstractNumId w:val="2"/>
  </w:num>
  <w:num w:numId="14">
    <w:abstractNumId w:val="36"/>
  </w:num>
  <w:num w:numId="15">
    <w:abstractNumId w:val="37"/>
  </w:num>
  <w:num w:numId="16">
    <w:abstractNumId w:val="24"/>
  </w:num>
  <w:num w:numId="17">
    <w:abstractNumId w:val="8"/>
  </w:num>
  <w:num w:numId="18">
    <w:abstractNumId w:val="22"/>
  </w:num>
  <w:num w:numId="19">
    <w:abstractNumId w:val="34"/>
  </w:num>
  <w:num w:numId="20">
    <w:abstractNumId w:val="21"/>
  </w:num>
  <w:num w:numId="21">
    <w:abstractNumId w:val="39"/>
  </w:num>
  <w:num w:numId="22">
    <w:abstractNumId w:val="45"/>
  </w:num>
  <w:num w:numId="23">
    <w:abstractNumId w:val="25"/>
  </w:num>
  <w:num w:numId="24">
    <w:abstractNumId w:val="19"/>
  </w:num>
  <w:num w:numId="25">
    <w:abstractNumId w:val="11"/>
  </w:num>
  <w:num w:numId="26">
    <w:abstractNumId w:val="13"/>
  </w:num>
  <w:num w:numId="27">
    <w:abstractNumId w:val="0"/>
  </w:num>
  <w:num w:numId="28">
    <w:abstractNumId w:val="38"/>
  </w:num>
  <w:num w:numId="29">
    <w:abstractNumId w:val="41"/>
  </w:num>
  <w:num w:numId="30">
    <w:abstractNumId w:val="4"/>
  </w:num>
  <w:num w:numId="31">
    <w:abstractNumId w:val="10"/>
  </w:num>
  <w:num w:numId="32">
    <w:abstractNumId w:val="44"/>
  </w:num>
  <w:num w:numId="33">
    <w:abstractNumId w:val="40"/>
  </w:num>
  <w:num w:numId="34">
    <w:abstractNumId w:val="35"/>
  </w:num>
  <w:num w:numId="35">
    <w:abstractNumId w:val="14"/>
  </w:num>
  <w:num w:numId="36">
    <w:abstractNumId w:val="16"/>
  </w:num>
  <w:num w:numId="37">
    <w:abstractNumId w:val="5"/>
  </w:num>
  <w:num w:numId="38">
    <w:abstractNumId w:val="15"/>
  </w:num>
  <w:num w:numId="39">
    <w:abstractNumId w:val="3"/>
  </w:num>
  <w:num w:numId="40">
    <w:abstractNumId w:val="31"/>
  </w:num>
  <w:num w:numId="41">
    <w:abstractNumId w:val="33"/>
  </w:num>
  <w:num w:numId="42">
    <w:abstractNumId w:val="17"/>
  </w:num>
  <w:num w:numId="43">
    <w:abstractNumId w:val="27"/>
  </w:num>
  <w:num w:numId="44">
    <w:abstractNumId w:val="23"/>
  </w:num>
  <w:num w:numId="45">
    <w:abstractNumId w:val="1"/>
  </w:num>
  <w:num w:numId="46">
    <w:abstractNumId w:val="5"/>
  </w:num>
  <w:num w:numId="47">
    <w:abstractNumId w:val="9"/>
  </w:num>
  <w:num w:numId="48">
    <w:abstractNumId w:val="42"/>
  </w:num>
  <w:num w:numId="49">
    <w:abstractNumId w:val="5"/>
  </w:num>
  <w:num w:numId="50">
    <w:abstractNumId w:val="5"/>
  </w:num>
  <w:num w:numId="51">
    <w:abstractNumId w:val="5"/>
  </w:num>
  <w:num w:numId="52">
    <w:abstractNumId w:val="5"/>
  </w:num>
  <w:num w:numId="53">
    <w:abstractNumId w:val="5"/>
  </w:num>
  <w:num w:numId="54">
    <w:abstractNumId w:val="5"/>
  </w:num>
  <w:num w:numId="55">
    <w:abstractNumId w:val="5"/>
  </w:num>
  <w:num w:numId="56">
    <w:abstractNumId w:val="5"/>
  </w:num>
  <w:num w:numId="57">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bordersDoNotSurroundHeader/>
  <w:bordersDoNotSurroundFooter/>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4097">
      <o:colormru v:ext="edit" colors="#7b6c58,#887e6e,#d2232a,#57433e,#b0a696"/>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DA4"/>
    <w:rsid w:val="00010876"/>
    <w:rsid w:val="00012E14"/>
    <w:rsid w:val="00017A71"/>
    <w:rsid w:val="0002060B"/>
    <w:rsid w:val="00021E3D"/>
    <w:rsid w:val="000220B4"/>
    <w:rsid w:val="00025A4B"/>
    <w:rsid w:val="000271FD"/>
    <w:rsid w:val="00032991"/>
    <w:rsid w:val="00037A9F"/>
    <w:rsid w:val="0004221A"/>
    <w:rsid w:val="000551DA"/>
    <w:rsid w:val="000574CB"/>
    <w:rsid w:val="0006662D"/>
    <w:rsid w:val="00072968"/>
    <w:rsid w:val="000733C2"/>
    <w:rsid w:val="00073658"/>
    <w:rsid w:val="000839E7"/>
    <w:rsid w:val="00084468"/>
    <w:rsid w:val="00091054"/>
    <w:rsid w:val="0009184D"/>
    <w:rsid w:val="000A30C4"/>
    <w:rsid w:val="000B22EF"/>
    <w:rsid w:val="000B7095"/>
    <w:rsid w:val="000C2C95"/>
    <w:rsid w:val="000C534B"/>
    <w:rsid w:val="000C67FB"/>
    <w:rsid w:val="000D0ADA"/>
    <w:rsid w:val="000D6B0A"/>
    <w:rsid w:val="000E3611"/>
    <w:rsid w:val="000E3801"/>
    <w:rsid w:val="000E479E"/>
    <w:rsid w:val="000F2EE9"/>
    <w:rsid w:val="000F45E6"/>
    <w:rsid w:val="00106BF7"/>
    <w:rsid w:val="001073AD"/>
    <w:rsid w:val="00110CEE"/>
    <w:rsid w:val="0011125D"/>
    <w:rsid w:val="001112F9"/>
    <w:rsid w:val="00116B61"/>
    <w:rsid w:val="001209F2"/>
    <w:rsid w:val="00131ECA"/>
    <w:rsid w:val="00131F08"/>
    <w:rsid w:val="0014176A"/>
    <w:rsid w:val="001455E3"/>
    <w:rsid w:val="00154E4C"/>
    <w:rsid w:val="00170870"/>
    <w:rsid w:val="0017299A"/>
    <w:rsid w:val="001751CF"/>
    <w:rsid w:val="00176480"/>
    <w:rsid w:val="001802DF"/>
    <w:rsid w:val="0018294A"/>
    <w:rsid w:val="00183BC7"/>
    <w:rsid w:val="001861BF"/>
    <w:rsid w:val="00187918"/>
    <w:rsid w:val="00187F70"/>
    <w:rsid w:val="001913AA"/>
    <w:rsid w:val="00192DD7"/>
    <w:rsid w:val="001948AD"/>
    <w:rsid w:val="00196CF5"/>
    <w:rsid w:val="001A19BB"/>
    <w:rsid w:val="001A4AB3"/>
    <w:rsid w:val="001A56C6"/>
    <w:rsid w:val="001A7B1B"/>
    <w:rsid w:val="001B0E79"/>
    <w:rsid w:val="001C196B"/>
    <w:rsid w:val="001C22F6"/>
    <w:rsid w:val="001D6E97"/>
    <w:rsid w:val="001E3AA9"/>
    <w:rsid w:val="001E555A"/>
    <w:rsid w:val="00200A91"/>
    <w:rsid w:val="00203E66"/>
    <w:rsid w:val="00211025"/>
    <w:rsid w:val="00224B08"/>
    <w:rsid w:val="002276FA"/>
    <w:rsid w:val="00231487"/>
    <w:rsid w:val="002337C7"/>
    <w:rsid w:val="00235709"/>
    <w:rsid w:val="0024709E"/>
    <w:rsid w:val="0025212F"/>
    <w:rsid w:val="00252A7B"/>
    <w:rsid w:val="002728A5"/>
    <w:rsid w:val="002755FE"/>
    <w:rsid w:val="00276962"/>
    <w:rsid w:val="00286D2A"/>
    <w:rsid w:val="00287B2C"/>
    <w:rsid w:val="0029204D"/>
    <w:rsid w:val="002934A9"/>
    <w:rsid w:val="00295C13"/>
    <w:rsid w:val="00296A09"/>
    <w:rsid w:val="00297A2C"/>
    <w:rsid w:val="002A2341"/>
    <w:rsid w:val="002A3809"/>
    <w:rsid w:val="002A657A"/>
    <w:rsid w:val="002B1B7F"/>
    <w:rsid w:val="002B3E18"/>
    <w:rsid w:val="002C0941"/>
    <w:rsid w:val="002C2DF4"/>
    <w:rsid w:val="002E30D8"/>
    <w:rsid w:val="002E678F"/>
    <w:rsid w:val="00301330"/>
    <w:rsid w:val="00301557"/>
    <w:rsid w:val="003016EE"/>
    <w:rsid w:val="00301E68"/>
    <w:rsid w:val="00302D22"/>
    <w:rsid w:val="003033F0"/>
    <w:rsid w:val="00304F28"/>
    <w:rsid w:val="00305977"/>
    <w:rsid w:val="00312644"/>
    <w:rsid w:val="00313060"/>
    <w:rsid w:val="00315679"/>
    <w:rsid w:val="003159FF"/>
    <w:rsid w:val="00316FDE"/>
    <w:rsid w:val="00317DB9"/>
    <w:rsid w:val="00320781"/>
    <w:rsid w:val="00322074"/>
    <w:rsid w:val="00324636"/>
    <w:rsid w:val="003267BB"/>
    <w:rsid w:val="00326C4A"/>
    <w:rsid w:val="0034022A"/>
    <w:rsid w:val="003405B3"/>
    <w:rsid w:val="0035138E"/>
    <w:rsid w:val="00354828"/>
    <w:rsid w:val="00355B8E"/>
    <w:rsid w:val="003605FC"/>
    <w:rsid w:val="0037517E"/>
    <w:rsid w:val="00376678"/>
    <w:rsid w:val="00383F8F"/>
    <w:rsid w:val="00390FC3"/>
    <w:rsid w:val="00391650"/>
    <w:rsid w:val="003957F4"/>
    <w:rsid w:val="003A2A4A"/>
    <w:rsid w:val="003A5E24"/>
    <w:rsid w:val="003A7D6A"/>
    <w:rsid w:val="003B1F97"/>
    <w:rsid w:val="003C2DE9"/>
    <w:rsid w:val="003C3A93"/>
    <w:rsid w:val="003D5844"/>
    <w:rsid w:val="003D6464"/>
    <w:rsid w:val="003E1D55"/>
    <w:rsid w:val="003E1E24"/>
    <w:rsid w:val="003E377A"/>
    <w:rsid w:val="003E6A50"/>
    <w:rsid w:val="003F633C"/>
    <w:rsid w:val="003F7F66"/>
    <w:rsid w:val="00401113"/>
    <w:rsid w:val="00403D12"/>
    <w:rsid w:val="00413616"/>
    <w:rsid w:val="00416CC0"/>
    <w:rsid w:val="004313D5"/>
    <w:rsid w:val="00431782"/>
    <w:rsid w:val="00434A30"/>
    <w:rsid w:val="00437CD5"/>
    <w:rsid w:val="00442CE8"/>
    <w:rsid w:val="00442F37"/>
    <w:rsid w:val="0044536D"/>
    <w:rsid w:val="00463599"/>
    <w:rsid w:val="00463886"/>
    <w:rsid w:val="00463B9E"/>
    <w:rsid w:val="004654E0"/>
    <w:rsid w:val="00476608"/>
    <w:rsid w:val="004802AC"/>
    <w:rsid w:val="00482E13"/>
    <w:rsid w:val="00483010"/>
    <w:rsid w:val="00487B2E"/>
    <w:rsid w:val="00495D77"/>
    <w:rsid w:val="00496385"/>
    <w:rsid w:val="004973CB"/>
    <w:rsid w:val="004A2580"/>
    <w:rsid w:val="004B0433"/>
    <w:rsid w:val="004B1F17"/>
    <w:rsid w:val="004B5DC0"/>
    <w:rsid w:val="004B7BA6"/>
    <w:rsid w:val="004C50B9"/>
    <w:rsid w:val="004C6054"/>
    <w:rsid w:val="004D57D1"/>
    <w:rsid w:val="004D7CB9"/>
    <w:rsid w:val="004E297C"/>
    <w:rsid w:val="004E3654"/>
    <w:rsid w:val="004F01EA"/>
    <w:rsid w:val="004F3279"/>
    <w:rsid w:val="00506BB5"/>
    <w:rsid w:val="0050712B"/>
    <w:rsid w:val="005074E4"/>
    <w:rsid w:val="005078F7"/>
    <w:rsid w:val="00515EC2"/>
    <w:rsid w:val="00522CFB"/>
    <w:rsid w:val="00527BF8"/>
    <w:rsid w:val="00530035"/>
    <w:rsid w:val="005374A5"/>
    <w:rsid w:val="00540BEF"/>
    <w:rsid w:val="005411D5"/>
    <w:rsid w:val="00544618"/>
    <w:rsid w:val="00545F7F"/>
    <w:rsid w:val="005530F7"/>
    <w:rsid w:val="0055625C"/>
    <w:rsid w:val="00562D2A"/>
    <w:rsid w:val="005648F7"/>
    <w:rsid w:val="00565FF4"/>
    <w:rsid w:val="00566CB2"/>
    <w:rsid w:val="00567155"/>
    <w:rsid w:val="00575913"/>
    <w:rsid w:val="005846EA"/>
    <w:rsid w:val="0058759B"/>
    <w:rsid w:val="005928A1"/>
    <w:rsid w:val="00593856"/>
    <w:rsid w:val="00595D48"/>
    <w:rsid w:val="005977A8"/>
    <w:rsid w:val="005B0C9C"/>
    <w:rsid w:val="005B1E25"/>
    <w:rsid w:val="005B22D6"/>
    <w:rsid w:val="005B4BB1"/>
    <w:rsid w:val="005C0D07"/>
    <w:rsid w:val="005C66AA"/>
    <w:rsid w:val="005D02E6"/>
    <w:rsid w:val="005D4175"/>
    <w:rsid w:val="005E2B01"/>
    <w:rsid w:val="006003EC"/>
    <w:rsid w:val="00605E92"/>
    <w:rsid w:val="00611058"/>
    <w:rsid w:val="0061158D"/>
    <w:rsid w:val="00613A20"/>
    <w:rsid w:val="00613B02"/>
    <w:rsid w:val="00621B8E"/>
    <w:rsid w:val="006265E4"/>
    <w:rsid w:val="00636E85"/>
    <w:rsid w:val="00643865"/>
    <w:rsid w:val="00664C9C"/>
    <w:rsid w:val="0066546C"/>
    <w:rsid w:val="00667DC5"/>
    <w:rsid w:val="00670AD7"/>
    <w:rsid w:val="00676862"/>
    <w:rsid w:val="00677AE9"/>
    <w:rsid w:val="00682299"/>
    <w:rsid w:val="006912FD"/>
    <w:rsid w:val="00694650"/>
    <w:rsid w:val="006A792D"/>
    <w:rsid w:val="006B7ED5"/>
    <w:rsid w:val="006C48F0"/>
    <w:rsid w:val="006C50AF"/>
    <w:rsid w:val="006C59DB"/>
    <w:rsid w:val="006C7247"/>
    <w:rsid w:val="006D4F0B"/>
    <w:rsid w:val="006D5140"/>
    <w:rsid w:val="006D6035"/>
    <w:rsid w:val="006E28A0"/>
    <w:rsid w:val="006E4B19"/>
    <w:rsid w:val="006E7167"/>
    <w:rsid w:val="006E7A64"/>
    <w:rsid w:val="006F2AEA"/>
    <w:rsid w:val="006F2C91"/>
    <w:rsid w:val="006F4FAE"/>
    <w:rsid w:val="006F6C48"/>
    <w:rsid w:val="006F7F9D"/>
    <w:rsid w:val="00702655"/>
    <w:rsid w:val="00705B44"/>
    <w:rsid w:val="007128FA"/>
    <w:rsid w:val="007179FF"/>
    <w:rsid w:val="00722E34"/>
    <w:rsid w:val="00732B17"/>
    <w:rsid w:val="007372A9"/>
    <w:rsid w:val="00740BBA"/>
    <w:rsid w:val="00743985"/>
    <w:rsid w:val="00750AEA"/>
    <w:rsid w:val="00751918"/>
    <w:rsid w:val="0075286E"/>
    <w:rsid w:val="007528A8"/>
    <w:rsid w:val="0075678C"/>
    <w:rsid w:val="00765325"/>
    <w:rsid w:val="007727AE"/>
    <w:rsid w:val="00772D3C"/>
    <w:rsid w:val="00775BBE"/>
    <w:rsid w:val="00776986"/>
    <w:rsid w:val="007840C5"/>
    <w:rsid w:val="00784260"/>
    <w:rsid w:val="007860C5"/>
    <w:rsid w:val="00787A5E"/>
    <w:rsid w:val="007917D1"/>
    <w:rsid w:val="00792F10"/>
    <w:rsid w:val="007A1ABF"/>
    <w:rsid w:val="007D0613"/>
    <w:rsid w:val="007D1FAF"/>
    <w:rsid w:val="007D531E"/>
    <w:rsid w:val="007F036B"/>
    <w:rsid w:val="007F3311"/>
    <w:rsid w:val="008101AB"/>
    <w:rsid w:val="00812F4F"/>
    <w:rsid w:val="00817CE7"/>
    <w:rsid w:val="00822AE0"/>
    <w:rsid w:val="00823596"/>
    <w:rsid w:val="00827E98"/>
    <w:rsid w:val="008313E9"/>
    <w:rsid w:val="00834ECC"/>
    <w:rsid w:val="00835C5B"/>
    <w:rsid w:val="00837984"/>
    <w:rsid w:val="0084421C"/>
    <w:rsid w:val="008458D2"/>
    <w:rsid w:val="008458F9"/>
    <w:rsid w:val="00845A5C"/>
    <w:rsid w:val="0085011B"/>
    <w:rsid w:val="0085368D"/>
    <w:rsid w:val="00856088"/>
    <w:rsid w:val="00865FC6"/>
    <w:rsid w:val="00866A21"/>
    <w:rsid w:val="00875981"/>
    <w:rsid w:val="00884724"/>
    <w:rsid w:val="00885477"/>
    <w:rsid w:val="008872B9"/>
    <w:rsid w:val="00887EBE"/>
    <w:rsid w:val="008905B7"/>
    <w:rsid w:val="008A023E"/>
    <w:rsid w:val="008A74A3"/>
    <w:rsid w:val="008B446C"/>
    <w:rsid w:val="008B7164"/>
    <w:rsid w:val="008C09AF"/>
    <w:rsid w:val="008C2F4C"/>
    <w:rsid w:val="008C3665"/>
    <w:rsid w:val="008C53F6"/>
    <w:rsid w:val="008C69BD"/>
    <w:rsid w:val="008D2216"/>
    <w:rsid w:val="008D24FA"/>
    <w:rsid w:val="008D4BD9"/>
    <w:rsid w:val="008F61CC"/>
    <w:rsid w:val="0090095B"/>
    <w:rsid w:val="00914CD2"/>
    <w:rsid w:val="00922789"/>
    <w:rsid w:val="00925B7E"/>
    <w:rsid w:val="0093053D"/>
    <w:rsid w:val="009429C7"/>
    <w:rsid w:val="009445CD"/>
    <w:rsid w:val="00950FFA"/>
    <w:rsid w:val="00954002"/>
    <w:rsid w:val="00955C04"/>
    <w:rsid w:val="00955CB1"/>
    <w:rsid w:val="009578F9"/>
    <w:rsid w:val="00960D94"/>
    <w:rsid w:val="009635F8"/>
    <w:rsid w:val="00967D6C"/>
    <w:rsid w:val="00971DE7"/>
    <w:rsid w:val="00976312"/>
    <w:rsid w:val="00983762"/>
    <w:rsid w:val="00987799"/>
    <w:rsid w:val="00994AAD"/>
    <w:rsid w:val="00995D7F"/>
    <w:rsid w:val="009A30FF"/>
    <w:rsid w:val="009A438A"/>
    <w:rsid w:val="009A70B0"/>
    <w:rsid w:val="009B33C7"/>
    <w:rsid w:val="009B793F"/>
    <w:rsid w:val="009D1A6F"/>
    <w:rsid w:val="009D5811"/>
    <w:rsid w:val="009D798F"/>
    <w:rsid w:val="009E2BE4"/>
    <w:rsid w:val="009E2CC5"/>
    <w:rsid w:val="009E3F53"/>
    <w:rsid w:val="009E62B3"/>
    <w:rsid w:val="009F0416"/>
    <w:rsid w:val="009F2C8A"/>
    <w:rsid w:val="009F3832"/>
    <w:rsid w:val="009F6AF9"/>
    <w:rsid w:val="00A01DC3"/>
    <w:rsid w:val="00A0607F"/>
    <w:rsid w:val="00A17062"/>
    <w:rsid w:val="00A175DA"/>
    <w:rsid w:val="00A224C9"/>
    <w:rsid w:val="00A2604A"/>
    <w:rsid w:val="00A30121"/>
    <w:rsid w:val="00A311E5"/>
    <w:rsid w:val="00A32C94"/>
    <w:rsid w:val="00A33C64"/>
    <w:rsid w:val="00A363A1"/>
    <w:rsid w:val="00A423B7"/>
    <w:rsid w:val="00A63BE8"/>
    <w:rsid w:val="00A6454A"/>
    <w:rsid w:val="00A65353"/>
    <w:rsid w:val="00A744E8"/>
    <w:rsid w:val="00A77EFA"/>
    <w:rsid w:val="00A81242"/>
    <w:rsid w:val="00AA23CB"/>
    <w:rsid w:val="00AA3790"/>
    <w:rsid w:val="00AA38CC"/>
    <w:rsid w:val="00AA7DE8"/>
    <w:rsid w:val="00AB0C0E"/>
    <w:rsid w:val="00AB0E0D"/>
    <w:rsid w:val="00AB71CC"/>
    <w:rsid w:val="00AC3A73"/>
    <w:rsid w:val="00AC769B"/>
    <w:rsid w:val="00AD7E35"/>
    <w:rsid w:val="00AE2324"/>
    <w:rsid w:val="00AE7136"/>
    <w:rsid w:val="00AE7280"/>
    <w:rsid w:val="00AF36BD"/>
    <w:rsid w:val="00AF6776"/>
    <w:rsid w:val="00AF711B"/>
    <w:rsid w:val="00AF7C4A"/>
    <w:rsid w:val="00B0470E"/>
    <w:rsid w:val="00B1130D"/>
    <w:rsid w:val="00B12022"/>
    <w:rsid w:val="00B120B0"/>
    <w:rsid w:val="00B15D2F"/>
    <w:rsid w:val="00B17B4F"/>
    <w:rsid w:val="00B21F24"/>
    <w:rsid w:val="00B239A2"/>
    <w:rsid w:val="00B255CF"/>
    <w:rsid w:val="00B30B5F"/>
    <w:rsid w:val="00B312A2"/>
    <w:rsid w:val="00B3474E"/>
    <w:rsid w:val="00B34E06"/>
    <w:rsid w:val="00B360B8"/>
    <w:rsid w:val="00B36ADC"/>
    <w:rsid w:val="00B37DCE"/>
    <w:rsid w:val="00B4182C"/>
    <w:rsid w:val="00B441AF"/>
    <w:rsid w:val="00B51301"/>
    <w:rsid w:val="00B52FFD"/>
    <w:rsid w:val="00B55068"/>
    <w:rsid w:val="00B550F2"/>
    <w:rsid w:val="00B558C6"/>
    <w:rsid w:val="00B61623"/>
    <w:rsid w:val="00B620E0"/>
    <w:rsid w:val="00B64035"/>
    <w:rsid w:val="00B653DC"/>
    <w:rsid w:val="00B671E0"/>
    <w:rsid w:val="00B74131"/>
    <w:rsid w:val="00B839FF"/>
    <w:rsid w:val="00B85066"/>
    <w:rsid w:val="00B861ED"/>
    <w:rsid w:val="00B90690"/>
    <w:rsid w:val="00B925AF"/>
    <w:rsid w:val="00B94F1C"/>
    <w:rsid w:val="00BA71EA"/>
    <w:rsid w:val="00BB2232"/>
    <w:rsid w:val="00BB25AB"/>
    <w:rsid w:val="00BB635F"/>
    <w:rsid w:val="00BC09C4"/>
    <w:rsid w:val="00BC38EC"/>
    <w:rsid w:val="00BD0252"/>
    <w:rsid w:val="00BD1C5C"/>
    <w:rsid w:val="00BD2C60"/>
    <w:rsid w:val="00BD7E2C"/>
    <w:rsid w:val="00BE2E74"/>
    <w:rsid w:val="00BE3DE4"/>
    <w:rsid w:val="00BE4489"/>
    <w:rsid w:val="00BE531F"/>
    <w:rsid w:val="00BF5E88"/>
    <w:rsid w:val="00BF658E"/>
    <w:rsid w:val="00BF6CD8"/>
    <w:rsid w:val="00C072D4"/>
    <w:rsid w:val="00C10985"/>
    <w:rsid w:val="00C10CAC"/>
    <w:rsid w:val="00C16842"/>
    <w:rsid w:val="00C16A47"/>
    <w:rsid w:val="00C16BAB"/>
    <w:rsid w:val="00C16E33"/>
    <w:rsid w:val="00C21B1C"/>
    <w:rsid w:val="00C221DD"/>
    <w:rsid w:val="00C227A8"/>
    <w:rsid w:val="00C26913"/>
    <w:rsid w:val="00C3126E"/>
    <w:rsid w:val="00C312D0"/>
    <w:rsid w:val="00C32FF8"/>
    <w:rsid w:val="00C339C3"/>
    <w:rsid w:val="00C40E3E"/>
    <w:rsid w:val="00C4185B"/>
    <w:rsid w:val="00C41EF1"/>
    <w:rsid w:val="00C4222B"/>
    <w:rsid w:val="00C51AB5"/>
    <w:rsid w:val="00C556AF"/>
    <w:rsid w:val="00C60229"/>
    <w:rsid w:val="00C7139C"/>
    <w:rsid w:val="00C74BE6"/>
    <w:rsid w:val="00C75705"/>
    <w:rsid w:val="00C75EA6"/>
    <w:rsid w:val="00C820A5"/>
    <w:rsid w:val="00C87B7C"/>
    <w:rsid w:val="00C92CBD"/>
    <w:rsid w:val="00C94486"/>
    <w:rsid w:val="00C9500B"/>
    <w:rsid w:val="00CA032D"/>
    <w:rsid w:val="00CA2540"/>
    <w:rsid w:val="00CA36B4"/>
    <w:rsid w:val="00CA4BAB"/>
    <w:rsid w:val="00CA50B8"/>
    <w:rsid w:val="00CC3780"/>
    <w:rsid w:val="00CC4BC0"/>
    <w:rsid w:val="00CD2804"/>
    <w:rsid w:val="00CD3331"/>
    <w:rsid w:val="00CD42F6"/>
    <w:rsid w:val="00CD43C1"/>
    <w:rsid w:val="00CD7331"/>
    <w:rsid w:val="00CE13E5"/>
    <w:rsid w:val="00CE7D88"/>
    <w:rsid w:val="00CE7EFC"/>
    <w:rsid w:val="00CF4460"/>
    <w:rsid w:val="00CF4EC6"/>
    <w:rsid w:val="00CF7AD2"/>
    <w:rsid w:val="00D01779"/>
    <w:rsid w:val="00D055EE"/>
    <w:rsid w:val="00D0785E"/>
    <w:rsid w:val="00D11E73"/>
    <w:rsid w:val="00D15A53"/>
    <w:rsid w:val="00D22BAF"/>
    <w:rsid w:val="00D26FAF"/>
    <w:rsid w:val="00D31390"/>
    <w:rsid w:val="00D333F2"/>
    <w:rsid w:val="00D359DE"/>
    <w:rsid w:val="00D368E9"/>
    <w:rsid w:val="00D37EE3"/>
    <w:rsid w:val="00D37FCE"/>
    <w:rsid w:val="00D6088C"/>
    <w:rsid w:val="00D61B31"/>
    <w:rsid w:val="00D66C7C"/>
    <w:rsid w:val="00D72887"/>
    <w:rsid w:val="00D74C7B"/>
    <w:rsid w:val="00D7658B"/>
    <w:rsid w:val="00D80324"/>
    <w:rsid w:val="00D833D6"/>
    <w:rsid w:val="00D84FA2"/>
    <w:rsid w:val="00D84FBB"/>
    <w:rsid w:val="00D85403"/>
    <w:rsid w:val="00DA7F25"/>
    <w:rsid w:val="00DB538F"/>
    <w:rsid w:val="00DC0D19"/>
    <w:rsid w:val="00DC2D1E"/>
    <w:rsid w:val="00DC7B9E"/>
    <w:rsid w:val="00DD149A"/>
    <w:rsid w:val="00DE292D"/>
    <w:rsid w:val="00DE3C94"/>
    <w:rsid w:val="00DE4283"/>
    <w:rsid w:val="00DF46C2"/>
    <w:rsid w:val="00DF7069"/>
    <w:rsid w:val="00E020B0"/>
    <w:rsid w:val="00E057C8"/>
    <w:rsid w:val="00E07273"/>
    <w:rsid w:val="00E0779C"/>
    <w:rsid w:val="00E11DBE"/>
    <w:rsid w:val="00E131CD"/>
    <w:rsid w:val="00E1631A"/>
    <w:rsid w:val="00E17E80"/>
    <w:rsid w:val="00E20E02"/>
    <w:rsid w:val="00E22B78"/>
    <w:rsid w:val="00E306D6"/>
    <w:rsid w:val="00E32D31"/>
    <w:rsid w:val="00E404FF"/>
    <w:rsid w:val="00E43693"/>
    <w:rsid w:val="00E479F3"/>
    <w:rsid w:val="00E50A30"/>
    <w:rsid w:val="00E72308"/>
    <w:rsid w:val="00E772B1"/>
    <w:rsid w:val="00E81067"/>
    <w:rsid w:val="00E83910"/>
    <w:rsid w:val="00E861EA"/>
    <w:rsid w:val="00E871D2"/>
    <w:rsid w:val="00E908D3"/>
    <w:rsid w:val="00E92EF8"/>
    <w:rsid w:val="00E97D4D"/>
    <w:rsid w:val="00EA3CCA"/>
    <w:rsid w:val="00EA6976"/>
    <w:rsid w:val="00EB30DC"/>
    <w:rsid w:val="00EC2097"/>
    <w:rsid w:val="00EC5396"/>
    <w:rsid w:val="00ED131F"/>
    <w:rsid w:val="00ED7A3D"/>
    <w:rsid w:val="00EE0428"/>
    <w:rsid w:val="00EE1E00"/>
    <w:rsid w:val="00EE1F27"/>
    <w:rsid w:val="00EE2BB6"/>
    <w:rsid w:val="00EF4F24"/>
    <w:rsid w:val="00EF51CD"/>
    <w:rsid w:val="00F03CB7"/>
    <w:rsid w:val="00F03E27"/>
    <w:rsid w:val="00F05890"/>
    <w:rsid w:val="00F11FD4"/>
    <w:rsid w:val="00F12214"/>
    <w:rsid w:val="00F12F1A"/>
    <w:rsid w:val="00F14A3A"/>
    <w:rsid w:val="00F1742C"/>
    <w:rsid w:val="00F2039C"/>
    <w:rsid w:val="00F205D2"/>
    <w:rsid w:val="00F21DA2"/>
    <w:rsid w:val="00F3191D"/>
    <w:rsid w:val="00F31F43"/>
    <w:rsid w:val="00F33074"/>
    <w:rsid w:val="00F33E71"/>
    <w:rsid w:val="00F3721A"/>
    <w:rsid w:val="00F37C3D"/>
    <w:rsid w:val="00F440D9"/>
    <w:rsid w:val="00F44620"/>
    <w:rsid w:val="00F4693D"/>
    <w:rsid w:val="00F519F0"/>
    <w:rsid w:val="00F52BCC"/>
    <w:rsid w:val="00F52F9E"/>
    <w:rsid w:val="00F53B92"/>
    <w:rsid w:val="00F577B1"/>
    <w:rsid w:val="00F6267F"/>
    <w:rsid w:val="00F63444"/>
    <w:rsid w:val="00F63B0B"/>
    <w:rsid w:val="00F659C7"/>
    <w:rsid w:val="00F67AD3"/>
    <w:rsid w:val="00F71608"/>
    <w:rsid w:val="00F75BBC"/>
    <w:rsid w:val="00F766A6"/>
    <w:rsid w:val="00F77DA4"/>
    <w:rsid w:val="00F816D6"/>
    <w:rsid w:val="00F91066"/>
    <w:rsid w:val="00F942BE"/>
    <w:rsid w:val="00F94958"/>
    <w:rsid w:val="00F97530"/>
    <w:rsid w:val="00FA098D"/>
    <w:rsid w:val="00FA0ECB"/>
    <w:rsid w:val="00FA2DCD"/>
    <w:rsid w:val="00FA62E6"/>
    <w:rsid w:val="00FA7CE0"/>
    <w:rsid w:val="00FB3DDB"/>
    <w:rsid w:val="00FB40A1"/>
    <w:rsid w:val="00FB56B5"/>
    <w:rsid w:val="00FB69A6"/>
    <w:rsid w:val="00FB7669"/>
    <w:rsid w:val="00FC0266"/>
    <w:rsid w:val="00FC1B20"/>
    <w:rsid w:val="00FC3642"/>
    <w:rsid w:val="00FC44E8"/>
    <w:rsid w:val="00FC6843"/>
    <w:rsid w:val="00FD3FA4"/>
    <w:rsid w:val="00FD56BB"/>
    <w:rsid w:val="00FD702E"/>
    <w:rsid w:val="00FD7E49"/>
    <w:rsid w:val="00FF2D6C"/>
    <w:rsid w:val="00FF6A9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7b6c58,#887e6e,#d2232a,#57433e,#b0a696"/>
    </o:shapedefaults>
    <o:shapelayout v:ext="edit">
      <o:idmap v:ext="edit" data="1"/>
    </o:shapelayout>
  </w:shapeDefaults>
  <w:decimalSymbol w:val=","/>
  <w:listSeparator w:val=";"/>
  <w14:docId w14:val="20DE9DAB"/>
  <w15:docId w15:val="{D64BB096-565F-48D3-9584-8B2E10A4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6C4FBD"/>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B671E0"/>
    <w:pPr>
      <w:numPr>
        <w:numId w:val="7"/>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uiPriority w:val="99"/>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uiPriority w:val="59"/>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semiHidden/>
    <w:rsid w:val="008935B9"/>
    <w:rPr>
      <w:szCs w:val="20"/>
    </w:rPr>
  </w:style>
  <w:style w:type="character" w:styleId="FootnoteReference">
    <w:name w:val="footnote reference"/>
    <w:aliases w:val="Appel note de bas de p,Footnote Reference/"/>
    <w:basedOn w:val="DefaultParagraphFont"/>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31313E"/>
    <w:pPr>
      <w:spacing w:after="0"/>
      <w:ind w:left="284" w:hanging="284"/>
    </w:pPr>
    <w:rPr>
      <w:sz w:val="16"/>
      <w:szCs w:val="16"/>
    </w:rPr>
  </w:style>
  <w:style w:type="paragraph" w:customStyle="1" w:styleId="reference">
    <w:name w:val="reference"/>
    <w:basedOn w:val="Normal"/>
    <w:rsid w:val="00A50B64"/>
    <w:pPr>
      <w:numPr>
        <w:numId w:val="6"/>
      </w:numPr>
    </w:pPr>
    <w:rPr>
      <w:lang w:eastAsia="ja-JP"/>
    </w:rPr>
  </w:style>
  <w:style w:type="paragraph" w:customStyle="1" w:styleId="ECCAnnexheading2">
    <w:name w:val="ECC Annex heading2"/>
    <w:basedOn w:val="Normal"/>
    <w:next w:val="ECCParagraph"/>
    <w:rsid w:val="00C95C7C"/>
    <w:pPr>
      <w:numPr>
        <w:ilvl w:val="1"/>
        <w:numId w:val="7"/>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7"/>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7"/>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37"/>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42"/>
      </w:numPr>
    </w:pPr>
  </w:style>
  <w:style w:type="paragraph" w:styleId="Caption">
    <w:name w:val="caption"/>
    <w:basedOn w:val="Normal"/>
    <w:next w:val="Normal"/>
    <w:uiPriority w:val="35"/>
    <w:semiHidden/>
    <w:unhideWhenUsed/>
    <w:qFormat/>
    <w:rsid w:val="00BD7E2C"/>
    <w:pPr>
      <w:spacing w:before="240" w:after="240"/>
      <w:jc w:val="center"/>
    </w:pPr>
    <w:rPr>
      <w:b/>
      <w:bCs/>
      <w:color w:val="D2232A"/>
      <w:szCs w:val="20"/>
    </w:rPr>
  </w:style>
  <w:style w:type="paragraph" w:styleId="ListParagraph">
    <w:name w:val="List Paragraph"/>
    <w:basedOn w:val="Normal"/>
    <w:uiPriority w:val="34"/>
    <w:qFormat/>
    <w:rsid w:val="0034022A"/>
    <w:pPr>
      <w:spacing w:after="200" w:line="276" w:lineRule="auto"/>
      <w:ind w:left="720"/>
      <w:contextualSpacing/>
    </w:pPr>
    <w:rPr>
      <w:rFonts w:asciiTheme="minorHAnsi" w:eastAsiaTheme="minorHAnsi" w:hAnsiTheme="minorHAnsi" w:cstheme="minorBidi"/>
      <w:sz w:val="22"/>
      <w:szCs w:val="22"/>
      <w:lang w:val="fr-FR"/>
    </w:rPr>
  </w:style>
  <w:style w:type="character" w:customStyle="1" w:styleId="ECCParagraphChar">
    <w:name w:val="ECC Paragraph Char"/>
    <w:link w:val="ECCParagraph"/>
    <w:locked/>
    <w:rsid w:val="00B90690"/>
    <w:rPr>
      <w:rFonts w:ascii="Arial" w:hAnsi="Arial"/>
      <w:szCs w:val="24"/>
    </w:rPr>
  </w:style>
  <w:style w:type="character" w:styleId="CommentReference">
    <w:name w:val="annotation reference"/>
    <w:basedOn w:val="DefaultParagraphFont"/>
    <w:uiPriority w:val="99"/>
    <w:semiHidden/>
    <w:unhideWhenUsed/>
    <w:rsid w:val="009B793F"/>
    <w:rPr>
      <w:sz w:val="16"/>
      <w:szCs w:val="16"/>
    </w:rPr>
  </w:style>
  <w:style w:type="paragraph" w:styleId="CommentText">
    <w:name w:val="annotation text"/>
    <w:basedOn w:val="Normal"/>
    <w:link w:val="CommentTextChar"/>
    <w:uiPriority w:val="99"/>
    <w:unhideWhenUsed/>
    <w:rsid w:val="009B793F"/>
    <w:rPr>
      <w:szCs w:val="20"/>
    </w:rPr>
  </w:style>
  <w:style w:type="character" w:customStyle="1" w:styleId="CommentTextChar">
    <w:name w:val="Comment Text Char"/>
    <w:basedOn w:val="DefaultParagraphFont"/>
    <w:link w:val="CommentText"/>
    <w:uiPriority w:val="99"/>
    <w:rsid w:val="009B793F"/>
    <w:rPr>
      <w:rFonts w:ascii="Arial" w:hAnsi="Arial"/>
      <w:lang w:val="en-US"/>
    </w:rPr>
  </w:style>
  <w:style w:type="paragraph" w:styleId="CommentSubject">
    <w:name w:val="annotation subject"/>
    <w:basedOn w:val="CommentText"/>
    <w:next w:val="CommentText"/>
    <w:link w:val="CommentSubjectChar"/>
    <w:uiPriority w:val="99"/>
    <w:semiHidden/>
    <w:unhideWhenUsed/>
    <w:rsid w:val="009B793F"/>
    <w:rPr>
      <w:b/>
      <w:bCs/>
    </w:rPr>
  </w:style>
  <w:style w:type="character" w:customStyle="1" w:styleId="CommentSubjectChar">
    <w:name w:val="Comment Subject Char"/>
    <w:basedOn w:val="CommentTextChar"/>
    <w:link w:val="CommentSubject"/>
    <w:uiPriority w:val="99"/>
    <w:semiHidden/>
    <w:rsid w:val="009B793F"/>
    <w:rPr>
      <w:rFonts w:ascii="Arial" w:hAnsi="Arial"/>
      <w:b/>
      <w:bCs/>
      <w:lang w:val="en-US"/>
    </w:rPr>
  </w:style>
  <w:style w:type="paragraph" w:customStyle="1" w:styleId="ECCBulletsLv1">
    <w:name w:val="ECC Bullets Lv1"/>
    <w:basedOn w:val="Normal"/>
    <w:rsid w:val="00302D22"/>
    <w:pPr>
      <w:numPr>
        <w:numId w:val="45"/>
      </w:numPr>
      <w:tabs>
        <w:tab w:val="left" w:pos="340"/>
      </w:tabs>
      <w:spacing w:before="60" w:line="288" w:lineRule="auto"/>
      <w:ind w:left="340" w:hanging="340"/>
      <w:contextualSpacing/>
      <w:jc w:val="both"/>
    </w:pPr>
    <w:rPr>
      <w:rFonts w:eastAsia="Calibri"/>
      <w:szCs w:val="22"/>
      <w:lang w:val="en-GB"/>
    </w:rPr>
  </w:style>
  <w:style w:type="character" w:customStyle="1" w:styleId="author-a-uxz69zz81z6z90zz74zfxfu730ox">
    <w:name w:val="author-a-uxz69zz81z6z90zz74zfxfu730ox"/>
    <w:basedOn w:val="DefaultParagraphFont"/>
    <w:rsid w:val="00F205D2"/>
  </w:style>
  <w:style w:type="character" w:customStyle="1" w:styleId="author-a-z83zuyz73zvimm6z74zz80zcz73zz72zz73zb">
    <w:name w:val="author-a-z83zuyz73zvimm6z74zz80zcz73zz72zz73zb"/>
    <w:basedOn w:val="DefaultParagraphFont"/>
    <w:rsid w:val="00F205D2"/>
  </w:style>
  <w:style w:type="paragraph" w:styleId="Revision">
    <w:name w:val="Revision"/>
    <w:hidden/>
    <w:uiPriority w:val="99"/>
    <w:semiHidden/>
    <w:rsid w:val="004A2580"/>
    <w:rPr>
      <w:rFonts w:ascii="Arial" w:hAnsi="Arial"/>
      <w:szCs w:val="24"/>
      <w:lang w:val="en-US"/>
    </w:rPr>
  </w:style>
  <w:style w:type="paragraph" w:styleId="NormalWeb">
    <w:name w:val="Normal (Web)"/>
    <w:basedOn w:val="Normal"/>
    <w:uiPriority w:val="99"/>
    <w:semiHidden/>
    <w:unhideWhenUsed/>
    <w:rsid w:val="00D85403"/>
    <w:pPr>
      <w:spacing w:before="100" w:beforeAutospacing="1" w:after="100" w:afterAutospacing="1"/>
    </w:pPr>
    <w:rPr>
      <w:rFonts w:ascii="Times New Roman" w:hAnsi="Times New Roman"/>
      <w:sz w:val="24"/>
      <w:lang w:val="fr-FR" w:eastAsia="fr-FR"/>
    </w:rPr>
  </w:style>
  <w:style w:type="character" w:styleId="Emphasis">
    <w:name w:val="Emphasis"/>
    <w:basedOn w:val="DefaultParagraphFont"/>
    <w:uiPriority w:val="20"/>
    <w:qFormat/>
    <w:rsid w:val="00AB0E0D"/>
    <w:rPr>
      <w:i/>
      <w:iCs/>
    </w:rPr>
  </w:style>
  <w:style w:type="character" w:styleId="UnresolvedMention">
    <w:name w:val="Unresolved Mention"/>
    <w:basedOn w:val="DefaultParagraphFont"/>
    <w:uiPriority w:val="99"/>
    <w:semiHidden/>
    <w:unhideWhenUsed/>
    <w:rsid w:val="00AC7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9154">
      <w:bodyDiv w:val="1"/>
      <w:marLeft w:val="0"/>
      <w:marRight w:val="0"/>
      <w:marTop w:val="0"/>
      <w:marBottom w:val="0"/>
      <w:divBdr>
        <w:top w:val="none" w:sz="0" w:space="0" w:color="auto"/>
        <w:left w:val="none" w:sz="0" w:space="0" w:color="auto"/>
        <w:bottom w:val="none" w:sz="0" w:space="0" w:color="auto"/>
        <w:right w:val="none" w:sz="0" w:space="0" w:color="auto"/>
      </w:divBdr>
    </w:div>
    <w:div w:id="127625005">
      <w:bodyDiv w:val="1"/>
      <w:marLeft w:val="0"/>
      <w:marRight w:val="0"/>
      <w:marTop w:val="0"/>
      <w:marBottom w:val="0"/>
      <w:divBdr>
        <w:top w:val="none" w:sz="0" w:space="0" w:color="auto"/>
        <w:left w:val="none" w:sz="0" w:space="0" w:color="auto"/>
        <w:bottom w:val="none" w:sz="0" w:space="0" w:color="auto"/>
        <w:right w:val="none" w:sz="0" w:space="0" w:color="auto"/>
      </w:divBdr>
    </w:div>
    <w:div w:id="206530341">
      <w:bodyDiv w:val="1"/>
      <w:marLeft w:val="0"/>
      <w:marRight w:val="0"/>
      <w:marTop w:val="0"/>
      <w:marBottom w:val="0"/>
      <w:divBdr>
        <w:top w:val="none" w:sz="0" w:space="0" w:color="auto"/>
        <w:left w:val="none" w:sz="0" w:space="0" w:color="auto"/>
        <w:bottom w:val="none" w:sz="0" w:space="0" w:color="auto"/>
        <w:right w:val="none" w:sz="0" w:space="0" w:color="auto"/>
      </w:divBdr>
    </w:div>
    <w:div w:id="426392147">
      <w:bodyDiv w:val="1"/>
      <w:marLeft w:val="0"/>
      <w:marRight w:val="0"/>
      <w:marTop w:val="0"/>
      <w:marBottom w:val="0"/>
      <w:divBdr>
        <w:top w:val="none" w:sz="0" w:space="0" w:color="auto"/>
        <w:left w:val="none" w:sz="0" w:space="0" w:color="auto"/>
        <w:bottom w:val="none" w:sz="0" w:space="0" w:color="auto"/>
        <w:right w:val="none" w:sz="0" w:space="0" w:color="auto"/>
      </w:divBdr>
    </w:div>
    <w:div w:id="455368622">
      <w:bodyDiv w:val="1"/>
      <w:marLeft w:val="0"/>
      <w:marRight w:val="0"/>
      <w:marTop w:val="0"/>
      <w:marBottom w:val="0"/>
      <w:divBdr>
        <w:top w:val="none" w:sz="0" w:space="0" w:color="auto"/>
        <w:left w:val="none" w:sz="0" w:space="0" w:color="auto"/>
        <w:bottom w:val="none" w:sz="0" w:space="0" w:color="auto"/>
        <w:right w:val="none" w:sz="0" w:space="0" w:color="auto"/>
      </w:divBdr>
    </w:div>
    <w:div w:id="881092040">
      <w:bodyDiv w:val="1"/>
      <w:marLeft w:val="0"/>
      <w:marRight w:val="0"/>
      <w:marTop w:val="0"/>
      <w:marBottom w:val="0"/>
      <w:divBdr>
        <w:top w:val="none" w:sz="0" w:space="0" w:color="auto"/>
        <w:left w:val="none" w:sz="0" w:space="0" w:color="auto"/>
        <w:bottom w:val="none" w:sz="0" w:space="0" w:color="auto"/>
        <w:right w:val="none" w:sz="0" w:space="0" w:color="auto"/>
      </w:divBdr>
    </w:div>
    <w:div w:id="886336410">
      <w:bodyDiv w:val="1"/>
      <w:marLeft w:val="0"/>
      <w:marRight w:val="0"/>
      <w:marTop w:val="0"/>
      <w:marBottom w:val="0"/>
      <w:divBdr>
        <w:top w:val="none" w:sz="0" w:space="0" w:color="auto"/>
        <w:left w:val="none" w:sz="0" w:space="0" w:color="auto"/>
        <w:bottom w:val="none" w:sz="0" w:space="0" w:color="auto"/>
        <w:right w:val="none" w:sz="0" w:space="0" w:color="auto"/>
      </w:divBdr>
    </w:div>
    <w:div w:id="1150436556">
      <w:bodyDiv w:val="1"/>
      <w:marLeft w:val="0"/>
      <w:marRight w:val="0"/>
      <w:marTop w:val="0"/>
      <w:marBottom w:val="0"/>
      <w:divBdr>
        <w:top w:val="none" w:sz="0" w:space="0" w:color="auto"/>
        <w:left w:val="none" w:sz="0" w:space="0" w:color="auto"/>
        <w:bottom w:val="none" w:sz="0" w:space="0" w:color="auto"/>
        <w:right w:val="none" w:sz="0" w:space="0" w:color="auto"/>
      </w:divBdr>
    </w:div>
    <w:div w:id="1461726847">
      <w:bodyDiv w:val="1"/>
      <w:marLeft w:val="0"/>
      <w:marRight w:val="0"/>
      <w:marTop w:val="0"/>
      <w:marBottom w:val="0"/>
      <w:divBdr>
        <w:top w:val="none" w:sz="0" w:space="0" w:color="auto"/>
        <w:left w:val="none" w:sz="0" w:space="0" w:color="auto"/>
        <w:bottom w:val="none" w:sz="0" w:space="0" w:color="auto"/>
        <w:right w:val="none" w:sz="0" w:space="0" w:color="auto"/>
      </w:divBdr>
    </w:div>
    <w:div w:id="157465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docdb.cept.org/hom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YVRANDE\Downloads\ECC%20Recommendation_January_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104C6FEEE3CD41AD0C335AAE6BA97C" ma:contentTypeVersion="13" ma:contentTypeDescription="Create a new document." ma:contentTypeScope="" ma:versionID="69281f3db67165fb1d24d111080aa3de">
  <xsd:schema xmlns:xsd="http://www.w3.org/2001/XMLSchema" xmlns:xs="http://www.w3.org/2001/XMLSchema" xmlns:p="http://schemas.microsoft.com/office/2006/metadata/properties" xmlns:ns3="2d78068c-6926-401d-90ac-7ebbca57bff5" xmlns:ns4="084448f3-190e-46c5-976c-9d19122fb21c" targetNamespace="http://schemas.microsoft.com/office/2006/metadata/properties" ma:root="true" ma:fieldsID="c64366c4f155297c5dfc153f073a28e5" ns3:_="" ns4:_="">
    <xsd:import namespace="2d78068c-6926-401d-90ac-7ebbca57bff5"/>
    <xsd:import namespace="084448f3-190e-46c5-976c-9d19122fb21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8068c-6926-401d-90ac-7ebbca57bf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48f3-190e-46c5-976c-9d19122fb21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296EA-09BB-44C2-A36D-FA9B36D233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792267-F624-4A86-9749-251639BE5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8068c-6926-401d-90ac-7ebbca57bff5"/>
    <ds:schemaRef ds:uri="084448f3-190e-46c5-976c-9d19122fb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FA4E94-7484-4AB2-B7DA-4FDD322CF8E2}">
  <ds:schemaRefs>
    <ds:schemaRef ds:uri="http://schemas.microsoft.com/sharepoint/v3/contenttype/forms"/>
  </ds:schemaRefs>
</ds:datastoreItem>
</file>

<file path=customXml/itemProps4.xml><?xml version="1.0" encoding="utf-8"?>
<ds:datastoreItem xmlns:ds="http://schemas.openxmlformats.org/officeDocument/2006/customXml" ds:itemID="{8E2304FD-E95F-4352-8E15-CA4A6C3F7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ECC Recommendation_January_2014</Template>
  <TotalTime>1</TotalTime>
  <Pages>6</Pages>
  <Words>1532</Words>
  <Characters>9352</Characters>
  <Application>Microsoft Office Word</Application>
  <DocSecurity>0</DocSecurity>
  <Lines>77</Lines>
  <Paragraphs>21</Paragraphs>
  <ScaleCrop>false</ScaleCrop>
  <HeadingPairs>
    <vt:vector size="8" baseType="variant">
      <vt:variant>
        <vt:lpstr>Titre</vt:lpstr>
      </vt:variant>
      <vt:variant>
        <vt:i4>1</vt:i4>
      </vt:variant>
      <vt:variant>
        <vt:lpstr>Title</vt:lpstr>
      </vt:variant>
      <vt:variant>
        <vt:i4>1</vt:i4>
      </vt:variant>
      <vt:variant>
        <vt:lpstr>제목</vt:lpstr>
      </vt:variant>
      <vt:variant>
        <vt:i4>1</vt:i4>
      </vt:variant>
      <vt:variant>
        <vt:lpstr>Titel</vt:lpstr>
      </vt:variant>
      <vt:variant>
        <vt:i4>1</vt:i4>
      </vt:variant>
    </vt:vector>
  </HeadingPairs>
  <TitlesOfParts>
    <vt:vector size="4" baseType="lpstr">
      <vt:lpstr>Draft ECC Recommandation on Frame structures for cross-border at 3400-3800 MHz for PC</vt:lpstr>
      <vt:lpstr>Draft ECC Recommandation on Frame structures for cross-border at 3400-3800 MHz for PC</vt:lpstr>
      <vt:lpstr>New ECC Report Style</vt:lpstr>
      <vt:lpstr>New ECC Report Style</vt:lpstr>
    </vt:vector>
  </TitlesOfParts>
  <Company>ECO</Company>
  <LinksUpToDate>false</LinksUpToDate>
  <CharactersWithSpaces>10863</CharactersWithSpaces>
  <SharedDoc>false</SharedDoc>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Recommendation (20)03 </dc:title>
  <dc:creator>ECO</dc:creator>
  <cp:keywords>ECC Recommendation (20)03</cp:keywords>
  <dc:description>This template is used as guidance to draft ECC Reports.</dc:description>
  <cp:lastModifiedBy>ECO</cp:lastModifiedBy>
  <cp:revision>3</cp:revision>
  <cp:lastPrinted>1901-01-01T00:00:00Z</cp:lastPrinted>
  <dcterms:created xsi:type="dcterms:W3CDTF">2020-10-23T08:28:00Z</dcterms:created>
  <dcterms:modified xsi:type="dcterms:W3CDTF">2020-10-23T08:29:00Z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0x01010092104C6FEEE3CD41AD0C335AAE6BA97C</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1585439427</vt:lpwstr>
  </property>
  <property fmtid="{D5CDD505-2E9C-101B-9397-08002B2CF9AE}" pid="7" name="NSCPROP_SA">
    <vt:lpwstr>D:\Workbox\외부회의\ECC PT1\[Issue] 2020-01-17 3.5GHz TDD Frame Harmonization\Recommendation frame structure F_D-revF_revUK-revCGXBORD_revOr_revEric HW NOK TIM - revCG.docx</vt:lpwstr>
  </property>
</Properties>
</file>