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68BBD" w14:textId="2AD67B73" w:rsidR="006C03D0" w:rsidRDefault="006C03D0"/>
    <w:p w14:paraId="05868BBE" w14:textId="77777777" w:rsidR="006C03D0" w:rsidRPr="0010769E" w:rsidRDefault="006C03D0" w:rsidP="006C03D0">
      <w:pPr>
        <w:jc w:val="center"/>
      </w:pPr>
    </w:p>
    <w:p w14:paraId="05868BBF" w14:textId="77777777" w:rsidR="006C03D0" w:rsidRPr="0010769E" w:rsidRDefault="006C03D0" w:rsidP="006C03D0">
      <w:pPr>
        <w:jc w:val="center"/>
      </w:pPr>
    </w:p>
    <w:p w14:paraId="05868BC0" w14:textId="77777777" w:rsidR="006C03D0" w:rsidRPr="0010769E" w:rsidRDefault="006C03D0" w:rsidP="006C03D0"/>
    <w:p w14:paraId="05868BC1" w14:textId="77777777" w:rsidR="006C03D0" w:rsidRPr="0010769E" w:rsidRDefault="006C03D0" w:rsidP="006C03D0"/>
    <w:p w14:paraId="05868BC2" w14:textId="77777777" w:rsidR="006C03D0" w:rsidRPr="0010769E" w:rsidRDefault="007C6571" w:rsidP="006C03D0">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05868C21" wp14:editId="05868C22">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68C32"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C05124">
                                <w:rPr>
                                  <w:color w:val="887E6E"/>
                                  <w:sz w:val="68"/>
                                </w:rPr>
                                <w:t>03</w:t>
                              </w:r>
                              <w:r w:rsidRPr="001E2FAA">
                                <w:rPr>
                                  <w:color w:val="887E6E"/>
                                  <w:sz w:val="68"/>
                                </w:rPr>
                                <w:t>)</w:t>
                              </w:r>
                              <w:r w:rsidR="00C05124">
                                <w:rPr>
                                  <w:color w:val="887E6E"/>
                                  <w:sz w:val="68"/>
                                </w:rPr>
                                <w:t>04</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5868C21" id="Group 28" o:spid="_x0000_s1027"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">
                <v:rect id="Rectangle 8" o:spid="_x0000_s1028"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 id="Text Box 9" o:spid="_x0000_s1029"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05868C32"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C05124">
                          <w:rPr>
                            <w:color w:val="887E6E"/>
                            <w:sz w:val="68"/>
                          </w:rPr>
                          <w:t>03</w:t>
                        </w:r>
                        <w:r w:rsidRPr="001E2FAA">
                          <w:rPr>
                            <w:color w:val="887E6E"/>
                            <w:sz w:val="68"/>
                          </w:rPr>
                          <w:t>)</w:t>
                        </w:r>
                        <w:r w:rsidR="00C05124">
                          <w:rPr>
                            <w:color w:val="887E6E"/>
                            <w:sz w:val="68"/>
                          </w:rPr>
                          <w:t>04</w:t>
                        </w:r>
                      </w:p>
                    </w:txbxContent>
                  </v:textbox>
                </v:shape>
                <v:group id="Group 26" o:spid="_x0000_s1030"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1"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2"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05868BC3" w14:textId="77777777" w:rsidR="006C03D0" w:rsidRPr="0010769E" w:rsidRDefault="006C03D0" w:rsidP="006C03D0">
      <w:pPr>
        <w:jc w:val="center"/>
        <w:rPr>
          <w:b/>
          <w:sz w:val="24"/>
        </w:rPr>
      </w:pPr>
    </w:p>
    <w:p w14:paraId="05868BC4" w14:textId="77777777" w:rsidR="006C03D0" w:rsidRPr="0010769E" w:rsidRDefault="006C03D0" w:rsidP="006C03D0">
      <w:pPr>
        <w:jc w:val="center"/>
        <w:rPr>
          <w:b/>
          <w:sz w:val="24"/>
        </w:rPr>
      </w:pPr>
    </w:p>
    <w:p w14:paraId="05868BC5" w14:textId="77777777" w:rsidR="006C03D0" w:rsidRPr="0010769E" w:rsidRDefault="006C03D0" w:rsidP="006C03D0">
      <w:pPr>
        <w:jc w:val="center"/>
        <w:rPr>
          <w:b/>
          <w:sz w:val="24"/>
        </w:rPr>
      </w:pPr>
    </w:p>
    <w:p w14:paraId="05868BC6" w14:textId="77777777" w:rsidR="006C03D0" w:rsidRPr="0010769E" w:rsidRDefault="006C03D0" w:rsidP="006C03D0">
      <w:pPr>
        <w:jc w:val="center"/>
        <w:rPr>
          <w:b/>
          <w:sz w:val="24"/>
        </w:rPr>
      </w:pPr>
    </w:p>
    <w:p w14:paraId="05868BC7" w14:textId="77777777" w:rsidR="006C03D0" w:rsidRPr="0010769E" w:rsidRDefault="006C03D0" w:rsidP="006C03D0">
      <w:pPr>
        <w:jc w:val="center"/>
        <w:rPr>
          <w:b/>
          <w:sz w:val="24"/>
        </w:rPr>
      </w:pPr>
    </w:p>
    <w:p w14:paraId="05868BC8" w14:textId="77777777" w:rsidR="006C03D0" w:rsidRPr="0010769E" w:rsidRDefault="006C03D0" w:rsidP="006C03D0">
      <w:pPr>
        <w:jc w:val="center"/>
        <w:rPr>
          <w:b/>
          <w:sz w:val="24"/>
        </w:rPr>
      </w:pPr>
    </w:p>
    <w:p w14:paraId="05868BC9" w14:textId="77777777" w:rsidR="006C03D0" w:rsidRPr="0010769E" w:rsidRDefault="006C03D0" w:rsidP="006C03D0">
      <w:pPr>
        <w:jc w:val="center"/>
        <w:rPr>
          <w:b/>
          <w:sz w:val="24"/>
        </w:rPr>
      </w:pPr>
    </w:p>
    <w:p w14:paraId="05868BCA" w14:textId="77777777" w:rsidR="006C03D0" w:rsidRPr="0010769E" w:rsidRDefault="006C03D0" w:rsidP="006C03D0">
      <w:pPr>
        <w:jc w:val="center"/>
        <w:rPr>
          <w:b/>
          <w:sz w:val="24"/>
        </w:rPr>
      </w:pPr>
    </w:p>
    <w:p w14:paraId="05868BCB" w14:textId="77777777" w:rsidR="006C03D0" w:rsidRPr="0010769E" w:rsidRDefault="006C03D0" w:rsidP="006C03D0">
      <w:pPr>
        <w:jc w:val="center"/>
        <w:rPr>
          <w:b/>
          <w:sz w:val="24"/>
        </w:rPr>
      </w:pPr>
    </w:p>
    <w:p w14:paraId="05868BCC" w14:textId="77777777" w:rsidR="006C03D0" w:rsidRPr="0010769E" w:rsidRDefault="006C03D0" w:rsidP="006C03D0">
      <w:pPr>
        <w:jc w:val="center"/>
        <w:rPr>
          <w:b/>
          <w:sz w:val="24"/>
        </w:rPr>
      </w:pPr>
    </w:p>
    <w:p w14:paraId="05868BCD" w14:textId="77777777" w:rsidR="006C03D0" w:rsidRPr="0010769E" w:rsidRDefault="006C03D0" w:rsidP="006C03D0">
      <w:pPr>
        <w:rPr>
          <w:b/>
          <w:sz w:val="24"/>
        </w:rPr>
      </w:pPr>
    </w:p>
    <w:p w14:paraId="05868BCE" w14:textId="77777777" w:rsidR="006C03D0" w:rsidRPr="0010769E" w:rsidRDefault="006C03D0" w:rsidP="006C03D0">
      <w:pPr>
        <w:jc w:val="center"/>
        <w:rPr>
          <w:b/>
          <w:sz w:val="24"/>
        </w:rPr>
      </w:pPr>
    </w:p>
    <w:p w14:paraId="05868BCF" w14:textId="77777777" w:rsidR="006C03D0" w:rsidRPr="005A00E5" w:rsidRDefault="00074D98" w:rsidP="006C03D0">
      <w:pPr>
        <w:pStyle w:val="Reporttitledescription"/>
        <w:rPr>
          <w:color w:val="auto"/>
        </w:rPr>
      </w:pPr>
      <w:r>
        <w:rPr>
          <w:color w:val="auto"/>
        </w:rPr>
        <w:fldChar w:fldCharType="begin">
          <w:ffData>
            <w:name w:val="Text7"/>
            <w:enabled/>
            <w:calcOnExit w:val="0"/>
            <w:textInput>
              <w:default w:val="Exemption from Individual Licensing of Very Small Aperture Terminals (VSAT) operating in the frequency bands  14.25-14.50 GHz Earth-to-space and  10.70-11.70 GHz space-to-Earth"/>
            </w:textInput>
          </w:ffData>
        </w:fldChar>
      </w:r>
      <w:r>
        <w:rPr>
          <w:color w:val="auto"/>
        </w:rPr>
        <w:instrText xml:space="preserve"> </w:instrText>
      </w:r>
      <w:bookmarkStart w:id="0" w:name="Text7"/>
      <w:r>
        <w:rPr>
          <w:color w:val="auto"/>
        </w:rPr>
        <w:instrText xml:space="preserve">FORMTEXT </w:instrText>
      </w:r>
      <w:r>
        <w:rPr>
          <w:color w:val="auto"/>
        </w:rPr>
      </w:r>
      <w:r>
        <w:rPr>
          <w:color w:val="auto"/>
        </w:rPr>
        <w:fldChar w:fldCharType="separate"/>
      </w:r>
      <w:r>
        <w:rPr>
          <w:noProof/>
          <w:color w:val="auto"/>
        </w:rPr>
        <w:t>Exemption from Individual Licensing of Very Small Aperture Terminals (VSAT) operating in the frequency bands 14.25-14.50 GHz Earth-to-space and 10.70-11.70 GHz space-to-Earth</w:t>
      </w:r>
      <w:r>
        <w:rPr>
          <w:color w:val="auto"/>
        </w:rPr>
        <w:fldChar w:fldCharType="end"/>
      </w:r>
      <w:bookmarkEnd w:id="0"/>
      <w:r w:rsidR="005F7AD5" w:rsidRPr="005A00E5">
        <w:rPr>
          <w:color w:val="auto"/>
        </w:rPr>
        <w:t xml:space="preserve"> </w:t>
      </w:r>
    </w:p>
    <w:p w14:paraId="05868BD0" w14:textId="77777777" w:rsidR="006C03D0" w:rsidRPr="005A00E5" w:rsidRDefault="00074D98" w:rsidP="006C03D0">
      <w:pPr>
        <w:pStyle w:val="Reporttitledescription"/>
        <w:rPr>
          <w:b/>
          <w:color w:val="auto"/>
          <w:sz w:val="18"/>
        </w:rPr>
      </w:pPr>
      <w:r>
        <w:rPr>
          <w:b/>
          <w:color w:val="auto"/>
          <w:sz w:val="18"/>
        </w:rPr>
        <w:fldChar w:fldCharType="begin">
          <w:ffData>
            <w:name w:val="Text8"/>
            <w:enabled/>
            <w:calcOnExit w:val="0"/>
            <w:textInput>
              <w:default w:val="Approved 17 October 2003"/>
            </w:textInput>
          </w:ffData>
        </w:fldChar>
      </w:r>
      <w:r>
        <w:rPr>
          <w:b/>
          <w:color w:val="auto"/>
          <w:sz w:val="18"/>
        </w:rPr>
        <w:instrText xml:space="preserve"> </w:instrText>
      </w:r>
      <w:bookmarkStart w:id="1" w:name="Text8"/>
      <w:r>
        <w:rPr>
          <w:b/>
          <w:color w:val="auto"/>
          <w:sz w:val="18"/>
        </w:rPr>
        <w:instrText xml:space="preserve">FORMTEXT </w:instrText>
      </w:r>
      <w:r>
        <w:rPr>
          <w:b/>
          <w:color w:val="auto"/>
          <w:sz w:val="18"/>
        </w:rPr>
      </w:r>
      <w:r>
        <w:rPr>
          <w:b/>
          <w:color w:val="auto"/>
          <w:sz w:val="18"/>
        </w:rPr>
        <w:fldChar w:fldCharType="separate"/>
      </w:r>
      <w:r>
        <w:rPr>
          <w:b/>
          <w:noProof/>
          <w:color w:val="auto"/>
          <w:sz w:val="18"/>
        </w:rPr>
        <w:t>Approved 17 October 2003</w:t>
      </w:r>
      <w:r>
        <w:rPr>
          <w:b/>
          <w:color w:val="auto"/>
          <w:sz w:val="18"/>
        </w:rPr>
        <w:fldChar w:fldCharType="end"/>
      </w:r>
      <w:bookmarkEnd w:id="1"/>
    </w:p>
    <w:p w14:paraId="05868BD1" w14:textId="014AAAC5" w:rsidR="006C03D0" w:rsidRPr="00072B81" w:rsidRDefault="002F793B" w:rsidP="006C03D0">
      <w:pPr>
        <w:pStyle w:val="Lastupdated"/>
        <w:rPr>
          <w:b/>
        </w:rPr>
      </w:pPr>
      <w:r>
        <w:rPr>
          <w:b/>
        </w:rPr>
        <w:fldChar w:fldCharType="begin">
          <w:ffData>
            <w:name w:val="Text3"/>
            <w:enabled/>
            <w:calcOnExit w:val="0"/>
            <w:textInput>
              <w:default w:val="Amended 8 March 2019"/>
            </w:textInput>
          </w:ffData>
        </w:fldChar>
      </w:r>
      <w:r>
        <w:rPr>
          <w:b/>
        </w:rPr>
        <w:instrText xml:space="preserve"> </w:instrText>
      </w:r>
      <w:bookmarkStart w:id="2" w:name="Text3"/>
      <w:r>
        <w:rPr>
          <w:b/>
        </w:rPr>
        <w:instrText xml:space="preserve">FORMTEXT </w:instrText>
      </w:r>
      <w:r>
        <w:rPr>
          <w:b/>
        </w:rPr>
      </w:r>
      <w:r>
        <w:rPr>
          <w:b/>
        </w:rPr>
        <w:fldChar w:fldCharType="separate"/>
      </w:r>
      <w:r>
        <w:rPr>
          <w:b/>
          <w:noProof/>
        </w:rPr>
        <w:t>Amended 8 March 2019</w:t>
      </w:r>
      <w:r>
        <w:rPr>
          <w:b/>
        </w:rPr>
        <w:fldChar w:fldCharType="end"/>
      </w:r>
      <w:bookmarkEnd w:id="2"/>
    </w:p>
    <w:p w14:paraId="05868BD2" w14:textId="77777777" w:rsidR="006C03D0" w:rsidRDefault="005F7AD5" w:rsidP="00D24769">
      <w:pPr>
        <w:pStyle w:val="Heading1"/>
      </w:pPr>
      <w:r>
        <w:lastRenderedPageBreak/>
        <w:t xml:space="preserve">explanatory memorandum </w:t>
      </w:r>
    </w:p>
    <w:p w14:paraId="05868BD3" w14:textId="77777777" w:rsidR="006C03D0" w:rsidRDefault="005F7AD5" w:rsidP="006C03D0">
      <w:pPr>
        <w:pStyle w:val="Heading2"/>
      </w:pPr>
      <w:r>
        <w:t xml:space="preserve">INTRODUCTION </w:t>
      </w:r>
    </w:p>
    <w:p w14:paraId="05868BD4" w14:textId="77777777" w:rsidR="00C05124" w:rsidRPr="006E696D" w:rsidRDefault="00C05124" w:rsidP="00064F87">
      <w:pPr>
        <w:tabs>
          <w:tab w:val="left" w:pos="426"/>
          <w:tab w:val="left" w:pos="9504"/>
        </w:tabs>
        <w:spacing w:after="240"/>
        <w:jc w:val="both"/>
        <w:rPr>
          <w:lang w:val="en-GB"/>
        </w:rPr>
      </w:pPr>
      <w:r w:rsidRPr="006E696D">
        <w:rPr>
          <w:lang w:val="en-GB"/>
        </w:rPr>
        <w:t xml:space="preserve">Licensing is an appropriate tool for administrations to regulate the use of radio equipment and the effective use of the frequency spectrum and to avoid harmful interference. However intervention from the administrations as far as the installation and use of equipment is concerned needs to be proportionate. </w:t>
      </w:r>
      <w:r w:rsidR="00062C4C" w:rsidRPr="006E696D">
        <w:rPr>
          <w:lang w:val="en-GB"/>
        </w:rPr>
        <w:t>Administrations</w:t>
      </w:r>
      <w:r w:rsidRPr="006E696D">
        <w:rPr>
          <w:lang w:val="en-GB"/>
        </w:rPr>
        <w:t xml:space="preserve"> and especially users, retailers and manufacturers will benefit from a more deregulated system of authorising the use of radio equipment.</w:t>
      </w:r>
    </w:p>
    <w:p w14:paraId="05868BD5" w14:textId="77777777" w:rsidR="006C03D0" w:rsidRDefault="005F7AD5" w:rsidP="006C03D0">
      <w:pPr>
        <w:pStyle w:val="Heading2"/>
      </w:pPr>
      <w:r>
        <w:t xml:space="preserve">BACKGROUND </w:t>
      </w:r>
    </w:p>
    <w:p w14:paraId="05868BD6" w14:textId="60BDBD20" w:rsidR="00C05124" w:rsidRPr="006E696D" w:rsidRDefault="00C05124" w:rsidP="001C1C83">
      <w:pPr>
        <w:pStyle w:val="ECCParagraph"/>
      </w:pPr>
      <w:r w:rsidRPr="006E696D">
        <w:t xml:space="preserve">There is general agreement that when the efficient use of the frequency spectrum is not at risk and as long as harmful interference is unlikely, the installation and use of radio equipment might be exempted from individual licensing. Within the EEA, Directives </w:t>
      </w:r>
      <w:r w:rsidR="005D3D73">
        <w:t>2014</w:t>
      </w:r>
      <w:r w:rsidRPr="006E696D">
        <w:t>/5</w:t>
      </w:r>
      <w:r w:rsidR="005D3D73">
        <w:t>3</w:t>
      </w:r>
      <w:r w:rsidRPr="006E696D">
        <w:t>/</w:t>
      </w:r>
      <w:r w:rsidR="005D3D73" w:rsidRPr="006E696D">
        <w:t>E</w:t>
      </w:r>
      <w:r w:rsidR="005D3D73">
        <w:t>U</w:t>
      </w:r>
      <w:r w:rsidR="005D3D73" w:rsidRPr="006E696D">
        <w:t xml:space="preserve"> </w:t>
      </w:r>
      <w:r w:rsidRPr="006E696D">
        <w:t xml:space="preserve">(the RTE Directive) </w:t>
      </w:r>
      <w:r w:rsidR="002221BF">
        <w:fldChar w:fldCharType="begin"/>
      </w:r>
      <w:r w:rsidR="002221BF">
        <w:instrText xml:space="preserve"> REF _Ref524429516 \r \h  \* MERGEFORMAT </w:instrText>
      </w:r>
      <w:r w:rsidR="002221BF">
        <w:fldChar w:fldCharType="separate"/>
      </w:r>
      <w:r w:rsidR="002221BF">
        <w:t>[1]</w:t>
      </w:r>
      <w:r w:rsidR="002221BF">
        <w:fldChar w:fldCharType="end"/>
      </w:r>
      <w:r w:rsidR="002221BF">
        <w:t xml:space="preserve"> </w:t>
      </w:r>
      <w:r w:rsidRPr="006E696D">
        <w:t>and Directive 2002/20/EC (the Authorisation Directive)</w:t>
      </w:r>
      <w:r w:rsidR="002221BF">
        <w:t xml:space="preserve"> </w:t>
      </w:r>
      <w:r w:rsidR="002221BF">
        <w:fldChar w:fldCharType="begin"/>
      </w:r>
      <w:r w:rsidR="002221BF">
        <w:instrText xml:space="preserve"> REF _Ref524429527 \r \h  \* MERGEFORMAT </w:instrText>
      </w:r>
      <w:r w:rsidR="002221BF">
        <w:fldChar w:fldCharType="separate"/>
      </w:r>
      <w:r w:rsidR="002221BF">
        <w:t>[2]</w:t>
      </w:r>
      <w:r w:rsidR="002221BF">
        <w:fldChar w:fldCharType="end"/>
      </w:r>
      <w:r w:rsidRPr="006E696D">
        <w:t xml:space="preserve"> introduce the principle that individual licensing is only justified for reasons related to the effective/efficient use of the spectrum and the avoidance of harmful interference.</w:t>
      </w:r>
    </w:p>
    <w:p w14:paraId="05868BD7" w14:textId="77777777" w:rsidR="00C05124" w:rsidRPr="006E696D" w:rsidRDefault="00C05124" w:rsidP="001C1C83">
      <w:pPr>
        <w:pStyle w:val="ECCParagraph"/>
      </w:pPr>
      <w:r w:rsidRPr="006E696D">
        <w:t>In general the CEPT administrations apply similar systems of licensing and exemption from individual licensing. However, different criteria are used to decide whether radio equipment should be licensed or exempted from an individual licence.</w:t>
      </w:r>
    </w:p>
    <w:p w14:paraId="05868BD8" w14:textId="77777777" w:rsidR="00C05124" w:rsidRPr="006E696D" w:rsidRDefault="00C05124" w:rsidP="001C1C83">
      <w:pPr>
        <w:pStyle w:val="ECCParagraph"/>
      </w:pPr>
      <w:r w:rsidRPr="006E696D">
        <w:t>The provision of Pan European wide services will be greatly assisted when all CEPT administrations exempt the same categories of radio equipment from licensing and apply -to achieve that- the same criteria to decide on this.</w:t>
      </w:r>
    </w:p>
    <w:p w14:paraId="05868BD9" w14:textId="77777777" w:rsidR="00C05124" w:rsidRPr="006E696D" w:rsidRDefault="00C05124" w:rsidP="001C1C83">
      <w:pPr>
        <w:pStyle w:val="ECCParagraph"/>
      </w:pPr>
      <w:r w:rsidRPr="006E696D">
        <w:t>When radio equipment is subject to an exemption from individual licensing, anyone can have installed and use the radio equipment without any prior individual permission from the administration. Furthermore, the administration will not register the individual equipment. The use of the equipment can be subject to general provisions or general licence.</w:t>
      </w:r>
    </w:p>
    <w:p w14:paraId="05868BDA" w14:textId="77777777" w:rsidR="00C05124" w:rsidRPr="006E696D" w:rsidRDefault="00C05124" w:rsidP="001C1C83">
      <w:pPr>
        <w:pStyle w:val="ECCParagraph"/>
      </w:pPr>
      <w:r w:rsidRPr="006E696D">
        <w:t>This Decision intends to provide for licence exemption of Very Small Aperture Terminals (VSAT) within the CEPT. The European Telecommunication Standards Institute (ETSI) provides specifications for the standardisation of the characteristics of Very Small Aperture Terminals (VSATs) operating as part of a satellite network (e.g. star, meshed or point-to-point) used for the distribution of information. These VSATs have the following characteristics:</w:t>
      </w:r>
    </w:p>
    <w:p w14:paraId="05868BDB" w14:textId="77777777" w:rsidR="00C05124" w:rsidRPr="006E696D" w:rsidRDefault="00C05124" w:rsidP="001C1C83">
      <w:pPr>
        <w:pStyle w:val="ECCParagraph"/>
      </w:pPr>
      <w:r w:rsidRPr="006E696D">
        <w:t>They operate in one or more frequency ranges in the exclusive part of the following bands allocated to the fixed satellite services (FSS):</w:t>
      </w:r>
    </w:p>
    <w:p w14:paraId="05868BDC" w14:textId="77777777" w:rsidR="00C05124" w:rsidRPr="000447A8" w:rsidRDefault="00C05124" w:rsidP="00064F87">
      <w:pPr>
        <w:pStyle w:val="ECCParBulleted"/>
        <w:ind w:left="357" w:hanging="357"/>
      </w:pPr>
      <w:r w:rsidRPr="000447A8">
        <w:t>14.00 GHz to 14.25 GHz (Earth-to-space)</w:t>
      </w:r>
    </w:p>
    <w:p w14:paraId="05868BDD" w14:textId="77777777" w:rsidR="00C05124" w:rsidRPr="000447A8" w:rsidRDefault="00C05124" w:rsidP="00064F87">
      <w:pPr>
        <w:pStyle w:val="ECCParBulleted"/>
        <w:ind w:left="357" w:hanging="357"/>
      </w:pPr>
      <w:r w:rsidRPr="000447A8">
        <w:t xml:space="preserve">12.50 GHz to 12.75 GHz (space-to-Earth) </w:t>
      </w:r>
    </w:p>
    <w:p w14:paraId="05868BDE" w14:textId="6A0D4E3D" w:rsidR="00C05124" w:rsidRPr="006E696D" w:rsidRDefault="00C05124" w:rsidP="00C05124">
      <w:pPr>
        <w:numPr>
          <w:ilvl w:val="12"/>
          <w:numId w:val="0"/>
        </w:numPr>
        <w:tabs>
          <w:tab w:val="left" w:pos="284"/>
          <w:tab w:val="left" w:pos="9504"/>
        </w:tabs>
        <w:spacing w:line="258" w:lineRule="auto"/>
        <w:jc w:val="both"/>
        <w:rPr>
          <w:lang w:val="en-GB"/>
        </w:rPr>
      </w:pPr>
      <w:r w:rsidRPr="006E696D">
        <w:rPr>
          <w:lang w:val="en-GB"/>
        </w:rPr>
        <w:t>or in the shared parts of the following band, allocated to the FSS and Fixed Services (FS):</w:t>
      </w:r>
    </w:p>
    <w:p w14:paraId="05868BDF" w14:textId="77777777" w:rsidR="00C05124" w:rsidRPr="006E696D" w:rsidRDefault="00C05124" w:rsidP="00064F87">
      <w:pPr>
        <w:pStyle w:val="ECCParBulleted"/>
        <w:ind w:left="357" w:hanging="357"/>
      </w:pPr>
      <w:r w:rsidRPr="006E696D">
        <w:t>14.25 GHz to 14.50 GHz (Earth-to-space)</w:t>
      </w:r>
    </w:p>
    <w:p w14:paraId="05868BE0" w14:textId="77777777" w:rsidR="00C05124" w:rsidRDefault="00C05124" w:rsidP="00064F87">
      <w:pPr>
        <w:pStyle w:val="ECCParBulleted"/>
        <w:ind w:left="357" w:hanging="357"/>
      </w:pPr>
      <w:r w:rsidRPr="006E696D">
        <w:t>10.70 GHz to 11.70 GHz (space-to-Earth).</w:t>
      </w:r>
    </w:p>
    <w:p w14:paraId="05868BE1" w14:textId="77777777" w:rsidR="001C1C83" w:rsidRPr="006E696D" w:rsidRDefault="001C1C83" w:rsidP="001C1C83">
      <w:pPr>
        <w:pStyle w:val="ECCParBulleted"/>
        <w:numPr>
          <w:ilvl w:val="0"/>
          <w:numId w:val="0"/>
        </w:numPr>
        <w:ind w:left="2280"/>
      </w:pPr>
    </w:p>
    <w:p w14:paraId="05868BE2" w14:textId="77777777" w:rsidR="001C1C83" w:rsidRDefault="001C1C83" w:rsidP="001C1C83">
      <w:pPr>
        <w:tabs>
          <w:tab w:val="left" w:pos="426"/>
          <w:tab w:val="left" w:pos="9504"/>
        </w:tabs>
        <w:spacing w:line="258" w:lineRule="auto"/>
        <w:jc w:val="both"/>
        <w:rPr>
          <w:lang w:val="en-GB"/>
        </w:rPr>
      </w:pPr>
      <w:r w:rsidRPr="006E696D">
        <w:rPr>
          <w:lang w:val="en-GB"/>
        </w:rPr>
        <w:t>They operate with geostationary satellites and the terminals are envisaged for unattended operation, having an antenna diameter up to 3.8m.</w:t>
      </w:r>
    </w:p>
    <w:p w14:paraId="05868BE3" w14:textId="77777777" w:rsidR="00253B86" w:rsidRDefault="00253B86" w:rsidP="001C1C83">
      <w:pPr>
        <w:tabs>
          <w:tab w:val="left" w:pos="426"/>
          <w:tab w:val="left" w:pos="9504"/>
        </w:tabs>
        <w:spacing w:line="258" w:lineRule="auto"/>
        <w:jc w:val="both"/>
        <w:rPr>
          <w:lang w:val="en-GB"/>
        </w:rPr>
      </w:pPr>
    </w:p>
    <w:p w14:paraId="05868BE8" w14:textId="77777777" w:rsidR="006B780F" w:rsidRDefault="006B780F" w:rsidP="00064F87">
      <w:pPr>
        <w:tabs>
          <w:tab w:val="left" w:pos="426"/>
          <w:tab w:val="left" w:pos="9504"/>
        </w:tabs>
        <w:spacing w:after="240"/>
        <w:jc w:val="both"/>
        <w:rPr>
          <w:lang w:val="en-GB"/>
        </w:rPr>
      </w:pPr>
      <w:r w:rsidRPr="006E696D">
        <w:rPr>
          <w:lang w:val="en-GB"/>
        </w:rPr>
        <w:t>The powers specified in this Decision are peak powers. Where an antenna is coupled to more than one transmitter or a transmitter provides more than one carrier, the transmitter power specified in this Decision is the sum total of all carriers feeding the antenna and the e.i.r.p specified is the sum total of all the emissions from the antenna on the main lobe.</w:t>
      </w:r>
    </w:p>
    <w:p w14:paraId="05868BE9" w14:textId="77777777" w:rsidR="00C05124" w:rsidRPr="00823817" w:rsidRDefault="00C05124" w:rsidP="00064F87">
      <w:pPr>
        <w:pStyle w:val="FootnoteText"/>
        <w:spacing w:after="240"/>
      </w:pPr>
      <w:r w:rsidRPr="00823817">
        <w:rPr>
          <w:lang w:eastAsia="nl-NL"/>
        </w:rPr>
        <w:lastRenderedPageBreak/>
        <w:t>The electromagnetic compatibility between satellite terminals and aircraft avionics has been examined in ECC Report 272 on</w:t>
      </w:r>
      <w:r w:rsidRPr="00823817">
        <w:rPr>
          <w:b/>
          <w:lang w:eastAsia="nl-NL"/>
        </w:rPr>
        <w:t xml:space="preserve"> </w:t>
      </w:r>
      <w:r w:rsidRPr="004C4EBC">
        <w:t>the “</w:t>
      </w:r>
      <w:r w:rsidRPr="00823817">
        <w:t>Earth Stations operating in the frequency bands 4-8 GHz, 12-18 GHz and 18-40 GHz in the vicinity of aircraft”</w:t>
      </w:r>
      <w:r w:rsidR="002221BF">
        <w:t xml:space="preserve"> </w:t>
      </w:r>
      <w:r w:rsidR="002221BF">
        <w:fldChar w:fldCharType="begin"/>
      </w:r>
      <w:r w:rsidR="002221BF">
        <w:instrText xml:space="preserve"> REF _Ref524429550 \n \h </w:instrText>
      </w:r>
      <w:r w:rsidR="002221BF">
        <w:fldChar w:fldCharType="separate"/>
      </w:r>
      <w:r w:rsidR="002221BF">
        <w:t>[3]</w:t>
      </w:r>
      <w:r w:rsidR="002221BF">
        <w:fldChar w:fldCharType="end"/>
      </w:r>
      <w:r>
        <w:t xml:space="preserve">. This </w:t>
      </w:r>
      <w:r w:rsidR="00064F87">
        <w:t xml:space="preserve">ECC </w:t>
      </w:r>
      <w:r>
        <w:t>Report provides the m</w:t>
      </w:r>
      <w:r w:rsidRPr="00B83916">
        <w:rPr>
          <w:bCs/>
        </w:rPr>
        <w:t xml:space="preserve">aximum </w:t>
      </w:r>
      <w:r>
        <w:rPr>
          <w:bCs/>
        </w:rPr>
        <w:t>e</w:t>
      </w:r>
      <w:r w:rsidRPr="00823817">
        <w:rPr>
          <w:bCs/>
        </w:rPr>
        <w:t xml:space="preserve">arth station e.i.r.p. levels to ensure compliance with aircraft </w:t>
      </w:r>
      <w:r>
        <w:rPr>
          <w:bCs/>
        </w:rPr>
        <w:t>High Intensity Radiated Field (</w:t>
      </w:r>
      <w:r w:rsidRPr="00823817">
        <w:rPr>
          <w:bCs/>
        </w:rPr>
        <w:t>HIRF</w:t>
      </w:r>
      <w:r>
        <w:rPr>
          <w:bCs/>
        </w:rPr>
        <w:t>)</w:t>
      </w:r>
      <w:r w:rsidRPr="00823817">
        <w:rPr>
          <w:bCs/>
        </w:rPr>
        <w:t xml:space="preserve"> protection criteria</w:t>
      </w:r>
      <w:r w:rsidRPr="00823817">
        <w:t>.</w:t>
      </w:r>
    </w:p>
    <w:p w14:paraId="05868BEA" w14:textId="77777777" w:rsidR="00C05124" w:rsidRDefault="00C05124" w:rsidP="00064F87">
      <w:pPr>
        <w:tabs>
          <w:tab w:val="left" w:pos="426"/>
          <w:tab w:val="left" w:pos="9504"/>
        </w:tabs>
        <w:spacing w:after="240"/>
        <w:jc w:val="both"/>
        <w:rPr>
          <w:lang w:val="en-GB"/>
        </w:rPr>
      </w:pPr>
      <w:r>
        <w:t>Maximum e.i.r.p. levels for earth stations retained in this Decision are equal to or lower than maximum e.i.r.p. based on ECC Report 272 that ensures compliance with aircraft HIRF protection criteria. Therefore the maximum e.i.r.p. levels indicated in this Decision implicitly provide the necessary protection for aircraft HIRF</w:t>
      </w:r>
      <w:r w:rsidRPr="006E696D">
        <w:rPr>
          <w:lang w:val="en-GB"/>
        </w:rPr>
        <w:t>.</w:t>
      </w:r>
    </w:p>
    <w:p w14:paraId="05868BEB" w14:textId="77777777" w:rsidR="006C03D0" w:rsidRDefault="005F7AD5" w:rsidP="006C03D0">
      <w:pPr>
        <w:pStyle w:val="Heading2"/>
      </w:pPr>
      <w:r>
        <w:t>REQUIREMENT FOR AN ECC DECISION</w:t>
      </w:r>
    </w:p>
    <w:p w14:paraId="05868BEC" w14:textId="5BFC6E17" w:rsidR="00C05124" w:rsidRPr="006E696D" w:rsidRDefault="00062C4C" w:rsidP="00C05124">
      <w:pPr>
        <w:tabs>
          <w:tab w:val="left" w:pos="426"/>
          <w:tab w:val="left" w:pos="9504"/>
        </w:tabs>
        <w:spacing w:line="258" w:lineRule="auto"/>
        <w:jc w:val="both"/>
        <w:rPr>
          <w:lang w:val="en-GB"/>
        </w:rPr>
      </w:pPr>
      <w:r>
        <w:rPr>
          <w:lang w:val="en-GB"/>
        </w:rPr>
        <w:t>ERC Recommendation</w:t>
      </w:r>
      <w:r w:rsidR="00C7573C">
        <w:rPr>
          <w:lang w:val="en-GB"/>
        </w:rPr>
        <w:t xml:space="preserve"> </w:t>
      </w:r>
      <w:r w:rsidRPr="006E696D">
        <w:rPr>
          <w:lang w:val="en-GB"/>
        </w:rPr>
        <w:t>01</w:t>
      </w:r>
      <w:r w:rsidR="00C05124" w:rsidRPr="006E696D">
        <w:rPr>
          <w:lang w:val="en-GB"/>
        </w:rPr>
        <w:t xml:space="preserve">-07 </w:t>
      </w:r>
      <w:r w:rsidR="002221BF">
        <w:rPr>
          <w:lang w:val="en-GB"/>
        </w:rPr>
        <w:fldChar w:fldCharType="begin"/>
      </w:r>
      <w:r w:rsidR="002221BF">
        <w:rPr>
          <w:lang w:val="en-GB"/>
        </w:rPr>
        <w:instrText xml:space="preserve"> REF _Ref524429584 \n \h </w:instrText>
      </w:r>
      <w:r w:rsidR="002221BF">
        <w:rPr>
          <w:lang w:val="en-GB"/>
        </w:rPr>
      </w:r>
      <w:r w:rsidR="002221BF">
        <w:rPr>
          <w:lang w:val="en-GB"/>
        </w:rPr>
        <w:fldChar w:fldCharType="separate"/>
      </w:r>
      <w:r w:rsidR="002221BF">
        <w:rPr>
          <w:lang w:val="en-GB"/>
        </w:rPr>
        <w:t>[4]</w:t>
      </w:r>
      <w:r w:rsidR="002221BF">
        <w:rPr>
          <w:lang w:val="en-GB"/>
        </w:rPr>
        <w:fldChar w:fldCharType="end"/>
      </w:r>
      <w:r w:rsidR="002221BF">
        <w:rPr>
          <w:lang w:val="en-GB"/>
        </w:rPr>
        <w:t xml:space="preserve"> </w:t>
      </w:r>
      <w:r w:rsidR="00C05124" w:rsidRPr="006E696D">
        <w:rPr>
          <w:lang w:val="en-GB"/>
        </w:rPr>
        <w:t>was adopted in 1995 and revised in 2000</w:t>
      </w:r>
      <w:r>
        <w:rPr>
          <w:lang w:val="en-GB"/>
        </w:rPr>
        <w:t>, and it</w:t>
      </w:r>
      <w:r w:rsidR="00C05124" w:rsidRPr="006E696D">
        <w:rPr>
          <w:lang w:val="en-GB"/>
        </w:rPr>
        <w:t xml:space="preserve"> list</w:t>
      </w:r>
      <w:r>
        <w:rPr>
          <w:lang w:val="en-GB"/>
        </w:rPr>
        <w:t>s</w:t>
      </w:r>
      <w:r w:rsidR="00C05124" w:rsidRPr="006E696D">
        <w:rPr>
          <w:lang w:val="en-GB"/>
        </w:rPr>
        <w:t xml:space="preserve"> harmonised criteria for the administrations to decide whether an exemption of individual licence should be applied.</w:t>
      </w:r>
    </w:p>
    <w:p w14:paraId="05868BED" w14:textId="77777777" w:rsidR="00C05124" w:rsidRPr="006E696D" w:rsidRDefault="00C05124" w:rsidP="00C05124">
      <w:pPr>
        <w:tabs>
          <w:tab w:val="left" w:pos="426"/>
          <w:tab w:val="left" w:pos="9504"/>
        </w:tabs>
        <w:spacing w:line="258" w:lineRule="auto"/>
        <w:jc w:val="both"/>
        <w:rPr>
          <w:strike/>
          <w:lang w:val="en-GB"/>
        </w:rPr>
      </w:pPr>
    </w:p>
    <w:p w14:paraId="05868BEE" w14:textId="7E186170" w:rsidR="00C05124" w:rsidRPr="006E696D" w:rsidRDefault="00C05124" w:rsidP="00C05124">
      <w:pPr>
        <w:tabs>
          <w:tab w:val="left" w:pos="426"/>
        </w:tabs>
        <w:jc w:val="both"/>
        <w:rPr>
          <w:lang w:val="en-GB"/>
        </w:rPr>
      </w:pPr>
      <w:r w:rsidRPr="006E696D">
        <w:rPr>
          <w:lang w:val="en-GB"/>
        </w:rPr>
        <w:t xml:space="preserve">The aim of this Decision is to exempt VSATs from individual licensing because they fulfil the criteria for exemption listed in </w:t>
      </w:r>
      <w:r w:rsidR="00062C4C">
        <w:rPr>
          <w:lang w:val="en-GB"/>
        </w:rPr>
        <w:t xml:space="preserve">ERC Recommendation </w:t>
      </w:r>
      <w:r w:rsidRPr="006E696D">
        <w:rPr>
          <w:lang w:val="en-GB"/>
        </w:rPr>
        <w:t>01-07.</w:t>
      </w:r>
    </w:p>
    <w:p w14:paraId="05868BEF" w14:textId="1E49B248" w:rsidR="00D24769" w:rsidRDefault="005F7AD5" w:rsidP="00D24769">
      <w:pPr>
        <w:pStyle w:val="Heading1"/>
      </w:pPr>
      <w:r w:rsidRPr="00D24769">
        <w:lastRenderedPageBreak/>
        <w:t>ECC Decision of</w:t>
      </w:r>
      <w:r w:rsidR="00A8085A" w:rsidRPr="00D24769">
        <w:t xml:space="preserve"> </w:t>
      </w:r>
      <w:r w:rsidR="00D24769" w:rsidRPr="00D24769">
        <w:fldChar w:fldCharType="begin">
          <w:ffData>
            <w:name w:val="Text8"/>
            <w:enabled/>
            <w:calcOnExit w:val="0"/>
            <w:textInput>
              <w:default w:val="17 October 2003"/>
            </w:textInput>
          </w:ffData>
        </w:fldChar>
      </w:r>
      <w:r w:rsidR="00D24769" w:rsidRPr="00D24769">
        <w:instrText xml:space="preserve"> FORMTEXT </w:instrText>
      </w:r>
      <w:r w:rsidR="00D24769" w:rsidRPr="00D24769">
        <w:fldChar w:fldCharType="separate"/>
      </w:r>
      <w:r w:rsidR="00D24769" w:rsidRPr="00D24769">
        <w:t>17 October 2003</w:t>
      </w:r>
      <w:r w:rsidR="00D24769" w:rsidRPr="00D24769">
        <w:fldChar w:fldCharType="end"/>
      </w:r>
      <w:r w:rsidR="00A8085A" w:rsidRPr="00D24769">
        <w:t xml:space="preserve"> </w:t>
      </w:r>
      <w:r w:rsidRPr="00D24769">
        <w:t>on</w:t>
      </w:r>
      <w:r w:rsidR="00A8085A" w:rsidRPr="00D24769">
        <w:t xml:space="preserve"> </w:t>
      </w:r>
      <w:r w:rsidR="00074D98">
        <w:fldChar w:fldCharType="begin">
          <w:ffData>
            <w:name w:val=""/>
            <w:enabled/>
            <w:calcOnExit w:val="0"/>
            <w:textInput>
              <w:default w:val="Exemption from Individual Licensing of Very Small Aperture Terminals (VSAT) operating in the frequency bands 14.25-14.50 GHz Earth-to-space and  10.70-11.70 GHz space-to-Earth"/>
            </w:textInput>
          </w:ffData>
        </w:fldChar>
      </w:r>
      <w:r w:rsidR="00074D98">
        <w:instrText xml:space="preserve"> FORMTEXT </w:instrText>
      </w:r>
      <w:r w:rsidR="00074D98">
        <w:fldChar w:fldCharType="separate"/>
      </w:r>
      <w:r w:rsidR="00074D98">
        <w:rPr>
          <w:noProof/>
        </w:rPr>
        <w:t>Exemption from Individual Licensing of Very Small Aperture Terminals (VSAT) operating in the frequency bands 14.25-14.50 GHz Earth-to-space and 10.70-11.70 GHz space-to-Earth</w:t>
      </w:r>
      <w:r w:rsidR="00074D98">
        <w:fldChar w:fldCharType="end"/>
      </w:r>
      <w:r w:rsidR="00A8085A" w:rsidRPr="00D24769">
        <w:t xml:space="preserve"> </w:t>
      </w:r>
      <w:r w:rsidR="002221BF" w:rsidRPr="00D24769">
        <w:t>(ECC/DEC/(03)04)</w:t>
      </w:r>
      <w:r w:rsidR="00D24769">
        <w:t xml:space="preserve">, amended on </w:t>
      </w:r>
      <w:r w:rsidR="002F793B">
        <w:t>8 march 2019</w:t>
      </w:r>
    </w:p>
    <w:p w14:paraId="05868BF0" w14:textId="77777777" w:rsidR="006C03D0" w:rsidRPr="00D24769" w:rsidRDefault="005F7AD5" w:rsidP="00D24769">
      <w:pPr>
        <w:pStyle w:val="ECCParagraph"/>
      </w:pPr>
      <w:r w:rsidRPr="00D24769">
        <w:t xml:space="preserve">“The European Conference of Postal and Telecommunications Administrations, </w:t>
      </w:r>
    </w:p>
    <w:p w14:paraId="05868BF1" w14:textId="77777777" w:rsidR="006C03D0" w:rsidRDefault="005F7AD5" w:rsidP="006C03D0">
      <w:pPr>
        <w:pStyle w:val="ECCParagraph"/>
        <w:rPr>
          <w:i/>
          <w:color w:val="D2232A"/>
        </w:rPr>
      </w:pPr>
      <w:r w:rsidRPr="00FE1795">
        <w:rPr>
          <w:i/>
          <w:color w:val="D2232A"/>
        </w:rPr>
        <w:t xml:space="preserve">considering </w:t>
      </w:r>
    </w:p>
    <w:p w14:paraId="05868BF2" w14:textId="77777777" w:rsidR="00C05124" w:rsidRPr="006E696D" w:rsidRDefault="00C05124" w:rsidP="002221BF">
      <w:pPr>
        <w:pStyle w:val="LetteredList"/>
        <w:ind w:left="720" w:hanging="720"/>
      </w:pPr>
      <w:r w:rsidRPr="006E696D">
        <w:t>that within the CEPT administrations there is a growing awareness of a need for harmonisation of licensing regimes in order to facilitate the provision of Pan European wide services;</w:t>
      </w:r>
    </w:p>
    <w:p w14:paraId="05868BF3" w14:textId="77777777" w:rsidR="00C05124" w:rsidRPr="00C05124" w:rsidRDefault="00C05124" w:rsidP="002221BF">
      <w:pPr>
        <w:pStyle w:val="LetteredList"/>
        <w:ind w:left="720" w:hanging="720"/>
      </w:pPr>
      <w:r w:rsidRPr="00C05124">
        <w:t>that it therefore would be desirable for CEPT administrations to have common licence regimes at their disposal in order to control the installation, ownership and use of radio equipment;</w:t>
      </w:r>
    </w:p>
    <w:p w14:paraId="05868BF4" w14:textId="77777777" w:rsidR="00C05124" w:rsidRPr="00C05124" w:rsidRDefault="00C05124" w:rsidP="002221BF">
      <w:pPr>
        <w:pStyle w:val="LetteredList"/>
        <w:ind w:left="720" w:hanging="720"/>
      </w:pPr>
      <w:r w:rsidRPr="00C05124">
        <w:t>that there is a strong desire within the CEPT administrations to improve efficiency by reducing the control exercised by administrations in the form of mandatory provisions;</w:t>
      </w:r>
    </w:p>
    <w:p w14:paraId="05868BF5" w14:textId="77777777" w:rsidR="00C05124" w:rsidRPr="00C05124" w:rsidRDefault="00C05124" w:rsidP="002221BF">
      <w:pPr>
        <w:pStyle w:val="LetteredList"/>
        <w:ind w:left="720" w:hanging="720"/>
      </w:pPr>
      <w:r w:rsidRPr="00C05124">
        <w:t>that there are considerable differences in national licensing, laws and regulations and that harmonisation therefore can only be introduced gradually;</w:t>
      </w:r>
      <w:bookmarkStart w:id="3" w:name="_GoBack"/>
      <w:bookmarkEnd w:id="3"/>
    </w:p>
    <w:p w14:paraId="05868BF6" w14:textId="77777777" w:rsidR="00C05124" w:rsidRPr="00C05124" w:rsidRDefault="00C05124" w:rsidP="002221BF">
      <w:pPr>
        <w:pStyle w:val="LetteredList"/>
        <w:ind w:left="720" w:hanging="720"/>
      </w:pPr>
      <w:r w:rsidRPr="00C05124">
        <w:t>that national licensing regimes should be as simple as possible, in order to minimise the  burden upon the administrations and users of equipment;</w:t>
      </w:r>
    </w:p>
    <w:p w14:paraId="05868BF7" w14:textId="77777777" w:rsidR="00C05124" w:rsidRPr="00C05124" w:rsidRDefault="00C05124" w:rsidP="002221BF">
      <w:pPr>
        <w:pStyle w:val="LetteredList"/>
        <w:ind w:left="720" w:hanging="720"/>
      </w:pPr>
      <w:r w:rsidRPr="00C05124">
        <w:t>that intervention by the national administrations with respect to the use of radio equipment should in general not exceed the level necessary for the efficient use of the frequency spectrum;</w:t>
      </w:r>
    </w:p>
    <w:p w14:paraId="05868BF8" w14:textId="0C49417C" w:rsidR="00C05124" w:rsidRPr="006E696D" w:rsidRDefault="00C05124" w:rsidP="002221BF">
      <w:pPr>
        <w:pStyle w:val="LetteredList"/>
        <w:ind w:left="720" w:hanging="720"/>
      </w:pPr>
      <w:r w:rsidRPr="00C05124">
        <w:t xml:space="preserve">that administrations should work towards the exemption of relevant radio equipment from individual licensing based on harmonised criteria detailed in </w:t>
      </w:r>
      <w:r w:rsidR="00062C4C">
        <w:t xml:space="preserve">ERC Recommendation </w:t>
      </w:r>
      <w:r w:rsidRPr="00C05124">
        <w:t>01</w:t>
      </w:r>
      <w:r w:rsidRPr="006E696D">
        <w:t>-07</w:t>
      </w:r>
      <w:r w:rsidR="005D3D73">
        <w:t xml:space="preserve"> </w:t>
      </w:r>
      <w:r w:rsidR="006B780F">
        <w:fldChar w:fldCharType="begin"/>
      </w:r>
      <w:r w:rsidR="006B780F">
        <w:instrText xml:space="preserve"> REF _Ref524431943 \n \h </w:instrText>
      </w:r>
      <w:r w:rsidR="006B780F">
        <w:fldChar w:fldCharType="separate"/>
      </w:r>
      <w:r w:rsidR="006B780F">
        <w:t>[4]</w:t>
      </w:r>
      <w:r w:rsidR="006B780F">
        <w:fldChar w:fldCharType="end"/>
      </w:r>
      <w:r w:rsidRPr="006E696D">
        <w:t>;</w:t>
      </w:r>
    </w:p>
    <w:p w14:paraId="05868BF9" w14:textId="77777777" w:rsidR="00C05124" w:rsidRPr="006E696D" w:rsidRDefault="00C05124" w:rsidP="002221BF">
      <w:pPr>
        <w:pStyle w:val="LetteredList"/>
        <w:ind w:left="720" w:hanging="720"/>
      </w:pPr>
      <w:r w:rsidRPr="006E696D">
        <w:t>that these terminals comply with relevant European and international standards for Essential Requirements with regard to radio, EMC and safety;</w:t>
      </w:r>
    </w:p>
    <w:p w14:paraId="05868BFA" w14:textId="77777777" w:rsidR="00C05124" w:rsidRPr="006E696D" w:rsidRDefault="00C05124" w:rsidP="002221BF">
      <w:pPr>
        <w:pStyle w:val="LetteredList"/>
        <w:ind w:left="720" w:hanging="720"/>
      </w:pPr>
      <w:r w:rsidRPr="006E696D">
        <w:t>that this Decision shall not impede EEA member countries from fulfilling their obligations according to Community law;</w:t>
      </w:r>
    </w:p>
    <w:p w14:paraId="05868BFB" w14:textId="77777777" w:rsidR="00C05124" w:rsidRPr="006E696D" w:rsidRDefault="00C05124" w:rsidP="002221BF">
      <w:pPr>
        <w:pStyle w:val="LetteredList"/>
        <w:ind w:left="720" w:hanging="720"/>
      </w:pPr>
      <w:r w:rsidRPr="006E696D">
        <w:t>that  EN 301 428</w:t>
      </w:r>
      <w:r w:rsidR="006B780F">
        <w:t xml:space="preserve"> </w:t>
      </w:r>
      <w:r w:rsidR="006B780F">
        <w:fldChar w:fldCharType="begin"/>
      </w:r>
      <w:r w:rsidR="006B780F">
        <w:instrText xml:space="preserve"> REF _Ref524432053 \n \h </w:instrText>
      </w:r>
      <w:r w:rsidR="006B780F">
        <w:fldChar w:fldCharType="separate"/>
      </w:r>
      <w:r w:rsidR="006B780F">
        <w:t>[5]</w:t>
      </w:r>
      <w:r w:rsidR="006B780F">
        <w:fldChar w:fldCharType="end"/>
      </w:r>
      <w:r w:rsidRPr="006E696D">
        <w:t xml:space="preserve"> contains provisions ensuring to prevent VSATs from unintended and </w:t>
      </w:r>
      <w:r w:rsidRPr="00064F87">
        <w:rPr>
          <w:lang w:val="en-GB"/>
        </w:rPr>
        <w:t>unauthorised</w:t>
      </w:r>
      <w:r w:rsidRPr="006E696D">
        <w:t xml:space="preserve"> transmissions;</w:t>
      </w:r>
    </w:p>
    <w:p w14:paraId="05868BFC" w14:textId="5649F959" w:rsidR="00C05124" w:rsidRPr="006E696D" w:rsidRDefault="00C05124" w:rsidP="002221BF">
      <w:pPr>
        <w:pStyle w:val="LetteredList"/>
        <w:ind w:left="720" w:hanging="720"/>
      </w:pPr>
      <w:r w:rsidRPr="006E696D">
        <w:t xml:space="preserve">that CEPT/ERC Recommendation 13-03 (The Hague 1996) </w:t>
      </w:r>
      <w:r w:rsidR="006B780F">
        <w:fldChar w:fldCharType="begin"/>
      </w:r>
      <w:r w:rsidR="006B780F">
        <w:instrText xml:space="preserve"> REF _Ref524432045 \n \h </w:instrText>
      </w:r>
      <w:r w:rsidR="006B780F">
        <w:fldChar w:fldCharType="separate"/>
      </w:r>
      <w:r w:rsidR="006B780F">
        <w:t>[6]</w:t>
      </w:r>
      <w:r w:rsidR="006B780F">
        <w:fldChar w:fldCharType="end"/>
      </w:r>
      <w:r w:rsidR="005D3D73">
        <w:t xml:space="preserve"> </w:t>
      </w:r>
      <w:r w:rsidRPr="006E696D">
        <w:t>on the use of the band 14.0</w:t>
      </w:r>
      <w:r>
        <w:t xml:space="preserve"> </w:t>
      </w:r>
      <w:r w:rsidRPr="006E696D">
        <w:t>-</w:t>
      </w:r>
      <w:r>
        <w:t xml:space="preserve"> </w:t>
      </w:r>
      <w:r w:rsidRPr="006E696D">
        <w:t>14.5 GHz for VSAT (and Satellite News Gathering (SNG)) recommends that the use of the band 14.25 - 14.5 GHz for the Fixed Service should be discouraged in those countries that have not already implemented radio links in the band and that flexible and unrestricted use of VSAT (and SNG) applications in the band 14.25-14.5 GHz should be allowed at least in those countries where no fixed links have been implemented so far,</w:t>
      </w:r>
    </w:p>
    <w:p w14:paraId="05868BFD" w14:textId="5D4C7C6D" w:rsidR="00C05124" w:rsidRPr="006E696D" w:rsidRDefault="00C05124" w:rsidP="002221BF">
      <w:pPr>
        <w:pStyle w:val="LetteredList"/>
        <w:ind w:left="720" w:hanging="720"/>
      </w:pPr>
      <w:bookmarkStart w:id="4" w:name="_Ref524701933"/>
      <w:r w:rsidRPr="006E696D">
        <w:t>that VSATs operate with geostationary satellites as part of the Fixed Satellite Service (FSS) within the</w:t>
      </w:r>
      <w:r>
        <w:t xml:space="preserve"> frequency bands 10.70-</w:t>
      </w:r>
      <w:r w:rsidRPr="006E696D">
        <w:t>11.70 G</w:t>
      </w:r>
      <w:r>
        <w:t>Hz (space-to-Earth) and 14.25-</w:t>
      </w:r>
      <w:r w:rsidRPr="006E696D">
        <w:t>14.50 GHz (Earth-to-space) under</w:t>
      </w:r>
      <w:r>
        <w:t xml:space="preserve"> </w:t>
      </w:r>
      <w:r w:rsidRPr="006E696D">
        <w:t>the  control of the satellite system (</w:t>
      </w:r>
      <w:r w:rsidRPr="00064F87">
        <w:rPr>
          <w:lang w:val="en-GB"/>
        </w:rPr>
        <w:t>authorised</w:t>
      </w:r>
      <w:r w:rsidRPr="006E696D">
        <w:t>, if applicable), providing analogue or digital communications;</w:t>
      </w:r>
      <w:bookmarkEnd w:id="4"/>
    </w:p>
    <w:p w14:paraId="05868BFE" w14:textId="5A4E5609" w:rsidR="00C05124" w:rsidRDefault="00C05124" w:rsidP="002221BF">
      <w:pPr>
        <w:pStyle w:val="LetteredList"/>
        <w:ind w:left="720" w:hanging="720"/>
      </w:pPr>
      <w:bookmarkStart w:id="5" w:name="_Ref524701960"/>
      <w:r w:rsidRPr="006E696D">
        <w:t xml:space="preserve">that VSATs complying with the harmonised European Standard EN 301 428 </w:t>
      </w:r>
      <w:r w:rsidR="005D3D73">
        <w:fldChar w:fldCharType="begin"/>
      </w:r>
      <w:r w:rsidR="005D3D73">
        <w:instrText xml:space="preserve"> REF _Ref524531804 \r \h </w:instrText>
      </w:r>
      <w:r w:rsidR="005D3D73">
        <w:fldChar w:fldCharType="separate"/>
      </w:r>
      <w:r w:rsidR="005D3D73">
        <w:t>[5]</w:t>
      </w:r>
      <w:r w:rsidR="005D3D73">
        <w:fldChar w:fldCharType="end"/>
      </w:r>
      <w:r w:rsidR="005D3D73">
        <w:t xml:space="preserve"> </w:t>
      </w:r>
      <w:r w:rsidRPr="006E696D">
        <w:t xml:space="preserve">or equivalent technical specifications also fulfil the conditions for </w:t>
      </w:r>
      <w:r w:rsidRPr="00064F87">
        <w:rPr>
          <w:lang w:val="en-GB"/>
        </w:rPr>
        <w:t>licence</w:t>
      </w:r>
      <w:r w:rsidRPr="006E696D">
        <w:t xml:space="preserve"> exemption listed in </w:t>
      </w:r>
      <w:r w:rsidR="00062C4C">
        <w:t>ERC R</w:t>
      </w:r>
      <w:r w:rsidR="007579B8">
        <w:t xml:space="preserve">ecommendation </w:t>
      </w:r>
      <w:r w:rsidRPr="006E696D">
        <w:t>01-07</w:t>
      </w:r>
      <w:r w:rsidR="005D3D73">
        <w:t xml:space="preserve"> </w:t>
      </w:r>
      <w:r w:rsidR="005D3D73">
        <w:fldChar w:fldCharType="begin"/>
      </w:r>
      <w:r w:rsidR="005D3D73">
        <w:instrText xml:space="preserve"> REF _Ref524531816 \r \h </w:instrText>
      </w:r>
      <w:r w:rsidR="005D3D73">
        <w:fldChar w:fldCharType="separate"/>
      </w:r>
      <w:r w:rsidR="005D3D73">
        <w:t>[4]</w:t>
      </w:r>
      <w:r w:rsidR="005D3D73">
        <w:fldChar w:fldCharType="end"/>
      </w:r>
      <w:r w:rsidRPr="006E696D">
        <w:t>;</w:t>
      </w:r>
      <w:bookmarkEnd w:id="5"/>
      <w:r w:rsidRPr="006E696D">
        <w:t xml:space="preserve"> </w:t>
      </w:r>
    </w:p>
    <w:p w14:paraId="05868BFF" w14:textId="4AFEB6E8" w:rsidR="00A56C22" w:rsidRPr="006E696D" w:rsidRDefault="00A56C22" w:rsidP="00E92803">
      <w:pPr>
        <w:pStyle w:val="LetteredList"/>
        <w:ind w:left="720" w:hanging="720"/>
      </w:pPr>
      <w:r>
        <w:t>that ECC Report 272 concludes on maximum earth station e.i.r.p. levels to ensure compliance with aircraft HIRF protection criteria</w:t>
      </w:r>
      <w:r w:rsidR="004A12E5">
        <w:t>.</w:t>
      </w:r>
    </w:p>
    <w:p w14:paraId="05868C00" w14:textId="77777777" w:rsidR="00E92803" w:rsidRPr="006E696D" w:rsidRDefault="00E92803" w:rsidP="005544DD">
      <w:pPr>
        <w:pStyle w:val="LetteredList"/>
        <w:numPr>
          <w:ilvl w:val="0"/>
          <w:numId w:val="0"/>
        </w:numPr>
        <w:ind w:left="720"/>
      </w:pPr>
    </w:p>
    <w:p w14:paraId="05868C05" w14:textId="77777777" w:rsidR="00C05124" w:rsidRPr="00C05124" w:rsidRDefault="00C05124" w:rsidP="006C03D0">
      <w:pPr>
        <w:pStyle w:val="ECCParagraph"/>
      </w:pPr>
    </w:p>
    <w:p w14:paraId="05868C06" w14:textId="77777777" w:rsidR="00C05124" w:rsidRDefault="00C05124" w:rsidP="006C03D0">
      <w:pPr>
        <w:pStyle w:val="ECCParagraph"/>
        <w:rPr>
          <w:lang w:val="en-US"/>
        </w:rPr>
      </w:pPr>
    </w:p>
    <w:p w14:paraId="05868C07" w14:textId="77777777" w:rsidR="00C05124" w:rsidRDefault="00C05124" w:rsidP="006C03D0">
      <w:pPr>
        <w:pStyle w:val="ECCParagraph"/>
        <w:rPr>
          <w:lang w:val="en-US"/>
        </w:rPr>
      </w:pPr>
    </w:p>
    <w:p w14:paraId="05868C08" w14:textId="77777777" w:rsidR="006C03D0" w:rsidRPr="00C10DC9" w:rsidRDefault="005F7AD5" w:rsidP="006C03D0">
      <w:pPr>
        <w:pStyle w:val="ECCParagraph"/>
        <w:rPr>
          <w:color w:val="D2232A"/>
        </w:rPr>
      </w:pPr>
      <w:r w:rsidRPr="00C10DC9">
        <w:rPr>
          <w:i/>
          <w:color w:val="D2232A"/>
        </w:rPr>
        <w:lastRenderedPageBreak/>
        <w:t>DECIDES</w:t>
      </w:r>
      <w:r w:rsidRPr="00C10DC9">
        <w:rPr>
          <w:color w:val="D2232A"/>
        </w:rPr>
        <w:t xml:space="preserve"> </w:t>
      </w:r>
    </w:p>
    <w:p w14:paraId="05868C09" w14:textId="76F8A46B" w:rsidR="0050258F" w:rsidRPr="00891ECE" w:rsidRDefault="007C4C7C" w:rsidP="009E2DC2">
      <w:pPr>
        <w:numPr>
          <w:ilvl w:val="0"/>
          <w:numId w:val="29"/>
        </w:numPr>
        <w:tabs>
          <w:tab w:val="left" w:pos="567"/>
        </w:tabs>
        <w:jc w:val="both"/>
        <w:rPr>
          <w:lang w:val="en-GB"/>
        </w:rPr>
      </w:pPr>
      <w:r w:rsidRPr="007C4C7C">
        <w:rPr>
          <w:lang w:val="en-GB"/>
        </w:rPr>
        <w:t xml:space="preserve">to exempt </w:t>
      </w:r>
      <w:r w:rsidR="00891ECE" w:rsidRPr="007C4C7C">
        <w:rPr>
          <w:lang w:val="en-GB"/>
        </w:rPr>
        <w:t>from individual licensing</w:t>
      </w:r>
      <w:r w:rsidR="00891ECE">
        <w:rPr>
          <w:lang w:val="en-GB"/>
        </w:rPr>
        <w:t xml:space="preserve"> </w:t>
      </w:r>
      <w:r w:rsidRPr="007C4C7C">
        <w:rPr>
          <w:lang w:val="en-GB"/>
        </w:rPr>
        <w:t xml:space="preserve">VSATs that fulfil considerings </w:t>
      </w:r>
      <w:r w:rsidR="009E2DC2">
        <w:rPr>
          <w:lang w:val="en-GB"/>
        </w:rPr>
        <w:fldChar w:fldCharType="begin"/>
      </w:r>
      <w:r w:rsidR="009E2DC2">
        <w:rPr>
          <w:lang w:val="en-GB"/>
        </w:rPr>
        <w:instrText xml:space="preserve"> REF _Ref524701933 \r \h </w:instrText>
      </w:r>
      <w:r w:rsidR="009E2DC2">
        <w:rPr>
          <w:lang w:val="en-GB"/>
        </w:rPr>
      </w:r>
      <w:r w:rsidR="009E2DC2">
        <w:rPr>
          <w:lang w:val="en-GB"/>
        </w:rPr>
        <w:fldChar w:fldCharType="separate"/>
      </w:r>
      <w:r w:rsidR="009E2DC2">
        <w:rPr>
          <w:lang w:val="en-GB"/>
        </w:rPr>
        <w:t>l)</w:t>
      </w:r>
      <w:r w:rsidR="009E2DC2">
        <w:rPr>
          <w:lang w:val="en-GB"/>
        </w:rPr>
        <w:fldChar w:fldCharType="end"/>
      </w:r>
      <w:r w:rsidRPr="007C4C7C">
        <w:rPr>
          <w:lang w:val="en-GB"/>
        </w:rPr>
        <w:t xml:space="preserve"> and </w:t>
      </w:r>
      <w:r w:rsidR="009E2DC2">
        <w:rPr>
          <w:lang w:val="en-GB"/>
        </w:rPr>
        <w:fldChar w:fldCharType="begin"/>
      </w:r>
      <w:r w:rsidR="009E2DC2">
        <w:rPr>
          <w:lang w:val="en-GB"/>
        </w:rPr>
        <w:instrText xml:space="preserve"> REF _Ref524701960 \r \h </w:instrText>
      </w:r>
      <w:r w:rsidR="009E2DC2">
        <w:rPr>
          <w:lang w:val="en-GB"/>
        </w:rPr>
      </w:r>
      <w:r w:rsidR="009E2DC2">
        <w:rPr>
          <w:lang w:val="en-GB"/>
        </w:rPr>
        <w:fldChar w:fldCharType="separate"/>
      </w:r>
      <w:r w:rsidR="009E2DC2">
        <w:rPr>
          <w:lang w:val="en-GB"/>
        </w:rPr>
        <w:t>m)</w:t>
      </w:r>
      <w:r w:rsidR="009E2DC2">
        <w:rPr>
          <w:lang w:val="en-GB"/>
        </w:rPr>
        <w:fldChar w:fldCharType="end"/>
      </w:r>
      <w:r w:rsidRPr="007C4C7C">
        <w:rPr>
          <w:lang w:val="en-GB"/>
        </w:rPr>
        <w:t xml:space="preserve">  </w:t>
      </w:r>
      <w:r w:rsidR="0050258F" w:rsidRPr="007C4C7C">
        <w:rPr>
          <w:lang w:val="en-GB"/>
        </w:rPr>
        <w:t>and</w:t>
      </w:r>
      <w:r w:rsidR="0050258F">
        <w:rPr>
          <w:lang w:val="en-GB"/>
        </w:rPr>
        <w:t xml:space="preserve"> which </w:t>
      </w:r>
      <w:r w:rsidR="0050258F" w:rsidRPr="00891ECE">
        <w:rPr>
          <w:lang w:val="en-GB"/>
        </w:rPr>
        <w:t xml:space="preserve">comply with the following requirements that ensure compliance with aircraft HIRF protection criteria based on ECC Report 272 </w:t>
      </w:r>
      <w:r w:rsidR="0050258F" w:rsidRPr="00891ECE">
        <w:rPr>
          <w:lang w:val="en-GB"/>
        </w:rPr>
        <w:fldChar w:fldCharType="begin"/>
      </w:r>
      <w:r w:rsidR="0050258F" w:rsidRPr="005D3D73">
        <w:rPr>
          <w:lang w:val="en-GB"/>
        </w:rPr>
        <w:instrText xml:space="preserve"> REF _Ref524430598 \n \h </w:instrText>
      </w:r>
      <w:r w:rsidR="0050258F" w:rsidRPr="00891ECE">
        <w:rPr>
          <w:lang w:val="en-GB"/>
        </w:rPr>
      </w:r>
      <w:r w:rsidR="0050258F" w:rsidRPr="00891ECE">
        <w:rPr>
          <w:lang w:val="en-GB"/>
        </w:rPr>
        <w:fldChar w:fldCharType="separate"/>
      </w:r>
      <w:r w:rsidR="0050258F" w:rsidRPr="00891ECE">
        <w:rPr>
          <w:lang w:val="en-GB"/>
        </w:rPr>
        <w:t>[3]</w:t>
      </w:r>
      <w:r w:rsidR="0050258F" w:rsidRPr="00891ECE">
        <w:rPr>
          <w:lang w:val="en-GB"/>
        </w:rPr>
        <w:fldChar w:fldCharType="end"/>
      </w:r>
      <w:r w:rsidR="0050258F" w:rsidRPr="00891ECE">
        <w:rPr>
          <w:lang w:val="en-GB"/>
        </w:rPr>
        <w:t>, using maximum HIRF field strength of 190 V/m in 14.25-14.5 GHz:</w:t>
      </w:r>
    </w:p>
    <w:p w14:paraId="05868C0A" w14:textId="77777777" w:rsidR="0050258F" w:rsidRPr="00600453" w:rsidRDefault="0050258F" w:rsidP="0050258F">
      <w:pPr>
        <w:ind w:left="360"/>
        <w:jc w:val="both"/>
        <w:rPr>
          <w:lang w:val="en-GB"/>
        </w:rPr>
      </w:pPr>
    </w:p>
    <w:p w14:paraId="05868C0B" w14:textId="3BC886D2" w:rsidR="0050258F" w:rsidRPr="007C4C7C" w:rsidRDefault="0050258F" w:rsidP="0050258F">
      <w:pPr>
        <w:pStyle w:val="LetteredList"/>
        <w:numPr>
          <w:ilvl w:val="0"/>
          <w:numId w:val="32"/>
        </w:numPr>
        <w:tabs>
          <w:tab w:val="num" w:pos="851"/>
        </w:tabs>
        <w:ind w:left="851" w:hanging="425"/>
        <w:rPr>
          <w:lang w:val="en-GB"/>
        </w:rPr>
      </w:pPr>
      <w:r w:rsidRPr="007C4C7C">
        <w:rPr>
          <w:lang w:val="en-GB"/>
        </w:rPr>
        <w:t>The maximum e.i.r.p. of VSAT shall be limited to 50 dBW;</w:t>
      </w:r>
    </w:p>
    <w:p w14:paraId="05868C0C" w14:textId="77777777" w:rsidR="0050258F" w:rsidRDefault="0050258F" w:rsidP="0050258F">
      <w:pPr>
        <w:pStyle w:val="LetteredList"/>
        <w:tabs>
          <w:tab w:val="clear" w:pos="1957"/>
          <w:tab w:val="num" w:pos="851"/>
        </w:tabs>
        <w:ind w:left="851" w:hanging="425"/>
        <w:rPr>
          <w:lang w:val="en-GB"/>
        </w:rPr>
      </w:pPr>
      <w:r w:rsidRPr="00600453">
        <w:rPr>
          <w:lang w:val="en-GB"/>
        </w:rPr>
        <w:t xml:space="preserve">The maximum e.i.r.p. of </w:t>
      </w:r>
      <w:r>
        <w:rPr>
          <w:lang w:val="en-GB"/>
        </w:rPr>
        <w:t>VSAT</w:t>
      </w:r>
      <w:r w:rsidRPr="00600453">
        <w:rPr>
          <w:lang w:val="en-GB"/>
        </w:rPr>
        <w:t xml:space="preserve"> operating within TDMA networks shall be respected after taking into consideration the duty cycle (see section 3.3 and 3.4 of ECC Report 272);</w:t>
      </w:r>
    </w:p>
    <w:p w14:paraId="05868C0D" w14:textId="77777777" w:rsidR="007C4C7C" w:rsidRDefault="007C4C7C" w:rsidP="007C4C7C">
      <w:pPr>
        <w:ind w:left="360"/>
        <w:jc w:val="both"/>
        <w:rPr>
          <w:lang w:val="en-GB"/>
        </w:rPr>
      </w:pPr>
      <w:r w:rsidRPr="007C4C7C">
        <w:rPr>
          <w:lang w:val="en-GB"/>
        </w:rPr>
        <w:t>Where justified, administrations may require a simple form of registration</w:t>
      </w:r>
      <w:r w:rsidR="007579B8">
        <w:rPr>
          <w:lang w:val="en-GB"/>
        </w:rPr>
        <w:t>.</w:t>
      </w:r>
    </w:p>
    <w:p w14:paraId="05868C0E" w14:textId="77777777" w:rsidR="007C4C7C" w:rsidRPr="006E696D" w:rsidRDefault="007C4C7C" w:rsidP="007C4C7C">
      <w:pPr>
        <w:tabs>
          <w:tab w:val="left" w:pos="567"/>
        </w:tabs>
        <w:ind w:left="567" w:hanging="567"/>
        <w:jc w:val="both"/>
        <w:rPr>
          <w:lang w:val="en-GB"/>
        </w:rPr>
      </w:pPr>
    </w:p>
    <w:p w14:paraId="05868C0F" w14:textId="77777777" w:rsidR="007C4C7C" w:rsidRDefault="007C4C7C" w:rsidP="00E81086">
      <w:pPr>
        <w:numPr>
          <w:ilvl w:val="0"/>
          <w:numId w:val="30"/>
        </w:numPr>
        <w:spacing w:after="240"/>
        <w:jc w:val="both"/>
        <w:rPr>
          <w:lang w:val="en-GB"/>
        </w:rPr>
      </w:pPr>
      <w:r w:rsidRPr="006E696D">
        <w:rPr>
          <w:lang w:val="en-GB"/>
        </w:rPr>
        <w:t xml:space="preserve">that this Decision shall enter into force on </w:t>
      </w:r>
      <w:r w:rsidRPr="00C9337F">
        <w:rPr>
          <w:lang w:val="en-GB"/>
        </w:rPr>
        <w:t>17 October 2003</w:t>
      </w:r>
      <w:r w:rsidRPr="006E696D">
        <w:rPr>
          <w:lang w:val="en-GB"/>
        </w:rPr>
        <w:t>;</w:t>
      </w:r>
    </w:p>
    <w:p w14:paraId="05868C11" w14:textId="77777777" w:rsidR="005D3D73" w:rsidRDefault="007C4C7C" w:rsidP="009E2DC2">
      <w:pPr>
        <w:pStyle w:val="NumberedList"/>
        <w:numPr>
          <w:ilvl w:val="0"/>
          <w:numId w:val="30"/>
        </w:numPr>
        <w:tabs>
          <w:tab w:val="left" w:pos="567"/>
        </w:tabs>
      </w:pPr>
      <w:r w:rsidRPr="006E696D">
        <w:t>that CEPT administrations shall communicate the national measures implementing this Decision to the ECC Chairman and the Office when the Decision is nationally implemented</w:t>
      </w:r>
    </w:p>
    <w:p w14:paraId="05868C12" w14:textId="77777777" w:rsidR="009E2DC2" w:rsidRDefault="009E2DC2" w:rsidP="009E2DC2">
      <w:pPr>
        <w:pStyle w:val="NumberedList"/>
        <w:numPr>
          <w:ilvl w:val="0"/>
          <w:numId w:val="0"/>
        </w:numPr>
        <w:tabs>
          <w:tab w:val="left" w:pos="567"/>
        </w:tabs>
      </w:pPr>
    </w:p>
    <w:p w14:paraId="05868C13" w14:textId="679F4B3C" w:rsidR="001C46EA" w:rsidRPr="00FE1795" w:rsidRDefault="001C46EA" w:rsidP="00D90B0A">
      <w:pPr>
        <w:pStyle w:val="ECCParagraph"/>
        <w:keepNext/>
        <w:rPr>
          <w:i/>
          <w:color w:val="D2232A"/>
        </w:rPr>
      </w:pPr>
      <w:r w:rsidRPr="00FE1795">
        <w:rPr>
          <w:i/>
          <w:color w:val="D2232A"/>
        </w:rPr>
        <w:t xml:space="preserve">Note: </w:t>
      </w:r>
    </w:p>
    <w:p w14:paraId="05868C14" w14:textId="77777777" w:rsidR="001C46EA" w:rsidRDefault="001C46EA" w:rsidP="00D90B0A">
      <w:pPr>
        <w:pStyle w:val="ECCParagraph"/>
        <w:keepNext/>
      </w:pPr>
      <w:r w:rsidRPr="00E80C5C">
        <w:rPr>
          <w:i/>
          <w:szCs w:val="20"/>
        </w:rPr>
        <w:t xml:space="preserve">Please check the Office </w:t>
      </w:r>
      <w:r>
        <w:rPr>
          <w:i/>
          <w:szCs w:val="20"/>
        </w:rPr>
        <w:t>documentation database</w:t>
      </w:r>
      <w:r w:rsidRPr="00E80C5C">
        <w:rPr>
          <w:i/>
          <w:szCs w:val="20"/>
        </w:rPr>
        <w:t xml:space="preserve"> http</w:t>
      </w:r>
      <w:r w:rsidR="007C4C7C">
        <w:rPr>
          <w:i/>
          <w:szCs w:val="20"/>
        </w:rPr>
        <w:t>s</w:t>
      </w:r>
      <w:r w:rsidRPr="00E80C5C">
        <w:rPr>
          <w:i/>
          <w:szCs w:val="20"/>
        </w:rPr>
        <w:t>://www.</w:t>
      </w:r>
      <w:r>
        <w:rPr>
          <w:i/>
          <w:szCs w:val="20"/>
        </w:rPr>
        <w:t>ecodocdb.dk for</w:t>
      </w:r>
      <w:r w:rsidRPr="00E80C5C">
        <w:rPr>
          <w:i/>
          <w:szCs w:val="20"/>
        </w:rPr>
        <w:t xml:space="preserve"> the up to date position on the implementation of this and other </w:t>
      </w:r>
      <w:smartTag w:uri="urn:schemas-microsoft-com:office:smarttags" w:element="stockticker">
        <w:r w:rsidRPr="00E80C5C">
          <w:rPr>
            <w:i/>
            <w:szCs w:val="20"/>
          </w:rPr>
          <w:t>ECC</w:t>
        </w:r>
      </w:smartTag>
      <w:r w:rsidRPr="00E80C5C">
        <w:rPr>
          <w:i/>
          <w:szCs w:val="20"/>
        </w:rPr>
        <w:t xml:space="preserve"> Decisions.</w:t>
      </w:r>
    </w:p>
    <w:p w14:paraId="05868C15" w14:textId="77777777" w:rsidR="006C03D0" w:rsidRPr="00E944AA" w:rsidRDefault="006C03D0" w:rsidP="006C03D0">
      <w:pPr>
        <w:pStyle w:val="ECCParagraph"/>
      </w:pPr>
    </w:p>
    <w:p w14:paraId="05868C16" w14:textId="77777777" w:rsidR="006C03D0" w:rsidRDefault="006C03D0" w:rsidP="006C03D0">
      <w:pPr>
        <w:pStyle w:val="ECCParagraph"/>
      </w:pPr>
    </w:p>
    <w:p w14:paraId="05868C17" w14:textId="04A4494E" w:rsidR="006C03D0" w:rsidRDefault="005F7AD5" w:rsidP="00D24769">
      <w:pPr>
        <w:pStyle w:val="ECCAnnex-heading1"/>
      </w:pPr>
      <w:bookmarkStart w:id="6" w:name="_Toc280099660"/>
      <w:r>
        <w:lastRenderedPageBreak/>
        <w:t>List of reference</w:t>
      </w:r>
      <w:bookmarkEnd w:id="6"/>
      <w:r w:rsidR="005544DD">
        <w:t>s</w:t>
      </w:r>
    </w:p>
    <w:p w14:paraId="05868C18" w14:textId="77777777" w:rsidR="006C03D0" w:rsidRDefault="005F7AD5" w:rsidP="006C03D0">
      <w:pPr>
        <w:pStyle w:val="ECCParagraph"/>
      </w:pPr>
      <w:r>
        <w:t>This annex contains the list of relevant reference documents.</w:t>
      </w:r>
    </w:p>
    <w:p w14:paraId="05868C19" w14:textId="77777777" w:rsidR="002221BF" w:rsidRPr="002221BF" w:rsidRDefault="005D3D73" w:rsidP="002221BF">
      <w:pPr>
        <w:pStyle w:val="reference"/>
        <w:numPr>
          <w:ilvl w:val="0"/>
          <w:numId w:val="11"/>
        </w:numPr>
        <w:rPr>
          <w:lang w:val="en-GB"/>
        </w:rPr>
      </w:pPr>
      <w:bookmarkStart w:id="7" w:name="_Ref524429516"/>
      <w:bookmarkStart w:id="8" w:name="_Ref213741794"/>
      <w:r>
        <w:t>Directive 2014/53/EU of the European Parliament and of the Council of 16 April 2014 on the harmonisation of the laws of the Member States relating to the making available on the market of radio equipment and repealing Directive 1999/5/EC</w:t>
      </w:r>
      <w:bookmarkEnd w:id="7"/>
    </w:p>
    <w:p w14:paraId="05868C1A" w14:textId="77777777" w:rsidR="002221BF" w:rsidRDefault="0050258F" w:rsidP="002221BF">
      <w:pPr>
        <w:pStyle w:val="reference"/>
        <w:numPr>
          <w:ilvl w:val="0"/>
          <w:numId w:val="11"/>
        </w:numPr>
      </w:pPr>
      <w:bookmarkStart w:id="9" w:name="_Ref524429584"/>
      <w:r>
        <w:t xml:space="preserve">Directive </w:t>
      </w:r>
      <w:r w:rsidR="002221BF">
        <w:t xml:space="preserve">2002/20/EC </w:t>
      </w:r>
      <w:r>
        <w:t xml:space="preserve">of the European Parliament and of the Council </w:t>
      </w:r>
      <w:r w:rsidR="002221BF">
        <w:t xml:space="preserve">of 7 March 2002 on the </w:t>
      </w:r>
      <w:r w:rsidR="002221BF" w:rsidRPr="002221BF">
        <w:rPr>
          <w:lang w:val="en-GB"/>
        </w:rPr>
        <w:t>authorisation</w:t>
      </w:r>
      <w:r w:rsidR="002221BF">
        <w:t xml:space="preserve"> of electronic communications networks and services </w:t>
      </w:r>
      <w:r w:rsidR="002221BF" w:rsidRPr="00E71C0F">
        <w:t xml:space="preserve">Radio Equipment Directive 2014/53/EU </w:t>
      </w:r>
    </w:p>
    <w:p w14:paraId="05868C1B" w14:textId="77777777" w:rsidR="002221BF" w:rsidRPr="00A2345A" w:rsidRDefault="002221BF" w:rsidP="002221BF">
      <w:pPr>
        <w:pStyle w:val="reference"/>
        <w:numPr>
          <w:ilvl w:val="0"/>
          <w:numId w:val="11"/>
        </w:numPr>
        <w:rPr>
          <w:lang w:eastAsia="nl-NL"/>
        </w:rPr>
      </w:pPr>
      <w:bookmarkStart w:id="10" w:name="_Ref524430598"/>
      <w:r w:rsidRPr="00823817">
        <w:rPr>
          <w:lang w:eastAsia="nl-NL"/>
        </w:rPr>
        <w:t>ECC Report 272</w:t>
      </w:r>
      <w:r>
        <w:rPr>
          <w:lang w:eastAsia="nl-NL"/>
        </w:rPr>
        <w:t>: “</w:t>
      </w:r>
      <w:r w:rsidRPr="00EF5313">
        <w:rPr>
          <w:lang w:eastAsia="nl-NL"/>
        </w:rPr>
        <w:t>Earth Stations operating in the frequency bands 4-8 GHz, 12-18 GHz and 18-40 GHz in the vicinity of aircraft</w:t>
      </w:r>
      <w:r>
        <w:rPr>
          <w:lang w:eastAsia="nl-NL"/>
        </w:rPr>
        <w:t>”</w:t>
      </w:r>
      <w:bookmarkEnd w:id="10"/>
      <w:r w:rsidR="005D3D73">
        <w:rPr>
          <w:lang w:eastAsia="nl-NL"/>
        </w:rPr>
        <w:t xml:space="preserve">, </w:t>
      </w:r>
      <w:r w:rsidR="00BC372F">
        <w:rPr>
          <w:lang w:eastAsia="nl-NL"/>
        </w:rPr>
        <w:t>January</w:t>
      </w:r>
      <w:r w:rsidR="005D3D73">
        <w:rPr>
          <w:lang w:eastAsia="nl-NL"/>
        </w:rPr>
        <w:t xml:space="preserve"> 2018</w:t>
      </w:r>
    </w:p>
    <w:p w14:paraId="05868C1C" w14:textId="46AF0025" w:rsidR="002221BF" w:rsidRDefault="002221BF" w:rsidP="006C03D0">
      <w:pPr>
        <w:pStyle w:val="reference"/>
        <w:numPr>
          <w:ilvl w:val="0"/>
          <w:numId w:val="11"/>
        </w:numPr>
      </w:pPr>
      <w:bookmarkStart w:id="11" w:name="_Ref524423409"/>
      <w:bookmarkStart w:id="12" w:name="_Ref524431943"/>
      <w:bookmarkStart w:id="13" w:name="_Ref524531816"/>
      <w:bookmarkEnd w:id="9"/>
      <w:r w:rsidRPr="00E71C0F">
        <w:t>ERC</w:t>
      </w:r>
      <w:r w:rsidR="007579B8">
        <w:t xml:space="preserve"> </w:t>
      </w:r>
      <w:r w:rsidR="00BC372F">
        <w:t>Recommendation</w:t>
      </w:r>
      <w:r w:rsidRPr="00E71C0F">
        <w:t xml:space="preserve"> 01-07</w:t>
      </w:r>
      <w:bookmarkEnd w:id="11"/>
      <w:r>
        <w:t>: “</w:t>
      </w:r>
      <w:r w:rsidR="0050258F">
        <w:t>Harmonised regime for exemption from individual licensing for the use of radio spectrum</w:t>
      </w:r>
      <w:bookmarkEnd w:id="12"/>
      <w:r w:rsidR="0050258F">
        <w:t>”</w:t>
      </w:r>
      <w:bookmarkEnd w:id="13"/>
      <w:r w:rsidR="00BC372F">
        <w:t>, revised June 2004</w:t>
      </w:r>
    </w:p>
    <w:p w14:paraId="05868C1D" w14:textId="77777777" w:rsidR="006B780F" w:rsidRDefault="00BC372F" w:rsidP="005D3D73">
      <w:pPr>
        <w:pStyle w:val="reference"/>
        <w:numPr>
          <w:ilvl w:val="0"/>
          <w:numId w:val="11"/>
        </w:numPr>
      </w:pPr>
      <w:bookmarkStart w:id="14" w:name="_Ref524432053"/>
      <w:bookmarkStart w:id="15" w:name="_Ref524531804"/>
      <w:r>
        <w:t xml:space="preserve">ETSI </w:t>
      </w:r>
      <w:r w:rsidR="006B780F" w:rsidRPr="006E696D">
        <w:t>EN 301 428</w:t>
      </w:r>
      <w:bookmarkEnd w:id="14"/>
      <w:r w:rsidR="005D3D73" w:rsidRPr="005D3D73">
        <w:t xml:space="preserve"> </w:t>
      </w:r>
      <w:r>
        <w:t>V</w:t>
      </w:r>
      <w:r w:rsidR="00B867DA">
        <w:t>2</w:t>
      </w:r>
      <w:r>
        <w:t>.</w:t>
      </w:r>
      <w:r w:rsidR="00B867DA">
        <w:t>1</w:t>
      </w:r>
      <w:r>
        <w:t>.</w:t>
      </w:r>
      <w:r w:rsidR="00B867DA">
        <w:t>2</w:t>
      </w:r>
      <w:r>
        <w:t>: “</w:t>
      </w:r>
      <w:bookmarkEnd w:id="15"/>
      <w:r w:rsidR="00B867DA">
        <w:t>Satellite Earth Stations and Systems (SES); Harmonised Standard for Very Small Aperture Terminal (VSAT); Transmit-only, transmit/receive or receive-only satellite earth stations operating in the 11/12/14 GHz frequency bands covering the essential requirements of article 3.2 of Directive 2014/53/EU</w:t>
      </w:r>
      <w:r>
        <w:t>”</w:t>
      </w:r>
    </w:p>
    <w:p w14:paraId="05868C1E" w14:textId="77777777" w:rsidR="006C03D0" w:rsidRPr="000A672F" w:rsidRDefault="006B780F" w:rsidP="006C03D0">
      <w:pPr>
        <w:pStyle w:val="reference"/>
        <w:numPr>
          <w:ilvl w:val="0"/>
          <w:numId w:val="11"/>
        </w:numPr>
      </w:pPr>
      <w:bookmarkStart w:id="16" w:name="_Ref524432045"/>
      <w:r w:rsidRPr="006E696D">
        <w:t>CEPT/ERC Recommendation 13-03</w:t>
      </w:r>
      <w:r w:rsidR="00BC372F">
        <w:t>: “The use of the band 14.0 - 14.5 GHz for Very Small Aperture Terminals (VSAT) and Satellite News Gathering (SNG)”,</w:t>
      </w:r>
      <w:r w:rsidR="002D75B7">
        <w:t xml:space="preserve"> </w:t>
      </w:r>
      <w:r w:rsidR="00BC372F">
        <w:t>December</w:t>
      </w:r>
      <w:r w:rsidRPr="006E696D">
        <w:t xml:space="preserve"> 1996</w:t>
      </w:r>
      <w:bookmarkEnd w:id="8"/>
      <w:bookmarkEnd w:id="16"/>
    </w:p>
    <w:sectPr w:rsidR="006C03D0" w:rsidRPr="000A672F" w:rsidSect="006C03D0">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68C25" w14:textId="77777777" w:rsidR="00FC1463" w:rsidRDefault="00FC1463" w:rsidP="006C03D0">
      <w:r>
        <w:separator/>
      </w:r>
    </w:p>
  </w:endnote>
  <w:endnote w:type="continuationSeparator" w:id="0">
    <w:p w14:paraId="05868C26" w14:textId="77777777" w:rsidR="00FC1463" w:rsidRDefault="00FC1463"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charset w:val="59"/>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68C23" w14:textId="77777777" w:rsidR="00FC1463" w:rsidRDefault="00FC1463" w:rsidP="006C03D0">
      <w:r>
        <w:separator/>
      </w:r>
    </w:p>
  </w:footnote>
  <w:footnote w:type="continuationSeparator" w:id="0">
    <w:p w14:paraId="05868C24" w14:textId="77777777" w:rsidR="00FC1463" w:rsidRDefault="00FC1463" w:rsidP="006C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68C27" w14:textId="0A453DE0" w:rsidR="00FA4704" w:rsidRPr="002221BF" w:rsidRDefault="00B03382">
    <w:pPr>
      <w:pStyle w:val="Header"/>
      <w:rPr>
        <w:szCs w:val="16"/>
        <w:lang w:val="en-GB"/>
      </w:rPr>
    </w:pPr>
    <w:r w:rsidRPr="002221BF">
      <w:rPr>
        <w:lang w:val="en-GB"/>
      </w:rPr>
      <w:t>ECC/DEC/</w:t>
    </w:r>
    <w:r w:rsidR="00FA4704" w:rsidRPr="002221BF">
      <w:rPr>
        <w:lang w:val="en-GB"/>
      </w:rPr>
      <w:t>(</w:t>
    </w:r>
    <w:r w:rsidR="00C05124">
      <w:rPr>
        <w:lang w:val="en-GB"/>
      </w:rPr>
      <w:t>03</w:t>
    </w:r>
    <w:r w:rsidR="00FA4704" w:rsidRPr="002221BF">
      <w:rPr>
        <w:lang w:val="en-GB"/>
      </w:rPr>
      <w:t>)</w:t>
    </w:r>
    <w:r w:rsidR="00C05124">
      <w:rPr>
        <w:lang w:val="en-GB"/>
      </w:rPr>
      <w:t>04</w:t>
    </w:r>
    <w:r w:rsidR="00FA4704" w:rsidRPr="002221BF">
      <w:rPr>
        <w:lang w:val="en-GB"/>
      </w:rPr>
      <w:t xml:space="preserve"> </w:t>
    </w:r>
    <w:r w:rsidR="00FA4704" w:rsidRPr="002221BF">
      <w:rPr>
        <w:szCs w:val="16"/>
        <w:lang w:val="en-GB"/>
      </w:rPr>
      <w:t xml:space="preserve">Page </w:t>
    </w:r>
    <w:r w:rsidR="00FA4704">
      <w:fldChar w:fldCharType="begin"/>
    </w:r>
    <w:r w:rsidR="00FA4704">
      <w:instrText xml:space="preserve"> PAGE  \* Arabic  \* MERGEFORMAT </w:instrText>
    </w:r>
    <w:r w:rsidR="00FA4704">
      <w:fldChar w:fldCharType="separate"/>
    </w:r>
    <w:r w:rsidR="001D1632" w:rsidRPr="001D1632">
      <w:rPr>
        <w:noProof/>
        <w:szCs w:val="16"/>
        <w:lang w:val="en-GB"/>
      </w:rPr>
      <w:t>6</w:t>
    </w:r>
    <w:r w:rsidR="00FA4704">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68C28" w14:textId="1D636E61" w:rsidR="00FA4704" w:rsidRPr="002221BF" w:rsidRDefault="00B03382" w:rsidP="006C03D0">
    <w:pPr>
      <w:pStyle w:val="Header"/>
      <w:jc w:val="right"/>
      <w:rPr>
        <w:szCs w:val="16"/>
        <w:lang w:val="en-GB"/>
      </w:rPr>
    </w:pPr>
    <w:r w:rsidRPr="002221BF">
      <w:rPr>
        <w:lang w:val="en-GB"/>
      </w:rPr>
      <w:t>ECC/DEC/</w:t>
    </w:r>
    <w:r w:rsidR="00FA4704" w:rsidRPr="002221BF">
      <w:rPr>
        <w:lang w:val="en-GB"/>
      </w:rPr>
      <w:t>(</w:t>
    </w:r>
    <w:r w:rsidR="00C05124" w:rsidRPr="002221BF">
      <w:rPr>
        <w:lang w:val="en-GB"/>
      </w:rPr>
      <w:t>03</w:t>
    </w:r>
    <w:r w:rsidR="00FA4704" w:rsidRPr="002221BF">
      <w:rPr>
        <w:lang w:val="en-GB"/>
      </w:rPr>
      <w:t>)</w:t>
    </w:r>
    <w:r w:rsidR="00C05124">
      <w:rPr>
        <w:lang w:val="en-GB"/>
      </w:rPr>
      <w:t>04</w:t>
    </w:r>
    <w:r w:rsidR="00FA4704" w:rsidRPr="002221BF">
      <w:rPr>
        <w:lang w:val="en-GB"/>
      </w:rPr>
      <w:t xml:space="preserve"> </w:t>
    </w:r>
    <w:r w:rsidR="00FA4704" w:rsidRPr="002221BF">
      <w:rPr>
        <w:szCs w:val="16"/>
        <w:lang w:val="en-GB"/>
      </w:rPr>
      <w:t xml:space="preserve">Page </w:t>
    </w:r>
    <w:r w:rsidR="00FA4704">
      <w:fldChar w:fldCharType="begin"/>
    </w:r>
    <w:r w:rsidR="00FA4704">
      <w:instrText xml:space="preserve"> PAGE  \* Arabic  \* MERGEFORMAT </w:instrText>
    </w:r>
    <w:r w:rsidR="00FA4704">
      <w:fldChar w:fldCharType="separate"/>
    </w:r>
    <w:r w:rsidR="001D1632" w:rsidRPr="001D1632">
      <w:rPr>
        <w:noProof/>
        <w:szCs w:val="16"/>
        <w:lang w:val="en-GB"/>
      </w:rPr>
      <w:t>5</w:t>
    </w:r>
    <w:r w:rsidR="00FA4704">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68C29" w14:textId="11925E2D" w:rsidR="00FA4704" w:rsidRPr="00A9553F" w:rsidRDefault="00FA4704" w:rsidP="00B26443">
    <w:pPr>
      <w:pStyle w:val="Header"/>
      <w:jc w:val="right"/>
      <w:rPr>
        <w:lang w:val="en-GB"/>
      </w:rPr>
    </w:pPr>
    <w:r w:rsidRPr="00A9553F">
      <w:rPr>
        <w:noProof/>
        <w:szCs w:val="20"/>
        <w:lang w:val="da-DK" w:eastAsia="da-DK"/>
      </w:rPr>
      <w:drawing>
        <wp:anchor distT="0" distB="0" distL="114300" distR="114300" simplePos="0" relativeHeight="251657728" behindDoc="0" locked="0" layoutInCell="1" allowOverlap="1" wp14:anchorId="05868C2D" wp14:editId="05868C2E">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A9553F">
      <w:rPr>
        <w:noProof/>
        <w:szCs w:val="20"/>
        <w:lang w:val="da-DK" w:eastAsia="da-DK"/>
      </w:rPr>
      <w:drawing>
        <wp:anchor distT="0" distB="0" distL="114300" distR="114300" simplePos="0" relativeHeight="251656704" behindDoc="0" locked="0" layoutInCell="1" allowOverlap="1" wp14:anchorId="05868C2F" wp14:editId="05868C30">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nsid w:val="12074951"/>
    <w:multiLevelType w:val="singleLevel"/>
    <w:tmpl w:val="8EDAC120"/>
    <w:lvl w:ilvl="0">
      <w:start w:val="1"/>
      <w:numFmt w:val="bullet"/>
      <w:lvlText w:val=""/>
      <w:lvlJc w:val="left"/>
      <w:pPr>
        <w:tabs>
          <w:tab w:val="num" w:pos="1778"/>
        </w:tabs>
        <w:ind w:left="1701" w:hanging="283"/>
      </w:pPr>
      <w:rPr>
        <w:rFonts w:ascii="Symbol" w:hAnsi="Symbol" w:hint="default"/>
      </w:rPr>
    </w:lvl>
  </w:abstractNum>
  <w:abstractNum w:abstractNumId="3">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nsid w:val="39181927"/>
    <w:multiLevelType w:val="singleLevel"/>
    <w:tmpl w:val="8EDAC120"/>
    <w:lvl w:ilvl="0">
      <w:start w:val="1"/>
      <w:numFmt w:val="bullet"/>
      <w:lvlText w:val=""/>
      <w:lvlJc w:val="left"/>
      <w:pPr>
        <w:tabs>
          <w:tab w:val="num" w:pos="1778"/>
        </w:tabs>
        <w:ind w:left="1701" w:hanging="283"/>
      </w:pPr>
      <w:rPr>
        <w:rFonts w:ascii="Symbol" w:hAnsi="Symbol" w:hint="default"/>
      </w:rPr>
    </w:lvl>
  </w:abstractNum>
  <w:abstractNum w:abstractNumId="13">
    <w:nsid w:val="3B0A2DB8"/>
    <w:multiLevelType w:val="multilevel"/>
    <w:tmpl w:val="E75440A8"/>
    <w:lvl w:ilvl="0">
      <w:start w:val="1"/>
      <w:numFmt w:val="lowerLetter"/>
      <w:lvlText w:val="%1)"/>
      <w:legacy w:legacy="1" w:legacySpace="0" w:legacyIndent="450"/>
      <w:lvlJc w:val="left"/>
      <w:pPr>
        <w:ind w:left="450" w:hanging="45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3DBA5464"/>
    <w:multiLevelType w:val="singleLevel"/>
    <w:tmpl w:val="0406000F"/>
    <w:lvl w:ilvl="0">
      <w:start w:val="1"/>
      <w:numFmt w:val="decimal"/>
      <w:lvlText w:val="%1."/>
      <w:lvlJc w:val="left"/>
      <w:pPr>
        <w:ind w:left="360" w:hanging="360"/>
      </w:pPr>
    </w:lvl>
  </w:abstractNum>
  <w:abstractNum w:abstractNumId="17">
    <w:nsid w:val="427E184A"/>
    <w:multiLevelType w:val="hybridMultilevel"/>
    <w:tmpl w:val="F51A9A3A"/>
    <w:lvl w:ilvl="0" w:tplc="C65085F2">
      <w:start w:val="1"/>
      <w:numFmt w:val="bullet"/>
      <w:pStyle w:val="ECCParBulleted"/>
      <w:lvlText w:val=""/>
      <w:lvlJc w:val="left"/>
      <w:pPr>
        <w:tabs>
          <w:tab w:val="num" w:pos="2280"/>
        </w:tabs>
        <w:ind w:left="2280" w:hanging="360"/>
      </w:pPr>
      <w:rPr>
        <w:rFonts w:ascii="Wingdings" w:hAnsi="Wingdings" w:hint="default"/>
        <w:color w:val="D2232A"/>
      </w:rPr>
    </w:lvl>
    <w:lvl w:ilvl="1" w:tplc="2722AF3A" w:tentative="1">
      <w:start w:val="1"/>
      <w:numFmt w:val="bullet"/>
      <w:lvlText w:val="o"/>
      <w:lvlJc w:val="left"/>
      <w:pPr>
        <w:tabs>
          <w:tab w:val="num" w:pos="3360"/>
        </w:tabs>
        <w:ind w:left="3360" w:hanging="360"/>
      </w:pPr>
      <w:rPr>
        <w:rFonts w:ascii="Courier New" w:hAnsi="Courier New" w:cs="Arial" w:hint="default"/>
      </w:rPr>
    </w:lvl>
    <w:lvl w:ilvl="2" w:tplc="DF3A6222" w:tentative="1">
      <w:start w:val="1"/>
      <w:numFmt w:val="bullet"/>
      <w:lvlText w:val=""/>
      <w:lvlJc w:val="left"/>
      <w:pPr>
        <w:tabs>
          <w:tab w:val="num" w:pos="4080"/>
        </w:tabs>
        <w:ind w:left="4080" w:hanging="360"/>
      </w:pPr>
      <w:rPr>
        <w:rFonts w:ascii="Wingdings" w:hAnsi="Wingdings" w:hint="default"/>
      </w:rPr>
    </w:lvl>
    <w:lvl w:ilvl="3" w:tplc="38384B7C" w:tentative="1">
      <w:start w:val="1"/>
      <w:numFmt w:val="bullet"/>
      <w:lvlText w:val=""/>
      <w:lvlJc w:val="left"/>
      <w:pPr>
        <w:tabs>
          <w:tab w:val="num" w:pos="4800"/>
        </w:tabs>
        <w:ind w:left="4800" w:hanging="360"/>
      </w:pPr>
      <w:rPr>
        <w:rFonts w:ascii="Symbol" w:hAnsi="Symbol" w:hint="default"/>
      </w:rPr>
    </w:lvl>
    <w:lvl w:ilvl="4" w:tplc="3FACFB98" w:tentative="1">
      <w:start w:val="1"/>
      <w:numFmt w:val="bullet"/>
      <w:lvlText w:val="o"/>
      <w:lvlJc w:val="left"/>
      <w:pPr>
        <w:tabs>
          <w:tab w:val="num" w:pos="5520"/>
        </w:tabs>
        <w:ind w:left="5520" w:hanging="360"/>
      </w:pPr>
      <w:rPr>
        <w:rFonts w:ascii="Courier New" w:hAnsi="Courier New" w:cs="Arial" w:hint="default"/>
      </w:rPr>
    </w:lvl>
    <w:lvl w:ilvl="5" w:tplc="9AB23964" w:tentative="1">
      <w:start w:val="1"/>
      <w:numFmt w:val="bullet"/>
      <w:lvlText w:val=""/>
      <w:lvlJc w:val="left"/>
      <w:pPr>
        <w:tabs>
          <w:tab w:val="num" w:pos="6240"/>
        </w:tabs>
        <w:ind w:left="6240" w:hanging="360"/>
      </w:pPr>
      <w:rPr>
        <w:rFonts w:ascii="Wingdings" w:hAnsi="Wingdings" w:hint="default"/>
      </w:rPr>
    </w:lvl>
    <w:lvl w:ilvl="6" w:tplc="0CD81336" w:tentative="1">
      <w:start w:val="1"/>
      <w:numFmt w:val="bullet"/>
      <w:lvlText w:val=""/>
      <w:lvlJc w:val="left"/>
      <w:pPr>
        <w:tabs>
          <w:tab w:val="num" w:pos="6960"/>
        </w:tabs>
        <w:ind w:left="6960" w:hanging="360"/>
      </w:pPr>
      <w:rPr>
        <w:rFonts w:ascii="Symbol" w:hAnsi="Symbol" w:hint="default"/>
      </w:rPr>
    </w:lvl>
    <w:lvl w:ilvl="7" w:tplc="41885BBC" w:tentative="1">
      <w:start w:val="1"/>
      <w:numFmt w:val="bullet"/>
      <w:lvlText w:val="o"/>
      <w:lvlJc w:val="left"/>
      <w:pPr>
        <w:tabs>
          <w:tab w:val="num" w:pos="7680"/>
        </w:tabs>
        <w:ind w:left="7680" w:hanging="360"/>
      </w:pPr>
      <w:rPr>
        <w:rFonts w:ascii="Courier New" w:hAnsi="Courier New" w:cs="Arial" w:hint="default"/>
      </w:rPr>
    </w:lvl>
    <w:lvl w:ilvl="8" w:tplc="BC0A8502" w:tentative="1">
      <w:start w:val="1"/>
      <w:numFmt w:val="bullet"/>
      <w:lvlText w:val=""/>
      <w:lvlJc w:val="left"/>
      <w:pPr>
        <w:tabs>
          <w:tab w:val="num" w:pos="8400"/>
        </w:tabs>
        <w:ind w:left="8400" w:hanging="360"/>
      </w:pPr>
      <w:rPr>
        <w:rFonts w:ascii="Wingdings" w:hAnsi="Wingdings" w:hint="default"/>
      </w:rPr>
    </w:lvl>
  </w:abstractNum>
  <w:abstractNum w:abstractNumId="18">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1C81A85"/>
    <w:multiLevelType w:val="singleLevel"/>
    <w:tmpl w:val="4A40CF8C"/>
    <w:lvl w:ilvl="0">
      <w:start w:val="1"/>
      <w:numFmt w:val="decimal"/>
      <w:lvlText w:val="%1."/>
      <w:legacy w:legacy="1" w:legacySpace="0" w:legacyIndent="360"/>
      <w:lvlJc w:val="left"/>
      <w:pPr>
        <w:ind w:left="360" w:hanging="360"/>
      </w:pPr>
    </w:lvl>
  </w:abstractNum>
  <w:abstractNum w:abstractNumId="21">
    <w:nsid w:val="537D2E81"/>
    <w:multiLevelType w:val="singleLevel"/>
    <w:tmpl w:val="6DDAB202"/>
    <w:lvl w:ilvl="0">
      <w:start w:val="2"/>
      <w:numFmt w:val="decimal"/>
      <w:lvlText w:val="%1."/>
      <w:legacy w:legacy="1" w:legacySpace="0" w:legacyIndent="360"/>
      <w:lvlJc w:val="left"/>
      <w:pPr>
        <w:ind w:left="360" w:hanging="360"/>
      </w:pPr>
    </w:lvl>
  </w:abstractNum>
  <w:abstractNum w:abstractNumId="22">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3">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5">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9"/>
  </w:num>
  <w:num w:numId="4">
    <w:abstractNumId w:val="6"/>
  </w:num>
  <w:num w:numId="5">
    <w:abstractNumId w:val="22"/>
  </w:num>
  <w:num w:numId="6">
    <w:abstractNumId w:val="10"/>
  </w:num>
  <w:num w:numId="7">
    <w:abstractNumId w:val="9"/>
  </w:num>
  <w:num w:numId="8">
    <w:abstractNumId w:val="18"/>
  </w:num>
  <w:num w:numId="9">
    <w:abstractNumId w:val="17"/>
  </w:num>
  <w:num w:numId="10">
    <w:abstractNumId w:val="11"/>
  </w:num>
  <w:num w:numId="11">
    <w:abstractNumId w:val="18"/>
    <w:lvlOverride w:ilvl="0">
      <w:startOverride w:val="1"/>
    </w:lvlOverride>
  </w:num>
  <w:num w:numId="12">
    <w:abstractNumId w:val="5"/>
  </w:num>
  <w:num w:numId="13">
    <w:abstractNumId w:val="3"/>
  </w:num>
  <w:num w:numId="14">
    <w:abstractNumId w:val="24"/>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25"/>
  </w:num>
  <w:num w:numId="20">
    <w:abstractNumId w:val="14"/>
  </w:num>
  <w:num w:numId="21">
    <w:abstractNumId w:val="27"/>
  </w:num>
  <w:num w:numId="22">
    <w:abstractNumId w:val="28"/>
  </w:num>
  <w:num w:numId="23">
    <w:abstractNumId w:val="1"/>
  </w:num>
  <w:num w:numId="24">
    <w:abstractNumId w:val="4"/>
  </w:num>
  <w:num w:numId="25">
    <w:abstractNumId w:val="12"/>
  </w:num>
  <w:num w:numId="26">
    <w:abstractNumId w:val="2"/>
  </w:num>
  <w:num w:numId="27">
    <w:abstractNumId w:val="13"/>
  </w:num>
  <w:num w:numId="28">
    <w:abstractNumId w:val="0"/>
    <w:lvlOverride w:ilvl="0">
      <w:lvl w:ilvl="0">
        <w:start w:val="1"/>
        <w:numFmt w:val="bullet"/>
        <w:lvlText w:val=""/>
        <w:legacy w:legacy="1" w:legacySpace="0" w:legacyIndent="360"/>
        <w:lvlJc w:val="left"/>
        <w:pPr>
          <w:ind w:left="1494" w:hanging="360"/>
        </w:pPr>
        <w:rPr>
          <w:rFonts w:ascii="Symbol" w:hAnsi="Symbol" w:hint="default"/>
        </w:rPr>
      </w:lvl>
    </w:lvlOverride>
  </w:num>
  <w:num w:numId="29">
    <w:abstractNumId w:val="20"/>
  </w:num>
  <w:num w:numId="30">
    <w:abstractNumId w:val="21"/>
  </w:num>
  <w:num w:numId="31">
    <w:abstractNumId w:val="16"/>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CC Secretary ">
    <w15:presenceInfo w15:providerId="None" w15:userId="ECC Secretary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3">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F5"/>
    <w:rsid w:val="00031379"/>
    <w:rsid w:val="000447A8"/>
    <w:rsid w:val="00062C4C"/>
    <w:rsid w:val="00064F87"/>
    <w:rsid w:val="00072B81"/>
    <w:rsid w:val="00074D98"/>
    <w:rsid w:val="000C183F"/>
    <w:rsid w:val="000F3919"/>
    <w:rsid w:val="001044B8"/>
    <w:rsid w:val="0013619B"/>
    <w:rsid w:val="00161FD7"/>
    <w:rsid w:val="00193F57"/>
    <w:rsid w:val="001A1D3C"/>
    <w:rsid w:val="001B1F5E"/>
    <w:rsid w:val="001C1C83"/>
    <w:rsid w:val="001C46EA"/>
    <w:rsid w:val="001D1632"/>
    <w:rsid w:val="001E0C8D"/>
    <w:rsid w:val="002221BF"/>
    <w:rsid w:val="00235393"/>
    <w:rsid w:val="00253B86"/>
    <w:rsid w:val="002741A5"/>
    <w:rsid w:val="002D75B7"/>
    <w:rsid w:val="002E0BD3"/>
    <w:rsid w:val="002E22A9"/>
    <w:rsid w:val="002F793B"/>
    <w:rsid w:val="00396D6C"/>
    <w:rsid w:val="003B53F5"/>
    <w:rsid w:val="003B717C"/>
    <w:rsid w:val="003C0597"/>
    <w:rsid w:val="00412E32"/>
    <w:rsid w:val="00424510"/>
    <w:rsid w:val="004A12E5"/>
    <w:rsid w:val="004B5CAB"/>
    <w:rsid w:val="004C730D"/>
    <w:rsid w:val="004D07F3"/>
    <w:rsid w:val="004D4301"/>
    <w:rsid w:val="004F3970"/>
    <w:rsid w:val="0050258F"/>
    <w:rsid w:val="00503822"/>
    <w:rsid w:val="005544DD"/>
    <w:rsid w:val="005859F3"/>
    <w:rsid w:val="005D3D73"/>
    <w:rsid w:val="005F7AD5"/>
    <w:rsid w:val="005F7D13"/>
    <w:rsid w:val="00635F1D"/>
    <w:rsid w:val="006B780F"/>
    <w:rsid w:val="006C03D0"/>
    <w:rsid w:val="0070052E"/>
    <w:rsid w:val="00713DBA"/>
    <w:rsid w:val="00754892"/>
    <w:rsid w:val="007579B8"/>
    <w:rsid w:val="007A18C7"/>
    <w:rsid w:val="007C4C7C"/>
    <w:rsid w:val="007C6571"/>
    <w:rsid w:val="007C78C9"/>
    <w:rsid w:val="007E23E4"/>
    <w:rsid w:val="00891ECE"/>
    <w:rsid w:val="00934399"/>
    <w:rsid w:val="00980BAB"/>
    <w:rsid w:val="009A697E"/>
    <w:rsid w:val="009E2DC2"/>
    <w:rsid w:val="00A41673"/>
    <w:rsid w:val="00A56C22"/>
    <w:rsid w:val="00A73D7E"/>
    <w:rsid w:val="00A8085A"/>
    <w:rsid w:val="00A9553F"/>
    <w:rsid w:val="00AB6FCE"/>
    <w:rsid w:val="00AD5A5A"/>
    <w:rsid w:val="00B03382"/>
    <w:rsid w:val="00B23041"/>
    <w:rsid w:val="00B26443"/>
    <w:rsid w:val="00B650B1"/>
    <w:rsid w:val="00B867DA"/>
    <w:rsid w:val="00BC372F"/>
    <w:rsid w:val="00BF3428"/>
    <w:rsid w:val="00C05124"/>
    <w:rsid w:val="00C1340F"/>
    <w:rsid w:val="00C64D00"/>
    <w:rsid w:val="00C665E0"/>
    <w:rsid w:val="00C7573C"/>
    <w:rsid w:val="00C97F5D"/>
    <w:rsid w:val="00CC2BEC"/>
    <w:rsid w:val="00D24769"/>
    <w:rsid w:val="00D5552A"/>
    <w:rsid w:val="00D90B0A"/>
    <w:rsid w:val="00DA090D"/>
    <w:rsid w:val="00DA2BAB"/>
    <w:rsid w:val="00DC0568"/>
    <w:rsid w:val="00E36D92"/>
    <w:rsid w:val="00E65E22"/>
    <w:rsid w:val="00E67ED7"/>
    <w:rsid w:val="00E73D39"/>
    <w:rsid w:val="00E81086"/>
    <w:rsid w:val="00E92803"/>
    <w:rsid w:val="00F177F1"/>
    <w:rsid w:val="00F32EE8"/>
    <w:rsid w:val="00F926F7"/>
    <w:rsid w:val="00FA4704"/>
    <w:rsid w:val="00FC1463"/>
    <w:rsid w:val="00FC55C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3">
      <o:colormru v:ext="edit" colors="#7b6c58,#887e6e,#d2232a,#57433e,#b0a696"/>
    </o:shapedefaults>
    <o:shapelayout v:ext="edit">
      <o:idmap v:ext="edit" data="1"/>
    </o:shapelayout>
  </w:shapeDefaults>
  <w:decimalSymbol w:val=","/>
  <w:listSeparator w:val=";"/>
  <w14:docId w14:val="0586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24769"/>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aliases w:val="encabezado,he,header odd,header odd1,header odd2,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tabs>
        <w:tab w:val="clear" w:pos="397"/>
        <w:tab w:val="num" w:pos="1957"/>
      </w:tabs>
      <w:spacing w:after="120"/>
      <w:ind w:left="1957"/>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
    <w:name w:val="Footnote Text Char"/>
    <w:link w:val="FootnoteText"/>
    <w:semiHidden/>
    <w:rsid w:val="00C05124"/>
    <w:rPr>
      <w:rFonts w:ascii="Arial" w:hAnsi="Arial"/>
      <w:lang w:val="en-US"/>
    </w:rPr>
  </w:style>
  <w:style w:type="paragraph" w:styleId="BodyText2">
    <w:name w:val="Body Text 2"/>
    <w:basedOn w:val="Normal"/>
    <w:link w:val="BodyText2Char"/>
    <w:rsid w:val="00C05124"/>
    <w:pPr>
      <w:spacing w:after="120" w:line="480" w:lineRule="auto"/>
    </w:pPr>
    <w:rPr>
      <w:rFonts w:ascii="Times New Roman" w:hAnsi="Times New Roman"/>
      <w:szCs w:val="20"/>
      <w:lang w:val="en-GB" w:eastAsia="nl-NL"/>
    </w:rPr>
  </w:style>
  <w:style w:type="character" w:customStyle="1" w:styleId="BodyText2Char">
    <w:name w:val="Body Text 2 Char"/>
    <w:basedOn w:val="DefaultParagraphFont"/>
    <w:link w:val="BodyText2"/>
    <w:rsid w:val="00C05124"/>
    <w:rPr>
      <w:lang w:eastAsia="nl-NL"/>
    </w:rPr>
  </w:style>
  <w:style w:type="paragraph" w:styleId="BodyText3">
    <w:name w:val="Body Text 3"/>
    <w:basedOn w:val="Normal"/>
    <w:link w:val="BodyText3Char"/>
    <w:rsid w:val="00C05124"/>
    <w:pPr>
      <w:jc w:val="both"/>
    </w:pPr>
    <w:rPr>
      <w:rFonts w:ascii="Times New Roman" w:hAnsi="Times New Roman"/>
      <w:szCs w:val="20"/>
      <w:lang w:val="en-GB" w:eastAsia="nl-NL"/>
    </w:rPr>
  </w:style>
  <w:style w:type="character" w:customStyle="1" w:styleId="BodyText3Char">
    <w:name w:val="Body Text 3 Char"/>
    <w:basedOn w:val="DefaultParagraphFont"/>
    <w:link w:val="BodyText3"/>
    <w:rsid w:val="00C05124"/>
    <w:rPr>
      <w:lang w:eastAsia="nl-NL"/>
    </w:rPr>
  </w:style>
  <w:style w:type="character" w:styleId="CommentReference">
    <w:name w:val="annotation reference"/>
    <w:basedOn w:val="DefaultParagraphFont"/>
    <w:uiPriority w:val="99"/>
    <w:semiHidden/>
    <w:unhideWhenUsed/>
    <w:rsid w:val="007C4C7C"/>
    <w:rPr>
      <w:sz w:val="16"/>
      <w:szCs w:val="16"/>
    </w:rPr>
  </w:style>
  <w:style w:type="paragraph" w:styleId="CommentText">
    <w:name w:val="annotation text"/>
    <w:basedOn w:val="Normal"/>
    <w:link w:val="CommentTextChar"/>
    <w:uiPriority w:val="99"/>
    <w:semiHidden/>
    <w:unhideWhenUsed/>
    <w:rsid w:val="007C4C7C"/>
    <w:rPr>
      <w:szCs w:val="20"/>
    </w:rPr>
  </w:style>
  <w:style w:type="character" w:customStyle="1" w:styleId="CommentTextChar">
    <w:name w:val="Comment Text Char"/>
    <w:basedOn w:val="DefaultParagraphFont"/>
    <w:link w:val="CommentText"/>
    <w:uiPriority w:val="99"/>
    <w:semiHidden/>
    <w:rsid w:val="007C4C7C"/>
    <w:rPr>
      <w:rFonts w:ascii="Arial" w:hAnsi="Arial"/>
      <w:lang w:val="en-US"/>
    </w:rPr>
  </w:style>
  <w:style w:type="paragraph" w:styleId="CommentSubject">
    <w:name w:val="annotation subject"/>
    <w:basedOn w:val="CommentText"/>
    <w:next w:val="CommentText"/>
    <w:link w:val="CommentSubjectChar"/>
    <w:uiPriority w:val="99"/>
    <w:semiHidden/>
    <w:unhideWhenUsed/>
    <w:rsid w:val="007C4C7C"/>
    <w:rPr>
      <w:b/>
      <w:bCs/>
    </w:rPr>
  </w:style>
  <w:style w:type="character" w:customStyle="1" w:styleId="CommentSubjectChar">
    <w:name w:val="Comment Subject Char"/>
    <w:basedOn w:val="CommentTextChar"/>
    <w:link w:val="CommentSubject"/>
    <w:uiPriority w:val="99"/>
    <w:semiHidden/>
    <w:rsid w:val="007C4C7C"/>
    <w:rPr>
      <w:rFonts w:ascii="Arial" w:hAnsi="Arial"/>
      <w:b/>
      <w:bCs/>
      <w:lang w:val="en-US"/>
    </w:rPr>
  </w:style>
  <w:style w:type="paragraph" w:styleId="Revision">
    <w:name w:val="Revision"/>
    <w:hidden/>
    <w:uiPriority w:val="99"/>
    <w:semiHidden/>
    <w:rsid w:val="005D3D73"/>
    <w:rPr>
      <w:rFonts w:ascii="Arial" w:hAnsi="Arial"/>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24769"/>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aliases w:val="encabezado,he,header odd,header odd1,header odd2,header"/>
    <w:basedOn w:val="Normal"/>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tabs>
        <w:tab w:val="clear" w:pos="397"/>
        <w:tab w:val="num" w:pos="1957"/>
      </w:tabs>
      <w:spacing w:after="120"/>
      <w:ind w:left="1957"/>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
    <w:name w:val="Footnote Text Char"/>
    <w:link w:val="FootnoteText"/>
    <w:semiHidden/>
    <w:rsid w:val="00C05124"/>
    <w:rPr>
      <w:rFonts w:ascii="Arial" w:hAnsi="Arial"/>
      <w:lang w:val="en-US"/>
    </w:rPr>
  </w:style>
  <w:style w:type="paragraph" w:styleId="BodyText2">
    <w:name w:val="Body Text 2"/>
    <w:basedOn w:val="Normal"/>
    <w:link w:val="BodyText2Char"/>
    <w:rsid w:val="00C05124"/>
    <w:pPr>
      <w:spacing w:after="120" w:line="480" w:lineRule="auto"/>
    </w:pPr>
    <w:rPr>
      <w:rFonts w:ascii="Times New Roman" w:hAnsi="Times New Roman"/>
      <w:szCs w:val="20"/>
      <w:lang w:val="en-GB" w:eastAsia="nl-NL"/>
    </w:rPr>
  </w:style>
  <w:style w:type="character" w:customStyle="1" w:styleId="BodyText2Char">
    <w:name w:val="Body Text 2 Char"/>
    <w:basedOn w:val="DefaultParagraphFont"/>
    <w:link w:val="BodyText2"/>
    <w:rsid w:val="00C05124"/>
    <w:rPr>
      <w:lang w:eastAsia="nl-NL"/>
    </w:rPr>
  </w:style>
  <w:style w:type="paragraph" w:styleId="BodyText3">
    <w:name w:val="Body Text 3"/>
    <w:basedOn w:val="Normal"/>
    <w:link w:val="BodyText3Char"/>
    <w:rsid w:val="00C05124"/>
    <w:pPr>
      <w:jc w:val="both"/>
    </w:pPr>
    <w:rPr>
      <w:rFonts w:ascii="Times New Roman" w:hAnsi="Times New Roman"/>
      <w:szCs w:val="20"/>
      <w:lang w:val="en-GB" w:eastAsia="nl-NL"/>
    </w:rPr>
  </w:style>
  <w:style w:type="character" w:customStyle="1" w:styleId="BodyText3Char">
    <w:name w:val="Body Text 3 Char"/>
    <w:basedOn w:val="DefaultParagraphFont"/>
    <w:link w:val="BodyText3"/>
    <w:rsid w:val="00C05124"/>
    <w:rPr>
      <w:lang w:eastAsia="nl-NL"/>
    </w:rPr>
  </w:style>
  <w:style w:type="character" w:styleId="CommentReference">
    <w:name w:val="annotation reference"/>
    <w:basedOn w:val="DefaultParagraphFont"/>
    <w:uiPriority w:val="99"/>
    <w:semiHidden/>
    <w:unhideWhenUsed/>
    <w:rsid w:val="007C4C7C"/>
    <w:rPr>
      <w:sz w:val="16"/>
      <w:szCs w:val="16"/>
    </w:rPr>
  </w:style>
  <w:style w:type="paragraph" w:styleId="CommentText">
    <w:name w:val="annotation text"/>
    <w:basedOn w:val="Normal"/>
    <w:link w:val="CommentTextChar"/>
    <w:uiPriority w:val="99"/>
    <w:semiHidden/>
    <w:unhideWhenUsed/>
    <w:rsid w:val="007C4C7C"/>
    <w:rPr>
      <w:szCs w:val="20"/>
    </w:rPr>
  </w:style>
  <w:style w:type="character" w:customStyle="1" w:styleId="CommentTextChar">
    <w:name w:val="Comment Text Char"/>
    <w:basedOn w:val="DefaultParagraphFont"/>
    <w:link w:val="CommentText"/>
    <w:uiPriority w:val="99"/>
    <w:semiHidden/>
    <w:rsid w:val="007C4C7C"/>
    <w:rPr>
      <w:rFonts w:ascii="Arial" w:hAnsi="Arial"/>
      <w:lang w:val="en-US"/>
    </w:rPr>
  </w:style>
  <w:style w:type="paragraph" w:styleId="CommentSubject">
    <w:name w:val="annotation subject"/>
    <w:basedOn w:val="CommentText"/>
    <w:next w:val="CommentText"/>
    <w:link w:val="CommentSubjectChar"/>
    <w:uiPriority w:val="99"/>
    <w:semiHidden/>
    <w:unhideWhenUsed/>
    <w:rsid w:val="007C4C7C"/>
    <w:rPr>
      <w:b/>
      <w:bCs/>
    </w:rPr>
  </w:style>
  <w:style w:type="character" w:customStyle="1" w:styleId="CommentSubjectChar">
    <w:name w:val="Comment Subject Char"/>
    <w:basedOn w:val="CommentTextChar"/>
    <w:link w:val="CommentSubject"/>
    <w:uiPriority w:val="99"/>
    <w:semiHidden/>
    <w:rsid w:val="007C4C7C"/>
    <w:rPr>
      <w:rFonts w:ascii="Arial" w:hAnsi="Arial"/>
      <w:b/>
      <w:bCs/>
      <w:lang w:val="en-US"/>
    </w:rPr>
  </w:style>
  <w:style w:type="paragraph" w:styleId="Revision">
    <w:name w:val="Revision"/>
    <w:hidden/>
    <w:uiPriority w:val="99"/>
    <w:semiHidden/>
    <w:rsid w:val="005D3D73"/>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451319">
      <w:bodyDiv w:val="1"/>
      <w:marLeft w:val="0"/>
      <w:marRight w:val="0"/>
      <w:marTop w:val="0"/>
      <w:marBottom w:val="0"/>
      <w:divBdr>
        <w:top w:val="none" w:sz="0" w:space="0" w:color="auto"/>
        <w:left w:val="none" w:sz="0" w:space="0" w:color="auto"/>
        <w:bottom w:val="none" w:sz="0" w:space="0" w:color="auto"/>
        <w:right w:val="none" w:sz="0" w:space="0" w:color="auto"/>
      </w:divBdr>
      <w:divsChild>
        <w:div w:id="229385232">
          <w:marLeft w:val="0"/>
          <w:marRight w:val="0"/>
          <w:marTop w:val="0"/>
          <w:marBottom w:val="0"/>
          <w:divBdr>
            <w:top w:val="none" w:sz="0" w:space="0" w:color="auto"/>
            <w:left w:val="none" w:sz="0" w:space="0" w:color="auto"/>
            <w:bottom w:val="none" w:sz="0" w:space="0" w:color="auto"/>
            <w:right w:val="none" w:sz="0" w:space="0" w:color="auto"/>
          </w:divBdr>
        </w:div>
        <w:div w:id="80494142">
          <w:marLeft w:val="0"/>
          <w:marRight w:val="0"/>
          <w:marTop w:val="0"/>
          <w:marBottom w:val="0"/>
          <w:divBdr>
            <w:top w:val="none" w:sz="0" w:space="0" w:color="auto"/>
            <w:left w:val="none" w:sz="0" w:space="0" w:color="auto"/>
            <w:bottom w:val="none" w:sz="0" w:space="0" w:color="auto"/>
            <w:right w:val="none" w:sz="0" w:space="0" w:color="auto"/>
          </w:divBdr>
        </w:div>
        <w:div w:id="1530100787">
          <w:marLeft w:val="0"/>
          <w:marRight w:val="0"/>
          <w:marTop w:val="0"/>
          <w:marBottom w:val="0"/>
          <w:divBdr>
            <w:top w:val="none" w:sz="0" w:space="0" w:color="auto"/>
            <w:left w:val="none" w:sz="0" w:space="0" w:color="auto"/>
            <w:bottom w:val="none" w:sz="0" w:space="0" w:color="auto"/>
            <w:right w:val="none" w:sz="0" w:space="0" w:color="auto"/>
          </w:divBdr>
        </w:div>
        <w:div w:id="1868105399">
          <w:marLeft w:val="0"/>
          <w:marRight w:val="0"/>
          <w:marTop w:val="0"/>
          <w:marBottom w:val="0"/>
          <w:divBdr>
            <w:top w:val="none" w:sz="0" w:space="0" w:color="auto"/>
            <w:left w:val="none" w:sz="0" w:space="0" w:color="auto"/>
            <w:bottom w:val="none" w:sz="0" w:space="0" w:color="auto"/>
            <w:right w:val="none" w:sz="0" w:space="0" w:color="auto"/>
          </w:divBdr>
        </w:div>
        <w:div w:id="537548204">
          <w:marLeft w:val="0"/>
          <w:marRight w:val="0"/>
          <w:marTop w:val="0"/>
          <w:marBottom w:val="0"/>
          <w:divBdr>
            <w:top w:val="none" w:sz="0" w:space="0" w:color="auto"/>
            <w:left w:val="none" w:sz="0" w:space="0" w:color="auto"/>
            <w:bottom w:val="none" w:sz="0" w:space="0" w:color="auto"/>
            <w:right w:val="none" w:sz="0" w:space="0" w:color="auto"/>
          </w:divBdr>
        </w:div>
        <w:div w:id="148616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0606-BF20-4DB4-A204-FFD43A6F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8748</Characters>
  <Application>Microsoft Office Word</Application>
  <DocSecurity>0</DocSecurity>
  <Lines>153</Lines>
  <Paragraphs>67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ECC/DEC/(03)04</vt:lpstr>
      <vt:lpstr>ECC/DEC/(03)04</vt:lpstr>
      <vt:lpstr/>
    </vt:vector>
  </TitlesOfParts>
  <Company>WGFM#93</Company>
  <LinksUpToDate>false</LinksUpToDate>
  <CharactersWithSpaces>10310</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ECC/DEC/(03)04</dc:title>
  <dc:creator>SAIDANI</dc:creator>
  <cp:lastModifiedBy>ECO</cp:lastModifiedBy>
  <cp:revision>2</cp:revision>
  <dcterms:created xsi:type="dcterms:W3CDTF">2019-03-19T13:03:00Z</dcterms:created>
  <dcterms:modified xsi:type="dcterms:W3CDTF">2019-03-19T13:03:00Z</dcterms:modified>
  <cp:contentStatus>adopted for ECC approval</cp:contentStatus>
</cp:coreProperties>
</file>