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5549" w14:textId="7301232E" w:rsidR="006C03D0" w:rsidRPr="00587D00" w:rsidRDefault="006C03D0">
      <w:pPr>
        <w:rPr>
          <w:lang w:val="en-GB"/>
        </w:rPr>
      </w:pPr>
    </w:p>
    <w:p w14:paraId="1C6B554A" w14:textId="77777777" w:rsidR="006C03D0" w:rsidRPr="00587D00" w:rsidRDefault="006C03D0" w:rsidP="006C03D0">
      <w:pPr>
        <w:jc w:val="center"/>
        <w:rPr>
          <w:lang w:val="en-GB"/>
        </w:rPr>
      </w:pPr>
    </w:p>
    <w:p w14:paraId="1C6B554B" w14:textId="77777777" w:rsidR="006C03D0" w:rsidRPr="00587D00" w:rsidRDefault="006C03D0" w:rsidP="006C03D0">
      <w:pPr>
        <w:jc w:val="center"/>
        <w:rPr>
          <w:lang w:val="en-GB"/>
        </w:rPr>
      </w:pPr>
    </w:p>
    <w:p w14:paraId="1C6B554C" w14:textId="77777777" w:rsidR="006C03D0" w:rsidRPr="00587D00" w:rsidRDefault="006C03D0" w:rsidP="00190865">
      <w:pPr>
        <w:rPr>
          <w:lang w:val="en-GB"/>
        </w:rPr>
      </w:pPr>
    </w:p>
    <w:p w14:paraId="1C6B554D" w14:textId="77777777" w:rsidR="006C03D0" w:rsidRPr="00587D00" w:rsidRDefault="006C03D0" w:rsidP="006C03D0">
      <w:pPr>
        <w:rPr>
          <w:lang w:val="en-GB"/>
        </w:rPr>
      </w:pPr>
    </w:p>
    <w:p w14:paraId="1C6B554E" w14:textId="77777777" w:rsidR="006C03D0" w:rsidRPr="00587D00" w:rsidRDefault="007C6571" w:rsidP="006C03D0">
      <w:pPr>
        <w:jc w:val="center"/>
        <w:rPr>
          <w:b/>
          <w:sz w:val="24"/>
          <w:lang w:val="en-GB"/>
        </w:rPr>
      </w:pPr>
      <w:r w:rsidRPr="00587D00">
        <w:rPr>
          <w:b/>
          <w:noProof/>
          <w:sz w:val="24"/>
          <w:szCs w:val="20"/>
          <w:lang w:val="da-DK" w:eastAsia="da-DK"/>
        </w:rPr>
        <mc:AlternateContent>
          <mc:Choice Requires="wpg">
            <w:drawing>
              <wp:anchor distT="0" distB="0" distL="114300" distR="114300" simplePos="0" relativeHeight="251657728" behindDoc="0" locked="0" layoutInCell="1" allowOverlap="1" wp14:anchorId="1C6B5689" wp14:editId="1C6B568A">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B569E"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328FD">
                                <w:rPr>
                                  <w:color w:val="887E6E"/>
                                  <w:sz w:val="68"/>
                                </w:rPr>
                                <w:t>05</w:t>
                              </w:r>
                              <w:r w:rsidRPr="001E2FAA">
                                <w:rPr>
                                  <w:color w:val="887E6E"/>
                                  <w:sz w:val="68"/>
                                </w:rPr>
                                <w:t>)</w:t>
                              </w:r>
                              <w:r w:rsidR="009328FD">
                                <w:rPr>
                                  <w:color w:val="887E6E"/>
                                  <w:sz w:val="68"/>
                                </w:rPr>
                                <w:t>09</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1C6B569E"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328FD">
                          <w:rPr>
                            <w:color w:val="887E6E"/>
                            <w:sz w:val="68"/>
                          </w:rPr>
                          <w:t>05</w:t>
                        </w:r>
                        <w:r w:rsidRPr="001E2FAA">
                          <w:rPr>
                            <w:color w:val="887E6E"/>
                            <w:sz w:val="68"/>
                          </w:rPr>
                          <w:t>)</w:t>
                        </w:r>
                        <w:r w:rsidR="009328FD">
                          <w:rPr>
                            <w:color w:val="887E6E"/>
                            <w:sz w:val="68"/>
                          </w:rPr>
                          <w:t>09</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1C6B554F" w14:textId="77777777" w:rsidR="006C03D0" w:rsidRPr="00587D00" w:rsidRDefault="006C03D0" w:rsidP="006C03D0">
      <w:pPr>
        <w:jc w:val="center"/>
        <w:rPr>
          <w:b/>
          <w:sz w:val="24"/>
          <w:lang w:val="en-GB"/>
        </w:rPr>
      </w:pPr>
    </w:p>
    <w:p w14:paraId="1C6B5550" w14:textId="77777777" w:rsidR="006C03D0" w:rsidRPr="00587D00" w:rsidRDefault="006C03D0" w:rsidP="006C03D0">
      <w:pPr>
        <w:jc w:val="center"/>
        <w:rPr>
          <w:b/>
          <w:sz w:val="24"/>
          <w:lang w:val="en-GB"/>
        </w:rPr>
      </w:pPr>
    </w:p>
    <w:p w14:paraId="1C6B5551" w14:textId="77777777" w:rsidR="006C03D0" w:rsidRPr="00587D00" w:rsidRDefault="006C03D0" w:rsidP="006C03D0">
      <w:pPr>
        <w:jc w:val="center"/>
        <w:rPr>
          <w:b/>
          <w:sz w:val="24"/>
          <w:lang w:val="en-GB"/>
        </w:rPr>
      </w:pPr>
    </w:p>
    <w:p w14:paraId="1C6B5552" w14:textId="77777777" w:rsidR="006C03D0" w:rsidRPr="00587D00" w:rsidRDefault="006C03D0" w:rsidP="006C03D0">
      <w:pPr>
        <w:jc w:val="center"/>
        <w:rPr>
          <w:b/>
          <w:sz w:val="24"/>
          <w:lang w:val="en-GB"/>
        </w:rPr>
      </w:pPr>
    </w:p>
    <w:p w14:paraId="1C6B5553" w14:textId="77777777" w:rsidR="006C03D0" w:rsidRPr="00587D00" w:rsidRDefault="006C03D0" w:rsidP="006C03D0">
      <w:pPr>
        <w:jc w:val="center"/>
        <w:rPr>
          <w:b/>
          <w:sz w:val="24"/>
          <w:lang w:val="en-GB"/>
        </w:rPr>
      </w:pPr>
    </w:p>
    <w:p w14:paraId="1C6B5554" w14:textId="77777777" w:rsidR="006C03D0" w:rsidRPr="00587D00" w:rsidRDefault="006C03D0" w:rsidP="006C03D0">
      <w:pPr>
        <w:jc w:val="center"/>
        <w:rPr>
          <w:b/>
          <w:sz w:val="24"/>
          <w:lang w:val="en-GB"/>
        </w:rPr>
      </w:pPr>
    </w:p>
    <w:p w14:paraId="1C6B5555" w14:textId="77777777" w:rsidR="006C03D0" w:rsidRPr="00587D00" w:rsidRDefault="006C03D0" w:rsidP="006C03D0">
      <w:pPr>
        <w:jc w:val="center"/>
        <w:rPr>
          <w:b/>
          <w:sz w:val="24"/>
          <w:lang w:val="en-GB"/>
        </w:rPr>
      </w:pPr>
    </w:p>
    <w:p w14:paraId="1C6B5556" w14:textId="77777777" w:rsidR="006C03D0" w:rsidRPr="00587D00" w:rsidRDefault="006C03D0" w:rsidP="006C03D0">
      <w:pPr>
        <w:jc w:val="center"/>
        <w:rPr>
          <w:b/>
          <w:sz w:val="24"/>
          <w:lang w:val="en-GB"/>
        </w:rPr>
      </w:pPr>
    </w:p>
    <w:p w14:paraId="1C6B5557" w14:textId="77777777" w:rsidR="006C03D0" w:rsidRPr="00587D00" w:rsidRDefault="006C03D0" w:rsidP="006C03D0">
      <w:pPr>
        <w:jc w:val="center"/>
        <w:rPr>
          <w:b/>
          <w:sz w:val="24"/>
          <w:lang w:val="en-GB"/>
        </w:rPr>
      </w:pPr>
    </w:p>
    <w:p w14:paraId="1C6B5558" w14:textId="77777777" w:rsidR="006C03D0" w:rsidRPr="00587D00" w:rsidRDefault="006C03D0" w:rsidP="006C03D0">
      <w:pPr>
        <w:jc w:val="center"/>
        <w:rPr>
          <w:b/>
          <w:sz w:val="24"/>
          <w:lang w:val="en-GB"/>
        </w:rPr>
      </w:pPr>
    </w:p>
    <w:p w14:paraId="1C6B5559" w14:textId="77777777" w:rsidR="006C03D0" w:rsidRPr="00587D00" w:rsidRDefault="006C03D0" w:rsidP="006C03D0">
      <w:pPr>
        <w:rPr>
          <w:b/>
          <w:sz w:val="24"/>
          <w:lang w:val="en-GB"/>
        </w:rPr>
      </w:pPr>
    </w:p>
    <w:p w14:paraId="1C6B555A" w14:textId="77777777" w:rsidR="006C03D0" w:rsidRPr="00587D00" w:rsidRDefault="006C03D0" w:rsidP="006C03D0">
      <w:pPr>
        <w:jc w:val="center"/>
        <w:rPr>
          <w:b/>
          <w:sz w:val="24"/>
          <w:lang w:val="en-GB"/>
        </w:rPr>
      </w:pPr>
    </w:p>
    <w:p w14:paraId="1C6B555B" w14:textId="77777777" w:rsidR="00D268DA" w:rsidRPr="005A00E5" w:rsidRDefault="00D268DA" w:rsidP="00D268DA">
      <w:pPr>
        <w:pStyle w:val="Reporttitledescription"/>
        <w:rPr>
          <w:color w:val="auto"/>
        </w:rPr>
      </w:pPr>
      <w:r>
        <w:rPr>
          <w:color w:val="auto"/>
        </w:rPr>
        <w:fldChar w:fldCharType="begin">
          <w:ffData>
            <w:name w:val="Text7"/>
            <w:enabled/>
            <w:calcOnExit w:val="0"/>
            <w:textInput>
              <w:default w:val="The Free Circulation and Use of Earth Stations on Board Vessels operating in Fixed Satellite Service Networks in the Frequency Bands 5925-6425 MHz (Earth-to-space) and 3700-4200 MHz (space-to-Earth)"/>
            </w:textInput>
          </w:ffData>
        </w:fldChar>
      </w:r>
      <w:bookmarkStart w:id="0" w:name="Text7"/>
      <w:r>
        <w:rPr>
          <w:color w:val="auto"/>
        </w:rPr>
        <w:instrText xml:space="preserve"> FORMTEXT </w:instrText>
      </w:r>
      <w:r>
        <w:rPr>
          <w:color w:val="auto"/>
        </w:rPr>
      </w:r>
      <w:r>
        <w:rPr>
          <w:color w:val="auto"/>
        </w:rPr>
        <w:fldChar w:fldCharType="separate"/>
      </w:r>
      <w:r>
        <w:rPr>
          <w:noProof/>
          <w:color w:val="auto"/>
        </w:rPr>
        <w:t>The Free Circulation and Use of Earth Stations on Board Vessels operating in Fixed Satellite Service Networks in the Frequency Bands 5925-6425 MHz (Earth-to-space) and 3700-4200 MHz (space-to-Earth)</w:t>
      </w:r>
      <w:r>
        <w:rPr>
          <w:color w:val="auto"/>
        </w:rPr>
        <w:fldChar w:fldCharType="end"/>
      </w:r>
      <w:bookmarkEnd w:id="0"/>
      <w:r w:rsidRPr="005A00E5">
        <w:rPr>
          <w:color w:val="auto"/>
        </w:rPr>
        <w:t xml:space="preserve"> </w:t>
      </w:r>
    </w:p>
    <w:p w14:paraId="1C6B555C" w14:textId="77777777" w:rsidR="00EE0568" w:rsidRPr="005A00E5" w:rsidRDefault="00D268DA" w:rsidP="00D268DA">
      <w:pPr>
        <w:pStyle w:val="Reporttitledescription"/>
        <w:rPr>
          <w:b/>
          <w:color w:val="auto"/>
          <w:sz w:val="18"/>
        </w:rPr>
      </w:pPr>
      <w:r>
        <w:rPr>
          <w:b/>
          <w:color w:val="auto"/>
          <w:sz w:val="18"/>
        </w:rPr>
        <w:fldChar w:fldCharType="begin">
          <w:ffData>
            <w:name w:val=""/>
            <w:enabled/>
            <w:calcOnExit w:val="0"/>
            <w:textInput>
              <w:default w:val="Approved 24 June 2005"/>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24 June 2005</w:t>
      </w:r>
      <w:r>
        <w:rPr>
          <w:b/>
          <w:color w:val="auto"/>
          <w:sz w:val="18"/>
        </w:rPr>
        <w:fldChar w:fldCharType="end"/>
      </w:r>
    </w:p>
    <w:p w14:paraId="1C6B555E" w14:textId="4F43B199" w:rsidR="00344808" w:rsidRPr="00072B81" w:rsidRDefault="00CC5073" w:rsidP="00344808">
      <w:pPr>
        <w:pStyle w:val="Lastupdated"/>
        <w:rPr>
          <w:b/>
        </w:rPr>
      </w:pPr>
      <w:r>
        <w:rPr>
          <w:b/>
        </w:rPr>
        <w:fldChar w:fldCharType="begin">
          <w:ffData>
            <w:name w:val=""/>
            <w:enabled/>
            <w:calcOnExit w:val="0"/>
            <w:textInput>
              <w:default w:val="Amended 8 March 2019 "/>
            </w:textInput>
          </w:ffData>
        </w:fldChar>
      </w:r>
      <w:r>
        <w:rPr>
          <w:b/>
        </w:rPr>
        <w:instrText xml:space="preserve"> FORMTEXT </w:instrText>
      </w:r>
      <w:r>
        <w:rPr>
          <w:b/>
        </w:rPr>
      </w:r>
      <w:r>
        <w:rPr>
          <w:b/>
        </w:rPr>
        <w:fldChar w:fldCharType="separate"/>
      </w:r>
      <w:r>
        <w:rPr>
          <w:b/>
          <w:noProof/>
        </w:rPr>
        <w:t xml:space="preserve">Amended 8 March 2019 </w:t>
      </w:r>
      <w:r>
        <w:rPr>
          <w:b/>
        </w:rPr>
        <w:fldChar w:fldCharType="end"/>
      </w:r>
    </w:p>
    <w:p w14:paraId="1C6B555F" w14:textId="77777777" w:rsidR="006C03D0" w:rsidRPr="00587D00" w:rsidRDefault="005F7AD5" w:rsidP="006C03D0">
      <w:pPr>
        <w:pStyle w:val="Heading1"/>
      </w:pPr>
      <w:r w:rsidRPr="00587D00">
        <w:lastRenderedPageBreak/>
        <w:t>explanatory memorandum</w:t>
      </w:r>
    </w:p>
    <w:p w14:paraId="1C6B5560" w14:textId="77777777" w:rsidR="006C03D0" w:rsidRPr="00587D00" w:rsidRDefault="009328FD" w:rsidP="006C03D0">
      <w:pPr>
        <w:pStyle w:val="Heading2"/>
        <w:rPr>
          <w:lang w:val="en-GB"/>
        </w:rPr>
      </w:pPr>
      <w:r w:rsidRPr="00587D00">
        <w:rPr>
          <w:lang w:val="en-GB"/>
        </w:rPr>
        <w:t>BACKGROUND</w:t>
      </w:r>
    </w:p>
    <w:p w14:paraId="1C6B5561" w14:textId="0F4A4D53" w:rsidR="009328FD" w:rsidRPr="00587D00" w:rsidRDefault="009328FD" w:rsidP="009328FD">
      <w:pPr>
        <w:pStyle w:val="ECCParagraph"/>
      </w:pPr>
      <w:r w:rsidRPr="00587D00">
        <w:t>For many years, satellite communications for ships was limited to services provided by systems oper</w:t>
      </w:r>
      <w:r w:rsidR="00E6704B" w:rsidRPr="00587D00">
        <w:t xml:space="preserve">ating in the 1.5/1.6 GHz band. </w:t>
      </w:r>
      <w:r w:rsidRPr="00587D00">
        <w:t>In the last decade however, operators have installed terminals on ships which operate in the fixed satel</w:t>
      </w:r>
      <w:r w:rsidR="00E6704B" w:rsidRPr="00587D00">
        <w:t xml:space="preserve">lite service bands at 4/6 GHz, and at 11/12/14 GHz. </w:t>
      </w:r>
      <w:r w:rsidRPr="00587D00">
        <w:t xml:space="preserve">These terminals are based on the design of conventional VSAT networks, but make use of highly accurate stabilised platforms to maintain the necessary antenna tracking of the GSO space station, even </w:t>
      </w:r>
      <w:r w:rsidR="00E6704B" w:rsidRPr="00587D00">
        <w:t xml:space="preserve">while the vessel is in motion. </w:t>
      </w:r>
      <w:r w:rsidRPr="00587D00">
        <w:t>Within the ITU, such terminals are known as Earth Stations on board Vessels (ESV).</w:t>
      </w:r>
    </w:p>
    <w:p w14:paraId="1C6B5562" w14:textId="308526F8" w:rsidR="009328FD" w:rsidRPr="00587D00" w:rsidRDefault="009328FD" w:rsidP="009328FD">
      <w:pPr>
        <w:pStyle w:val="ECCParagraph"/>
      </w:pPr>
      <w:r w:rsidRPr="00587D00">
        <w:t>ESV are often the only solution for users who require high communications bandwidth which cannot be met by the other maritime systems, and can be the most cost effective solution for users who require a modest bandwidth but "always on" capability.</w:t>
      </w:r>
    </w:p>
    <w:p w14:paraId="1C6B5563" w14:textId="77777777" w:rsidR="009328FD" w:rsidRPr="00587D00" w:rsidRDefault="009328FD" w:rsidP="009328FD">
      <w:pPr>
        <w:pStyle w:val="ECCParagraph"/>
      </w:pPr>
      <w:r w:rsidRPr="00587D00">
        <w:t>Example applications are:</w:t>
      </w:r>
    </w:p>
    <w:p w14:paraId="1C6B5564" w14:textId="77777777" w:rsidR="009328FD" w:rsidRPr="00587D00" w:rsidRDefault="009328FD" w:rsidP="009328FD">
      <w:pPr>
        <w:pStyle w:val="ECCParBulleted"/>
      </w:pPr>
      <w:r w:rsidRPr="00587D00">
        <w:t>Large data transfer requirements for scientific research ships</w:t>
      </w:r>
      <w:r w:rsidR="007A32C1" w:rsidRPr="00587D00">
        <w:t>;</w:t>
      </w:r>
    </w:p>
    <w:p w14:paraId="1C6B5565" w14:textId="77777777" w:rsidR="009328FD" w:rsidRPr="00587D00" w:rsidRDefault="009328FD" w:rsidP="009328FD">
      <w:pPr>
        <w:pStyle w:val="ECCParBulleted"/>
      </w:pPr>
      <w:r w:rsidRPr="00587D00">
        <w:t>Passenger telephone and internet service for ferries and cruise ships</w:t>
      </w:r>
      <w:r w:rsidR="007A32C1" w:rsidRPr="00587D00">
        <w:t>;</w:t>
      </w:r>
    </w:p>
    <w:p w14:paraId="1C6B5566" w14:textId="77777777" w:rsidR="009328FD" w:rsidRPr="00587D00" w:rsidRDefault="009328FD" w:rsidP="009328FD">
      <w:pPr>
        <w:pStyle w:val="ECCParBulleted"/>
      </w:pPr>
      <w:r w:rsidRPr="00587D00">
        <w:t>Extension of the corporate LAN to the ship's bridge</w:t>
      </w:r>
      <w:r w:rsidR="007A32C1" w:rsidRPr="00587D00">
        <w:t>.</w:t>
      </w:r>
    </w:p>
    <w:p w14:paraId="1C6B5567" w14:textId="77777777" w:rsidR="00D10F75" w:rsidRPr="00587D00" w:rsidRDefault="00D10F75" w:rsidP="00D10F75">
      <w:pPr>
        <w:pStyle w:val="ECCParBulleted"/>
        <w:numPr>
          <w:ilvl w:val="0"/>
          <w:numId w:val="0"/>
        </w:numPr>
      </w:pPr>
    </w:p>
    <w:p w14:paraId="1C6B5568" w14:textId="7F34CC4F" w:rsidR="009328FD" w:rsidRPr="00587D00" w:rsidRDefault="009328FD" w:rsidP="009328FD">
      <w:pPr>
        <w:pStyle w:val="ECCParagraph"/>
      </w:pPr>
      <w:r w:rsidRPr="00587D00">
        <w:t>The 4/6 GHz FSS satellites provide "global" beam coverage and are therefore used by ESV on vessels on long-distance ocean cros</w:t>
      </w:r>
      <w:r w:rsidR="007A32C1" w:rsidRPr="00587D00">
        <w:t>sing routes.</w:t>
      </w:r>
      <w:r w:rsidRPr="00587D00">
        <w:t xml:space="preserve"> For other users, the area of operation can be limited to smaller regions (e.g. within t</w:t>
      </w:r>
      <w:r w:rsidR="007A32C1" w:rsidRPr="00587D00">
        <w:t xml:space="preserve">he North Sea or Mediterranean) </w:t>
      </w:r>
      <w:r w:rsidRPr="00587D00">
        <w:t>and hence use can be made of the "regional" beams typical of 11/14 GHz FSS networks.</w:t>
      </w:r>
    </w:p>
    <w:p w14:paraId="1C6B5569" w14:textId="77777777" w:rsidR="009328FD" w:rsidRPr="00587D00" w:rsidRDefault="009328FD" w:rsidP="009328FD">
      <w:pPr>
        <w:pStyle w:val="ECCParagraph"/>
      </w:pPr>
      <w:r w:rsidRPr="00587D00">
        <w:t>A number of ITU-R Recommendations have been developed:</w:t>
      </w:r>
    </w:p>
    <w:p w14:paraId="1C6B556A" w14:textId="77777777" w:rsidR="009328FD" w:rsidRPr="00587D00" w:rsidRDefault="009328FD" w:rsidP="009328FD">
      <w:pPr>
        <w:pStyle w:val="ECCParBulleted"/>
      </w:pPr>
      <w:r w:rsidRPr="00587D00">
        <w:t>S.1587</w:t>
      </w:r>
      <w:r w:rsidR="009E535A" w:rsidRPr="00587D00">
        <w:t xml:space="preserve"> </w:t>
      </w:r>
      <w:r w:rsidRPr="00587D00">
        <w:t>-</w:t>
      </w:r>
      <w:bookmarkStart w:id="1" w:name="Pre_title"/>
      <w:r w:rsidR="009E535A" w:rsidRPr="00587D00">
        <w:t xml:space="preserve"> </w:t>
      </w:r>
      <w:r w:rsidRPr="00587D00">
        <w:t>Provisional technical characteristics of earth stations on board vessels operating in the frequency bands 5925-6425 MHz and 14-14.5 GHz which are allocated to the fixed-satellite service</w:t>
      </w:r>
      <w:bookmarkEnd w:id="1"/>
      <w:r w:rsidR="00915DD6" w:rsidRPr="00587D00">
        <w:t xml:space="preserve"> </w:t>
      </w:r>
      <w:r w:rsidR="00915DD6" w:rsidRPr="00587D00">
        <w:fldChar w:fldCharType="begin"/>
      </w:r>
      <w:r w:rsidR="00915DD6" w:rsidRPr="00587D00">
        <w:instrText xml:space="preserve"> REF _Ref524688298 \r \h </w:instrText>
      </w:r>
      <w:r w:rsidR="00915DD6" w:rsidRPr="00587D00">
        <w:fldChar w:fldCharType="separate"/>
      </w:r>
      <w:r w:rsidR="00915DD6" w:rsidRPr="00587D00">
        <w:t>[1]</w:t>
      </w:r>
      <w:r w:rsidR="00915DD6" w:rsidRPr="00587D00">
        <w:fldChar w:fldCharType="end"/>
      </w:r>
      <w:r w:rsidR="007A32C1" w:rsidRPr="00587D00">
        <w:t>;</w:t>
      </w:r>
    </w:p>
    <w:p w14:paraId="1C6B556B" w14:textId="77777777" w:rsidR="009328FD" w:rsidRPr="00587D00" w:rsidRDefault="009328FD" w:rsidP="009328FD">
      <w:pPr>
        <w:pStyle w:val="ECCParBulleted"/>
      </w:pPr>
      <w:r w:rsidRPr="00587D00">
        <w:t>SF.1585 - Example approach for determination of the composite area within which interference to fixed service stations from earth stations on board vessels when operating in motion near a coast</w:t>
      </w:r>
      <w:r w:rsidR="007A32C1" w:rsidRPr="00587D00">
        <w:t>line would need to be evaluated</w:t>
      </w:r>
      <w:r w:rsidR="00915DD6" w:rsidRPr="00587D00">
        <w:t xml:space="preserve"> </w:t>
      </w:r>
      <w:r w:rsidR="00915DD6" w:rsidRPr="00587D00">
        <w:fldChar w:fldCharType="begin"/>
      </w:r>
      <w:r w:rsidR="00915DD6" w:rsidRPr="00587D00">
        <w:instrText xml:space="preserve"> REF _Ref524688313 \r \h </w:instrText>
      </w:r>
      <w:r w:rsidR="00915DD6" w:rsidRPr="00587D00">
        <w:fldChar w:fldCharType="separate"/>
      </w:r>
      <w:r w:rsidR="00915DD6" w:rsidRPr="00587D00">
        <w:t>[2]</w:t>
      </w:r>
      <w:r w:rsidR="00915DD6" w:rsidRPr="00587D00">
        <w:fldChar w:fldCharType="end"/>
      </w:r>
      <w:r w:rsidR="007A32C1" w:rsidRPr="00587D00">
        <w:t>;</w:t>
      </w:r>
    </w:p>
    <w:p w14:paraId="1C6B556C" w14:textId="77777777" w:rsidR="009328FD" w:rsidRPr="00587D00" w:rsidRDefault="009328FD" w:rsidP="009328FD">
      <w:pPr>
        <w:pStyle w:val="ECCParBulleted"/>
      </w:pPr>
      <w:r w:rsidRPr="00587D00">
        <w:t>SF.1648 - Use of frequencies by earth stations on board vessels transmitting in certain bands allocated</w:t>
      </w:r>
      <w:r w:rsidR="007A32C1" w:rsidRPr="00587D00">
        <w:t xml:space="preserve"> to the fixed-satellite service</w:t>
      </w:r>
      <w:r w:rsidR="00915DD6" w:rsidRPr="00587D00">
        <w:t xml:space="preserve"> </w:t>
      </w:r>
      <w:r w:rsidR="00915DD6" w:rsidRPr="00587D00">
        <w:fldChar w:fldCharType="begin"/>
      </w:r>
      <w:r w:rsidR="00915DD6" w:rsidRPr="00587D00">
        <w:instrText xml:space="preserve"> REF _Ref524688318 \r \h </w:instrText>
      </w:r>
      <w:r w:rsidR="00915DD6" w:rsidRPr="00587D00">
        <w:fldChar w:fldCharType="separate"/>
      </w:r>
      <w:r w:rsidR="00915DD6" w:rsidRPr="00587D00">
        <w:t>[3]</w:t>
      </w:r>
      <w:r w:rsidR="00915DD6" w:rsidRPr="00587D00">
        <w:fldChar w:fldCharType="end"/>
      </w:r>
      <w:r w:rsidR="007A32C1" w:rsidRPr="00587D00">
        <w:t>;</w:t>
      </w:r>
    </w:p>
    <w:p w14:paraId="1C6B556D" w14:textId="278EF933" w:rsidR="009328FD" w:rsidRPr="00587D00" w:rsidRDefault="009328FD" w:rsidP="009328FD">
      <w:pPr>
        <w:pStyle w:val="ECCParBulleted"/>
      </w:pPr>
      <w:r w:rsidRPr="00587D00">
        <w:t>SF.1649 - Guidance for determination of interference from earth stations on vessels (ESV) to stations in the fixed service when the ESV</w:t>
      </w:r>
      <w:r w:rsidR="007A32C1" w:rsidRPr="00587D00">
        <w:t xml:space="preserve"> is within the minimum distance</w:t>
      </w:r>
      <w:r w:rsidR="00915DD6" w:rsidRPr="00587D00">
        <w:t xml:space="preserve"> </w:t>
      </w:r>
      <w:r w:rsidR="00915DD6" w:rsidRPr="00587D00">
        <w:fldChar w:fldCharType="begin"/>
      </w:r>
      <w:r w:rsidR="00915DD6" w:rsidRPr="00587D00">
        <w:instrText xml:space="preserve"> REF _Ref524688324 \r \h </w:instrText>
      </w:r>
      <w:r w:rsidR="00915DD6" w:rsidRPr="00587D00">
        <w:fldChar w:fldCharType="separate"/>
      </w:r>
      <w:r w:rsidR="00915DD6" w:rsidRPr="00587D00">
        <w:t>[4]</w:t>
      </w:r>
      <w:r w:rsidR="00915DD6" w:rsidRPr="00587D00">
        <w:fldChar w:fldCharType="end"/>
      </w:r>
      <w:r w:rsidR="007A32C1" w:rsidRPr="00587D00">
        <w:t>;</w:t>
      </w:r>
    </w:p>
    <w:p w14:paraId="1C6B556E" w14:textId="77777777" w:rsidR="009328FD" w:rsidRPr="00587D00" w:rsidRDefault="009E535A" w:rsidP="009328FD">
      <w:pPr>
        <w:pStyle w:val="ECCParBulleted"/>
      </w:pPr>
      <w:r w:rsidRPr="00587D00">
        <w:t xml:space="preserve">SF.1650 </w:t>
      </w:r>
      <w:r w:rsidR="009328FD" w:rsidRPr="00587D00">
        <w:t>- The minimum distance from the coastline beyond which in-motion earth stations located on board vessels would not cause unacceptable interference to the fixed service in the bands 5925-6425 MHz and 14-14.5 GHz</w:t>
      </w:r>
      <w:r w:rsidR="00915DD6" w:rsidRPr="00587D00">
        <w:t xml:space="preserve"> </w:t>
      </w:r>
      <w:r w:rsidR="00915DD6" w:rsidRPr="00587D00">
        <w:fldChar w:fldCharType="begin"/>
      </w:r>
      <w:r w:rsidR="00915DD6" w:rsidRPr="00587D00">
        <w:instrText xml:space="preserve"> REF _Ref524688330 \r \h </w:instrText>
      </w:r>
      <w:r w:rsidR="00915DD6" w:rsidRPr="00587D00">
        <w:fldChar w:fldCharType="separate"/>
      </w:r>
      <w:r w:rsidR="00915DD6" w:rsidRPr="00587D00">
        <w:t>[5]</w:t>
      </w:r>
      <w:r w:rsidR="00915DD6" w:rsidRPr="00587D00">
        <w:fldChar w:fldCharType="end"/>
      </w:r>
      <w:r w:rsidR="009328FD" w:rsidRPr="00587D00">
        <w:t>.</w:t>
      </w:r>
    </w:p>
    <w:p w14:paraId="1C6B556F" w14:textId="77777777" w:rsidR="009328FD" w:rsidRPr="00587D00" w:rsidRDefault="009328FD" w:rsidP="009328FD">
      <w:pPr>
        <w:pStyle w:val="ECCParBulleted"/>
        <w:numPr>
          <w:ilvl w:val="0"/>
          <w:numId w:val="0"/>
        </w:numPr>
      </w:pPr>
    </w:p>
    <w:p w14:paraId="1C6B5570" w14:textId="32FACECD" w:rsidR="001C7812" w:rsidRPr="00587D00" w:rsidRDefault="009328FD" w:rsidP="009328FD">
      <w:pPr>
        <w:pStyle w:val="ECCParagraph"/>
      </w:pPr>
      <w:r w:rsidRPr="00587D00">
        <w:t>At WRC-03, provisions relating to ESV were agreed in Resolution 902 (WRC-03) and Recommendation 37 (WRC-03)</w:t>
      </w:r>
      <w:r w:rsidR="00915DD6" w:rsidRPr="00587D00">
        <w:t xml:space="preserve"> </w:t>
      </w:r>
      <w:r w:rsidR="00915DD6" w:rsidRPr="00587D00">
        <w:fldChar w:fldCharType="begin"/>
      </w:r>
      <w:r w:rsidR="00915DD6" w:rsidRPr="00587D00">
        <w:instrText xml:space="preserve"> REF _Ref524695324 \r \h </w:instrText>
      </w:r>
      <w:r w:rsidR="00915DD6" w:rsidRPr="00587D00">
        <w:fldChar w:fldCharType="separate"/>
      </w:r>
      <w:r w:rsidR="00915DD6" w:rsidRPr="00587D00">
        <w:t>[6]</w:t>
      </w:r>
      <w:r w:rsidR="00915DD6" w:rsidRPr="00587D00">
        <w:fldChar w:fldCharType="end"/>
      </w:r>
      <w:r w:rsidRPr="00587D00">
        <w:t>. The Resolution defines distances from the low-water mark as officially recogni</w:t>
      </w:r>
      <w:r w:rsidR="001C7812" w:rsidRPr="00587D00">
        <w:t>s</w:t>
      </w:r>
      <w:r w:rsidRPr="00587D00">
        <w:t xml:space="preserve">ed by the coastal State within which permission from potentially affected administrations must be obtained. </w:t>
      </w:r>
      <w:r w:rsidR="001C7812" w:rsidRPr="00587D00">
        <w:t xml:space="preserve">WRC-15 has modified </w:t>
      </w:r>
      <w:r w:rsidR="00BC3D05" w:rsidRPr="00587D00">
        <w:t>ITU RR No. 5.457A</w:t>
      </w:r>
      <w:r w:rsidR="00915DD6" w:rsidRPr="00587D00">
        <w:t xml:space="preserve"> </w:t>
      </w:r>
      <w:r w:rsidR="00915DD6" w:rsidRPr="00587D00">
        <w:fldChar w:fldCharType="begin"/>
      </w:r>
      <w:r w:rsidR="00915DD6" w:rsidRPr="00587D00">
        <w:instrText xml:space="preserve"> REF _Ref524695324 \r \h </w:instrText>
      </w:r>
      <w:r w:rsidR="00915DD6" w:rsidRPr="00587D00">
        <w:fldChar w:fldCharType="separate"/>
      </w:r>
      <w:r w:rsidR="00915DD6" w:rsidRPr="00587D00">
        <w:t>[6]</w:t>
      </w:r>
      <w:r w:rsidR="00915DD6" w:rsidRPr="00587D00">
        <w:fldChar w:fldCharType="end"/>
      </w:r>
      <w:r w:rsidR="00BC3D05" w:rsidRPr="00587D00">
        <w:t xml:space="preserve"> </w:t>
      </w:r>
      <w:r w:rsidR="001C7812" w:rsidRPr="00587D00">
        <w:t>allowing</w:t>
      </w:r>
      <w:r w:rsidR="00294381" w:rsidRPr="00587D00">
        <w:t xml:space="preserve"> </w:t>
      </w:r>
      <w:r w:rsidR="00705DB9" w:rsidRPr="00587D00">
        <w:t>de</w:t>
      </w:r>
      <w:r w:rsidR="00294381" w:rsidRPr="00587D00">
        <w:t>ployment of transmit antennas</w:t>
      </w:r>
      <w:r w:rsidR="001C7812" w:rsidRPr="00587D00">
        <w:t xml:space="preserve"> </w:t>
      </w:r>
      <w:r w:rsidR="00294381" w:rsidRPr="00587D00">
        <w:t>with minimum diameter of</w:t>
      </w:r>
      <w:r w:rsidR="001C7812" w:rsidRPr="00587D00">
        <w:t xml:space="preserve"> 1.2 m to operate in the band 5925-6425 MHz without prior agreement of any administration if located at least 330 km away from the low-water mark as officially recognised by the coastal State.</w:t>
      </w:r>
    </w:p>
    <w:p w14:paraId="1C6B5571" w14:textId="55722D09" w:rsidR="006C03D0" w:rsidRPr="00587D00" w:rsidRDefault="009328FD" w:rsidP="009328FD">
      <w:pPr>
        <w:pStyle w:val="ECCParagraph"/>
      </w:pPr>
      <w:r w:rsidRPr="00587D00">
        <w:t>Although the regulatory provisions are a positive step towards the recognition and operation of ESV, they give little guidance as to how administrations should handle ESV operations within the minimum distances from the low-water mark as officially recogni</w:t>
      </w:r>
      <w:r w:rsidR="001C3DB9" w:rsidRPr="00587D00">
        <w:t>s</w:t>
      </w:r>
      <w:r w:rsidRPr="00587D00">
        <w:t>ed by the coastal State, and do not specifically address the licensing of ESV.</w:t>
      </w:r>
    </w:p>
    <w:p w14:paraId="1C6B5572" w14:textId="77777777" w:rsidR="006C03D0" w:rsidRPr="00587D00" w:rsidRDefault="005F7AD5" w:rsidP="006C03D0">
      <w:pPr>
        <w:pStyle w:val="Heading2"/>
        <w:rPr>
          <w:lang w:val="en-GB"/>
        </w:rPr>
      </w:pPr>
      <w:r w:rsidRPr="00587D00">
        <w:rPr>
          <w:lang w:val="en-GB"/>
        </w:rPr>
        <w:lastRenderedPageBreak/>
        <w:t>REQUIREMENT FOR AN ECC DECISION</w:t>
      </w:r>
    </w:p>
    <w:p w14:paraId="1C6B5573" w14:textId="77777777" w:rsidR="006C03D0" w:rsidRPr="00587D00" w:rsidRDefault="00EE1B0B" w:rsidP="009328FD">
      <w:pPr>
        <w:pStyle w:val="Heading3"/>
        <w:rPr>
          <w:lang w:val="en-GB"/>
        </w:rPr>
      </w:pPr>
      <w:r w:rsidRPr="00587D00">
        <w:rPr>
          <w:lang w:val="en-GB"/>
        </w:rPr>
        <w:t>Geographic R</w:t>
      </w:r>
      <w:r w:rsidR="009328FD" w:rsidRPr="00587D00">
        <w:rPr>
          <w:lang w:val="en-GB"/>
        </w:rPr>
        <w:t>estrictions</w:t>
      </w:r>
    </w:p>
    <w:p w14:paraId="1C6B5574" w14:textId="7369A795" w:rsidR="009328FD" w:rsidRPr="00587D00" w:rsidRDefault="009328FD" w:rsidP="009328FD">
      <w:pPr>
        <w:pStyle w:val="ECCParagraph"/>
      </w:pPr>
      <w:r w:rsidRPr="00587D00">
        <w:t>Some portions of the bands used by ESV are also allo</w:t>
      </w:r>
      <w:r w:rsidR="007A32C1" w:rsidRPr="00587D00">
        <w:t xml:space="preserve">cated to terrestrial services. </w:t>
      </w:r>
      <w:r w:rsidRPr="00587D00">
        <w:t>The minimum distances from the low-water mark as officially recogni</w:t>
      </w:r>
      <w:r w:rsidR="00D411D9" w:rsidRPr="00587D00">
        <w:t>s</w:t>
      </w:r>
      <w:r w:rsidRPr="00587D00">
        <w:t>ed by the coastal State which have been agreed within the ITU (3</w:t>
      </w:r>
      <w:r w:rsidR="001C3DB9" w:rsidRPr="00587D00">
        <w:t>3</w:t>
      </w:r>
      <w:r w:rsidRPr="00587D00">
        <w:t>0 km</w:t>
      </w:r>
      <w:r w:rsidR="00C95A27" w:rsidRPr="00587D00">
        <w:t xml:space="preserve">/300 km depending on the minimum antenna </w:t>
      </w:r>
      <w:r w:rsidR="003760F4" w:rsidRPr="00587D00">
        <w:t>diameter</w:t>
      </w:r>
      <w:r w:rsidR="00705DB9" w:rsidRPr="00587D00">
        <w:t>,</w:t>
      </w:r>
      <w:r w:rsidRPr="00587D00">
        <w:t xml:space="preserve"> at 6 GHz and 125 km for 14 GHz) are based on the protec</w:t>
      </w:r>
      <w:r w:rsidR="007A32C1" w:rsidRPr="00587D00">
        <w:t xml:space="preserve">tion of fixed service systems. </w:t>
      </w:r>
      <w:r w:rsidRPr="00587D00">
        <w:t xml:space="preserve">Under the Radio Regulations, transmissions from ESV within these distances shall be subject to the prior agreement of the relevant administrations where the bands are allocated to the fixed or mobile services. </w:t>
      </w:r>
    </w:p>
    <w:p w14:paraId="1C6B5575" w14:textId="1C1229E8" w:rsidR="009328FD" w:rsidRPr="00587D00" w:rsidRDefault="009328FD" w:rsidP="009328FD">
      <w:pPr>
        <w:pStyle w:val="ECCParagraph"/>
      </w:pPr>
      <w:r w:rsidRPr="00587D00">
        <w:t>Most ESV may need, at times, to operate closer than the minimum distances from the low-water mark as officially re</w:t>
      </w:r>
      <w:r w:rsidR="007A32C1" w:rsidRPr="00587D00">
        <w:t>cogni</w:t>
      </w:r>
      <w:r w:rsidR="00D411D9" w:rsidRPr="00587D00">
        <w:t>s</w:t>
      </w:r>
      <w:r w:rsidR="007A32C1" w:rsidRPr="00587D00">
        <w:t xml:space="preserve">ed by the coastal State. </w:t>
      </w:r>
      <w:r w:rsidRPr="00587D00">
        <w:t>The use of the 6 GHz band and parts of the 14 GHz band by the FS within Europe means that prior agreement could be required from several administrations, depending on the intended route of the E</w:t>
      </w:r>
      <w:r w:rsidR="007A32C1" w:rsidRPr="00587D00">
        <w:t xml:space="preserve">SV and frequency of operation. </w:t>
      </w:r>
      <w:r w:rsidRPr="00587D00">
        <w:t>The ITU-R has developed Recommendations which could be used to perform the necessary interference analysis and determine acceptable/prohibi</w:t>
      </w:r>
      <w:r w:rsidR="007A32C1" w:rsidRPr="00587D00">
        <w:t xml:space="preserve">ted areas of operation. </w:t>
      </w:r>
      <w:r w:rsidRPr="00587D00">
        <w:t>The mobile nature of the ESV means that the process is more complex than traditional coordination between terrestrial services and p</w:t>
      </w:r>
      <w:r w:rsidR="007A32C1" w:rsidRPr="00587D00">
        <w:t xml:space="preserve">ermanent fixed earth stations. </w:t>
      </w:r>
      <w:r w:rsidRPr="00587D00">
        <w:t>On the other hand, once an area of sea has been successfully cleared for ESV operation, it may be usable for any ESV with similar technical characteristics.</w:t>
      </w:r>
    </w:p>
    <w:p w14:paraId="1C6B5576" w14:textId="7FDE7B79" w:rsidR="009328FD" w:rsidRPr="00587D00" w:rsidRDefault="009328FD" w:rsidP="009328FD">
      <w:pPr>
        <w:pStyle w:val="ECCParagraph"/>
      </w:pPr>
      <w:r w:rsidRPr="00587D00">
        <w:t>It is unlikely that administrations will want to entertain requests for agreement from numerous ESV or ESV service providers, and for each trip made by an individual ESV within the minimum di</w:t>
      </w:r>
      <w:r w:rsidR="007A32C1" w:rsidRPr="00587D00">
        <w:t xml:space="preserve">stance of that administration. </w:t>
      </w:r>
      <w:r w:rsidRPr="00587D00">
        <w:t>Hence it appears beneficial to all concerned to define the necessary geographic restrictions in a harmonised manner that can be applied generally by administrations and the ESV industry in Europe.</w:t>
      </w:r>
    </w:p>
    <w:p w14:paraId="1C6B5577" w14:textId="77777777" w:rsidR="009328FD" w:rsidRPr="00587D00" w:rsidRDefault="009328FD" w:rsidP="00C75904">
      <w:pPr>
        <w:pStyle w:val="Heading3"/>
        <w:rPr>
          <w:lang w:val="en-GB"/>
        </w:rPr>
      </w:pPr>
      <w:r w:rsidRPr="00587D00">
        <w:rPr>
          <w:lang w:val="en-GB"/>
        </w:rPr>
        <w:t>Licensing Issues</w:t>
      </w:r>
    </w:p>
    <w:p w14:paraId="1C6B5578" w14:textId="77777777" w:rsidR="009328FD" w:rsidRPr="00587D00" w:rsidRDefault="009328FD" w:rsidP="009328FD">
      <w:pPr>
        <w:pStyle w:val="ECCParagraph"/>
      </w:pPr>
      <w:r w:rsidRPr="00587D00">
        <w:t>There may be a few cases where an ESV operates entirely within the territorial waters of a single administration, but in general, an ESV will travel between the ports of more than one country.</w:t>
      </w:r>
      <w:r w:rsidR="00915DD6" w:rsidRPr="00587D00">
        <w:t xml:space="preserve"> </w:t>
      </w:r>
      <w:r w:rsidRPr="00587D00">
        <w:t>Thus time will be spent within the territorial waters of several different administrations and within international waters.</w:t>
      </w:r>
      <w:r w:rsidR="00915DD6" w:rsidRPr="00587D00">
        <w:t xml:space="preserve"> </w:t>
      </w:r>
      <w:r w:rsidRPr="00587D00">
        <w:t>This situation could introduce a number of uncertainties and difficul</w:t>
      </w:r>
      <w:r w:rsidR="007A32C1" w:rsidRPr="00587D00">
        <w:t xml:space="preserve">ties to the licensing process. </w:t>
      </w:r>
      <w:r w:rsidRPr="00587D00">
        <w:t>A lack of harmonised rules and conditions applied by administrations would mean that it would be impractical for an ESV to be licensed for operation within all the territorial waters on its route.</w:t>
      </w:r>
      <w:r w:rsidR="00915DD6" w:rsidRPr="00587D00">
        <w:t xml:space="preserve"> </w:t>
      </w:r>
      <w:r w:rsidRPr="00587D00">
        <w:t>This may be contrasted with the situation for other radio equipment on a ship, which is generally licensed by a single administration, but the licence is recognised by other administrations.</w:t>
      </w:r>
    </w:p>
    <w:p w14:paraId="1C6B5579" w14:textId="77777777" w:rsidR="009328FD" w:rsidRPr="00587D00" w:rsidRDefault="009328FD" w:rsidP="009328FD">
      <w:pPr>
        <w:pStyle w:val="ECCParagraph"/>
      </w:pPr>
      <w:r w:rsidRPr="00587D00">
        <w:t>Due to the international nature of ESV operations, a harmonised approach would benefit ESV users, service providers and administrations.</w:t>
      </w:r>
    </w:p>
    <w:p w14:paraId="1C6B557A" w14:textId="77777777" w:rsidR="009328FD" w:rsidRPr="00587D00" w:rsidRDefault="009328FD" w:rsidP="00C75904">
      <w:pPr>
        <w:pStyle w:val="Heading3"/>
        <w:rPr>
          <w:lang w:val="en-GB"/>
        </w:rPr>
      </w:pPr>
      <w:r w:rsidRPr="00587D00">
        <w:rPr>
          <w:lang w:val="en-GB"/>
        </w:rPr>
        <w:t>Summary of Requirements</w:t>
      </w:r>
    </w:p>
    <w:p w14:paraId="1C6B557B" w14:textId="1533DB21" w:rsidR="009328FD" w:rsidRPr="00587D00" w:rsidRDefault="009328FD" w:rsidP="009328FD">
      <w:pPr>
        <w:pStyle w:val="ECCParagraph"/>
      </w:pPr>
      <w:r w:rsidRPr="00587D00">
        <w:t xml:space="preserve">As a consequence of the geographical and licensing issues regarding the operation of ESV, there is a need for an ECC Decision to allow for harmonised operation of ESV in the frequency bands 4/6 GHz. </w:t>
      </w:r>
    </w:p>
    <w:p w14:paraId="1C6B557C" w14:textId="77777777" w:rsidR="009328FD" w:rsidRPr="00587D00" w:rsidRDefault="009328FD" w:rsidP="009328FD">
      <w:pPr>
        <w:pStyle w:val="ECCParagraph"/>
      </w:pPr>
      <w:r w:rsidRPr="00587D00">
        <w:t>ESV operation in the 11/12/14 GHz bands is covered by a separate Decision</w:t>
      </w:r>
      <w:r w:rsidR="00C75904" w:rsidRPr="00587D00">
        <w:t>.</w:t>
      </w:r>
    </w:p>
    <w:p w14:paraId="1C6B557D" w14:textId="77777777" w:rsidR="00C75904" w:rsidRPr="00587D00" w:rsidRDefault="00C75904" w:rsidP="00C75904">
      <w:pPr>
        <w:pStyle w:val="Heading2"/>
        <w:rPr>
          <w:lang w:val="en-GB"/>
        </w:rPr>
      </w:pPr>
      <w:r w:rsidRPr="00587D00">
        <w:rPr>
          <w:lang w:val="en-GB"/>
        </w:rPr>
        <w:t>ECC APPROACH TO AUTHORISATION OF ESV OPERATIONS</w:t>
      </w:r>
    </w:p>
    <w:p w14:paraId="1C6B557E" w14:textId="77777777" w:rsidR="00C75904" w:rsidRPr="00587D00" w:rsidRDefault="00C75904" w:rsidP="00C75904">
      <w:pPr>
        <w:pStyle w:val="ECCParagraph"/>
      </w:pPr>
      <w:r w:rsidRPr="00587D00">
        <w:t>The ECC has developed a process of authorisation which takes into account the requirements of both CEPT administrations and ESV operators, and the international obligations defined in the ITU Radio Regulations</w:t>
      </w:r>
      <w:r w:rsidR="00915DD6" w:rsidRPr="00587D00">
        <w:t xml:space="preserve"> </w:t>
      </w:r>
      <w:r w:rsidR="00915DD6" w:rsidRPr="00587D00">
        <w:fldChar w:fldCharType="begin"/>
      </w:r>
      <w:r w:rsidR="00915DD6" w:rsidRPr="00587D00">
        <w:instrText xml:space="preserve"> REF _Ref524695324 \r \h </w:instrText>
      </w:r>
      <w:r w:rsidR="00915DD6" w:rsidRPr="00587D00">
        <w:fldChar w:fldCharType="separate"/>
      </w:r>
      <w:r w:rsidR="00915DD6" w:rsidRPr="00587D00">
        <w:t>[6]</w:t>
      </w:r>
      <w:r w:rsidR="00915DD6" w:rsidRPr="00587D00">
        <w:fldChar w:fldCharType="end"/>
      </w:r>
      <w:r w:rsidRPr="00587D00">
        <w:t>.</w:t>
      </w:r>
      <w:r w:rsidR="00915DD6" w:rsidRPr="00587D00">
        <w:t xml:space="preserve"> </w:t>
      </w:r>
      <w:r w:rsidRPr="00587D00">
        <w:t>The process is put into place through this Decision.</w:t>
      </w:r>
    </w:p>
    <w:p w14:paraId="1C6B557F" w14:textId="016A325F" w:rsidR="00C75904" w:rsidRPr="00587D00" w:rsidRDefault="00C75904" w:rsidP="00C75904">
      <w:pPr>
        <w:pStyle w:val="ECCParagraph"/>
      </w:pPr>
      <w:r w:rsidRPr="00587D00">
        <w:t>With regard to the geographic areas within which restrictions may apply to ESV, it is necessary to make the information a</w:t>
      </w:r>
      <w:r w:rsidR="007A32C1" w:rsidRPr="00587D00">
        <w:t xml:space="preserve">vailable to all ESV operators. </w:t>
      </w:r>
      <w:r w:rsidRPr="00587D00">
        <w:t xml:space="preserve">Administrations should make available the information which defines the restricted or excluded areas to The </w:t>
      </w:r>
      <w:r w:rsidR="007A32C1" w:rsidRPr="00587D00">
        <w:t xml:space="preserve">Office. </w:t>
      </w:r>
      <w:r w:rsidRPr="00587D00">
        <w:t>This information is then made available to ESV operators through the faci</w:t>
      </w:r>
      <w:r w:rsidR="007A32C1" w:rsidRPr="00587D00">
        <w:t xml:space="preserve">lities of the Office web site. </w:t>
      </w:r>
      <w:r w:rsidRPr="00587D00">
        <w:t xml:space="preserve">ESV operators which operate within the scope of this Decision are required to comply with the restrictions defined by the administrations and provided to </w:t>
      </w:r>
      <w:r w:rsidR="00FF01FC" w:rsidRPr="00587D00">
        <w:t>t</w:t>
      </w:r>
      <w:r w:rsidRPr="00587D00">
        <w:t xml:space="preserve">he </w:t>
      </w:r>
      <w:r w:rsidRPr="00587D00">
        <w:lastRenderedPageBreak/>
        <w:t>Office.</w:t>
      </w:r>
      <w:r w:rsidR="00915DD6" w:rsidRPr="00587D00">
        <w:t xml:space="preserve"> </w:t>
      </w:r>
      <w:r w:rsidRPr="00587D00">
        <w:t xml:space="preserve">ESV operators are required to register their networks with </w:t>
      </w:r>
      <w:r w:rsidR="00FF01FC" w:rsidRPr="00587D00">
        <w:t>t</w:t>
      </w:r>
      <w:r w:rsidRPr="00587D00">
        <w:t>he Office and to provide certain technical and operational information about their networks.</w:t>
      </w:r>
    </w:p>
    <w:p w14:paraId="1C6B5580" w14:textId="4309045F" w:rsidR="00C75904" w:rsidRPr="00587D00" w:rsidRDefault="00C75904" w:rsidP="00C75904">
      <w:pPr>
        <w:pStyle w:val="ECCParagraph"/>
      </w:pPr>
      <w:r w:rsidRPr="00587D00">
        <w:t>In return for complying with the requirements of this Decision, ESV are granted free circulation and use, and ESV operators are exempted from the requirement to obtain licences from CEPT administrations. However, most CEPT administrations license radio equipment on board ships which are registered in their country and some may also require ESV which are installed on ships registered in the</w:t>
      </w:r>
      <w:r w:rsidR="007A32C1" w:rsidRPr="00587D00">
        <w:t xml:space="preserve"> their country to be licensed. </w:t>
      </w:r>
      <w:r w:rsidRPr="00587D00">
        <w:t>This Decision retains the right of administrations to require individual ESV terminals to be licensed or exempted from individual licensing.</w:t>
      </w:r>
    </w:p>
    <w:p w14:paraId="787C7D7D" w14:textId="77777777" w:rsidR="00CC4995" w:rsidRDefault="00CC4995">
      <w:pPr>
        <w:rPr>
          <w:lang w:val="en-GB"/>
        </w:rPr>
      </w:pPr>
      <w:r>
        <w:br w:type="page"/>
      </w:r>
    </w:p>
    <w:p w14:paraId="619FED8E" w14:textId="77777777" w:rsidR="00CC4995" w:rsidRDefault="005F7AD5" w:rsidP="00F5218C">
      <w:pPr>
        <w:pStyle w:val="Heading1"/>
      </w:pPr>
      <w:r w:rsidRPr="00587D00">
        <w:lastRenderedPageBreak/>
        <w:t>ECC Decision of</w:t>
      </w:r>
      <w:r w:rsidR="00A8085A" w:rsidRPr="00587D00">
        <w:t xml:space="preserve"> </w:t>
      </w:r>
      <w:r w:rsidR="00C75904" w:rsidRPr="00587D00">
        <w:t>24 June 2005</w:t>
      </w:r>
      <w:r w:rsidR="00A8085A" w:rsidRPr="00587D00">
        <w:t xml:space="preserve"> </w:t>
      </w:r>
      <w:r w:rsidRPr="00587D00">
        <w:t>on</w:t>
      </w:r>
      <w:r w:rsidR="00A8085A" w:rsidRPr="00587D00">
        <w:t xml:space="preserve"> </w:t>
      </w:r>
      <w:r w:rsidR="00C75904" w:rsidRPr="00587D00">
        <w:t>the free circulation and use of Earth Stations on board Vessels operating in Fixed Satellite Service networks in the frequency bands 5925-6425 MHz (Earth-to-space) and 3700-4200 MHz (space-to-Earth)</w:t>
      </w:r>
      <w:r w:rsidR="00A8085A" w:rsidRPr="00587D00">
        <w:t xml:space="preserve"> (</w:t>
      </w:r>
      <w:r w:rsidR="00C75904" w:rsidRPr="00587D00">
        <w:t>ECC/</w:t>
      </w:r>
      <w:r w:rsidR="00A8085A" w:rsidRPr="00587D00">
        <w:t>dec</w:t>
      </w:r>
      <w:r w:rsidR="00C75904" w:rsidRPr="00587D00">
        <w:t>/(05)09</w:t>
      </w:r>
      <w:r w:rsidR="00A8085A" w:rsidRPr="00587D00">
        <w:t>)</w:t>
      </w:r>
      <w:r w:rsidR="009E535A" w:rsidRPr="00587D00">
        <w:t xml:space="preserve"> amended 03 march 2017</w:t>
      </w:r>
      <w:r w:rsidR="00D268DA">
        <w:t xml:space="preserve"> AND</w:t>
      </w:r>
      <w:r w:rsidR="00587B1A" w:rsidRPr="00587D00">
        <w:t xml:space="preserve"> amended on </w:t>
      </w:r>
      <w:r w:rsidR="00CC5073">
        <w:t>8</w:t>
      </w:r>
      <w:r w:rsidR="00587B1A" w:rsidRPr="00587D00">
        <w:t xml:space="preserve"> </w:t>
      </w:r>
      <w:r w:rsidR="00632CD1">
        <w:t>march 2019</w:t>
      </w:r>
    </w:p>
    <w:p w14:paraId="1C6B5582" w14:textId="4F6953E6" w:rsidR="006C03D0" w:rsidRPr="00587D00" w:rsidRDefault="005F7AD5" w:rsidP="006C03D0">
      <w:pPr>
        <w:pStyle w:val="ECCParagraph"/>
      </w:pPr>
      <w:r w:rsidRPr="00587D00">
        <w:t>“The European Conference of Postal and Telecommunications Administrations,</w:t>
      </w:r>
    </w:p>
    <w:p w14:paraId="1C6B5583" w14:textId="77777777" w:rsidR="006C03D0" w:rsidRPr="00587D00" w:rsidRDefault="00C75904" w:rsidP="006C03D0">
      <w:pPr>
        <w:pStyle w:val="ECCParagraph"/>
        <w:rPr>
          <w:i/>
          <w:color w:val="D2232A"/>
        </w:rPr>
      </w:pPr>
      <w:r w:rsidRPr="00587D00">
        <w:rPr>
          <w:i/>
          <w:color w:val="D2232A"/>
        </w:rPr>
        <w:t>considering</w:t>
      </w:r>
    </w:p>
    <w:p w14:paraId="1C6B5584" w14:textId="77777777" w:rsidR="00C75904" w:rsidRPr="00587D00" w:rsidRDefault="00C75904" w:rsidP="00C75904">
      <w:pPr>
        <w:numPr>
          <w:ilvl w:val="0"/>
          <w:numId w:val="17"/>
        </w:numPr>
        <w:suppressAutoHyphens/>
        <w:spacing w:after="240"/>
        <w:ind w:left="567" w:hanging="567"/>
        <w:jc w:val="both"/>
        <w:rPr>
          <w:lang w:val="en-GB"/>
        </w:rPr>
      </w:pPr>
      <w:r w:rsidRPr="00587D00">
        <w:rPr>
          <w:lang w:val="en-GB"/>
        </w:rPr>
        <w:t>that the band 5925-6425</w:t>
      </w:r>
      <w:r w:rsidRPr="00587D00">
        <w:rPr>
          <w:b/>
          <w:bCs/>
          <w:sz w:val="22"/>
          <w:szCs w:val="22"/>
          <w:lang w:val="en-GB"/>
        </w:rPr>
        <w:t xml:space="preserve"> </w:t>
      </w:r>
      <w:r w:rsidRPr="00587D00">
        <w:rPr>
          <w:bCs/>
          <w:lang w:val="en-GB"/>
        </w:rPr>
        <w:t>MHz</w:t>
      </w:r>
      <w:r w:rsidRPr="00587D00">
        <w:rPr>
          <w:lang w:val="en-GB"/>
        </w:rPr>
        <w:t xml:space="preserve"> is allocated to the Fixed Satellite Service (FSS) (Earth-to-space) on a primary basis in the ITU Radio Regulations (ITU RR)</w:t>
      </w:r>
      <w:r w:rsidR="00915DD6" w:rsidRPr="00587D00">
        <w:rPr>
          <w:lang w:val="en-GB"/>
        </w:rPr>
        <w:t xml:space="preserve"> </w:t>
      </w:r>
      <w:r w:rsidR="00915DD6" w:rsidRPr="00587D00">
        <w:rPr>
          <w:lang w:val="en-GB"/>
        </w:rPr>
        <w:fldChar w:fldCharType="begin"/>
      </w:r>
      <w:r w:rsidR="00915DD6" w:rsidRPr="00587D00">
        <w:rPr>
          <w:lang w:val="en-GB"/>
        </w:rPr>
        <w:instrText xml:space="preserve"> REF _Ref524695324 \r \h </w:instrText>
      </w:r>
      <w:r w:rsidR="00915DD6" w:rsidRPr="00587D00">
        <w:rPr>
          <w:lang w:val="en-GB"/>
        </w:rPr>
      </w:r>
      <w:r w:rsidR="00915DD6" w:rsidRPr="00587D00">
        <w:rPr>
          <w:lang w:val="en-GB"/>
        </w:rPr>
        <w:fldChar w:fldCharType="separate"/>
      </w:r>
      <w:r w:rsidR="00915DD6" w:rsidRPr="00587D00">
        <w:rPr>
          <w:lang w:val="en-GB"/>
        </w:rPr>
        <w:t>[6]</w:t>
      </w:r>
      <w:r w:rsidR="00915DD6" w:rsidRPr="00587D00">
        <w:rPr>
          <w:lang w:val="en-GB"/>
        </w:rPr>
        <w:fldChar w:fldCharType="end"/>
      </w:r>
      <w:r w:rsidRPr="00587D00">
        <w:rPr>
          <w:lang w:val="en-GB"/>
        </w:rPr>
        <w:t>;</w:t>
      </w:r>
    </w:p>
    <w:p w14:paraId="1C6B5585" w14:textId="77777777" w:rsidR="00C75904" w:rsidRPr="00587D00" w:rsidRDefault="00C75904" w:rsidP="00C75904">
      <w:pPr>
        <w:numPr>
          <w:ilvl w:val="0"/>
          <w:numId w:val="17"/>
        </w:numPr>
        <w:suppressAutoHyphens/>
        <w:spacing w:after="240"/>
        <w:ind w:left="567" w:hanging="567"/>
        <w:jc w:val="both"/>
        <w:rPr>
          <w:lang w:val="en-GB"/>
        </w:rPr>
      </w:pPr>
      <w:r w:rsidRPr="00587D00">
        <w:rPr>
          <w:lang w:val="en-GB"/>
        </w:rPr>
        <w:t xml:space="preserve">that, by the provisions of ITU RR No. 5.457A </w:t>
      </w:r>
      <w:r w:rsidR="00915DD6" w:rsidRPr="00587D00">
        <w:rPr>
          <w:lang w:val="en-GB"/>
        </w:rPr>
        <w:fldChar w:fldCharType="begin"/>
      </w:r>
      <w:r w:rsidR="00915DD6" w:rsidRPr="00587D00">
        <w:rPr>
          <w:lang w:val="en-GB"/>
        </w:rPr>
        <w:instrText xml:space="preserve"> REF _Ref524695324 \r \h </w:instrText>
      </w:r>
      <w:r w:rsidR="00915DD6" w:rsidRPr="00587D00">
        <w:rPr>
          <w:lang w:val="en-GB"/>
        </w:rPr>
      </w:r>
      <w:r w:rsidR="00915DD6" w:rsidRPr="00587D00">
        <w:rPr>
          <w:lang w:val="en-GB"/>
        </w:rPr>
        <w:fldChar w:fldCharType="separate"/>
      </w:r>
      <w:r w:rsidR="00915DD6" w:rsidRPr="00587D00">
        <w:rPr>
          <w:lang w:val="en-GB"/>
        </w:rPr>
        <w:t>[6]</w:t>
      </w:r>
      <w:r w:rsidR="00915DD6" w:rsidRPr="00587D00">
        <w:rPr>
          <w:lang w:val="en-GB"/>
        </w:rPr>
        <w:fldChar w:fldCharType="end"/>
      </w:r>
      <w:r w:rsidR="00915DD6" w:rsidRPr="00587D00">
        <w:rPr>
          <w:lang w:val="en-GB"/>
        </w:rPr>
        <w:t xml:space="preserve"> </w:t>
      </w:r>
      <w:r w:rsidRPr="00587D00">
        <w:rPr>
          <w:lang w:val="en-GB"/>
        </w:rPr>
        <w:t>Earth Stations on board Vessels (ESV) may communicate with space stations of the FSS in the band 5925-6425</w:t>
      </w:r>
      <w:r w:rsidRPr="00587D00">
        <w:rPr>
          <w:b/>
          <w:bCs/>
          <w:sz w:val="22"/>
          <w:szCs w:val="22"/>
          <w:lang w:val="en-GB"/>
        </w:rPr>
        <w:t xml:space="preserve"> </w:t>
      </w:r>
      <w:r w:rsidRPr="00587D00">
        <w:rPr>
          <w:bCs/>
          <w:lang w:val="en-GB"/>
        </w:rPr>
        <w:t>MHz</w:t>
      </w:r>
      <w:r w:rsidRPr="00587D00">
        <w:rPr>
          <w:lang w:val="en-GB"/>
        </w:rPr>
        <w:t>;</w:t>
      </w:r>
    </w:p>
    <w:p w14:paraId="1C6B5586" w14:textId="77777777" w:rsidR="00C75904" w:rsidRPr="00587D00" w:rsidRDefault="00C75904" w:rsidP="00C75904">
      <w:pPr>
        <w:numPr>
          <w:ilvl w:val="0"/>
          <w:numId w:val="17"/>
        </w:numPr>
        <w:suppressAutoHyphens/>
        <w:spacing w:after="240"/>
        <w:ind w:left="567" w:hanging="567"/>
        <w:jc w:val="both"/>
        <w:rPr>
          <w:lang w:val="en-GB"/>
        </w:rPr>
      </w:pPr>
      <w:r w:rsidRPr="00587D00">
        <w:rPr>
          <w:lang w:val="en-GB"/>
        </w:rPr>
        <w:t>that the band 5925-6425</w:t>
      </w:r>
      <w:r w:rsidRPr="00587D00">
        <w:rPr>
          <w:b/>
          <w:bCs/>
          <w:sz w:val="22"/>
          <w:szCs w:val="22"/>
          <w:lang w:val="en-GB"/>
        </w:rPr>
        <w:t xml:space="preserve"> </w:t>
      </w:r>
      <w:r w:rsidRPr="00587D00">
        <w:rPr>
          <w:bCs/>
          <w:lang w:val="en-GB"/>
        </w:rPr>
        <w:t>MHz</w:t>
      </w:r>
      <w:r w:rsidRPr="00587D00">
        <w:rPr>
          <w:lang w:val="en-GB"/>
        </w:rPr>
        <w:t xml:space="preserve"> is allocated to the Fixed Service (FS) on a primary basis in the ITU RR</w:t>
      </w:r>
      <w:r w:rsidR="00915DD6" w:rsidRPr="00587D00">
        <w:rPr>
          <w:lang w:val="en-GB"/>
        </w:rPr>
        <w:t xml:space="preserve"> </w:t>
      </w:r>
      <w:r w:rsidR="00915DD6" w:rsidRPr="00587D00">
        <w:rPr>
          <w:lang w:val="en-GB"/>
        </w:rPr>
        <w:fldChar w:fldCharType="begin"/>
      </w:r>
      <w:r w:rsidR="00915DD6" w:rsidRPr="00587D00">
        <w:rPr>
          <w:lang w:val="en-GB"/>
        </w:rPr>
        <w:instrText xml:space="preserve"> REF _Ref524695324 \r \h </w:instrText>
      </w:r>
      <w:r w:rsidR="00915DD6" w:rsidRPr="00587D00">
        <w:rPr>
          <w:lang w:val="en-GB"/>
        </w:rPr>
      </w:r>
      <w:r w:rsidR="00915DD6" w:rsidRPr="00587D00">
        <w:rPr>
          <w:lang w:val="en-GB"/>
        </w:rPr>
        <w:fldChar w:fldCharType="separate"/>
      </w:r>
      <w:r w:rsidR="00915DD6" w:rsidRPr="00587D00">
        <w:rPr>
          <w:lang w:val="en-GB"/>
        </w:rPr>
        <w:t>[6]</w:t>
      </w:r>
      <w:r w:rsidR="00915DD6" w:rsidRPr="00587D00">
        <w:rPr>
          <w:lang w:val="en-GB"/>
        </w:rPr>
        <w:fldChar w:fldCharType="end"/>
      </w:r>
      <w:r w:rsidRPr="00587D00">
        <w:rPr>
          <w:lang w:val="en-GB"/>
        </w:rPr>
        <w:t>;</w:t>
      </w:r>
    </w:p>
    <w:p w14:paraId="1C6B5587" w14:textId="6E20EEA5" w:rsidR="00C75904" w:rsidRPr="00587D00" w:rsidRDefault="00C75904" w:rsidP="00C75904">
      <w:pPr>
        <w:numPr>
          <w:ilvl w:val="0"/>
          <w:numId w:val="17"/>
        </w:numPr>
        <w:suppressAutoHyphens/>
        <w:spacing w:after="240"/>
        <w:ind w:left="567" w:hanging="567"/>
        <w:jc w:val="both"/>
        <w:rPr>
          <w:lang w:val="en-GB"/>
        </w:rPr>
      </w:pPr>
      <w:r w:rsidRPr="00587D00">
        <w:rPr>
          <w:lang w:val="en-GB"/>
        </w:rPr>
        <w:t xml:space="preserve">that Resolution 902 (WRC-03) </w:t>
      </w:r>
      <w:r w:rsidR="00915DD6" w:rsidRPr="00587D00">
        <w:rPr>
          <w:lang w:val="en-GB"/>
        </w:rPr>
        <w:fldChar w:fldCharType="begin"/>
      </w:r>
      <w:r w:rsidR="00915DD6" w:rsidRPr="00587D00">
        <w:rPr>
          <w:lang w:val="en-GB"/>
        </w:rPr>
        <w:instrText xml:space="preserve"> REF _Ref524695324 \r \h </w:instrText>
      </w:r>
      <w:r w:rsidR="00915DD6" w:rsidRPr="00587D00">
        <w:rPr>
          <w:lang w:val="en-GB"/>
        </w:rPr>
      </w:r>
      <w:r w:rsidR="00915DD6" w:rsidRPr="00587D00">
        <w:rPr>
          <w:lang w:val="en-GB"/>
        </w:rPr>
        <w:fldChar w:fldCharType="separate"/>
      </w:r>
      <w:r w:rsidR="00915DD6" w:rsidRPr="00587D00">
        <w:rPr>
          <w:lang w:val="en-GB"/>
        </w:rPr>
        <w:t>[6]</w:t>
      </w:r>
      <w:r w:rsidR="00915DD6" w:rsidRPr="00587D00">
        <w:rPr>
          <w:lang w:val="en-GB"/>
        </w:rPr>
        <w:fldChar w:fldCharType="end"/>
      </w:r>
      <w:r w:rsidR="00915DD6" w:rsidRPr="00587D00">
        <w:rPr>
          <w:lang w:val="en-GB"/>
        </w:rPr>
        <w:t xml:space="preserve"> </w:t>
      </w:r>
      <w:r w:rsidRPr="00587D00">
        <w:rPr>
          <w:lang w:val="en-GB"/>
        </w:rPr>
        <w:t>provides the provisions relating to ESV which operate in FSS networks in the band 5925-6425</w:t>
      </w:r>
      <w:r w:rsidRPr="00587D00">
        <w:rPr>
          <w:b/>
          <w:bCs/>
          <w:sz w:val="22"/>
          <w:szCs w:val="22"/>
          <w:lang w:val="en-GB"/>
        </w:rPr>
        <w:t xml:space="preserve"> </w:t>
      </w:r>
      <w:r w:rsidRPr="00587D00">
        <w:rPr>
          <w:bCs/>
          <w:lang w:val="en-GB"/>
        </w:rPr>
        <w:t>MHz</w:t>
      </w:r>
      <w:r w:rsidRPr="00587D00">
        <w:rPr>
          <w:lang w:val="en-GB"/>
        </w:rPr>
        <w:t>;</w:t>
      </w:r>
    </w:p>
    <w:p w14:paraId="1C6B5588" w14:textId="77777777" w:rsidR="00C75904" w:rsidRPr="00587D00" w:rsidRDefault="00C75904" w:rsidP="00C75904">
      <w:pPr>
        <w:numPr>
          <w:ilvl w:val="0"/>
          <w:numId w:val="17"/>
        </w:numPr>
        <w:suppressAutoHyphens/>
        <w:spacing w:after="240"/>
        <w:ind w:left="567" w:hanging="567"/>
        <w:jc w:val="both"/>
        <w:rPr>
          <w:lang w:val="en-GB"/>
        </w:rPr>
      </w:pPr>
      <w:bookmarkStart w:id="2" w:name="_Ref524695770"/>
      <w:r w:rsidRPr="00587D00">
        <w:rPr>
          <w:lang w:val="en-GB"/>
        </w:rPr>
        <w:t>that ESV terminals may be licensed or exempted from individual licensing by the country in which the vessel is registered;</w:t>
      </w:r>
      <w:bookmarkEnd w:id="2"/>
    </w:p>
    <w:p w14:paraId="1C6B5589" w14:textId="0070182C" w:rsidR="00C75904" w:rsidRPr="00587D00" w:rsidRDefault="00C75904" w:rsidP="00C75904">
      <w:pPr>
        <w:numPr>
          <w:ilvl w:val="0"/>
          <w:numId w:val="17"/>
        </w:numPr>
        <w:suppressAutoHyphens/>
        <w:spacing w:after="240"/>
        <w:ind w:left="567" w:hanging="567"/>
        <w:jc w:val="both"/>
        <w:rPr>
          <w:u w:val="single"/>
          <w:lang w:val="en-GB"/>
        </w:rPr>
      </w:pPr>
      <w:r w:rsidRPr="00587D00">
        <w:rPr>
          <w:lang w:val="en-GB"/>
        </w:rPr>
        <w:t xml:space="preserve">that Recommendation 37 (WRC-03) </w:t>
      </w:r>
      <w:r w:rsidR="00915DD6" w:rsidRPr="00587D00">
        <w:rPr>
          <w:lang w:val="en-GB"/>
        </w:rPr>
        <w:fldChar w:fldCharType="begin"/>
      </w:r>
      <w:r w:rsidR="00915DD6" w:rsidRPr="00587D00">
        <w:rPr>
          <w:lang w:val="en-GB"/>
        </w:rPr>
        <w:instrText xml:space="preserve"> REF _Ref524695324 \r \h </w:instrText>
      </w:r>
      <w:r w:rsidR="00915DD6" w:rsidRPr="00587D00">
        <w:rPr>
          <w:lang w:val="en-GB"/>
        </w:rPr>
      </w:r>
      <w:r w:rsidR="00915DD6" w:rsidRPr="00587D00">
        <w:rPr>
          <w:lang w:val="en-GB"/>
        </w:rPr>
        <w:fldChar w:fldCharType="separate"/>
      </w:r>
      <w:r w:rsidR="00915DD6" w:rsidRPr="00587D00">
        <w:rPr>
          <w:lang w:val="en-GB"/>
        </w:rPr>
        <w:t>[6]</w:t>
      </w:r>
      <w:r w:rsidR="00915DD6" w:rsidRPr="00587D00">
        <w:rPr>
          <w:lang w:val="en-GB"/>
        </w:rPr>
        <w:fldChar w:fldCharType="end"/>
      </w:r>
      <w:r w:rsidR="00915DD6" w:rsidRPr="00587D00">
        <w:rPr>
          <w:lang w:val="en-GB"/>
        </w:rPr>
        <w:t xml:space="preserve"> </w:t>
      </w:r>
      <w:r w:rsidRPr="00587D00">
        <w:rPr>
          <w:lang w:val="en-GB"/>
        </w:rPr>
        <w:t>states that concerned administrations (as identified in Clause 5, Annex 1 Res. 902</w:t>
      </w:r>
      <w:r w:rsidR="00EE1B0B" w:rsidRPr="00587D00">
        <w:rPr>
          <w:lang w:val="en-GB"/>
        </w:rPr>
        <w:t xml:space="preserve"> </w:t>
      </w:r>
      <w:r w:rsidRPr="00587D00">
        <w:rPr>
          <w:lang w:val="en-GB"/>
        </w:rPr>
        <w:t>(WRC-03)) are encouraged to cooperate with administrations which license ESV;</w:t>
      </w:r>
    </w:p>
    <w:p w14:paraId="1C6B558A" w14:textId="675BF692" w:rsidR="00C75904" w:rsidRPr="00587D00" w:rsidRDefault="00C75904" w:rsidP="00C75904">
      <w:pPr>
        <w:numPr>
          <w:ilvl w:val="0"/>
          <w:numId w:val="17"/>
        </w:numPr>
        <w:suppressAutoHyphens/>
        <w:spacing w:after="240"/>
        <w:ind w:left="567" w:hanging="567"/>
        <w:jc w:val="both"/>
        <w:rPr>
          <w:spacing w:val="-3"/>
          <w:lang w:val="en-GB"/>
        </w:rPr>
      </w:pPr>
      <w:bookmarkStart w:id="3" w:name="_Ref524695777"/>
      <w:r w:rsidRPr="00587D00">
        <w:rPr>
          <w:spacing w:val="-3"/>
          <w:lang w:val="en-GB"/>
        </w:rPr>
        <w:t xml:space="preserve">that, </w:t>
      </w:r>
      <w:r w:rsidRPr="00587D00">
        <w:rPr>
          <w:lang w:val="en-GB"/>
        </w:rPr>
        <w:t>for the purpose of resolving</w:t>
      </w:r>
      <w:r w:rsidR="00915DD6" w:rsidRPr="00587D00">
        <w:rPr>
          <w:lang w:val="en-GB"/>
        </w:rPr>
        <w:t xml:space="preserve"> </w:t>
      </w:r>
      <w:r w:rsidRPr="00587D00">
        <w:rPr>
          <w:lang w:val="en-GB"/>
        </w:rPr>
        <w:t>potential interference issues with terrestrial services in the band 5925-6425</w:t>
      </w:r>
      <w:r w:rsidRPr="00587D00">
        <w:rPr>
          <w:b/>
          <w:bCs/>
          <w:sz w:val="22"/>
          <w:szCs w:val="22"/>
          <w:lang w:val="en-GB"/>
        </w:rPr>
        <w:t xml:space="preserve"> </w:t>
      </w:r>
      <w:r w:rsidRPr="00587D00">
        <w:rPr>
          <w:bCs/>
          <w:lang w:val="en-GB"/>
        </w:rPr>
        <w:t>MHz</w:t>
      </w:r>
      <w:r w:rsidRPr="00587D00">
        <w:rPr>
          <w:lang w:val="en-GB"/>
        </w:rPr>
        <w:t>, some CEPT administrations may require that operators of ESV operating in this band obtain frequency authorisation due to specific national requirements, while other CEPT administrations may require some form of notification from the ESV operator, or exempt the ESV network operator from either of these requirements;</w:t>
      </w:r>
      <w:bookmarkEnd w:id="3"/>
    </w:p>
    <w:p w14:paraId="1C6B558B" w14:textId="77777777" w:rsidR="00C75904" w:rsidRPr="00587D00" w:rsidRDefault="00C75904" w:rsidP="00C75904">
      <w:pPr>
        <w:numPr>
          <w:ilvl w:val="0"/>
          <w:numId w:val="17"/>
        </w:numPr>
        <w:suppressAutoHyphens/>
        <w:spacing w:after="240"/>
        <w:ind w:left="567" w:hanging="567"/>
        <w:jc w:val="both"/>
        <w:rPr>
          <w:lang w:val="en-GB"/>
        </w:rPr>
      </w:pPr>
      <w:bookmarkStart w:id="4" w:name="_Ref524695785"/>
      <w:r w:rsidRPr="00587D00">
        <w:rPr>
          <w:lang w:val="en-GB"/>
        </w:rPr>
        <w:t>that ESV operations in the band 5925-6425</w:t>
      </w:r>
      <w:r w:rsidRPr="00587D00">
        <w:rPr>
          <w:b/>
          <w:bCs/>
          <w:sz w:val="22"/>
          <w:szCs w:val="22"/>
          <w:lang w:val="en-GB"/>
        </w:rPr>
        <w:t xml:space="preserve"> </w:t>
      </w:r>
      <w:r w:rsidRPr="00587D00">
        <w:rPr>
          <w:bCs/>
          <w:lang w:val="en-GB"/>
        </w:rPr>
        <w:t>MHz</w:t>
      </w:r>
      <w:r w:rsidRPr="00587D00">
        <w:rPr>
          <w:lang w:val="en-GB"/>
        </w:rPr>
        <w:t xml:space="preserve"> within the territorial sea and internal waters, as defined in the United Nations Convention on the Law of the Sea (UNCLOS 1982)</w:t>
      </w:r>
      <w:r w:rsidR="00915DD6" w:rsidRPr="00587D00">
        <w:rPr>
          <w:lang w:val="en-GB"/>
        </w:rPr>
        <w:t xml:space="preserve"> </w:t>
      </w:r>
      <w:r w:rsidR="00915DD6" w:rsidRPr="00587D00">
        <w:rPr>
          <w:lang w:val="en-GB"/>
        </w:rPr>
        <w:fldChar w:fldCharType="begin"/>
      </w:r>
      <w:r w:rsidR="00915DD6" w:rsidRPr="00587D00">
        <w:rPr>
          <w:lang w:val="en-GB"/>
        </w:rPr>
        <w:instrText xml:space="preserve"> REF _Ref524689402 \r \h </w:instrText>
      </w:r>
      <w:r w:rsidR="00915DD6" w:rsidRPr="00587D00">
        <w:rPr>
          <w:lang w:val="en-GB"/>
        </w:rPr>
      </w:r>
      <w:r w:rsidR="00915DD6" w:rsidRPr="00587D00">
        <w:rPr>
          <w:lang w:val="en-GB"/>
        </w:rPr>
        <w:fldChar w:fldCharType="separate"/>
      </w:r>
      <w:r w:rsidR="00915DD6" w:rsidRPr="00587D00">
        <w:rPr>
          <w:lang w:val="en-GB"/>
        </w:rPr>
        <w:t>[7]</w:t>
      </w:r>
      <w:r w:rsidR="00915DD6" w:rsidRPr="00587D00">
        <w:rPr>
          <w:lang w:val="en-GB"/>
        </w:rPr>
        <w:fldChar w:fldCharType="end"/>
      </w:r>
      <w:r w:rsidRPr="00587D00">
        <w:rPr>
          <w:lang w:val="en-GB"/>
        </w:rPr>
        <w:t>, or close to national off-shore installations and structures shall remain subject to regulations issued by national authorities;</w:t>
      </w:r>
      <w:bookmarkEnd w:id="4"/>
    </w:p>
    <w:p w14:paraId="1C6B558C" w14:textId="77777777" w:rsidR="00C75904" w:rsidRPr="00587D00" w:rsidRDefault="00C75904" w:rsidP="00C75904">
      <w:pPr>
        <w:numPr>
          <w:ilvl w:val="0"/>
          <w:numId w:val="17"/>
        </w:numPr>
        <w:suppressAutoHyphens/>
        <w:spacing w:after="240"/>
        <w:ind w:left="567" w:hanging="567"/>
        <w:jc w:val="both"/>
        <w:rPr>
          <w:lang w:val="en-GB"/>
        </w:rPr>
      </w:pPr>
      <w:r w:rsidRPr="00587D00">
        <w:rPr>
          <w:lang w:val="en-GB"/>
        </w:rPr>
        <w:t>that administrations may request from ESV operators details regarding the vessels equipped with ESV terminals under this Decision;</w:t>
      </w:r>
    </w:p>
    <w:p w14:paraId="1C6B558D" w14:textId="77777777" w:rsidR="00E65E22" w:rsidRPr="00587D00" w:rsidRDefault="00C75904" w:rsidP="00E65E22">
      <w:pPr>
        <w:pStyle w:val="ListParagraph"/>
        <w:numPr>
          <w:ilvl w:val="0"/>
          <w:numId w:val="17"/>
        </w:numPr>
        <w:tabs>
          <w:tab w:val="left" w:pos="567"/>
        </w:tabs>
        <w:spacing w:after="240"/>
        <w:ind w:left="567" w:hanging="567"/>
        <w:contextualSpacing w:val="0"/>
        <w:rPr>
          <w:lang w:val="en-GB"/>
        </w:rPr>
      </w:pPr>
      <w:r w:rsidRPr="00587D00">
        <w:rPr>
          <w:lang w:val="en-GB"/>
        </w:rPr>
        <w:t xml:space="preserve">that this Decision shall not impede </w:t>
      </w:r>
      <w:r w:rsidR="009E535A" w:rsidRPr="00587D00">
        <w:rPr>
          <w:lang w:val="en-GB"/>
        </w:rPr>
        <w:t>European Economic Area (</w:t>
      </w:r>
      <w:r w:rsidRPr="00587D00">
        <w:rPr>
          <w:lang w:val="en-GB"/>
        </w:rPr>
        <w:t>EEA</w:t>
      </w:r>
      <w:r w:rsidR="009E535A" w:rsidRPr="00587D00">
        <w:rPr>
          <w:lang w:val="en-GB"/>
        </w:rPr>
        <w:t>)</w:t>
      </w:r>
      <w:r w:rsidRPr="00587D00">
        <w:rPr>
          <w:lang w:val="en-GB"/>
        </w:rPr>
        <w:t xml:space="preserve"> member countries from fulfilling their obligations according to Community law.</w:t>
      </w:r>
    </w:p>
    <w:p w14:paraId="1C6B558E" w14:textId="77777777" w:rsidR="00E11E0C" w:rsidRPr="00587D00" w:rsidRDefault="00E11E0C" w:rsidP="00E11E0C">
      <w:pPr>
        <w:pStyle w:val="ListParagraph"/>
        <w:tabs>
          <w:tab w:val="left" w:pos="567"/>
        </w:tabs>
        <w:spacing w:after="240"/>
        <w:ind w:left="567"/>
        <w:contextualSpacing w:val="0"/>
        <w:rPr>
          <w:lang w:val="en-GB"/>
        </w:rPr>
      </w:pPr>
    </w:p>
    <w:p w14:paraId="1C6B558F" w14:textId="77777777" w:rsidR="006C03D0" w:rsidRPr="00587D00" w:rsidRDefault="005F7AD5" w:rsidP="006C03D0">
      <w:pPr>
        <w:pStyle w:val="ECCParagraph"/>
        <w:rPr>
          <w:color w:val="D2232A"/>
        </w:rPr>
      </w:pPr>
      <w:r w:rsidRPr="00587D00">
        <w:rPr>
          <w:i/>
          <w:color w:val="D2232A"/>
        </w:rPr>
        <w:t>DECIDES</w:t>
      </w:r>
    </w:p>
    <w:p w14:paraId="1C6B5590" w14:textId="4E0F2DC9" w:rsidR="006C03D0" w:rsidRPr="00587D00" w:rsidRDefault="00E11E0C" w:rsidP="00587D00">
      <w:pPr>
        <w:pStyle w:val="NumberedList"/>
      </w:pPr>
      <w:r w:rsidRPr="00587D00">
        <w:t>to design</w:t>
      </w:r>
      <w:r w:rsidR="00E6704B" w:rsidRPr="00587D00">
        <w:t>ate the frequency bands 5</w:t>
      </w:r>
      <w:r w:rsidRPr="00587D00">
        <w:t>925-</w:t>
      </w:r>
      <w:r w:rsidR="00E6704B" w:rsidRPr="00587D00">
        <w:t>6</w:t>
      </w:r>
      <w:r w:rsidRPr="00587D00">
        <w:t>425</w:t>
      </w:r>
      <w:r w:rsidRPr="00587D00">
        <w:rPr>
          <w:b/>
          <w:bCs/>
        </w:rPr>
        <w:t xml:space="preserve"> </w:t>
      </w:r>
      <w:r w:rsidRPr="00587D00">
        <w:rPr>
          <w:bCs/>
        </w:rPr>
        <w:t>MHz</w:t>
      </w:r>
      <w:r w:rsidR="00E6704B" w:rsidRPr="00587D00">
        <w:t xml:space="preserve"> (Earth-to-space) and 3</w:t>
      </w:r>
      <w:r w:rsidRPr="00587D00">
        <w:t>700-4200 MHz (space-to-Earth), for the use, inter alia, of ESV operating in the FSS;</w:t>
      </w:r>
    </w:p>
    <w:p w14:paraId="1C6B5591" w14:textId="375C48CB" w:rsidR="00E11E0C" w:rsidRPr="00587D00" w:rsidRDefault="00E11E0C" w:rsidP="00705DB9">
      <w:pPr>
        <w:pStyle w:val="NumberedList"/>
      </w:pPr>
      <w:r w:rsidRPr="00587D00">
        <w:t>that those ESV referred to in Decides 1 shall comply with</w:t>
      </w:r>
      <w:r w:rsidR="00705DB9" w:rsidRPr="00587D00">
        <w:t xml:space="preserve"> footnote ITU RR No. 5.457A (WRC-15) and</w:t>
      </w:r>
      <w:r w:rsidRPr="00587D00">
        <w:t xml:space="preserve"> Resolution 902 (WRC-03)</w:t>
      </w:r>
      <w:r w:rsidR="00915DD6" w:rsidRPr="00587D00">
        <w:t xml:space="preserve"> </w:t>
      </w:r>
      <w:r w:rsidR="00915DD6" w:rsidRPr="00587D00">
        <w:fldChar w:fldCharType="begin"/>
      </w:r>
      <w:r w:rsidR="00915DD6" w:rsidRPr="00587D00">
        <w:instrText xml:space="preserve"> REF _Ref524695324 \r \h </w:instrText>
      </w:r>
      <w:r w:rsidR="00915DD6" w:rsidRPr="00587D00">
        <w:fldChar w:fldCharType="separate"/>
      </w:r>
      <w:r w:rsidR="00915DD6" w:rsidRPr="00587D00">
        <w:t>[6]</w:t>
      </w:r>
      <w:r w:rsidR="00915DD6" w:rsidRPr="00587D00">
        <w:fldChar w:fldCharType="end"/>
      </w:r>
      <w:r w:rsidRPr="00587D00">
        <w:t>;</w:t>
      </w:r>
    </w:p>
    <w:p w14:paraId="1C6B5592" w14:textId="6A61663D" w:rsidR="006C03D0" w:rsidRPr="00587D00" w:rsidRDefault="007A32C1" w:rsidP="007A32C1">
      <w:pPr>
        <w:pStyle w:val="NumberedList"/>
        <w:spacing w:after="120"/>
      </w:pPr>
      <w:r w:rsidRPr="00587D00">
        <w:t>that this Decision applies only to ESV covered by the Decides above and fulfilling the following</w:t>
      </w:r>
      <w:r w:rsidR="00915DD6" w:rsidRPr="00587D00">
        <w:t xml:space="preserve"> </w:t>
      </w:r>
      <w:r w:rsidRPr="00587D00">
        <w:t>conditions:</w:t>
      </w:r>
    </w:p>
    <w:p w14:paraId="1C6B5593" w14:textId="77777777" w:rsidR="006C03D0" w:rsidRPr="00587D00" w:rsidRDefault="00E11E0C" w:rsidP="00190865">
      <w:pPr>
        <w:pStyle w:val="NumberedList"/>
        <w:numPr>
          <w:ilvl w:val="1"/>
          <w:numId w:val="10"/>
        </w:numPr>
        <w:spacing w:after="60"/>
      </w:pPr>
      <w:r w:rsidRPr="00587D00">
        <w:lastRenderedPageBreak/>
        <w:t xml:space="preserve">complying with the relevant European Telecommunication Standard which may be demonstrated by compliance with equivalent technical specifications (in the sense of art. 3(2) of the </w:t>
      </w:r>
      <w:r w:rsidR="00190865" w:rsidRPr="00587D00">
        <w:t>RE Directive</w:t>
      </w:r>
      <w:r w:rsidR="00915DD6" w:rsidRPr="00587D00">
        <w:t xml:space="preserve"> </w:t>
      </w:r>
      <w:r w:rsidR="00915DD6" w:rsidRPr="00587D00">
        <w:fldChar w:fldCharType="begin"/>
      </w:r>
      <w:r w:rsidR="00915DD6" w:rsidRPr="00587D00">
        <w:instrText xml:space="preserve"> REF _Ref524695711 \r \h </w:instrText>
      </w:r>
      <w:r w:rsidR="00915DD6" w:rsidRPr="00587D00">
        <w:fldChar w:fldCharType="separate"/>
      </w:r>
      <w:r w:rsidR="00915DD6" w:rsidRPr="00587D00">
        <w:t>[8]</w:t>
      </w:r>
      <w:r w:rsidR="00915DD6" w:rsidRPr="00587D00">
        <w:fldChar w:fldCharType="end"/>
      </w:r>
      <w:r w:rsidRPr="00587D00">
        <w:t>)</w:t>
      </w:r>
      <w:r w:rsidR="00EE1B0B" w:rsidRPr="00587D00">
        <w:t>;</w:t>
      </w:r>
    </w:p>
    <w:p w14:paraId="1C6B5594" w14:textId="77777777" w:rsidR="006C03D0" w:rsidRPr="00587D00" w:rsidRDefault="00E11E0C" w:rsidP="006C03D0">
      <w:pPr>
        <w:pStyle w:val="NumberedList"/>
        <w:numPr>
          <w:ilvl w:val="1"/>
          <w:numId w:val="10"/>
        </w:numPr>
        <w:spacing w:after="60"/>
        <w:ind w:left="397" w:firstLine="0"/>
      </w:pPr>
      <w:r w:rsidRPr="00587D00">
        <w:t>operating under the control of a network control facility</w:t>
      </w:r>
      <w:r w:rsidR="000F3919" w:rsidRPr="00587D00">
        <w:t>;</w:t>
      </w:r>
    </w:p>
    <w:p w14:paraId="1C6B5595" w14:textId="359C31D7" w:rsidR="006C03D0" w:rsidRPr="00587D00" w:rsidRDefault="00E11E0C" w:rsidP="006C03D0">
      <w:pPr>
        <w:pStyle w:val="NumberedList"/>
        <w:numPr>
          <w:ilvl w:val="1"/>
          <w:numId w:val="10"/>
        </w:numPr>
      </w:pPr>
      <w:r w:rsidRPr="00587D00">
        <w:t xml:space="preserve">operating under a satellite network where the ESV network operator or other organisation with control over ESV transmissions has notified </w:t>
      </w:r>
      <w:r w:rsidR="00FF01FC" w:rsidRPr="00587D00">
        <w:t>t</w:t>
      </w:r>
      <w:r w:rsidRPr="00587D00">
        <w:t xml:space="preserve">he Office that those ESV operating within their system or under their control comply with all the requirements of this Decision, including any conditions notified to </w:t>
      </w:r>
      <w:r w:rsidR="00FF01FC" w:rsidRPr="00587D00">
        <w:t>t</w:t>
      </w:r>
      <w:r w:rsidRPr="00587D00">
        <w:t xml:space="preserve">he Office by administrations under Decides </w:t>
      </w:r>
      <w:r w:rsidR="00915DD6" w:rsidRPr="00587D00">
        <w:fldChar w:fldCharType="begin"/>
      </w:r>
      <w:r w:rsidR="00915DD6" w:rsidRPr="00587D00">
        <w:instrText xml:space="preserve"> REF _Ref524695685 \r \h </w:instrText>
      </w:r>
      <w:r w:rsidR="00915DD6" w:rsidRPr="00587D00">
        <w:fldChar w:fldCharType="separate"/>
      </w:r>
      <w:r w:rsidR="00915DD6" w:rsidRPr="00587D00">
        <w:t>5</w:t>
      </w:r>
      <w:r w:rsidR="00915DD6" w:rsidRPr="00587D00">
        <w:fldChar w:fldCharType="end"/>
      </w:r>
      <w:r w:rsidRPr="00587D00">
        <w:t xml:space="preserve"> and </w:t>
      </w:r>
      <w:r w:rsidR="00915DD6" w:rsidRPr="00587D00">
        <w:fldChar w:fldCharType="begin"/>
      </w:r>
      <w:r w:rsidR="00915DD6" w:rsidRPr="00587D00">
        <w:instrText xml:space="preserve"> REF _Ref524695692 \r \h </w:instrText>
      </w:r>
      <w:r w:rsidR="00915DD6" w:rsidRPr="00587D00">
        <w:fldChar w:fldCharType="separate"/>
      </w:r>
      <w:r w:rsidR="00915DD6" w:rsidRPr="00587D00">
        <w:t>6</w:t>
      </w:r>
      <w:r w:rsidR="00915DD6" w:rsidRPr="00587D00">
        <w:fldChar w:fldCharType="end"/>
      </w:r>
      <w:r w:rsidRPr="00587D00">
        <w:t>, and has provided the required contact and technical information</w:t>
      </w:r>
      <w:r w:rsidR="000F3919" w:rsidRPr="00587D00">
        <w:rPr>
          <w:i/>
        </w:rPr>
        <w:t>;</w:t>
      </w:r>
    </w:p>
    <w:p w14:paraId="1C6B5596" w14:textId="4430CC5D" w:rsidR="000F3919" w:rsidRPr="00587D00" w:rsidRDefault="00E11E0C" w:rsidP="00FF01FC">
      <w:pPr>
        <w:pStyle w:val="NumberedList"/>
      </w:pPr>
      <w:r w:rsidRPr="00587D00">
        <w:t>that CEPT administrations shall: allow free circulation and use of ESV, subject to the provisions of this Decision;</w:t>
      </w:r>
      <w:r w:rsidR="00FF01FC" w:rsidRPr="00587D00">
        <w:t xml:space="preserve"> </w:t>
      </w:r>
    </w:p>
    <w:p w14:paraId="1C6B5597" w14:textId="77777777" w:rsidR="000F3919" w:rsidRPr="00587D00" w:rsidRDefault="00E11E0C" w:rsidP="000F3919">
      <w:pPr>
        <w:pStyle w:val="NumberedList"/>
      </w:pPr>
      <w:bookmarkStart w:id="5" w:name="_Ref524695685"/>
      <w:r w:rsidRPr="00587D00">
        <w:t>that with regard to ESV ope</w:t>
      </w:r>
      <w:r w:rsidR="00E6704B" w:rsidRPr="00587D00">
        <w:t>rations in the band 5</w:t>
      </w:r>
      <w:r w:rsidRPr="00587D00">
        <w:t>925-6425</w:t>
      </w:r>
      <w:r w:rsidRPr="00587D00">
        <w:rPr>
          <w:b/>
          <w:bCs/>
        </w:rPr>
        <w:t xml:space="preserve"> </w:t>
      </w:r>
      <w:r w:rsidRPr="00587D00">
        <w:rPr>
          <w:bCs/>
        </w:rPr>
        <w:t>MHz</w:t>
      </w:r>
      <w:r w:rsidRPr="00587D00">
        <w:t>, within the minimal distance of 300 km</w:t>
      </w:r>
      <w:r w:rsidR="00B762AB" w:rsidRPr="00587D00">
        <w:t xml:space="preserve"> (antenna diameter </w:t>
      </w:r>
      <w:r w:rsidR="00B762AB" w:rsidRPr="00587D00">
        <w:rPr>
          <w:rFonts w:cs="Arial"/>
        </w:rPr>
        <w:t>≥</w:t>
      </w:r>
      <w:r w:rsidR="00B762AB" w:rsidRPr="00587D00">
        <w:t xml:space="preserve"> 2.4 m) or </w:t>
      </w:r>
      <w:r w:rsidR="00FF01FC" w:rsidRPr="00587D00">
        <w:t>330 km (</w:t>
      </w:r>
      <w:r w:rsidR="00B762AB" w:rsidRPr="00587D00">
        <w:rPr>
          <w:szCs w:val="20"/>
        </w:rPr>
        <w:t xml:space="preserve">1.2 m </w:t>
      </w:r>
      <w:r w:rsidR="00B762AB" w:rsidRPr="00587D00">
        <w:rPr>
          <w:rFonts w:cs="Arial"/>
          <w:szCs w:val="20"/>
        </w:rPr>
        <w:t>≤</w:t>
      </w:r>
      <w:r w:rsidR="00B762AB" w:rsidRPr="00587D00">
        <w:rPr>
          <w:szCs w:val="20"/>
        </w:rPr>
        <w:t xml:space="preserve"> </w:t>
      </w:r>
      <w:r w:rsidR="00FF01FC" w:rsidRPr="00587D00">
        <w:rPr>
          <w:szCs w:val="20"/>
        </w:rPr>
        <w:t>antenna diameter</w:t>
      </w:r>
      <w:r w:rsidR="00B762AB" w:rsidRPr="00587D00">
        <w:rPr>
          <w:szCs w:val="20"/>
        </w:rPr>
        <w:t xml:space="preserve"> </w:t>
      </w:r>
      <w:r w:rsidR="00B762AB" w:rsidRPr="00587D00">
        <w:rPr>
          <w:rFonts w:cs="Arial"/>
          <w:szCs w:val="20"/>
        </w:rPr>
        <w:t>&lt;</w:t>
      </w:r>
      <w:r w:rsidR="00B762AB" w:rsidRPr="00587D00">
        <w:rPr>
          <w:szCs w:val="20"/>
        </w:rPr>
        <w:t xml:space="preserve"> 2.4 m</w:t>
      </w:r>
      <w:r w:rsidR="00FF01FC" w:rsidRPr="00587D00">
        <w:rPr>
          <w:szCs w:val="20"/>
        </w:rPr>
        <w:t>)</w:t>
      </w:r>
      <w:r w:rsidRPr="00587D00">
        <w:t xml:space="preserve"> from the low-water mark as officially recogni</w:t>
      </w:r>
      <w:r w:rsidR="00FF01FC" w:rsidRPr="00587D00">
        <w:t>s</w:t>
      </w:r>
      <w:r w:rsidRPr="00587D00">
        <w:t xml:space="preserve">ed by the coastal State </w:t>
      </w:r>
      <w:r w:rsidRPr="00587D00">
        <w:rPr>
          <w:iCs/>
        </w:rPr>
        <w:t xml:space="preserve">or </w:t>
      </w:r>
      <w:r w:rsidRPr="00587D00">
        <w:t xml:space="preserve">within the territorial seas or internal waters, the concerned administrations shall inform </w:t>
      </w:r>
      <w:r w:rsidR="00FF01FC" w:rsidRPr="00587D00">
        <w:t>t</w:t>
      </w:r>
      <w:r w:rsidRPr="00587D00">
        <w:t xml:space="preserve">he Office, as specified in the </w:t>
      </w:r>
      <w:r w:rsidR="001C6807" w:rsidRPr="00587D00">
        <w:fldChar w:fldCharType="begin"/>
      </w:r>
      <w:r w:rsidR="001C6807" w:rsidRPr="00587D00">
        <w:instrText xml:space="preserve"> REF _Ref460243285 \r \h </w:instrText>
      </w:r>
      <w:r w:rsidR="001C6807" w:rsidRPr="00587D00">
        <w:fldChar w:fldCharType="separate"/>
      </w:r>
      <w:r w:rsidR="00915DD6" w:rsidRPr="00587D00">
        <w:t>ANNEX 1:</w:t>
      </w:r>
      <w:r w:rsidR="001C6807" w:rsidRPr="00587D00">
        <w:fldChar w:fldCharType="end"/>
      </w:r>
      <w:r w:rsidRPr="00587D00">
        <w:t>, about any limitations (or changes to these), such as the areas where constraints are imposed, including areas where ESV operation is permitted or not permitted;</w:t>
      </w:r>
      <w:bookmarkEnd w:id="5"/>
    </w:p>
    <w:p w14:paraId="1C6B5598" w14:textId="77777777" w:rsidR="000F3919" w:rsidRPr="00587D00" w:rsidRDefault="00713DBA" w:rsidP="006C03D0">
      <w:pPr>
        <w:pStyle w:val="NumberedList"/>
      </w:pPr>
      <w:bookmarkStart w:id="6" w:name="_Ref524695692"/>
      <w:r w:rsidRPr="00587D00">
        <w:t xml:space="preserve">that CEPT administrations shall </w:t>
      </w:r>
      <w:r w:rsidR="00E11E0C" w:rsidRPr="00587D00">
        <w:t xml:space="preserve">notify to </w:t>
      </w:r>
      <w:r w:rsidR="00DA5DE8" w:rsidRPr="00587D00">
        <w:t>t</w:t>
      </w:r>
      <w:r w:rsidR="00E11E0C" w:rsidRPr="00587D00">
        <w:t xml:space="preserve">he Office their requirements related to </w:t>
      </w:r>
      <w:r w:rsidR="00E11E0C" w:rsidRPr="00587D00">
        <w:rPr>
          <w:i/>
          <w:iCs/>
        </w:rPr>
        <w:t>considerings</w:t>
      </w:r>
      <w:r w:rsidR="00E11E0C" w:rsidRPr="00587D00">
        <w:t xml:space="preserve"> </w:t>
      </w:r>
      <w:r w:rsidR="00915DD6" w:rsidRPr="00587D00">
        <w:fldChar w:fldCharType="begin"/>
      </w:r>
      <w:r w:rsidR="00915DD6" w:rsidRPr="00587D00">
        <w:instrText xml:space="preserve"> REF _Ref524695770 \r \h </w:instrText>
      </w:r>
      <w:r w:rsidR="00915DD6" w:rsidRPr="00587D00">
        <w:fldChar w:fldCharType="separate"/>
      </w:r>
      <w:r w:rsidR="00915DD6" w:rsidRPr="00587D00">
        <w:t>e)</w:t>
      </w:r>
      <w:r w:rsidR="00915DD6" w:rsidRPr="00587D00">
        <w:fldChar w:fldCharType="end"/>
      </w:r>
      <w:r w:rsidR="00E11E0C" w:rsidRPr="00587D00">
        <w:t xml:space="preserve">, </w:t>
      </w:r>
      <w:r w:rsidR="00915DD6" w:rsidRPr="00587D00">
        <w:fldChar w:fldCharType="begin"/>
      </w:r>
      <w:r w:rsidR="00915DD6" w:rsidRPr="00587D00">
        <w:instrText xml:space="preserve"> REF _Ref524695777 \r \h </w:instrText>
      </w:r>
      <w:r w:rsidR="00915DD6" w:rsidRPr="00587D00">
        <w:fldChar w:fldCharType="separate"/>
      </w:r>
      <w:r w:rsidR="00915DD6" w:rsidRPr="00587D00">
        <w:t>g)</w:t>
      </w:r>
      <w:r w:rsidR="00915DD6" w:rsidRPr="00587D00">
        <w:fldChar w:fldCharType="end"/>
      </w:r>
      <w:r w:rsidR="00E11E0C" w:rsidRPr="00587D00">
        <w:t xml:space="preserve"> and </w:t>
      </w:r>
      <w:r w:rsidR="00915DD6" w:rsidRPr="00587D00">
        <w:fldChar w:fldCharType="begin"/>
      </w:r>
      <w:r w:rsidR="00915DD6" w:rsidRPr="00587D00">
        <w:instrText xml:space="preserve"> REF _Ref524695785 \r \h </w:instrText>
      </w:r>
      <w:r w:rsidR="00915DD6" w:rsidRPr="00587D00">
        <w:fldChar w:fldCharType="separate"/>
      </w:r>
      <w:r w:rsidR="00915DD6" w:rsidRPr="00587D00">
        <w:t>h)</w:t>
      </w:r>
      <w:r w:rsidR="00915DD6" w:rsidRPr="00587D00">
        <w:fldChar w:fldCharType="end"/>
      </w:r>
      <w:r w:rsidR="00E11E0C" w:rsidRPr="00587D00">
        <w:t xml:space="preserve"> above, if any, using the procedure in </w:t>
      </w:r>
      <w:r w:rsidR="001C6807" w:rsidRPr="00587D00">
        <w:fldChar w:fldCharType="begin"/>
      </w:r>
      <w:r w:rsidR="001C6807" w:rsidRPr="00587D00">
        <w:instrText xml:space="preserve"> REF _Ref460243587 \r \h </w:instrText>
      </w:r>
      <w:r w:rsidR="001C6807" w:rsidRPr="00587D00">
        <w:fldChar w:fldCharType="separate"/>
      </w:r>
      <w:r w:rsidR="00915DD6" w:rsidRPr="00587D00">
        <w:t>ANNEX 2:</w:t>
      </w:r>
      <w:r w:rsidR="001C6807" w:rsidRPr="00587D00">
        <w:fldChar w:fldCharType="end"/>
      </w:r>
      <w:r w:rsidRPr="00587D00">
        <w:t>;</w:t>
      </w:r>
      <w:bookmarkEnd w:id="6"/>
    </w:p>
    <w:p w14:paraId="1C6B5599" w14:textId="1F1CDBA9" w:rsidR="00713DBA" w:rsidRPr="00587D00" w:rsidRDefault="00E11E0C" w:rsidP="006C03D0">
      <w:pPr>
        <w:pStyle w:val="NumberedList"/>
      </w:pPr>
      <w:r w:rsidRPr="00587D00">
        <w:rPr>
          <w:iCs/>
        </w:rPr>
        <w:t xml:space="preserve">that, as a consequence of Decides 3c) and 6), and without prejudice to </w:t>
      </w:r>
      <w:r w:rsidRPr="00587D00">
        <w:rPr>
          <w:i/>
        </w:rPr>
        <w:t>considering</w:t>
      </w:r>
      <w:r w:rsidRPr="00587D00">
        <w:rPr>
          <w:iCs/>
        </w:rPr>
        <w:t xml:space="preserve"> e) and g), other than the notification (</w:t>
      </w:r>
      <w:r w:rsidR="001C6807" w:rsidRPr="00587D00">
        <w:rPr>
          <w:iCs/>
        </w:rPr>
        <w:fldChar w:fldCharType="begin"/>
      </w:r>
      <w:r w:rsidR="001C6807" w:rsidRPr="00587D00">
        <w:rPr>
          <w:iCs/>
        </w:rPr>
        <w:instrText xml:space="preserve"> REF _Ref460243602 \r \h </w:instrText>
      </w:r>
      <w:r w:rsidR="001C6807" w:rsidRPr="00587D00">
        <w:rPr>
          <w:iCs/>
        </w:rPr>
      </w:r>
      <w:r w:rsidR="001C6807" w:rsidRPr="00587D00">
        <w:rPr>
          <w:iCs/>
        </w:rPr>
        <w:fldChar w:fldCharType="separate"/>
      </w:r>
      <w:r w:rsidR="00915DD6" w:rsidRPr="00587D00">
        <w:rPr>
          <w:iCs/>
        </w:rPr>
        <w:t>ANNEX 3:</w:t>
      </w:r>
      <w:r w:rsidR="001C6807" w:rsidRPr="00587D00">
        <w:rPr>
          <w:iCs/>
        </w:rPr>
        <w:fldChar w:fldCharType="end"/>
      </w:r>
      <w:r w:rsidRPr="00587D00">
        <w:rPr>
          <w:iCs/>
        </w:rPr>
        <w:t>) from ESV operators, CEPT administrations shall not require ESV network operators to obtain additional authorisations for the operation of their ESV;</w:t>
      </w:r>
    </w:p>
    <w:p w14:paraId="1C6B559A" w14:textId="77777777" w:rsidR="00713DBA" w:rsidRPr="00587D00" w:rsidRDefault="00713DBA" w:rsidP="006C03D0">
      <w:pPr>
        <w:pStyle w:val="NumberedList"/>
      </w:pPr>
      <w:r w:rsidRPr="00587D00">
        <w:t xml:space="preserve">that this Decision </w:t>
      </w:r>
      <w:r w:rsidRPr="00587D00">
        <w:rPr>
          <w:b/>
        </w:rPr>
        <w:t>enters into force</w:t>
      </w:r>
      <w:r w:rsidRPr="00587D00">
        <w:t xml:space="preserve"> on</w:t>
      </w:r>
      <w:r w:rsidR="00D10F75" w:rsidRPr="00587D00">
        <w:t xml:space="preserve"> </w:t>
      </w:r>
      <w:r w:rsidR="000A1062" w:rsidRPr="00587D00">
        <w:t>0</w:t>
      </w:r>
      <w:r w:rsidR="00A92CBF" w:rsidRPr="00587D00">
        <w:t>3 March 2017</w:t>
      </w:r>
      <w:r w:rsidRPr="00587D00">
        <w:t>;</w:t>
      </w:r>
    </w:p>
    <w:p w14:paraId="1C6B559B" w14:textId="77777777" w:rsidR="00713DBA" w:rsidRPr="00587D00" w:rsidRDefault="00D90B0A" w:rsidP="006C03D0">
      <w:pPr>
        <w:pStyle w:val="NumberedList"/>
      </w:pPr>
      <w:r w:rsidRPr="00587D00">
        <w:t>that the preferred</w:t>
      </w:r>
      <w:r w:rsidR="00713DBA" w:rsidRPr="00587D00">
        <w:t xml:space="preserve"> </w:t>
      </w:r>
      <w:r w:rsidR="00713DBA" w:rsidRPr="00587D00">
        <w:rPr>
          <w:b/>
        </w:rPr>
        <w:t>date for implementation</w:t>
      </w:r>
      <w:r w:rsidR="00713DBA" w:rsidRPr="00587D00">
        <w:t xml:space="preserve"> of this Decision shall be</w:t>
      </w:r>
      <w:r w:rsidR="00D10F75" w:rsidRPr="00587D00">
        <w:t xml:space="preserve"> </w:t>
      </w:r>
      <w:r w:rsidR="000A1062" w:rsidRPr="00587D00">
        <w:t>0</w:t>
      </w:r>
      <w:r w:rsidR="00A92CBF" w:rsidRPr="00587D00">
        <w:t>3</w:t>
      </w:r>
      <w:r w:rsidR="00EE1B0B" w:rsidRPr="00587D00">
        <w:rPr>
          <w:vertAlign w:val="superscript"/>
        </w:rPr>
        <w:t xml:space="preserve"> </w:t>
      </w:r>
      <w:r w:rsidR="00A92CBF" w:rsidRPr="00587D00">
        <w:t>September 2017</w:t>
      </w:r>
      <w:r w:rsidR="00713DBA" w:rsidRPr="00587D00">
        <w:t>;</w:t>
      </w:r>
    </w:p>
    <w:p w14:paraId="1C6B559C" w14:textId="77777777" w:rsidR="006C03D0" w:rsidRPr="00587D00" w:rsidRDefault="00713DBA" w:rsidP="00D90B0A">
      <w:pPr>
        <w:pStyle w:val="NumberedList"/>
        <w:keepNext/>
      </w:pPr>
      <w:r w:rsidRPr="00587D00">
        <w:t xml:space="preserve">that CEPT administrations shall communicate the </w:t>
      </w:r>
      <w:r w:rsidRPr="00587D00">
        <w:rPr>
          <w:b/>
        </w:rPr>
        <w:t>national measures</w:t>
      </w:r>
      <w:r w:rsidRPr="00587D00">
        <w:t xml:space="preserve"> implementing this Decision to the </w:t>
      </w:r>
      <w:smartTag w:uri="urn:schemas-microsoft-com:office:smarttags" w:element="stockticker">
        <w:r w:rsidRPr="00587D00">
          <w:t>ECC</w:t>
        </w:r>
      </w:smartTag>
      <w:r w:rsidRPr="00587D00">
        <w:t xml:space="preserve"> Chairman and the Office when th</w:t>
      </w:r>
      <w:r w:rsidR="00F32EE8" w:rsidRPr="00587D00">
        <w:t>is ECC</w:t>
      </w:r>
      <w:r w:rsidRPr="00587D00">
        <w:t xml:space="preserve"> Decision is nationally implemented.”</w:t>
      </w:r>
    </w:p>
    <w:p w14:paraId="1C6B559D" w14:textId="77777777" w:rsidR="001C46EA" w:rsidRPr="00587D00" w:rsidRDefault="001C46EA" w:rsidP="00D90B0A">
      <w:pPr>
        <w:pStyle w:val="ECCParagraph"/>
        <w:keepNext/>
        <w:rPr>
          <w:i/>
          <w:color w:val="D2232A"/>
        </w:rPr>
      </w:pPr>
      <w:r w:rsidRPr="00587D00">
        <w:rPr>
          <w:i/>
          <w:color w:val="D2232A"/>
        </w:rPr>
        <w:t xml:space="preserve">Note: </w:t>
      </w:r>
    </w:p>
    <w:p w14:paraId="1C6B559E" w14:textId="77777777" w:rsidR="001C46EA" w:rsidRPr="00587D00" w:rsidRDefault="001C46EA" w:rsidP="00D90B0A">
      <w:pPr>
        <w:pStyle w:val="ECCParagraph"/>
        <w:keepNext/>
      </w:pPr>
      <w:r w:rsidRPr="00587D00">
        <w:rPr>
          <w:i/>
          <w:szCs w:val="20"/>
        </w:rPr>
        <w:t xml:space="preserve">Please check the Office documentation database </w:t>
      </w:r>
      <w:hyperlink r:id="rId9" w:history="1">
        <w:r w:rsidR="00587B1A" w:rsidRPr="00587D00">
          <w:rPr>
            <w:rStyle w:val="Hyperlink"/>
            <w:i/>
            <w:szCs w:val="20"/>
          </w:rPr>
          <w:t>https://www.ecodocdb.dk</w:t>
        </w:r>
      </w:hyperlink>
      <w:r w:rsidRPr="00587D00">
        <w:rPr>
          <w:i/>
          <w:szCs w:val="20"/>
        </w:rPr>
        <w:t xml:space="preserve"> for the up to date position on the implementation of this and other </w:t>
      </w:r>
      <w:smartTag w:uri="urn:schemas-microsoft-com:office:smarttags" w:element="stockticker">
        <w:r w:rsidRPr="00587D00">
          <w:rPr>
            <w:i/>
            <w:szCs w:val="20"/>
          </w:rPr>
          <w:t>ECC</w:t>
        </w:r>
      </w:smartTag>
      <w:r w:rsidRPr="00587D00">
        <w:rPr>
          <w:i/>
          <w:szCs w:val="20"/>
        </w:rPr>
        <w:t xml:space="preserve"> Decisions.</w:t>
      </w:r>
    </w:p>
    <w:p w14:paraId="1C6B559F" w14:textId="77777777" w:rsidR="006C03D0" w:rsidRPr="00587D00" w:rsidRDefault="00703E3F" w:rsidP="006C03D0">
      <w:pPr>
        <w:pStyle w:val="ECCAnnex-heading1"/>
        <w:rPr>
          <w:iCs/>
        </w:rPr>
      </w:pPr>
      <w:bookmarkStart w:id="7" w:name="_Ref460243285"/>
      <w:r w:rsidRPr="00587D00">
        <w:rPr>
          <w:iCs/>
        </w:rPr>
        <w:lastRenderedPageBreak/>
        <w:t xml:space="preserve">Parameters to be submitted by concerned Administrations under </w:t>
      </w:r>
      <w:r w:rsidR="00DF0DD7" w:rsidRPr="00587D00">
        <w:rPr>
          <w:iCs/>
        </w:rPr>
        <w:br/>
      </w:r>
      <w:r w:rsidRPr="00587D00">
        <w:rPr>
          <w:iCs/>
        </w:rPr>
        <w:t>decides 5</w:t>
      </w:r>
      <w:bookmarkEnd w:id="7"/>
    </w:p>
    <w:p w14:paraId="1C6B55A0" w14:textId="77777777" w:rsidR="00DF0DD7" w:rsidRPr="00587D00" w:rsidRDefault="00DF0DD7" w:rsidP="00DF0DD7">
      <w:pPr>
        <w:pStyle w:val="ECCParagraph"/>
      </w:pPr>
      <w:r w:rsidRPr="00587D00">
        <w:t>A concerned Administration, as defined in considering f), permitting or limiting ESV emission within the 300</w:t>
      </w:r>
      <w:r w:rsidR="00866E38" w:rsidRPr="00587D00">
        <w:t> </w:t>
      </w:r>
      <w:r w:rsidRPr="00587D00">
        <w:t>km</w:t>
      </w:r>
      <w:r w:rsidR="00866E38" w:rsidRPr="00587D00">
        <w:t>/330 km (</w:t>
      </w:r>
      <w:r w:rsidR="00866E38" w:rsidRPr="00587D00">
        <w:rPr>
          <w:szCs w:val="20"/>
        </w:rPr>
        <w:t>depending on the minimum antenna diameter)</w:t>
      </w:r>
      <w:r w:rsidR="00915DD6" w:rsidRPr="00587D00">
        <w:t xml:space="preserve"> </w:t>
      </w:r>
      <w:r w:rsidRPr="00587D00">
        <w:t xml:space="preserve">distance from the coast or within the territorial seas or internal waters in the band 5925-6425 MHz, shall submit to </w:t>
      </w:r>
      <w:r w:rsidR="00DA5DE8" w:rsidRPr="00587D00">
        <w:t>t</w:t>
      </w:r>
      <w:r w:rsidRPr="00587D00">
        <w:t>he Office the following info</w:t>
      </w:r>
      <w:r w:rsidR="00FD1C53" w:rsidRPr="00587D00">
        <w:t xml:space="preserve">rmation. </w:t>
      </w:r>
      <w:r w:rsidRPr="00587D00">
        <w:t xml:space="preserve">Options which concerned administrations could consider when determining information requested in </w:t>
      </w:r>
      <w:r w:rsidR="001B7296" w:rsidRPr="00587D00">
        <w:fldChar w:fldCharType="begin"/>
      </w:r>
      <w:r w:rsidR="001B7296" w:rsidRPr="00587D00">
        <w:instrText xml:space="preserve"> REF _Ref460243321 \r \h </w:instrText>
      </w:r>
      <w:r w:rsidR="001B7296" w:rsidRPr="00587D00">
        <w:fldChar w:fldCharType="separate"/>
      </w:r>
      <w:r w:rsidR="00915DD6" w:rsidRPr="00587D00">
        <w:t>Table 1:</w:t>
      </w:r>
      <w:r w:rsidR="001B7296" w:rsidRPr="00587D00">
        <w:fldChar w:fldCharType="end"/>
      </w:r>
      <w:r w:rsidR="001B7296" w:rsidRPr="00587D00">
        <w:t xml:space="preserve"> to </w:t>
      </w:r>
      <w:r w:rsidR="001B7296" w:rsidRPr="00587D00">
        <w:fldChar w:fldCharType="begin"/>
      </w:r>
      <w:r w:rsidR="001B7296" w:rsidRPr="00587D00">
        <w:instrText xml:space="preserve"> REF _Ref460243331 \r \h </w:instrText>
      </w:r>
      <w:r w:rsidR="001B7296" w:rsidRPr="00587D00">
        <w:fldChar w:fldCharType="separate"/>
      </w:r>
      <w:r w:rsidR="00915DD6" w:rsidRPr="00587D00">
        <w:t>Table 5:</w:t>
      </w:r>
      <w:r w:rsidR="001B7296" w:rsidRPr="00587D00">
        <w:fldChar w:fldCharType="end"/>
      </w:r>
      <w:r w:rsidRPr="00587D00">
        <w:t xml:space="preserve"> are listed below in this Annex.</w:t>
      </w:r>
    </w:p>
    <w:p w14:paraId="1C6B55A1" w14:textId="77777777" w:rsidR="00DF0DD7" w:rsidRPr="00587D00" w:rsidRDefault="00DF0DD7" w:rsidP="00DF0DD7">
      <w:pPr>
        <w:pStyle w:val="ECCParagraph"/>
      </w:pPr>
      <w:r w:rsidRPr="00587D00">
        <w:t xml:space="preserve">The latest version of the </w:t>
      </w:r>
      <w:hyperlink r:id="rId10" w:history="1">
        <w:r w:rsidRPr="00587D00">
          <w:rPr>
            <w:rStyle w:val="Hyperlink"/>
          </w:rPr>
          <w:t>ECC Report 069</w:t>
        </w:r>
      </w:hyperlink>
      <w:r w:rsidRPr="00587D00">
        <w:t xml:space="preserve"> on ESV Contours provides guidance on the formats in which administrations should present this information. The data files containing the values of the parameters shall be text files (.txt). Other documents shall be text files, rich text files (.rtf), Word files (.doc) or Portable Document Format file (.pdf).</w:t>
      </w:r>
    </w:p>
    <w:p w14:paraId="1C6B55A2" w14:textId="77777777" w:rsidR="00DF0DD7" w:rsidRPr="00587D00" w:rsidRDefault="00DF0DD7" w:rsidP="00DF0DD7">
      <w:pPr>
        <w:pStyle w:val="ECCTabletitle"/>
      </w:pPr>
      <w:bookmarkStart w:id="8" w:name="_Ref460243321"/>
      <w:r w:rsidRPr="00587D00">
        <w:t>Administration details</w:t>
      </w:r>
      <w:bookmarkEnd w:id="8"/>
    </w:p>
    <w:tbl>
      <w:tblPr>
        <w:tblW w:w="4394"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394"/>
      </w:tblGrid>
      <w:tr w:rsidR="00DF0DD7" w:rsidRPr="00587D00" w14:paraId="1C6B55A4" w14:textId="77777777" w:rsidTr="00EE0568">
        <w:trPr>
          <w:tblHeader/>
        </w:trPr>
        <w:tc>
          <w:tcPr>
            <w:tcW w:w="4394" w:type="dxa"/>
            <w:tcBorders>
              <w:top w:val="single" w:sz="4" w:space="0" w:color="D2232A"/>
              <w:left w:val="single" w:sz="4" w:space="0" w:color="D2232A"/>
              <w:bottom w:val="single" w:sz="4" w:space="0" w:color="D2232A"/>
              <w:right w:val="nil"/>
            </w:tcBorders>
            <w:shd w:val="clear" w:color="auto" w:fill="D2232A"/>
            <w:vAlign w:val="center"/>
          </w:tcPr>
          <w:p w14:paraId="1C6B55A3" w14:textId="77777777" w:rsidR="00DF0DD7" w:rsidRPr="00587D00" w:rsidRDefault="00536A86" w:rsidP="00A817A0">
            <w:pPr>
              <w:spacing w:line="288" w:lineRule="auto"/>
              <w:jc w:val="center"/>
              <w:rPr>
                <w:b/>
                <w:color w:val="FFFFFF"/>
                <w:lang w:val="en-GB"/>
              </w:rPr>
            </w:pPr>
            <w:r>
              <w:rPr>
                <w:b/>
                <w:color w:val="FFFFFF"/>
                <w:lang w:val="en-GB"/>
              </w:rPr>
              <w:t>Administration details</w:t>
            </w:r>
          </w:p>
        </w:tc>
      </w:tr>
      <w:tr w:rsidR="00DF0DD7" w:rsidRPr="00587D00" w14:paraId="1C6B55A6" w14:textId="77777777" w:rsidTr="00EE0568">
        <w:tc>
          <w:tcPr>
            <w:tcW w:w="4394" w:type="dxa"/>
            <w:tcBorders>
              <w:top w:val="single" w:sz="4" w:space="0" w:color="D2232A"/>
              <w:left w:val="single" w:sz="4" w:space="0" w:color="D2232A"/>
              <w:bottom w:val="single" w:sz="4" w:space="0" w:color="D2232A"/>
              <w:right w:val="single" w:sz="4" w:space="0" w:color="D2232A"/>
            </w:tcBorders>
          </w:tcPr>
          <w:p w14:paraId="1C6B55A5" w14:textId="77777777" w:rsidR="00DF0DD7" w:rsidRPr="00587D00" w:rsidRDefault="00DF0DD7" w:rsidP="00EE7D90">
            <w:pPr>
              <w:rPr>
                <w:lang w:val="en-GB"/>
              </w:rPr>
            </w:pPr>
            <w:r w:rsidRPr="00587D00">
              <w:rPr>
                <w:lang w:val="en-GB"/>
              </w:rPr>
              <w:t>Administration</w:t>
            </w:r>
          </w:p>
        </w:tc>
      </w:tr>
      <w:tr w:rsidR="00DF0DD7" w:rsidRPr="00587D00" w14:paraId="1C6B55A8" w14:textId="77777777" w:rsidTr="00EE0568">
        <w:tc>
          <w:tcPr>
            <w:tcW w:w="4394" w:type="dxa"/>
            <w:tcBorders>
              <w:top w:val="single" w:sz="4" w:space="0" w:color="D2232A"/>
              <w:left w:val="single" w:sz="4" w:space="0" w:color="D2232A"/>
              <w:bottom w:val="single" w:sz="4" w:space="0" w:color="D2232A"/>
              <w:right w:val="single" w:sz="4" w:space="0" w:color="D2232A"/>
            </w:tcBorders>
          </w:tcPr>
          <w:p w14:paraId="1C6B55A7" w14:textId="77777777" w:rsidR="00DF0DD7" w:rsidRPr="00587D00" w:rsidRDefault="00DF0DD7" w:rsidP="00EE7D90">
            <w:pPr>
              <w:rPr>
                <w:lang w:val="en-GB"/>
              </w:rPr>
            </w:pPr>
            <w:r w:rsidRPr="00587D00">
              <w:rPr>
                <w:lang w:val="en-GB"/>
              </w:rPr>
              <w:t>Administration address</w:t>
            </w:r>
          </w:p>
        </w:tc>
      </w:tr>
      <w:tr w:rsidR="00DF0DD7" w:rsidRPr="00587D00" w14:paraId="1C6B55AA" w14:textId="77777777" w:rsidTr="00EE0568">
        <w:tc>
          <w:tcPr>
            <w:tcW w:w="4394" w:type="dxa"/>
            <w:tcBorders>
              <w:top w:val="single" w:sz="4" w:space="0" w:color="D2232A"/>
              <w:left w:val="single" w:sz="4" w:space="0" w:color="D2232A"/>
              <w:bottom w:val="single" w:sz="4" w:space="0" w:color="D2232A"/>
              <w:right w:val="single" w:sz="4" w:space="0" w:color="D2232A"/>
            </w:tcBorders>
          </w:tcPr>
          <w:p w14:paraId="1C6B55A9" w14:textId="77777777" w:rsidR="00DF0DD7" w:rsidRPr="00587D00" w:rsidRDefault="00DF0DD7" w:rsidP="00EE7D90">
            <w:pPr>
              <w:rPr>
                <w:lang w:val="en-GB"/>
              </w:rPr>
            </w:pPr>
            <w:r w:rsidRPr="00587D00">
              <w:rPr>
                <w:lang w:val="en-GB"/>
              </w:rPr>
              <w:t>Contact name</w:t>
            </w:r>
          </w:p>
        </w:tc>
      </w:tr>
      <w:tr w:rsidR="00DF0DD7" w:rsidRPr="00587D00" w14:paraId="1C6B55AC" w14:textId="77777777" w:rsidTr="00EE0568">
        <w:tc>
          <w:tcPr>
            <w:tcW w:w="4394" w:type="dxa"/>
            <w:tcBorders>
              <w:top w:val="single" w:sz="4" w:space="0" w:color="D2232A"/>
              <w:left w:val="single" w:sz="4" w:space="0" w:color="D2232A"/>
              <w:bottom w:val="single" w:sz="4" w:space="0" w:color="D2232A"/>
              <w:right w:val="single" w:sz="4" w:space="0" w:color="D2232A"/>
            </w:tcBorders>
          </w:tcPr>
          <w:p w14:paraId="1C6B55AB" w14:textId="77777777" w:rsidR="00DF0DD7" w:rsidRPr="00587D00" w:rsidRDefault="00DF0DD7" w:rsidP="00EE7D90">
            <w:pPr>
              <w:rPr>
                <w:lang w:val="en-GB"/>
              </w:rPr>
            </w:pPr>
            <w:r w:rsidRPr="00587D00">
              <w:rPr>
                <w:lang w:val="en-GB"/>
              </w:rPr>
              <w:t>Contact telephone number</w:t>
            </w:r>
          </w:p>
        </w:tc>
      </w:tr>
      <w:tr w:rsidR="00DF0DD7" w:rsidRPr="00587D00" w14:paraId="1C6B55AE" w14:textId="77777777" w:rsidTr="00EE0568">
        <w:tc>
          <w:tcPr>
            <w:tcW w:w="4394" w:type="dxa"/>
            <w:tcBorders>
              <w:top w:val="single" w:sz="4" w:space="0" w:color="D2232A"/>
              <w:left w:val="single" w:sz="4" w:space="0" w:color="D2232A"/>
              <w:bottom w:val="single" w:sz="4" w:space="0" w:color="D2232A"/>
              <w:right w:val="single" w:sz="4" w:space="0" w:color="D2232A"/>
            </w:tcBorders>
          </w:tcPr>
          <w:p w14:paraId="1C6B55AD" w14:textId="77777777" w:rsidR="00DF0DD7" w:rsidRPr="00587D00" w:rsidRDefault="00DF0DD7" w:rsidP="00EE7D90">
            <w:pPr>
              <w:rPr>
                <w:lang w:val="en-GB"/>
              </w:rPr>
            </w:pPr>
            <w:r w:rsidRPr="00587D00">
              <w:rPr>
                <w:lang w:val="en-GB"/>
              </w:rPr>
              <w:t>Contact e-mail address</w:t>
            </w:r>
          </w:p>
        </w:tc>
      </w:tr>
    </w:tbl>
    <w:p w14:paraId="1C6B55AF" w14:textId="77777777" w:rsidR="00DF0DD7" w:rsidRPr="00587D00" w:rsidRDefault="00DF0DD7" w:rsidP="00DF0DD7">
      <w:pPr>
        <w:pStyle w:val="ECCParagraph"/>
      </w:pPr>
    </w:p>
    <w:p w14:paraId="1C6B55B0" w14:textId="77777777" w:rsidR="00DF0DD7" w:rsidRPr="00587D00" w:rsidRDefault="00DF0DD7" w:rsidP="00DF0DD7">
      <w:pPr>
        <w:pStyle w:val="ECCParagraph"/>
      </w:pPr>
      <w:r w:rsidRPr="00587D00">
        <w:t>The following are example tables of the list of contours and the associated table of conditions and contour definitions.</w:t>
      </w:r>
    </w:p>
    <w:p w14:paraId="1C6B55B1" w14:textId="77777777" w:rsidR="00DF0DD7" w:rsidRPr="00587D00" w:rsidRDefault="00DF0DD7" w:rsidP="00DF0DD7">
      <w:pPr>
        <w:pStyle w:val="ECCTabletitle"/>
      </w:pPr>
      <w:r w:rsidRPr="00587D00">
        <w:t>List of contours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242"/>
        <w:gridCol w:w="993"/>
        <w:gridCol w:w="1842"/>
        <w:gridCol w:w="1560"/>
        <w:gridCol w:w="1701"/>
        <w:gridCol w:w="850"/>
        <w:gridCol w:w="1843"/>
      </w:tblGrid>
      <w:tr w:rsidR="005464A7" w:rsidRPr="00587D00" w14:paraId="1C6B55BC" w14:textId="77777777" w:rsidTr="00D10F75">
        <w:trPr>
          <w:tblHeader/>
        </w:trPr>
        <w:tc>
          <w:tcPr>
            <w:tcW w:w="1242" w:type="dxa"/>
            <w:tcBorders>
              <w:top w:val="single" w:sz="4" w:space="0" w:color="FFFFFF" w:themeColor="background1"/>
              <w:left w:val="single" w:sz="4" w:space="0" w:color="D2232A"/>
              <w:bottom w:val="single" w:sz="4" w:space="0" w:color="D2232A"/>
              <w:right w:val="single" w:sz="4" w:space="0" w:color="FFFFFF" w:themeColor="background1"/>
            </w:tcBorders>
            <w:shd w:val="clear" w:color="auto" w:fill="D2232A"/>
          </w:tcPr>
          <w:p w14:paraId="1C6B55B2" w14:textId="77777777" w:rsidR="00DF0DD7" w:rsidRPr="00587D00" w:rsidRDefault="00DF0DD7" w:rsidP="005464A7">
            <w:pPr>
              <w:jc w:val="center"/>
              <w:rPr>
                <w:b/>
                <w:color w:val="FFFFFF" w:themeColor="background1"/>
                <w:lang w:val="en-GB"/>
              </w:rPr>
            </w:pPr>
          </w:p>
        </w:tc>
        <w:tc>
          <w:tcPr>
            <w:tcW w:w="993"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3" w14:textId="77777777" w:rsidR="00D10F75" w:rsidRPr="00587D00" w:rsidRDefault="00D10F75" w:rsidP="005464A7">
            <w:pPr>
              <w:jc w:val="center"/>
              <w:rPr>
                <w:b/>
                <w:color w:val="FFFFFF" w:themeColor="background1"/>
                <w:lang w:val="en-GB"/>
              </w:rPr>
            </w:pPr>
          </w:p>
          <w:p w14:paraId="1C6B55B4" w14:textId="77777777" w:rsidR="00DF0DD7" w:rsidRPr="00587D00" w:rsidRDefault="00DF0DD7" w:rsidP="005464A7">
            <w:pPr>
              <w:jc w:val="center"/>
              <w:rPr>
                <w:b/>
                <w:color w:val="FFFFFF" w:themeColor="background1"/>
                <w:lang w:val="en-GB"/>
              </w:rPr>
            </w:pPr>
            <w:r w:rsidRPr="00587D00">
              <w:rPr>
                <w:b/>
                <w:color w:val="FFFFFF" w:themeColor="background1"/>
                <w:lang w:val="en-GB"/>
              </w:rPr>
              <w:t>Version Number</w:t>
            </w:r>
          </w:p>
        </w:tc>
        <w:tc>
          <w:tcPr>
            <w:tcW w:w="1842"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5" w14:textId="77777777" w:rsidR="00DF0DD7" w:rsidRPr="00587D00" w:rsidRDefault="00DF0DD7" w:rsidP="005464A7">
            <w:pPr>
              <w:jc w:val="center"/>
              <w:rPr>
                <w:b/>
                <w:color w:val="FFFFFF" w:themeColor="background1"/>
                <w:lang w:val="en-GB"/>
              </w:rPr>
            </w:pPr>
            <w:r w:rsidRPr="00587D00">
              <w:rPr>
                <w:b/>
                <w:color w:val="FFFFFF" w:themeColor="background1"/>
                <w:lang w:val="en-GB"/>
              </w:rPr>
              <w:t>Distanc</w:t>
            </w:r>
            <w:r w:rsidR="005464A7" w:rsidRPr="00587D00">
              <w:rPr>
                <w:b/>
                <w:color w:val="FFFFFF" w:themeColor="background1"/>
                <w:lang w:val="en-GB"/>
              </w:rPr>
              <w:t xml:space="preserve">e(s) from coast (km) or contour </w:t>
            </w:r>
            <w:r w:rsidR="005464A7" w:rsidRPr="00587D00">
              <w:rPr>
                <w:rStyle w:val="FootnoteReference"/>
                <w:b/>
                <w:color w:val="FFFFFF" w:themeColor="background1"/>
                <w:lang w:val="en-GB"/>
              </w:rPr>
              <w:footnoteReference w:id="1"/>
            </w:r>
            <w:r w:rsidRPr="00587D00">
              <w:rPr>
                <w:b/>
                <w:color w:val="FFFFFF" w:themeColor="background1"/>
                <w:lang w:val="en-GB"/>
              </w:rPr>
              <w:t>, or reference to a location</w:t>
            </w:r>
          </w:p>
        </w:tc>
        <w:tc>
          <w:tcPr>
            <w:tcW w:w="1560"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6" w14:textId="77777777" w:rsidR="00D10F75" w:rsidRPr="00587D00" w:rsidRDefault="00D10F75" w:rsidP="005464A7">
            <w:pPr>
              <w:jc w:val="center"/>
              <w:rPr>
                <w:b/>
                <w:color w:val="FFFFFF" w:themeColor="background1"/>
                <w:lang w:val="en-GB"/>
              </w:rPr>
            </w:pPr>
          </w:p>
          <w:p w14:paraId="1C6B55B7" w14:textId="77777777" w:rsidR="00DF0DD7" w:rsidRPr="00587D00" w:rsidRDefault="00DF0DD7" w:rsidP="005464A7">
            <w:pPr>
              <w:jc w:val="center"/>
              <w:rPr>
                <w:b/>
                <w:color w:val="FFFFFF" w:themeColor="background1"/>
                <w:lang w:val="en-GB"/>
              </w:rPr>
            </w:pPr>
            <w:r w:rsidRPr="00587D00">
              <w:rPr>
                <w:b/>
                <w:color w:val="FFFFFF" w:themeColor="background1"/>
                <w:lang w:val="en-GB"/>
              </w:rPr>
              <w:t>Table of conditions</w:t>
            </w:r>
          </w:p>
        </w:tc>
        <w:tc>
          <w:tcPr>
            <w:tcW w:w="1701"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8" w14:textId="77777777" w:rsidR="00DF0DD7" w:rsidRPr="00587D00" w:rsidRDefault="00DF0DD7" w:rsidP="005464A7">
            <w:pPr>
              <w:jc w:val="center"/>
              <w:rPr>
                <w:b/>
                <w:color w:val="FFFFFF" w:themeColor="background1"/>
                <w:lang w:val="en-GB"/>
              </w:rPr>
            </w:pPr>
            <w:r w:rsidRPr="00587D00">
              <w:rPr>
                <w:b/>
                <w:color w:val="FFFFFF" w:themeColor="background1"/>
                <w:lang w:val="en-GB"/>
              </w:rPr>
              <w:t>Date of publication by the administration</w:t>
            </w:r>
          </w:p>
        </w:tc>
        <w:tc>
          <w:tcPr>
            <w:tcW w:w="850"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9" w14:textId="77777777" w:rsidR="00DF0DD7" w:rsidRPr="00587D00" w:rsidRDefault="00DF0DD7" w:rsidP="005464A7">
            <w:pPr>
              <w:jc w:val="center"/>
              <w:rPr>
                <w:b/>
                <w:color w:val="FFFFFF" w:themeColor="background1"/>
                <w:lang w:val="en-GB"/>
              </w:rPr>
            </w:pPr>
            <w:r w:rsidRPr="00587D00">
              <w:rPr>
                <w:b/>
                <w:color w:val="FFFFFF" w:themeColor="background1"/>
                <w:lang w:val="en-GB"/>
              </w:rPr>
              <w:t>Date of entry into force</w:t>
            </w:r>
          </w:p>
        </w:tc>
        <w:tc>
          <w:tcPr>
            <w:tcW w:w="1843"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1C6B55BA" w14:textId="77777777" w:rsidR="00D10F75" w:rsidRPr="00587D00" w:rsidRDefault="00D10F75" w:rsidP="005464A7">
            <w:pPr>
              <w:jc w:val="center"/>
              <w:rPr>
                <w:b/>
                <w:color w:val="FFFFFF" w:themeColor="background1"/>
                <w:lang w:val="en-GB"/>
              </w:rPr>
            </w:pPr>
          </w:p>
          <w:p w14:paraId="1C6B55BB" w14:textId="77777777" w:rsidR="00DF0DD7" w:rsidRPr="00587D00" w:rsidRDefault="00DF0DD7" w:rsidP="005464A7">
            <w:pPr>
              <w:jc w:val="center"/>
              <w:rPr>
                <w:b/>
                <w:color w:val="FFFFFF" w:themeColor="background1"/>
                <w:lang w:val="en-GB"/>
              </w:rPr>
            </w:pPr>
            <w:r w:rsidRPr="00587D00">
              <w:rPr>
                <w:b/>
                <w:color w:val="FFFFFF" w:themeColor="background1"/>
                <w:lang w:val="en-GB"/>
              </w:rPr>
              <w:t>Notes</w:t>
            </w:r>
          </w:p>
        </w:tc>
      </w:tr>
      <w:tr w:rsidR="005464A7" w:rsidRPr="00587D00" w14:paraId="1C6B55C4" w14:textId="77777777" w:rsidTr="00D10F75">
        <w:tc>
          <w:tcPr>
            <w:tcW w:w="1242" w:type="dxa"/>
            <w:tcBorders>
              <w:top w:val="single" w:sz="4" w:space="0" w:color="D2232A"/>
              <w:left w:val="single" w:sz="4" w:space="0" w:color="D2232A"/>
              <w:bottom w:val="single" w:sz="4" w:space="0" w:color="D2232A"/>
              <w:right w:val="single" w:sz="4" w:space="0" w:color="D2232A"/>
            </w:tcBorders>
          </w:tcPr>
          <w:p w14:paraId="1C6B55BD" w14:textId="77777777" w:rsidR="005464A7" w:rsidRPr="00587D00" w:rsidRDefault="005464A7" w:rsidP="000074A0">
            <w:pPr>
              <w:rPr>
                <w:lang w:val="en-GB"/>
              </w:rPr>
            </w:pPr>
            <w:r w:rsidRPr="00587D00">
              <w:rPr>
                <w:lang w:val="en-GB"/>
              </w:rPr>
              <w:t>Contour number (e.g. No.1)</w:t>
            </w:r>
          </w:p>
        </w:tc>
        <w:tc>
          <w:tcPr>
            <w:tcW w:w="993" w:type="dxa"/>
            <w:tcBorders>
              <w:top w:val="single" w:sz="4" w:space="0" w:color="D2232A"/>
              <w:left w:val="single" w:sz="4" w:space="0" w:color="D2232A"/>
              <w:bottom w:val="single" w:sz="4" w:space="0" w:color="D2232A"/>
              <w:right w:val="single" w:sz="4" w:space="0" w:color="D2232A"/>
            </w:tcBorders>
          </w:tcPr>
          <w:p w14:paraId="1C6B55BE" w14:textId="77777777" w:rsidR="005464A7" w:rsidRPr="00587D00" w:rsidRDefault="00915DD6" w:rsidP="00D475D9">
            <w:pPr>
              <w:rPr>
                <w:rFonts w:cs="Arial"/>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842" w:type="dxa"/>
            <w:tcBorders>
              <w:top w:val="single" w:sz="4" w:space="0" w:color="D2232A"/>
              <w:left w:val="single" w:sz="4" w:space="0" w:color="D2232A"/>
              <w:bottom w:val="single" w:sz="4" w:space="0" w:color="D2232A"/>
              <w:right w:val="single" w:sz="4" w:space="0" w:color="D2232A"/>
            </w:tcBorders>
          </w:tcPr>
          <w:p w14:paraId="1C6B55BF" w14:textId="77777777" w:rsidR="005464A7" w:rsidRPr="00587D00" w:rsidRDefault="00915DD6" w:rsidP="005464A7">
            <w:pPr>
              <w:pStyle w:val="Exampletext"/>
              <w:spacing w:after="0"/>
              <w:jc w:val="left"/>
            </w:pPr>
            <w:r w:rsidRPr="00587D00">
              <w:rPr>
                <w:rFonts w:ascii="Times New Roman" w:hAnsi="Times New Roman" w:cs="Times New Roman"/>
                <w:b/>
                <w:bCs/>
                <w:szCs w:val="20"/>
              </w:rPr>
              <w:t xml:space="preserve">   </w:t>
            </w:r>
            <w:r w:rsidR="005464A7" w:rsidRPr="00587D00">
              <w:rPr>
                <w:rFonts w:ascii="Times New Roman" w:hAnsi="Times New Roman" w:cs="Times New Roman"/>
                <w:b/>
                <w:bCs/>
                <w:szCs w:val="20"/>
              </w:rPr>
              <w:t xml:space="preserve"> </w:t>
            </w:r>
            <w:r w:rsidR="005464A7" w:rsidRPr="00587D00">
              <w:rPr>
                <w:rFonts w:ascii="Times New Roman" w:hAnsi="Times New Roman" w:cs="Times New Roman"/>
                <w:bCs/>
                <w:szCs w:val="20"/>
              </w:rPr>
              <w:t>xyz</w:t>
            </w:r>
          </w:p>
        </w:tc>
        <w:tc>
          <w:tcPr>
            <w:tcW w:w="1560" w:type="dxa"/>
            <w:tcBorders>
              <w:top w:val="single" w:sz="4" w:space="0" w:color="D2232A"/>
              <w:left w:val="single" w:sz="4" w:space="0" w:color="D2232A"/>
              <w:bottom w:val="single" w:sz="4" w:space="0" w:color="D2232A"/>
              <w:right w:val="single" w:sz="4" w:space="0" w:color="D2232A"/>
            </w:tcBorders>
          </w:tcPr>
          <w:p w14:paraId="1C6B55C0" w14:textId="77777777" w:rsidR="007A32C1" w:rsidRPr="00587D00" w:rsidRDefault="005464A7" w:rsidP="007A32C1">
            <w:pPr>
              <w:pStyle w:val="Exampletext"/>
              <w:spacing w:before="120"/>
              <w:jc w:val="left"/>
              <w:rPr>
                <w:rFonts w:ascii="Arial" w:hAnsi="Arial"/>
                <w:szCs w:val="20"/>
              </w:rPr>
            </w:pPr>
            <w:r w:rsidRPr="00587D00">
              <w:rPr>
                <w:rFonts w:ascii="Arial" w:hAnsi="Arial"/>
                <w:bCs/>
                <w:szCs w:val="20"/>
              </w:rPr>
              <w:t>Reference to a particular table of conditions</w:t>
            </w:r>
          </w:p>
        </w:tc>
        <w:tc>
          <w:tcPr>
            <w:tcW w:w="1701" w:type="dxa"/>
            <w:tcBorders>
              <w:top w:val="single" w:sz="4" w:space="0" w:color="D2232A"/>
              <w:left w:val="single" w:sz="4" w:space="0" w:color="D2232A"/>
              <w:bottom w:val="single" w:sz="4" w:space="0" w:color="D2232A"/>
              <w:right w:val="single" w:sz="4" w:space="0" w:color="D2232A"/>
            </w:tcBorders>
          </w:tcPr>
          <w:p w14:paraId="1C6B55C1" w14:textId="77777777" w:rsidR="005464A7" w:rsidRPr="00587D00" w:rsidRDefault="00915DD6" w:rsidP="00D475D9">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850" w:type="dxa"/>
            <w:tcBorders>
              <w:top w:val="single" w:sz="4" w:space="0" w:color="D2232A"/>
              <w:left w:val="single" w:sz="4" w:space="0" w:color="D2232A"/>
              <w:bottom w:val="single" w:sz="4" w:space="0" w:color="D2232A"/>
              <w:right w:val="single" w:sz="4" w:space="0" w:color="D2232A"/>
            </w:tcBorders>
          </w:tcPr>
          <w:p w14:paraId="1C6B55C2" w14:textId="77777777" w:rsidR="005464A7" w:rsidRPr="00587D00" w:rsidRDefault="00915DD6" w:rsidP="00D475D9">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843" w:type="dxa"/>
            <w:tcBorders>
              <w:top w:val="single" w:sz="4" w:space="0" w:color="D2232A"/>
              <w:left w:val="single" w:sz="4" w:space="0" w:color="D2232A"/>
              <w:bottom w:val="single" w:sz="4" w:space="0" w:color="D2232A"/>
              <w:right w:val="single" w:sz="4" w:space="0" w:color="D2232A"/>
            </w:tcBorders>
          </w:tcPr>
          <w:p w14:paraId="1C6B55C3" w14:textId="77777777" w:rsidR="005464A7" w:rsidRPr="00587D00" w:rsidRDefault="005464A7" w:rsidP="00D475D9">
            <w:pPr>
              <w:rPr>
                <w:lang w:val="en-GB"/>
              </w:rPr>
            </w:pPr>
            <w:r w:rsidRPr="00587D00">
              <w:rPr>
                <w:lang w:val="en-GB"/>
              </w:rPr>
              <w:t>Free text field. Possibly a link to administration’s website</w:t>
            </w:r>
          </w:p>
        </w:tc>
      </w:tr>
      <w:tr w:rsidR="005464A7" w:rsidRPr="00587D00" w14:paraId="1C6B55CC" w14:textId="77777777" w:rsidTr="005464A7">
        <w:tc>
          <w:tcPr>
            <w:tcW w:w="1242" w:type="dxa"/>
            <w:tcBorders>
              <w:top w:val="single" w:sz="4" w:space="0" w:color="D2232A"/>
              <w:left w:val="single" w:sz="4" w:space="0" w:color="D2232A"/>
              <w:bottom w:val="single" w:sz="4" w:space="0" w:color="D2232A"/>
              <w:right w:val="single" w:sz="4" w:space="0" w:color="D2232A"/>
            </w:tcBorders>
          </w:tcPr>
          <w:p w14:paraId="1C6B55C5"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993" w:type="dxa"/>
            <w:tcBorders>
              <w:top w:val="single" w:sz="4" w:space="0" w:color="D2232A"/>
              <w:left w:val="single" w:sz="4" w:space="0" w:color="D2232A"/>
              <w:bottom w:val="single" w:sz="4" w:space="0" w:color="D2232A"/>
              <w:right w:val="single" w:sz="4" w:space="0" w:color="D2232A"/>
            </w:tcBorders>
          </w:tcPr>
          <w:p w14:paraId="1C6B55C6"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842" w:type="dxa"/>
            <w:tcBorders>
              <w:top w:val="single" w:sz="4" w:space="0" w:color="D2232A"/>
              <w:left w:val="single" w:sz="4" w:space="0" w:color="D2232A"/>
              <w:bottom w:val="single" w:sz="4" w:space="0" w:color="D2232A"/>
              <w:right w:val="single" w:sz="4" w:space="0" w:color="D2232A"/>
            </w:tcBorders>
          </w:tcPr>
          <w:p w14:paraId="1C6B55C7"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560" w:type="dxa"/>
            <w:tcBorders>
              <w:top w:val="single" w:sz="4" w:space="0" w:color="D2232A"/>
              <w:left w:val="single" w:sz="4" w:space="0" w:color="D2232A"/>
              <w:bottom w:val="single" w:sz="4" w:space="0" w:color="D2232A"/>
              <w:right w:val="single" w:sz="4" w:space="0" w:color="D2232A"/>
            </w:tcBorders>
          </w:tcPr>
          <w:p w14:paraId="1C6B55C8"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701" w:type="dxa"/>
            <w:tcBorders>
              <w:top w:val="single" w:sz="4" w:space="0" w:color="D2232A"/>
              <w:left w:val="single" w:sz="4" w:space="0" w:color="D2232A"/>
              <w:bottom w:val="single" w:sz="4" w:space="0" w:color="D2232A"/>
              <w:right w:val="single" w:sz="4" w:space="0" w:color="D2232A"/>
            </w:tcBorders>
          </w:tcPr>
          <w:p w14:paraId="1C6B55C9"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850" w:type="dxa"/>
            <w:tcBorders>
              <w:top w:val="single" w:sz="4" w:space="0" w:color="D2232A"/>
              <w:left w:val="single" w:sz="4" w:space="0" w:color="D2232A"/>
              <w:bottom w:val="single" w:sz="4" w:space="0" w:color="D2232A"/>
              <w:right w:val="single" w:sz="4" w:space="0" w:color="D2232A"/>
            </w:tcBorders>
          </w:tcPr>
          <w:p w14:paraId="1C6B55CA"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843" w:type="dxa"/>
            <w:tcBorders>
              <w:top w:val="single" w:sz="4" w:space="0" w:color="D2232A"/>
              <w:left w:val="single" w:sz="4" w:space="0" w:color="D2232A"/>
              <w:bottom w:val="single" w:sz="4" w:space="0" w:color="D2232A"/>
              <w:right w:val="single" w:sz="4" w:space="0" w:color="D2232A"/>
            </w:tcBorders>
          </w:tcPr>
          <w:p w14:paraId="1C6B55CB" w14:textId="77777777" w:rsidR="005464A7" w:rsidRPr="00587D00" w:rsidRDefault="00915DD6">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r>
    </w:tbl>
    <w:p w14:paraId="1C6B55CD" w14:textId="77777777" w:rsidR="00DF0DD7" w:rsidRPr="00587D00" w:rsidRDefault="00DF0DD7" w:rsidP="00DF0DD7">
      <w:pPr>
        <w:pStyle w:val="ECCParagraph"/>
      </w:pPr>
    </w:p>
    <w:p w14:paraId="1C6B55CE" w14:textId="77777777" w:rsidR="00DF0DD7" w:rsidRPr="00587D00" w:rsidRDefault="00DF0DD7" w:rsidP="00DF0DD7">
      <w:pPr>
        <w:pStyle w:val="ECCTabletitle"/>
      </w:pPr>
      <w:r w:rsidRPr="00587D00">
        <w:t>Table of conditions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54"/>
        <w:gridCol w:w="1923"/>
        <w:gridCol w:w="1701"/>
        <w:gridCol w:w="1508"/>
        <w:gridCol w:w="2745"/>
      </w:tblGrid>
      <w:tr w:rsidR="005464A7" w:rsidRPr="00587D00" w14:paraId="1C6B55D4" w14:textId="77777777" w:rsidTr="00FF01FC">
        <w:trPr>
          <w:tblHeader/>
        </w:trPr>
        <w:tc>
          <w:tcPr>
            <w:tcW w:w="2154"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1C6B55CF" w14:textId="77777777" w:rsidR="005464A7" w:rsidRPr="00587D00" w:rsidRDefault="005464A7" w:rsidP="005464A7">
            <w:pPr>
              <w:spacing w:line="288" w:lineRule="auto"/>
              <w:jc w:val="center"/>
              <w:rPr>
                <w:b/>
                <w:color w:val="FFFFFF"/>
                <w:lang w:val="en-GB"/>
              </w:rPr>
            </w:pPr>
            <w:r w:rsidRPr="00587D00">
              <w:rPr>
                <w:b/>
                <w:color w:val="FFFFFF" w:themeColor="background1"/>
                <w:lang w:val="en-GB"/>
              </w:rPr>
              <w:t>Contour designator</w:t>
            </w:r>
          </w:p>
        </w:tc>
        <w:tc>
          <w:tcPr>
            <w:tcW w:w="1923"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1C6B55D0" w14:textId="77777777" w:rsidR="005464A7" w:rsidRPr="00587D00" w:rsidRDefault="005464A7" w:rsidP="007A32C1">
            <w:pPr>
              <w:jc w:val="center"/>
              <w:rPr>
                <w:b/>
                <w:color w:val="FFFFFF"/>
                <w:lang w:val="en-GB"/>
              </w:rPr>
            </w:pPr>
            <w:r w:rsidRPr="00587D00">
              <w:rPr>
                <w:b/>
                <w:color w:val="FFFFFF"/>
                <w:lang w:val="en-GB"/>
              </w:rPr>
              <w:t>List of Parameters</w:t>
            </w:r>
            <w:r w:rsidRPr="00587D00">
              <w:rPr>
                <w:rStyle w:val="FootnoteReference"/>
                <w:b/>
                <w:color w:val="FFFFFF"/>
                <w:lang w:val="en-GB"/>
              </w:rPr>
              <w:footnoteReference w:id="2"/>
            </w:r>
          </w:p>
        </w:tc>
        <w:tc>
          <w:tcPr>
            <w:tcW w:w="1701"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1C6B55D1" w14:textId="77777777" w:rsidR="005464A7" w:rsidRPr="00587D00" w:rsidRDefault="005464A7" w:rsidP="005464A7">
            <w:pPr>
              <w:jc w:val="center"/>
              <w:rPr>
                <w:lang w:val="en-GB"/>
              </w:rPr>
            </w:pPr>
            <w:r w:rsidRPr="00587D00">
              <w:rPr>
                <w:b/>
                <w:color w:val="FFFFFF"/>
                <w:lang w:val="en-GB"/>
              </w:rPr>
              <w:t>Parameters Value</w:t>
            </w:r>
          </w:p>
        </w:tc>
        <w:tc>
          <w:tcPr>
            <w:tcW w:w="1508"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1C6B55D2" w14:textId="77777777" w:rsidR="005464A7" w:rsidRPr="00587D00" w:rsidRDefault="005464A7" w:rsidP="005464A7">
            <w:pPr>
              <w:jc w:val="center"/>
              <w:rPr>
                <w:lang w:val="en-GB"/>
              </w:rPr>
            </w:pPr>
            <w:r w:rsidRPr="00587D00">
              <w:rPr>
                <w:b/>
                <w:color w:val="FFFFFF"/>
                <w:lang w:val="en-GB"/>
              </w:rPr>
              <w:t>Parameters Units</w:t>
            </w:r>
          </w:p>
        </w:tc>
        <w:tc>
          <w:tcPr>
            <w:tcW w:w="2745"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1C6B55D3" w14:textId="77777777" w:rsidR="005464A7" w:rsidRPr="00587D00" w:rsidRDefault="005464A7" w:rsidP="005464A7">
            <w:pPr>
              <w:spacing w:line="288" w:lineRule="auto"/>
              <w:jc w:val="center"/>
              <w:rPr>
                <w:b/>
                <w:color w:val="FFFFFF"/>
                <w:lang w:val="en-GB"/>
              </w:rPr>
            </w:pPr>
            <w:r w:rsidRPr="00587D00">
              <w:rPr>
                <w:b/>
                <w:color w:val="FFFFFF"/>
                <w:lang w:val="en-GB"/>
              </w:rPr>
              <w:t>Notes</w:t>
            </w:r>
          </w:p>
        </w:tc>
      </w:tr>
      <w:tr w:rsidR="005464A7" w:rsidRPr="00587D00" w14:paraId="1C6B55E1" w14:textId="77777777" w:rsidTr="005464A7">
        <w:tc>
          <w:tcPr>
            <w:tcW w:w="2154" w:type="dxa"/>
            <w:tcBorders>
              <w:top w:val="single" w:sz="4" w:space="0" w:color="D2232A"/>
              <w:left w:val="single" w:sz="4" w:space="0" w:color="D2232A"/>
              <w:bottom w:val="single" w:sz="4" w:space="0" w:color="D2232A"/>
              <w:right w:val="single" w:sz="4" w:space="0" w:color="D2232A"/>
            </w:tcBorders>
            <w:vAlign w:val="center"/>
          </w:tcPr>
          <w:p w14:paraId="1C6B55D5" w14:textId="77777777" w:rsidR="005464A7" w:rsidRPr="00587D00" w:rsidRDefault="005464A7" w:rsidP="00A817A0">
            <w:pPr>
              <w:spacing w:line="288" w:lineRule="auto"/>
              <w:rPr>
                <w:lang w:val="en-GB"/>
              </w:rPr>
            </w:pPr>
            <w:r w:rsidRPr="00587D00">
              <w:rPr>
                <w:lang w:val="en-GB"/>
              </w:rPr>
              <w:t xml:space="preserve">Contour number </w:t>
            </w:r>
          </w:p>
          <w:p w14:paraId="1C6B55D6" w14:textId="77777777" w:rsidR="005464A7" w:rsidRPr="00587D00" w:rsidRDefault="005464A7" w:rsidP="00A817A0">
            <w:pPr>
              <w:spacing w:line="288" w:lineRule="auto"/>
              <w:rPr>
                <w:lang w:val="en-GB"/>
              </w:rPr>
            </w:pPr>
            <w:r w:rsidRPr="00587D00">
              <w:rPr>
                <w:lang w:val="en-GB"/>
              </w:rPr>
              <w:t>(e.g. No.1)</w:t>
            </w:r>
          </w:p>
        </w:tc>
        <w:tc>
          <w:tcPr>
            <w:tcW w:w="1923" w:type="dxa"/>
            <w:tcBorders>
              <w:top w:val="single" w:sz="4" w:space="0" w:color="D2232A"/>
              <w:left w:val="single" w:sz="4" w:space="0" w:color="D2232A"/>
              <w:bottom w:val="single" w:sz="4" w:space="0" w:color="D2232A"/>
              <w:right w:val="single" w:sz="4" w:space="0" w:color="D2232A"/>
            </w:tcBorders>
            <w:vAlign w:val="center"/>
          </w:tcPr>
          <w:p w14:paraId="1C6B55D7" w14:textId="77777777" w:rsidR="005464A7" w:rsidRPr="00587D00" w:rsidRDefault="005464A7" w:rsidP="005464A7">
            <w:pPr>
              <w:spacing w:line="288" w:lineRule="auto"/>
              <w:rPr>
                <w:lang w:val="en-GB"/>
              </w:rPr>
            </w:pPr>
            <w:r w:rsidRPr="00587D00">
              <w:rPr>
                <w:lang w:val="en-GB"/>
              </w:rPr>
              <w:t>Parameter 1</w:t>
            </w:r>
          </w:p>
          <w:p w14:paraId="1C6B55D8" w14:textId="77777777" w:rsidR="005464A7" w:rsidRPr="00587D00" w:rsidRDefault="005464A7" w:rsidP="005464A7">
            <w:pPr>
              <w:spacing w:line="288" w:lineRule="auto"/>
              <w:rPr>
                <w:lang w:val="en-GB"/>
              </w:rPr>
            </w:pPr>
            <w:r w:rsidRPr="00587D00">
              <w:rPr>
                <w:lang w:val="en-GB"/>
              </w:rPr>
              <w:t>Parameter 2</w:t>
            </w:r>
          </w:p>
          <w:p w14:paraId="1C6B55D9" w14:textId="77777777" w:rsidR="005464A7" w:rsidRPr="00587D00" w:rsidRDefault="005464A7" w:rsidP="005464A7">
            <w:pPr>
              <w:spacing w:line="288" w:lineRule="auto"/>
              <w:rPr>
                <w:lang w:val="en-GB"/>
              </w:rPr>
            </w:pPr>
            <w:r w:rsidRPr="00587D00">
              <w:rPr>
                <w:lang w:val="en-GB"/>
              </w:rPr>
              <w:t>Parameter N</w:t>
            </w:r>
          </w:p>
        </w:tc>
        <w:tc>
          <w:tcPr>
            <w:tcW w:w="1701" w:type="dxa"/>
            <w:tcBorders>
              <w:top w:val="single" w:sz="4" w:space="0" w:color="D2232A"/>
              <w:left w:val="single" w:sz="4" w:space="0" w:color="D2232A"/>
              <w:bottom w:val="single" w:sz="4" w:space="0" w:color="D2232A"/>
              <w:right w:val="single" w:sz="4" w:space="0" w:color="D2232A"/>
            </w:tcBorders>
            <w:vAlign w:val="center"/>
          </w:tcPr>
          <w:p w14:paraId="1C6B55DA" w14:textId="77777777" w:rsidR="005464A7" w:rsidRPr="00587D00" w:rsidRDefault="005464A7" w:rsidP="005464A7">
            <w:pPr>
              <w:spacing w:line="288" w:lineRule="auto"/>
              <w:rPr>
                <w:lang w:val="en-GB"/>
              </w:rPr>
            </w:pPr>
            <w:r w:rsidRPr="00587D00">
              <w:rPr>
                <w:lang w:val="en-GB"/>
              </w:rPr>
              <w:t>xyz</w:t>
            </w:r>
          </w:p>
          <w:p w14:paraId="1C6B55DB" w14:textId="77777777" w:rsidR="005464A7" w:rsidRPr="00587D00" w:rsidRDefault="005464A7" w:rsidP="005464A7">
            <w:pPr>
              <w:spacing w:line="288" w:lineRule="auto"/>
              <w:rPr>
                <w:lang w:val="en-GB"/>
              </w:rPr>
            </w:pPr>
            <w:r w:rsidRPr="00587D00">
              <w:rPr>
                <w:lang w:val="en-GB"/>
              </w:rPr>
              <w:t>…</w:t>
            </w:r>
          </w:p>
          <w:p w14:paraId="1C6B55DC" w14:textId="77777777" w:rsidR="005464A7" w:rsidRPr="00587D00" w:rsidRDefault="005464A7" w:rsidP="005464A7">
            <w:pPr>
              <w:spacing w:line="288" w:lineRule="auto"/>
              <w:rPr>
                <w:lang w:val="en-GB"/>
              </w:rPr>
            </w:pPr>
            <w:r w:rsidRPr="00587D00">
              <w:rPr>
                <w:lang w:val="en-GB"/>
              </w:rPr>
              <w:t>…</w:t>
            </w:r>
          </w:p>
        </w:tc>
        <w:tc>
          <w:tcPr>
            <w:tcW w:w="1508" w:type="dxa"/>
            <w:tcBorders>
              <w:top w:val="single" w:sz="4" w:space="0" w:color="D2232A"/>
              <w:left w:val="single" w:sz="4" w:space="0" w:color="D2232A"/>
              <w:bottom w:val="single" w:sz="4" w:space="0" w:color="D2232A"/>
              <w:right w:val="single" w:sz="4" w:space="0" w:color="D2232A"/>
            </w:tcBorders>
            <w:vAlign w:val="center"/>
          </w:tcPr>
          <w:p w14:paraId="1C6B55DD" w14:textId="77777777" w:rsidR="005464A7" w:rsidRPr="00587D00" w:rsidRDefault="005464A7" w:rsidP="005464A7">
            <w:pPr>
              <w:spacing w:line="288" w:lineRule="auto"/>
              <w:rPr>
                <w:lang w:val="en-GB"/>
              </w:rPr>
            </w:pPr>
            <w:r w:rsidRPr="00587D00">
              <w:rPr>
                <w:lang w:val="en-GB"/>
              </w:rPr>
              <w:t>…</w:t>
            </w:r>
          </w:p>
          <w:p w14:paraId="1C6B55DE" w14:textId="77777777" w:rsidR="005464A7" w:rsidRPr="00587D00" w:rsidRDefault="005464A7" w:rsidP="005464A7">
            <w:pPr>
              <w:spacing w:line="288" w:lineRule="auto"/>
              <w:rPr>
                <w:lang w:val="en-GB"/>
              </w:rPr>
            </w:pPr>
            <w:r w:rsidRPr="00587D00">
              <w:rPr>
                <w:lang w:val="en-GB"/>
              </w:rPr>
              <w:t>…</w:t>
            </w:r>
          </w:p>
          <w:p w14:paraId="1C6B55DF" w14:textId="77777777" w:rsidR="005464A7" w:rsidRPr="00587D00" w:rsidRDefault="005464A7" w:rsidP="005464A7">
            <w:pPr>
              <w:spacing w:line="288" w:lineRule="auto"/>
              <w:rPr>
                <w:lang w:val="en-GB"/>
              </w:rPr>
            </w:pPr>
            <w:r w:rsidRPr="00587D00">
              <w:rPr>
                <w:lang w:val="en-GB"/>
              </w:rPr>
              <w:t>…</w:t>
            </w:r>
          </w:p>
        </w:tc>
        <w:tc>
          <w:tcPr>
            <w:tcW w:w="2745" w:type="dxa"/>
            <w:tcBorders>
              <w:top w:val="single" w:sz="4" w:space="0" w:color="D2232A"/>
              <w:left w:val="single" w:sz="4" w:space="0" w:color="D2232A"/>
              <w:bottom w:val="single" w:sz="4" w:space="0" w:color="D2232A"/>
              <w:right w:val="single" w:sz="4" w:space="0" w:color="D2232A"/>
            </w:tcBorders>
            <w:vAlign w:val="center"/>
          </w:tcPr>
          <w:p w14:paraId="1C6B55E0" w14:textId="77777777" w:rsidR="005464A7" w:rsidRPr="00587D00" w:rsidRDefault="005464A7" w:rsidP="00A817A0">
            <w:pPr>
              <w:spacing w:line="288" w:lineRule="auto"/>
              <w:rPr>
                <w:lang w:val="en-GB"/>
              </w:rPr>
            </w:pPr>
            <w:r w:rsidRPr="00587D00">
              <w:rPr>
                <w:lang w:val="en-GB"/>
              </w:rPr>
              <w:t>Free text field. Possibly a link to administration’s website</w:t>
            </w:r>
          </w:p>
        </w:tc>
      </w:tr>
      <w:tr w:rsidR="005464A7" w:rsidRPr="00587D00" w14:paraId="1C6B55E7" w14:textId="77777777" w:rsidTr="00DD7570">
        <w:tc>
          <w:tcPr>
            <w:tcW w:w="2154" w:type="dxa"/>
            <w:tcBorders>
              <w:top w:val="single" w:sz="4" w:space="0" w:color="D2232A"/>
              <w:left w:val="single" w:sz="4" w:space="0" w:color="D2232A"/>
              <w:bottom w:val="single" w:sz="4" w:space="0" w:color="D2232A"/>
              <w:right w:val="single" w:sz="4" w:space="0" w:color="D2232A"/>
            </w:tcBorders>
          </w:tcPr>
          <w:p w14:paraId="1C6B55E2" w14:textId="77777777" w:rsidR="005464A7" w:rsidRPr="00587D00" w:rsidRDefault="00915DD6" w:rsidP="00A817A0">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923" w:type="dxa"/>
            <w:tcBorders>
              <w:top w:val="single" w:sz="4" w:space="0" w:color="D2232A"/>
              <w:left w:val="single" w:sz="4" w:space="0" w:color="D2232A"/>
              <w:bottom w:val="single" w:sz="4" w:space="0" w:color="D2232A"/>
              <w:right w:val="single" w:sz="4" w:space="0" w:color="D2232A"/>
            </w:tcBorders>
          </w:tcPr>
          <w:p w14:paraId="1C6B55E3" w14:textId="77777777" w:rsidR="005464A7" w:rsidRPr="00587D00" w:rsidRDefault="00915DD6" w:rsidP="00A817A0">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701" w:type="dxa"/>
            <w:tcBorders>
              <w:top w:val="single" w:sz="4" w:space="0" w:color="D2232A"/>
              <w:left w:val="single" w:sz="4" w:space="0" w:color="D2232A"/>
              <w:bottom w:val="single" w:sz="4" w:space="0" w:color="D2232A"/>
              <w:right w:val="single" w:sz="4" w:space="0" w:color="D2232A"/>
            </w:tcBorders>
          </w:tcPr>
          <w:p w14:paraId="1C6B55E4" w14:textId="77777777" w:rsidR="005464A7" w:rsidRPr="00587D00" w:rsidRDefault="00915DD6" w:rsidP="00A817A0">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1508" w:type="dxa"/>
            <w:tcBorders>
              <w:top w:val="single" w:sz="4" w:space="0" w:color="D2232A"/>
              <w:left w:val="single" w:sz="4" w:space="0" w:color="D2232A"/>
              <w:bottom w:val="single" w:sz="4" w:space="0" w:color="D2232A"/>
              <w:right w:val="single" w:sz="4" w:space="0" w:color="D2232A"/>
            </w:tcBorders>
          </w:tcPr>
          <w:p w14:paraId="1C6B55E5" w14:textId="77777777" w:rsidR="005464A7" w:rsidRPr="00587D00" w:rsidRDefault="00915DD6" w:rsidP="00A817A0">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c>
          <w:tcPr>
            <w:tcW w:w="2745" w:type="dxa"/>
            <w:tcBorders>
              <w:top w:val="single" w:sz="4" w:space="0" w:color="D2232A"/>
              <w:left w:val="single" w:sz="4" w:space="0" w:color="D2232A"/>
              <w:bottom w:val="single" w:sz="4" w:space="0" w:color="D2232A"/>
              <w:right w:val="single" w:sz="4" w:space="0" w:color="D2232A"/>
            </w:tcBorders>
          </w:tcPr>
          <w:p w14:paraId="1C6B55E6" w14:textId="77777777" w:rsidR="005464A7" w:rsidRPr="00587D00" w:rsidRDefault="00915DD6" w:rsidP="00A817A0">
            <w:pPr>
              <w:rPr>
                <w:lang w:val="en-GB"/>
              </w:rPr>
            </w:pPr>
            <w:r w:rsidRPr="00587D00">
              <w:rPr>
                <w:rFonts w:cs="Arial"/>
                <w:lang w:val="en-GB"/>
              </w:rPr>
              <w:t xml:space="preserve"> </w:t>
            </w:r>
            <w:r w:rsidR="005464A7" w:rsidRPr="00587D00">
              <w:rPr>
                <w:rFonts w:cs="Arial"/>
                <w:bCs/>
                <w:szCs w:val="20"/>
                <w:lang w:val="en-GB"/>
              </w:rPr>
              <w:t>...</w:t>
            </w:r>
            <w:r w:rsidRPr="00587D00">
              <w:rPr>
                <w:rFonts w:cs="Arial"/>
                <w:lang w:val="en-GB"/>
              </w:rPr>
              <w:t xml:space="preserve"> </w:t>
            </w:r>
            <w:r w:rsidR="005464A7" w:rsidRPr="00587D00">
              <w:rPr>
                <w:rFonts w:cs="Arial"/>
                <w:lang w:val="en-GB"/>
              </w:rPr>
              <w:t xml:space="preserve"> </w:t>
            </w:r>
          </w:p>
        </w:tc>
      </w:tr>
    </w:tbl>
    <w:p w14:paraId="1C6B55E8" w14:textId="77777777" w:rsidR="00DF0DD7" w:rsidRPr="00587D00" w:rsidRDefault="00DF0DD7" w:rsidP="00DF0DD7">
      <w:pPr>
        <w:pStyle w:val="ECCParagraph"/>
      </w:pPr>
    </w:p>
    <w:p w14:paraId="1C6B55E9" w14:textId="77777777" w:rsidR="00D43858" w:rsidRPr="00587D00" w:rsidRDefault="00D43858" w:rsidP="00DF0DD7">
      <w:pPr>
        <w:pStyle w:val="ECCParagraph"/>
      </w:pPr>
    </w:p>
    <w:p w14:paraId="1C6B55EA" w14:textId="77777777" w:rsidR="00D43858" w:rsidRPr="00587D00" w:rsidRDefault="00D43858" w:rsidP="00D43858">
      <w:pPr>
        <w:pStyle w:val="ECCTabletitle"/>
      </w:pPr>
      <w:r w:rsidRPr="00587D00">
        <w:lastRenderedPageBreak/>
        <w:t>Example of UK contour definition</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43"/>
        <w:gridCol w:w="2126"/>
      </w:tblGrid>
      <w:tr w:rsidR="00D43858" w:rsidRPr="00587D00" w14:paraId="1C6B55ED" w14:textId="77777777" w:rsidTr="00FF01FC">
        <w:trPr>
          <w:tblHeader/>
        </w:trPr>
        <w:tc>
          <w:tcPr>
            <w:tcW w:w="1843" w:type="dxa"/>
            <w:tcBorders>
              <w:top w:val="single" w:sz="4" w:space="0" w:color="D2232A"/>
              <w:left w:val="nil"/>
              <w:bottom w:val="single" w:sz="4" w:space="0" w:color="D2232A"/>
              <w:right w:val="single" w:sz="4" w:space="0" w:color="FFFFFF" w:themeColor="background1"/>
            </w:tcBorders>
            <w:shd w:val="clear" w:color="auto" w:fill="D2232A"/>
          </w:tcPr>
          <w:p w14:paraId="1C6B55EB" w14:textId="77777777" w:rsidR="00FF01FC" w:rsidRPr="00587D00" w:rsidRDefault="00D43858" w:rsidP="00EE0568">
            <w:pPr>
              <w:jc w:val="center"/>
              <w:rPr>
                <w:b/>
                <w:color w:val="FFFFFF" w:themeColor="background1"/>
                <w:lang w:val="en-GB"/>
              </w:rPr>
            </w:pPr>
            <w:r w:rsidRPr="00587D00">
              <w:rPr>
                <w:b/>
                <w:color w:val="FFFFFF" w:themeColor="background1"/>
                <w:lang w:val="en-GB"/>
              </w:rPr>
              <w:t>Longitude</w:t>
            </w:r>
          </w:p>
        </w:tc>
        <w:tc>
          <w:tcPr>
            <w:tcW w:w="2126"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1C6B55EC" w14:textId="77777777" w:rsidR="00D43858" w:rsidRPr="00587D00" w:rsidRDefault="00D43858" w:rsidP="00EE0568">
            <w:pPr>
              <w:jc w:val="center"/>
              <w:rPr>
                <w:b/>
                <w:color w:val="FFFFFF" w:themeColor="background1"/>
                <w:lang w:val="en-GB"/>
              </w:rPr>
            </w:pPr>
            <w:r w:rsidRPr="00587D00">
              <w:rPr>
                <w:b/>
                <w:color w:val="FFFFFF" w:themeColor="background1"/>
                <w:lang w:val="en-GB"/>
              </w:rPr>
              <w:t>Latitude</w:t>
            </w:r>
          </w:p>
        </w:tc>
      </w:tr>
      <w:tr w:rsidR="00D43858" w:rsidRPr="00587D00" w14:paraId="1C6B55F0"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EE" w14:textId="77777777" w:rsidR="00D43858" w:rsidRPr="00587D00" w:rsidRDefault="00D43858" w:rsidP="004B6A54">
            <w:pPr>
              <w:rPr>
                <w:lang w:val="en-GB"/>
              </w:rPr>
            </w:pPr>
            <w:r w:rsidRPr="00587D00">
              <w:rPr>
                <w:lang w:val="en-GB"/>
              </w:rPr>
              <w:t>1.00000</w:t>
            </w:r>
          </w:p>
        </w:tc>
        <w:tc>
          <w:tcPr>
            <w:tcW w:w="2126" w:type="dxa"/>
            <w:tcBorders>
              <w:top w:val="single" w:sz="4" w:space="0" w:color="D2232A"/>
              <w:left w:val="single" w:sz="4" w:space="0" w:color="D2232A"/>
              <w:bottom w:val="single" w:sz="4" w:space="0" w:color="D2232A"/>
              <w:right w:val="single" w:sz="4" w:space="0" w:color="D2232A"/>
            </w:tcBorders>
          </w:tcPr>
          <w:p w14:paraId="1C6B55EF" w14:textId="77777777" w:rsidR="00D43858" w:rsidRPr="00587D00" w:rsidRDefault="00D43858" w:rsidP="004B6A54">
            <w:pPr>
              <w:rPr>
                <w:lang w:val="en-GB"/>
              </w:rPr>
            </w:pPr>
            <w:r w:rsidRPr="00587D00">
              <w:rPr>
                <w:lang w:val="en-GB"/>
              </w:rPr>
              <w:t>48.00000</w:t>
            </w:r>
          </w:p>
        </w:tc>
      </w:tr>
      <w:tr w:rsidR="00D43858" w:rsidRPr="00587D00" w14:paraId="1C6B55F3"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F1" w14:textId="77777777" w:rsidR="00D43858" w:rsidRPr="00587D00" w:rsidRDefault="00D43858" w:rsidP="004B6A54">
            <w:pPr>
              <w:rPr>
                <w:lang w:val="en-GB"/>
              </w:rPr>
            </w:pPr>
            <w:r w:rsidRPr="00587D00">
              <w:rPr>
                <w:lang w:val="en-GB"/>
              </w:rPr>
              <w:t>0.99833</w:t>
            </w:r>
          </w:p>
        </w:tc>
        <w:tc>
          <w:tcPr>
            <w:tcW w:w="2126" w:type="dxa"/>
            <w:tcBorders>
              <w:top w:val="single" w:sz="4" w:space="0" w:color="D2232A"/>
              <w:left w:val="single" w:sz="4" w:space="0" w:color="D2232A"/>
              <w:bottom w:val="single" w:sz="4" w:space="0" w:color="D2232A"/>
              <w:right w:val="single" w:sz="4" w:space="0" w:color="D2232A"/>
            </w:tcBorders>
          </w:tcPr>
          <w:p w14:paraId="1C6B55F2" w14:textId="77777777" w:rsidR="00D43858" w:rsidRPr="00587D00" w:rsidRDefault="00D43858" w:rsidP="004B6A54">
            <w:pPr>
              <w:rPr>
                <w:lang w:val="en-GB"/>
              </w:rPr>
            </w:pPr>
            <w:r w:rsidRPr="00587D00">
              <w:rPr>
                <w:lang w:val="en-GB"/>
              </w:rPr>
              <w:t>47.99306</w:t>
            </w:r>
          </w:p>
        </w:tc>
      </w:tr>
      <w:tr w:rsidR="00D43858" w:rsidRPr="00587D00" w14:paraId="1C6B55F6"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F4" w14:textId="77777777" w:rsidR="00D43858" w:rsidRPr="00587D00" w:rsidRDefault="00D43858" w:rsidP="004B6A54">
            <w:pPr>
              <w:rPr>
                <w:lang w:val="en-GB"/>
              </w:rPr>
            </w:pPr>
            <w:r w:rsidRPr="00587D00">
              <w:rPr>
                <w:lang w:val="en-GB"/>
              </w:rPr>
              <w:t>0.99722</w:t>
            </w:r>
          </w:p>
        </w:tc>
        <w:tc>
          <w:tcPr>
            <w:tcW w:w="2126" w:type="dxa"/>
            <w:tcBorders>
              <w:top w:val="single" w:sz="4" w:space="0" w:color="D2232A"/>
              <w:left w:val="single" w:sz="4" w:space="0" w:color="D2232A"/>
              <w:bottom w:val="single" w:sz="4" w:space="0" w:color="D2232A"/>
              <w:right w:val="single" w:sz="4" w:space="0" w:color="D2232A"/>
            </w:tcBorders>
          </w:tcPr>
          <w:p w14:paraId="1C6B55F5" w14:textId="77777777" w:rsidR="00D43858" w:rsidRPr="00587D00" w:rsidRDefault="00D43858" w:rsidP="004B6A54">
            <w:pPr>
              <w:rPr>
                <w:lang w:val="en-GB"/>
              </w:rPr>
            </w:pPr>
            <w:r w:rsidRPr="00587D00">
              <w:rPr>
                <w:lang w:val="en-GB"/>
              </w:rPr>
              <w:t>47.98583</w:t>
            </w:r>
          </w:p>
        </w:tc>
      </w:tr>
      <w:tr w:rsidR="00D43858" w:rsidRPr="00587D00" w14:paraId="1C6B55F9"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F7" w14:textId="77777777" w:rsidR="00D43858" w:rsidRPr="00587D00" w:rsidRDefault="00D43858" w:rsidP="004B6A54">
            <w:pPr>
              <w:rPr>
                <w:lang w:val="en-GB"/>
              </w:rPr>
            </w:pPr>
            <w:r w:rsidRPr="00587D00">
              <w:rPr>
                <w:lang w:val="en-GB"/>
              </w:rPr>
              <w:t>0.99694</w:t>
            </w:r>
          </w:p>
        </w:tc>
        <w:tc>
          <w:tcPr>
            <w:tcW w:w="2126" w:type="dxa"/>
            <w:tcBorders>
              <w:top w:val="single" w:sz="4" w:space="0" w:color="D2232A"/>
              <w:left w:val="single" w:sz="4" w:space="0" w:color="D2232A"/>
              <w:bottom w:val="single" w:sz="4" w:space="0" w:color="D2232A"/>
              <w:right w:val="single" w:sz="4" w:space="0" w:color="D2232A"/>
            </w:tcBorders>
          </w:tcPr>
          <w:p w14:paraId="1C6B55F8" w14:textId="77777777" w:rsidR="00D43858" w:rsidRPr="00587D00" w:rsidRDefault="00D43858" w:rsidP="004B6A54">
            <w:pPr>
              <w:rPr>
                <w:lang w:val="en-GB"/>
              </w:rPr>
            </w:pPr>
            <w:r w:rsidRPr="00587D00">
              <w:rPr>
                <w:lang w:val="en-GB"/>
              </w:rPr>
              <w:t>47.97861</w:t>
            </w:r>
          </w:p>
        </w:tc>
      </w:tr>
      <w:tr w:rsidR="00D43858" w:rsidRPr="00587D00" w14:paraId="1C6B55FC"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FA" w14:textId="77777777" w:rsidR="00D43858" w:rsidRPr="00587D00" w:rsidRDefault="00D43858" w:rsidP="004B6A54">
            <w:pPr>
              <w:rPr>
                <w:lang w:val="en-GB"/>
              </w:rPr>
            </w:pPr>
            <w:r w:rsidRPr="00587D00">
              <w:rPr>
                <w:lang w:val="en-GB"/>
              </w:rPr>
              <w:t>0.99722</w:t>
            </w:r>
          </w:p>
        </w:tc>
        <w:tc>
          <w:tcPr>
            <w:tcW w:w="2126" w:type="dxa"/>
            <w:tcBorders>
              <w:top w:val="single" w:sz="4" w:space="0" w:color="D2232A"/>
              <w:left w:val="single" w:sz="4" w:space="0" w:color="D2232A"/>
              <w:bottom w:val="single" w:sz="4" w:space="0" w:color="D2232A"/>
              <w:right w:val="single" w:sz="4" w:space="0" w:color="D2232A"/>
            </w:tcBorders>
          </w:tcPr>
          <w:p w14:paraId="1C6B55FB" w14:textId="77777777" w:rsidR="00D43858" w:rsidRPr="00587D00" w:rsidRDefault="00D43858" w:rsidP="004B6A54">
            <w:pPr>
              <w:rPr>
                <w:lang w:val="en-GB"/>
              </w:rPr>
            </w:pPr>
            <w:r w:rsidRPr="00587D00">
              <w:rPr>
                <w:lang w:val="en-GB"/>
              </w:rPr>
              <w:t>47.97139</w:t>
            </w:r>
          </w:p>
        </w:tc>
      </w:tr>
      <w:tr w:rsidR="00D43858" w:rsidRPr="00587D00" w14:paraId="1C6B55FF"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5FD" w14:textId="77777777" w:rsidR="00D43858" w:rsidRPr="00587D00" w:rsidRDefault="00D43858" w:rsidP="004B6A54">
            <w:pPr>
              <w:rPr>
                <w:lang w:val="en-GB"/>
              </w:rPr>
            </w:pPr>
            <w:r w:rsidRPr="00587D00">
              <w:rPr>
                <w:lang w:val="en-GB"/>
              </w:rPr>
              <w:t>0.99806</w:t>
            </w:r>
          </w:p>
        </w:tc>
        <w:tc>
          <w:tcPr>
            <w:tcW w:w="2126" w:type="dxa"/>
            <w:tcBorders>
              <w:top w:val="single" w:sz="4" w:space="0" w:color="D2232A"/>
              <w:left w:val="single" w:sz="4" w:space="0" w:color="D2232A"/>
              <w:bottom w:val="single" w:sz="4" w:space="0" w:color="D2232A"/>
              <w:right w:val="single" w:sz="4" w:space="0" w:color="D2232A"/>
            </w:tcBorders>
          </w:tcPr>
          <w:p w14:paraId="1C6B55FE" w14:textId="77777777" w:rsidR="00D43858" w:rsidRPr="00587D00" w:rsidRDefault="00D43858" w:rsidP="004B6A54">
            <w:pPr>
              <w:rPr>
                <w:lang w:val="en-GB"/>
              </w:rPr>
            </w:pPr>
            <w:r w:rsidRPr="00587D00">
              <w:rPr>
                <w:lang w:val="en-GB"/>
              </w:rPr>
              <w:t>47.96444</w:t>
            </w:r>
          </w:p>
        </w:tc>
      </w:tr>
      <w:tr w:rsidR="00D43858" w:rsidRPr="00587D00" w14:paraId="1C6B5602" w14:textId="77777777" w:rsidTr="00D43858">
        <w:tc>
          <w:tcPr>
            <w:tcW w:w="1843" w:type="dxa"/>
            <w:tcBorders>
              <w:top w:val="single" w:sz="4" w:space="0" w:color="D2232A"/>
              <w:left w:val="single" w:sz="4" w:space="0" w:color="D2232A"/>
              <w:bottom w:val="single" w:sz="4" w:space="0" w:color="D2232A"/>
              <w:right w:val="single" w:sz="4" w:space="0" w:color="D2232A"/>
            </w:tcBorders>
          </w:tcPr>
          <w:p w14:paraId="1C6B5600" w14:textId="77777777" w:rsidR="00D43858" w:rsidRPr="00587D00" w:rsidRDefault="00D43858" w:rsidP="004B6A54">
            <w:pPr>
              <w:rPr>
                <w:lang w:val="en-GB"/>
              </w:rPr>
            </w:pPr>
            <w:r w:rsidRPr="00587D00">
              <w:rPr>
                <w:lang w:val="en-GB"/>
              </w:rPr>
              <w:t>...</w:t>
            </w:r>
          </w:p>
        </w:tc>
        <w:tc>
          <w:tcPr>
            <w:tcW w:w="2126" w:type="dxa"/>
            <w:tcBorders>
              <w:top w:val="single" w:sz="4" w:space="0" w:color="D2232A"/>
              <w:left w:val="single" w:sz="4" w:space="0" w:color="D2232A"/>
              <w:bottom w:val="single" w:sz="4" w:space="0" w:color="D2232A"/>
              <w:right w:val="single" w:sz="4" w:space="0" w:color="D2232A"/>
            </w:tcBorders>
          </w:tcPr>
          <w:p w14:paraId="1C6B5601" w14:textId="77777777" w:rsidR="00D43858" w:rsidRPr="00587D00" w:rsidRDefault="00D43858" w:rsidP="004B6A54">
            <w:pPr>
              <w:rPr>
                <w:lang w:val="en-GB"/>
              </w:rPr>
            </w:pPr>
            <w:r w:rsidRPr="00587D00">
              <w:rPr>
                <w:lang w:val="en-GB"/>
              </w:rPr>
              <w:t>...</w:t>
            </w:r>
          </w:p>
        </w:tc>
      </w:tr>
    </w:tbl>
    <w:p w14:paraId="1C6B5603" w14:textId="77777777" w:rsidR="00D43858" w:rsidRPr="00587D00" w:rsidRDefault="00D43858" w:rsidP="00D43858">
      <w:pPr>
        <w:pStyle w:val="ECCParagraph"/>
      </w:pPr>
    </w:p>
    <w:p w14:paraId="1C6B5604" w14:textId="77777777" w:rsidR="00D43858" w:rsidRPr="00587D00" w:rsidRDefault="00D43858" w:rsidP="00D43858">
      <w:pPr>
        <w:pStyle w:val="ECCParagraph"/>
      </w:pPr>
      <w:r w:rsidRPr="00587D00">
        <w:t xml:space="preserve">Concerned administrations may file as many contours as they wish. </w:t>
      </w:r>
    </w:p>
    <w:p w14:paraId="1C6B5605" w14:textId="77777777" w:rsidR="00D43858" w:rsidRPr="00587D00" w:rsidRDefault="00D43858" w:rsidP="00D43858">
      <w:pPr>
        <w:pStyle w:val="ECCParagraph"/>
      </w:pPr>
      <w:r w:rsidRPr="00587D00">
        <w:t>The contour parameter list is limited to the following parameters:</w:t>
      </w:r>
    </w:p>
    <w:p w14:paraId="1C6B5606" w14:textId="77777777" w:rsidR="00D43858" w:rsidRPr="00587D00" w:rsidRDefault="00D43858" w:rsidP="00D43858">
      <w:pPr>
        <w:pStyle w:val="ECCTabletitle"/>
      </w:pPr>
      <w:bookmarkStart w:id="9" w:name="_Ref460243331"/>
      <w:r w:rsidRPr="00587D00">
        <w:t>List of possible contour parameters</w:t>
      </w:r>
      <w:bookmarkEnd w:id="9"/>
    </w:p>
    <w:tbl>
      <w:tblPr>
        <w:tblW w:w="0" w:type="auto"/>
        <w:tblInd w:w="959" w:type="dxa"/>
        <w:tblBorders>
          <w:top w:val="single" w:sz="4" w:space="0" w:color="D2232A"/>
          <w:left w:val="single" w:sz="4" w:space="0" w:color="C00000"/>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7938"/>
      </w:tblGrid>
      <w:tr w:rsidR="00D43858" w:rsidRPr="00587D00" w14:paraId="1C6B5608" w14:textId="77777777" w:rsidTr="00EE0568">
        <w:trPr>
          <w:trHeight w:val="228"/>
          <w:tblHeader/>
        </w:trPr>
        <w:tc>
          <w:tcPr>
            <w:tcW w:w="7938" w:type="dxa"/>
            <w:shd w:val="clear" w:color="auto" w:fill="D2232A"/>
          </w:tcPr>
          <w:p w14:paraId="1C6B5607" w14:textId="77777777" w:rsidR="00DA5DE8" w:rsidRPr="00587D00" w:rsidRDefault="00D43858" w:rsidP="00EE0568">
            <w:pPr>
              <w:jc w:val="center"/>
              <w:rPr>
                <w:b/>
                <w:color w:val="FFFFFF" w:themeColor="background1"/>
                <w:lang w:val="en-GB"/>
              </w:rPr>
            </w:pPr>
            <w:r w:rsidRPr="00587D00">
              <w:rPr>
                <w:b/>
                <w:color w:val="FFFFFF" w:themeColor="background1"/>
                <w:lang w:val="en-GB"/>
              </w:rPr>
              <w:t>Frequency range, see note below:</w:t>
            </w:r>
          </w:p>
        </w:tc>
      </w:tr>
      <w:tr w:rsidR="00D43858" w:rsidRPr="00587D00" w14:paraId="1C6B560A" w14:textId="77777777" w:rsidTr="00EE0568">
        <w:tc>
          <w:tcPr>
            <w:tcW w:w="7938" w:type="dxa"/>
          </w:tcPr>
          <w:p w14:paraId="1C6B5609" w14:textId="77777777" w:rsidR="00D43858" w:rsidRPr="00587D00" w:rsidRDefault="00D43858" w:rsidP="00554FB4">
            <w:pPr>
              <w:rPr>
                <w:lang w:val="en-GB"/>
              </w:rPr>
            </w:pPr>
            <w:r w:rsidRPr="00587D00">
              <w:rPr>
                <w:lang w:val="en-GB"/>
              </w:rPr>
              <w:t>Maximum ESV e.i.r.p. spectral density (per MHz) toward the horizon, possibly azimuth and distance dependent</w:t>
            </w:r>
          </w:p>
        </w:tc>
      </w:tr>
      <w:tr w:rsidR="00D43858" w:rsidRPr="00587D00" w14:paraId="1C6B560C" w14:textId="77777777" w:rsidTr="00EE0568">
        <w:tc>
          <w:tcPr>
            <w:tcW w:w="7938" w:type="dxa"/>
          </w:tcPr>
          <w:p w14:paraId="1C6B560B" w14:textId="77777777" w:rsidR="00D43858" w:rsidRPr="00587D00" w:rsidRDefault="00D43858" w:rsidP="00554FB4">
            <w:pPr>
              <w:rPr>
                <w:lang w:val="en-GB"/>
              </w:rPr>
            </w:pPr>
            <w:r w:rsidRPr="00587D00">
              <w:rPr>
                <w:lang w:val="en-GB"/>
              </w:rPr>
              <w:t>Maximum ESV e.i.r.p. towards the horizon, possibly azimuth and distance dependent</w:t>
            </w:r>
          </w:p>
        </w:tc>
      </w:tr>
      <w:tr w:rsidR="00D43858" w:rsidRPr="00587D00" w14:paraId="1C6B560E" w14:textId="77777777" w:rsidTr="00EE0568">
        <w:tc>
          <w:tcPr>
            <w:tcW w:w="7938" w:type="dxa"/>
          </w:tcPr>
          <w:p w14:paraId="1C6B560D" w14:textId="77777777" w:rsidR="00D43858" w:rsidRPr="00587D00" w:rsidRDefault="00D43858" w:rsidP="00554FB4">
            <w:pPr>
              <w:rPr>
                <w:lang w:val="en-GB"/>
              </w:rPr>
            </w:pPr>
            <w:r w:rsidRPr="00587D00">
              <w:rPr>
                <w:lang w:val="en-GB"/>
              </w:rPr>
              <w:t>Maximum ESV e.i.r.p. per vessel</w:t>
            </w:r>
          </w:p>
        </w:tc>
      </w:tr>
      <w:tr w:rsidR="00D43858" w:rsidRPr="00587D00" w14:paraId="1C6B5610" w14:textId="77777777" w:rsidTr="00EE0568">
        <w:tc>
          <w:tcPr>
            <w:tcW w:w="7938" w:type="dxa"/>
          </w:tcPr>
          <w:p w14:paraId="1C6B560F" w14:textId="77777777" w:rsidR="00D43858" w:rsidRPr="00587D00" w:rsidRDefault="00D43858" w:rsidP="00554FB4">
            <w:pPr>
              <w:rPr>
                <w:lang w:val="en-GB"/>
              </w:rPr>
            </w:pPr>
            <w:r w:rsidRPr="00587D00">
              <w:rPr>
                <w:lang w:val="en-GB"/>
              </w:rPr>
              <w:t>Maximum off-axis e.i.r.p. density limitations, possibly azimuth and distance dependent</w:t>
            </w:r>
          </w:p>
        </w:tc>
      </w:tr>
      <w:tr w:rsidR="00D43858" w:rsidRPr="00587D00" w14:paraId="1C6B5612" w14:textId="77777777" w:rsidTr="00EE0568">
        <w:tc>
          <w:tcPr>
            <w:tcW w:w="7938" w:type="dxa"/>
          </w:tcPr>
          <w:p w14:paraId="1C6B5611" w14:textId="77777777" w:rsidR="00D43858" w:rsidRPr="00587D00" w:rsidRDefault="00D43858" w:rsidP="00554FB4">
            <w:pPr>
              <w:rPr>
                <w:lang w:val="en-GB"/>
              </w:rPr>
            </w:pPr>
            <w:r w:rsidRPr="00587D00">
              <w:rPr>
                <w:lang w:val="en-GB"/>
              </w:rPr>
              <w:t>Any antenna pointing restrictions</w:t>
            </w:r>
          </w:p>
        </w:tc>
      </w:tr>
      <w:tr w:rsidR="00D43858" w:rsidRPr="00587D00" w14:paraId="1C6B5614" w14:textId="77777777" w:rsidTr="00EE0568">
        <w:tc>
          <w:tcPr>
            <w:tcW w:w="7938" w:type="dxa"/>
          </w:tcPr>
          <w:p w14:paraId="1C6B5613" w14:textId="77777777" w:rsidR="00D43858" w:rsidRPr="00587D00" w:rsidRDefault="00D43858" w:rsidP="00554FB4">
            <w:pPr>
              <w:rPr>
                <w:lang w:val="en-GB"/>
              </w:rPr>
            </w:pPr>
            <w:r w:rsidRPr="00587D00">
              <w:rPr>
                <w:lang w:val="en-GB"/>
              </w:rPr>
              <w:t>Operational management procedures</w:t>
            </w:r>
          </w:p>
        </w:tc>
      </w:tr>
      <w:tr w:rsidR="003B0EBF" w:rsidRPr="00587D00" w14:paraId="1C6B5617" w14:textId="77777777" w:rsidTr="00AA6CEA">
        <w:trPr>
          <w:trHeight w:val="853"/>
        </w:trPr>
        <w:tc>
          <w:tcPr>
            <w:tcW w:w="7938" w:type="dxa"/>
          </w:tcPr>
          <w:p w14:paraId="1C6B5615" w14:textId="77777777" w:rsidR="003B0EBF" w:rsidRPr="00587D00" w:rsidRDefault="003B0EBF" w:rsidP="003B0EBF">
            <w:pPr>
              <w:pStyle w:val="ECCTablenote"/>
            </w:pPr>
            <w:r w:rsidRPr="00EE0568">
              <w:t>Note:</w:t>
            </w:r>
            <w:r w:rsidRPr="00587D00">
              <w:t xml:space="preserve"> In each contour, administrations may require that either the occupied bandwidth or the nominated bandwidth as defined in the applicable EN do not overlap the frequency bands within which the ESV are not authorised to transmit. This nominated bandwidth is the nominated bandwidth of the ESV declared for compliance with the applicable EN.</w:t>
            </w:r>
          </w:p>
          <w:p w14:paraId="1C6B5616" w14:textId="77777777" w:rsidR="003B0EBF" w:rsidRPr="00587D00" w:rsidRDefault="003B0EBF" w:rsidP="00554FB4">
            <w:pPr>
              <w:rPr>
                <w:lang w:val="en-GB"/>
              </w:rPr>
            </w:pPr>
          </w:p>
        </w:tc>
      </w:tr>
    </w:tbl>
    <w:p w14:paraId="1C6B5619" w14:textId="78DCEC27" w:rsidR="00D43858" w:rsidRPr="00587D00" w:rsidRDefault="00D43858" w:rsidP="00DF0DD7">
      <w:pPr>
        <w:pStyle w:val="ECCParagraph"/>
      </w:pPr>
    </w:p>
    <w:p w14:paraId="1C6B561A" w14:textId="77777777" w:rsidR="00D43858" w:rsidRPr="00587D00" w:rsidRDefault="00D43858" w:rsidP="007A32C1">
      <w:pPr>
        <w:pStyle w:val="ECCParagraph"/>
        <w:spacing w:after="120"/>
      </w:pPr>
      <w:r w:rsidRPr="00587D00">
        <w:rPr>
          <w:b/>
        </w:rPr>
        <w:t>Procedures for reporting parameter values</w:t>
      </w:r>
      <w:r w:rsidR="007A32C1" w:rsidRPr="00587D00">
        <w:t>:</w:t>
      </w:r>
    </w:p>
    <w:p w14:paraId="1C6B561B" w14:textId="77777777" w:rsidR="00D43858" w:rsidRPr="00587D00" w:rsidRDefault="00D43858" w:rsidP="00D43858">
      <w:pPr>
        <w:pStyle w:val="ECCNumbered-LetteredList"/>
        <w:rPr>
          <w:lang w:val="en-GB"/>
        </w:rPr>
      </w:pPr>
      <w:r w:rsidRPr="00587D00">
        <w:rPr>
          <w:lang w:val="en-GB"/>
        </w:rPr>
        <w:t>Frequency range (lower frequency limit and upper frequency limit) and the value should be reported in MHz</w:t>
      </w:r>
      <w:r w:rsidR="007A32C1" w:rsidRPr="00587D00">
        <w:rPr>
          <w:lang w:val="en-GB"/>
        </w:rPr>
        <w:t>;</w:t>
      </w:r>
    </w:p>
    <w:p w14:paraId="1C6B561C" w14:textId="77777777" w:rsidR="00D43858" w:rsidRPr="00587D00" w:rsidRDefault="00D43858" w:rsidP="00D43858">
      <w:pPr>
        <w:pStyle w:val="ECCNumbered-LetteredList"/>
        <w:rPr>
          <w:lang w:val="en-GB"/>
        </w:rPr>
      </w:pPr>
      <w:r w:rsidRPr="00587D00">
        <w:rPr>
          <w:lang w:val="en-GB"/>
        </w:rPr>
        <w:t>e.i.r.p. values should be reported in dBW with an accuracy of one decimal place</w:t>
      </w:r>
      <w:r w:rsidR="007A32C1" w:rsidRPr="00587D00">
        <w:rPr>
          <w:lang w:val="en-GB"/>
        </w:rPr>
        <w:t>;</w:t>
      </w:r>
    </w:p>
    <w:p w14:paraId="1C6B561D" w14:textId="77777777" w:rsidR="00D43858" w:rsidRPr="00587D00" w:rsidRDefault="00D43858" w:rsidP="00D43858">
      <w:pPr>
        <w:pStyle w:val="ECCNumbered-LetteredList"/>
        <w:rPr>
          <w:lang w:val="en-GB"/>
        </w:rPr>
      </w:pPr>
      <w:r w:rsidRPr="00587D00">
        <w:rPr>
          <w:lang w:val="en-GB"/>
        </w:rPr>
        <w:t>Distances should be reported in nautical miles or kilometres with a cl</w:t>
      </w:r>
      <w:r w:rsidR="007A32C1" w:rsidRPr="00587D00">
        <w:rPr>
          <w:lang w:val="en-GB"/>
        </w:rPr>
        <w:t>ear indication of the unit used;</w:t>
      </w:r>
    </w:p>
    <w:p w14:paraId="1C6B561E" w14:textId="77777777" w:rsidR="00D43858" w:rsidRPr="00587D00" w:rsidRDefault="00D43858" w:rsidP="00D43858">
      <w:pPr>
        <w:pStyle w:val="ECCNumbered-LetteredList"/>
        <w:rPr>
          <w:lang w:val="en-GB"/>
        </w:rPr>
      </w:pPr>
      <w:r w:rsidRPr="00587D00">
        <w:rPr>
          <w:lang w:val="en-GB"/>
        </w:rPr>
        <w:t>Longitude and latitude should be given in decimal degrees or grades (gr), preferably in degrees, within the WGS84 coordinate system.</w:t>
      </w:r>
    </w:p>
    <w:p w14:paraId="1C6B561F" w14:textId="77777777" w:rsidR="006C03D0" w:rsidRPr="00587D00" w:rsidRDefault="00303496" w:rsidP="00303496">
      <w:pPr>
        <w:pStyle w:val="ECCAnnexheading2"/>
        <w:keepNext/>
        <w:rPr>
          <w:lang w:val="en-GB"/>
        </w:rPr>
      </w:pPr>
      <w:r w:rsidRPr="00587D00">
        <w:rPr>
          <w:lang w:val="en-GB"/>
        </w:rPr>
        <w:lastRenderedPageBreak/>
        <w:t xml:space="preserve">Options which concerned administrations could consider when determining information requested in Tables 2, 3, 4 and 5 of </w:t>
      </w:r>
      <w:r w:rsidR="001B7296" w:rsidRPr="00587D00">
        <w:rPr>
          <w:lang w:val="en-GB"/>
        </w:rPr>
        <w:fldChar w:fldCharType="begin"/>
      </w:r>
      <w:r w:rsidR="001B7296" w:rsidRPr="00587D00">
        <w:rPr>
          <w:lang w:val="en-GB"/>
        </w:rPr>
        <w:instrText xml:space="preserve"> REF _Ref460243285 \r \h </w:instrText>
      </w:r>
      <w:r w:rsidR="001B7296" w:rsidRPr="00587D00">
        <w:rPr>
          <w:lang w:val="en-GB"/>
        </w:rPr>
      </w:r>
      <w:r w:rsidR="001B7296" w:rsidRPr="00587D00">
        <w:rPr>
          <w:lang w:val="en-GB"/>
        </w:rPr>
        <w:fldChar w:fldCharType="separate"/>
      </w:r>
      <w:r w:rsidR="00915DD6" w:rsidRPr="00587D00">
        <w:rPr>
          <w:lang w:val="en-GB"/>
        </w:rPr>
        <w:t>ANNEX 1:</w:t>
      </w:r>
      <w:r w:rsidR="001B7296" w:rsidRPr="00587D00">
        <w:rPr>
          <w:lang w:val="en-GB"/>
        </w:rPr>
        <w:fldChar w:fldCharType="end"/>
      </w:r>
    </w:p>
    <w:p w14:paraId="1C6B5620" w14:textId="16C48D4D" w:rsidR="00303496" w:rsidRPr="00587D00" w:rsidRDefault="00303496" w:rsidP="00303496">
      <w:pPr>
        <w:pStyle w:val="ECCParBulleted"/>
        <w:keepNext/>
      </w:pPr>
      <w:r w:rsidRPr="00587D00">
        <w:t>They may consider the risk of ESV interference to be sufficiently small such that ESV can operate without geographic constraints;</w:t>
      </w:r>
    </w:p>
    <w:p w14:paraId="1C6B5621" w14:textId="77777777" w:rsidR="00303496" w:rsidRPr="00587D00" w:rsidRDefault="00303496" w:rsidP="00303496">
      <w:pPr>
        <w:pStyle w:val="ECCParBulleted"/>
        <w:keepNext/>
      </w:pPr>
      <w:r w:rsidRPr="00587D00">
        <w:t>They may consider it appropriate to apply a single distance from the low-water mark as officially recogni</w:t>
      </w:r>
      <w:r w:rsidR="00D411D9" w:rsidRPr="00587D00">
        <w:t>s</w:t>
      </w:r>
      <w:r w:rsidRPr="00587D00">
        <w:t>ed by the coastal State, but with a</w:t>
      </w:r>
      <w:r w:rsidR="001C6807" w:rsidRPr="00587D00">
        <w:t xml:space="preserve"> distance smaller than 300 km. </w:t>
      </w:r>
      <w:r w:rsidRPr="00587D00">
        <w:t>The distance could be different for different segments of the band;</w:t>
      </w:r>
    </w:p>
    <w:p w14:paraId="1C6B5622" w14:textId="0D6D8849" w:rsidR="00303496" w:rsidRPr="00587D00" w:rsidRDefault="00303496" w:rsidP="00303496">
      <w:pPr>
        <w:pStyle w:val="ECCParBulleted"/>
        <w:keepNext/>
      </w:pPr>
      <w:r w:rsidRPr="00587D00">
        <w:t>They may be willing to allow ESV to transmit when closer to their shores than 300 km by a distance commensurate with either (a) an offered reduction in maximum e.i.r.p. or e.i.r.p. density in the horizontal plane to maintain the interference pfd at the coast, (b) an accepted increase in the interference pfd at the coast, or (c) an agreed combination of (a) and (b).</w:t>
      </w:r>
    </w:p>
    <w:p w14:paraId="1C6B5623" w14:textId="4BF97FB6" w:rsidR="00303496" w:rsidRPr="00587D00" w:rsidRDefault="00303496" w:rsidP="00303496">
      <w:pPr>
        <w:pStyle w:val="ECCParBulleted"/>
        <w:keepNext/>
      </w:pPr>
      <w:r w:rsidRPr="00587D00">
        <w:t>They may be prepared to coordinate ESV for operatio</w:t>
      </w:r>
      <w:r w:rsidR="001C6807" w:rsidRPr="00587D00">
        <w:t xml:space="preserve">n within the minimum distance. </w:t>
      </w:r>
      <w:r w:rsidRPr="00587D00">
        <w:t>This could, for example, be limited to specific ports or for a limited range of frequencies.</w:t>
      </w:r>
      <w:r w:rsidR="00915DD6" w:rsidRPr="00587D00">
        <w:t xml:space="preserve"> </w:t>
      </w:r>
      <w:r w:rsidRPr="00587D00">
        <w:t xml:space="preserve">The ITU-R Recommendations SF.1585 </w:t>
      </w:r>
      <w:r w:rsidR="00206722" w:rsidRPr="00587D00">
        <w:fldChar w:fldCharType="begin"/>
      </w:r>
      <w:r w:rsidR="00206722" w:rsidRPr="00587D00">
        <w:instrText xml:space="preserve"> REF _Ref524688313 \r \h </w:instrText>
      </w:r>
      <w:r w:rsidR="00206722" w:rsidRPr="00587D00">
        <w:fldChar w:fldCharType="separate"/>
      </w:r>
      <w:r w:rsidR="00206722" w:rsidRPr="00587D00">
        <w:t>[2]</w:t>
      </w:r>
      <w:r w:rsidR="00206722" w:rsidRPr="00587D00">
        <w:fldChar w:fldCharType="end"/>
      </w:r>
      <w:r w:rsidR="00206722" w:rsidRPr="00587D00">
        <w:t xml:space="preserve"> </w:t>
      </w:r>
      <w:r w:rsidRPr="00587D00">
        <w:t xml:space="preserve">and SF.1649 </w:t>
      </w:r>
      <w:r w:rsidR="00206722" w:rsidRPr="00587D00">
        <w:fldChar w:fldCharType="begin"/>
      </w:r>
      <w:r w:rsidR="00206722" w:rsidRPr="00587D00">
        <w:instrText xml:space="preserve"> REF _Ref524688324 \r \h </w:instrText>
      </w:r>
      <w:r w:rsidR="00206722" w:rsidRPr="00587D00">
        <w:fldChar w:fldCharType="separate"/>
      </w:r>
      <w:r w:rsidR="00206722" w:rsidRPr="00587D00">
        <w:t>[4]</w:t>
      </w:r>
      <w:r w:rsidR="00206722" w:rsidRPr="00587D00">
        <w:fldChar w:fldCharType="end"/>
      </w:r>
      <w:r w:rsidR="00206722" w:rsidRPr="00587D00">
        <w:t xml:space="preserve"> </w:t>
      </w:r>
      <w:r w:rsidRPr="00587D00">
        <w:t>provide guidance in this regard;</w:t>
      </w:r>
    </w:p>
    <w:p w14:paraId="1C6B5624" w14:textId="0B961340" w:rsidR="00303496" w:rsidRPr="00587D00" w:rsidRDefault="00303496" w:rsidP="00AA6CEA">
      <w:pPr>
        <w:pStyle w:val="ECCParBulleted"/>
        <w:keepNext/>
      </w:pPr>
      <w:r w:rsidRPr="00587D00">
        <w:t>They may treat the 300 km distance from the low-water mark as officially recogni</w:t>
      </w:r>
      <w:r w:rsidR="001C6807" w:rsidRPr="00587D00">
        <w:t>s</w:t>
      </w:r>
      <w:r w:rsidRPr="00587D00">
        <w:t>ed by the coastal State as an exclusion zone and prohibit ESV operation within this zone in the band 5925-6425 MHz</w:t>
      </w:r>
      <w:r w:rsidR="00AA6CEA">
        <w:t>;</w:t>
      </w:r>
    </w:p>
    <w:p w14:paraId="1C6B5625" w14:textId="3123AE00" w:rsidR="006C03D0" w:rsidRPr="00587D00" w:rsidRDefault="00303496" w:rsidP="00CC4995">
      <w:pPr>
        <w:pStyle w:val="ECCParBulleted"/>
        <w:keepNext/>
      </w:pPr>
      <w:r w:rsidRPr="00587D00">
        <w:t>This information may be frequency specific. It is noted that the following frequency ranges are guard</w:t>
      </w:r>
      <w:r w:rsidR="00AA6CEA">
        <w:t xml:space="preserve"> </w:t>
      </w:r>
      <w:r w:rsidRPr="00587D00">
        <w:t>bands in a majority of fixed-service channelling arrangements: 5925-5930 MHz, 6167.6-6182.4 MHz and 6420-6425 MHz.</w:t>
      </w:r>
    </w:p>
    <w:p w14:paraId="1C6B5626" w14:textId="77777777" w:rsidR="00303496" w:rsidRPr="00587D00" w:rsidRDefault="00303496" w:rsidP="00303496">
      <w:pPr>
        <w:pStyle w:val="ECCAnnex-heading1"/>
      </w:pPr>
      <w:bookmarkStart w:id="10" w:name="_Ref460243587"/>
      <w:r w:rsidRPr="00587D00">
        <w:lastRenderedPageBreak/>
        <w:t>NOTIFICATION TO BE SUBMITTED BY ADMINISTRATIONS UNDER DECIDES 6</w:t>
      </w:r>
      <w:bookmarkEnd w:id="10"/>
    </w:p>
    <w:p w14:paraId="1C6B5627" w14:textId="77777777" w:rsidR="00303496" w:rsidRPr="00587D00" w:rsidRDefault="00303496" w:rsidP="00303496">
      <w:pPr>
        <w:pStyle w:val="ECCNumbered-LetteredList"/>
        <w:numPr>
          <w:ilvl w:val="0"/>
          <w:numId w:val="0"/>
        </w:numPr>
        <w:rPr>
          <w:lang w:val="en-GB"/>
        </w:rPr>
      </w:pPr>
      <w:r w:rsidRPr="00587D00">
        <w:rPr>
          <w:lang w:val="en-GB"/>
        </w:rPr>
        <w:t xml:space="preserve">Under Decides </w:t>
      </w:r>
      <w:r w:rsidR="00206722" w:rsidRPr="00587D00">
        <w:rPr>
          <w:lang w:val="en-GB"/>
        </w:rPr>
        <w:fldChar w:fldCharType="begin"/>
      </w:r>
      <w:r w:rsidR="00206722" w:rsidRPr="00587D00">
        <w:rPr>
          <w:lang w:val="en-GB"/>
        </w:rPr>
        <w:instrText xml:space="preserve"> REF _Ref524695692 \r \h </w:instrText>
      </w:r>
      <w:r w:rsidR="00206722" w:rsidRPr="00587D00">
        <w:rPr>
          <w:lang w:val="en-GB"/>
        </w:rPr>
      </w:r>
      <w:r w:rsidR="00206722" w:rsidRPr="00587D00">
        <w:rPr>
          <w:lang w:val="en-GB"/>
        </w:rPr>
        <w:fldChar w:fldCharType="separate"/>
      </w:r>
      <w:r w:rsidR="00206722" w:rsidRPr="00587D00">
        <w:rPr>
          <w:lang w:val="en-GB"/>
        </w:rPr>
        <w:t>6</w:t>
      </w:r>
      <w:r w:rsidR="00206722" w:rsidRPr="00587D00">
        <w:rPr>
          <w:lang w:val="en-GB"/>
        </w:rPr>
        <w:fldChar w:fldCharType="end"/>
      </w:r>
      <w:r w:rsidRPr="00587D00">
        <w:rPr>
          <w:lang w:val="en-GB"/>
        </w:rPr>
        <w:t xml:space="preserve"> and due to considerings </w:t>
      </w:r>
      <w:r w:rsidR="00206722" w:rsidRPr="00587D00">
        <w:rPr>
          <w:lang w:val="en-GB"/>
        </w:rPr>
        <w:fldChar w:fldCharType="begin"/>
      </w:r>
      <w:r w:rsidR="00206722" w:rsidRPr="00587D00">
        <w:rPr>
          <w:lang w:val="en-GB"/>
        </w:rPr>
        <w:instrText xml:space="preserve"> REF _Ref524695770 \r \h </w:instrText>
      </w:r>
      <w:r w:rsidR="00206722" w:rsidRPr="00587D00">
        <w:rPr>
          <w:lang w:val="en-GB"/>
        </w:rPr>
      </w:r>
      <w:r w:rsidR="00206722" w:rsidRPr="00587D00">
        <w:rPr>
          <w:lang w:val="en-GB"/>
        </w:rPr>
        <w:fldChar w:fldCharType="separate"/>
      </w:r>
      <w:r w:rsidR="00206722" w:rsidRPr="00587D00">
        <w:rPr>
          <w:lang w:val="en-GB"/>
        </w:rPr>
        <w:t>e)</w:t>
      </w:r>
      <w:r w:rsidR="00206722" w:rsidRPr="00587D00">
        <w:rPr>
          <w:lang w:val="en-GB"/>
        </w:rPr>
        <w:fldChar w:fldCharType="end"/>
      </w:r>
      <w:r w:rsidRPr="00587D00">
        <w:rPr>
          <w:lang w:val="en-GB"/>
        </w:rPr>
        <w:t xml:space="preserve">, </w:t>
      </w:r>
      <w:r w:rsidR="00206722" w:rsidRPr="00587D00">
        <w:rPr>
          <w:lang w:val="en-GB"/>
        </w:rPr>
        <w:fldChar w:fldCharType="begin"/>
      </w:r>
      <w:r w:rsidR="00206722" w:rsidRPr="00587D00">
        <w:rPr>
          <w:lang w:val="en-GB"/>
        </w:rPr>
        <w:instrText xml:space="preserve"> REF _Ref524695777 \r \h </w:instrText>
      </w:r>
      <w:r w:rsidR="00206722" w:rsidRPr="00587D00">
        <w:rPr>
          <w:lang w:val="en-GB"/>
        </w:rPr>
      </w:r>
      <w:r w:rsidR="00206722" w:rsidRPr="00587D00">
        <w:rPr>
          <w:lang w:val="en-GB"/>
        </w:rPr>
        <w:fldChar w:fldCharType="separate"/>
      </w:r>
      <w:r w:rsidR="00206722" w:rsidRPr="00587D00">
        <w:rPr>
          <w:lang w:val="en-GB"/>
        </w:rPr>
        <w:t>g)</w:t>
      </w:r>
      <w:r w:rsidR="00206722" w:rsidRPr="00587D00">
        <w:rPr>
          <w:lang w:val="en-GB"/>
        </w:rPr>
        <w:fldChar w:fldCharType="end"/>
      </w:r>
      <w:r w:rsidRPr="00587D00">
        <w:rPr>
          <w:lang w:val="en-GB"/>
        </w:rPr>
        <w:t xml:space="preserve"> and </w:t>
      </w:r>
      <w:r w:rsidR="00206722" w:rsidRPr="00587D00">
        <w:rPr>
          <w:lang w:val="en-GB"/>
        </w:rPr>
        <w:fldChar w:fldCharType="begin"/>
      </w:r>
      <w:r w:rsidR="00206722" w:rsidRPr="00587D00">
        <w:rPr>
          <w:lang w:val="en-GB"/>
        </w:rPr>
        <w:instrText xml:space="preserve"> REF _Ref524695785 \r \h </w:instrText>
      </w:r>
      <w:r w:rsidR="00206722" w:rsidRPr="00587D00">
        <w:rPr>
          <w:lang w:val="en-GB"/>
        </w:rPr>
      </w:r>
      <w:r w:rsidR="00206722" w:rsidRPr="00587D00">
        <w:rPr>
          <w:lang w:val="en-GB"/>
        </w:rPr>
        <w:fldChar w:fldCharType="separate"/>
      </w:r>
      <w:r w:rsidR="00206722" w:rsidRPr="00587D00">
        <w:rPr>
          <w:lang w:val="en-GB"/>
        </w:rPr>
        <w:t>h)</w:t>
      </w:r>
      <w:r w:rsidR="00206722" w:rsidRPr="00587D00">
        <w:rPr>
          <w:lang w:val="en-GB"/>
        </w:rPr>
        <w:fldChar w:fldCharType="end"/>
      </w:r>
      <w:r w:rsidRPr="00587D00">
        <w:rPr>
          <w:lang w:val="en-GB"/>
        </w:rPr>
        <w:t xml:space="preserve"> national administrations may submit the following notification.</w:t>
      </w:r>
    </w:p>
    <w:p w14:paraId="1C6B5628" w14:textId="77777777" w:rsidR="00303496" w:rsidRPr="00587D00" w:rsidRDefault="00303496" w:rsidP="00303496">
      <w:pPr>
        <w:pStyle w:val="ECCNumbered-LetteredList"/>
        <w:numPr>
          <w:ilvl w:val="0"/>
          <w:numId w:val="0"/>
        </w:numPr>
        <w:rPr>
          <w:lang w:val="en-GB"/>
        </w:rPr>
      </w:pPr>
    </w:p>
    <w:p w14:paraId="1C6B5629" w14:textId="77777777" w:rsidR="00303496" w:rsidRPr="00587D00" w:rsidRDefault="00303496" w:rsidP="00303496">
      <w:pPr>
        <w:pStyle w:val="ECCNumbered-LetteredList"/>
        <w:numPr>
          <w:ilvl w:val="0"/>
          <w:numId w:val="31"/>
        </w:numPr>
        <w:rPr>
          <w:lang w:val="en-GB"/>
        </w:rPr>
      </w:pPr>
      <w:r w:rsidRPr="00587D00">
        <w:rPr>
          <w:lang w:val="en-GB"/>
        </w:rPr>
        <w:t>Statement if the ESV equipment is exempt or not from individual licensing when installed on board shi</w:t>
      </w:r>
      <w:r w:rsidR="007A32C1" w:rsidRPr="00587D00">
        <w:rPr>
          <w:lang w:val="en-GB"/>
        </w:rPr>
        <w:t>ps registered in their country;</w:t>
      </w:r>
    </w:p>
    <w:p w14:paraId="1C6B562A" w14:textId="77777777" w:rsidR="00303496" w:rsidRPr="00587D00" w:rsidRDefault="00303496" w:rsidP="00303496">
      <w:pPr>
        <w:pStyle w:val="ECCNumbered-LetteredList"/>
        <w:rPr>
          <w:lang w:val="en-GB"/>
        </w:rPr>
      </w:pPr>
      <w:r w:rsidRPr="00587D00">
        <w:rPr>
          <w:lang w:val="en-GB"/>
        </w:rPr>
        <w:t xml:space="preserve">If the case is that a “radio station </w:t>
      </w:r>
      <w:r w:rsidR="00F60531" w:rsidRPr="00587D00">
        <w:rPr>
          <w:lang w:val="en-GB"/>
        </w:rPr>
        <w:t>licence</w:t>
      </w:r>
      <w:r w:rsidRPr="00587D00">
        <w:rPr>
          <w:lang w:val="en-GB"/>
        </w:rPr>
        <w:t>” is required, a statement shall be submitted on what are the requirements needed for ESV equipment to be installed on board a ship registered in their country. Also, the Administration shall provide details on point of contact (name, address, telephone number, fax, e-mail) where application for ESV forms can be retrieved;</w:t>
      </w:r>
    </w:p>
    <w:p w14:paraId="1C6B562B" w14:textId="19132A4B" w:rsidR="00303496" w:rsidRPr="00587D00" w:rsidRDefault="00303496" w:rsidP="00303496">
      <w:pPr>
        <w:pStyle w:val="ECCNumbered-LetteredList"/>
        <w:rPr>
          <w:lang w:val="en-GB"/>
        </w:rPr>
      </w:pPr>
      <w:r w:rsidRPr="00587D00">
        <w:rPr>
          <w:lang w:val="en-GB"/>
        </w:rPr>
        <w:t>Statement if the ESV equipment installed on board ships registered in a foreign country (CEPT or non-CEPT), which may land at their national ports, should require to have a</w:t>
      </w:r>
      <w:r w:rsidR="007A32C1" w:rsidRPr="00587D00">
        <w:rPr>
          <w:lang w:val="en-GB"/>
        </w:rPr>
        <w:t xml:space="preserve"> “radio station license” or not; </w:t>
      </w:r>
      <w:r w:rsidRPr="00587D00">
        <w:rPr>
          <w:lang w:val="en-GB"/>
        </w:rPr>
        <w:t>Statement on national regulations for ESV in the band 5925-6425 MHz when navigating in national and internal waters</w:t>
      </w:r>
      <w:r w:rsidRPr="00587D00">
        <w:rPr>
          <w:rStyle w:val="FootnoteReference"/>
          <w:lang w:val="en-GB"/>
        </w:rPr>
        <w:footnoteReference w:id="3"/>
      </w:r>
      <w:r w:rsidRPr="00587D00">
        <w:rPr>
          <w:lang w:val="en-GB"/>
        </w:rPr>
        <w:t>, or near national off-sho</w:t>
      </w:r>
      <w:r w:rsidR="007A32C1" w:rsidRPr="00587D00">
        <w:rPr>
          <w:lang w:val="en-GB"/>
        </w:rPr>
        <w:t>re platforms, or when at ports;</w:t>
      </w:r>
    </w:p>
    <w:p w14:paraId="1C6B562C" w14:textId="77777777" w:rsidR="00303496" w:rsidRPr="00587D00" w:rsidRDefault="00303496" w:rsidP="00303496">
      <w:pPr>
        <w:pStyle w:val="ECCNumbered-LetteredList"/>
        <w:rPr>
          <w:lang w:val="en-GB"/>
        </w:rPr>
      </w:pPr>
      <w:r w:rsidRPr="00587D00">
        <w:rPr>
          <w:lang w:val="en-GB"/>
        </w:rPr>
        <w:t xml:space="preserve">Statement on other national requirement for frequency authorisation for ESV operators for the purpose of resolving potential interference issues to terrestrial services in the band 5925-6425 MHz. </w:t>
      </w:r>
    </w:p>
    <w:p w14:paraId="1C6B562D" w14:textId="77777777" w:rsidR="00303496" w:rsidRPr="00587D00" w:rsidRDefault="00303496" w:rsidP="00303496">
      <w:pPr>
        <w:pStyle w:val="ECCParagraph"/>
      </w:pPr>
    </w:p>
    <w:p w14:paraId="1C6B562E" w14:textId="77777777" w:rsidR="00303496" w:rsidRPr="00587D00" w:rsidRDefault="00303496" w:rsidP="00303496">
      <w:pPr>
        <w:pStyle w:val="ECCParagraph"/>
      </w:pPr>
      <w:r w:rsidRPr="00587D00">
        <w:t xml:space="preserve">The latest version of </w:t>
      </w:r>
      <w:r w:rsidR="00206722" w:rsidRPr="00587D00">
        <w:t xml:space="preserve">ECC Report 69 </w:t>
      </w:r>
      <w:r w:rsidR="00206722" w:rsidRPr="00587D00">
        <w:fldChar w:fldCharType="begin"/>
      </w:r>
      <w:r w:rsidR="00206722" w:rsidRPr="00587D00">
        <w:instrText xml:space="preserve"> REF _Ref524696081 \r \h </w:instrText>
      </w:r>
      <w:r w:rsidR="00206722" w:rsidRPr="00587D00">
        <w:fldChar w:fldCharType="separate"/>
      </w:r>
      <w:r w:rsidR="00206722" w:rsidRPr="00587D00">
        <w:t>[10]</w:t>
      </w:r>
      <w:r w:rsidR="00206722" w:rsidRPr="00587D00">
        <w:fldChar w:fldCharType="end"/>
      </w:r>
      <w:r w:rsidRPr="00587D00">
        <w:t xml:space="preserve"> on ESV Contours provides guidance on the format in which administrations should present this information. Documents shall be text files, rich text files (.rtf), Word files (.doc) or Portable Document Format file (.pdf).</w:t>
      </w:r>
    </w:p>
    <w:p w14:paraId="1C6B562F" w14:textId="77777777" w:rsidR="00E6704B" w:rsidRPr="00587D00" w:rsidRDefault="00E6704B" w:rsidP="00E6704B">
      <w:pPr>
        <w:pStyle w:val="ECCAnnex-heading1"/>
      </w:pPr>
      <w:bookmarkStart w:id="11" w:name="_Ref460243602"/>
      <w:r w:rsidRPr="00587D00">
        <w:lastRenderedPageBreak/>
        <w:t>PARAMETERS THAT NEED TO BE SUBMITTED BY ESV NETWORK OPERATORS</w:t>
      </w:r>
      <w:bookmarkEnd w:id="11"/>
    </w:p>
    <w:p w14:paraId="1C6B5630" w14:textId="77777777" w:rsidR="00E6704B" w:rsidRPr="00587D00" w:rsidRDefault="00E6704B" w:rsidP="00E6704B">
      <w:pPr>
        <w:pStyle w:val="ECCParagraph"/>
      </w:pPr>
      <w:r w:rsidRPr="00587D00">
        <w:t xml:space="preserve">An ESV network operator is required to submit to the Office the following parameters together with a declaration that their systems comply with the requirements of the Decision including any restrictions notified to the Office by CEPT administrations under Decides </w:t>
      </w:r>
      <w:r w:rsidR="00206722" w:rsidRPr="00587D00">
        <w:fldChar w:fldCharType="begin"/>
      </w:r>
      <w:r w:rsidR="00206722" w:rsidRPr="00587D00">
        <w:instrText xml:space="preserve"> REF _Ref524695685 \r \h </w:instrText>
      </w:r>
      <w:r w:rsidR="00206722" w:rsidRPr="00587D00">
        <w:fldChar w:fldCharType="separate"/>
      </w:r>
      <w:r w:rsidR="00206722" w:rsidRPr="00587D00">
        <w:t>5</w:t>
      </w:r>
      <w:r w:rsidR="00206722" w:rsidRPr="00587D00">
        <w:fldChar w:fldCharType="end"/>
      </w:r>
      <w:r w:rsidRPr="00587D00">
        <w:t xml:space="preserve"> and </w:t>
      </w:r>
      <w:r w:rsidR="00206722" w:rsidRPr="00587D00">
        <w:fldChar w:fldCharType="begin"/>
      </w:r>
      <w:r w:rsidR="00206722" w:rsidRPr="00587D00">
        <w:instrText xml:space="preserve"> REF _Ref524695692 \r \h </w:instrText>
      </w:r>
      <w:r w:rsidR="00206722" w:rsidRPr="00587D00">
        <w:fldChar w:fldCharType="separate"/>
      </w:r>
      <w:r w:rsidR="00206722" w:rsidRPr="00587D00">
        <w:t>6</w:t>
      </w:r>
      <w:r w:rsidR="00206722" w:rsidRPr="00587D00">
        <w:fldChar w:fldCharType="end"/>
      </w:r>
      <w:r w:rsidRPr="00587D00">
        <w:t xml:space="preserve"> of this Decision.</w:t>
      </w:r>
    </w:p>
    <w:p w14:paraId="1C6B5631" w14:textId="77777777" w:rsidR="00E6704B" w:rsidRPr="00587D00" w:rsidRDefault="00E6704B" w:rsidP="00E6704B">
      <w:pPr>
        <w:pStyle w:val="ECCTabletitle"/>
      </w:pPr>
      <w:r w:rsidRPr="00587D00">
        <w:t>Network operator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5529"/>
        <w:gridCol w:w="3118"/>
      </w:tblGrid>
      <w:tr w:rsidR="00E6704B" w:rsidRPr="00587D00" w14:paraId="1C6B5634" w14:textId="77777777" w:rsidTr="00E6704B">
        <w:trPr>
          <w:tblHeader/>
        </w:trPr>
        <w:tc>
          <w:tcPr>
            <w:tcW w:w="5529" w:type="dxa"/>
            <w:tcBorders>
              <w:top w:val="single" w:sz="4" w:space="0" w:color="D2232A"/>
              <w:left w:val="single" w:sz="4" w:space="0" w:color="D2232A"/>
              <w:bottom w:val="single" w:sz="4" w:space="0" w:color="D2232A"/>
              <w:right w:val="nil"/>
            </w:tcBorders>
            <w:shd w:val="clear" w:color="auto" w:fill="D2232A"/>
            <w:vAlign w:val="center"/>
          </w:tcPr>
          <w:p w14:paraId="1C6B5632" w14:textId="77777777" w:rsidR="00E6704B" w:rsidRPr="00587D00" w:rsidRDefault="00E6704B" w:rsidP="00A817A0">
            <w:pPr>
              <w:spacing w:line="288" w:lineRule="auto"/>
              <w:jc w:val="center"/>
              <w:rPr>
                <w:b/>
                <w:color w:val="FFFFFF"/>
                <w:lang w:val="en-GB"/>
              </w:rPr>
            </w:pPr>
          </w:p>
        </w:tc>
        <w:tc>
          <w:tcPr>
            <w:tcW w:w="3118" w:type="dxa"/>
            <w:tcBorders>
              <w:top w:val="single" w:sz="4" w:space="0" w:color="D2232A"/>
              <w:left w:val="nil"/>
              <w:bottom w:val="single" w:sz="4" w:space="0" w:color="D2232A"/>
              <w:right w:val="single" w:sz="4" w:space="0" w:color="D2232A"/>
            </w:tcBorders>
            <w:shd w:val="clear" w:color="auto" w:fill="D2232A"/>
            <w:vAlign w:val="center"/>
          </w:tcPr>
          <w:p w14:paraId="1C6B5633" w14:textId="77777777" w:rsidR="00E6704B" w:rsidRPr="00587D00" w:rsidRDefault="00E6704B" w:rsidP="00A817A0">
            <w:pPr>
              <w:spacing w:line="288" w:lineRule="auto"/>
              <w:jc w:val="center"/>
              <w:rPr>
                <w:b/>
                <w:color w:val="FFFFFF"/>
                <w:lang w:val="en-GB"/>
              </w:rPr>
            </w:pPr>
          </w:p>
        </w:tc>
      </w:tr>
      <w:tr w:rsidR="00E6704B" w:rsidRPr="00587D00" w14:paraId="1C6B5637"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35" w14:textId="77777777" w:rsidR="00E6704B" w:rsidRPr="00587D00" w:rsidRDefault="00E6704B" w:rsidP="00A85005">
            <w:pPr>
              <w:rPr>
                <w:lang w:val="en-GB"/>
              </w:rPr>
            </w:pPr>
            <w:r w:rsidRPr="00587D00">
              <w:rPr>
                <w:lang w:val="en-GB"/>
              </w:rPr>
              <w:t>Network operator name</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36" w14:textId="77777777" w:rsidR="00E6704B" w:rsidRPr="00587D00" w:rsidRDefault="00E6704B" w:rsidP="00A817A0">
            <w:pPr>
              <w:spacing w:line="288" w:lineRule="auto"/>
              <w:rPr>
                <w:lang w:val="en-GB"/>
              </w:rPr>
            </w:pPr>
          </w:p>
        </w:tc>
      </w:tr>
      <w:tr w:rsidR="00E6704B" w:rsidRPr="00587D00" w14:paraId="1C6B563A"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38" w14:textId="77777777" w:rsidR="00E6704B" w:rsidRPr="00587D00" w:rsidRDefault="00E6704B" w:rsidP="00A85005">
            <w:pPr>
              <w:rPr>
                <w:lang w:val="en-GB"/>
              </w:rPr>
            </w:pPr>
            <w:r w:rsidRPr="00587D00">
              <w:rPr>
                <w:lang w:val="en-GB"/>
              </w:rPr>
              <w:t>Network operator address</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39" w14:textId="77777777" w:rsidR="00E6704B" w:rsidRPr="00587D00" w:rsidRDefault="00E6704B" w:rsidP="00A817A0">
            <w:pPr>
              <w:spacing w:line="288" w:lineRule="auto"/>
              <w:rPr>
                <w:lang w:val="en-GB"/>
              </w:rPr>
            </w:pPr>
          </w:p>
        </w:tc>
      </w:tr>
      <w:tr w:rsidR="00E6704B" w:rsidRPr="00587D00" w14:paraId="1C6B563D"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3B" w14:textId="77777777" w:rsidR="00E6704B" w:rsidRPr="00587D00" w:rsidRDefault="00E6704B" w:rsidP="00A85005">
            <w:pPr>
              <w:rPr>
                <w:lang w:val="en-GB"/>
              </w:rPr>
            </w:pPr>
            <w:r w:rsidRPr="00587D00">
              <w:rPr>
                <w:lang w:val="en-GB"/>
              </w:rPr>
              <w:t>Contact name</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3C" w14:textId="77777777" w:rsidR="00E6704B" w:rsidRPr="00587D00" w:rsidRDefault="00E6704B" w:rsidP="00A817A0">
            <w:pPr>
              <w:spacing w:line="288" w:lineRule="auto"/>
              <w:rPr>
                <w:lang w:val="en-GB"/>
              </w:rPr>
            </w:pPr>
          </w:p>
        </w:tc>
      </w:tr>
      <w:tr w:rsidR="00E6704B" w:rsidRPr="00587D00" w14:paraId="1C6B5640"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3E" w14:textId="77777777" w:rsidR="00E6704B" w:rsidRPr="00587D00" w:rsidRDefault="00E6704B" w:rsidP="00A85005">
            <w:pPr>
              <w:rPr>
                <w:lang w:val="en-GB"/>
              </w:rPr>
            </w:pPr>
            <w:r w:rsidRPr="00587D00">
              <w:rPr>
                <w:lang w:val="en-GB"/>
              </w:rPr>
              <w:t>Contact telephone number</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3F" w14:textId="77777777" w:rsidR="00E6704B" w:rsidRPr="00587D00" w:rsidRDefault="00E6704B" w:rsidP="00A817A0">
            <w:pPr>
              <w:spacing w:line="288" w:lineRule="auto"/>
              <w:rPr>
                <w:lang w:val="en-GB"/>
              </w:rPr>
            </w:pPr>
          </w:p>
        </w:tc>
      </w:tr>
      <w:tr w:rsidR="00E6704B" w:rsidRPr="00587D00" w14:paraId="1C6B5643"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41" w14:textId="77777777" w:rsidR="00E6704B" w:rsidRPr="00587D00" w:rsidRDefault="00E6704B" w:rsidP="00A85005">
            <w:pPr>
              <w:rPr>
                <w:lang w:val="en-GB"/>
              </w:rPr>
            </w:pPr>
            <w:r w:rsidRPr="00587D00">
              <w:rPr>
                <w:lang w:val="en-GB"/>
              </w:rPr>
              <w:t>Contact e-mail address</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42" w14:textId="77777777" w:rsidR="00E6704B" w:rsidRPr="00587D00" w:rsidRDefault="00E6704B" w:rsidP="00A817A0">
            <w:pPr>
              <w:spacing w:line="288" w:lineRule="auto"/>
              <w:rPr>
                <w:lang w:val="en-GB"/>
              </w:rPr>
            </w:pPr>
          </w:p>
        </w:tc>
      </w:tr>
      <w:tr w:rsidR="00E6704B" w:rsidRPr="00587D00" w14:paraId="1C6B5646"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44" w14:textId="77777777" w:rsidR="00E6704B" w:rsidRPr="00587D00" w:rsidRDefault="00E6704B" w:rsidP="00A85005">
            <w:pPr>
              <w:rPr>
                <w:lang w:val="en-GB"/>
              </w:rPr>
            </w:pPr>
            <w:r w:rsidRPr="00587D00">
              <w:rPr>
                <w:lang w:val="en-GB"/>
              </w:rPr>
              <w:t>Network Control Facility (NCF) designated point of contact</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45" w14:textId="77777777" w:rsidR="00E6704B" w:rsidRPr="00587D00" w:rsidRDefault="00E6704B" w:rsidP="00A817A0">
            <w:pPr>
              <w:spacing w:line="288" w:lineRule="auto"/>
              <w:rPr>
                <w:lang w:val="en-GB"/>
              </w:rPr>
            </w:pPr>
          </w:p>
        </w:tc>
      </w:tr>
      <w:tr w:rsidR="00E6704B" w:rsidRPr="00587D00" w14:paraId="1C6B5649"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47" w14:textId="77777777" w:rsidR="00E6704B" w:rsidRPr="00587D00" w:rsidRDefault="00E6704B" w:rsidP="00A85005">
            <w:pPr>
              <w:rPr>
                <w:lang w:val="en-GB"/>
              </w:rPr>
            </w:pPr>
            <w:r w:rsidRPr="00587D00">
              <w:rPr>
                <w:lang w:val="en-GB"/>
              </w:rPr>
              <w:t>NCF Contact name</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48" w14:textId="77777777" w:rsidR="00E6704B" w:rsidRPr="00587D00" w:rsidRDefault="00E6704B" w:rsidP="00A817A0">
            <w:pPr>
              <w:spacing w:line="288" w:lineRule="auto"/>
              <w:rPr>
                <w:lang w:val="en-GB"/>
              </w:rPr>
            </w:pPr>
          </w:p>
        </w:tc>
      </w:tr>
      <w:tr w:rsidR="00E6704B" w:rsidRPr="00587D00" w14:paraId="1C6B564C"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4A" w14:textId="77777777" w:rsidR="00E6704B" w:rsidRPr="00587D00" w:rsidRDefault="00E6704B" w:rsidP="00A85005">
            <w:pPr>
              <w:rPr>
                <w:lang w:val="en-GB"/>
              </w:rPr>
            </w:pPr>
            <w:r w:rsidRPr="00587D00">
              <w:rPr>
                <w:lang w:val="en-GB"/>
              </w:rPr>
              <w:t>NCF Contact telephone number</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4B" w14:textId="77777777" w:rsidR="00E6704B" w:rsidRPr="00587D00" w:rsidRDefault="00E6704B" w:rsidP="00A817A0">
            <w:pPr>
              <w:spacing w:line="288" w:lineRule="auto"/>
              <w:rPr>
                <w:lang w:val="en-GB"/>
              </w:rPr>
            </w:pPr>
          </w:p>
        </w:tc>
      </w:tr>
      <w:tr w:rsidR="00E6704B" w:rsidRPr="00587D00" w14:paraId="1C6B564F" w14:textId="77777777" w:rsidTr="00E6704B">
        <w:tc>
          <w:tcPr>
            <w:tcW w:w="5529" w:type="dxa"/>
            <w:tcBorders>
              <w:top w:val="single" w:sz="4" w:space="0" w:color="D2232A"/>
              <w:left w:val="single" w:sz="4" w:space="0" w:color="D2232A"/>
              <w:bottom w:val="single" w:sz="4" w:space="0" w:color="D2232A"/>
              <w:right w:val="single" w:sz="4" w:space="0" w:color="D2232A"/>
            </w:tcBorders>
          </w:tcPr>
          <w:p w14:paraId="1C6B564D" w14:textId="77777777" w:rsidR="00E6704B" w:rsidRPr="00587D00" w:rsidRDefault="00E6704B" w:rsidP="00A85005">
            <w:pPr>
              <w:rPr>
                <w:lang w:val="en-GB"/>
              </w:rPr>
            </w:pPr>
            <w:r w:rsidRPr="00587D00">
              <w:rPr>
                <w:lang w:val="en-GB"/>
              </w:rPr>
              <w:t>NCF Contact e-mail address</w:t>
            </w:r>
          </w:p>
        </w:tc>
        <w:tc>
          <w:tcPr>
            <w:tcW w:w="3118" w:type="dxa"/>
            <w:tcBorders>
              <w:top w:val="single" w:sz="4" w:space="0" w:color="D2232A"/>
              <w:left w:val="single" w:sz="4" w:space="0" w:color="D2232A"/>
              <w:bottom w:val="single" w:sz="4" w:space="0" w:color="D2232A"/>
              <w:right w:val="single" w:sz="4" w:space="0" w:color="D2232A"/>
            </w:tcBorders>
            <w:vAlign w:val="center"/>
          </w:tcPr>
          <w:p w14:paraId="1C6B564E" w14:textId="77777777" w:rsidR="00E6704B" w:rsidRPr="00587D00" w:rsidRDefault="00E6704B" w:rsidP="00A817A0">
            <w:pPr>
              <w:spacing w:line="288" w:lineRule="auto"/>
              <w:rPr>
                <w:lang w:val="en-GB"/>
              </w:rPr>
            </w:pPr>
          </w:p>
        </w:tc>
      </w:tr>
    </w:tbl>
    <w:p w14:paraId="1C6B5650" w14:textId="77777777" w:rsidR="00E6704B" w:rsidRPr="00587D00" w:rsidRDefault="00E6704B" w:rsidP="00E6704B">
      <w:pPr>
        <w:pStyle w:val="ECCParagraph"/>
      </w:pPr>
    </w:p>
    <w:p w14:paraId="1C6B5651" w14:textId="77777777" w:rsidR="00303496" w:rsidRPr="00587D00" w:rsidRDefault="00E6704B" w:rsidP="00E6704B">
      <w:pPr>
        <w:pStyle w:val="ECCNumbered-LetteredList"/>
        <w:numPr>
          <w:ilvl w:val="0"/>
          <w:numId w:val="32"/>
        </w:numPr>
        <w:rPr>
          <w:b/>
          <w:lang w:val="en-GB"/>
        </w:rPr>
      </w:pPr>
      <w:r w:rsidRPr="00587D00">
        <w:rPr>
          <w:b/>
          <w:lang w:val="en-GB"/>
        </w:rPr>
        <w:t>Technical Specification(s) of ESV type(s) used in the network</w:t>
      </w:r>
    </w:p>
    <w:p w14:paraId="1C6B5652" w14:textId="77777777" w:rsidR="00E6704B" w:rsidRPr="00587D00" w:rsidRDefault="00E6704B" w:rsidP="00E6704B">
      <w:pPr>
        <w:pStyle w:val="ECCNumbered-LetteredList"/>
        <w:numPr>
          <w:ilvl w:val="0"/>
          <w:numId w:val="0"/>
        </w:numPr>
        <w:ind w:left="340" w:hanging="340"/>
        <w:rPr>
          <w:lang w:val="en-GB"/>
        </w:rPr>
      </w:pPr>
    </w:p>
    <w:p w14:paraId="1C6B5653" w14:textId="77777777" w:rsidR="00E6704B" w:rsidRPr="00587D00" w:rsidRDefault="00E6704B" w:rsidP="00E6704B">
      <w:pPr>
        <w:rPr>
          <w:lang w:val="en-GB"/>
        </w:rPr>
      </w:pPr>
      <w:r w:rsidRPr="00587D00">
        <w:rPr>
          <w:lang w:val="en-GB"/>
        </w:rPr>
        <w:t>ESV Antenna</w:t>
      </w:r>
    </w:p>
    <w:p w14:paraId="1C6B5654" w14:textId="77777777" w:rsidR="00E6704B" w:rsidRPr="00587D00" w:rsidRDefault="00E6704B" w:rsidP="00E6704B">
      <w:pPr>
        <w:rPr>
          <w:lang w:val="en-GB"/>
        </w:rPr>
      </w:pPr>
      <w:r w:rsidRPr="00587D00">
        <w:rPr>
          <w:lang w:val="en-GB"/>
        </w:rPr>
        <w:t>Antenna type</w:t>
      </w:r>
    </w:p>
    <w:p w14:paraId="1C6B5655" w14:textId="77777777" w:rsidR="00E6704B" w:rsidRPr="00587D00" w:rsidRDefault="00E6704B" w:rsidP="00E6704B">
      <w:pPr>
        <w:rPr>
          <w:lang w:val="en-GB"/>
        </w:rPr>
      </w:pPr>
      <w:r w:rsidRPr="00587D00">
        <w:rPr>
          <w:lang w:val="en-GB"/>
        </w:rPr>
        <w:t>Antenna size</w:t>
      </w:r>
    </w:p>
    <w:p w14:paraId="1C6B5656" w14:textId="77777777" w:rsidR="00E6704B" w:rsidRPr="00587D00" w:rsidRDefault="00E6704B" w:rsidP="00E6704B">
      <w:pPr>
        <w:rPr>
          <w:lang w:val="en-GB"/>
        </w:rPr>
      </w:pPr>
      <w:r w:rsidRPr="00587D00">
        <w:rPr>
          <w:lang w:val="en-GB"/>
        </w:rPr>
        <w:t>Transmit frequency bands</w:t>
      </w:r>
    </w:p>
    <w:p w14:paraId="1C6B5657" w14:textId="77777777" w:rsidR="00E6704B" w:rsidRPr="00587D00" w:rsidRDefault="00E6704B" w:rsidP="00E6704B">
      <w:pPr>
        <w:rPr>
          <w:lang w:val="en-GB"/>
        </w:rPr>
      </w:pPr>
      <w:r w:rsidRPr="00587D00">
        <w:rPr>
          <w:lang w:val="en-GB"/>
        </w:rPr>
        <w:t>Transmit peak gain</w:t>
      </w:r>
    </w:p>
    <w:p w14:paraId="1C6B5658" w14:textId="77777777" w:rsidR="00E6704B" w:rsidRPr="00587D00" w:rsidRDefault="00E6704B" w:rsidP="00E6704B">
      <w:pPr>
        <w:rPr>
          <w:lang w:val="en-GB"/>
        </w:rPr>
      </w:pPr>
      <w:r w:rsidRPr="00587D00">
        <w:rPr>
          <w:lang w:val="en-GB"/>
        </w:rPr>
        <w:t>Max e.i.r.p. per carrier</w:t>
      </w:r>
    </w:p>
    <w:p w14:paraId="1C6B5659" w14:textId="77777777" w:rsidR="00E6704B" w:rsidRPr="00587D00" w:rsidRDefault="00E6704B" w:rsidP="00E6704B">
      <w:pPr>
        <w:rPr>
          <w:lang w:val="en-GB"/>
        </w:rPr>
      </w:pPr>
      <w:r w:rsidRPr="00587D00">
        <w:rPr>
          <w:lang w:val="en-GB"/>
        </w:rPr>
        <w:t>Min. operating elevation</w:t>
      </w:r>
    </w:p>
    <w:p w14:paraId="1C6B565A" w14:textId="77777777" w:rsidR="00E6704B" w:rsidRPr="00587D00" w:rsidRDefault="00E6704B" w:rsidP="00E6704B">
      <w:pPr>
        <w:rPr>
          <w:lang w:val="en-GB"/>
        </w:rPr>
      </w:pPr>
      <w:r w:rsidRPr="00587D00">
        <w:rPr>
          <w:lang w:val="en-GB"/>
        </w:rPr>
        <w:t>Pointing accuracy</w:t>
      </w:r>
    </w:p>
    <w:p w14:paraId="1C6B565B" w14:textId="77777777" w:rsidR="00E6704B" w:rsidRPr="00587D00" w:rsidRDefault="00E6704B" w:rsidP="00E6704B">
      <w:pPr>
        <w:rPr>
          <w:lang w:val="en-GB"/>
        </w:rPr>
      </w:pPr>
    </w:p>
    <w:p w14:paraId="1C6B565C" w14:textId="77777777" w:rsidR="00E6704B" w:rsidRPr="00587D00" w:rsidRDefault="00E6704B" w:rsidP="00E6704B">
      <w:pPr>
        <w:rPr>
          <w:u w:val="single"/>
          <w:lang w:val="en-GB"/>
        </w:rPr>
      </w:pPr>
      <w:r w:rsidRPr="00587D00">
        <w:rPr>
          <w:u w:val="single"/>
          <w:lang w:val="en-GB"/>
        </w:rPr>
        <w:t>Waveform definition</w:t>
      </w:r>
    </w:p>
    <w:p w14:paraId="1C6B565D" w14:textId="77777777" w:rsidR="00E6704B" w:rsidRPr="00587D00" w:rsidRDefault="00E6704B" w:rsidP="00E6704B">
      <w:pPr>
        <w:rPr>
          <w:lang w:val="en-GB"/>
        </w:rPr>
      </w:pPr>
      <w:r w:rsidRPr="00587D00">
        <w:rPr>
          <w:lang w:val="en-GB"/>
        </w:rPr>
        <w:t>Number(s) of carriers per ESV</w:t>
      </w:r>
    </w:p>
    <w:p w14:paraId="1C6B565E" w14:textId="77777777" w:rsidR="00E6704B" w:rsidRPr="00587D00" w:rsidRDefault="00E6704B" w:rsidP="00E6704B">
      <w:pPr>
        <w:rPr>
          <w:lang w:val="en-GB"/>
        </w:rPr>
      </w:pPr>
      <w:r w:rsidRPr="00587D00">
        <w:rPr>
          <w:lang w:val="en-GB"/>
        </w:rPr>
        <w:t>Maximum occupied bandwidth(s) per carrier</w:t>
      </w:r>
    </w:p>
    <w:p w14:paraId="1C6B565F" w14:textId="77777777" w:rsidR="00E6704B" w:rsidRPr="00587D00" w:rsidRDefault="00E6704B" w:rsidP="00E6704B">
      <w:pPr>
        <w:rPr>
          <w:lang w:val="en-GB"/>
        </w:rPr>
      </w:pPr>
      <w:r w:rsidRPr="00587D00">
        <w:rPr>
          <w:lang w:val="en-GB"/>
        </w:rPr>
        <w:t>Modulation</w:t>
      </w:r>
    </w:p>
    <w:p w14:paraId="1C6B5660" w14:textId="77777777" w:rsidR="00E6704B" w:rsidRPr="00587D00" w:rsidRDefault="00E6704B" w:rsidP="00E6704B">
      <w:pPr>
        <w:pStyle w:val="ECCNumbered-LetteredList"/>
        <w:numPr>
          <w:ilvl w:val="0"/>
          <w:numId w:val="0"/>
        </w:numPr>
        <w:ind w:left="340" w:hanging="340"/>
        <w:rPr>
          <w:lang w:val="en-GB"/>
        </w:rPr>
      </w:pPr>
      <w:r w:rsidRPr="00587D00">
        <w:rPr>
          <w:lang w:val="en-GB"/>
        </w:rPr>
        <w:t>Multiple access scheme.</w:t>
      </w:r>
    </w:p>
    <w:p w14:paraId="1C6B5661" w14:textId="77777777" w:rsidR="00E6704B" w:rsidRPr="00587D00" w:rsidRDefault="00E6704B" w:rsidP="00E6704B">
      <w:pPr>
        <w:pStyle w:val="ECCNumbered-LetteredList"/>
        <w:numPr>
          <w:ilvl w:val="0"/>
          <w:numId w:val="0"/>
        </w:numPr>
        <w:ind w:left="340" w:hanging="340"/>
        <w:rPr>
          <w:lang w:val="en-GB"/>
        </w:rPr>
      </w:pPr>
    </w:p>
    <w:p w14:paraId="1C6B5662" w14:textId="77777777" w:rsidR="00E6704B" w:rsidRPr="00587D00" w:rsidRDefault="00E6704B" w:rsidP="00E6704B">
      <w:pPr>
        <w:pStyle w:val="ECCNumbered-LetteredList"/>
        <w:rPr>
          <w:b/>
          <w:lang w:val="en-GB"/>
        </w:rPr>
      </w:pPr>
      <w:r w:rsidRPr="00587D00">
        <w:rPr>
          <w:b/>
          <w:lang w:val="en-GB"/>
        </w:rPr>
        <w:t>Operating details of each satellite</w:t>
      </w:r>
    </w:p>
    <w:p w14:paraId="1C6B5663" w14:textId="77777777" w:rsidR="00E6704B" w:rsidRPr="00587D00" w:rsidRDefault="00E6704B" w:rsidP="00E6704B">
      <w:pPr>
        <w:pStyle w:val="ECCNumbered-LetteredList"/>
        <w:numPr>
          <w:ilvl w:val="0"/>
          <w:numId w:val="0"/>
        </w:numPr>
        <w:ind w:left="340" w:hanging="340"/>
        <w:rPr>
          <w:lang w:val="en-GB"/>
        </w:rPr>
      </w:pPr>
    </w:p>
    <w:p w14:paraId="1C6B5664" w14:textId="77777777" w:rsidR="00E6704B" w:rsidRPr="00587D00" w:rsidRDefault="00E6704B" w:rsidP="00E6704B">
      <w:pPr>
        <w:rPr>
          <w:color w:val="000000"/>
          <w:lang w:val="en-GB"/>
        </w:rPr>
      </w:pPr>
      <w:r w:rsidRPr="00587D00">
        <w:rPr>
          <w:color w:val="000000"/>
          <w:lang w:val="en-GB"/>
        </w:rPr>
        <w:t>ITU Filing satellite name</w:t>
      </w:r>
    </w:p>
    <w:p w14:paraId="1C6B5665" w14:textId="77777777" w:rsidR="00E6704B" w:rsidRPr="00587D00" w:rsidRDefault="00E6704B" w:rsidP="00E6704B">
      <w:pPr>
        <w:rPr>
          <w:color w:val="000000"/>
          <w:lang w:val="en-GB"/>
        </w:rPr>
      </w:pPr>
      <w:r w:rsidRPr="00587D00">
        <w:rPr>
          <w:color w:val="000000"/>
          <w:lang w:val="en-GB"/>
        </w:rPr>
        <w:t>Satellite operator name</w:t>
      </w:r>
    </w:p>
    <w:p w14:paraId="1C6B5666" w14:textId="77777777" w:rsidR="00E6704B" w:rsidRPr="00587D00" w:rsidRDefault="00E6704B" w:rsidP="00E6704B">
      <w:pPr>
        <w:rPr>
          <w:color w:val="000000"/>
          <w:lang w:val="en-GB"/>
        </w:rPr>
      </w:pPr>
      <w:r w:rsidRPr="00587D00">
        <w:rPr>
          <w:color w:val="000000"/>
          <w:lang w:val="en-GB"/>
        </w:rPr>
        <w:t>GEO longitude</w:t>
      </w:r>
    </w:p>
    <w:p w14:paraId="1C6B5667" w14:textId="77777777" w:rsidR="00E6704B" w:rsidRPr="00587D00" w:rsidRDefault="00E6704B" w:rsidP="00E6704B">
      <w:pPr>
        <w:rPr>
          <w:color w:val="000000"/>
          <w:lang w:val="en-GB"/>
        </w:rPr>
      </w:pPr>
      <w:r w:rsidRPr="00587D00">
        <w:rPr>
          <w:color w:val="000000"/>
          <w:lang w:val="en-GB"/>
        </w:rPr>
        <w:t xml:space="preserve">Satellite service area (text description </w:t>
      </w:r>
      <w:r w:rsidRPr="00587D00">
        <w:rPr>
          <w:lang w:val="en-GB"/>
        </w:rPr>
        <w:t>and/or a figure of the area</w:t>
      </w:r>
      <w:r w:rsidRPr="00587D00">
        <w:rPr>
          <w:color w:val="000000"/>
          <w:lang w:val="en-GB"/>
        </w:rPr>
        <w:t>)</w:t>
      </w:r>
    </w:p>
    <w:p w14:paraId="1C6B5668" w14:textId="77777777" w:rsidR="00E6704B" w:rsidRPr="00587D00" w:rsidRDefault="00E6704B" w:rsidP="00E6704B">
      <w:pPr>
        <w:rPr>
          <w:color w:val="000000"/>
          <w:sz w:val="16"/>
          <w:szCs w:val="16"/>
          <w:lang w:val="en-GB"/>
        </w:rPr>
      </w:pPr>
    </w:p>
    <w:p w14:paraId="1C6B5669" w14:textId="77777777" w:rsidR="00E6704B" w:rsidRPr="00587D00" w:rsidRDefault="00E6704B" w:rsidP="00E6704B">
      <w:pPr>
        <w:rPr>
          <w:color w:val="000000"/>
          <w:u w:val="single"/>
          <w:lang w:val="en-GB"/>
        </w:rPr>
      </w:pPr>
      <w:r w:rsidRPr="00587D00">
        <w:rPr>
          <w:color w:val="000000"/>
          <w:u w:val="single"/>
          <w:lang w:val="en-GB"/>
        </w:rPr>
        <w:t>Forward Channel details (Satellite to ESV)</w:t>
      </w:r>
    </w:p>
    <w:p w14:paraId="1C6B566A" w14:textId="77777777" w:rsidR="00E6704B" w:rsidRPr="00587D00" w:rsidRDefault="00E6704B" w:rsidP="00E6704B">
      <w:pPr>
        <w:rPr>
          <w:color w:val="000000"/>
          <w:lang w:val="en-GB"/>
        </w:rPr>
      </w:pPr>
      <w:r w:rsidRPr="00587D00">
        <w:rPr>
          <w:color w:val="000000"/>
          <w:lang w:val="en-GB"/>
        </w:rPr>
        <w:t>Transponder downlink centre frequency</w:t>
      </w:r>
    </w:p>
    <w:p w14:paraId="1C6B566B" w14:textId="77777777" w:rsidR="00E6704B" w:rsidRPr="00587D00" w:rsidRDefault="00E6704B" w:rsidP="00E6704B">
      <w:pPr>
        <w:rPr>
          <w:color w:val="000000"/>
          <w:lang w:val="en-GB"/>
        </w:rPr>
      </w:pPr>
      <w:r w:rsidRPr="00587D00">
        <w:rPr>
          <w:color w:val="000000"/>
          <w:lang w:val="en-GB"/>
        </w:rPr>
        <w:t>Transponder downlink bandwidth</w:t>
      </w:r>
    </w:p>
    <w:p w14:paraId="1C6B566C" w14:textId="77777777" w:rsidR="00E6704B" w:rsidRPr="00587D00" w:rsidRDefault="00E6704B" w:rsidP="00E6704B">
      <w:pPr>
        <w:rPr>
          <w:color w:val="000000"/>
          <w:sz w:val="16"/>
          <w:szCs w:val="16"/>
          <w:lang w:val="en-GB"/>
        </w:rPr>
      </w:pPr>
    </w:p>
    <w:p w14:paraId="1C6B566D" w14:textId="77777777" w:rsidR="00E6704B" w:rsidRPr="00587D00" w:rsidRDefault="00E6704B" w:rsidP="00E6704B">
      <w:pPr>
        <w:rPr>
          <w:color w:val="000000"/>
          <w:u w:val="single"/>
          <w:lang w:val="en-GB"/>
        </w:rPr>
      </w:pPr>
      <w:r w:rsidRPr="00587D00">
        <w:rPr>
          <w:color w:val="000000"/>
          <w:u w:val="single"/>
          <w:lang w:val="en-GB"/>
        </w:rPr>
        <w:t>Return Channel details (ESV to satellite)</w:t>
      </w:r>
    </w:p>
    <w:p w14:paraId="1C6B566E" w14:textId="77777777" w:rsidR="00E6704B" w:rsidRPr="00587D00" w:rsidRDefault="00E6704B" w:rsidP="00E6704B">
      <w:pPr>
        <w:rPr>
          <w:color w:val="000000"/>
          <w:lang w:val="en-GB"/>
        </w:rPr>
      </w:pPr>
      <w:r w:rsidRPr="00587D00">
        <w:rPr>
          <w:color w:val="000000"/>
          <w:lang w:val="en-GB"/>
        </w:rPr>
        <w:t>Transponder uplink centre frequency</w:t>
      </w:r>
    </w:p>
    <w:p w14:paraId="1C6B566F" w14:textId="77777777" w:rsidR="00E6704B" w:rsidRPr="00587D00" w:rsidRDefault="00E6704B" w:rsidP="00E6704B">
      <w:pPr>
        <w:pStyle w:val="ECCNumbered-LetteredList"/>
        <w:numPr>
          <w:ilvl w:val="0"/>
          <w:numId w:val="0"/>
        </w:numPr>
        <w:ind w:left="340" w:hanging="340"/>
        <w:rPr>
          <w:color w:val="000000"/>
          <w:lang w:val="en-GB"/>
        </w:rPr>
      </w:pPr>
      <w:r w:rsidRPr="00587D00">
        <w:rPr>
          <w:color w:val="000000"/>
          <w:lang w:val="en-GB"/>
        </w:rPr>
        <w:t>Transponder uplink bandwidth</w:t>
      </w:r>
    </w:p>
    <w:p w14:paraId="1C6B5670" w14:textId="77777777" w:rsidR="00E6704B" w:rsidRPr="00587D00" w:rsidRDefault="00E6704B" w:rsidP="00E6704B">
      <w:pPr>
        <w:pStyle w:val="ECCAnnex-heading1"/>
      </w:pPr>
      <w:r w:rsidRPr="00587D00">
        <w:lastRenderedPageBreak/>
        <w:t>The office website</w:t>
      </w:r>
    </w:p>
    <w:p w14:paraId="1C6B5671" w14:textId="77777777" w:rsidR="00E6704B" w:rsidRPr="00587D00" w:rsidRDefault="00E6704B" w:rsidP="00E6704B">
      <w:pPr>
        <w:pStyle w:val="ECCParagraph"/>
      </w:pPr>
      <w:r w:rsidRPr="00587D00">
        <w:t>The Office will make publicly available information submitted by administrations on its website.</w:t>
      </w:r>
    </w:p>
    <w:p w14:paraId="1C6B5672" w14:textId="77777777" w:rsidR="00E6704B" w:rsidRPr="00587D00" w:rsidRDefault="00E6704B" w:rsidP="00E6704B">
      <w:pPr>
        <w:pStyle w:val="ECCParagraph"/>
      </w:pPr>
      <w:r w:rsidRPr="00587D00">
        <w:t xml:space="preserve">It shall be possible for an ESV network operator to collect the relevant information from </w:t>
      </w:r>
      <w:r w:rsidR="00FF01FC" w:rsidRPr="00587D00">
        <w:t>t</w:t>
      </w:r>
      <w:r w:rsidRPr="00587D00">
        <w:t>he Office website including the latest information and to identify any modification since the latest access.</w:t>
      </w:r>
    </w:p>
    <w:p w14:paraId="1C6B5673" w14:textId="77777777" w:rsidR="00E6704B" w:rsidRPr="00587D00" w:rsidRDefault="00E6704B" w:rsidP="00E6704B">
      <w:pPr>
        <w:pStyle w:val="ECCParagraph"/>
      </w:pPr>
      <w:r w:rsidRPr="00587D00">
        <w:t>A simple method (e.g. automatic email) needs to be established in order for the ESV network operators to be informed by the Office of any changes in the requirements that are imposed by the administrations.</w:t>
      </w:r>
    </w:p>
    <w:p w14:paraId="1C6B5674" w14:textId="77777777" w:rsidR="00E6704B" w:rsidRPr="00587D00" w:rsidRDefault="00E6704B" w:rsidP="00E6704B">
      <w:pPr>
        <w:pStyle w:val="ECCParagraph"/>
      </w:pPr>
      <w:r w:rsidRPr="00587D00">
        <w:t xml:space="preserve">From time to time, an Administration may need to update the conditions notified using </w:t>
      </w:r>
      <w:r w:rsidR="001C6807" w:rsidRPr="00587D00">
        <w:fldChar w:fldCharType="begin"/>
      </w:r>
      <w:r w:rsidR="001C6807" w:rsidRPr="00587D00">
        <w:instrText xml:space="preserve"> REF _Ref460243285 \r \h </w:instrText>
      </w:r>
      <w:r w:rsidR="001C6807" w:rsidRPr="00587D00">
        <w:fldChar w:fldCharType="separate"/>
      </w:r>
      <w:r w:rsidR="00915DD6" w:rsidRPr="00587D00">
        <w:t>ANNEX 1:</w:t>
      </w:r>
      <w:r w:rsidR="001C6807" w:rsidRPr="00587D00">
        <w:fldChar w:fldCharType="end"/>
      </w:r>
      <w:r w:rsidRPr="00587D00">
        <w:t xml:space="preserve"> and </w:t>
      </w:r>
      <w:r w:rsidR="001C6807" w:rsidRPr="00587D00">
        <w:fldChar w:fldCharType="begin"/>
      </w:r>
      <w:r w:rsidR="001C6807" w:rsidRPr="00587D00">
        <w:instrText xml:space="preserve"> REF _Ref460243587 \r \h </w:instrText>
      </w:r>
      <w:r w:rsidR="001C6807" w:rsidRPr="00587D00">
        <w:fldChar w:fldCharType="separate"/>
      </w:r>
      <w:r w:rsidR="00915DD6" w:rsidRPr="00587D00">
        <w:t>ANNEX 2:</w:t>
      </w:r>
      <w:r w:rsidR="001C6807" w:rsidRPr="00587D00">
        <w:fldChar w:fldCharType="end"/>
      </w:r>
      <w:r w:rsidRPr="00587D00">
        <w:t>. If the requirements are non-safety related, the ESV network operator or other organisation with control over ESV transmissions will need sufficient time to comply with new conditions. In general, such changes or new conditions should be implemented within a time period of 90 days for change of data, and 180 days for change of software.</w:t>
      </w:r>
    </w:p>
    <w:p w14:paraId="1C6B5675" w14:textId="77777777" w:rsidR="00E6704B" w:rsidRPr="00587D00" w:rsidRDefault="00E6704B" w:rsidP="00E6704B">
      <w:pPr>
        <w:pStyle w:val="ECCParagraph"/>
      </w:pPr>
      <w:r w:rsidRPr="00587D00">
        <w:t>In cases of safety related issues the ESV network operators might be required to implement the changes in a shorter time period.</w:t>
      </w:r>
    </w:p>
    <w:p w14:paraId="1C6B5676" w14:textId="77777777" w:rsidR="00E6704B" w:rsidRPr="00587D00" w:rsidRDefault="00E6704B" w:rsidP="00E6704B">
      <w:pPr>
        <w:pStyle w:val="ECCParagraph"/>
      </w:pPr>
      <w:r w:rsidRPr="00587D00">
        <w:t>The information provided by the network operators shall be accessible only by all CEPT administrations, apart from network operator contact information, which is publicly available. Other parts of this information may be kept confidential insofar as other ESV network operators are concerned (i.e. multiple layers of passwords may be required).</w:t>
      </w:r>
    </w:p>
    <w:p w14:paraId="1C6B5677" w14:textId="4E5C92A5" w:rsidR="006C03D0" w:rsidRPr="00587D00" w:rsidRDefault="005F7AD5" w:rsidP="006C03D0">
      <w:pPr>
        <w:pStyle w:val="ECCAnnex-heading1"/>
      </w:pPr>
      <w:bookmarkStart w:id="12" w:name="_Toc280099660"/>
      <w:bookmarkStart w:id="13" w:name="_GoBack"/>
      <w:bookmarkEnd w:id="13"/>
      <w:r w:rsidRPr="00587D00">
        <w:lastRenderedPageBreak/>
        <w:t>List of reference</w:t>
      </w:r>
      <w:bookmarkEnd w:id="12"/>
      <w:r w:rsidR="00AA6CEA">
        <w:t>s</w:t>
      </w:r>
    </w:p>
    <w:p w14:paraId="1C6B5678" w14:textId="77777777" w:rsidR="006C03D0" w:rsidRPr="00587D00" w:rsidRDefault="005F7AD5" w:rsidP="006C03D0">
      <w:pPr>
        <w:pStyle w:val="ECCParagraph"/>
      </w:pPr>
      <w:r w:rsidRPr="00587D00">
        <w:t>This annex contains the list of relevant reference documents.</w:t>
      </w:r>
    </w:p>
    <w:p w14:paraId="1C6B5679" w14:textId="77777777" w:rsidR="00915DD6" w:rsidRPr="003A1CA9" w:rsidRDefault="00915DD6" w:rsidP="00EE0568">
      <w:pPr>
        <w:pStyle w:val="reference"/>
        <w:numPr>
          <w:ilvl w:val="0"/>
          <w:numId w:val="11"/>
        </w:numPr>
        <w:rPr>
          <w:lang w:val="en-GB"/>
        </w:rPr>
      </w:pPr>
      <w:bookmarkStart w:id="14" w:name="_Ref524688298"/>
      <w:bookmarkStart w:id="15" w:name="_Ref524688340"/>
      <w:r w:rsidRPr="003A1CA9">
        <w:rPr>
          <w:lang w:val="en-GB"/>
        </w:rPr>
        <w:t>Recommendation ITU-R S.1587-5: “Provisional technical characteristics of earth stations on board vessels operating in the frequency bands 5</w:t>
      </w:r>
      <w:r w:rsidRPr="00EE0568">
        <w:t> </w:t>
      </w:r>
      <w:r w:rsidRPr="003A1CA9">
        <w:rPr>
          <w:lang w:val="en-GB"/>
        </w:rPr>
        <w:t>925-6</w:t>
      </w:r>
      <w:r w:rsidRPr="00EE0568">
        <w:t> </w:t>
      </w:r>
      <w:r w:rsidRPr="003A1CA9">
        <w:rPr>
          <w:lang w:val="en-GB"/>
        </w:rPr>
        <w:t>425 MHz and 14-14.5 GHz which are allocated to the fixed-satellite service”</w:t>
      </w:r>
      <w:bookmarkEnd w:id="14"/>
    </w:p>
    <w:p w14:paraId="1C6B567A" w14:textId="77777777" w:rsidR="00915DD6" w:rsidRPr="003A1CA9" w:rsidRDefault="00915DD6" w:rsidP="00EE0568">
      <w:pPr>
        <w:pStyle w:val="reference"/>
        <w:rPr>
          <w:lang w:val="en-GB"/>
        </w:rPr>
      </w:pPr>
      <w:bookmarkStart w:id="16" w:name="_Ref524688313"/>
      <w:r w:rsidRPr="003A1CA9">
        <w:rPr>
          <w:lang w:val="en-GB"/>
        </w:rPr>
        <w:t>Recommendation ITU-R SF.1585-0: “Example approach for determination of the composite area within which interference to fixed service stations from earth stations on board vessels when operating in motion near a coastline would need to be evaluated”</w:t>
      </w:r>
      <w:bookmarkEnd w:id="16"/>
    </w:p>
    <w:p w14:paraId="1C6B567B" w14:textId="5072B528" w:rsidR="00915DD6" w:rsidRPr="003A1CA9" w:rsidRDefault="00915DD6" w:rsidP="00EE0568">
      <w:pPr>
        <w:pStyle w:val="reference"/>
        <w:rPr>
          <w:lang w:val="en-GB"/>
        </w:rPr>
      </w:pPr>
      <w:bookmarkStart w:id="17" w:name="_Ref524688318"/>
      <w:r w:rsidRPr="003A1CA9">
        <w:rPr>
          <w:lang w:val="en-GB"/>
        </w:rPr>
        <w:t>Recommendation ITU-R SF.1648-0: “Use of frequencies by earth stations on board vessels transmitting in certain bands allocated to the fixed-satellite service”</w:t>
      </w:r>
      <w:bookmarkEnd w:id="17"/>
    </w:p>
    <w:p w14:paraId="1C6B567C" w14:textId="77777777" w:rsidR="00915DD6" w:rsidRPr="003A1CA9" w:rsidRDefault="00915DD6" w:rsidP="00EE0568">
      <w:pPr>
        <w:pStyle w:val="reference"/>
        <w:rPr>
          <w:lang w:val="en-GB"/>
        </w:rPr>
      </w:pPr>
      <w:bookmarkStart w:id="18" w:name="_Ref524688324"/>
      <w:r w:rsidRPr="003A1CA9">
        <w:rPr>
          <w:lang w:val="en-GB"/>
        </w:rPr>
        <w:t>Recommendation ITU-R SF.1649-1: “Guidance for determination of interference from earth stations on vessels (ESV) to stations in the fixed service when the ESV is within the minimum distance”</w:t>
      </w:r>
      <w:bookmarkEnd w:id="18"/>
    </w:p>
    <w:p w14:paraId="1C6B567D" w14:textId="77777777" w:rsidR="00915DD6" w:rsidRPr="003A1CA9" w:rsidRDefault="00915DD6" w:rsidP="00EE0568">
      <w:pPr>
        <w:pStyle w:val="reference"/>
        <w:rPr>
          <w:lang w:val="en-GB"/>
        </w:rPr>
      </w:pPr>
      <w:bookmarkStart w:id="19" w:name="_Ref524688330"/>
      <w:r w:rsidRPr="003A1CA9">
        <w:rPr>
          <w:lang w:val="en-GB"/>
        </w:rPr>
        <w:t>Recommendation ITU-R SF.1650-1: “The minimum distance from the coastline beyond which in-motion earth stations located on board vessels would not cause unacceptable interference to the fixed service in the bands 5 925-6 425 MHz and 14-14.5 GHz”</w:t>
      </w:r>
      <w:bookmarkEnd w:id="19"/>
    </w:p>
    <w:p w14:paraId="1C6B567E" w14:textId="77777777" w:rsidR="00083E3D" w:rsidRPr="003A1CA9" w:rsidRDefault="00083E3D" w:rsidP="00EE0568">
      <w:pPr>
        <w:pStyle w:val="reference"/>
        <w:rPr>
          <w:lang w:val="en-GB"/>
        </w:rPr>
      </w:pPr>
      <w:bookmarkStart w:id="20" w:name="_Ref524695324"/>
      <w:r w:rsidRPr="003A1CA9">
        <w:rPr>
          <w:lang w:val="en-GB"/>
        </w:rPr>
        <w:t>ITU Radio Regulations</w:t>
      </w:r>
      <w:r w:rsidR="00D268DA" w:rsidRPr="003A1CA9">
        <w:rPr>
          <w:lang w:val="en-GB"/>
        </w:rPr>
        <w:t>,</w:t>
      </w:r>
      <w:r w:rsidRPr="003A1CA9">
        <w:rPr>
          <w:lang w:val="en-GB"/>
        </w:rPr>
        <w:t xml:space="preserve"> Edition of 2016</w:t>
      </w:r>
      <w:bookmarkEnd w:id="15"/>
      <w:bookmarkEnd w:id="20"/>
    </w:p>
    <w:p w14:paraId="1C6B567F" w14:textId="77777777" w:rsidR="00915DD6" w:rsidRPr="003A1CA9" w:rsidRDefault="00915DD6" w:rsidP="00EE0568">
      <w:pPr>
        <w:pStyle w:val="reference"/>
        <w:rPr>
          <w:lang w:val="en-GB"/>
        </w:rPr>
      </w:pPr>
      <w:bookmarkStart w:id="21" w:name="_Ref524689402"/>
      <w:r w:rsidRPr="003A1CA9">
        <w:rPr>
          <w:lang w:val="en-GB"/>
        </w:rPr>
        <w:t>United Nations Convention on the Law of the Sea (UNCLOS 1982)</w:t>
      </w:r>
      <w:bookmarkEnd w:id="21"/>
    </w:p>
    <w:p w14:paraId="1C6B5680" w14:textId="77777777" w:rsidR="00915DD6" w:rsidRPr="003A1CA9" w:rsidRDefault="00915DD6" w:rsidP="00EE0568">
      <w:pPr>
        <w:pStyle w:val="reference"/>
        <w:rPr>
          <w:lang w:val="en-GB"/>
        </w:rPr>
      </w:pPr>
      <w:bookmarkStart w:id="22" w:name="_Ref524695711"/>
      <w:r w:rsidRPr="003A1CA9">
        <w:rPr>
          <w:lang w:val="en-GB"/>
        </w:rPr>
        <w:t>Directive 2014/53/EU of the European Parliament and of the Council of 16 April 2014 on the harmonisation of the laws of the Member States relating to the making available on the market of radio equipment and repealing Directive 1999/5/EC</w:t>
      </w:r>
    </w:p>
    <w:p w14:paraId="1C6B5683" w14:textId="717B4804" w:rsidR="006C03D0" w:rsidRPr="003A1CA9" w:rsidRDefault="001B7296" w:rsidP="003B0EBF">
      <w:pPr>
        <w:pStyle w:val="reference"/>
        <w:rPr>
          <w:lang w:val="en-GB"/>
        </w:rPr>
      </w:pPr>
      <w:bookmarkStart w:id="23" w:name="_Ref524696102"/>
      <w:bookmarkEnd w:id="22"/>
      <w:r w:rsidRPr="003A1CA9">
        <w:rPr>
          <w:lang w:val="en-GB"/>
        </w:rPr>
        <w:t>ECC Report</w:t>
      </w:r>
      <w:r w:rsidR="00F87A7E" w:rsidRPr="003A1CA9">
        <w:rPr>
          <w:lang w:val="en-GB"/>
        </w:rPr>
        <w:t xml:space="preserve"> 272</w:t>
      </w:r>
      <w:r w:rsidR="004826D8" w:rsidRPr="003A1CA9">
        <w:rPr>
          <w:lang w:val="en-GB"/>
        </w:rPr>
        <w:t>: “</w:t>
      </w:r>
      <w:r w:rsidR="00F87A7E" w:rsidRPr="003A1CA9">
        <w:rPr>
          <w:lang w:val="en-GB"/>
        </w:rPr>
        <w:t>Earth Stations operated in the frequency bands 4-6 GHz, 12-18 GHz And 18-40 GHz in the vicinity of Aircraft</w:t>
      </w:r>
      <w:r w:rsidR="004826D8" w:rsidRPr="003A1CA9">
        <w:rPr>
          <w:lang w:val="en-GB"/>
        </w:rPr>
        <w:t>”</w:t>
      </w:r>
      <w:r w:rsidR="00F60531" w:rsidRPr="003A1CA9">
        <w:rPr>
          <w:lang w:val="en-GB"/>
        </w:rPr>
        <w:t>, January 2018</w:t>
      </w:r>
      <w:bookmarkEnd w:id="23"/>
    </w:p>
    <w:p w14:paraId="1C6B5684" w14:textId="605B184C" w:rsidR="001B7296" w:rsidRPr="003A1CA9" w:rsidRDefault="001B7296" w:rsidP="003A1CA9">
      <w:pPr>
        <w:pStyle w:val="reference"/>
        <w:rPr>
          <w:lang w:val="en-GB"/>
        </w:rPr>
      </w:pPr>
      <w:bookmarkStart w:id="24" w:name="_Ref524696081"/>
      <w:r w:rsidRPr="003A1CA9">
        <w:rPr>
          <w:lang w:val="en-GB"/>
        </w:rPr>
        <w:t>ECC Report 069</w:t>
      </w:r>
      <w:r w:rsidR="004826D8" w:rsidRPr="003A1CA9">
        <w:rPr>
          <w:lang w:val="en-GB"/>
        </w:rPr>
        <w:t>: “</w:t>
      </w:r>
      <w:r w:rsidR="00083E3D" w:rsidRPr="003A1CA9">
        <w:rPr>
          <w:lang w:val="en-GB"/>
        </w:rPr>
        <w:t xml:space="preserve">Formats for submission of information from administrations to the Office on conditions for operation </w:t>
      </w:r>
      <w:r w:rsidR="008D3125" w:rsidRPr="003A1CA9">
        <w:rPr>
          <w:lang w:val="en-GB"/>
        </w:rPr>
        <w:t>of Earth stations aboard vessels within the separation distances identified in ITU RR Resolution 902</w:t>
      </w:r>
      <w:r w:rsidR="004826D8" w:rsidRPr="003A1CA9">
        <w:rPr>
          <w:lang w:val="en-GB"/>
        </w:rPr>
        <w:t>”</w:t>
      </w:r>
      <w:r w:rsidR="00083E3D" w:rsidRPr="003A1CA9">
        <w:rPr>
          <w:lang w:val="en-GB"/>
        </w:rPr>
        <w:t>, January 2005</w:t>
      </w:r>
      <w:bookmarkEnd w:id="24"/>
    </w:p>
    <w:p w14:paraId="1C6B5685" w14:textId="77777777" w:rsidR="006C03D0" w:rsidRPr="00587D00" w:rsidRDefault="006C03D0" w:rsidP="006C03D0">
      <w:pPr>
        <w:pStyle w:val="ECCParagraph"/>
      </w:pPr>
    </w:p>
    <w:p w14:paraId="1C6B5686" w14:textId="77777777" w:rsidR="00EB2673" w:rsidRPr="00587D00" w:rsidRDefault="00EB2673" w:rsidP="006C03D0">
      <w:pPr>
        <w:pStyle w:val="ECCParagraph"/>
      </w:pPr>
    </w:p>
    <w:sectPr w:rsidR="00EB2673" w:rsidRPr="00587D00" w:rsidSect="006C03D0">
      <w:headerReference w:type="even" r:id="rId11"/>
      <w:headerReference w:type="default" r:id="rId12"/>
      <w:head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B568D" w14:textId="77777777" w:rsidR="00163489" w:rsidRDefault="00163489" w:rsidP="006C03D0">
      <w:r>
        <w:separator/>
      </w:r>
    </w:p>
  </w:endnote>
  <w:endnote w:type="continuationSeparator" w:id="0">
    <w:p w14:paraId="1C6B568E" w14:textId="77777777" w:rsidR="00163489" w:rsidRDefault="00163489"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568B" w14:textId="77777777" w:rsidR="00163489" w:rsidRDefault="00163489" w:rsidP="006C03D0">
      <w:r>
        <w:separator/>
      </w:r>
    </w:p>
  </w:footnote>
  <w:footnote w:type="continuationSeparator" w:id="0">
    <w:p w14:paraId="1C6B568C" w14:textId="77777777" w:rsidR="00163489" w:rsidRDefault="00163489" w:rsidP="006C03D0">
      <w:r>
        <w:continuationSeparator/>
      </w:r>
    </w:p>
  </w:footnote>
  <w:footnote w:id="1">
    <w:p w14:paraId="1C6B569A" w14:textId="77777777" w:rsidR="005464A7" w:rsidRPr="005464A7" w:rsidRDefault="005464A7" w:rsidP="00D43858">
      <w:pPr>
        <w:pStyle w:val="ECCFootnote"/>
        <w:rPr>
          <w:lang w:val="en-GB"/>
        </w:rPr>
      </w:pPr>
      <w:r>
        <w:rPr>
          <w:rStyle w:val="FootnoteReference"/>
        </w:rPr>
        <w:footnoteRef/>
      </w:r>
      <w:r>
        <w:t xml:space="preserve"> </w:t>
      </w:r>
      <w:r w:rsidRPr="005464A7">
        <w:t>S</w:t>
      </w:r>
      <w:r>
        <w:t xml:space="preserve">ee example of contour in Table </w:t>
      </w:r>
      <w:r w:rsidRPr="005464A7">
        <w:t>4</w:t>
      </w:r>
      <w:r>
        <w:t>.</w:t>
      </w:r>
    </w:p>
  </w:footnote>
  <w:footnote w:id="2">
    <w:p w14:paraId="1C6B569B" w14:textId="77777777" w:rsidR="005464A7" w:rsidRPr="005464A7" w:rsidRDefault="005464A7" w:rsidP="00D43858">
      <w:pPr>
        <w:pStyle w:val="ECCFootnote"/>
        <w:rPr>
          <w:lang w:val="en-GB"/>
        </w:rPr>
      </w:pPr>
      <w:r>
        <w:rPr>
          <w:rStyle w:val="FootnoteReference"/>
        </w:rPr>
        <w:footnoteRef/>
      </w:r>
      <w:r>
        <w:t xml:space="preserve"> </w:t>
      </w:r>
      <w:r w:rsidRPr="005464A7">
        <w:t>See list of possib</w:t>
      </w:r>
      <w:r>
        <w:t>le contour parameters in Table 5.</w:t>
      </w:r>
    </w:p>
  </w:footnote>
  <w:footnote w:id="3">
    <w:p w14:paraId="1C6B569C" w14:textId="5E3A9B75" w:rsidR="00303496" w:rsidRPr="00303496" w:rsidRDefault="00303496" w:rsidP="00303496">
      <w:pPr>
        <w:pStyle w:val="ECCFootnote"/>
        <w:rPr>
          <w:lang w:val="en-GB"/>
        </w:rPr>
      </w:pPr>
      <w:r>
        <w:rPr>
          <w:rStyle w:val="FootnoteReference"/>
        </w:rPr>
        <w:footnoteRef/>
      </w:r>
      <w:r w:rsidRPr="004826D8">
        <w:t xml:space="preserve"> ECC Report </w:t>
      </w:r>
      <w:r w:rsidR="00F87A7E" w:rsidRPr="004826D8">
        <w:t xml:space="preserve">272 </w:t>
      </w:r>
      <w:r w:rsidR="00206722">
        <w:fldChar w:fldCharType="begin"/>
      </w:r>
      <w:r w:rsidR="00206722">
        <w:instrText xml:space="preserve"> REF _Ref524696102 \r \h </w:instrText>
      </w:r>
      <w:r w:rsidR="00206722">
        <w:fldChar w:fldCharType="separate"/>
      </w:r>
      <w:r w:rsidR="00206722">
        <w:t>[9]</w:t>
      </w:r>
      <w:r w:rsidR="00206722">
        <w:fldChar w:fldCharType="end"/>
      </w:r>
      <w:r w:rsidR="00F87A7E" w:rsidRPr="004826D8">
        <w:t>consider</w:t>
      </w:r>
      <w:r w:rsidR="00206722">
        <w:t>s</w:t>
      </w:r>
      <w:r w:rsidR="00F87A7E" w:rsidRPr="004826D8">
        <w:t xml:space="preserve"> the operation of Earth Stations in the frequency bands 4-6 GHz, 12-18 GHz And 18-40 GHz in the vicinity of Aircraft.</w:t>
      </w:r>
      <w:r w:rsidRPr="004826D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568F" w14:textId="2BCA8306" w:rsidR="00FA4704" w:rsidRPr="007C5F95" w:rsidRDefault="00B03382">
    <w:pPr>
      <w:pStyle w:val="Header"/>
      <w:rPr>
        <w:szCs w:val="16"/>
        <w:lang w:val="da-DK"/>
      </w:rPr>
    </w:pPr>
    <w:r>
      <w:rPr>
        <w:lang w:val="da-DK"/>
      </w:rPr>
      <w:t>ECC/DEC/</w:t>
    </w:r>
    <w:r w:rsidR="00FA4704" w:rsidRPr="007C5F95">
      <w:rPr>
        <w:lang w:val="da-DK"/>
      </w:rPr>
      <w:t>(</w:t>
    </w:r>
    <w:r w:rsidR="00C75904">
      <w:rPr>
        <w:lang w:val="da-DK"/>
      </w:rPr>
      <w:t>05</w:t>
    </w:r>
    <w:r w:rsidR="00FA4704" w:rsidRPr="007C5F95">
      <w:rPr>
        <w:lang w:val="da-DK"/>
      </w:rPr>
      <w:t>)</w:t>
    </w:r>
    <w:r w:rsidR="00C75904">
      <w:rPr>
        <w:lang w:val="da-DK"/>
      </w:rPr>
      <w:t>09</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5218C" w:rsidRPr="00F5218C">
      <w:rPr>
        <w:noProof/>
        <w:szCs w:val="16"/>
        <w:lang w:val="da-DK"/>
      </w:rPr>
      <w:t>12</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5690" w14:textId="131152AD" w:rsidR="00FA4704" w:rsidRPr="007C5F95" w:rsidRDefault="00B03382" w:rsidP="006C03D0">
    <w:pPr>
      <w:pStyle w:val="Header"/>
      <w:jc w:val="right"/>
      <w:rPr>
        <w:szCs w:val="16"/>
        <w:lang w:val="da-DK"/>
      </w:rPr>
    </w:pPr>
    <w:r>
      <w:rPr>
        <w:lang w:val="da-DK"/>
      </w:rPr>
      <w:t>ECC/DEC/</w:t>
    </w:r>
    <w:r w:rsidR="00FA4704" w:rsidRPr="007C5F95">
      <w:rPr>
        <w:lang w:val="da-DK"/>
      </w:rPr>
      <w:t>(</w:t>
    </w:r>
    <w:r w:rsidR="00C75904">
      <w:rPr>
        <w:lang w:val="da-DK"/>
      </w:rPr>
      <w:t>05</w:t>
    </w:r>
    <w:r w:rsidR="00FA4704" w:rsidRPr="007C5F95">
      <w:rPr>
        <w:lang w:val="da-DK"/>
      </w:rPr>
      <w:t>)</w:t>
    </w:r>
    <w:r w:rsidR="00C75904">
      <w:rPr>
        <w:lang w:val="da-DK"/>
      </w:rPr>
      <w:t>09</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E29B6" w:rsidRPr="00FE29B6">
      <w:rPr>
        <w:noProof/>
        <w:szCs w:val="16"/>
        <w:lang w:val="da-DK"/>
      </w:rPr>
      <w:t>13</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5691" w14:textId="4D83CDA7" w:rsidR="00FA4704" w:rsidRDefault="00FA4704" w:rsidP="00541CCE">
    <w:pPr>
      <w:pStyle w:val="Header"/>
      <w:jc w:val="right"/>
      <w:rPr>
        <w:sz w:val="24"/>
      </w:rPr>
    </w:pPr>
    <w:r w:rsidRPr="00541CCE">
      <w:rPr>
        <w:noProof/>
        <w:sz w:val="24"/>
        <w:lang w:val="da-DK" w:eastAsia="da-DK"/>
      </w:rPr>
      <w:drawing>
        <wp:anchor distT="0" distB="0" distL="114300" distR="114300" simplePos="0" relativeHeight="251658240" behindDoc="0" locked="0" layoutInCell="1" allowOverlap="1" wp14:anchorId="1C6B5696" wp14:editId="1C6B5697">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541CCE">
      <w:rPr>
        <w:noProof/>
        <w:sz w:val="24"/>
        <w:lang w:val="da-DK" w:eastAsia="da-DK"/>
      </w:rPr>
      <w:drawing>
        <wp:anchor distT="0" distB="0" distL="114300" distR="114300" simplePos="0" relativeHeight="251657216" behindDoc="0" locked="0" layoutInCell="1" allowOverlap="1" wp14:anchorId="1C6B5698" wp14:editId="1C6B5699">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1C6B5692" w14:textId="77777777" w:rsidR="00A96A1F" w:rsidRPr="00541CCE" w:rsidRDefault="00A96A1F" w:rsidP="00541CCE">
    <w:pPr>
      <w:pStyle w:val="Heade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AF1"/>
    <w:multiLevelType w:val="hybridMultilevel"/>
    <w:tmpl w:val="6E00867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C4E0EBA"/>
    <w:multiLevelType w:val="hybridMultilevel"/>
    <w:tmpl w:val="461AC02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178731A"/>
    <w:multiLevelType w:val="hybridMultilevel"/>
    <w:tmpl w:val="A91E66BE"/>
    <w:lvl w:ilvl="0" w:tplc="FBD22A72">
      <w:start w:val="2"/>
      <w:numFmt w:val="bullet"/>
      <w:lvlText w:val="-"/>
      <w:lvlJc w:val="left"/>
      <w:pPr>
        <w:tabs>
          <w:tab w:val="num" w:pos="1004"/>
        </w:tabs>
        <w:ind w:left="1004" w:hanging="360"/>
      </w:pPr>
      <w:rPr>
        <w:rFonts w:ascii="Times New Roman" w:eastAsia="Times New Roman" w:hAnsi="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Times New Roman" w:hint="default"/>
      </w:rPr>
    </w:lvl>
    <w:lvl w:ilvl="3" w:tplc="04090001">
      <w:start w:val="1"/>
      <w:numFmt w:val="bullet"/>
      <w:lvlText w:val=""/>
      <w:lvlJc w:val="left"/>
      <w:pPr>
        <w:tabs>
          <w:tab w:val="num" w:pos="3164"/>
        </w:tabs>
        <w:ind w:left="3164" w:hanging="360"/>
      </w:pPr>
      <w:rPr>
        <w:rFonts w:ascii="Symbol" w:hAnsi="Symbol"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Times New Roman" w:hint="default"/>
      </w:rPr>
    </w:lvl>
    <w:lvl w:ilvl="6" w:tplc="04090001">
      <w:start w:val="1"/>
      <w:numFmt w:val="bullet"/>
      <w:lvlText w:val=""/>
      <w:lvlJc w:val="left"/>
      <w:pPr>
        <w:tabs>
          <w:tab w:val="num" w:pos="5324"/>
        </w:tabs>
        <w:ind w:left="5324" w:hanging="360"/>
      </w:pPr>
      <w:rPr>
        <w:rFonts w:ascii="Symbol" w:hAnsi="Symbol"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Times New Roman" w:hint="default"/>
      </w:rPr>
    </w:lvl>
  </w:abstractNum>
  <w:abstractNum w:abstractNumId="9">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D88178A"/>
    <w:multiLevelType w:val="hybridMultilevel"/>
    <w:tmpl w:val="87869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nsid w:val="5DB0728A"/>
    <w:multiLevelType w:val="hybridMultilevel"/>
    <w:tmpl w:val="E4761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7"/>
  </w:num>
  <w:num w:numId="4">
    <w:abstractNumId w:val="6"/>
  </w:num>
  <w:num w:numId="5">
    <w:abstractNumId w:val="19"/>
  </w:num>
  <w:num w:numId="6">
    <w:abstractNumId w:val="11"/>
  </w:num>
  <w:num w:numId="7">
    <w:abstractNumId w:val="10"/>
  </w:num>
  <w:num w:numId="8">
    <w:abstractNumId w:val="16"/>
  </w:num>
  <w:num w:numId="9">
    <w:abstractNumId w:val="15"/>
  </w:num>
  <w:num w:numId="10">
    <w:abstractNumId w:val="12"/>
  </w:num>
  <w:num w:numId="11">
    <w:abstractNumId w:val="16"/>
    <w:lvlOverride w:ilvl="0">
      <w:startOverride w:val="1"/>
    </w:lvlOverride>
  </w:num>
  <w:num w:numId="12">
    <w:abstractNumId w:val="5"/>
  </w:num>
  <w:num w:numId="13">
    <w:abstractNumId w:val="2"/>
  </w:num>
  <w:num w:numId="14">
    <w:abstractNumId w:val="22"/>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23"/>
  </w:num>
  <w:num w:numId="20">
    <w:abstractNumId w:val="13"/>
  </w:num>
  <w:num w:numId="21">
    <w:abstractNumId w:val="25"/>
  </w:num>
  <w:num w:numId="22">
    <w:abstractNumId w:val="26"/>
  </w:num>
  <w:num w:numId="23">
    <w:abstractNumId w:val="1"/>
  </w:num>
  <w:num w:numId="24">
    <w:abstractNumId w:val="3"/>
  </w:num>
  <w:num w:numId="25">
    <w:abstractNumId w:val="4"/>
  </w:num>
  <w:num w:numId="26">
    <w:abstractNumId w:val="0"/>
  </w:num>
  <w:num w:numId="27">
    <w:abstractNumId w:val="18"/>
  </w:num>
  <w:num w:numId="28">
    <w:abstractNumId w:val="8"/>
  </w:num>
  <w:num w:numId="29">
    <w:abstractNumId w:val="2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FD"/>
    <w:rsid w:val="00031379"/>
    <w:rsid w:val="000623E6"/>
    <w:rsid w:val="00072B81"/>
    <w:rsid w:val="00075393"/>
    <w:rsid w:val="00080E6A"/>
    <w:rsid w:val="00083E3D"/>
    <w:rsid w:val="000A1062"/>
    <w:rsid w:val="000C183F"/>
    <w:rsid w:val="000F3919"/>
    <w:rsid w:val="00135595"/>
    <w:rsid w:val="0013619B"/>
    <w:rsid w:val="001400E7"/>
    <w:rsid w:val="00152005"/>
    <w:rsid w:val="00163489"/>
    <w:rsid w:val="00190865"/>
    <w:rsid w:val="00194905"/>
    <w:rsid w:val="001B7296"/>
    <w:rsid w:val="001C3DB9"/>
    <w:rsid w:val="001C46EA"/>
    <w:rsid w:val="001C6807"/>
    <w:rsid w:val="001C7812"/>
    <w:rsid w:val="001D7572"/>
    <w:rsid w:val="001E0C8D"/>
    <w:rsid w:val="00204371"/>
    <w:rsid w:val="00206722"/>
    <w:rsid w:val="00233E61"/>
    <w:rsid w:val="002741A5"/>
    <w:rsid w:val="00294381"/>
    <w:rsid w:val="002C0CF4"/>
    <w:rsid w:val="002E31BF"/>
    <w:rsid w:val="00303496"/>
    <w:rsid w:val="00317C15"/>
    <w:rsid w:val="00344808"/>
    <w:rsid w:val="003713B6"/>
    <w:rsid w:val="003760F4"/>
    <w:rsid w:val="00376E4A"/>
    <w:rsid w:val="003A1CA9"/>
    <w:rsid w:val="003A467B"/>
    <w:rsid w:val="003A68E7"/>
    <w:rsid w:val="003B0EBF"/>
    <w:rsid w:val="0040068D"/>
    <w:rsid w:val="00412E32"/>
    <w:rsid w:val="004826D8"/>
    <w:rsid w:val="00484B6C"/>
    <w:rsid w:val="004C730D"/>
    <w:rsid w:val="004C75EB"/>
    <w:rsid w:val="004D013B"/>
    <w:rsid w:val="004D4301"/>
    <w:rsid w:val="00504DC4"/>
    <w:rsid w:val="00536A86"/>
    <w:rsid w:val="0053771A"/>
    <w:rsid w:val="00541CCE"/>
    <w:rsid w:val="00543149"/>
    <w:rsid w:val="005464A7"/>
    <w:rsid w:val="00575649"/>
    <w:rsid w:val="0058263A"/>
    <w:rsid w:val="00587B1A"/>
    <w:rsid w:val="00587D00"/>
    <w:rsid w:val="005954AC"/>
    <w:rsid w:val="005A3F6C"/>
    <w:rsid w:val="005A4408"/>
    <w:rsid w:val="005D00E8"/>
    <w:rsid w:val="005F3519"/>
    <w:rsid w:val="005F7AD5"/>
    <w:rsid w:val="00612B3F"/>
    <w:rsid w:val="00623D9C"/>
    <w:rsid w:val="0062463C"/>
    <w:rsid w:val="00632CD1"/>
    <w:rsid w:val="00657B56"/>
    <w:rsid w:val="0069772E"/>
    <w:rsid w:val="006B262C"/>
    <w:rsid w:val="006C03D0"/>
    <w:rsid w:val="006D1ABA"/>
    <w:rsid w:val="006E21CB"/>
    <w:rsid w:val="006F2C97"/>
    <w:rsid w:val="0070052E"/>
    <w:rsid w:val="00703E3F"/>
    <w:rsid w:val="00705DB9"/>
    <w:rsid w:val="00713DBA"/>
    <w:rsid w:val="00750F48"/>
    <w:rsid w:val="00770BA1"/>
    <w:rsid w:val="007831F1"/>
    <w:rsid w:val="007A32C1"/>
    <w:rsid w:val="007A79AD"/>
    <w:rsid w:val="007C6571"/>
    <w:rsid w:val="007E23E4"/>
    <w:rsid w:val="007F02C1"/>
    <w:rsid w:val="007F7CE7"/>
    <w:rsid w:val="008362EF"/>
    <w:rsid w:val="00866E38"/>
    <w:rsid w:val="0088451F"/>
    <w:rsid w:val="008D3125"/>
    <w:rsid w:val="00915DD6"/>
    <w:rsid w:val="00922011"/>
    <w:rsid w:val="0092683F"/>
    <w:rsid w:val="009328FD"/>
    <w:rsid w:val="00936BFE"/>
    <w:rsid w:val="00977F89"/>
    <w:rsid w:val="009924F3"/>
    <w:rsid w:val="009E535A"/>
    <w:rsid w:val="009F14FD"/>
    <w:rsid w:val="00A02481"/>
    <w:rsid w:val="00A27DF0"/>
    <w:rsid w:val="00A41673"/>
    <w:rsid w:val="00A67AAB"/>
    <w:rsid w:val="00A8085A"/>
    <w:rsid w:val="00A92CBF"/>
    <w:rsid w:val="00A96A1F"/>
    <w:rsid w:val="00AA6CEA"/>
    <w:rsid w:val="00AE01F2"/>
    <w:rsid w:val="00AE3162"/>
    <w:rsid w:val="00AE57BE"/>
    <w:rsid w:val="00B03382"/>
    <w:rsid w:val="00B128BA"/>
    <w:rsid w:val="00B23041"/>
    <w:rsid w:val="00B238D4"/>
    <w:rsid w:val="00B2636B"/>
    <w:rsid w:val="00B762AB"/>
    <w:rsid w:val="00BA02D1"/>
    <w:rsid w:val="00BA5176"/>
    <w:rsid w:val="00BB01B1"/>
    <w:rsid w:val="00BC3D05"/>
    <w:rsid w:val="00C05E34"/>
    <w:rsid w:val="00C1340F"/>
    <w:rsid w:val="00C17261"/>
    <w:rsid w:val="00C33FE5"/>
    <w:rsid w:val="00C51175"/>
    <w:rsid w:val="00C64D00"/>
    <w:rsid w:val="00C665E0"/>
    <w:rsid w:val="00C75904"/>
    <w:rsid w:val="00C95A27"/>
    <w:rsid w:val="00CC4995"/>
    <w:rsid w:val="00CC5073"/>
    <w:rsid w:val="00D03E03"/>
    <w:rsid w:val="00D05F67"/>
    <w:rsid w:val="00D10F75"/>
    <w:rsid w:val="00D268DA"/>
    <w:rsid w:val="00D411D9"/>
    <w:rsid w:val="00D43858"/>
    <w:rsid w:val="00D547D7"/>
    <w:rsid w:val="00D61FAB"/>
    <w:rsid w:val="00D74B16"/>
    <w:rsid w:val="00D90B0A"/>
    <w:rsid w:val="00DA090D"/>
    <w:rsid w:val="00DA1F36"/>
    <w:rsid w:val="00DA5DE8"/>
    <w:rsid w:val="00DB6E96"/>
    <w:rsid w:val="00DB7659"/>
    <w:rsid w:val="00DC0568"/>
    <w:rsid w:val="00DD550C"/>
    <w:rsid w:val="00DF0DD7"/>
    <w:rsid w:val="00DF32C0"/>
    <w:rsid w:val="00E11E0C"/>
    <w:rsid w:val="00E56C85"/>
    <w:rsid w:val="00E63F7B"/>
    <w:rsid w:val="00E65E22"/>
    <w:rsid w:val="00E6704B"/>
    <w:rsid w:val="00E73D39"/>
    <w:rsid w:val="00EB2673"/>
    <w:rsid w:val="00EC06C7"/>
    <w:rsid w:val="00ED6E25"/>
    <w:rsid w:val="00EE0568"/>
    <w:rsid w:val="00EE1B0B"/>
    <w:rsid w:val="00F01806"/>
    <w:rsid w:val="00F177F1"/>
    <w:rsid w:val="00F32EE8"/>
    <w:rsid w:val="00F35CD1"/>
    <w:rsid w:val="00F5218C"/>
    <w:rsid w:val="00F60531"/>
    <w:rsid w:val="00F87A7E"/>
    <w:rsid w:val="00FA4704"/>
    <w:rsid w:val="00FD1C53"/>
    <w:rsid w:val="00FD3D26"/>
    <w:rsid w:val="00FE29B6"/>
    <w:rsid w:val="00FF01F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14:docId w14:val="1C6B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58"/>
    <w:rPr>
      <w:rFonts w:ascii="Arial" w:hAnsi="Arial"/>
      <w:szCs w:val="24"/>
      <w:lang w:val="en-US"/>
    </w:rPr>
  </w:style>
  <w:style w:type="paragraph" w:styleId="Heading1">
    <w:name w:val="heading 1"/>
    <w:aliases w:val="ECC Heading 1"/>
    <w:basedOn w:val="Normal"/>
    <w:next w:val="ECCParagraph"/>
    <w:autoRedefine/>
    <w:qFormat/>
    <w:rsid w:val="00587B1A"/>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DB7659"/>
    <w:pPr>
      <w:keepNext/>
      <w:numPr>
        <w:ilvl w:val="1"/>
        <w:numId w:val="1"/>
      </w:numPr>
      <w:spacing w:before="360" w:after="120"/>
      <w:outlineLvl w:val="2"/>
    </w:pPr>
    <w:rPr>
      <w:rFonts w:cs="Arial"/>
      <w:b/>
      <w:bCs/>
      <w:color w:val="D2232A"/>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xampletext">
    <w:name w:val="Example text"/>
    <w:basedOn w:val="Normal"/>
    <w:rsid w:val="005464A7"/>
    <w:pPr>
      <w:spacing w:after="120"/>
      <w:jc w:val="center"/>
    </w:pPr>
    <w:rPr>
      <w:rFonts w:ascii="Courier" w:hAnsi="Courier" w:cs="Arial"/>
      <w:lang w:val="en-GB"/>
    </w:rPr>
  </w:style>
  <w:style w:type="paragraph" w:styleId="Caption">
    <w:name w:val="caption"/>
    <w:basedOn w:val="Normal"/>
    <w:next w:val="Normal"/>
    <w:uiPriority w:val="35"/>
    <w:unhideWhenUsed/>
    <w:qFormat/>
    <w:rsid w:val="00DA5DE8"/>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484B6C"/>
    <w:rPr>
      <w:color w:val="800080" w:themeColor="followedHyperlink"/>
      <w:u w:val="single"/>
    </w:rPr>
  </w:style>
  <w:style w:type="character" w:styleId="CommentReference">
    <w:name w:val="annotation reference"/>
    <w:basedOn w:val="DefaultParagraphFont"/>
    <w:uiPriority w:val="99"/>
    <w:semiHidden/>
    <w:unhideWhenUsed/>
    <w:rsid w:val="003B0EBF"/>
    <w:rPr>
      <w:sz w:val="16"/>
      <w:szCs w:val="16"/>
    </w:rPr>
  </w:style>
  <w:style w:type="paragraph" w:styleId="CommentText">
    <w:name w:val="annotation text"/>
    <w:basedOn w:val="Normal"/>
    <w:link w:val="CommentTextChar"/>
    <w:uiPriority w:val="99"/>
    <w:semiHidden/>
    <w:unhideWhenUsed/>
    <w:rsid w:val="003B0EBF"/>
    <w:rPr>
      <w:szCs w:val="20"/>
    </w:rPr>
  </w:style>
  <w:style w:type="character" w:customStyle="1" w:styleId="CommentTextChar">
    <w:name w:val="Comment Text Char"/>
    <w:basedOn w:val="DefaultParagraphFont"/>
    <w:link w:val="CommentText"/>
    <w:uiPriority w:val="99"/>
    <w:semiHidden/>
    <w:rsid w:val="003B0EBF"/>
    <w:rPr>
      <w:rFonts w:ascii="Arial" w:hAnsi="Arial"/>
      <w:lang w:val="en-US"/>
    </w:rPr>
  </w:style>
  <w:style w:type="paragraph" w:styleId="CommentSubject">
    <w:name w:val="annotation subject"/>
    <w:basedOn w:val="CommentText"/>
    <w:next w:val="CommentText"/>
    <w:link w:val="CommentSubjectChar"/>
    <w:uiPriority w:val="99"/>
    <w:semiHidden/>
    <w:unhideWhenUsed/>
    <w:rsid w:val="003B0EBF"/>
    <w:rPr>
      <w:b/>
      <w:bCs/>
    </w:rPr>
  </w:style>
  <w:style w:type="character" w:customStyle="1" w:styleId="CommentSubjectChar">
    <w:name w:val="Comment Subject Char"/>
    <w:basedOn w:val="CommentTextChar"/>
    <w:link w:val="CommentSubject"/>
    <w:uiPriority w:val="99"/>
    <w:semiHidden/>
    <w:rsid w:val="003B0EBF"/>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58"/>
    <w:rPr>
      <w:rFonts w:ascii="Arial" w:hAnsi="Arial"/>
      <w:szCs w:val="24"/>
      <w:lang w:val="en-US"/>
    </w:rPr>
  </w:style>
  <w:style w:type="paragraph" w:styleId="Heading1">
    <w:name w:val="heading 1"/>
    <w:aliases w:val="ECC Heading 1"/>
    <w:basedOn w:val="Normal"/>
    <w:next w:val="ECCParagraph"/>
    <w:autoRedefine/>
    <w:qFormat/>
    <w:rsid w:val="00587B1A"/>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DB7659"/>
    <w:pPr>
      <w:keepNext/>
      <w:numPr>
        <w:ilvl w:val="1"/>
        <w:numId w:val="1"/>
      </w:numPr>
      <w:spacing w:before="360" w:after="120"/>
      <w:outlineLvl w:val="2"/>
    </w:pPr>
    <w:rPr>
      <w:rFonts w:cs="Arial"/>
      <w:b/>
      <w:bCs/>
      <w:color w:val="D2232A"/>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xampletext">
    <w:name w:val="Example text"/>
    <w:basedOn w:val="Normal"/>
    <w:rsid w:val="005464A7"/>
    <w:pPr>
      <w:spacing w:after="120"/>
      <w:jc w:val="center"/>
    </w:pPr>
    <w:rPr>
      <w:rFonts w:ascii="Courier" w:hAnsi="Courier" w:cs="Arial"/>
      <w:lang w:val="en-GB"/>
    </w:rPr>
  </w:style>
  <w:style w:type="paragraph" w:styleId="Caption">
    <w:name w:val="caption"/>
    <w:basedOn w:val="Normal"/>
    <w:next w:val="Normal"/>
    <w:uiPriority w:val="35"/>
    <w:unhideWhenUsed/>
    <w:qFormat/>
    <w:rsid w:val="00DA5DE8"/>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484B6C"/>
    <w:rPr>
      <w:color w:val="800080" w:themeColor="followedHyperlink"/>
      <w:u w:val="single"/>
    </w:rPr>
  </w:style>
  <w:style w:type="character" w:styleId="CommentReference">
    <w:name w:val="annotation reference"/>
    <w:basedOn w:val="DefaultParagraphFont"/>
    <w:uiPriority w:val="99"/>
    <w:semiHidden/>
    <w:unhideWhenUsed/>
    <w:rsid w:val="003B0EBF"/>
    <w:rPr>
      <w:sz w:val="16"/>
      <w:szCs w:val="16"/>
    </w:rPr>
  </w:style>
  <w:style w:type="paragraph" w:styleId="CommentText">
    <w:name w:val="annotation text"/>
    <w:basedOn w:val="Normal"/>
    <w:link w:val="CommentTextChar"/>
    <w:uiPriority w:val="99"/>
    <w:semiHidden/>
    <w:unhideWhenUsed/>
    <w:rsid w:val="003B0EBF"/>
    <w:rPr>
      <w:szCs w:val="20"/>
    </w:rPr>
  </w:style>
  <w:style w:type="character" w:customStyle="1" w:styleId="CommentTextChar">
    <w:name w:val="Comment Text Char"/>
    <w:basedOn w:val="DefaultParagraphFont"/>
    <w:link w:val="CommentText"/>
    <w:uiPriority w:val="99"/>
    <w:semiHidden/>
    <w:rsid w:val="003B0EBF"/>
    <w:rPr>
      <w:rFonts w:ascii="Arial" w:hAnsi="Arial"/>
      <w:lang w:val="en-US"/>
    </w:rPr>
  </w:style>
  <w:style w:type="paragraph" w:styleId="CommentSubject">
    <w:name w:val="annotation subject"/>
    <w:basedOn w:val="CommentText"/>
    <w:next w:val="CommentText"/>
    <w:link w:val="CommentSubjectChar"/>
    <w:uiPriority w:val="99"/>
    <w:semiHidden/>
    <w:unhideWhenUsed/>
    <w:rsid w:val="003B0EBF"/>
    <w:rPr>
      <w:b/>
      <w:bCs/>
    </w:rPr>
  </w:style>
  <w:style w:type="character" w:customStyle="1" w:styleId="CommentSubjectChar">
    <w:name w:val="Comment Subject Char"/>
    <w:basedOn w:val="CommentTextChar"/>
    <w:link w:val="CommentSubject"/>
    <w:uiPriority w:val="99"/>
    <w:semiHidden/>
    <w:rsid w:val="003B0EBF"/>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P:\ECC%20reports\ECCRep069.doc" TargetMode="Externa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E94D-86C3-4406-BB1D-34081D8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3624</Words>
  <Characters>22112</Characters>
  <Application>Microsoft Office Word</Application>
  <DocSecurity>0</DocSecurity>
  <Lines>184</Lines>
  <Paragraphs>51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ECC/DEC/(05)09</vt:lpstr>
      <vt:lpstr>ECC/DEC/(05)09</vt:lpstr>
      <vt:lpstr/>
    </vt:vector>
  </TitlesOfParts>
  <Company>WGFM#93</Company>
  <LinksUpToDate>false</LinksUpToDate>
  <CharactersWithSpaces>25685</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ECC/DEC/(05)09</dc:title>
  <dc:creator>SAIDANI</dc:creator>
  <cp:lastModifiedBy>ECO</cp:lastModifiedBy>
  <cp:revision>2</cp:revision>
  <dcterms:created xsi:type="dcterms:W3CDTF">2019-03-19T13:33:00Z</dcterms:created>
  <dcterms:modified xsi:type="dcterms:W3CDTF">2019-03-19T13:33:00Z</dcterms:modified>
  <cp:contentStatus>adopted for ECC approval</cp:contentStatus>
</cp:coreProperties>
</file>