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25" w:rsidRDefault="00663D25"/>
    <w:p w:rsidR="00663D25" w:rsidRPr="0066146A" w:rsidRDefault="00663D25" w:rsidP="00663D25">
      <w:pPr>
        <w:jc w:val="center"/>
        <w:rPr>
          <w:lang w:val="en-GB"/>
        </w:rPr>
      </w:pPr>
    </w:p>
    <w:p w:rsidR="00663D25" w:rsidRPr="0066146A" w:rsidRDefault="00663D25" w:rsidP="00663D25">
      <w:pPr>
        <w:jc w:val="center"/>
        <w:rPr>
          <w:lang w:val="en-GB"/>
        </w:rPr>
      </w:pPr>
    </w:p>
    <w:p w:rsidR="00663D25" w:rsidRPr="0066146A" w:rsidRDefault="00663D25" w:rsidP="00663D25">
      <w:pPr>
        <w:rPr>
          <w:lang w:val="en-GB"/>
        </w:rPr>
      </w:pPr>
    </w:p>
    <w:p w:rsidR="00663D25" w:rsidRPr="0066146A" w:rsidRDefault="00663D25" w:rsidP="00663D25">
      <w:pPr>
        <w:rPr>
          <w:lang w:val="en-GB"/>
        </w:rPr>
      </w:pPr>
    </w:p>
    <w:p w:rsidR="00663D25" w:rsidRPr="0066146A" w:rsidRDefault="00841A73" w:rsidP="00663D25">
      <w:pPr>
        <w:jc w:val="center"/>
        <w:rPr>
          <w:b/>
          <w:sz w:val="24"/>
          <w:lang w:val="en-GB"/>
        </w:rPr>
      </w:pPr>
      <w:r w:rsidRPr="0066146A">
        <w:rPr>
          <w:b/>
          <w:noProof/>
          <w:sz w:val="24"/>
          <w:szCs w:val="20"/>
          <w:lang w:val="en-GB" w:eastAsia="en-GB"/>
        </w:rPr>
        <mc:AlternateContent>
          <mc:Choice Requires="wpg">
            <w:drawing>
              <wp:anchor distT="0" distB="0" distL="114300" distR="114300" simplePos="0" relativeHeight="251657728" behindDoc="0" locked="0" layoutInCell="1" allowOverlap="1" wp14:anchorId="2B5CAABF" wp14:editId="1D0F19BC">
                <wp:simplePos x="0" y="0"/>
                <wp:positionH relativeFrom="column">
                  <wp:posOffset>-720090</wp:posOffset>
                </wp:positionH>
                <wp:positionV relativeFrom="paragraph">
                  <wp:posOffset>69850</wp:posOffset>
                </wp:positionV>
                <wp:extent cx="7564120" cy="8268970"/>
                <wp:effectExtent l="3810" t="3175" r="4445"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B5C" w:rsidRPr="00FE1795" w:rsidRDefault="006E1B5C" w:rsidP="00663D25">
                              <w:pPr>
                                <w:rPr>
                                  <w:color w:val="57433E"/>
                                  <w:sz w:val="68"/>
                                </w:rPr>
                              </w:pPr>
                              <w:r w:rsidRPr="00FE1795">
                                <w:rPr>
                                  <w:color w:val="FFFFFF"/>
                                  <w:sz w:val="68"/>
                                </w:rPr>
                                <w:t xml:space="preserve">ECC Decision </w:t>
                              </w:r>
                              <w:r w:rsidR="00190C12">
                                <w:rPr>
                                  <w:color w:val="887E6E"/>
                                  <w:sz w:val="68"/>
                                </w:rPr>
                                <w:t>(1</w:t>
                              </w:r>
                              <w:r w:rsidR="00474C2A">
                                <w:rPr>
                                  <w:color w:val="887E6E"/>
                                  <w:sz w:val="68"/>
                                </w:rPr>
                                <w:t>4</w:t>
                              </w:r>
                              <w:r w:rsidRPr="001E2FAA">
                                <w:rPr>
                                  <w:color w:val="887E6E"/>
                                  <w:sz w:val="68"/>
                                </w:rPr>
                                <w:t>)</w:t>
                              </w:r>
                              <w:r w:rsidR="00170B01">
                                <w:rPr>
                                  <w:color w:val="887E6E"/>
                                  <w:sz w:val="68"/>
                                </w:rPr>
                                <w:t>01</w:t>
                              </w:r>
                            </w:p>
                          </w:txbxContent>
                        </wps:txbx>
                        <wps:bodyPr rot="0" vert="horz" wrap="square" lIns="2880000" tIns="540000" rIns="72000" bIns="45720" anchor="t" anchorCtr="0" upright="1">
                          <a:noAutofit/>
                        </wps:bodyPr>
                      </wps:wsp>
                      <wpg:grpSp>
                        <wpg:cNvPr id="6" name="Group 26"/>
                        <wpg:cNvGrpSpPr>
                          <a:grpSpLocks/>
                        </wpg:cNvGrpSpPr>
                        <wpg:grpSpPr bwMode="auto">
                          <a:xfrm>
                            <a:off x="1739" y="3125"/>
                            <a:ext cx="1735" cy="1735"/>
                            <a:chOff x="954" y="3125"/>
                            <a:chExt cx="1735" cy="1735"/>
                          </a:xfrm>
                        </wpg:grpSpPr>
                        <wps:wsp>
                          <wps:cNvPr id="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V/MEA&#10;AADaAAAADwAAAGRycy9kb3ducmV2LnhtbESPQYvCMBSE74L/ITzBi2iqQpGuURZB7FGtHrw9mrdt&#10;2ealNlHrvzeC4HGYmW+Y5boztbhT6yrLCqaTCARxbnXFhYJTth0vQDiPrLG2TAqe5GC96veWmGj7&#10;4APdj74QAcIuQQWl900ipctLMugmtiEO3p9tDfog20LqFh8Bbmo5i6JYGqw4LJTY0Kak/P94MwoW&#10;8fUcp/G+2mS70Si7+fQyN6lSw0H3+wPCU+e/4U871Qpm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dlfzBAAAA2gAAAA8AAAAAAAAAAAAAAAAAmAIAAGRycy9kb3du&#10;cmV2LnhtbFBLBQYAAAAABAAEAPUAAACG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5CMMA&#10;AADaAAAADwAAAGRycy9kb3ducmV2LnhtbESPT4vCMBTE78J+h/AWvGlaUdFuUxFFEA8r/jvs7dG8&#10;bcs2L6WJWr/9RhA8DjPzGyZddKYWN2pdZVlBPIxAEOdWV1woOJ82gxkI55E11pZJwYMcLLKPXoqJ&#10;tnc+0O3oCxEg7BJUUHrfJFK6vCSDbmgb4uD92tagD7ItpG7xHuCmlqMomkqDFYeFEhtalZT/Ha9G&#10;AR5+dt/jdb2dj1f7TRFXMUq6KNX/7JZfIDx1/h1+tbdawQSeV8IN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h5CMMAAADaAAAADwAAAAAAAAAAAAAAAACYAgAAZHJzL2Rv&#10;d25yZXYueG1sUEsFBgAAAAAEAAQA9QAAAIgDAAAAAA==&#10;" fillcolor="#d2232a" stroked="f">
                  <v:textbox inset="80mm,15mm,2mm">
                    <w:txbxContent>
                      <w:p w:rsidR="006E1B5C" w:rsidRPr="00FE1795" w:rsidRDefault="006E1B5C" w:rsidP="00663D25">
                        <w:pPr>
                          <w:rPr>
                            <w:color w:val="57433E"/>
                            <w:sz w:val="68"/>
                          </w:rPr>
                        </w:pPr>
                        <w:r w:rsidRPr="00FE1795">
                          <w:rPr>
                            <w:color w:val="FFFFFF"/>
                            <w:sz w:val="68"/>
                          </w:rPr>
                          <w:t xml:space="preserve">ECC Decision </w:t>
                        </w:r>
                        <w:r w:rsidR="00190C12">
                          <w:rPr>
                            <w:color w:val="887E6E"/>
                            <w:sz w:val="68"/>
                          </w:rPr>
                          <w:t>(1</w:t>
                        </w:r>
                        <w:r w:rsidR="00474C2A">
                          <w:rPr>
                            <w:color w:val="887E6E"/>
                            <w:sz w:val="68"/>
                          </w:rPr>
                          <w:t>4</w:t>
                        </w:r>
                        <w:r w:rsidRPr="001E2FAA">
                          <w:rPr>
                            <w:color w:val="887E6E"/>
                            <w:sz w:val="68"/>
                          </w:rPr>
                          <w:t>)</w:t>
                        </w:r>
                        <w:r w:rsidR="00170B01">
                          <w:rPr>
                            <w:color w:val="887E6E"/>
                            <w:sz w:val="68"/>
                          </w:rPr>
                          <w:t>01</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OaMQA&#10;AADaAAAADwAAAGRycy9kb3ducmV2LnhtbESPS2vDMBCE74X8B7GBXkoiN4cmOFFCcCgxpZe4eVwX&#10;a2ObWCtjyY/++6pQ6HGYmW+YzW40teipdZVlBa/zCARxbnXFhYLz1/tsBcJ5ZI21ZVLwTQ5228nT&#10;BmNtBz5Rn/lCBAi7GBWU3jexlC4vyaCb24Y4eHfbGvRBtoXULQ4Bbmq5iKI3abDisFBiQ0lJ+SPr&#10;jILomHy8pOPqekmHjmg48fLzcFPqeTru1yA8jf4//NdOtYIl/F4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TmjEAAAA2gAAAA8AAAAAAAAAAAAAAAAAmAIAAGRycy9k&#10;b3ducmV2LnhtbFBLBQYAAAAABAAEAPUAAACJAw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BlbsA&#10;AADaAAAADwAAAGRycy9kb3ducmV2LnhtbERPvQrCMBDeBd8hnOAimqooUo0iguAmWhHcjuZsS5tL&#10;baLWtzeD4Pjx/a82ranEixpXWFYwHkUgiFOrC84UXJL9cAHCeWSNlWVS8CEHm3W3s8JY2zef6HX2&#10;mQgh7GJUkHtfx1K6NCeDbmRr4sDdbWPQB9hkUjf4DuGmkpMomkuDBYeGHGva5ZSW56dRQDSbLpJJ&#10;lSDfHoOy1NfDkYxS/V67XYLw1Pq/+Oc+aAVha7gSb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bQZW7AAAA2gAAAA8AAAAAAAAAAAAAAAAAmAIAAGRycy9kb3ducmV2Lnht&#10;bFBLBQYAAAAABAAEAPUAAACAAwAAAAA=&#10;" fillcolor="#57433e" stroked="f">
                    <o:lock v:ext="edit" aspectratio="t"/>
                    <v:textbox inset=",15mm,2mm"/>
                  </v:rect>
                </v:group>
              </v:group>
            </w:pict>
          </mc:Fallback>
        </mc:AlternateContent>
      </w:r>
    </w:p>
    <w:p w:rsidR="00663D25" w:rsidRPr="0066146A" w:rsidRDefault="00663D25" w:rsidP="00663D25">
      <w:pPr>
        <w:jc w:val="center"/>
        <w:rPr>
          <w:b/>
          <w:sz w:val="24"/>
          <w:lang w:val="en-GB"/>
        </w:rPr>
      </w:pPr>
    </w:p>
    <w:p w:rsidR="00663D25" w:rsidRPr="0066146A" w:rsidRDefault="00663D25" w:rsidP="00663D25">
      <w:pPr>
        <w:jc w:val="center"/>
        <w:rPr>
          <w:b/>
          <w:sz w:val="24"/>
          <w:lang w:val="en-GB"/>
        </w:rPr>
      </w:pPr>
    </w:p>
    <w:p w:rsidR="00663D25" w:rsidRPr="0066146A" w:rsidRDefault="00663D25" w:rsidP="00663D25">
      <w:pPr>
        <w:jc w:val="center"/>
        <w:rPr>
          <w:b/>
          <w:sz w:val="24"/>
          <w:lang w:val="en-GB"/>
        </w:rPr>
      </w:pPr>
    </w:p>
    <w:p w:rsidR="00663D25" w:rsidRPr="0066146A" w:rsidRDefault="00663D25" w:rsidP="00663D25">
      <w:pPr>
        <w:jc w:val="center"/>
        <w:rPr>
          <w:b/>
          <w:sz w:val="24"/>
          <w:lang w:val="en-GB"/>
        </w:rPr>
      </w:pPr>
    </w:p>
    <w:p w:rsidR="00663D25" w:rsidRPr="0066146A" w:rsidRDefault="00663D25" w:rsidP="00663D25">
      <w:pPr>
        <w:jc w:val="center"/>
        <w:rPr>
          <w:b/>
          <w:sz w:val="24"/>
          <w:lang w:val="en-GB"/>
        </w:rPr>
      </w:pPr>
    </w:p>
    <w:p w:rsidR="00663D25" w:rsidRPr="0066146A" w:rsidRDefault="00663D25" w:rsidP="00663D25">
      <w:pPr>
        <w:jc w:val="center"/>
        <w:rPr>
          <w:b/>
          <w:sz w:val="24"/>
          <w:lang w:val="en-GB"/>
        </w:rPr>
      </w:pPr>
    </w:p>
    <w:p w:rsidR="00663D25" w:rsidRPr="0066146A" w:rsidRDefault="00663D25" w:rsidP="00663D25">
      <w:pPr>
        <w:jc w:val="center"/>
        <w:rPr>
          <w:b/>
          <w:sz w:val="24"/>
          <w:lang w:val="en-GB"/>
        </w:rPr>
      </w:pPr>
    </w:p>
    <w:p w:rsidR="00663D25" w:rsidRPr="0066146A" w:rsidRDefault="00663D25" w:rsidP="00663D25">
      <w:pPr>
        <w:jc w:val="center"/>
        <w:rPr>
          <w:b/>
          <w:sz w:val="24"/>
          <w:lang w:val="en-GB"/>
        </w:rPr>
      </w:pPr>
    </w:p>
    <w:p w:rsidR="00663D25" w:rsidRPr="0066146A" w:rsidRDefault="00663D25" w:rsidP="00663D25">
      <w:pPr>
        <w:jc w:val="center"/>
        <w:rPr>
          <w:b/>
          <w:sz w:val="24"/>
          <w:lang w:val="en-GB"/>
        </w:rPr>
      </w:pPr>
    </w:p>
    <w:p w:rsidR="00663D25" w:rsidRPr="0066146A" w:rsidRDefault="00663D25" w:rsidP="00663D25">
      <w:pPr>
        <w:jc w:val="center"/>
        <w:rPr>
          <w:b/>
          <w:sz w:val="24"/>
          <w:lang w:val="en-GB"/>
        </w:rPr>
      </w:pPr>
    </w:p>
    <w:p w:rsidR="00663D25" w:rsidRPr="0066146A" w:rsidRDefault="00663D25" w:rsidP="00663D25">
      <w:pPr>
        <w:rPr>
          <w:b/>
          <w:sz w:val="24"/>
          <w:lang w:val="en-GB"/>
        </w:rPr>
      </w:pPr>
    </w:p>
    <w:p w:rsidR="00663D25" w:rsidRPr="0066146A" w:rsidRDefault="00663D25" w:rsidP="00663D25">
      <w:pPr>
        <w:jc w:val="center"/>
        <w:rPr>
          <w:b/>
          <w:sz w:val="24"/>
          <w:lang w:val="en-GB"/>
        </w:rPr>
      </w:pPr>
    </w:p>
    <w:p w:rsidR="00663D25" w:rsidRPr="0066146A" w:rsidRDefault="00190C12" w:rsidP="00C923EE">
      <w:pPr>
        <w:pStyle w:val="Reporttitledescription"/>
        <w:spacing w:line="240" w:lineRule="auto"/>
        <w:rPr>
          <w:color w:val="auto"/>
          <w:lang w:val="en-GB"/>
        </w:rPr>
      </w:pPr>
      <w:r w:rsidRPr="0066146A">
        <w:rPr>
          <w:color w:val="auto"/>
          <w:lang w:val="en-GB"/>
        </w:rPr>
        <w:t>ECC Decision on the withdrawal of ECC Decision</w:t>
      </w:r>
      <w:r w:rsidRPr="0066146A">
        <w:rPr>
          <w:rFonts w:cs="Arial"/>
          <w:color w:val="auto"/>
          <w:lang w:val="en-GB"/>
        </w:rPr>
        <w:t xml:space="preserve"> (0</w:t>
      </w:r>
      <w:r w:rsidR="00426DB4" w:rsidRPr="0066146A">
        <w:rPr>
          <w:rFonts w:cs="Arial"/>
          <w:color w:val="auto"/>
          <w:lang w:val="en-GB"/>
        </w:rPr>
        <w:t>2</w:t>
      </w:r>
      <w:r w:rsidRPr="0066146A">
        <w:rPr>
          <w:rFonts w:cs="Arial"/>
          <w:color w:val="auto"/>
          <w:lang w:val="en-GB"/>
        </w:rPr>
        <w:t>)0</w:t>
      </w:r>
      <w:r w:rsidR="00426DB4" w:rsidRPr="0066146A">
        <w:rPr>
          <w:rFonts w:cs="Arial"/>
          <w:color w:val="auto"/>
          <w:lang w:val="en-GB"/>
        </w:rPr>
        <w:t>7</w:t>
      </w:r>
    </w:p>
    <w:p w:rsidR="00C923EE" w:rsidRPr="0066146A" w:rsidRDefault="00C923EE" w:rsidP="00C923EE">
      <w:pPr>
        <w:pStyle w:val="Reporttitledescription"/>
        <w:spacing w:before="120" w:after="240" w:line="240" w:lineRule="auto"/>
        <w:rPr>
          <w:color w:val="auto"/>
          <w:lang w:val="en-GB"/>
        </w:rPr>
      </w:pPr>
    </w:p>
    <w:p w:rsidR="00663D25" w:rsidRPr="0066146A" w:rsidRDefault="00B612AF" w:rsidP="00C923EE">
      <w:pPr>
        <w:pStyle w:val="Reporttitledescription"/>
        <w:spacing w:before="0"/>
        <w:rPr>
          <w:b/>
          <w:color w:val="auto"/>
          <w:sz w:val="18"/>
          <w:szCs w:val="18"/>
          <w:lang w:val="en-GB"/>
        </w:rPr>
      </w:pPr>
      <w:r w:rsidRPr="0066146A">
        <w:rPr>
          <w:b/>
          <w:color w:val="auto"/>
          <w:sz w:val="18"/>
          <w:szCs w:val="18"/>
          <w:lang w:val="en-GB"/>
        </w:rPr>
        <w:t xml:space="preserve">Approved </w:t>
      </w:r>
      <w:r w:rsidR="0066146A">
        <w:rPr>
          <w:b/>
          <w:color w:val="auto"/>
          <w:sz w:val="18"/>
          <w:szCs w:val="18"/>
          <w:lang w:val="en-GB"/>
        </w:rPr>
        <w:t xml:space="preserve">27 June </w:t>
      </w:r>
      <w:r w:rsidR="003B4596" w:rsidRPr="0066146A">
        <w:rPr>
          <w:b/>
          <w:color w:val="auto"/>
          <w:sz w:val="18"/>
          <w:szCs w:val="18"/>
          <w:lang w:val="en-GB"/>
        </w:rPr>
        <w:t>201</w:t>
      </w:r>
      <w:r w:rsidR="00426DB4" w:rsidRPr="0066146A">
        <w:rPr>
          <w:b/>
          <w:color w:val="auto"/>
          <w:sz w:val="18"/>
          <w:szCs w:val="18"/>
          <w:lang w:val="en-GB"/>
        </w:rPr>
        <w:t>4</w:t>
      </w:r>
    </w:p>
    <w:p w:rsidR="00663D25" w:rsidRPr="0066146A" w:rsidRDefault="00663D25" w:rsidP="00C923EE">
      <w:pPr>
        <w:pStyle w:val="Heading1"/>
      </w:pPr>
      <w:r w:rsidRPr="0066146A">
        <w:lastRenderedPageBreak/>
        <w:t>explanato</w:t>
      </w:r>
      <w:r w:rsidR="007D41A6" w:rsidRPr="0066146A">
        <w:t>ry memorandum</w:t>
      </w:r>
    </w:p>
    <w:p w:rsidR="00663D25" w:rsidRPr="0066146A" w:rsidRDefault="00663D25" w:rsidP="00C923EE">
      <w:pPr>
        <w:pStyle w:val="Heading2"/>
        <w:rPr>
          <w:lang w:val="en-GB"/>
        </w:rPr>
      </w:pPr>
      <w:r w:rsidRPr="0066146A">
        <w:rPr>
          <w:lang w:val="en-GB"/>
        </w:rPr>
        <w:t>INTRODUCTION</w:t>
      </w:r>
    </w:p>
    <w:p w:rsidR="00663D25" w:rsidRPr="0066146A" w:rsidRDefault="00190C12" w:rsidP="00663D25">
      <w:pPr>
        <w:pStyle w:val="ECCParagraph"/>
      </w:pPr>
      <w:r w:rsidRPr="0066146A">
        <w:rPr>
          <w:rFonts w:cs="Arial"/>
          <w:sz w:val="22"/>
          <w:szCs w:val="22"/>
          <w:lang w:eastAsia="de-DE"/>
        </w:rPr>
        <w:t>In 2013, the ECC</w:t>
      </w:r>
      <w:r w:rsidR="00775DC3" w:rsidRPr="0066146A">
        <w:rPr>
          <w:rFonts w:cs="Arial"/>
          <w:sz w:val="22"/>
          <w:szCs w:val="22"/>
          <w:lang w:eastAsia="de-DE"/>
        </w:rPr>
        <w:t>/</w:t>
      </w:r>
      <w:r w:rsidRPr="0066146A">
        <w:rPr>
          <w:rFonts w:cs="Arial"/>
          <w:sz w:val="22"/>
          <w:szCs w:val="22"/>
          <w:lang w:eastAsia="de-DE"/>
        </w:rPr>
        <w:t>D</w:t>
      </w:r>
      <w:r w:rsidR="00775DC3" w:rsidRPr="0066146A">
        <w:rPr>
          <w:rFonts w:cs="Arial"/>
          <w:sz w:val="22"/>
          <w:szCs w:val="22"/>
          <w:lang w:eastAsia="de-DE"/>
        </w:rPr>
        <w:t>EC/</w:t>
      </w:r>
      <w:r w:rsidRPr="0066146A">
        <w:rPr>
          <w:rFonts w:cs="Arial"/>
          <w:sz w:val="22"/>
          <w:szCs w:val="22"/>
          <w:lang w:eastAsia="de-DE"/>
        </w:rPr>
        <w:t>(0</w:t>
      </w:r>
      <w:r w:rsidR="00426DB4" w:rsidRPr="0066146A">
        <w:rPr>
          <w:rFonts w:cs="Arial"/>
          <w:sz w:val="22"/>
          <w:szCs w:val="22"/>
          <w:lang w:eastAsia="de-DE"/>
        </w:rPr>
        <w:t>2</w:t>
      </w:r>
      <w:r w:rsidRPr="0066146A">
        <w:rPr>
          <w:rFonts w:cs="Arial"/>
          <w:sz w:val="22"/>
          <w:szCs w:val="22"/>
          <w:lang w:eastAsia="de-DE"/>
        </w:rPr>
        <w:t>)0</w:t>
      </w:r>
      <w:r w:rsidR="00426DB4" w:rsidRPr="0066146A">
        <w:rPr>
          <w:rFonts w:cs="Arial"/>
          <w:sz w:val="22"/>
          <w:szCs w:val="22"/>
          <w:lang w:eastAsia="de-DE"/>
        </w:rPr>
        <w:t>7</w:t>
      </w:r>
      <w:r w:rsidRPr="0066146A">
        <w:rPr>
          <w:rFonts w:cs="Arial"/>
          <w:sz w:val="22"/>
          <w:szCs w:val="22"/>
          <w:lang w:eastAsia="de-DE"/>
        </w:rPr>
        <w:t xml:space="preserve"> </w:t>
      </w:r>
      <w:r w:rsidR="00426DB4" w:rsidRPr="0066146A">
        <w:rPr>
          <w:rFonts w:cs="Arial"/>
          <w:sz w:val="22"/>
          <w:szCs w:val="22"/>
          <w:lang w:eastAsia="de-DE"/>
        </w:rPr>
        <w:t xml:space="preserve">of 15 November 2002 </w:t>
      </w:r>
      <w:r w:rsidRPr="0066146A">
        <w:rPr>
          <w:rFonts w:cs="Arial"/>
          <w:sz w:val="22"/>
          <w:szCs w:val="22"/>
          <w:lang w:eastAsia="de-DE"/>
        </w:rPr>
        <w:t xml:space="preserve">related to </w:t>
      </w:r>
      <w:r w:rsidR="00426DB4" w:rsidRPr="0066146A">
        <w:rPr>
          <w:rFonts w:cs="Arial"/>
          <w:sz w:val="22"/>
          <w:szCs w:val="22"/>
          <w:lang w:eastAsia="de-DE"/>
        </w:rPr>
        <w:t>the harmonised European use of the bands 1670-1675 MHz and 1800-1805 MHz and on the withdrawal of the ERC</w:t>
      </w:r>
      <w:r w:rsidR="00C15950">
        <w:rPr>
          <w:rFonts w:cs="Arial"/>
          <w:sz w:val="22"/>
          <w:szCs w:val="22"/>
          <w:lang w:eastAsia="de-DE"/>
        </w:rPr>
        <w:t>/</w:t>
      </w:r>
      <w:r w:rsidR="00426DB4" w:rsidRPr="0066146A">
        <w:rPr>
          <w:rFonts w:cs="Arial"/>
          <w:sz w:val="22"/>
          <w:szCs w:val="22"/>
          <w:lang w:eastAsia="de-DE"/>
        </w:rPr>
        <w:t>D</w:t>
      </w:r>
      <w:r w:rsidR="00C15950">
        <w:rPr>
          <w:rFonts w:cs="Arial"/>
          <w:sz w:val="22"/>
          <w:szCs w:val="22"/>
          <w:lang w:eastAsia="de-DE"/>
        </w:rPr>
        <w:t>EC/</w:t>
      </w:r>
      <w:r w:rsidR="00426DB4" w:rsidRPr="0066146A">
        <w:rPr>
          <w:rFonts w:cs="Arial"/>
          <w:sz w:val="22"/>
          <w:szCs w:val="22"/>
          <w:lang w:eastAsia="de-DE"/>
        </w:rPr>
        <w:t xml:space="preserve">(92)01 "Decision on the frequency bands to be designated for the coordinated introduction of the Terrestrial Flight Telecommunications System" </w:t>
      </w:r>
      <w:r w:rsidRPr="0066146A">
        <w:rPr>
          <w:rFonts w:cs="Arial"/>
          <w:sz w:val="22"/>
          <w:szCs w:val="22"/>
          <w:lang w:eastAsia="de-DE"/>
        </w:rPr>
        <w:t xml:space="preserve">was reviewed and it was concluded that this Decision was suitable for withdrawal as it was not in line </w:t>
      </w:r>
      <w:r w:rsidR="00426DB4" w:rsidRPr="0066146A">
        <w:rPr>
          <w:rFonts w:cs="Arial"/>
          <w:sz w:val="22"/>
          <w:szCs w:val="22"/>
          <w:lang w:eastAsia="de-DE"/>
        </w:rPr>
        <w:t xml:space="preserve">anymore </w:t>
      </w:r>
      <w:r w:rsidRPr="0066146A">
        <w:rPr>
          <w:rFonts w:cs="Arial"/>
          <w:sz w:val="22"/>
          <w:szCs w:val="22"/>
          <w:lang w:eastAsia="de-DE"/>
        </w:rPr>
        <w:t xml:space="preserve">with </w:t>
      </w:r>
      <w:r w:rsidR="00426DB4" w:rsidRPr="0066146A">
        <w:rPr>
          <w:rFonts w:cs="Arial"/>
          <w:sz w:val="22"/>
          <w:szCs w:val="22"/>
          <w:lang w:eastAsia="de-DE"/>
        </w:rPr>
        <w:t xml:space="preserve">new harmonisation measures for the </w:t>
      </w:r>
      <w:r w:rsidRPr="0066146A">
        <w:rPr>
          <w:rFonts w:cs="Arial"/>
          <w:sz w:val="22"/>
          <w:szCs w:val="22"/>
          <w:lang w:eastAsia="de-DE"/>
        </w:rPr>
        <w:t>use of the band</w:t>
      </w:r>
      <w:r w:rsidR="00426DB4" w:rsidRPr="0066146A">
        <w:rPr>
          <w:rFonts w:cs="Arial"/>
          <w:sz w:val="22"/>
          <w:szCs w:val="22"/>
          <w:lang w:eastAsia="de-DE"/>
        </w:rPr>
        <w:t>s</w:t>
      </w:r>
      <w:r w:rsidRPr="0066146A">
        <w:rPr>
          <w:rFonts w:cs="Arial"/>
          <w:sz w:val="22"/>
          <w:szCs w:val="22"/>
          <w:lang w:eastAsia="de-DE"/>
        </w:rPr>
        <w:t xml:space="preserve"> </w:t>
      </w:r>
      <w:r w:rsidR="00426DB4" w:rsidRPr="0066146A">
        <w:rPr>
          <w:rFonts w:cs="Arial"/>
          <w:sz w:val="22"/>
          <w:szCs w:val="22"/>
          <w:lang w:eastAsia="de-DE"/>
        </w:rPr>
        <w:t>1670-1675 MHz and 1800-1805 MHz</w:t>
      </w:r>
      <w:r w:rsidRPr="0066146A">
        <w:rPr>
          <w:rFonts w:cs="Arial"/>
          <w:sz w:val="22"/>
          <w:szCs w:val="22"/>
          <w:lang w:eastAsia="de-DE"/>
        </w:rPr>
        <w:t xml:space="preserve"> within the CEPT.</w:t>
      </w:r>
    </w:p>
    <w:p w:rsidR="00663D25" w:rsidRPr="0066146A" w:rsidRDefault="00663D25" w:rsidP="00C923EE">
      <w:pPr>
        <w:pStyle w:val="Heading2"/>
        <w:rPr>
          <w:lang w:val="en-GB"/>
        </w:rPr>
      </w:pPr>
      <w:r w:rsidRPr="0066146A">
        <w:rPr>
          <w:lang w:val="en-GB"/>
        </w:rPr>
        <w:t xml:space="preserve">BACKGROUND </w:t>
      </w:r>
    </w:p>
    <w:p w:rsidR="00426DB4" w:rsidRPr="0066146A" w:rsidRDefault="00001D21" w:rsidP="00426DB4">
      <w:pPr>
        <w:pStyle w:val="ECCParagraph"/>
        <w:rPr>
          <w:sz w:val="22"/>
          <w:szCs w:val="22"/>
        </w:rPr>
      </w:pPr>
      <w:r>
        <w:rPr>
          <w:sz w:val="22"/>
          <w:szCs w:val="22"/>
        </w:rPr>
        <w:t>ECC/DEC/</w:t>
      </w:r>
      <w:r w:rsidR="00426DB4" w:rsidRPr="0066146A">
        <w:rPr>
          <w:sz w:val="22"/>
          <w:szCs w:val="22"/>
        </w:rPr>
        <w:t>(02)07 withdrew the ”ERC Decision on the frequency bands to be designated for the coordinated introduction of the Terrestrial Flight Telecommunications System (TFTS)” (ERC/DEC/(92)01) in 2002 after many CEPT administrations had indicated that there is no further interest in TFTS in those frequency bands. Afterwards, TFTS has been deleted from the European Common Allocation Table (ERC Report 25) and the common application terminology as set out in ECC</w:t>
      </w:r>
      <w:r w:rsidR="00D3356E">
        <w:rPr>
          <w:sz w:val="22"/>
          <w:szCs w:val="22"/>
        </w:rPr>
        <w:t>/DEC/</w:t>
      </w:r>
      <w:r w:rsidR="00426DB4" w:rsidRPr="0066146A">
        <w:rPr>
          <w:sz w:val="22"/>
          <w:szCs w:val="22"/>
        </w:rPr>
        <w:t>(01)03 Annex 2, so that there are no residuals left on TFTS in spectrum utilisation plans in Europe.</w:t>
      </w:r>
    </w:p>
    <w:p w:rsidR="00426DB4" w:rsidRPr="0066146A" w:rsidRDefault="00426DB4" w:rsidP="00426DB4">
      <w:pPr>
        <w:pStyle w:val="ECCParagraph"/>
        <w:rPr>
          <w:sz w:val="22"/>
          <w:szCs w:val="22"/>
        </w:rPr>
      </w:pPr>
      <w:r w:rsidRPr="0066146A">
        <w:rPr>
          <w:sz w:val="22"/>
          <w:szCs w:val="22"/>
        </w:rPr>
        <w:t>O</w:t>
      </w:r>
      <w:r w:rsidR="0066146A" w:rsidRPr="0066146A">
        <w:rPr>
          <w:sz w:val="22"/>
          <w:szCs w:val="22"/>
        </w:rPr>
        <w:t>n</w:t>
      </w:r>
      <w:r w:rsidRPr="0066146A">
        <w:rPr>
          <w:sz w:val="22"/>
          <w:szCs w:val="22"/>
        </w:rPr>
        <w:t xml:space="preserve"> the other side, CEPT administrations have strongly promoted the retention of eac</w:t>
      </w:r>
      <w:r w:rsidR="00775DC3" w:rsidRPr="0066146A">
        <w:rPr>
          <w:sz w:val="22"/>
          <w:szCs w:val="22"/>
        </w:rPr>
        <w:t>h of the frequency bands 1670-</w:t>
      </w:r>
      <w:r w:rsidRPr="0066146A">
        <w:rPr>
          <w:sz w:val="22"/>
          <w:szCs w:val="22"/>
        </w:rPr>
        <w:t>1675 MHz and 1800-1805 MHz for harmonised European applications to be identified.</w:t>
      </w:r>
    </w:p>
    <w:p w:rsidR="00426DB4" w:rsidRPr="0066146A" w:rsidRDefault="00426DB4" w:rsidP="00426DB4">
      <w:pPr>
        <w:pStyle w:val="ECCParagraph"/>
        <w:rPr>
          <w:sz w:val="22"/>
          <w:szCs w:val="22"/>
        </w:rPr>
      </w:pPr>
      <w:r w:rsidRPr="0066146A">
        <w:rPr>
          <w:sz w:val="22"/>
          <w:szCs w:val="22"/>
        </w:rPr>
        <w:t>The 1670-1675 MHz spectrum is currently used by the Mobile</w:t>
      </w:r>
      <w:r w:rsidR="003223DA" w:rsidRPr="0066146A">
        <w:rPr>
          <w:sz w:val="22"/>
          <w:szCs w:val="22"/>
        </w:rPr>
        <w:t>-</w:t>
      </w:r>
      <w:r w:rsidRPr="0066146A">
        <w:rPr>
          <w:sz w:val="22"/>
          <w:szCs w:val="22"/>
        </w:rPr>
        <w:t xml:space="preserve">Satellite Service (Earth-to-space) in Europe and there is the </w:t>
      </w:r>
      <w:proofErr w:type="spellStart"/>
      <w:r w:rsidRPr="0066146A">
        <w:rPr>
          <w:sz w:val="22"/>
          <w:szCs w:val="22"/>
        </w:rPr>
        <w:t>Alphabus</w:t>
      </w:r>
      <w:proofErr w:type="spellEnd"/>
      <w:r w:rsidRPr="0066146A">
        <w:rPr>
          <w:sz w:val="22"/>
          <w:szCs w:val="22"/>
        </w:rPr>
        <w:t xml:space="preserve"> satellite using these frequencies. ECC</w:t>
      </w:r>
      <w:r w:rsidR="00775DC3" w:rsidRPr="0066146A">
        <w:rPr>
          <w:sz w:val="22"/>
          <w:szCs w:val="22"/>
        </w:rPr>
        <w:t>/DEC</w:t>
      </w:r>
      <w:proofErr w:type="gramStart"/>
      <w:r w:rsidR="00775DC3" w:rsidRPr="0066146A">
        <w:rPr>
          <w:sz w:val="22"/>
          <w:szCs w:val="22"/>
        </w:rPr>
        <w:t>/</w:t>
      </w:r>
      <w:r w:rsidRPr="0066146A">
        <w:rPr>
          <w:sz w:val="22"/>
          <w:szCs w:val="22"/>
        </w:rPr>
        <w:t>(</w:t>
      </w:r>
      <w:proofErr w:type="gramEnd"/>
      <w:r w:rsidRPr="0066146A">
        <w:rPr>
          <w:sz w:val="22"/>
          <w:szCs w:val="22"/>
        </w:rPr>
        <w:t>04)09,</w:t>
      </w:r>
      <w:r w:rsidR="00775DC3" w:rsidRPr="0066146A">
        <w:rPr>
          <w:sz w:val="22"/>
          <w:szCs w:val="22"/>
        </w:rPr>
        <w:t xml:space="preserve"> ECC/DEC/</w:t>
      </w:r>
      <w:r w:rsidRPr="0066146A">
        <w:rPr>
          <w:sz w:val="22"/>
          <w:szCs w:val="22"/>
        </w:rPr>
        <w:t xml:space="preserve">(07)04 and </w:t>
      </w:r>
      <w:r w:rsidR="00775DC3" w:rsidRPr="0066146A">
        <w:rPr>
          <w:sz w:val="22"/>
          <w:szCs w:val="22"/>
        </w:rPr>
        <w:t>ECC/DEC/</w:t>
      </w:r>
      <w:r w:rsidRPr="0066146A">
        <w:rPr>
          <w:sz w:val="22"/>
          <w:szCs w:val="22"/>
        </w:rPr>
        <w:t xml:space="preserve">(07)05 cover this frequency range and this is also shown in the European Common Allocations Table (ERC Report 25). This frequency range is also allocated to </w:t>
      </w:r>
      <w:r w:rsidR="003223DA" w:rsidRPr="0066146A">
        <w:rPr>
          <w:sz w:val="22"/>
          <w:szCs w:val="22"/>
        </w:rPr>
        <w:t xml:space="preserve">the </w:t>
      </w:r>
      <w:r w:rsidRPr="0066146A">
        <w:rPr>
          <w:sz w:val="22"/>
          <w:szCs w:val="22"/>
        </w:rPr>
        <w:t>Meteorological Aids</w:t>
      </w:r>
      <w:r w:rsidR="003223DA" w:rsidRPr="0066146A">
        <w:rPr>
          <w:sz w:val="22"/>
          <w:szCs w:val="22"/>
        </w:rPr>
        <w:t xml:space="preserve"> Service</w:t>
      </w:r>
      <w:r w:rsidRPr="0066146A">
        <w:rPr>
          <w:sz w:val="22"/>
          <w:szCs w:val="22"/>
        </w:rPr>
        <w:t xml:space="preserve"> and the Meteorological Satellite Service (space-to-Earth)</w:t>
      </w:r>
      <w:r w:rsidR="003223DA" w:rsidRPr="0066146A">
        <w:rPr>
          <w:sz w:val="22"/>
          <w:szCs w:val="22"/>
        </w:rPr>
        <w:t xml:space="preserve"> as well as the Fixed Service and Mobile Service.</w:t>
      </w:r>
      <w:r w:rsidR="003223DA" w:rsidRPr="0066146A">
        <w:t xml:space="preserve"> </w:t>
      </w:r>
      <w:r w:rsidR="003223DA" w:rsidRPr="0066146A">
        <w:rPr>
          <w:sz w:val="22"/>
          <w:szCs w:val="22"/>
        </w:rPr>
        <w:t>For sharing of the band 1668.4-1675 MHz between the Mobile-Satellite Service and the Fixed and Mobile Services, Resolution 744 (Rev.WRC-07) applies. Usage in this band also includes passive research being conducted by some countries in a programme for the search for intentional emissions of extra-terrestrial origin. In addition, administrations are urged not to implement new systems in the Meteorological Aids Service and are encouraged to migrate existing Meteorological Aids Service operations to other bands as soon as practicable (WRC-03, footnote 5.379).</w:t>
      </w:r>
    </w:p>
    <w:p w:rsidR="0041491F" w:rsidRPr="0066146A" w:rsidRDefault="0041491F" w:rsidP="0041491F">
      <w:pPr>
        <w:pStyle w:val="ECCParagraph"/>
        <w:rPr>
          <w:sz w:val="22"/>
          <w:szCs w:val="22"/>
        </w:rPr>
      </w:pPr>
      <w:r w:rsidRPr="0066146A">
        <w:rPr>
          <w:sz w:val="22"/>
          <w:szCs w:val="22"/>
        </w:rPr>
        <w:t xml:space="preserve">The frequency band 1800-1805 MHz is allocated to the Fixed and Mobile Service. Within CEPT, this band is not planned for the harmonised </w:t>
      </w:r>
      <w:r w:rsidRPr="0066146A">
        <w:rPr>
          <w:sz w:val="22"/>
          <w:szCs w:val="22"/>
        </w:rPr>
        <w:tab/>
        <w:t>introduction of IMT. Wireless audio/ multimedia applications such as wireless microphones have an assignment in the frequency range 1785-1804.8 MHz as included in ERC</w:t>
      </w:r>
      <w:r w:rsidR="00D3356E">
        <w:rPr>
          <w:sz w:val="22"/>
          <w:szCs w:val="22"/>
        </w:rPr>
        <w:t>/</w:t>
      </w:r>
      <w:r w:rsidRPr="0066146A">
        <w:rPr>
          <w:sz w:val="22"/>
          <w:szCs w:val="22"/>
        </w:rPr>
        <w:t>R</w:t>
      </w:r>
      <w:r w:rsidR="00D3356E">
        <w:rPr>
          <w:sz w:val="22"/>
          <w:szCs w:val="22"/>
        </w:rPr>
        <w:t xml:space="preserve">EC </w:t>
      </w:r>
      <w:bookmarkStart w:id="0" w:name="_GoBack"/>
      <w:bookmarkEnd w:id="0"/>
      <w:r w:rsidRPr="0066146A">
        <w:rPr>
          <w:sz w:val="22"/>
          <w:szCs w:val="22"/>
        </w:rPr>
        <w:t>70-03 in 2013 and the technical conditions regarding the use of the band 1785-1805 MHz for wireless radio microphones were investigated and are set out in the CEPT Report 50 to the European Commission in response to the Mandate “On technical conditions regarding spectrum harmonisation options for wireless radio microphones and cordless video-cameras (PMSE equipment)”.</w:t>
      </w:r>
    </w:p>
    <w:p w:rsidR="0041491F" w:rsidRPr="0066146A" w:rsidRDefault="0041491F">
      <w:pPr>
        <w:rPr>
          <w:sz w:val="22"/>
          <w:szCs w:val="22"/>
          <w:lang w:val="en-GB"/>
        </w:rPr>
      </w:pPr>
      <w:r w:rsidRPr="0066146A">
        <w:rPr>
          <w:sz w:val="22"/>
          <w:szCs w:val="22"/>
          <w:lang w:val="en-GB"/>
        </w:rPr>
        <w:br w:type="page"/>
      </w:r>
    </w:p>
    <w:p w:rsidR="00663D25" w:rsidRPr="0066146A" w:rsidRDefault="00663D25" w:rsidP="00C923EE">
      <w:pPr>
        <w:pStyle w:val="Heading2"/>
        <w:rPr>
          <w:lang w:val="en-GB"/>
        </w:rPr>
      </w:pPr>
      <w:r w:rsidRPr="0066146A">
        <w:rPr>
          <w:lang w:val="en-GB"/>
        </w:rPr>
        <w:lastRenderedPageBreak/>
        <w:t>REQUIREMENT FOR AN ECC DECISION</w:t>
      </w:r>
    </w:p>
    <w:p w:rsidR="00BC0D6B" w:rsidRPr="0066146A" w:rsidRDefault="00190C12" w:rsidP="00663D25">
      <w:pPr>
        <w:pStyle w:val="ECCParagraph"/>
      </w:pPr>
      <w:r w:rsidRPr="0066146A">
        <w:rPr>
          <w:sz w:val="22"/>
          <w:szCs w:val="22"/>
        </w:rPr>
        <w:t>The ECC Rules of Procedure foresee that the withdrawal of a Decision is subject to the same procedure as the development and adoption of a new Decision.</w:t>
      </w:r>
    </w:p>
    <w:p w:rsidR="00663D25" w:rsidRPr="0066146A" w:rsidRDefault="00663D25" w:rsidP="00C923EE">
      <w:pPr>
        <w:pStyle w:val="Heading1"/>
      </w:pPr>
      <w:r w:rsidRPr="0066146A">
        <w:t xml:space="preserve">ECC Decision of </w:t>
      </w:r>
      <w:r w:rsidR="0066146A">
        <w:t xml:space="preserve">27 June </w:t>
      </w:r>
      <w:r w:rsidR="00FA323D" w:rsidRPr="0066146A">
        <w:t>201</w:t>
      </w:r>
      <w:r w:rsidR="0041491F" w:rsidRPr="0066146A">
        <w:t>4</w:t>
      </w:r>
      <w:r w:rsidRPr="0066146A">
        <w:t xml:space="preserve"> on </w:t>
      </w:r>
      <w:r w:rsidR="00841A73" w:rsidRPr="0066146A">
        <w:t>withdrawal of</w:t>
      </w:r>
      <w:r w:rsidR="00BC593D" w:rsidRPr="0066146A">
        <w:t xml:space="preserve"> ECC</w:t>
      </w:r>
      <w:r w:rsidR="005E0504" w:rsidRPr="0066146A">
        <w:t>/</w:t>
      </w:r>
      <w:r w:rsidR="00BC593D" w:rsidRPr="0066146A">
        <w:t>dec</w:t>
      </w:r>
      <w:proofErr w:type="gramStart"/>
      <w:r w:rsidR="005E0504" w:rsidRPr="0066146A">
        <w:t>/(</w:t>
      </w:r>
      <w:proofErr w:type="gramEnd"/>
      <w:r w:rsidR="00190C12" w:rsidRPr="0066146A">
        <w:t>0</w:t>
      </w:r>
      <w:r w:rsidR="0041491F" w:rsidRPr="0066146A">
        <w:t>2</w:t>
      </w:r>
      <w:r w:rsidR="005E0504" w:rsidRPr="0066146A">
        <w:t>)</w:t>
      </w:r>
      <w:r w:rsidR="00190C12" w:rsidRPr="0066146A">
        <w:t>0</w:t>
      </w:r>
      <w:r w:rsidR="0041491F" w:rsidRPr="0066146A">
        <w:t>7</w:t>
      </w:r>
    </w:p>
    <w:p w:rsidR="0059199F" w:rsidRPr="0066146A" w:rsidRDefault="0059199F" w:rsidP="0059199F">
      <w:pPr>
        <w:pStyle w:val="ECCParagraph"/>
      </w:pPr>
    </w:p>
    <w:p w:rsidR="00663D25" w:rsidRPr="0066146A" w:rsidRDefault="00663D25" w:rsidP="00663D25">
      <w:pPr>
        <w:pStyle w:val="ECCParagraph"/>
        <w:rPr>
          <w:sz w:val="22"/>
          <w:szCs w:val="22"/>
        </w:rPr>
      </w:pPr>
      <w:r w:rsidRPr="0066146A">
        <w:rPr>
          <w:sz w:val="22"/>
          <w:szCs w:val="22"/>
        </w:rPr>
        <w:t>“The European Conference of Postal and Telecommunications Administrations,</w:t>
      </w:r>
    </w:p>
    <w:p w:rsidR="00663D25" w:rsidRPr="0066146A" w:rsidRDefault="00663D25" w:rsidP="00663D25">
      <w:pPr>
        <w:pStyle w:val="ECCParagraph"/>
        <w:rPr>
          <w:i/>
          <w:color w:val="D2232A"/>
        </w:rPr>
      </w:pPr>
      <w:proofErr w:type="gramStart"/>
      <w:r w:rsidRPr="0066146A">
        <w:rPr>
          <w:i/>
          <w:color w:val="D2232A"/>
        </w:rPr>
        <w:t>considering</w:t>
      </w:r>
      <w:proofErr w:type="gramEnd"/>
    </w:p>
    <w:p w:rsidR="00190C12" w:rsidRPr="0066146A" w:rsidRDefault="00190C12" w:rsidP="00190C12">
      <w:pPr>
        <w:pStyle w:val="ECCParBulleted"/>
        <w:numPr>
          <w:ilvl w:val="0"/>
          <w:numId w:val="5"/>
        </w:numPr>
        <w:rPr>
          <w:sz w:val="22"/>
          <w:szCs w:val="22"/>
        </w:rPr>
      </w:pPr>
      <w:r w:rsidRPr="0066146A">
        <w:rPr>
          <w:sz w:val="22"/>
          <w:szCs w:val="22"/>
        </w:rPr>
        <w:t>that the existing ECC Decision ECC/DEC/(0</w:t>
      </w:r>
      <w:r w:rsidR="0041491F" w:rsidRPr="0066146A">
        <w:rPr>
          <w:sz w:val="22"/>
          <w:szCs w:val="22"/>
        </w:rPr>
        <w:t>2</w:t>
      </w:r>
      <w:r w:rsidRPr="0066146A">
        <w:rPr>
          <w:sz w:val="22"/>
          <w:szCs w:val="22"/>
        </w:rPr>
        <w:t>)0</w:t>
      </w:r>
      <w:r w:rsidR="0041491F" w:rsidRPr="0066146A">
        <w:rPr>
          <w:sz w:val="22"/>
          <w:szCs w:val="22"/>
        </w:rPr>
        <w:t>7</w:t>
      </w:r>
      <w:r w:rsidRPr="0066146A">
        <w:rPr>
          <w:sz w:val="22"/>
          <w:szCs w:val="22"/>
        </w:rPr>
        <w:t xml:space="preserve"> is no longer required and suitable at CEPT level;</w:t>
      </w:r>
    </w:p>
    <w:p w:rsidR="0041491F" w:rsidRPr="0066146A" w:rsidRDefault="0041491F" w:rsidP="00663D25">
      <w:pPr>
        <w:pStyle w:val="ECCParagraph"/>
        <w:rPr>
          <w:color w:val="D2232A"/>
        </w:rPr>
      </w:pPr>
    </w:p>
    <w:p w:rsidR="00663D25" w:rsidRPr="0066146A" w:rsidRDefault="00663D25" w:rsidP="00663D25">
      <w:pPr>
        <w:pStyle w:val="ECCParagraph"/>
        <w:rPr>
          <w:color w:val="D2232A"/>
        </w:rPr>
      </w:pPr>
      <w:r w:rsidRPr="0066146A">
        <w:rPr>
          <w:color w:val="D2232A"/>
        </w:rPr>
        <w:t>DECIDES</w:t>
      </w:r>
    </w:p>
    <w:p w:rsidR="00663D25" w:rsidRPr="0066146A" w:rsidRDefault="00190C12" w:rsidP="0041491F">
      <w:pPr>
        <w:pStyle w:val="NumberedList"/>
      </w:pPr>
      <w:r w:rsidRPr="0066146A">
        <w:rPr>
          <w:sz w:val="22"/>
          <w:szCs w:val="22"/>
        </w:rPr>
        <w:t>to withdraw the ECC Decision ECC/DEC/(0</w:t>
      </w:r>
      <w:r w:rsidR="0041491F" w:rsidRPr="0066146A">
        <w:rPr>
          <w:sz w:val="22"/>
          <w:szCs w:val="22"/>
        </w:rPr>
        <w:t>2</w:t>
      </w:r>
      <w:r w:rsidRPr="0066146A">
        <w:rPr>
          <w:sz w:val="22"/>
          <w:szCs w:val="22"/>
        </w:rPr>
        <w:t>)0</w:t>
      </w:r>
      <w:r w:rsidR="0041491F" w:rsidRPr="0066146A">
        <w:rPr>
          <w:sz w:val="22"/>
          <w:szCs w:val="22"/>
        </w:rPr>
        <w:t>7</w:t>
      </w:r>
      <w:r w:rsidRPr="0066146A">
        <w:rPr>
          <w:sz w:val="22"/>
          <w:szCs w:val="22"/>
        </w:rPr>
        <w:t xml:space="preserve"> </w:t>
      </w:r>
      <w:r w:rsidR="0041491F" w:rsidRPr="0066146A">
        <w:rPr>
          <w:sz w:val="22"/>
          <w:szCs w:val="22"/>
        </w:rPr>
        <w:t>of 15 November 2002 on the harmonised European use of the bands 1670 - 1675 MHz and 1800 - 1805 MHz and on the withdrawal of the ERC Decision (92)01 “Decision on the frequency bands to be designated for the coordinated introduction of the Terrestrial Flight Telecommunications System”</w:t>
      </w:r>
    </w:p>
    <w:p w:rsidR="00B9184B" w:rsidRPr="0066146A" w:rsidRDefault="00B9184B" w:rsidP="00663D25">
      <w:pPr>
        <w:pStyle w:val="NumberedList"/>
        <w:spacing w:after="60"/>
        <w:rPr>
          <w:sz w:val="22"/>
          <w:szCs w:val="22"/>
        </w:rPr>
      </w:pPr>
      <w:proofErr w:type="gramStart"/>
      <w:r w:rsidRPr="0066146A">
        <w:rPr>
          <w:sz w:val="22"/>
          <w:szCs w:val="22"/>
        </w:rPr>
        <w:t>that</w:t>
      </w:r>
      <w:proofErr w:type="gramEnd"/>
      <w:r w:rsidRPr="0066146A">
        <w:rPr>
          <w:sz w:val="22"/>
          <w:szCs w:val="22"/>
        </w:rPr>
        <w:t xml:space="preserve"> this </w:t>
      </w:r>
      <w:r w:rsidR="006E1B5C" w:rsidRPr="0066146A">
        <w:rPr>
          <w:sz w:val="22"/>
          <w:szCs w:val="22"/>
        </w:rPr>
        <w:t xml:space="preserve">ECC </w:t>
      </w:r>
      <w:r w:rsidR="004B72F8" w:rsidRPr="0066146A">
        <w:rPr>
          <w:sz w:val="22"/>
          <w:szCs w:val="22"/>
        </w:rPr>
        <w:t xml:space="preserve">Decision enters into force on </w:t>
      </w:r>
      <w:r w:rsidR="0066146A" w:rsidRPr="0066146A">
        <w:rPr>
          <w:sz w:val="22"/>
          <w:szCs w:val="22"/>
        </w:rPr>
        <w:t>27 June 2014</w:t>
      </w:r>
      <w:r w:rsidR="006E1B5C" w:rsidRPr="0066146A">
        <w:rPr>
          <w:sz w:val="22"/>
          <w:szCs w:val="22"/>
        </w:rPr>
        <w:t>.</w:t>
      </w:r>
      <w:r w:rsidR="0066146A" w:rsidRPr="0066146A">
        <w:rPr>
          <w:sz w:val="22"/>
          <w:szCs w:val="22"/>
        </w:rPr>
        <w:t>”</w:t>
      </w:r>
    </w:p>
    <w:p w:rsidR="007D41A6" w:rsidRPr="0066146A" w:rsidRDefault="007D41A6" w:rsidP="00663D25">
      <w:pPr>
        <w:pStyle w:val="ECCParagraph"/>
        <w:rPr>
          <w:i/>
          <w:color w:val="D2232A"/>
        </w:rPr>
      </w:pPr>
    </w:p>
    <w:p w:rsidR="00663D25" w:rsidRPr="0066146A" w:rsidRDefault="00663D25" w:rsidP="00841A73">
      <w:pPr>
        <w:rPr>
          <w:lang w:val="en-GB"/>
        </w:rPr>
      </w:pPr>
    </w:p>
    <w:sectPr w:rsidR="00663D25" w:rsidRPr="0066146A" w:rsidSect="003B4596">
      <w:headerReference w:type="even" r:id="rId9"/>
      <w:headerReference w:type="default" r:id="rId10"/>
      <w:headerReference w:type="first" r:id="rId11"/>
      <w:pgSz w:w="11907" w:h="16840" w:code="9"/>
      <w:pgMar w:top="1440" w:right="1134" w:bottom="1440"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92" w:rsidRDefault="00B11E92" w:rsidP="00663D25">
      <w:r>
        <w:separator/>
      </w:r>
    </w:p>
  </w:endnote>
  <w:endnote w:type="continuationSeparator" w:id="0">
    <w:p w:rsidR="00B11E92" w:rsidRDefault="00B11E92" w:rsidP="0066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92" w:rsidRDefault="00B11E92" w:rsidP="00663D25">
      <w:r>
        <w:separator/>
      </w:r>
    </w:p>
  </w:footnote>
  <w:footnote w:type="continuationSeparator" w:id="0">
    <w:p w:rsidR="00B11E92" w:rsidRDefault="00B11E92" w:rsidP="0066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6E" w:rsidRDefault="00775DC3">
    <w:pPr>
      <w:pStyle w:val="Header"/>
      <w:rPr>
        <w:lang w:val="da-DK"/>
      </w:rPr>
    </w:pPr>
    <w:r>
      <w:rPr>
        <w:lang w:val="da-DK"/>
      </w:rPr>
      <w:t xml:space="preserve"> </w:t>
    </w:r>
  </w:p>
  <w:p w:rsidR="006E1B5C" w:rsidRPr="007C5F95" w:rsidRDefault="006E1B5C">
    <w:pPr>
      <w:pStyle w:val="Header"/>
      <w:rPr>
        <w:szCs w:val="16"/>
        <w:lang w:val="da-DK"/>
      </w:rPr>
    </w:pPr>
    <w:r w:rsidRPr="007C5F95">
      <w:rPr>
        <w:lang w:val="da-DK"/>
      </w:rPr>
      <w:t>ECC</w:t>
    </w:r>
    <w:r w:rsidR="005E0504">
      <w:rPr>
        <w:lang w:val="da-DK"/>
      </w:rPr>
      <w:t>/DEC</w:t>
    </w:r>
    <w:r w:rsidR="00B612AF">
      <w:rPr>
        <w:lang w:val="da-DK"/>
      </w:rPr>
      <w:t>/</w:t>
    </w:r>
    <w:r w:rsidRPr="007C5F95">
      <w:rPr>
        <w:lang w:val="da-DK"/>
      </w:rPr>
      <w:t>(</w:t>
    </w:r>
    <w:r w:rsidR="00F85AA3">
      <w:rPr>
        <w:lang w:val="da-DK"/>
      </w:rPr>
      <w:t>1</w:t>
    </w:r>
    <w:r w:rsidR="0041491F">
      <w:rPr>
        <w:lang w:val="da-DK"/>
      </w:rPr>
      <w:t>4</w:t>
    </w:r>
    <w:r w:rsidRPr="007C5F95">
      <w:rPr>
        <w:lang w:val="da-DK"/>
      </w:rPr>
      <w:t>)</w:t>
    </w:r>
    <w:r w:rsidR="0066146A">
      <w:rPr>
        <w:lang w:val="da-DK"/>
      </w:rPr>
      <w:t>01</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D3356E">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6E" w:rsidRDefault="00D3356E" w:rsidP="00663D25">
    <w:pPr>
      <w:pStyle w:val="Header"/>
      <w:jc w:val="right"/>
      <w:rPr>
        <w:lang w:val="da-DK"/>
      </w:rPr>
    </w:pPr>
  </w:p>
  <w:p w:rsidR="006E1B5C" w:rsidRPr="007C5F95" w:rsidRDefault="00775DC3" w:rsidP="00663D25">
    <w:pPr>
      <w:pStyle w:val="Header"/>
      <w:jc w:val="right"/>
      <w:rPr>
        <w:szCs w:val="16"/>
        <w:lang w:val="da-DK"/>
      </w:rPr>
    </w:pPr>
    <w:r>
      <w:rPr>
        <w:lang w:val="da-DK"/>
      </w:rPr>
      <w:t xml:space="preserve"> </w:t>
    </w:r>
    <w:r w:rsidR="005E0504">
      <w:rPr>
        <w:lang w:val="da-DK"/>
      </w:rPr>
      <w:t>ECC/</w:t>
    </w:r>
    <w:r w:rsidR="006E1B5C" w:rsidRPr="007C5F95">
      <w:rPr>
        <w:lang w:val="da-DK"/>
      </w:rPr>
      <w:t>DE</w:t>
    </w:r>
    <w:r w:rsidR="005E0504">
      <w:rPr>
        <w:lang w:val="da-DK"/>
      </w:rPr>
      <w:t>C</w:t>
    </w:r>
    <w:r w:rsidR="00B612AF">
      <w:rPr>
        <w:lang w:val="da-DK"/>
      </w:rPr>
      <w:t>/</w:t>
    </w:r>
    <w:r w:rsidR="006E1B5C" w:rsidRPr="007C5F95">
      <w:rPr>
        <w:lang w:val="da-DK"/>
      </w:rPr>
      <w:t>(</w:t>
    </w:r>
    <w:r w:rsidR="00F85AA3">
      <w:rPr>
        <w:lang w:val="da-DK"/>
      </w:rPr>
      <w:t>1</w:t>
    </w:r>
    <w:r w:rsidR="0041491F">
      <w:rPr>
        <w:lang w:val="da-DK"/>
      </w:rPr>
      <w:t>4</w:t>
    </w:r>
    <w:r w:rsidR="006E1B5C" w:rsidRPr="007C5F95">
      <w:rPr>
        <w:lang w:val="da-DK"/>
      </w:rPr>
      <w:t>)</w:t>
    </w:r>
    <w:r w:rsidR="0066146A">
      <w:rPr>
        <w:lang w:val="da-DK"/>
      </w:rPr>
      <w:t>01</w:t>
    </w:r>
    <w:r w:rsidR="006E1B5C">
      <w:rPr>
        <w:lang w:val="da-DK"/>
      </w:rPr>
      <w:t xml:space="preserve"> </w:t>
    </w:r>
    <w:r w:rsidR="006E1B5C">
      <w:rPr>
        <w:szCs w:val="16"/>
        <w:lang w:val="da-DK"/>
      </w:rPr>
      <w:t xml:space="preserve">Page </w:t>
    </w:r>
    <w:r w:rsidR="006E1B5C">
      <w:rPr>
        <w:szCs w:val="16"/>
        <w:lang w:val="da-DK"/>
      </w:rPr>
      <w:fldChar w:fldCharType="begin"/>
    </w:r>
    <w:r w:rsidR="006E1B5C">
      <w:rPr>
        <w:szCs w:val="16"/>
        <w:lang w:val="da-DK"/>
      </w:rPr>
      <w:instrText xml:space="preserve"> PAGE  \* Arabic  \* MERGEFORMAT </w:instrText>
    </w:r>
    <w:r w:rsidR="006E1B5C">
      <w:rPr>
        <w:szCs w:val="16"/>
        <w:lang w:val="da-DK"/>
      </w:rPr>
      <w:fldChar w:fldCharType="separate"/>
    </w:r>
    <w:r w:rsidR="00D3356E">
      <w:rPr>
        <w:noProof/>
        <w:szCs w:val="16"/>
        <w:lang w:val="da-DK"/>
      </w:rPr>
      <w:t>3</w:t>
    </w:r>
    <w:r w:rsidR="006E1B5C">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Default="006E1B5C" w:rsidP="00D3437D">
    <w:pPr>
      <w:pStyle w:val="Header"/>
      <w:jc w:val="right"/>
    </w:pPr>
    <w:r>
      <w:rPr>
        <w:noProof/>
        <w:szCs w:val="20"/>
        <w:lang w:val="en-GB" w:eastAsia="en-GB"/>
      </w:rPr>
      <w:drawing>
        <wp:anchor distT="0" distB="0" distL="114300" distR="114300" simplePos="0" relativeHeight="251658240" behindDoc="0" locked="0" layoutInCell="1" allowOverlap="1" wp14:anchorId="1ECA9FDB" wp14:editId="5E635F69">
          <wp:simplePos x="0" y="0"/>
          <wp:positionH relativeFrom="page">
            <wp:posOffset>5717540</wp:posOffset>
          </wp:positionH>
          <wp:positionV relativeFrom="page">
            <wp:posOffset>648335</wp:posOffset>
          </wp:positionV>
          <wp:extent cx="1461770" cy="546100"/>
          <wp:effectExtent l="0" t="0" r="5080" b="635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GB" w:eastAsia="en-GB"/>
      </w:rPr>
      <w:drawing>
        <wp:anchor distT="0" distB="0" distL="114300" distR="114300" simplePos="0" relativeHeight="251660288" behindDoc="0" locked="0" layoutInCell="1" allowOverlap="1" wp14:anchorId="25502A98" wp14:editId="0F7ECED5">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nsid w:val="212F4188"/>
    <w:multiLevelType w:val="multilevel"/>
    <w:tmpl w:val="FF0640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F4E0E54"/>
    <w:multiLevelType w:val="multilevel"/>
    <w:tmpl w:val="294220AC"/>
    <w:numStyleLink w:val="Letteredlist0"/>
  </w:abstractNum>
  <w:abstractNum w:abstractNumId="3">
    <w:nsid w:val="32A77A34"/>
    <w:multiLevelType w:val="hybridMultilevel"/>
    <w:tmpl w:val="31DAC7DE"/>
    <w:lvl w:ilvl="0" w:tplc="EBCA4C50">
      <w:start w:val="1"/>
      <w:numFmt w:val="bullet"/>
      <w:pStyle w:val="WGNNA-bulleted"/>
      <w:lvlText w:val=""/>
      <w:lvlJc w:val="left"/>
      <w:pPr>
        <w:tabs>
          <w:tab w:val="num" w:pos="372"/>
        </w:tabs>
        <w:ind w:left="372" w:hanging="372"/>
      </w:pPr>
      <w:rPr>
        <w:rFonts w:ascii="Wingdings" w:hAnsi="Wingdings" w:hint="default"/>
        <w:color w:val="auto"/>
      </w:rPr>
    </w:lvl>
    <w:lvl w:ilvl="1" w:tplc="00030409">
      <w:start w:val="1"/>
      <w:numFmt w:val="bullet"/>
      <w:lvlText w:val="o"/>
      <w:lvlJc w:val="left"/>
      <w:pPr>
        <w:tabs>
          <w:tab w:val="num" w:pos="306"/>
        </w:tabs>
        <w:ind w:left="306" w:hanging="360"/>
      </w:pPr>
      <w:rPr>
        <w:rFonts w:ascii="Courier New" w:hAnsi="Courier New" w:hint="default"/>
      </w:rPr>
    </w:lvl>
    <w:lvl w:ilvl="2" w:tplc="00050409">
      <w:start w:val="1"/>
      <w:numFmt w:val="bullet"/>
      <w:lvlText w:val=""/>
      <w:lvlJc w:val="left"/>
      <w:pPr>
        <w:tabs>
          <w:tab w:val="num" w:pos="1026"/>
        </w:tabs>
        <w:ind w:left="1026" w:hanging="360"/>
      </w:pPr>
      <w:rPr>
        <w:rFonts w:ascii="Wingdings" w:hAnsi="Wingdings" w:hint="default"/>
      </w:rPr>
    </w:lvl>
    <w:lvl w:ilvl="3" w:tplc="00010409">
      <w:start w:val="1"/>
      <w:numFmt w:val="bullet"/>
      <w:lvlText w:val=""/>
      <w:lvlJc w:val="left"/>
      <w:pPr>
        <w:tabs>
          <w:tab w:val="num" w:pos="1746"/>
        </w:tabs>
        <w:ind w:left="1746" w:hanging="360"/>
      </w:pPr>
      <w:rPr>
        <w:rFonts w:ascii="Symbol" w:hAnsi="Symbol" w:hint="default"/>
      </w:rPr>
    </w:lvl>
    <w:lvl w:ilvl="4" w:tplc="00030409">
      <w:start w:val="1"/>
      <w:numFmt w:val="bullet"/>
      <w:lvlText w:val="o"/>
      <w:lvlJc w:val="left"/>
      <w:pPr>
        <w:tabs>
          <w:tab w:val="num" w:pos="2466"/>
        </w:tabs>
        <w:ind w:left="2466" w:hanging="360"/>
      </w:pPr>
      <w:rPr>
        <w:rFonts w:ascii="Courier New" w:hAnsi="Courier New" w:hint="default"/>
      </w:rPr>
    </w:lvl>
    <w:lvl w:ilvl="5" w:tplc="00050409">
      <w:start w:val="1"/>
      <w:numFmt w:val="bullet"/>
      <w:lvlText w:val=""/>
      <w:lvlJc w:val="left"/>
      <w:pPr>
        <w:tabs>
          <w:tab w:val="num" w:pos="3186"/>
        </w:tabs>
        <w:ind w:left="3186" w:hanging="360"/>
      </w:pPr>
      <w:rPr>
        <w:rFonts w:ascii="Wingdings" w:hAnsi="Wingdings" w:hint="default"/>
      </w:rPr>
    </w:lvl>
    <w:lvl w:ilvl="6" w:tplc="00010409">
      <w:start w:val="1"/>
      <w:numFmt w:val="bullet"/>
      <w:lvlText w:val=""/>
      <w:lvlJc w:val="left"/>
      <w:pPr>
        <w:tabs>
          <w:tab w:val="num" w:pos="3906"/>
        </w:tabs>
        <w:ind w:left="3906" w:hanging="360"/>
      </w:pPr>
      <w:rPr>
        <w:rFonts w:ascii="Symbol" w:hAnsi="Symbol" w:hint="default"/>
      </w:rPr>
    </w:lvl>
    <w:lvl w:ilvl="7" w:tplc="00030409">
      <w:start w:val="1"/>
      <w:numFmt w:val="bullet"/>
      <w:lvlText w:val="o"/>
      <w:lvlJc w:val="left"/>
      <w:pPr>
        <w:tabs>
          <w:tab w:val="num" w:pos="4626"/>
        </w:tabs>
        <w:ind w:left="4626" w:hanging="360"/>
      </w:pPr>
      <w:rPr>
        <w:rFonts w:ascii="Courier New" w:hAnsi="Courier New" w:hint="default"/>
      </w:rPr>
    </w:lvl>
    <w:lvl w:ilvl="8" w:tplc="00050409">
      <w:start w:val="1"/>
      <w:numFmt w:val="bullet"/>
      <w:lvlText w:val=""/>
      <w:lvlJc w:val="left"/>
      <w:pPr>
        <w:tabs>
          <w:tab w:val="num" w:pos="5346"/>
        </w:tabs>
        <w:ind w:left="5346" w:hanging="360"/>
      </w:pPr>
      <w:rPr>
        <w:rFonts w:ascii="Wingdings" w:hAnsi="Wingdings" w:hint="default"/>
      </w:rPr>
    </w:lvl>
  </w:abstractNum>
  <w:abstractNum w:abstractNumId="4">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427E184A"/>
    <w:multiLevelType w:val="hybridMultilevel"/>
    <w:tmpl w:val="F51A9A3A"/>
    <w:lvl w:ilvl="0" w:tplc="0B1E7C38">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E6242A"/>
    <w:multiLevelType w:val="hybridMultilevel"/>
    <w:tmpl w:val="48DEBF0A"/>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3A45DDE"/>
    <w:multiLevelType w:val="hybridMultilevel"/>
    <w:tmpl w:val="C3A8C160"/>
    <w:lvl w:ilvl="0" w:tplc="04060017">
      <w:start w:val="1"/>
      <w:numFmt w:val="lowerLetter"/>
      <w:lvlText w:val="%1)"/>
      <w:lvlJc w:val="left"/>
      <w:pPr>
        <w:tabs>
          <w:tab w:val="num" w:pos="360"/>
        </w:tabs>
        <w:ind w:left="360" w:hanging="360"/>
      </w:pPr>
      <w:rPr>
        <w:rFonts w:hint="default"/>
        <w:color w:val="D2232A"/>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7767BF"/>
    <w:multiLevelType w:val="multilevel"/>
    <w:tmpl w:val="7060B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2"/>
  </w:num>
  <w:num w:numId="3">
    <w:abstractNumId w:val="9"/>
  </w:num>
  <w:num w:numId="4">
    <w:abstractNumId w:val="1"/>
  </w:num>
  <w:num w:numId="5">
    <w:abstractNumId w:val="2"/>
  </w:num>
  <w:num w:numId="6">
    <w:abstractNumId w:val="4"/>
  </w:num>
  <w:num w:numId="7">
    <w:abstractNumId w:val="3"/>
  </w:num>
  <w:num w:numId="8">
    <w:abstractNumId w:val="8"/>
  </w:num>
  <w:num w:numId="9">
    <w:abstractNumId w:val="7"/>
  </w:num>
  <w:num w:numId="10">
    <w:abstractNumId w:val="5"/>
  </w:num>
  <w:num w:numId="11">
    <w:abstractNumId w:val="8"/>
    <w:lvlOverride w:ilvl="0">
      <w:startOverride w:val="1"/>
    </w:lvlOverride>
  </w:num>
  <w:num w:numId="12">
    <w:abstractNumId w:val="0"/>
  </w:num>
  <w:num w:numId="13">
    <w:abstractNumId w:val="11"/>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55">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12"/>
    <w:rsid w:val="00001D21"/>
    <w:rsid w:val="000542D2"/>
    <w:rsid w:val="000B0BF1"/>
    <w:rsid w:val="000E64AB"/>
    <w:rsid w:val="0015731C"/>
    <w:rsid w:val="0017067A"/>
    <w:rsid w:val="00170B01"/>
    <w:rsid w:val="00190C12"/>
    <w:rsid w:val="001C3387"/>
    <w:rsid w:val="00265C80"/>
    <w:rsid w:val="002F3492"/>
    <w:rsid w:val="003223DA"/>
    <w:rsid w:val="00362B94"/>
    <w:rsid w:val="00365909"/>
    <w:rsid w:val="003A3CF5"/>
    <w:rsid w:val="003B4596"/>
    <w:rsid w:val="003F412D"/>
    <w:rsid w:val="003F714F"/>
    <w:rsid w:val="0041491F"/>
    <w:rsid w:val="00426DB4"/>
    <w:rsid w:val="004613D7"/>
    <w:rsid w:val="00474C2A"/>
    <w:rsid w:val="004926C5"/>
    <w:rsid w:val="004B72F8"/>
    <w:rsid w:val="00546D80"/>
    <w:rsid w:val="0059199F"/>
    <w:rsid w:val="005968F1"/>
    <w:rsid w:val="005B6D5C"/>
    <w:rsid w:val="005E0504"/>
    <w:rsid w:val="006029A5"/>
    <w:rsid w:val="006142BA"/>
    <w:rsid w:val="0066146A"/>
    <w:rsid w:val="00663D25"/>
    <w:rsid w:val="006E1B5C"/>
    <w:rsid w:val="00740D4D"/>
    <w:rsid w:val="00775DC3"/>
    <w:rsid w:val="007D41A6"/>
    <w:rsid w:val="00841A73"/>
    <w:rsid w:val="008449BB"/>
    <w:rsid w:val="008767B4"/>
    <w:rsid w:val="008D4540"/>
    <w:rsid w:val="00953393"/>
    <w:rsid w:val="00A2063E"/>
    <w:rsid w:val="00A86CE8"/>
    <w:rsid w:val="00AD2E4A"/>
    <w:rsid w:val="00B11E92"/>
    <w:rsid w:val="00B1654E"/>
    <w:rsid w:val="00B501C0"/>
    <w:rsid w:val="00B612AF"/>
    <w:rsid w:val="00B9184B"/>
    <w:rsid w:val="00B966F5"/>
    <w:rsid w:val="00BC0D6B"/>
    <w:rsid w:val="00BC52C0"/>
    <w:rsid w:val="00BC593D"/>
    <w:rsid w:val="00BD374E"/>
    <w:rsid w:val="00C0502C"/>
    <w:rsid w:val="00C15950"/>
    <w:rsid w:val="00C775C9"/>
    <w:rsid w:val="00C923EE"/>
    <w:rsid w:val="00D3356E"/>
    <w:rsid w:val="00D3437D"/>
    <w:rsid w:val="00E16C64"/>
    <w:rsid w:val="00E41397"/>
    <w:rsid w:val="00E652E0"/>
    <w:rsid w:val="00EB5F34"/>
    <w:rsid w:val="00F626B8"/>
    <w:rsid w:val="00F85AA3"/>
    <w:rsid w:val="00FA22A2"/>
    <w:rsid w:val="00FA323D"/>
    <w:rsid w:val="00FA6D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customStyle="1" w:styleId="En-tte1">
    <w:name w:val="En-tête1"/>
    <w:basedOn w:val="Header"/>
    <w:link w:val="HeaderZchn"/>
    <w:rsid w:val="00D3437D"/>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D3437D"/>
    <w:rPr>
      <w:rFonts w:ascii="Arial" w:hAnsi="Arial"/>
      <w:b/>
      <w:sz w:val="22"/>
      <w:lang w:val="nb-NO" w:eastAsia="de-DE"/>
    </w:rPr>
  </w:style>
  <w:style w:type="paragraph" w:styleId="BalloonText">
    <w:name w:val="Balloon Text"/>
    <w:basedOn w:val="Normal"/>
    <w:link w:val="BalloonTextChar"/>
    <w:uiPriority w:val="99"/>
    <w:semiHidden/>
    <w:unhideWhenUsed/>
    <w:rsid w:val="00FA323D"/>
    <w:rPr>
      <w:rFonts w:ascii="Tahoma" w:hAnsi="Tahoma" w:cs="Tahoma"/>
      <w:sz w:val="16"/>
      <w:szCs w:val="16"/>
    </w:rPr>
  </w:style>
  <w:style w:type="character" w:customStyle="1" w:styleId="BalloonTextChar">
    <w:name w:val="Balloon Text Char"/>
    <w:basedOn w:val="DefaultParagraphFont"/>
    <w:link w:val="BalloonText"/>
    <w:uiPriority w:val="99"/>
    <w:semiHidden/>
    <w:rsid w:val="00FA32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customStyle="1" w:styleId="En-tte1">
    <w:name w:val="En-tête1"/>
    <w:basedOn w:val="Header"/>
    <w:link w:val="HeaderZchn"/>
    <w:rsid w:val="00D3437D"/>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D3437D"/>
    <w:rPr>
      <w:rFonts w:ascii="Arial" w:hAnsi="Arial"/>
      <w:b/>
      <w:sz w:val="22"/>
      <w:lang w:val="nb-NO" w:eastAsia="de-DE"/>
    </w:rPr>
  </w:style>
  <w:style w:type="paragraph" w:styleId="BalloonText">
    <w:name w:val="Balloon Text"/>
    <w:basedOn w:val="Normal"/>
    <w:link w:val="BalloonTextChar"/>
    <w:uiPriority w:val="99"/>
    <w:semiHidden/>
    <w:unhideWhenUsed/>
    <w:rsid w:val="00FA323D"/>
    <w:rPr>
      <w:rFonts w:ascii="Tahoma" w:hAnsi="Tahoma" w:cs="Tahoma"/>
      <w:sz w:val="16"/>
      <w:szCs w:val="16"/>
    </w:rPr>
  </w:style>
  <w:style w:type="character" w:customStyle="1" w:styleId="BalloonTextChar">
    <w:name w:val="Balloon Text Char"/>
    <w:basedOn w:val="DefaultParagraphFont"/>
    <w:link w:val="BalloonText"/>
    <w:uiPriority w:val="99"/>
    <w:semiHidden/>
    <w:rsid w:val="00FA32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4AC4-4319-423B-9904-121CE8AB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3405</Characters>
  <Application>Microsoft Office Word</Application>
  <DocSecurity>0</DocSecurity>
  <Lines>28</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New ECC Report Style</vt:lpstr>
      <vt:lpstr>New ECC Report Style</vt:lpstr>
      <vt:lpstr>New ECC Report Style</vt:lpstr>
    </vt:vector>
  </TitlesOfParts>
  <Company>ECO</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subject>Input ECC #37</dc:subject>
  <dc:creator>Bente Pedersen</dc:creator>
  <dc:description>This template is used as guidance to draft ECC Reports.</dc:description>
  <cp:lastModifiedBy>Bente Pedersen</cp:lastModifiedBy>
  <cp:revision>2</cp:revision>
  <cp:lastPrinted>2014-06-27T08:18:00Z</cp:lastPrinted>
  <dcterms:created xsi:type="dcterms:W3CDTF">2014-06-27T08:21:00Z</dcterms:created>
  <dcterms:modified xsi:type="dcterms:W3CDTF">2014-06-27T08:21:00Z</dcterms:modified>
  <cp:contentStatus>Output ECC#37</cp:contentStatus>
</cp:coreProperties>
</file>