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33" w:rsidRPr="002E70A6" w:rsidRDefault="00BA4633" w:rsidP="00417943">
      <w:pPr>
        <w:jc w:val="right"/>
        <w:rPr>
          <w:lang w:val="en-GB"/>
        </w:rPr>
      </w:pPr>
      <w:bookmarkStart w:id="0" w:name="_GoBack"/>
      <w:bookmarkEnd w:id="0"/>
    </w:p>
    <w:p w:rsidR="00663D25" w:rsidRDefault="00663D25" w:rsidP="00417943">
      <w:pPr>
        <w:jc w:val="right"/>
        <w:rPr>
          <w:lang w:val="en-GB"/>
        </w:rPr>
      </w:pPr>
    </w:p>
    <w:p w:rsidR="00663D25" w:rsidRDefault="00663D25" w:rsidP="00663D25">
      <w:pPr>
        <w:jc w:val="center"/>
        <w:rPr>
          <w:lang w:val="en-GB"/>
        </w:rPr>
      </w:pPr>
    </w:p>
    <w:p w:rsidR="008D7407" w:rsidRPr="002E70A6" w:rsidRDefault="008D7407" w:rsidP="00663D25">
      <w:pPr>
        <w:jc w:val="center"/>
        <w:rPr>
          <w:lang w:val="en-GB"/>
        </w:rPr>
      </w:pPr>
      <w:r w:rsidRPr="002E70A6">
        <w:rPr>
          <w:b/>
          <w:noProof/>
          <w:sz w:val="24"/>
          <w:szCs w:val="20"/>
          <w:lang w:val="da-DK" w:eastAsia="da-DK"/>
        </w:rPr>
        <mc:AlternateContent>
          <mc:Choice Requires="wpg">
            <w:drawing>
              <wp:anchor distT="0" distB="0" distL="114300" distR="114300" simplePos="0" relativeHeight="251657216" behindDoc="0" locked="0" layoutInCell="1" allowOverlap="1" wp14:anchorId="272434C9" wp14:editId="3309BBE4">
                <wp:simplePos x="0" y="0"/>
                <wp:positionH relativeFrom="column">
                  <wp:posOffset>-720090</wp:posOffset>
                </wp:positionH>
                <wp:positionV relativeFrom="paragraph">
                  <wp:posOffset>125316</wp:posOffset>
                </wp:positionV>
                <wp:extent cx="7564120" cy="8907145"/>
                <wp:effectExtent l="0" t="0" r="0" b="825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907145"/>
                          <a:chOff x="0" y="2700"/>
                          <a:chExt cx="11912" cy="14027"/>
                        </a:xfrm>
                      </wpg:grpSpPr>
                      <wps:wsp>
                        <wps:cNvPr id="2" name="Rectangle 8"/>
                        <wps:cNvSpPr>
                          <a:spLocks noChangeArrowheads="1"/>
                        </wps:cNvSpPr>
                        <wps:spPr bwMode="auto">
                          <a:xfrm>
                            <a:off x="6" y="16444"/>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197" w:rsidRPr="00AB5CE0" w:rsidRDefault="005E6197" w:rsidP="00663D25">
                              <w:pPr>
                                <w:rPr>
                                  <w:color w:val="57433E"/>
                                  <w:sz w:val="68"/>
                                  <w:lang w:val="pt-PT"/>
                                </w:rPr>
                              </w:pPr>
                              <w:r w:rsidRPr="00FE1795">
                                <w:rPr>
                                  <w:color w:val="FFFFFF"/>
                                  <w:sz w:val="68"/>
                                </w:rPr>
                                <w:t>E</w:t>
                              </w:r>
                              <w:r>
                                <w:rPr>
                                  <w:color w:val="FFFFFF"/>
                                  <w:sz w:val="68"/>
                                </w:rPr>
                                <w:t>C</w:t>
                              </w:r>
                              <w:r w:rsidRPr="00FE1795">
                                <w:rPr>
                                  <w:color w:val="FFFFFF"/>
                                  <w:sz w:val="68"/>
                                </w:rPr>
                                <w:t xml:space="preserve">C Decision </w:t>
                              </w:r>
                              <w:r>
                                <w:rPr>
                                  <w:color w:val="887E6E"/>
                                  <w:sz w:val="68"/>
                                </w:rPr>
                                <w:t>(15</w:t>
                              </w:r>
                              <w:r w:rsidRPr="001E2FAA">
                                <w:rPr>
                                  <w:color w:val="887E6E"/>
                                  <w:sz w:val="68"/>
                                </w:rPr>
                                <w:t>)</w:t>
                              </w:r>
                              <w:r w:rsidR="00AD7F06">
                                <w:rPr>
                                  <w:color w:val="887E6E"/>
                                  <w:sz w:val="68"/>
                                </w:rPr>
                                <w:t>05</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9.85pt;width:595.6pt;height:701.35pt;z-index:251657216" coordorigin=",2700" coordsize="1191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">
                <v:rect id="Rectangle 8" o:spid="_x0000_s1027" style="position:absolute;left:6;top:16444;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5E6197" w:rsidRPr="00AB5CE0" w:rsidRDefault="005E6197" w:rsidP="00663D25">
                        <w:pPr>
                          <w:rPr>
                            <w:color w:val="57433E"/>
                            <w:sz w:val="68"/>
                            <w:lang w:val="pt-PT"/>
                          </w:rPr>
                        </w:pPr>
                        <w:r w:rsidRPr="00FE1795">
                          <w:rPr>
                            <w:color w:val="FFFFFF"/>
                            <w:sz w:val="68"/>
                          </w:rPr>
                          <w:t>E</w:t>
                        </w:r>
                        <w:r>
                          <w:rPr>
                            <w:color w:val="FFFFFF"/>
                            <w:sz w:val="68"/>
                          </w:rPr>
                          <w:t>C</w:t>
                        </w:r>
                        <w:r w:rsidRPr="00FE1795">
                          <w:rPr>
                            <w:color w:val="FFFFFF"/>
                            <w:sz w:val="68"/>
                          </w:rPr>
                          <w:t xml:space="preserve">C Decision </w:t>
                        </w:r>
                        <w:r>
                          <w:rPr>
                            <w:color w:val="887E6E"/>
                            <w:sz w:val="68"/>
                          </w:rPr>
                          <w:t>(15</w:t>
                        </w:r>
                        <w:r w:rsidRPr="001E2FAA">
                          <w:rPr>
                            <w:color w:val="887E6E"/>
                            <w:sz w:val="68"/>
                          </w:rPr>
                          <w:t>)</w:t>
                        </w:r>
                        <w:r w:rsidR="00AD7F06">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2E70A6" w:rsidRDefault="00663D25" w:rsidP="00663D25">
      <w:pPr>
        <w:jc w:val="center"/>
        <w:rPr>
          <w:lang w:val="en-GB"/>
        </w:rPr>
      </w:pPr>
    </w:p>
    <w:p w:rsidR="00663D25" w:rsidRPr="002E70A6" w:rsidRDefault="00663D25" w:rsidP="00663D25">
      <w:pPr>
        <w:rPr>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jc w:val="center"/>
        <w:rPr>
          <w:b/>
          <w:sz w:val="24"/>
          <w:lang w:val="en-GB"/>
        </w:rPr>
      </w:pPr>
    </w:p>
    <w:p w:rsidR="00663D25" w:rsidRPr="002E70A6" w:rsidRDefault="00663D25" w:rsidP="00663D25">
      <w:pPr>
        <w:rPr>
          <w:b/>
          <w:sz w:val="24"/>
          <w:lang w:val="en-GB"/>
        </w:rPr>
      </w:pPr>
    </w:p>
    <w:p w:rsidR="00663D25" w:rsidRPr="002E70A6" w:rsidRDefault="00663D25" w:rsidP="00663D25">
      <w:pPr>
        <w:jc w:val="center"/>
        <w:rPr>
          <w:b/>
          <w:sz w:val="24"/>
          <w:lang w:val="en-GB"/>
        </w:rPr>
      </w:pPr>
    </w:p>
    <w:p w:rsidR="00663D25" w:rsidRPr="002E70A6" w:rsidRDefault="004A796B" w:rsidP="004A796B">
      <w:pPr>
        <w:pStyle w:val="Reporttitledescription"/>
        <w:rPr>
          <w:color w:val="auto"/>
          <w:lang w:val="en-GB"/>
        </w:rPr>
      </w:pPr>
      <w:r w:rsidRPr="002E70A6">
        <w:rPr>
          <w:color w:val="auto"/>
          <w:lang w:val="en-GB"/>
        </w:rPr>
        <w:t>The harmonised frequency range 446.0-446.2 MHz, technical characteristics, exemption from individual licensing and free carriage and use of analogue and digital PMR 446 applications</w:t>
      </w:r>
      <w:r w:rsidR="0094666C" w:rsidRPr="002E70A6">
        <w:rPr>
          <w:rStyle w:val="FootnoteReference"/>
          <w:color w:val="auto"/>
          <w:lang w:val="en-GB"/>
        </w:rPr>
        <w:footnoteReference w:id="1"/>
      </w:r>
      <w:r w:rsidRPr="002E70A6">
        <w:rPr>
          <w:color w:val="auto"/>
          <w:lang w:val="en-GB"/>
        </w:rPr>
        <w:t xml:space="preserve"> </w:t>
      </w:r>
    </w:p>
    <w:p w:rsidR="00663D25" w:rsidRPr="002E70A6" w:rsidRDefault="00E81730" w:rsidP="00663D25">
      <w:pPr>
        <w:pStyle w:val="Reporttitledescription"/>
        <w:rPr>
          <w:b/>
          <w:color w:val="auto"/>
          <w:sz w:val="18"/>
          <w:lang w:val="en-GB"/>
        </w:rPr>
      </w:pPr>
      <w:r w:rsidRPr="002E70A6">
        <w:rPr>
          <w:b/>
          <w:color w:val="auto"/>
          <w:sz w:val="18"/>
          <w:lang w:val="en-GB"/>
        </w:rPr>
        <w:t xml:space="preserve">Approved </w:t>
      </w:r>
      <w:r w:rsidR="00AD7F06" w:rsidRPr="002E70A6">
        <w:rPr>
          <w:b/>
          <w:color w:val="auto"/>
          <w:sz w:val="18"/>
          <w:lang w:val="en-GB"/>
        </w:rPr>
        <w:t xml:space="preserve">3 July </w:t>
      </w:r>
      <w:r w:rsidR="004A796B" w:rsidRPr="002E70A6">
        <w:rPr>
          <w:b/>
          <w:color w:val="auto"/>
          <w:sz w:val="18"/>
          <w:lang w:val="en-GB"/>
        </w:rPr>
        <w:t>2015</w:t>
      </w:r>
    </w:p>
    <w:p w:rsidR="00BD59AE" w:rsidRPr="002E70A6" w:rsidRDefault="00BD59AE" w:rsidP="00BA4633">
      <w:pPr>
        <w:pStyle w:val="Reporttitledescription"/>
        <w:spacing w:before="120" w:after="120"/>
        <w:rPr>
          <w:b/>
          <w:color w:val="auto"/>
          <w:sz w:val="18"/>
          <w:lang w:val="en-GB"/>
        </w:rPr>
      </w:pPr>
      <w:r w:rsidRPr="002E70A6">
        <w:rPr>
          <w:b/>
          <w:color w:val="auto"/>
          <w:sz w:val="18"/>
          <w:lang w:val="en-GB"/>
        </w:rPr>
        <w:t xml:space="preserve">Amended </w:t>
      </w:r>
      <w:r w:rsidR="009E687E" w:rsidRPr="002E70A6">
        <w:rPr>
          <w:b/>
          <w:color w:val="auto"/>
          <w:sz w:val="18"/>
          <w:lang w:val="en-GB"/>
        </w:rPr>
        <w:t>2</w:t>
      </w:r>
      <w:r w:rsidRPr="002E70A6">
        <w:rPr>
          <w:b/>
          <w:color w:val="auto"/>
          <w:sz w:val="18"/>
          <w:lang w:val="en-GB"/>
        </w:rPr>
        <w:t xml:space="preserve"> </w:t>
      </w:r>
      <w:r w:rsidR="00AF45D8" w:rsidRPr="002E70A6">
        <w:rPr>
          <w:b/>
          <w:color w:val="auto"/>
          <w:sz w:val="18"/>
          <w:lang w:val="en-GB"/>
        </w:rPr>
        <w:t>March</w:t>
      </w:r>
      <w:r w:rsidRPr="002E70A6">
        <w:rPr>
          <w:b/>
          <w:color w:val="auto"/>
          <w:sz w:val="18"/>
          <w:lang w:val="en-GB"/>
        </w:rPr>
        <w:t xml:space="preserve"> 201</w:t>
      </w:r>
      <w:r w:rsidR="00AF45D8" w:rsidRPr="002E70A6">
        <w:rPr>
          <w:b/>
          <w:color w:val="auto"/>
          <w:sz w:val="18"/>
          <w:lang w:val="en-GB"/>
        </w:rPr>
        <w:t>8</w:t>
      </w:r>
    </w:p>
    <w:p w:rsidR="00663D25" w:rsidRPr="002E70A6" w:rsidRDefault="00663D25" w:rsidP="00FE1795">
      <w:pPr>
        <w:pStyle w:val="Heading1"/>
      </w:pPr>
      <w:r w:rsidRPr="002E70A6">
        <w:lastRenderedPageBreak/>
        <w:t>explanato</w:t>
      </w:r>
      <w:r w:rsidR="007D41A6" w:rsidRPr="002E70A6">
        <w:t>ry memorandum</w:t>
      </w:r>
    </w:p>
    <w:p w:rsidR="00663D25" w:rsidRPr="002E70A6" w:rsidRDefault="00663D25" w:rsidP="00FE1795">
      <w:pPr>
        <w:pStyle w:val="Heading2"/>
        <w:rPr>
          <w:lang w:val="en-GB"/>
        </w:rPr>
      </w:pPr>
      <w:r w:rsidRPr="002E70A6">
        <w:rPr>
          <w:lang w:val="en-GB"/>
        </w:rPr>
        <w:t>INTRODUCTION</w:t>
      </w:r>
    </w:p>
    <w:p w:rsidR="002D09C8" w:rsidRPr="002E70A6" w:rsidRDefault="002D09C8" w:rsidP="00FC0F7A">
      <w:pPr>
        <w:pStyle w:val="ECCParagraph"/>
      </w:pPr>
      <w:r w:rsidRPr="002E70A6">
        <w:t xml:space="preserve">The free circulation of radio communication products and the provision of equipment in Europe for radio communications are only achievable if there are common regulations throughout Europe regarding the availability of frequency bands, harmonised technical conditions and border crossing procedures. The main requirements for fulfilling these objectives for </w:t>
      </w:r>
      <w:r w:rsidR="004A796B" w:rsidRPr="002E70A6">
        <w:t xml:space="preserve">analogue and digital </w:t>
      </w:r>
      <w:r w:rsidR="00463661" w:rsidRPr="002E70A6">
        <w:t>PMR 446</w:t>
      </w:r>
      <w:r w:rsidRPr="002E70A6">
        <w:t xml:space="preserve"> radio equipment are the Europe-wide availability of a suitable frequency band, harmonised technical conditions and the implementation of national regulations based on the Harmonised European Standard </w:t>
      </w:r>
      <w:r w:rsidR="00815891" w:rsidRPr="002E70A6">
        <w:t xml:space="preserve">EN </w:t>
      </w:r>
      <w:r w:rsidR="00BD59AE" w:rsidRPr="002E70A6">
        <w:t>303 405</w:t>
      </w:r>
      <w:r w:rsidR="002E70A6" w:rsidRPr="002E70A6">
        <w:t xml:space="preserve"> </w:t>
      </w:r>
      <w:r w:rsidR="002E70A6" w:rsidRPr="002E70A6">
        <w:fldChar w:fldCharType="begin"/>
      </w:r>
      <w:r w:rsidR="002E70A6" w:rsidRPr="002E70A6">
        <w:instrText xml:space="preserve"> REF _Ref508104750 \r \h </w:instrText>
      </w:r>
      <w:r w:rsidR="002E70A6" w:rsidRPr="002E70A6">
        <w:fldChar w:fldCharType="separate"/>
      </w:r>
      <w:r w:rsidR="008D7407">
        <w:t>[1]</w:t>
      </w:r>
      <w:r w:rsidR="002E70A6" w:rsidRPr="002E70A6">
        <w:fldChar w:fldCharType="end"/>
      </w:r>
      <w:r w:rsidR="004A796B" w:rsidRPr="002E70A6">
        <w:t>.</w:t>
      </w:r>
    </w:p>
    <w:p w:rsidR="00E46E90" w:rsidRPr="002E70A6" w:rsidRDefault="00E46E90" w:rsidP="00E46E90">
      <w:pPr>
        <w:pStyle w:val="ECCParagraph"/>
      </w:pPr>
      <w:r w:rsidRPr="002E70A6">
        <w:t>PMR 446 is intended to operate on collective frequencies shared by many users on an uncoordinated basis.</w:t>
      </w:r>
    </w:p>
    <w:p w:rsidR="004A796B" w:rsidRPr="002E70A6" w:rsidRDefault="00E46E90" w:rsidP="00E46E90">
      <w:pPr>
        <w:pStyle w:val="ECCParagraph"/>
      </w:pPr>
      <w:r w:rsidRPr="002E70A6">
        <w:t xml:space="preserve">The equipment </w:t>
      </w:r>
      <w:r w:rsidR="004A796B" w:rsidRPr="002E70A6">
        <w:t>is hand portable</w:t>
      </w:r>
      <w:r w:rsidR="003735C0" w:rsidRPr="002E70A6">
        <w:t xml:space="preserve"> (no base station or repeater use) </w:t>
      </w:r>
      <w:r w:rsidR="004A796B" w:rsidRPr="002E70A6">
        <w:t xml:space="preserve">and </w:t>
      </w:r>
      <w:r w:rsidRPr="002E70A6">
        <w:t xml:space="preserve">uses integral antennas only in order to maximise sharing and minimise interference. </w:t>
      </w:r>
      <w:r w:rsidR="00135660" w:rsidRPr="002E70A6">
        <w:t>PMR</w:t>
      </w:r>
      <w:r w:rsidR="00A436CC" w:rsidRPr="002E70A6">
        <w:t xml:space="preserve"> </w:t>
      </w:r>
      <w:r w:rsidR="00135660" w:rsidRPr="002E70A6">
        <w:t>446 equipment operates in short range peer-to-peer mode and can</w:t>
      </w:r>
      <w:r w:rsidR="00954A08" w:rsidRPr="002E70A6">
        <w:t xml:space="preserve">not </w:t>
      </w:r>
      <w:r w:rsidR="00135660" w:rsidRPr="002E70A6">
        <w:t xml:space="preserve">be </w:t>
      </w:r>
      <w:r w:rsidR="00954A08" w:rsidRPr="002E70A6">
        <w:t>used neither as a part of infrastructure network nor as a repeater</w:t>
      </w:r>
      <w:r w:rsidR="00135660" w:rsidRPr="002E70A6">
        <w:t>.</w:t>
      </w:r>
    </w:p>
    <w:p w:rsidR="004A796B" w:rsidRPr="002E70A6" w:rsidRDefault="004A796B" w:rsidP="00E46E90">
      <w:pPr>
        <w:pStyle w:val="ECCParagraph"/>
      </w:pPr>
      <w:r w:rsidRPr="002E70A6">
        <w:t xml:space="preserve">The transition to digital technology in all sectors of radio communications is </w:t>
      </w:r>
      <w:r w:rsidR="00954A08" w:rsidRPr="002E70A6">
        <w:t xml:space="preserve">required </w:t>
      </w:r>
      <w:r w:rsidRPr="002E70A6">
        <w:t>in order to meet the user expectations whilst improving spectrum efficiency.</w:t>
      </w:r>
    </w:p>
    <w:p w:rsidR="004A796B" w:rsidRPr="002E70A6" w:rsidRDefault="004A796B" w:rsidP="004A796B">
      <w:pPr>
        <w:pStyle w:val="ECCParagraph"/>
      </w:pPr>
      <w:r w:rsidRPr="002E70A6">
        <w:t>PMR 446 applications typically have a simplified functionality with a set of channels and a specification that allows usage to be exempted from individual licensing.</w:t>
      </w:r>
    </w:p>
    <w:p w:rsidR="004A796B" w:rsidRPr="002E70A6" w:rsidRDefault="004A796B" w:rsidP="004A796B">
      <w:pPr>
        <w:pStyle w:val="ECCParagraph"/>
      </w:pPr>
      <w:r w:rsidRPr="002E70A6">
        <w:t>Industry research has indicated that the provision of digital equipment including a small number of key features would increase the value that the users can derive from the equipment, and a significant increase in demand could therefore be expected.</w:t>
      </w:r>
    </w:p>
    <w:p w:rsidR="004A796B" w:rsidRPr="002E70A6" w:rsidRDefault="004A796B" w:rsidP="004A796B">
      <w:pPr>
        <w:pStyle w:val="ECCParagraph"/>
      </w:pPr>
      <w:r w:rsidRPr="002E70A6">
        <w:t>Some of these key features are:</w:t>
      </w:r>
    </w:p>
    <w:p w:rsidR="004A796B" w:rsidRPr="002E70A6" w:rsidRDefault="004A796B" w:rsidP="00511C78">
      <w:pPr>
        <w:pStyle w:val="NumberedList"/>
      </w:pPr>
      <w:r w:rsidRPr="002E70A6">
        <w:t>Improved audio quality</w:t>
      </w:r>
      <w:r w:rsidR="00D804A4" w:rsidRPr="002E70A6">
        <w:t>;</w:t>
      </w:r>
    </w:p>
    <w:p w:rsidR="004A796B" w:rsidRPr="002E70A6" w:rsidRDefault="00511C78" w:rsidP="00511C78">
      <w:pPr>
        <w:pStyle w:val="NumberedList"/>
      </w:pPr>
      <w:r w:rsidRPr="002E70A6">
        <w:t>I</w:t>
      </w:r>
      <w:r w:rsidR="004A796B" w:rsidRPr="002E70A6">
        <w:t>mproved battery performance</w:t>
      </w:r>
      <w:r w:rsidR="00D804A4" w:rsidRPr="002E70A6">
        <w:t>;</w:t>
      </w:r>
    </w:p>
    <w:p w:rsidR="004A796B" w:rsidRPr="002E70A6" w:rsidRDefault="004A796B" w:rsidP="00511C78">
      <w:pPr>
        <w:pStyle w:val="NumberedList"/>
      </w:pPr>
      <w:r w:rsidRPr="002E70A6">
        <w:t>Improved quality of service extending out to the range limit (rather than greater absolute range)</w:t>
      </w:r>
      <w:r w:rsidR="00D804A4" w:rsidRPr="002E70A6">
        <w:t>;</w:t>
      </w:r>
    </w:p>
    <w:p w:rsidR="004A796B" w:rsidRPr="002E70A6" w:rsidRDefault="004A796B" w:rsidP="00511C78">
      <w:pPr>
        <w:pStyle w:val="NumberedList"/>
      </w:pPr>
      <w:r w:rsidRPr="002E70A6">
        <w:t>Data communication, typically short message.</w:t>
      </w:r>
    </w:p>
    <w:p w:rsidR="003735C0" w:rsidRPr="002E70A6" w:rsidRDefault="004A796B" w:rsidP="004A796B">
      <w:pPr>
        <w:pStyle w:val="ECCParagraph"/>
      </w:pPr>
      <w:r w:rsidRPr="002E70A6">
        <w:t>Finally, it is important that the corresponding frequencies are harmonised throughout Europe</w:t>
      </w:r>
      <w:r w:rsidR="003735C0" w:rsidRPr="002E70A6">
        <w:t xml:space="preserve"> </w:t>
      </w:r>
      <w:r w:rsidR="00954A08" w:rsidRPr="002E70A6">
        <w:t xml:space="preserve">for </w:t>
      </w:r>
      <w:r w:rsidR="003735C0" w:rsidRPr="002E70A6">
        <w:t xml:space="preserve">both analogue and digital PMR 446 </w:t>
      </w:r>
      <w:r w:rsidR="00612D7F" w:rsidRPr="002E70A6">
        <w:t>application</w:t>
      </w:r>
      <w:r w:rsidR="00E67550" w:rsidRPr="002E70A6">
        <w:t>s</w:t>
      </w:r>
      <w:r w:rsidR="00612D7F" w:rsidRPr="002E70A6">
        <w:t xml:space="preserve">. In addition, </w:t>
      </w:r>
      <w:r w:rsidR="003735C0" w:rsidRPr="002E70A6">
        <w:t>Class 1 equipment status</w:t>
      </w:r>
      <w:r w:rsidR="00954A08" w:rsidRPr="002E70A6">
        <w:t xml:space="preserve"> </w:t>
      </w:r>
      <w:r w:rsidR="00612D7F" w:rsidRPr="002E70A6">
        <w:t>is highly recommended i</w:t>
      </w:r>
      <w:r w:rsidR="00E67550" w:rsidRPr="002E70A6">
        <w:t>n</w:t>
      </w:r>
      <w:r w:rsidR="00612D7F" w:rsidRPr="002E70A6">
        <w:t xml:space="preserve"> order to place </w:t>
      </w:r>
      <w:r w:rsidR="00E67550" w:rsidRPr="002E70A6">
        <w:t>PMR 446</w:t>
      </w:r>
      <w:r w:rsidR="00612D7F" w:rsidRPr="002E70A6">
        <w:t xml:space="preserve"> equipment </w:t>
      </w:r>
      <w:r w:rsidR="003735C0" w:rsidRPr="002E70A6">
        <w:t xml:space="preserve">on the market and </w:t>
      </w:r>
      <w:r w:rsidR="00612D7F" w:rsidRPr="002E70A6">
        <w:t xml:space="preserve">to </w:t>
      </w:r>
      <w:r w:rsidR="003735C0" w:rsidRPr="002E70A6">
        <w:t>be put into service without restrictions</w:t>
      </w:r>
      <w:r w:rsidRPr="002E70A6">
        <w:t>.</w:t>
      </w:r>
    </w:p>
    <w:p w:rsidR="00E46E90" w:rsidRPr="002E70A6" w:rsidRDefault="000F2733" w:rsidP="00E46E90">
      <w:pPr>
        <w:pStyle w:val="ECCParagraph"/>
      </w:pPr>
      <w:r w:rsidRPr="002E70A6">
        <w:rPr>
          <w:szCs w:val="20"/>
        </w:rPr>
        <w:t>In this context, t</w:t>
      </w:r>
      <w:r w:rsidR="002D09C8" w:rsidRPr="002E70A6">
        <w:rPr>
          <w:szCs w:val="20"/>
        </w:rPr>
        <w:t>his ECC Decision provides the necessary mechanism for CEPT administrations to continue their commitment to the frequency band 446.0</w:t>
      </w:r>
      <w:r w:rsidR="00913EC3" w:rsidRPr="002E70A6">
        <w:rPr>
          <w:szCs w:val="20"/>
        </w:rPr>
        <w:t>00</w:t>
      </w:r>
      <w:r w:rsidR="002D09C8" w:rsidRPr="002E70A6">
        <w:rPr>
          <w:szCs w:val="20"/>
        </w:rPr>
        <w:t>-446.</w:t>
      </w:r>
      <w:r w:rsidR="003735C0" w:rsidRPr="002E70A6">
        <w:rPr>
          <w:szCs w:val="20"/>
        </w:rPr>
        <w:t>2</w:t>
      </w:r>
      <w:r w:rsidR="00913EC3" w:rsidRPr="002E70A6">
        <w:rPr>
          <w:szCs w:val="20"/>
        </w:rPr>
        <w:t>00</w:t>
      </w:r>
      <w:r w:rsidR="002D09C8" w:rsidRPr="002E70A6">
        <w:rPr>
          <w:szCs w:val="20"/>
        </w:rPr>
        <w:t xml:space="preserve"> MHz for </w:t>
      </w:r>
      <w:r w:rsidR="00954A08" w:rsidRPr="002E70A6">
        <w:rPr>
          <w:szCs w:val="20"/>
        </w:rPr>
        <w:t xml:space="preserve">both </w:t>
      </w:r>
      <w:r w:rsidR="002D09C8" w:rsidRPr="002E70A6">
        <w:rPr>
          <w:szCs w:val="20"/>
        </w:rPr>
        <w:t xml:space="preserve">analogue </w:t>
      </w:r>
      <w:r w:rsidR="003735C0" w:rsidRPr="002E70A6">
        <w:rPr>
          <w:szCs w:val="20"/>
        </w:rPr>
        <w:t xml:space="preserve">and digital </w:t>
      </w:r>
      <w:r w:rsidR="002D09C8" w:rsidRPr="002E70A6">
        <w:rPr>
          <w:szCs w:val="20"/>
        </w:rPr>
        <w:t xml:space="preserve">PMR 446 radio equipment. </w:t>
      </w:r>
    </w:p>
    <w:p w:rsidR="000D222A" w:rsidRPr="002E70A6" w:rsidRDefault="003735C0" w:rsidP="00E46E90">
      <w:pPr>
        <w:pStyle w:val="ECCParagraph"/>
      </w:pPr>
      <w:r w:rsidRPr="002E70A6">
        <w:t xml:space="preserve">A key driver in this </w:t>
      </w:r>
      <w:r w:rsidR="00215A37" w:rsidRPr="002E70A6">
        <w:t>Decision</w:t>
      </w:r>
      <w:r w:rsidRPr="002E70A6">
        <w:t xml:space="preserve"> is improve</w:t>
      </w:r>
      <w:r w:rsidR="00215A37" w:rsidRPr="002E70A6">
        <w:t>d</w:t>
      </w:r>
      <w:r w:rsidRPr="002E70A6">
        <w:t xml:space="preserve"> spectral efficiency so that all the permitted </w:t>
      </w:r>
      <w:r w:rsidR="00215A37" w:rsidRPr="002E70A6">
        <w:t xml:space="preserve">digital </w:t>
      </w:r>
      <w:r w:rsidRPr="002E70A6">
        <w:t>equipment should be 6.25 kHz (or equivalent) per voice channel.</w:t>
      </w:r>
      <w:r w:rsidR="00BA4633" w:rsidRPr="002E70A6">
        <w:t xml:space="preserve"> </w:t>
      </w:r>
    </w:p>
    <w:p w:rsidR="00CD6318" w:rsidRPr="002E70A6" w:rsidRDefault="001C4F66" w:rsidP="00E46E90">
      <w:pPr>
        <w:pStyle w:val="ECCParagraph"/>
      </w:pPr>
      <w:r w:rsidRPr="002E70A6">
        <w:rPr>
          <w:szCs w:val="20"/>
        </w:rPr>
        <w:t xml:space="preserve">This ECC Decision </w:t>
      </w:r>
      <w:r w:rsidR="003735C0" w:rsidRPr="002E70A6">
        <w:rPr>
          <w:szCs w:val="20"/>
        </w:rPr>
        <w:t>repeals the earlier ERC</w:t>
      </w:r>
      <w:r w:rsidR="00511C78" w:rsidRPr="002E70A6">
        <w:rPr>
          <w:szCs w:val="20"/>
        </w:rPr>
        <w:t>/</w:t>
      </w:r>
      <w:r w:rsidR="003735C0" w:rsidRPr="002E70A6">
        <w:rPr>
          <w:szCs w:val="20"/>
        </w:rPr>
        <w:t>D</w:t>
      </w:r>
      <w:r w:rsidR="00511C78" w:rsidRPr="002E70A6">
        <w:rPr>
          <w:szCs w:val="20"/>
        </w:rPr>
        <w:t>EC/</w:t>
      </w:r>
      <w:r w:rsidR="003735C0" w:rsidRPr="002E70A6">
        <w:rPr>
          <w:szCs w:val="20"/>
        </w:rPr>
        <w:t>(98)25 and ECC</w:t>
      </w:r>
      <w:r w:rsidR="00511C78" w:rsidRPr="002E70A6">
        <w:rPr>
          <w:szCs w:val="20"/>
        </w:rPr>
        <w:t>/</w:t>
      </w:r>
      <w:r w:rsidR="003735C0" w:rsidRPr="002E70A6">
        <w:rPr>
          <w:szCs w:val="20"/>
        </w:rPr>
        <w:t>D</w:t>
      </w:r>
      <w:r w:rsidR="00511C78" w:rsidRPr="002E70A6">
        <w:rPr>
          <w:szCs w:val="20"/>
        </w:rPr>
        <w:t>EC/</w:t>
      </w:r>
      <w:r w:rsidR="003735C0" w:rsidRPr="002E70A6">
        <w:rPr>
          <w:szCs w:val="20"/>
        </w:rPr>
        <w:t xml:space="preserve">(05)12. </w:t>
      </w:r>
      <w:r w:rsidR="00CD6318" w:rsidRPr="002E70A6">
        <w:rPr>
          <w:szCs w:val="20"/>
        </w:rPr>
        <w:t xml:space="preserve">It gives </w:t>
      </w:r>
      <w:r w:rsidR="001C3274" w:rsidRPr="002E70A6">
        <w:rPr>
          <w:szCs w:val="20"/>
        </w:rPr>
        <w:t>cl</w:t>
      </w:r>
      <w:r w:rsidR="00CD6318" w:rsidRPr="002E70A6">
        <w:t>ear advice to industry, retailers and users throughout Europe, that these changes should take place in Europe within a common timeframe.</w:t>
      </w:r>
    </w:p>
    <w:p w:rsidR="000D222A" w:rsidRPr="002E70A6" w:rsidRDefault="000D222A">
      <w:pPr>
        <w:rPr>
          <w:lang w:val="en-GB"/>
        </w:rPr>
      </w:pPr>
      <w:r w:rsidRPr="002E70A6">
        <w:rPr>
          <w:lang w:val="en-GB"/>
        </w:rPr>
        <w:br w:type="page"/>
      </w:r>
    </w:p>
    <w:p w:rsidR="00663D25" w:rsidRPr="002E70A6" w:rsidRDefault="00663D25" w:rsidP="00511C78">
      <w:pPr>
        <w:pStyle w:val="Heading2"/>
        <w:rPr>
          <w:lang w:val="en-GB"/>
        </w:rPr>
      </w:pPr>
      <w:r w:rsidRPr="002E70A6">
        <w:rPr>
          <w:lang w:val="en-GB"/>
        </w:rPr>
        <w:lastRenderedPageBreak/>
        <w:t xml:space="preserve">BACKGROUND </w:t>
      </w:r>
    </w:p>
    <w:p w:rsidR="00A219FC" w:rsidRPr="002E70A6" w:rsidRDefault="00A219FC" w:rsidP="00865548">
      <w:pPr>
        <w:pStyle w:val="ECCParagraph"/>
      </w:pPr>
      <w:r w:rsidRPr="002E70A6">
        <w:t xml:space="preserve">The frequency band 446.0-446.1 MHz has been designated for analogue </w:t>
      </w:r>
      <w:r w:rsidR="00511C78" w:rsidRPr="002E70A6">
        <w:t xml:space="preserve">PMR 446 by </w:t>
      </w:r>
      <w:r w:rsidRPr="002E70A6">
        <w:t>ERC</w:t>
      </w:r>
      <w:r w:rsidR="00511C78" w:rsidRPr="002E70A6">
        <w:t>/DEC/</w:t>
      </w:r>
      <w:r w:rsidRPr="002E70A6">
        <w:t>(98)25 of 23 November 1998</w:t>
      </w:r>
      <w:r w:rsidR="004829D1">
        <w:t xml:space="preserve"> </w:t>
      </w:r>
      <w:r w:rsidR="004829D1">
        <w:fldChar w:fldCharType="begin"/>
      </w:r>
      <w:r w:rsidR="004829D1">
        <w:instrText xml:space="preserve"> REF _Ref508105529 \r \h </w:instrText>
      </w:r>
      <w:r w:rsidR="004829D1">
        <w:fldChar w:fldCharType="separate"/>
      </w:r>
      <w:r w:rsidR="004829D1">
        <w:t>[2]</w:t>
      </w:r>
      <w:r w:rsidR="004829D1">
        <w:fldChar w:fldCharType="end"/>
      </w:r>
      <w:r w:rsidR="004829D1" w:rsidRPr="002E70A6">
        <w:t xml:space="preserve"> </w:t>
      </w:r>
      <w:r w:rsidR="00D804A4" w:rsidRPr="002E70A6">
        <w:t xml:space="preserve"> and was amended 1 June 2012 to include </w:t>
      </w:r>
      <w:r w:rsidR="0011709F" w:rsidRPr="002E70A6">
        <w:t xml:space="preserve">some </w:t>
      </w:r>
      <w:r w:rsidR="00D804A4" w:rsidRPr="002E70A6">
        <w:t>additional features</w:t>
      </w:r>
      <w:r w:rsidR="00CC170F" w:rsidRPr="002E70A6">
        <w:t xml:space="preserve"> in order to reduce the risk of harmful interference</w:t>
      </w:r>
      <w:r w:rsidRPr="002E70A6">
        <w:t xml:space="preserve">. The frequency band 446.1-446.2 MHz has been designated for digital </w:t>
      </w:r>
      <w:r w:rsidR="00511C78" w:rsidRPr="002E70A6">
        <w:t xml:space="preserve">PMR 446 by </w:t>
      </w:r>
      <w:r w:rsidRPr="002E70A6">
        <w:t>E</w:t>
      </w:r>
      <w:r w:rsidR="00511C78" w:rsidRPr="002E70A6">
        <w:t>C</w:t>
      </w:r>
      <w:r w:rsidRPr="002E70A6">
        <w:t>C</w:t>
      </w:r>
      <w:r w:rsidR="00511C78" w:rsidRPr="002E70A6">
        <w:t>/</w:t>
      </w:r>
      <w:r w:rsidRPr="002E70A6">
        <w:t>D</w:t>
      </w:r>
      <w:r w:rsidR="00511C78" w:rsidRPr="002E70A6">
        <w:t>EC/</w:t>
      </w:r>
      <w:r w:rsidRPr="002E70A6">
        <w:t>(05)12 of 28 October 2005</w:t>
      </w:r>
      <w:r w:rsidR="004829D1">
        <w:t xml:space="preserve"> </w:t>
      </w:r>
      <w:r w:rsidR="004829D1">
        <w:fldChar w:fldCharType="begin"/>
      </w:r>
      <w:r w:rsidR="004829D1">
        <w:instrText xml:space="preserve"> REF _Ref508105570 \r \h </w:instrText>
      </w:r>
      <w:r w:rsidR="004829D1">
        <w:fldChar w:fldCharType="separate"/>
      </w:r>
      <w:r w:rsidR="004829D1">
        <w:t>[3]</w:t>
      </w:r>
      <w:r w:rsidR="004829D1">
        <w:fldChar w:fldCharType="end"/>
      </w:r>
      <w:r w:rsidRPr="002E70A6">
        <w:t>.</w:t>
      </w:r>
    </w:p>
    <w:p w:rsidR="004D408D" w:rsidRPr="002E70A6" w:rsidRDefault="004D408D" w:rsidP="00865548">
      <w:pPr>
        <w:pStyle w:val="ECCParagraph"/>
      </w:pPr>
      <w:r w:rsidRPr="002E70A6">
        <w:t>The PMR 446 radio application is intended for radio communications with transmission and reception taking place on the same channel (singl</w:t>
      </w:r>
      <w:r w:rsidR="008449BF" w:rsidRPr="002E70A6">
        <w:t xml:space="preserve">e frequency, simplex traffic). </w:t>
      </w:r>
    </w:p>
    <w:p w:rsidR="004D408D" w:rsidRPr="002E70A6" w:rsidRDefault="004D408D" w:rsidP="00FC0F7A">
      <w:pPr>
        <w:pStyle w:val="ECCParagraph"/>
      </w:pPr>
      <w:r w:rsidRPr="002E70A6">
        <w:t>PMR 446 radio equipment is exempted from individual licensing and anyone can use the radio equipment without any prior individual permission from the administration.</w:t>
      </w:r>
    </w:p>
    <w:p w:rsidR="00663D25" w:rsidRPr="002E70A6" w:rsidRDefault="00E46E90" w:rsidP="00E46E90">
      <w:pPr>
        <w:pStyle w:val="ECCParagraph"/>
      </w:pPr>
      <w:r w:rsidRPr="002E70A6">
        <w:t xml:space="preserve">The designation of a harmonised band </w:t>
      </w:r>
      <w:r w:rsidR="004D408D" w:rsidRPr="002E70A6">
        <w:t xml:space="preserve">has </w:t>
      </w:r>
      <w:r w:rsidRPr="002E70A6">
        <w:t>form</w:t>
      </w:r>
      <w:r w:rsidR="004D408D" w:rsidRPr="002E70A6">
        <w:t>ed</w:t>
      </w:r>
      <w:r w:rsidRPr="002E70A6">
        <w:t xml:space="preserve"> the basis for the free circulation</w:t>
      </w:r>
      <w:r w:rsidR="004D408D" w:rsidRPr="002E70A6">
        <w:t xml:space="preserve"> and use </w:t>
      </w:r>
      <w:r w:rsidRPr="002E70A6">
        <w:t xml:space="preserve">of PMR 446 within Europe and </w:t>
      </w:r>
      <w:r w:rsidR="004D408D" w:rsidRPr="002E70A6">
        <w:t>has also f</w:t>
      </w:r>
      <w:r w:rsidRPr="002E70A6">
        <w:t>acilitate</w:t>
      </w:r>
      <w:r w:rsidR="004D408D" w:rsidRPr="002E70A6">
        <w:t>d</w:t>
      </w:r>
      <w:r w:rsidRPr="002E70A6">
        <w:t xml:space="preserve"> the mutual recognition of conformity assessment.</w:t>
      </w:r>
    </w:p>
    <w:p w:rsidR="00917108" w:rsidRPr="002E70A6" w:rsidRDefault="00917108" w:rsidP="00BD59AE">
      <w:pPr>
        <w:pStyle w:val="ECCParagraph"/>
        <w:jc w:val="left"/>
      </w:pPr>
      <w:r w:rsidRPr="002E70A6">
        <w:t xml:space="preserve">ETSI has already developed the </w:t>
      </w:r>
      <w:r w:rsidR="00865548" w:rsidRPr="002E70A6">
        <w:t>H</w:t>
      </w:r>
      <w:r w:rsidRPr="002E70A6">
        <w:t xml:space="preserve">armonised European </w:t>
      </w:r>
      <w:r w:rsidR="00C77BEF" w:rsidRPr="002E70A6">
        <w:t>S</w:t>
      </w:r>
      <w:r w:rsidRPr="002E70A6">
        <w:t xml:space="preserve">tandard </w:t>
      </w:r>
      <w:r w:rsidR="00BD59AE" w:rsidRPr="002E70A6">
        <w:t>EN 303 405 for PMR 446 equipment</w:t>
      </w:r>
      <w:r w:rsidRPr="002E70A6">
        <w:t xml:space="preserve"> for radio conformance purposes.</w:t>
      </w:r>
    </w:p>
    <w:p w:rsidR="00663D25" w:rsidRPr="002E70A6" w:rsidRDefault="00663D25" w:rsidP="00FE1795">
      <w:pPr>
        <w:pStyle w:val="Heading2"/>
        <w:rPr>
          <w:lang w:val="en-GB"/>
        </w:rPr>
      </w:pPr>
      <w:r w:rsidRPr="002E70A6">
        <w:rPr>
          <w:lang w:val="en-GB"/>
        </w:rPr>
        <w:t>REQUIREMENT FOR AN ECC DECISION</w:t>
      </w:r>
    </w:p>
    <w:p w:rsidR="00404605" w:rsidRPr="002E70A6" w:rsidRDefault="00404605" w:rsidP="00FC0F7A">
      <w:pPr>
        <w:pStyle w:val="ECCParagraph"/>
      </w:pPr>
      <w:r w:rsidRPr="002E70A6">
        <w:t>The allocation or designation of frequency bands for use by a service or system under specified conditions in CEPT administrations is laid down by law, regulation or administrative action. ECC Decisions are required to deal with the radio spectrum related matters and for free circulation and use of equipment throughout Europe. The free circulation and use of radio equipment and the provision of Pan European services will be greatly assisted when all CEPT administrations exempt the same categories of radio equipment from licensing and apply -to achieve that- the same criteria.</w:t>
      </w:r>
    </w:p>
    <w:p w:rsidR="00404605" w:rsidRPr="002E70A6" w:rsidRDefault="00404605" w:rsidP="00FC0F7A">
      <w:pPr>
        <w:pStyle w:val="ECCParagraph"/>
      </w:pPr>
      <w:r w:rsidRPr="002E70A6">
        <w:t xml:space="preserve">The harmonisation on a European basis supports the </w:t>
      </w:r>
      <w:r w:rsidR="00BD59AE" w:rsidRPr="002E70A6">
        <w:t xml:space="preserve">Radio Equipment </w:t>
      </w:r>
      <w:r w:rsidRPr="002E70A6">
        <w:t xml:space="preserve">Directive </w:t>
      </w:r>
      <w:r w:rsidR="00BD59AE" w:rsidRPr="002E70A6">
        <w:t>2014/53/EU</w:t>
      </w:r>
      <w:r w:rsidR="00AE4D71" w:rsidRPr="002E70A6">
        <w:t xml:space="preserve"> </w:t>
      </w:r>
      <w:r w:rsidR="00AE4D71" w:rsidRPr="002E70A6">
        <w:fldChar w:fldCharType="begin"/>
      </w:r>
      <w:r w:rsidR="00AE4D71" w:rsidRPr="002E70A6">
        <w:instrText xml:space="preserve"> REF _Ref508104816 \r \h </w:instrText>
      </w:r>
      <w:r w:rsidR="00AE4D71" w:rsidRPr="002E70A6">
        <w:fldChar w:fldCharType="separate"/>
      </w:r>
      <w:r w:rsidR="008D7407">
        <w:t>[6]</w:t>
      </w:r>
      <w:r w:rsidR="00AE4D71" w:rsidRPr="002E70A6">
        <w:fldChar w:fldCharType="end"/>
      </w:r>
      <w:r w:rsidRPr="002E70A6">
        <w:t>. A commitment by CEPT administrations to implement this ECC Decision will provide a clear indication that the required frequency bands are ava</w:t>
      </w:r>
      <w:r w:rsidR="003735C0" w:rsidRPr="002E70A6">
        <w:t>ilable on a European-wide basis, for both analogue and digital PMR</w:t>
      </w:r>
      <w:r w:rsidR="00A436CC" w:rsidRPr="002E70A6">
        <w:t xml:space="preserve"> </w:t>
      </w:r>
      <w:r w:rsidR="003735C0" w:rsidRPr="002E70A6">
        <w:t>446 equipment.</w:t>
      </w:r>
    </w:p>
    <w:p w:rsidR="00917108" w:rsidRPr="008D7407" w:rsidRDefault="00917108" w:rsidP="00FC0F7A">
      <w:pPr>
        <w:pStyle w:val="ECCParagraph"/>
      </w:pPr>
      <w:r w:rsidRPr="002E70A6">
        <w:t>ERC</w:t>
      </w:r>
      <w:r w:rsidR="00511C78" w:rsidRPr="002E70A6">
        <w:t>/</w:t>
      </w:r>
      <w:r w:rsidRPr="002E70A6">
        <w:t>R</w:t>
      </w:r>
      <w:r w:rsidR="00511C78" w:rsidRPr="002E70A6">
        <w:t>EC</w:t>
      </w:r>
      <w:r w:rsidRPr="002E70A6">
        <w:t xml:space="preserve"> 01-07</w:t>
      </w:r>
      <w:r w:rsidR="00AE4D71" w:rsidRPr="002E70A6">
        <w:t xml:space="preserve"> </w:t>
      </w:r>
      <w:r w:rsidR="00AE4D71" w:rsidRPr="002E70A6">
        <w:fldChar w:fldCharType="begin"/>
      </w:r>
      <w:r w:rsidR="00AE4D71" w:rsidRPr="002E70A6">
        <w:instrText xml:space="preserve"> REF _Ref508104712 \r \h </w:instrText>
      </w:r>
      <w:r w:rsidR="00AE4D71" w:rsidRPr="002E70A6">
        <w:fldChar w:fldCharType="separate"/>
      </w:r>
      <w:r w:rsidR="008D7407">
        <w:t>[4]</w:t>
      </w:r>
      <w:r w:rsidR="00AE4D71" w:rsidRPr="002E70A6">
        <w:fldChar w:fldCharType="end"/>
      </w:r>
      <w:r w:rsidRPr="002E70A6">
        <w:t xml:space="preserve">, revised in 2004, listed harmonised criteria for the administrations to decide whether an exemption from individual license should be applied. The aim of this Decision is also to exempt </w:t>
      </w:r>
      <w:r w:rsidRPr="008D7407">
        <w:t>PMR 446 equipment from individual licensing as it fulfils the criteria for exemption listed in ERC/REC 01-07 and to allow the carriage and use of the equipment within CEPT countries.</w:t>
      </w:r>
    </w:p>
    <w:p w:rsidR="00FC0F7A" w:rsidRPr="008D7407" w:rsidRDefault="00663D25" w:rsidP="00FC0F7A">
      <w:pPr>
        <w:pStyle w:val="Heading1"/>
      </w:pPr>
      <w:r w:rsidRPr="008D7407">
        <w:lastRenderedPageBreak/>
        <w:t>E</w:t>
      </w:r>
      <w:r w:rsidR="00917108" w:rsidRPr="008D7407">
        <w:t>C</w:t>
      </w:r>
      <w:r w:rsidRPr="008D7407">
        <w:t xml:space="preserve">C Decision of </w:t>
      </w:r>
      <w:r w:rsidR="00F02A54" w:rsidRPr="008D7407">
        <w:t>3 July</w:t>
      </w:r>
      <w:r w:rsidR="00934A23" w:rsidRPr="008D7407">
        <w:t xml:space="preserve"> </w:t>
      </w:r>
      <w:r w:rsidR="00917108" w:rsidRPr="008D7407">
        <w:t>2015</w:t>
      </w:r>
      <w:r w:rsidRPr="008D7407">
        <w:t xml:space="preserve"> on </w:t>
      </w:r>
      <w:r w:rsidR="00934A23" w:rsidRPr="008D7407">
        <w:t xml:space="preserve">the harmonised frequency band to be designated for </w:t>
      </w:r>
      <w:r w:rsidR="00003336" w:rsidRPr="008D7407">
        <w:t xml:space="preserve">ANALOGUE </w:t>
      </w:r>
      <w:r w:rsidR="00917108" w:rsidRPr="008D7407">
        <w:t xml:space="preserve">and Digital </w:t>
      </w:r>
      <w:r w:rsidR="00934A23" w:rsidRPr="008D7407">
        <w:t>Pmr 446</w:t>
      </w:r>
      <w:r w:rsidR="003823B3" w:rsidRPr="008D7407">
        <w:t xml:space="preserve"> (E</w:t>
      </w:r>
      <w:r w:rsidR="00917108" w:rsidRPr="008D7407">
        <w:t>C</w:t>
      </w:r>
      <w:r w:rsidR="003823B3" w:rsidRPr="008D7407">
        <w:t>C/DEC/(</w:t>
      </w:r>
      <w:r w:rsidR="00917108" w:rsidRPr="008D7407">
        <w:t>15</w:t>
      </w:r>
      <w:r w:rsidR="003823B3" w:rsidRPr="008D7407">
        <w:t>)</w:t>
      </w:r>
      <w:r w:rsidR="00F02A54" w:rsidRPr="008D7407">
        <w:t>05</w:t>
      </w:r>
      <w:r w:rsidR="003823B3" w:rsidRPr="008D7407">
        <w:t>)</w:t>
      </w:r>
      <w:r w:rsidR="00BA4633" w:rsidRPr="008D7407">
        <w:t>,</w:t>
      </w:r>
      <w:r w:rsidR="00353A9C" w:rsidRPr="008D7407">
        <w:t xml:space="preserve"> amended on </w:t>
      </w:r>
      <w:r w:rsidR="00BA4633" w:rsidRPr="008D7407">
        <w:t>02 march</w:t>
      </w:r>
      <w:r w:rsidR="00353A9C" w:rsidRPr="008D7407">
        <w:t xml:space="preserve"> 201</w:t>
      </w:r>
      <w:r w:rsidR="00AF45D8" w:rsidRPr="008D7407">
        <w:t>8</w:t>
      </w:r>
    </w:p>
    <w:p w:rsidR="00663D25" w:rsidRPr="008D7407" w:rsidRDefault="00663D25" w:rsidP="00663D25">
      <w:pPr>
        <w:pStyle w:val="ECCParagraph"/>
      </w:pPr>
      <w:r w:rsidRPr="008D7407">
        <w:t>“The European Conference of Postal and Telecommunications Administrations,</w:t>
      </w:r>
    </w:p>
    <w:p w:rsidR="00663D25" w:rsidRPr="008D7407" w:rsidRDefault="00663D25" w:rsidP="00663D25">
      <w:pPr>
        <w:pStyle w:val="ECCParagraph"/>
        <w:rPr>
          <w:i/>
          <w:color w:val="D2232A"/>
        </w:rPr>
      </w:pPr>
      <w:r w:rsidRPr="008D7407">
        <w:rPr>
          <w:i/>
          <w:color w:val="D2232A"/>
        </w:rPr>
        <w:t xml:space="preserve">considering </w:t>
      </w:r>
    </w:p>
    <w:p w:rsidR="00663D25" w:rsidRPr="008D7407" w:rsidRDefault="003C50AC" w:rsidP="00C5753D">
      <w:pPr>
        <w:pStyle w:val="LetteredList"/>
        <w:rPr>
          <w:rFonts w:cs="Arial"/>
          <w:lang w:val="en-GB"/>
        </w:rPr>
      </w:pPr>
      <w:r w:rsidRPr="008D7407">
        <w:rPr>
          <w:lang w:val="en-GB"/>
        </w:rPr>
        <w:t xml:space="preserve">that there is an industry and user requirement for harmonised usage conditions for </w:t>
      </w:r>
      <w:r w:rsidR="00917108" w:rsidRPr="008D7407">
        <w:rPr>
          <w:lang w:val="en-GB"/>
        </w:rPr>
        <w:t xml:space="preserve">analogue and digital </w:t>
      </w:r>
      <w:r w:rsidRPr="008D7407">
        <w:rPr>
          <w:lang w:val="en-GB"/>
        </w:rPr>
        <w:t>PMR 446 radio equipment throughout Europe;</w:t>
      </w:r>
    </w:p>
    <w:p w:rsidR="003C50AC" w:rsidRPr="008D7407" w:rsidRDefault="003C50AC" w:rsidP="00C5753D">
      <w:pPr>
        <w:pStyle w:val="LetteredList"/>
        <w:rPr>
          <w:lang w:val="en-GB"/>
        </w:rPr>
      </w:pPr>
      <w:r w:rsidRPr="008D7407">
        <w:rPr>
          <w:lang w:val="en-GB"/>
        </w:rPr>
        <w:t xml:space="preserve">that it would be desirable for administrations to have common regulations at their disposal in order to control free </w:t>
      </w:r>
      <w:r w:rsidRPr="008D7407">
        <w:rPr>
          <w:spacing w:val="-2"/>
          <w:lang w:val="en-GB"/>
        </w:rPr>
        <w:t>c</w:t>
      </w:r>
      <w:r w:rsidR="00135660" w:rsidRPr="008D7407">
        <w:rPr>
          <w:spacing w:val="-2"/>
          <w:lang w:val="en-GB"/>
        </w:rPr>
        <w:t>arriage</w:t>
      </w:r>
      <w:r w:rsidRPr="008D7407">
        <w:rPr>
          <w:spacing w:val="-2"/>
          <w:lang w:val="en-GB"/>
        </w:rPr>
        <w:t xml:space="preserve"> and use of PMR 446 radio equipment throughout Europe</w:t>
      </w:r>
      <w:r w:rsidRPr="008D7407">
        <w:rPr>
          <w:lang w:val="en-GB"/>
        </w:rPr>
        <w:t>;</w:t>
      </w:r>
    </w:p>
    <w:p w:rsidR="003C50AC" w:rsidRPr="008D7407" w:rsidRDefault="003C50AC" w:rsidP="00BD59AE">
      <w:pPr>
        <w:pStyle w:val="LetteredList"/>
        <w:rPr>
          <w:lang w:val="en-GB"/>
        </w:rPr>
      </w:pPr>
      <w:r w:rsidRPr="008D7407">
        <w:rPr>
          <w:lang w:val="en-GB"/>
        </w:rPr>
        <w:t xml:space="preserve">that the European Telecommunications Standards Institute (ETSI) has developed the Harmonised European Standard </w:t>
      </w:r>
      <w:r w:rsidR="00917108" w:rsidRPr="008D7407">
        <w:rPr>
          <w:lang w:val="en-GB"/>
        </w:rPr>
        <w:t xml:space="preserve">ETSI EN </w:t>
      </w:r>
      <w:r w:rsidR="00BD59AE" w:rsidRPr="008D7407">
        <w:rPr>
          <w:lang w:val="en-GB"/>
        </w:rPr>
        <w:t>303 405</w:t>
      </w:r>
      <w:r w:rsidRPr="008D7407">
        <w:rPr>
          <w:lang w:val="en-GB"/>
        </w:rPr>
        <w:t xml:space="preserve"> </w:t>
      </w:r>
      <w:r w:rsidR="00AE4D71" w:rsidRPr="008D7407">
        <w:rPr>
          <w:lang w:val="en-GB"/>
        </w:rPr>
        <w:fldChar w:fldCharType="begin"/>
      </w:r>
      <w:r w:rsidR="00AE4D71" w:rsidRPr="008D7407">
        <w:rPr>
          <w:lang w:val="en-GB"/>
        </w:rPr>
        <w:instrText xml:space="preserve"> REF _Ref508104750 \r \h </w:instrText>
      </w:r>
      <w:r w:rsidR="00AE4D71" w:rsidRPr="008D7407">
        <w:rPr>
          <w:lang w:val="en-GB"/>
        </w:rPr>
      </w:r>
      <w:r w:rsidR="00AE4D71" w:rsidRPr="008D7407">
        <w:rPr>
          <w:lang w:val="en-GB"/>
        </w:rPr>
        <w:fldChar w:fldCharType="separate"/>
      </w:r>
      <w:r w:rsidR="008D7407">
        <w:rPr>
          <w:lang w:val="en-GB"/>
        </w:rPr>
        <w:t>[1]</w:t>
      </w:r>
      <w:r w:rsidR="00AE4D71" w:rsidRPr="008D7407">
        <w:rPr>
          <w:lang w:val="en-GB"/>
        </w:rPr>
        <w:fldChar w:fldCharType="end"/>
      </w:r>
      <w:r w:rsidR="00AE4D71" w:rsidRPr="008D7407">
        <w:rPr>
          <w:lang w:val="en-GB"/>
        </w:rPr>
        <w:t xml:space="preserve"> </w:t>
      </w:r>
      <w:r w:rsidR="00917108" w:rsidRPr="008D7407">
        <w:rPr>
          <w:lang w:val="en-GB"/>
        </w:rPr>
        <w:t xml:space="preserve">which </w:t>
      </w:r>
      <w:r w:rsidRPr="008D7407">
        <w:rPr>
          <w:lang w:val="en-GB"/>
        </w:rPr>
        <w:t>can be used for state-of-the-art PMR 446 radio equipment;</w:t>
      </w:r>
    </w:p>
    <w:p w:rsidR="00463661" w:rsidRPr="008D7407" w:rsidRDefault="003C50AC" w:rsidP="00917108">
      <w:pPr>
        <w:pStyle w:val="LetteredList"/>
        <w:rPr>
          <w:lang w:val="en-GB"/>
        </w:rPr>
      </w:pPr>
      <w:r w:rsidRPr="008D7407">
        <w:rPr>
          <w:lang w:val="en-GB"/>
        </w:rPr>
        <w:t xml:space="preserve">that </w:t>
      </w:r>
      <w:r w:rsidR="00917108" w:rsidRPr="008D7407">
        <w:rPr>
          <w:lang w:val="en-GB"/>
        </w:rPr>
        <w:t xml:space="preserve">analogue and digital PMR 446 </w:t>
      </w:r>
      <w:r w:rsidRPr="008D7407">
        <w:rPr>
          <w:lang w:val="en-GB"/>
        </w:rPr>
        <w:t xml:space="preserve">radio equipment </w:t>
      </w:r>
      <w:r w:rsidR="00917108" w:rsidRPr="008D7407">
        <w:rPr>
          <w:lang w:val="en-GB"/>
        </w:rPr>
        <w:t>is hand portable (no base station or repeater use) and uses integral antennas only in order to maximise sharing and minimise interference</w:t>
      </w:r>
      <w:r w:rsidRPr="008D7407">
        <w:rPr>
          <w:lang w:val="en-GB"/>
        </w:rPr>
        <w:t>;</w:t>
      </w:r>
    </w:p>
    <w:p w:rsidR="00913EC3" w:rsidRPr="008D7407" w:rsidRDefault="00913EC3" w:rsidP="00BD59AE">
      <w:pPr>
        <w:pStyle w:val="LetteredList"/>
        <w:rPr>
          <w:lang w:val="en-GB"/>
        </w:rPr>
      </w:pPr>
      <w:r w:rsidRPr="008D7407">
        <w:rPr>
          <w:lang w:val="en-GB"/>
        </w:rPr>
        <w:t xml:space="preserve">that PMR 446 radio equipment complying to ETSI </w:t>
      </w:r>
      <w:r w:rsidR="00917108" w:rsidRPr="008D7407">
        <w:rPr>
          <w:lang w:val="en-GB"/>
        </w:rPr>
        <w:t xml:space="preserve">EN </w:t>
      </w:r>
      <w:r w:rsidR="00BD59AE" w:rsidRPr="008D7407">
        <w:rPr>
          <w:lang w:val="en-GB"/>
        </w:rPr>
        <w:t>303 405</w:t>
      </w:r>
      <w:r w:rsidR="00917108" w:rsidRPr="008D7407">
        <w:rPr>
          <w:lang w:val="en-GB"/>
        </w:rPr>
        <w:t xml:space="preserve"> </w:t>
      </w:r>
      <w:r w:rsidRPr="008D7407">
        <w:rPr>
          <w:lang w:val="en-GB"/>
        </w:rPr>
        <w:t xml:space="preserve">also </w:t>
      </w:r>
      <w:r w:rsidR="00D666C6" w:rsidRPr="008D7407">
        <w:rPr>
          <w:lang w:val="en-GB"/>
        </w:rPr>
        <w:t>fulfil</w:t>
      </w:r>
      <w:r w:rsidRPr="008D7407">
        <w:rPr>
          <w:lang w:val="en-GB"/>
        </w:rPr>
        <w:t xml:space="preserve"> the recommended limits identified in ERC</w:t>
      </w:r>
      <w:r w:rsidR="005874BB" w:rsidRPr="008D7407">
        <w:rPr>
          <w:lang w:val="en-GB"/>
        </w:rPr>
        <w:t>/</w:t>
      </w:r>
      <w:r w:rsidRPr="008D7407">
        <w:rPr>
          <w:lang w:val="en-GB"/>
        </w:rPr>
        <w:t>R</w:t>
      </w:r>
      <w:r w:rsidR="005874BB" w:rsidRPr="008D7407">
        <w:rPr>
          <w:lang w:val="en-GB"/>
        </w:rPr>
        <w:t>EC</w:t>
      </w:r>
      <w:r w:rsidRPr="008D7407">
        <w:rPr>
          <w:lang w:val="en-GB"/>
        </w:rPr>
        <w:t xml:space="preserve"> 74-01</w:t>
      </w:r>
      <w:r w:rsidR="00AE4D71" w:rsidRPr="008D7407">
        <w:rPr>
          <w:lang w:val="en-GB"/>
        </w:rPr>
        <w:t xml:space="preserve"> </w:t>
      </w:r>
      <w:r w:rsidR="00AE4D71" w:rsidRPr="008D7407">
        <w:rPr>
          <w:lang w:val="en-GB"/>
        </w:rPr>
        <w:fldChar w:fldCharType="begin"/>
      </w:r>
      <w:r w:rsidR="00AE4D71" w:rsidRPr="008D7407">
        <w:rPr>
          <w:lang w:val="en-GB"/>
        </w:rPr>
        <w:instrText xml:space="preserve"> REF _Ref508104766 \r \h </w:instrText>
      </w:r>
      <w:r w:rsidR="00AE4D71" w:rsidRPr="008D7407">
        <w:rPr>
          <w:lang w:val="en-GB"/>
        </w:rPr>
      </w:r>
      <w:r w:rsidR="00AE4D71" w:rsidRPr="008D7407">
        <w:rPr>
          <w:lang w:val="en-GB"/>
        </w:rPr>
        <w:fldChar w:fldCharType="separate"/>
      </w:r>
      <w:r w:rsidR="008D7407">
        <w:rPr>
          <w:lang w:val="en-GB"/>
        </w:rPr>
        <w:t>[5]</w:t>
      </w:r>
      <w:r w:rsidR="00AE4D71" w:rsidRPr="008D7407">
        <w:rPr>
          <w:lang w:val="en-GB"/>
        </w:rPr>
        <w:fldChar w:fldCharType="end"/>
      </w:r>
      <w:r w:rsidRPr="008D7407">
        <w:rPr>
          <w:lang w:val="en-GB"/>
        </w:rPr>
        <w:t xml:space="preserve"> on unwanted emissions in the spurious</w:t>
      </w:r>
      <w:r w:rsidR="00E67550" w:rsidRPr="008D7407">
        <w:rPr>
          <w:lang w:val="en-GB"/>
        </w:rPr>
        <w:t xml:space="preserve"> domain;</w:t>
      </w:r>
    </w:p>
    <w:p w:rsidR="00913EC3" w:rsidRPr="008D7407" w:rsidRDefault="00913EC3" w:rsidP="00C5753D">
      <w:pPr>
        <w:pStyle w:val="LetteredList"/>
        <w:rPr>
          <w:lang w:val="en-GB"/>
        </w:rPr>
      </w:pPr>
      <w:r w:rsidRPr="008D7407">
        <w:rPr>
          <w:lang w:val="en-GB"/>
        </w:rPr>
        <w:t>that in the EU/</w:t>
      </w:r>
      <w:r w:rsidRPr="008D7407" w:rsidDel="00BF0BA3">
        <w:rPr>
          <w:lang w:val="en-GB"/>
        </w:rPr>
        <w:t xml:space="preserve"> </w:t>
      </w:r>
      <w:r w:rsidRPr="008D7407">
        <w:rPr>
          <w:lang w:val="en-GB"/>
        </w:rPr>
        <w:t>EFTA countries the radio equipment that is under the scope of this Decision shall comply with the R</w:t>
      </w:r>
      <w:r w:rsidR="00BD59AE" w:rsidRPr="008D7407">
        <w:rPr>
          <w:lang w:val="en-GB"/>
        </w:rPr>
        <w:t>E</w:t>
      </w:r>
      <w:r w:rsidRPr="008D7407">
        <w:rPr>
          <w:lang w:val="en-GB"/>
        </w:rPr>
        <w:t xml:space="preserve"> Directive. Conformity with the essential requirements of the R</w:t>
      </w:r>
      <w:r w:rsidR="00BD59AE" w:rsidRPr="008D7407">
        <w:rPr>
          <w:lang w:val="en-GB"/>
        </w:rPr>
        <w:t>E</w:t>
      </w:r>
      <w:r w:rsidRPr="008D7407">
        <w:rPr>
          <w:lang w:val="en-GB"/>
        </w:rPr>
        <w:t xml:space="preserve"> Directive may be demonstrated by compliance with the applicable Harmonised European Standard(s) or by using the other conformity assessment procedures set out in the R</w:t>
      </w:r>
      <w:r w:rsidR="00BD59AE" w:rsidRPr="008D7407">
        <w:rPr>
          <w:lang w:val="en-GB"/>
        </w:rPr>
        <w:t>E</w:t>
      </w:r>
      <w:r w:rsidRPr="008D7407">
        <w:rPr>
          <w:lang w:val="en-GB"/>
        </w:rPr>
        <w:t xml:space="preserve"> Directive</w:t>
      </w:r>
      <w:r w:rsidR="00246B39" w:rsidRPr="008D7407">
        <w:rPr>
          <w:lang w:val="en-GB"/>
        </w:rPr>
        <w:t>;</w:t>
      </w:r>
    </w:p>
    <w:p w:rsidR="00CD6318" w:rsidRPr="008D7407" w:rsidRDefault="00CD6318" w:rsidP="00BD59AE">
      <w:pPr>
        <w:pStyle w:val="LetteredList"/>
        <w:rPr>
          <w:lang w:val="en-GB"/>
        </w:rPr>
      </w:pPr>
      <w:r w:rsidRPr="008D7407">
        <w:rPr>
          <w:lang w:val="en-GB"/>
        </w:rPr>
        <w:t xml:space="preserve">that those administrations that are bound by EU Directive </w:t>
      </w:r>
      <w:r w:rsidR="00BD59AE" w:rsidRPr="008D7407">
        <w:rPr>
          <w:lang w:val="en-GB"/>
        </w:rPr>
        <w:t>2014/53/EU</w:t>
      </w:r>
      <w:r w:rsidR="00AE4D71" w:rsidRPr="008D7407">
        <w:rPr>
          <w:lang w:val="en-GB"/>
        </w:rPr>
        <w:t xml:space="preserve"> </w:t>
      </w:r>
      <w:r w:rsidR="00AE4D71" w:rsidRPr="008D7407">
        <w:rPr>
          <w:lang w:val="en-GB"/>
        </w:rPr>
        <w:fldChar w:fldCharType="begin"/>
      </w:r>
      <w:r w:rsidR="00AE4D71" w:rsidRPr="008D7407">
        <w:rPr>
          <w:lang w:val="en-GB"/>
        </w:rPr>
        <w:instrText xml:space="preserve"> REF _Ref508104816 \r \h </w:instrText>
      </w:r>
      <w:r w:rsidR="00AE4D71" w:rsidRPr="008D7407">
        <w:rPr>
          <w:lang w:val="en-GB"/>
        </w:rPr>
      </w:r>
      <w:r w:rsidR="00AE4D71" w:rsidRPr="008D7407">
        <w:rPr>
          <w:lang w:val="en-GB"/>
        </w:rPr>
        <w:fldChar w:fldCharType="separate"/>
      </w:r>
      <w:r w:rsidR="008D7407">
        <w:rPr>
          <w:lang w:val="en-GB"/>
        </w:rPr>
        <w:t>[6]</w:t>
      </w:r>
      <w:r w:rsidR="00AE4D71" w:rsidRPr="008D7407">
        <w:rPr>
          <w:lang w:val="en-GB"/>
        </w:rPr>
        <w:fldChar w:fldCharType="end"/>
      </w:r>
      <w:r w:rsidRPr="008D7407">
        <w:rPr>
          <w:lang w:val="en-GB"/>
        </w:rPr>
        <w:t>, the R</w:t>
      </w:r>
      <w:r w:rsidR="00BD59AE" w:rsidRPr="008D7407">
        <w:rPr>
          <w:lang w:val="en-GB"/>
        </w:rPr>
        <w:t>E</w:t>
      </w:r>
      <w:r w:rsidRPr="008D7407">
        <w:rPr>
          <w:lang w:val="en-GB"/>
        </w:rPr>
        <w:t xml:space="preserve"> Directive, as well as those countries that have implemented this Directive voluntarily, need to take account of the provisions of that Directive;</w:t>
      </w:r>
    </w:p>
    <w:p w:rsidR="006C1AAC" w:rsidRPr="008D7407" w:rsidRDefault="00246B39" w:rsidP="00C5753D">
      <w:pPr>
        <w:pStyle w:val="LetteredList"/>
        <w:rPr>
          <w:lang w:val="en-GB"/>
        </w:rPr>
      </w:pPr>
      <w:r w:rsidRPr="008D7407">
        <w:rPr>
          <w:lang w:val="en-GB"/>
        </w:rPr>
        <w:t>t</w:t>
      </w:r>
      <w:r w:rsidR="006C1AAC" w:rsidRPr="008D7407">
        <w:rPr>
          <w:lang w:val="en-GB"/>
        </w:rPr>
        <w:t>hat when implementing this Decision</w:t>
      </w:r>
      <w:r w:rsidR="00CD6318" w:rsidRPr="008D7407">
        <w:rPr>
          <w:lang w:val="en-GB"/>
        </w:rPr>
        <w:t>,</w:t>
      </w:r>
      <w:r w:rsidR="006C1AAC" w:rsidRPr="008D7407">
        <w:rPr>
          <w:lang w:val="en-GB"/>
        </w:rPr>
        <w:t xml:space="preserve"> CEPT administrations shall consider the need for transitional arrangements</w:t>
      </w:r>
      <w:r w:rsidR="008D72FB" w:rsidRPr="008D7407">
        <w:rPr>
          <w:lang w:val="en-GB"/>
        </w:rPr>
        <w:t>;</w:t>
      </w:r>
    </w:p>
    <w:p w:rsidR="00E76E7D" w:rsidRPr="008D7407" w:rsidRDefault="00E76E7D" w:rsidP="00937F2F">
      <w:pPr>
        <w:pStyle w:val="LetteredList"/>
        <w:rPr>
          <w:lang w:val="en-GB"/>
        </w:rPr>
      </w:pPr>
      <w:r w:rsidRPr="008D7407">
        <w:rPr>
          <w:lang w:val="en-GB"/>
        </w:rPr>
        <w:t>that ETSI has developed ETSI Technical Specification TS 103 236</w:t>
      </w:r>
      <w:r w:rsidR="00C77BEF" w:rsidRPr="008D7407">
        <w:rPr>
          <w:lang w:val="en-GB"/>
        </w:rPr>
        <w:t xml:space="preserve"> </w:t>
      </w:r>
      <w:r w:rsidR="00C77BEF" w:rsidRPr="008D7407">
        <w:rPr>
          <w:lang w:val="en-GB"/>
        </w:rPr>
        <w:fldChar w:fldCharType="begin"/>
      </w:r>
      <w:r w:rsidR="00C77BEF" w:rsidRPr="008D7407">
        <w:rPr>
          <w:lang w:val="en-GB"/>
        </w:rPr>
        <w:instrText xml:space="preserve"> REF _Ref508104599 \r \h </w:instrText>
      </w:r>
      <w:r w:rsidR="00C77BEF" w:rsidRPr="008D7407">
        <w:rPr>
          <w:lang w:val="en-GB"/>
        </w:rPr>
      </w:r>
      <w:r w:rsidR="00C77BEF" w:rsidRPr="008D7407">
        <w:rPr>
          <w:lang w:val="en-GB"/>
        </w:rPr>
        <w:fldChar w:fldCharType="separate"/>
      </w:r>
      <w:r w:rsidR="008D7407">
        <w:rPr>
          <w:lang w:val="en-GB"/>
        </w:rPr>
        <w:t>[7]</w:t>
      </w:r>
      <w:r w:rsidR="00C77BEF" w:rsidRPr="008D7407">
        <w:rPr>
          <w:lang w:val="en-GB"/>
        </w:rPr>
        <w:fldChar w:fldCharType="end"/>
      </w:r>
      <w:r w:rsidRPr="008D7407">
        <w:rPr>
          <w:lang w:val="en-GB"/>
        </w:rPr>
        <w:t xml:space="preserve"> for more robust receivers</w:t>
      </w:r>
      <w:r w:rsidR="00937F2F" w:rsidRPr="008D7407">
        <w:rPr>
          <w:lang w:val="en-GB"/>
        </w:rPr>
        <w:t xml:space="preserve"> using Continuous Tone Controlled Signalling System (CTCSS) and Digitally Coded Squelch Signalling System (DCSS)</w:t>
      </w:r>
      <w:r w:rsidRPr="008D7407">
        <w:rPr>
          <w:lang w:val="en-GB"/>
        </w:rPr>
        <w:t>, TS 102 490</w:t>
      </w:r>
      <w:r w:rsidR="00C77BEF" w:rsidRPr="008D7407">
        <w:rPr>
          <w:lang w:val="en-GB"/>
        </w:rPr>
        <w:t xml:space="preserve"> </w:t>
      </w:r>
      <w:r w:rsidR="00C77BEF" w:rsidRPr="008D7407">
        <w:rPr>
          <w:lang w:val="en-GB"/>
        </w:rPr>
        <w:fldChar w:fldCharType="begin"/>
      </w:r>
      <w:r w:rsidR="00C77BEF" w:rsidRPr="008D7407">
        <w:rPr>
          <w:lang w:val="en-GB"/>
        </w:rPr>
        <w:instrText xml:space="preserve"> REF _Ref508104613 \r \h </w:instrText>
      </w:r>
      <w:r w:rsidR="00C77BEF" w:rsidRPr="008D7407">
        <w:rPr>
          <w:lang w:val="en-GB"/>
        </w:rPr>
      </w:r>
      <w:r w:rsidR="00C77BEF" w:rsidRPr="008D7407">
        <w:rPr>
          <w:lang w:val="en-GB"/>
        </w:rPr>
        <w:fldChar w:fldCharType="separate"/>
      </w:r>
      <w:r w:rsidR="008D7407">
        <w:rPr>
          <w:lang w:val="en-GB"/>
        </w:rPr>
        <w:t>[9]</w:t>
      </w:r>
      <w:r w:rsidR="00C77BEF" w:rsidRPr="008D7407">
        <w:rPr>
          <w:lang w:val="en-GB"/>
        </w:rPr>
        <w:fldChar w:fldCharType="end"/>
      </w:r>
      <w:r w:rsidRPr="008D7407">
        <w:rPr>
          <w:lang w:val="en-GB"/>
        </w:rPr>
        <w:t xml:space="preserve"> for digital PMR 446 equipment with 6.25 kHz channel spacing and TS 102 361-1</w:t>
      </w:r>
      <w:r w:rsidR="00C77BEF" w:rsidRPr="008D7407">
        <w:rPr>
          <w:lang w:val="en-GB"/>
        </w:rPr>
        <w:t xml:space="preserve"> </w:t>
      </w:r>
      <w:r w:rsidR="00C77BEF" w:rsidRPr="008D7407">
        <w:rPr>
          <w:lang w:val="en-GB"/>
        </w:rPr>
        <w:fldChar w:fldCharType="begin"/>
      </w:r>
      <w:r w:rsidR="00C77BEF" w:rsidRPr="008D7407">
        <w:rPr>
          <w:lang w:val="en-GB"/>
        </w:rPr>
        <w:instrText xml:space="preserve"> REF _Ref508104638 \r \h </w:instrText>
      </w:r>
      <w:r w:rsidR="00C77BEF" w:rsidRPr="008D7407">
        <w:rPr>
          <w:lang w:val="en-GB"/>
        </w:rPr>
      </w:r>
      <w:r w:rsidR="00C77BEF" w:rsidRPr="008D7407">
        <w:rPr>
          <w:lang w:val="en-GB"/>
        </w:rPr>
        <w:fldChar w:fldCharType="separate"/>
      </w:r>
      <w:r w:rsidR="008D7407">
        <w:rPr>
          <w:lang w:val="en-GB"/>
        </w:rPr>
        <w:t>[8]</w:t>
      </w:r>
      <w:r w:rsidR="00C77BEF" w:rsidRPr="008D7407">
        <w:rPr>
          <w:lang w:val="en-GB"/>
        </w:rPr>
        <w:fldChar w:fldCharType="end"/>
      </w:r>
      <w:r w:rsidRPr="008D7407">
        <w:rPr>
          <w:lang w:val="en-GB"/>
        </w:rPr>
        <w:t xml:space="preserve"> for digital PMR 446 equipment with 12.5 kHz channel spacing;</w:t>
      </w:r>
    </w:p>
    <w:p w:rsidR="00E76E7D" w:rsidRPr="008D7407" w:rsidRDefault="00CD6318" w:rsidP="00C5753D">
      <w:pPr>
        <w:pStyle w:val="LetteredList"/>
        <w:rPr>
          <w:lang w:val="en-GB"/>
        </w:rPr>
      </w:pPr>
      <w:r w:rsidRPr="008D7407">
        <w:rPr>
          <w:lang w:val="en-GB"/>
        </w:rPr>
        <w:t xml:space="preserve">that new frequency usage opportunities for analogue and digital PMR 446 equipment should be introduced with due awareness of the probable continued use of the bands by existing analogue and digital PMR 446 equipment. It is therefore important for </w:t>
      </w:r>
      <w:r w:rsidR="008D72FB" w:rsidRPr="008D7407">
        <w:rPr>
          <w:lang w:val="en-GB"/>
        </w:rPr>
        <w:t xml:space="preserve">administrations </w:t>
      </w:r>
      <w:r w:rsidRPr="008D7407">
        <w:rPr>
          <w:lang w:val="en-GB"/>
        </w:rPr>
        <w:t>to communicate the intended changes as soon as possible to industry, retailers and users throughout Europe;</w:t>
      </w:r>
    </w:p>
    <w:p w:rsidR="00BE0EB5" w:rsidRPr="008D7407" w:rsidRDefault="00BE0EB5" w:rsidP="00BE0EB5">
      <w:pPr>
        <w:autoSpaceDE w:val="0"/>
        <w:autoSpaceDN w:val="0"/>
        <w:jc w:val="both"/>
        <w:rPr>
          <w:lang w:val="en-GB"/>
        </w:rPr>
      </w:pPr>
    </w:p>
    <w:p w:rsidR="00663D25" w:rsidRPr="008D7407" w:rsidRDefault="00663D25" w:rsidP="00663D25">
      <w:pPr>
        <w:pStyle w:val="ECCParagraph"/>
        <w:rPr>
          <w:color w:val="D2232A"/>
        </w:rPr>
      </w:pPr>
      <w:r w:rsidRPr="008D7407">
        <w:rPr>
          <w:i/>
          <w:color w:val="D2232A"/>
        </w:rPr>
        <w:t>DECIDES</w:t>
      </w:r>
    </w:p>
    <w:p w:rsidR="00913EC3" w:rsidRPr="008D7407" w:rsidRDefault="00934A23" w:rsidP="00D666C6">
      <w:pPr>
        <w:pStyle w:val="NumberedList"/>
        <w:numPr>
          <w:ilvl w:val="0"/>
          <w:numId w:val="19"/>
        </w:numPr>
      </w:pPr>
      <w:r w:rsidRPr="008D7407">
        <w:rPr>
          <w:rFonts w:cs="Arial"/>
          <w:bCs/>
          <w:szCs w:val="20"/>
        </w:rPr>
        <w:t xml:space="preserve">that the purpose </w:t>
      </w:r>
      <w:r w:rsidR="00913EC3" w:rsidRPr="008D7407">
        <w:t xml:space="preserve">of this </w:t>
      </w:r>
      <w:r w:rsidR="00D666C6" w:rsidRPr="008D7407">
        <w:t>ECC D</w:t>
      </w:r>
      <w:r w:rsidR="00913EC3" w:rsidRPr="008D7407">
        <w:t xml:space="preserve">ecision is to harmonise the usage conditions for </w:t>
      </w:r>
      <w:r w:rsidR="00937F2F" w:rsidRPr="008D7407">
        <w:t xml:space="preserve">analogue and digital </w:t>
      </w:r>
      <w:r w:rsidR="00913EC3" w:rsidRPr="008D7407">
        <w:t>PMR 446 radio equipment</w:t>
      </w:r>
      <w:r w:rsidR="00937F2F" w:rsidRPr="008D7407">
        <w:t xml:space="preserve"> </w:t>
      </w:r>
      <w:r w:rsidR="00913EC3" w:rsidRPr="008D7407">
        <w:t>throughout Europe;</w:t>
      </w:r>
    </w:p>
    <w:p w:rsidR="00663D25" w:rsidRPr="008D7407" w:rsidRDefault="002A4768" w:rsidP="002A4768">
      <w:pPr>
        <w:pStyle w:val="NumberedList"/>
        <w:rPr>
          <w:rFonts w:cs="Arial"/>
        </w:rPr>
      </w:pPr>
      <w:r w:rsidRPr="008D7407">
        <w:rPr>
          <w:rFonts w:cs="Arial"/>
          <w:bCs/>
          <w:szCs w:val="20"/>
        </w:rPr>
        <w:t xml:space="preserve">that CEPT administrations shall </w:t>
      </w:r>
      <w:r w:rsidR="00934A23" w:rsidRPr="008D7407">
        <w:rPr>
          <w:rFonts w:cs="Arial"/>
          <w:bCs/>
          <w:szCs w:val="20"/>
        </w:rPr>
        <w:t>designate the band 446.0-446.</w:t>
      </w:r>
      <w:r w:rsidR="00CD6318" w:rsidRPr="008D7407">
        <w:rPr>
          <w:rFonts w:cs="Arial"/>
          <w:bCs/>
          <w:szCs w:val="20"/>
        </w:rPr>
        <w:t>2</w:t>
      </w:r>
      <w:r w:rsidR="00934A23" w:rsidRPr="008D7407">
        <w:rPr>
          <w:rFonts w:cs="Arial"/>
          <w:bCs/>
          <w:szCs w:val="20"/>
        </w:rPr>
        <w:t xml:space="preserve"> MHz for the use of </w:t>
      </w:r>
      <w:r w:rsidR="00E76E7D" w:rsidRPr="008D7407">
        <w:rPr>
          <w:rFonts w:cs="Arial"/>
          <w:bCs/>
          <w:szCs w:val="20"/>
        </w:rPr>
        <w:t xml:space="preserve">analogue </w:t>
      </w:r>
      <w:r w:rsidR="00934A23" w:rsidRPr="008D7407">
        <w:rPr>
          <w:rFonts w:cs="Arial"/>
          <w:bCs/>
          <w:szCs w:val="20"/>
        </w:rPr>
        <w:t>PMR 446</w:t>
      </w:r>
      <w:r w:rsidR="00934A23" w:rsidRPr="008D7407">
        <w:rPr>
          <w:rFonts w:cs="Arial"/>
          <w:szCs w:val="20"/>
        </w:rPr>
        <w:t xml:space="preserve"> </w:t>
      </w:r>
      <w:r w:rsidR="00934A23" w:rsidRPr="008D7407">
        <w:rPr>
          <w:rFonts w:cs="Arial"/>
          <w:bCs/>
          <w:szCs w:val="20"/>
        </w:rPr>
        <w:t>with a channel plan based on 12.5 kHz spacing where the lowest carrier frequency is 446.00625 MHz;</w:t>
      </w:r>
    </w:p>
    <w:p w:rsidR="00937F2F" w:rsidRPr="008D7407" w:rsidRDefault="00937F2F" w:rsidP="00937F2F">
      <w:pPr>
        <w:pStyle w:val="NumberedList"/>
        <w:rPr>
          <w:rFonts w:cs="Arial"/>
        </w:rPr>
      </w:pPr>
      <w:r w:rsidRPr="008D7407">
        <w:rPr>
          <w:rFonts w:cs="Arial"/>
        </w:rPr>
        <w:t xml:space="preserve">that CEPT administrations shall designate the band 446.1-446.2 MHz for the use of digital PMR 446 with </w:t>
      </w:r>
      <w:r w:rsidR="00793F60" w:rsidRPr="008D7407">
        <w:rPr>
          <w:rFonts w:cs="Arial"/>
        </w:rPr>
        <w:t xml:space="preserve">a </w:t>
      </w:r>
      <w:r w:rsidRPr="008D7407">
        <w:rPr>
          <w:rFonts w:cs="Arial"/>
        </w:rPr>
        <w:t>channel plan based on 6.25 kHz and 12.5 kHz spacing where the lowest carrier frequencies are 446</w:t>
      </w:r>
      <w:r w:rsidR="00AA121E" w:rsidRPr="008D7407">
        <w:rPr>
          <w:rFonts w:cs="Arial"/>
        </w:rPr>
        <w:t>.</w:t>
      </w:r>
      <w:r w:rsidRPr="008D7407">
        <w:rPr>
          <w:rFonts w:cs="Arial"/>
        </w:rPr>
        <w:t>103125 MHz and 446.10625 MHz respectively;</w:t>
      </w:r>
    </w:p>
    <w:p w:rsidR="00CD6318" w:rsidRPr="008D7407" w:rsidRDefault="00937F2F" w:rsidP="00CD6318">
      <w:pPr>
        <w:pStyle w:val="NumberedList"/>
        <w:rPr>
          <w:rFonts w:cs="Arial"/>
        </w:rPr>
      </w:pPr>
      <w:r w:rsidRPr="008D7407">
        <w:rPr>
          <w:rFonts w:cs="Arial"/>
        </w:rPr>
        <w:t>that CEPT administrations shall designate the band 446.0-446.</w:t>
      </w:r>
      <w:r w:rsidR="00CD6318" w:rsidRPr="008D7407">
        <w:rPr>
          <w:rFonts w:cs="Arial"/>
        </w:rPr>
        <w:t>2</w:t>
      </w:r>
      <w:r w:rsidRPr="008D7407">
        <w:rPr>
          <w:rFonts w:cs="Arial"/>
        </w:rPr>
        <w:t xml:space="preserve"> MHz for the use of digital PMR 446 with </w:t>
      </w:r>
      <w:r w:rsidR="00CD6318" w:rsidRPr="008D7407">
        <w:rPr>
          <w:rFonts w:cs="Arial"/>
        </w:rPr>
        <w:t>a channel plan based on 6.25 kHz and 12.5 kHz spacing where the lowest carrier frequencies are 446</w:t>
      </w:r>
      <w:r w:rsidR="00AA121E" w:rsidRPr="008D7407">
        <w:rPr>
          <w:rFonts w:cs="Arial"/>
        </w:rPr>
        <w:t>.</w:t>
      </w:r>
      <w:r w:rsidR="00CD6318" w:rsidRPr="008D7407">
        <w:rPr>
          <w:rFonts w:cs="Arial"/>
        </w:rPr>
        <w:t>003125 MHz and 446.00625 MHz respectively as of 1 January 2018;</w:t>
      </w:r>
    </w:p>
    <w:p w:rsidR="00937F2F" w:rsidRPr="008D7407" w:rsidRDefault="00CD6318" w:rsidP="00CD6318">
      <w:pPr>
        <w:pStyle w:val="NumberedList"/>
      </w:pPr>
      <w:r w:rsidRPr="008D7407">
        <w:t xml:space="preserve">that analogue PMR446 equipment operating in the frequency range 446.1-446.2 </w:t>
      </w:r>
      <w:r w:rsidR="00FB0750" w:rsidRPr="008D7407">
        <w:t xml:space="preserve">MHz </w:t>
      </w:r>
      <w:r w:rsidRPr="008D7407">
        <w:t>sh</w:t>
      </w:r>
      <w:r w:rsidR="007908CB" w:rsidRPr="008D7407">
        <w:t>ould</w:t>
      </w:r>
      <w:r w:rsidRPr="008D7407">
        <w:t xml:space="preserve"> use more robust receivers</w:t>
      </w:r>
      <w:r w:rsidR="00177117" w:rsidRPr="008D7407">
        <w:t>,</w:t>
      </w:r>
      <w:r w:rsidRPr="008D7407">
        <w:t xml:space="preserve"> as specified in ETSI </w:t>
      </w:r>
      <w:r w:rsidRPr="008D7407">
        <w:rPr>
          <w:rFonts w:cs="Arial"/>
        </w:rPr>
        <w:t>TS 103 236 or equivalent technical specifications;</w:t>
      </w:r>
    </w:p>
    <w:p w:rsidR="00CD6318" w:rsidRPr="008D7407" w:rsidRDefault="00CD6318" w:rsidP="00CD6318">
      <w:pPr>
        <w:pStyle w:val="NumberedList"/>
        <w:rPr>
          <w:rFonts w:cs="Arial"/>
        </w:rPr>
      </w:pPr>
      <w:r w:rsidRPr="008D7407">
        <w:rPr>
          <w:rFonts w:cs="Arial"/>
        </w:rPr>
        <w:lastRenderedPageBreak/>
        <w:t>that analogue PMR446 equipment operating in the frequency range 446.0-446.1</w:t>
      </w:r>
      <w:r w:rsidR="00FB0750" w:rsidRPr="008D7407">
        <w:rPr>
          <w:rFonts w:cs="Arial"/>
        </w:rPr>
        <w:t xml:space="preserve"> MHz</w:t>
      </w:r>
      <w:r w:rsidRPr="008D7407">
        <w:rPr>
          <w:rFonts w:cs="Arial"/>
        </w:rPr>
        <w:t xml:space="preserve"> sh</w:t>
      </w:r>
      <w:r w:rsidR="007908CB" w:rsidRPr="008D7407">
        <w:rPr>
          <w:rFonts w:cs="Arial"/>
        </w:rPr>
        <w:t>ould</w:t>
      </w:r>
      <w:r w:rsidRPr="008D7407">
        <w:rPr>
          <w:rFonts w:cs="Arial"/>
        </w:rPr>
        <w:t xml:space="preserve"> use more robust receivers</w:t>
      </w:r>
      <w:r w:rsidR="00177117" w:rsidRPr="008D7407">
        <w:rPr>
          <w:rFonts w:cs="Arial"/>
        </w:rPr>
        <w:t>,</w:t>
      </w:r>
      <w:r w:rsidRPr="008D7407">
        <w:rPr>
          <w:rFonts w:cs="Arial"/>
        </w:rPr>
        <w:t xml:space="preserve"> as specified in ETSI TS 103 236 or equivalent technical specifications when placed on the market as of 1 January 2017;</w:t>
      </w:r>
    </w:p>
    <w:p w:rsidR="002A4768" w:rsidRPr="008D7407" w:rsidRDefault="002A4768" w:rsidP="002A4768">
      <w:pPr>
        <w:pStyle w:val="NumberedList"/>
      </w:pPr>
      <w:r w:rsidRPr="008D7407">
        <w:t xml:space="preserve">that subject to decides </w:t>
      </w:r>
      <w:r w:rsidR="008D72FB" w:rsidRPr="008D7407">
        <w:t>8</w:t>
      </w:r>
      <w:r w:rsidR="001730B8" w:rsidRPr="008D7407">
        <w:t xml:space="preserve">, </w:t>
      </w:r>
      <w:r w:rsidR="008D72FB" w:rsidRPr="008D7407">
        <w:t>9</w:t>
      </w:r>
      <w:r w:rsidR="001730B8" w:rsidRPr="008D7407">
        <w:t xml:space="preserve"> and </w:t>
      </w:r>
      <w:r w:rsidR="008D72FB" w:rsidRPr="008D7407">
        <w:t>10</w:t>
      </w:r>
      <w:r w:rsidRPr="008D7407">
        <w:t xml:space="preserve"> below, CEPT administrations shall permit free c</w:t>
      </w:r>
      <w:r w:rsidR="00135660" w:rsidRPr="008D7407">
        <w:t>arriage</w:t>
      </w:r>
      <w:r w:rsidRPr="008D7407">
        <w:t xml:space="preserve"> and use of </w:t>
      </w:r>
      <w:r w:rsidR="008D72FB" w:rsidRPr="008D7407">
        <w:t xml:space="preserve">all analogue and digital </w:t>
      </w:r>
      <w:r w:rsidRPr="008D7407">
        <w:t>PMR 446 radio equipment;</w:t>
      </w:r>
    </w:p>
    <w:p w:rsidR="002A4768" w:rsidRPr="008D7407" w:rsidRDefault="002A4768" w:rsidP="002A4768">
      <w:pPr>
        <w:pStyle w:val="NumberedList"/>
      </w:pPr>
      <w:r w:rsidRPr="008D7407">
        <w:t xml:space="preserve">that CEPT administrations shall exempt </w:t>
      </w:r>
      <w:r w:rsidR="008D72FB" w:rsidRPr="008D7407">
        <w:t xml:space="preserve">analogue and digital </w:t>
      </w:r>
      <w:r w:rsidRPr="008D7407">
        <w:t>PMR 446 radio equipment covered by the present Decision from individual licensing;</w:t>
      </w:r>
    </w:p>
    <w:p w:rsidR="00663D25" w:rsidRPr="008D7407" w:rsidRDefault="00934A23" w:rsidP="008D72FB">
      <w:pPr>
        <w:pStyle w:val="NumberedList"/>
      </w:pPr>
      <w:r w:rsidRPr="008D7407">
        <w:t xml:space="preserve">that </w:t>
      </w:r>
      <w:r w:rsidR="00135660" w:rsidRPr="008D7407">
        <w:t>all PMR</w:t>
      </w:r>
      <w:r w:rsidR="00177117" w:rsidRPr="008D7407">
        <w:t xml:space="preserve"> 446</w:t>
      </w:r>
      <w:r w:rsidR="00135660" w:rsidRPr="008D7407">
        <w:t xml:space="preserve"> </w:t>
      </w:r>
      <w:r w:rsidRPr="008D7407">
        <w:t xml:space="preserve">equipment </w:t>
      </w:r>
      <w:r w:rsidR="00135660" w:rsidRPr="008D7407">
        <w:t xml:space="preserve">is hand portable and </w:t>
      </w:r>
      <w:r w:rsidRPr="008D7407">
        <w:t>shall use only integral antenna and an effective radiated power not exceeding 500 mW</w:t>
      </w:r>
      <w:r w:rsidR="008D72FB" w:rsidRPr="008D7407">
        <w:t xml:space="preserve">, while </w:t>
      </w:r>
      <w:r w:rsidR="00135660" w:rsidRPr="008D7407">
        <w:t xml:space="preserve">any </w:t>
      </w:r>
      <w:r w:rsidR="008D72FB" w:rsidRPr="008D7407">
        <w:rPr>
          <w:rFonts w:cs="Arial"/>
          <w:bCs/>
          <w:szCs w:val="20"/>
        </w:rPr>
        <w:t>base station</w:t>
      </w:r>
      <w:r w:rsidR="0044132C" w:rsidRPr="008D7407">
        <w:rPr>
          <w:rFonts w:cs="Arial"/>
          <w:bCs/>
          <w:szCs w:val="20"/>
        </w:rPr>
        <w:t xml:space="preserve">, </w:t>
      </w:r>
      <w:r w:rsidR="008D72FB" w:rsidRPr="008D7407">
        <w:rPr>
          <w:rFonts w:cs="Arial"/>
          <w:bCs/>
          <w:szCs w:val="20"/>
        </w:rPr>
        <w:t xml:space="preserve">repeater </w:t>
      </w:r>
      <w:r w:rsidR="0044132C" w:rsidRPr="008D7407">
        <w:rPr>
          <w:rFonts w:cs="Arial"/>
          <w:bCs/>
          <w:szCs w:val="20"/>
        </w:rPr>
        <w:t xml:space="preserve">or fixed infrastructure </w:t>
      </w:r>
      <w:r w:rsidR="008D72FB" w:rsidRPr="008D7407">
        <w:rPr>
          <w:rFonts w:cs="Arial"/>
          <w:bCs/>
          <w:szCs w:val="20"/>
        </w:rPr>
        <w:t>use is excluded</w:t>
      </w:r>
      <w:r w:rsidRPr="008D7407">
        <w:t>;</w:t>
      </w:r>
    </w:p>
    <w:p w:rsidR="002A4768" w:rsidRPr="008D7407" w:rsidRDefault="002A4768" w:rsidP="00663D25">
      <w:pPr>
        <w:pStyle w:val="NumberedList"/>
        <w:rPr>
          <w:rFonts w:cs="Arial"/>
        </w:rPr>
      </w:pPr>
      <w:r w:rsidRPr="008D7407">
        <w:t>that the following technical characteristics shall be applied for PMR 446 applications in order to reduce the risk of harmful interference:</w:t>
      </w:r>
    </w:p>
    <w:p w:rsidR="002A4768" w:rsidRPr="008D7407" w:rsidRDefault="002A4768" w:rsidP="002A4768">
      <w:pPr>
        <w:pStyle w:val="NumberedList"/>
        <w:numPr>
          <w:ilvl w:val="1"/>
          <w:numId w:val="10"/>
        </w:numPr>
        <w:rPr>
          <w:rFonts w:cs="Arial"/>
        </w:rPr>
      </w:pPr>
      <w:r w:rsidRPr="008D7407">
        <w:rPr>
          <w:rFonts w:cs="Arial"/>
          <w:szCs w:val="20"/>
        </w:rPr>
        <w:t xml:space="preserve">all </w:t>
      </w:r>
      <w:r w:rsidR="00D45224" w:rsidRPr="008D7407">
        <w:rPr>
          <w:rFonts w:cs="Arial"/>
          <w:szCs w:val="20"/>
        </w:rPr>
        <w:t xml:space="preserve">PMR 446 </w:t>
      </w:r>
      <w:r w:rsidR="001730B8" w:rsidRPr="008D7407">
        <w:rPr>
          <w:rFonts w:cs="Arial"/>
          <w:szCs w:val="20"/>
        </w:rPr>
        <w:t xml:space="preserve">radio </w:t>
      </w:r>
      <w:r w:rsidRPr="008D7407">
        <w:rPr>
          <w:rFonts w:cs="Arial"/>
          <w:szCs w:val="20"/>
        </w:rPr>
        <w:t>equipment shall have reception capability;</w:t>
      </w:r>
    </w:p>
    <w:p w:rsidR="00D45224" w:rsidRPr="008D7407" w:rsidRDefault="00D45224" w:rsidP="002A4768">
      <w:pPr>
        <w:pStyle w:val="NumberedList"/>
        <w:numPr>
          <w:ilvl w:val="1"/>
          <w:numId w:val="10"/>
        </w:numPr>
        <w:rPr>
          <w:rFonts w:cs="Arial"/>
        </w:rPr>
      </w:pPr>
      <w:r w:rsidRPr="008D7407">
        <w:rPr>
          <w:rFonts w:cs="Arial"/>
        </w:rPr>
        <w:t>PMR 446</w:t>
      </w:r>
      <w:r w:rsidR="001730B8" w:rsidRPr="008D7407">
        <w:rPr>
          <w:rFonts w:cs="Arial"/>
        </w:rPr>
        <w:t xml:space="preserve"> radio</w:t>
      </w:r>
      <w:r w:rsidRPr="008D7407">
        <w:rPr>
          <w:rFonts w:cs="Arial"/>
        </w:rPr>
        <w:t xml:space="preserve"> equipment having Push-To-Talk (PTT) functionality capable of being latched ‘on’ shall apply a 180 seconds maximum transmitter time-out;</w:t>
      </w:r>
    </w:p>
    <w:p w:rsidR="00C97756" w:rsidRPr="008D7407" w:rsidRDefault="00D45224" w:rsidP="00C97756">
      <w:pPr>
        <w:pStyle w:val="NumberedList"/>
        <w:numPr>
          <w:ilvl w:val="1"/>
          <w:numId w:val="10"/>
        </w:numPr>
        <w:rPr>
          <w:rFonts w:cs="Arial"/>
        </w:rPr>
      </w:pPr>
      <w:r w:rsidRPr="008D7407">
        <w:rPr>
          <w:rFonts w:cs="Arial"/>
        </w:rPr>
        <w:t xml:space="preserve"> PMR 446 </w:t>
      </w:r>
      <w:r w:rsidR="001730B8" w:rsidRPr="008D7407">
        <w:rPr>
          <w:rFonts w:cs="Arial"/>
        </w:rPr>
        <w:t xml:space="preserve">radio </w:t>
      </w:r>
      <w:r w:rsidRPr="008D7407">
        <w:rPr>
          <w:rFonts w:cs="Arial"/>
        </w:rPr>
        <w:t>equipment having no Push-To-Talk (PTT) functionality shall apply a 180 seconds maximum transmitter time-out and VOX (</w:t>
      </w:r>
      <w:r w:rsidR="00825FEA" w:rsidRPr="008D7407">
        <w:rPr>
          <w:rFonts w:cs="Arial"/>
        </w:rPr>
        <w:t>Voice activation exchange</w:t>
      </w:r>
      <w:r w:rsidRPr="008D7407">
        <w:rPr>
          <w:rFonts w:cs="Arial"/>
        </w:rPr>
        <w:t>)</w:t>
      </w:r>
      <w:r w:rsidR="00825FEA" w:rsidRPr="008D7407">
        <w:rPr>
          <w:rFonts w:cs="Arial"/>
        </w:rPr>
        <w:t xml:space="preserve"> control;</w:t>
      </w:r>
    </w:p>
    <w:p w:rsidR="001730B8" w:rsidRPr="008D7407" w:rsidRDefault="0080194D" w:rsidP="00BD59AE">
      <w:pPr>
        <w:pStyle w:val="NumberedList"/>
      </w:pPr>
      <w:r w:rsidRPr="008D7407">
        <w:t xml:space="preserve">that </w:t>
      </w:r>
      <w:r w:rsidR="001730B8" w:rsidRPr="008D7407">
        <w:t>compliance of PMR 446 radio equipment with all technical requirements</w:t>
      </w:r>
      <w:r w:rsidR="00BC1D15" w:rsidRPr="008D7407">
        <w:t xml:space="preserve"> referred to in this ECC Decision can </w:t>
      </w:r>
      <w:r w:rsidR="001730B8" w:rsidRPr="008D7407">
        <w:t>be demonstrated</w:t>
      </w:r>
      <w:r w:rsidR="00BC1D15" w:rsidRPr="008D7407">
        <w:t xml:space="preserve"> using</w:t>
      </w:r>
      <w:r w:rsidR="001730B8" w:rsidRPr="008D7407">
        <w:t xml:space="preserve"> the </w:t>
      </w:r>
      <w:r w:rsidR="008D72FB" w:rsidRPr="008D7407">
        <w:t xml:space="preserve">applicable </w:t>
      </w:r>
      <w:r w:rsidR="001730B8" w:rsidRPr="008D7407">
        <w:t>Harmonised European Standard</w:t>
      </w:r>
      <w:r w:rsidR="008D72FB" w:rsidRPr="008D7407">
        <w:t xml:space="preserve"> ETSI EN </w:t>
      </w:r>
      <w:r w:rsidR="00BD59AE" w:rsidRPr="008D7407">
        <w:t>303</w:t>
      </w:r>
      <w:r w:rsidR="00612FC6">
        <w:t xml:space="preserve"> </w:t>
      </w:r>
      <w:r w:rsidR="00BD59AE" w:rsidRPr="008D7407">
        <w:t>405</w:t>
      </w:r>
      <w:r w:rsidR="00612FC6">
        <w:fldChar w:fldCharType="begin"/>
      </w:r>
      <w:r w:rsidR="00612FC6">
        <w:instrText xml:space="preserve"> REF _Ref508104750 \r \h </w:instrText>
      </w:r>
      <w:r w:rsidR="00612FC6">
        <w:fldChar w:fldCharType="separate"/>
      </w:r>
      <w:r w:rsidR="00612FC6">
        <w:t>[1]</w:t>
      </w:r>
      <w:r w:rsidR="00612FC6">
        <w:fldChar w:fldCharType="end"/>
      </w:r>
      <w:r w:rsidR="001730B8" w:rsidRPr="008D7407">
        <w:t>;</w:t>
      </w:r>
      <w:r w:rsidR="00BC1D15" w:rsidRPr="008D7407">
        <w:t xml:space="preserve"> </w:t>
      </w:r>
    </w:p>
    <w:p w:rsidR="008F1BD6" w:rsidRPr="008D7407" w:rsidRDefault="008F1BD6" w:rsidP="008D72FB">
      <w:pPr>
        <w:pStyle w:val="NumberedList"/>
      </w:pPr>
      <w:r w:rsidRPr="008D7407">
        <w:t xml:space="preserve">that the definitions in the </w:t>
      </w:r>
      <w:r w:rsidR="00CC170F" w:rsidRPr="008D7407">
        <w:t>A</w:t>
      </w:r>
      <w:r w:rsidRPr="008D7407">
        <w:t>nnex</w:t>
      </w:r>
      <w:r w:rsidR="00CC170F" w:rsidRPr="008D7407">
        <w:t xml:space="preserve"> 1</w:t>
      </w:r>
      <w:r w:rsidRPr="008D7407">
        <w:t xml:space="preserve"> apply for the purpose of this Decision;</w:t>
      </w:r>
    </w:p>
    <w:p w:rsidR="00814A3E" w:rsidRPr="008D7407" w:rsidRDefault="00814A3E" w:rsidP="00FC0F7A">
      <w:pPr>
        <w:pStyle w:val="NumberedList"/>
      </w:pPr>
      <w:r w:rsidRPr="008D7407">
        <w:t>that this Decision replaces ERC/DEC/(98)</w:t>
      </w:r>
      <w:r w:rsidR="00E76E7D" w:rsidRPr="008D7407">
        <w:t>25</w:t>
      </w:r>
      <w:r w:rsidR="004829D1">
        <w:t xml:space="preserve"> </w:t>
      </w:r>
      <w:r w:rsidR="004829D1">
        <w:fldChar w:fldCharType="begin"/>
      </w:r>
      <w:r w:rsidR="004829D1">
        <w:instrText xml:space="preserve"> REF _Ref508105586 \r \h </w:instrText>
      </w:r>
      <w:r w:rsidR="004829D1">
        <w:fldChar w:fldCharType="separate"/>
      </w:r>
      <w:r w:rsidR="004829D1">
        <w:t>[2]</w:t>
      </w:r>
      <w:r w:rsidR="004829D1">
        <w:fldChar w:fldCharType="end"/>
      </w:r>
      <w:r w:rsidRPr="008D7407">
        <w:t xml:space="preserve"> and E</w:t>
      </w:r>
      <w:r w:rsidR="00E76E7D" w:rsidRPr="008D7407">
        <w:t>C</w:t>
      </w:r>
      <w:r w:rsidRPr="008D7407">
        <w:t>C</w:t>
      </w:r>
      <w:r w:rsidR="00F02A54" w:rsidRPr="008D7407">
        <w:t>/</w:t>
      </w:r>
      <w:r w:rsidRPr="008D7407">
        <w:t>DEC/(</w:t>
      </w:r>
      <w:r w:rsidR="00E76E7D" w:rsidRPr="008D7407">
        <w:t>05</w:t>
      </w:r>
      <w:r w:rsidRPr="008D7407">
        <w:t>)</w:t>
      </w:r>
      <w:r w:rsidR="00E76E7D" w:rsidRPr="008D7407">
        <w:t>12</w:t>
      </w:r>
      <w:r w:rsidRPr="008D7407">
        <w:t xml:space="preserve"> </w:t>
      </w:r>
      <w:r w:rsidR="004829D1">
        <w:fldChar w:fldCharType="begin"/>
      </w:r>
      <w:r w:rsidR="004829D1">
        <w:instrText xml:space="preserve"> REF _Ref508105570 \r \h </w:instrText>
      </w:r>
      <w:r w:rsidR="004829D1">
        <w:fldChar w:fldCharType="separate"/>
      </w:r>
      <w:r w:rsidR="004829D1">
        <w:t>[3]</w:t>
      </w:r>
      <w:r w:rsidR="004829D1">
        <w:fldChar w:fldCharType="end"/>
      </w:r>
      <w:r w:rsidR="004829D1">
        <w:t xml:space="preserve"> </w:t>
      </w:r>
      <w:r w:rsidRPr="008D7407">
        <w:t>which are withdrawn;</w:t>
      </w:r>
    </w:p>
    <w:p w:rsidR="00934A23" w:rsidRPr="008D7407" w:rsidRDefault="00934A23" w:rsidP="00663D25">
      <w:pPr>
        <w:pStyle w:val="NumberedList"/>
        <w:rPr>
          <w:rFonts w:cs="Arial"/>
        </w:rPr>
      </w:pPr>
      <w:r w:rsidRPr="008D7407">
        <w:t>that this Decision enter</w:t>
      </w:r>
      <w:r w:rsidR="002A4768" w:rsidRPr="008D7407">
        <w:t>s</w:t>
      </w:r>
      <w:r w:rsidRPr="008D7407">
        <w:t xml:space="preserve"> into force by </w:t>
      </w:r>
      <w:r w:rsidR="00AE0CC7" w:rsidRPr="008D7407">
        <w:t>3 July</w:t>
      </w:r>
      <w:r w:rsidR="00E76E7D" w:rsidRPr="008D7407">
        <w:t xml:space="preserve"> </w:t>
      </w:r>
      <w:r w:rsidR="00A64E98" w:rsidRPr="008D7407">
        <w:t>201</w:t>
      </w:r>
      <w:r w:rsidR="00E76E7D" w:rsidRPr="008D7407">
        <w:t>5</w:t>
      </w:r>
      <w:r w:rsidRPr="008D7407">
        <w:t>;</w:t>
      </w:r>
    </w:p>
    <w:p w:rsidR="002A4768" w:rsidRPr="008D7407" w:rsidRDefault="002A4768" w:rsidP="00663D25">
      <w:pPr>
        <w:pStyle w:val="NumberedList"/>
        <w:rPr>
          <w:rFonts w:cs="Arial"/>
        </w:rPr>
      </w:pPr>
      <w:r w:rsidRPr="008D7407">
        <w:t>that the preferred date for implementation of this E</w:t>
      </w:r>
      <w:r w:rsidR="00F02A54" w:rsidRPr="008D7407">
        <w:t>C</w:t>
      </w:r>
      <w:r w:rsidRPr="008D7407">
        <w:t xml:space="preserve">C Decision shall be </w:t>
      </w:r>
      <w:r w:rsidR="00AE0CC7" w:rsidRPr="008D7407">
        <w:t>3 January</w:t>
      </w:r>
      <w:r w:rsidRPr="008D7407">
        <w:rPr>
          <w:bCs/>
        </w:rPr>
        <w:t xml:space="preserve"> 201</w:t>
      </w:r>
      <w:r w:rsidR="00AE0CC7" w:rsidRPr="008D7407">
        <w:rPr>
          <w:bCs/>
        </w:rPr>
        <w:t>6</w:t>
      </w:r>
      <w:r w:rsidRPr="008D7407">
        <w:rPr>
          <w:color w:val="000000"/>
        </w:rPr>
        <w:t>;</w:t>
      </w:r>
    </w:p>
    <w:p w:rsidR="00934A23" w:rsidRPr="008D7407" w:rsidRDefault="00934A23" w:rsidP="00663D25">
      <w:pPr>
        <w:pStyle w:val="NumberedList"/>
        <w:rPr>
          <w:rFonts w:cs="Arial"/>
        </w:rPr>
      </w:pPr>
      <w:r w:rsidRPr="008D7407">
        <w:rPr>
          <w:rFonts w:cs="Arial"/>
          <w:szCs w:val="20"/>
        </w:rPr>
        <w:t xml:space="preserve">that </w:t>
      </w:r>
      <w:r w:rsidR="00135660" w:rsidRPr="008D7407">
        <w:rPr>
          <w:rFonts w:cs="Arial"/>
          <w:szCs w:val="20"/>
        </w:rPr>
        <w:t xml:space="preserve">CEPT </w:t>
      </w:r>
      <w:r w:rsidRPr="008D7407">
        <w:rPr>
          <w:rFonts w:cs="Arial"/>
          <w:szCs w:val="20"/>
        </w:rPr>
        <w:t>administrations shall communicate the national measures implementing this Decision to the E</w:t>
      </w:r>
      <w:r w:rsidR="002A4768" w:rsidRPr="008D7407">
        <w:rPr>
          <w:rFonts w:cs="Arial"/>
          <w:szCs w:val="20"/>
        </w:rPr>
        <w:t>C</w:t>
      </w:r>
      <w:r w:rsidRPr="008D7407">
        <w:rPr>
          <w:rFonts w:cs="Arial"/>
          <w:szCs w:val="20"/>
        </w:rPr>
        <w:t>C Chairman and the E</w:t>
      </w:r>
      <w:r w:rsidR="002A4768" w:rsidRPr="008D7407">
        <w:rPr>
          <w:rFonts w:cs="Arial"/>
          <w:szCs w:val="20"/>
        </w:rPr>
        <w:t>C</w:t>
      </w:r>
      <w:r w:rsidRPr="008D7407">
        <w:rPr>
          <w:rFonts w:cs="Arial"/>
          <w:szCs w:val="20"/>
        </w:rPr>
        <w:t>O when the Decision is nationally implemented.</w:t>
      </w:r>
      <w:r w:rsidR="0018333C" w:rsidRPr="008D7407">
        <w:rPr>
          <w:rFonts w:cs="Arial"/>
          <w:szCs w:val="20"/>
        </w:rPr>
        <w:t>”</w:t>
      </w:r>
    </w:p>
    <w:p w:rsidR="007D41A6" w:rsidRPr="008D7407" w:rsidRDefault="007D41A6" w:rsidP="00663D25">
      <w:pPr>
        <w:pStyle w:val="ECCParagraph"/>
        <w:rPr>
          <w:i/>
          <w:color w:val="D2232A"/>
        </w:rPr>
      </w:pPr>
    </w:p>
    <w:p w:rsidR="00663D25" w:rsidRPr="008D7407" w:rsidRDefault="00663D25" w:rsidP="00663D25">
      <w:pPr>
        <w:pStyle w:val="ECCParagraph"/>
        <w:rPr>
          <w:i/>
          <w:color w:val="D2232A"/>
        </w:rPr>
      </w:pPr>
      <w:r w:rsidRPr="008D7407">
        <w:rPr>
          <w:i/>
          <w:color w:val="D2232A"/>
        </w:rPr>
        <w:t xml:space="preserve">Note: </w:t>
      </w:r>
    </w:p>
    <w:p w:rsidR="007D41A6" w:rsidRPr="008D7407" w:rsidRDefault="007D41A6" w:rsidP="007D41A6">
      <w:pPr>
        <w:rPr>
          <w:b/>
          <w:szCs w:val="20"/>
          <w:lang w:val="en-GB"/>
        </w:rPr>
      </w:pPr>
      <w:r w:rsidRPr="008D7407">
        <w:rPr>
          <w:i/>
          <w:szCs w:val="20"/>
          <w:lang w:val="en-GB"/>
        </w:rPr>
        <w:t xml:space="preserve">Please check the Office </w:t>
      </w:r>
      <w:r w:rsidR="0018333C" w:rsidRPr="008D7407">
        <w:rPr>
          <w:i/>
          <w:szCs w:val="20"/>
          <w:lang w:val="en-GB"/>
        </w:rPr>
        <w:t xml:space="preserve">documentation database </w:t>
      </w:r>
      <w:hyperlink r:id="rId9" w:history="1">
        <w:r w:rsidR="0018333C" w:rsidRPr="008D7407">
          <w:rPr>
            <w:rStyle w:val="Hyperlink"/>
            <w:i/>
            <w:szCs w:val="20"/>
            <w:lang w:val="en-GB"/>
          </w:rPr>
          <w:t>http://www.ecodocdb.dk</w:t>
        </w:r>
      </w:hyperlink>
      <w:r w:rsidR="0018333C" w:rsidRPr="008D7407">
        <w:rPr>
          <w:i/>
          <w:szCs w:val="20"/>
          <w:lang w:val="en-GB"/>
        </w:rPr>
        <w:t xml:space="preserve"> </w:t>
      </w:r>
      <w:r w:rsidRPr="008D7407">
        <w:rPr>
          <w:i/>
          <w:szCs w:val="20"/>
          <w:lang w:val="en-GB"/>
        </w:rPr>
        <w:t>for the up to date position on the implementation of this and other ECC Decisions.</w:t>
      </w:r>
    </w:p>
    <w:p w:rsidR="007F2233" w:rsidRPr="008D7407" w:rsidRDefault="007F2233" w:rsidP="00663D25">
      <w:pPr>
        <w:pStyle w:val="ECCParagraph"/>
      </w:pPr>
    </w:p>
    <w:p w:rsidR="007F2233" w:rsidRPr="008D7407" w:rsidRDefault="00CC170F" w:rsidP="00E67550">
      <w:pPr>
        <w:pStyle w:val="ECCAnnex-heading1"/>
      </w:pPr>
      <w:r w:rsidRPr="008D7407">
        <w:rPr>
          <w:b/>
        </w:rPr>
        <w:lastRenderedPageBreak/>
        <w:t>Definitions</w:t>
      </w:r>
      <w:r w:rsidRPr="008D7407">
        <w:t xml:space="preserve"> </w:t>
      </w:r>
    </w:p>
    <w:p w:rsidR="00E902F3" w:rsidRPr="008D7407" w:rsidRDefault="00E902F3" w:rsidP="00511C78">
      <w:pPr>
        <w:pStyle w:val="ECCParagraph"/>
        <w:ind w:left="2268" w:hanging="2268"/>
      </w:pPr>
      <w:r w:rsidRPr="008D7407">
        <w:rPr>
          <w:b/>
        </w:rPr>
        <w:t>Integral antenna:</w:t>
      </w:r>
      <w:r w:rsidRPr="008D7407">
        <w:t xml:space="preserve"> </w:t>
      </w:r>
      <w:r w:rsidR="00511C78" w:rsidRPr="008D7407">
        <w:tab/>
      </w:r>
      <w:r w:rsidRPr="008D7407">
        <w:t>antenna designed as a fixed part of the equipment (without the use of an external connector) which cannot be disconnected from the equipment by a user with the intent to connect another antenna</w:t>
      </w:r>
      <w:r w:rsidR="00AE0CAD" w:rsidRPr="008D7407">
        <w:t>.</w:t>
      </w:r>
    </w:p>
    <w:p w:rsidR="00266B04" w:rsidRPr="008D7407" w:rsidRDefault="002417A3" w:rsidP="00511C78">
      <w:pPr>
        <w:pStyle w:val="ECCParagraph"/>
        <w:ind w:left="2268" w:hanging="2268"/>
      </w:pPr>
      <w:r w:rsidRPr="008D7407">
        <w:rPr>
          <w:b/>
        </w:rPr>
        <w:t>H</w:t>
      </w:r>
      <w:r w:rsidR="00266B04" w:rsidRPr="008D7407">
        <w:rPr>
          <w:b/>
        </w:rPr>
        <w:t>and</w:t>
      </w:r>
      <w:r w:rsidRPr="008D7407">
        <w:rPr>
          <w:b/>
        </w:rPr>
        <w:t xml:space="preserve"> </w:t>
      </w:r>
      <w:r w:rsidR="00266B04" w:rsidRPr="008D7407">
        <w:rPr>
          <w:b/>
        </w:rPr>
        <w:t>portable station:</w:t>
      </w:r>
      <w:r w:rsidR="00266B04" w:rsidRPr="008D7407">
        <w:t xml:space="preserve"> </w:t>
      </w:r>
      <w:r w:rsidR="00511C78" w:rsidRPr="008D7407">
        <w:tab/>
      </w:r>
      <w:r w:rsidR="00266B04" w:rsidRPr="008D7407">
        <w:t xml:space="preserve">equipment fitted with an integral antenna, used on a stand-alone basis, to be carried on a person or </w:t>
      </w:r>
      <w:r w:rsidR="00BD59AE" w:rsidRPr="008D7407">
        <w:t>manually operated</w:t>
      </w:r>
      <w:r w:rsidR="00266B04" w:rsidRPr="008D7407">
        <w:t>.</w:t>
      </w:r>
    </w:p>
    <w:p w:rsidR="007E7E29" w:rsidRPr="008D7407" w:rsidRDefault="007E7E29" w:rsidP="00511C78">
      <w:pPr>
        <w:pStyle w:val="ECCParagraph"/>
        <w:ind w:left="2268" w:hanging="2268"/>
      </w:pPr>
    </w:p>
    <w:p w:rsidR="002238C2" w:rsidRPr="002E70A6" w:rsidRDefault="002238C2">
      <w:pPr>
        <w:rPr>
          <w:b/>
          <w:bCs/>
          <w:caps/>
          <w:color w:val="D2232A"/>
          <w:kern w:val="32"/>
          <w:szCs w:val="32"/>
          <w:lang w:val="en-GB"/>
        </w:rPr>
      </w:pPr>
      <w:r w:rsidRPr="002E70A6">
        <w:rPr>
          <w:b/>
          <w:lang w:val="en-GB"/>
        </w:rPr>
        <w:br w:type="page"/>
      </w:r>
    </w:p>
    <w:p w:rsidR="007E7E29" w:rsidRPr="002E70A6" w:rsidRDefault="007E7E29" w:rsidP="007E7E29">
      <w:pPr>
        <w:pStyle w:val="ECCAnnex-heading1"/>
        <w:rPr>
          <w:rFonts w:cs="Arial"/>
          <w:b/>
        </w:rPr>
      </w:pPr>
      <w:r w:rsidRPr="002E70A6">
        <w:rPr>
          <w:b/>
        </w:rPr>
        <w:lastRenderedPageBreak/>
        <w:t xml:space="preserve">List of </w:t>
      </w:r>
      <w:r w:rsidRPr="002E70A6">
        <w:rPr>
          <w:rFonts w:cs="Arial"/>
          <w:b/>
        </w:rPr>
        <w:t>references</w:t>
      </w:r>
    </w:p>
    <w:p w:rsidR="00BC2F35" w:rsidRPr="002E70A6" w:rsidRDefault="00BC2F35" w:rsidP="00BD59AE">
      <w:pPr>
        <w:pStyle w:val="reference"/>
        <w:rPr>
          <w:lang w:val="en-GB"/>
        </w:rPr>
      </w:pPr>
      <w:bookmarkStart w:id="1" w:name="_Ref508104750"/>
      <w:r w:rsidRPr="002E70A6">
        <w:rPr>
          <w:lang w:val="en-GB"/>
        </w:rPr>
        <w:t>ETSI Harmonised European Standard</w:t>
      </w:r>
      <w:r w:rsidR="00687B94" w:rsidRPr="002E70A6">
        <w:rPr>
          <w:lang w:val="en-GB"/>
        </w:rPr>
        <w:t xml:space="preserve"> </w:t>
      </w:r>
      <w:r w:rsidR="00BD59AE" w:rsidRPr="002E70A6">
        <w:rPr>
          <w:lang w:val="en-GB"/>
        </w:rPr>
        <w:t xml:space="preserve">EN </w:t>
      </w:r>
      <w:r w:rsidR="00BD59AE" w:rsidRPr="002E70A6">
        <w:rPr>
          <w:rFonts w:cs="Arial"/>
          <w:bCs/>
          <w:szCs w:val="20"/>
          <w:lang w:val="en-GB"/>
        </w:rPr>
        <w:t>303 405: Analogue and Digital PMR446 Equipment</w:t>
      </w:r>
      <w:bookmarkEnd w:id="1"/>
      <w:r w:rsidR="00BD59AE" w:rsidRPr="002E70A6">
        <w:rPr>
          <w:rFonts w:cs="Arial"/>
          <w:bCs/>
          <w:szCs w:val="20"/>
          <w:lang w:val="en-GB"/>
        </w:rPr>
        <w:t xml:space="preserve"> </w:t>
      </w:r>
    </w:p>
    <w:p w:rsidR="00BC2F35" w:rsidRPr="002E70A6" w:rsidRDefault="00BC2F35" w:rsidP="007E7E29">
      <w:pPr>
        <w:pStyle w:val="reference"/>
        <w:rPr>
          <w:rFonts w:cs="Arial"/>
          <w:lang w:val="en-GB"/>
        </w:rPr>
      </w:pPr>
      <w:bookmarkStart w:id="2" w:name="_Ref508105586"/>
      <w:r w:rsidRPr="002E70A6">
        <w:rPr>
          <w:rFonts w:cs="Arial"/>
          <w:szCs w:val="20"/>
          <w:lang w:val="en-GB"/>
        </w:rPr>
        <w:t>ERC Decision (98)25 on the harmonised frequency band to be designated for PMR 446</w:t>
      </w:r>
      <w:bookmarkEnd w:id="2"/>
    </w:p>
    <w:p w:rsidR="00BC2F35" w:rsidRPr="002E70A6" w:rsidRDefault="00BC2F35" w:rsidP="007E7E29">
      <w:pPr>
        <w:pStyle w:val="reference"/>
        <w:rPr>
          <w:rFonts w:cs="Arial"/>
          <w:lang w:val="en-GB"/>
        </w:rPr>
      </w:pPr>
      <w:bookmarkStart w:id="3" w:name="_Ref508105570"/>
      <w:r w:rsidRPr="002E70A6">
        <w:rPr>
          <w:rFonts w:cs="Arial"/>
          <w:szCs w:val="20"/>
          <w:lang w:val="en-GB"/>
        </w:rPr>
        <w:t>ECC Decision (05)12 on harmonised frequencies, technical characteristics, exemption from individual licensing and free carriage and use of digital PMR 446 applications operating in the frequency band 446.1-446.2 MHz</w:t>
      </w:r>
      <w:bookmarkEnd w:id="3"/>
    </w:p>
    <w:p w:rsidR="00BC2F35" w:rsidRPr="002E70A6" w:rsidRDefault="00BC2F35" w:rsidP="007E7E29">
      <w:pPr>
        <w:pStyle w:val="reference"/>
        <w:rPr>
          <w:rFonts w:cs="Arial"/>
          <w:lang w:val="en-GB"/>
        </w:rPr>
      </w:pPr>
      <w:bookmarkStart w:id="4" w:name="_Ref508104712"/>
      <w:r w:rsidRPr="002E70A6">
        <w:rPr>
          <w:rFonts w:cs="Arial"/>
          <w:lang w:val="en-GB"/>
        </w:rPr>
        <w:t xml:space="preserve">ERC Recommendation 01-07 </w:t>
      </w:r>
      <w:r w:rsidR="00D666C6" w:rsidRPr="002E70A6">
        <w:rPr>
          <w:rFonts w:cs="Arial"/>
          <w:lang w:val="en-GB"/>
        </w:rPr>
        <w:t>on the h</w:t>
      </w:r>
      <w:r w:rsidRPr="002E70A6">
        <w:rPr>
          <w:rFonts w:cs="Arial"/>
          <w:szCs w:val="20"/>
          <w:lang w:val="en-GB"/>
        </w:rPr>
        <w:t>armonised regime for exemption from individual licensing for the use of radio spectrum</w:t>
      </w:r>
      <w:bookmarkEnd w:id="4"/>
    </w:p>
    <w:p w:rsidR="00BC2F35" w:rsidRPr="002E70A6" w:rsidRDefault="00BC2F35" w:rsidP="007E7E29">
      <w:pPr>
        <w:pStyle w:val="reference"/>
        <w:rPr>
          <w:rFonts w:cs="Arial"/>
          <w:lang w:val="en-GB"/>
        </w:rPr>
      </w:pPr>
      <w:bookmarkStart w:id="5" w:name="_Ref508104766"/>
      <w:r w:rsidRPr="002E70A6">
        <w:rPr>
          <w:rFonts w:cs="Arial"/>
          <w:lang w:val="en-GB"/>
        </w:rPr>
        <w:t xml:space="preserve">ERC Recommendation 74-01 </w:t>
      </w:r>
      <w:r w:rsidRPr="002E70A6">
        <w:rPr>
          <w:rFonts w:cs="Arial"/>
          <w:szCs w:val="20"/>
          <w:lang w:val="en-GB"/>
        </w:rPr>
        <w:t>Unwanted Emissions in the Spurious Domain</w:t>
      </w:r>
      <w:bookmarkEnd w:id="5"/>
    </w:p>
    <w:p w:rsidR="00BC2F35" w:rsidRPr="002E70A6" w:rsidRDefault="0094666C" w:rsidP="0094666C">
      <w:pPr>
        <w:pStyle w:val="reference"/>
        <w:rPr>
          <w:lang w:val="en-GB"/>
        </w:rPr>
      </w:pPr>
      <w:bookmarkStart w:id="6" w:name="_Ref508104816"/>
      <w:r w:rsidRPr="002E70A6">
        <w:rPr>
          <w:rFonts w:cs="Arial"/>
          <w:lang w:val="en-GB"/>
        </w:rPr>
        <w:t xml:space="preserve">Radio Equipment Directive 2014/53/EU </w:t>
      </w:r>
      <w:r w:rsidRPr="002E70A6">
        <w:rPr>
          <w:lang w:val="en-GB"/>
        </w:rPr>
        <w:t>of the European Parliament and of the Council of 16 April 2014 on the harmonisation of the laws of the Member States relating to the making available on the market of radio equipment and repealing Directive 1999/5/EC</w:t>
      </w:r>
      <w:bookmarkEnd w:id="6"/>
    </w:p>
    <w:p w:rsidR="00BC2F35" w:rsidRPr="002E70A6" w:rsidRDefault="00BC2F35" w:rsidP="007E7E29">
      <w:pPr>
        <w:pStyle w:val="reference"/>
        <w:rPr>
          <w:rFonts w:cs="Arial"/>
          <w:lang w:val="en-GB"/>
        </w:rPr>
      </w:pPr>
      <w:bookmarkStart w:id="7" w:name="_Ref508104599"/>
      <w:r w:rsidRPr="002E70A6">
        <w:rPr>
          <w:rFonts w:cs="Arial"/>
          <w:lang w:val="en-GB"/>
        </w:rPr>
        <w:t xml:space="preserve">ETSI Technical Specification TS 103 236: </w:t>
      </w:r>
      <w:r w:rsidRPr="002E70A6">
        <w:rPr>
          <w:rFonts w:cs="Arial"/>
          <w:bCs/>
          <w:szCs w:val="20"/>
          <w:lang w:val="en-GB"/>
        </w:rPr>
        <w:t>Continuous Tone Controlled Signalling System (CTCSS) and Digitally Coded Squelch Signalling (DCSS) system</w:t>
      </w:r>
      <w:bookmarkEnd w:id="7"/>
    </w:p>
    <w:p w:rsidR="00BC2F35" w:rsidRPr="002E70A6" w:rsidRDefault="00BC2F35" w:rsidP="007E7E29">
      <w:pPr>
        <w:pStyle w:val="reference"/>
        <w:rPr>
          <w:rFonts w:cs="Arial"/>
          <w:lang w:val="en-GB"/>
        </w:rPr>
      </w:pPr>
      <w:bookmarkStart w:id="8" w:name="_Ref508104638"/>
      <w:r w:rsidRPr="002E70A6">
        <w:rPr>
          <w:rFonts w:cs="Arial"/>
          <w:lang w:val="en-GB"/>
        </w:rPr>
        <w:t xml:space="preserve">ETSI Technical Specification TS 102 361-1: </w:t>
      </w:r>
      <w:r w:rsidRPr="002E70A6">
        <w:rPr>
          <w:rFonts w:cs="Arial"/>
          <w:bCs/>
          <w:szCs w:val="20"/>
          <w:lang w:val="en-GB"/>
        </w:rPr>
        <w:t>Digital Mobile Radio (DMR) Systems;</w:t>
      </w:r>
      <w:bookmarkEnd w:id="8"/>
    </w:p>
    <w:p w:rsidR="0094666C" w:rsidRPr="002E70A6" w:rsidRDefault="0094666C" w:rsidP="0094666C">
      <w:pPr>
        <w:pStyle w:val="reference"/>
        <w:rPr>
          <w:rFonts w:cs="Arial"/>
          <w:lang w:val="en-GB"/>
        </w:rPr>
      </w:pPr>
      <w:bookmarkStart w:id="9" w:name="_Ref508104613"/>
      <w:r w:rsidRPr="002E70A6">
        <w:rPr>
          <w:rFonts w:cs="Arial"/>
          <w:bCs/>
          <w:szCs w:val="20"/>
          <w:lang w:val="en-GB"/>
        </w:rPr>
        <w:t>ETSI TS 102 490: Peer-to-Peer Digital Private Mobile Radio using FDMA with a channel spacing of 6,25 kHz with e.r.p. of up to 500 mW</w:t>
      </w:r>
      <w:bookmarkEnd w:id="9"/>
    </w:p>
    <w:p w:rsidR="007F2233" w:rsidRPr="002E70A6" w:rsidRDefault="007F2233" w:rsidP="002E70A6">
      <w:pPr>
        <w:pStyle w:val="ECCParagraph"/>
      </w:pPr>
    </w:p>
    <w:sectPr w:rsidR="007F2233" w:rsidRPr="002E70A6" w:rsidSect="00C5753D">
      <w:headerReference w:type="even" r:id="rId10"/>
      <w:headerReference w:type="default" r:id="rId11"/>
      <w:headerReference w:type="first" r:id="rId12"/>
      <w:pgSz w:w="11907" w:h="16840" w:code="9"/>
      <w:pgMar w:top="1440"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1C" w:rsidRDefault="00CA631C" w:rsidP="00663D25">
      <w:r>
        <w:separator/>
      </w:r>
    </w:p>
  </w:endnote>
  <w:endnote w:type="continuationSeparator" w:id="0">
    <w:p w:rsidR="00CA631C" w:rsidRDefault="00CA631C"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1C" w:rsidRDefault="00CA631C" w:rsidP="00663D25">
      <w:r>
        <w:separator/>
      </w:r>
    </w:p>
  </w:footnote>
  <w:footnote w:type="continuationSeparator" w:id="0">
    <w:p w:rsidR="00CA631C" w:rsidRDefault="00CA631C" w:rsidP="00663D25">
      <w:r>
        <w:continuationSeparator/>
      </w:r>
    </w:p>
  </w:footnote>
  <w:footnote w:id="1">
    <w:p w:rsidR="0094666C" w:rsidRPr="0094666C" w:rsidRDefault="0094666C">
      <w:pPr>
        <w:pStyle w:val="FootnoteText"/>
      </w:pPr>
      <w:r>
        <w:rPr>
          <w:rStyle w:val="FootnoteReference"/>
        </w:rPr>
        <w:footnoteRef/>
      </w:r>
      <w:r>
        <w:t xml:space="preserve"> </w:t>
      </w:r>
      <w:r w:rsidRPr="0094666C">
        <w:t>Comparable technical specifications to those given in this ECC Decision are given in the amended EC Decision 2006/771/EC for SRD. EU Member States and, if so approved by the EEA Joint Committee, Iceland, Liechtenstein and Norway are obliged to implement the EC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97" w:rsidRPr="007C5F95" w:rsidRDefault="005E6197">
    <w:pPr>
      <w:pStyle w:val="Header"/>
      <w:rPr>
        <w:szCs w:val="16"/>
        <w:lang w:val="da-DK"/>
      </w:rPr>
    </w:pPr>
    <w:r w:rsidRPr="007C5F95">
      <w:rPr>
        <w:lang w:val="da-DK"/>
      </w:rPr>
      <w:t>E</w:t>
    </w:r>
    <w:r>
      <w:rPr>
        <w:lang w:val="da-DK"/>
      </w:rPr>
      <w:t>C</w:t>
    </w:r>
    <w:r w:rsidRPr="007C5F95">
      <w:rPr>
        <w:lang w:val="da-DK"/>
      </w:rPr>
      <w:t>C</w:t>
    </w:r>
    <w:r>
      <w:rPr>
        <w:lang w:val="da-DK"/>
      </w:rPr>
      <w:t>/</w:t>
    </w:r>
    <w:r w:rsidRPr="007C5F95">
      <w:rPr>
        <w:lang w:val="da-DK"/>
      </w:rPr>
      <w:t>DEC</w:t>
    </w:r>
    <w:r>
      <w:rPr>
        <w:lang w:val="da-DK"/>
      </w:rPr>
      <w:t>/</w:t>
    </w:r>
    <w:r w:rsidRPr="007C5F95">
      <w:rPr>
        <w:lang w:val="da-DK"/>
      </w:rPr>
      <w:t>(</w:t>
    </w:r>
    <w:r>
      <w:rPr>
        <w:lang w:val="da-DK"/>
      </w:rPr>
      <w:t>15</w:t>
    </w:r>
    <w:r w:rsidRPr="007C5F95">
      <w:rPr>
        <w:lang w:val="da-DK"/>
      </w:rPr>
      <w:t>)</w:t>
    </w:r>
    <w:r w:rsidR="00AD7F06">
      <w:rPr>
        <w:lang w:val="da-DK"/>
      </w:rPr>
      <w:t>05</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586FE2">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97" w:rsidRPr="007C5F95" w:rsidRDefault="005E6197" w:rsidP="00663D25">
    <w:pPr>
      <w:pStyle w:val="Header"/>
      <w:jc w:val="right"/>
      <w:rPr>
        <w:szCs w:val="16"/>
        <w:lang w:val="da-DK"/>
      </w:rPr>
    </w:pPr>
    <w:r w:rsidRPr="007C5F95">
      <w:rPr>
        <w:lang w:val="da-DK"/>
      </w:rPr>
      <w:t>E</w:t>
    </w:r>
    <w:r>
      <w:rPr>
        <w:lang w:val="da-DK"/>
      </w:rPr>
      <w:t>C</w:t>
    </w:r>
    <w:r w:rsidRPr="007C5F95">
      <w:rPr>
        <w:lang w:val="da-DK"/>
      </w:rPr>
      <w:t>C</w:t>
    </w:r>
    <w:r>
      <w:rPr>
        <w:lang w:val="da-DK"/>
      </w:rPr>
      <w:t>/</w:t>
    </w:r>
    <w:r w:rsidRPr="007C5F95">
      <w:rPr>
        <w:lang w:val="da-DK"/>
      </w:rPr>
      <w:t>DEC</w:t>
    </w:r>
    <w:r>
      <w:rPr>
        <w:lang w:val="da-DK"/>
      </w:rPr>
      <w:t>/</w:t>
    </w:r>
    <w:r w:rsidRPr="007C5F95">
      <w:rPr>
        <w:lang w:val="da-DK"/>
      </w:rPr>
      <w:t>(</w:t>
    </w:r>
    <w:r>
      <w:rPr>
        <w:lang w:val="da-DK"/>
      </w:rPr>
      <w:t>15</w:t>
    </w:r>
    <w:r w:rsidRPr="007C5F95">
      <w:rPr>
        <w:lang w:val="da-DK"/>
      </w:rPr>
      <w:t>)</w:t>
    </w:r>
    <w:r w:rsidR="00AD7F06">
      <w:rPr>
        <w:lang w:val="da-DK"/>
      </w:rPr>
      <w:t>05</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586FE2">
      <w:rPr>
        <w:noProof/>
        <w:szCs w:val="16"/>
        <w:lang w:val="da-DK"/>
      </w:rPr>
      <w:t>7</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97" w:rsidRDefault="00AF45D8">
    <w:pPr>
      <w:pStyle w:val="Header"/>
    </w:pPr>
    <w:r>
      <w:rPr>
        <w:noProof/>
        <w:szCs w:val="20"/>
        <w:lang w:val="da-DK" w:eastAsia="da-DK"/>
      </w:rPr>
      <w:drawing>
        <wp:anchor distT="0" distB="0" distL="114300" distR="114300" simplePos="0" relativeHeight="251657728" behindDoc="0" locked="0" layoutInCell="1" allowOverlap="1" wp14:anchorId="619D7000" wp14:editId="6FDE9E11">
          <wp:simplePos x="0" y="0"/>
          <wp:positionH relativeFrom="page">
            <wp:posOffset>5717540</wp:posOffset>
          </wp:positionH>
          <wp:positionV relativeFrom="page">
            <wp:posOffset>648335</wp:posOffset>
          </wp:positionV>
          <wp:extent cx="1461770" cy="546100"/>
          <wp:effectExtent l="0" t="0" r="5080" b="6350"/>
          <wp:wrapNone/>
          <wp:docPr id="10" name="Bild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56704" behindDoc="0" locked="0" layoutInCell="1" allowOverlap="1" wp14:anchorId="4A62EBDC" wp14:editId="4FFF3029">
          <wp:simplePos x="0" y="0"/>
          <wp:positionH relativeFrom="page">
            <wp:posOffset>572770</wp:posOffset>
          </wp:positionH>
          <wp:positionV relativeFrom="page">
            <wp:posOffset>457200</wp:posOffset>
          </wp:positionV>
          <wp:extent cx="889000" cy="889000"/>
          <wp:effectExtent l="0" t="0" r="6350" b="6350"/>
          <wp:wrapNone/>
          <wp:docPr id="11" name="Bild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1E7B006F"/>
    <w:multiLevelType w:val="hybridMultilevel"/>
    <w:tmpl w:val="ECA40F34"/>
    <w:lvl w:ilvl="0" w:tplc="85B4D93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F4E0E54"/>
    <w:multiLevelType w:val="multilevel"/>
    <w:tmpl w:val="294220AC"/>
    <w:numStyleLink w:val="Letteredlist0"/>
  </w:abstractNum>
  <w:abstractNum w:abstractNumId="4">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5">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3EC133EC"/>
    <w:multiLevelType w:val="singleLevel"/>
    <w:tmpl w:val="662C0A70"/>
    <w:lvl w:ilvl="0">
      <w:start w:val="1"/>
      <w:numFmt w:val="decimal"/>
      <w:lvlText w:val="%1."/>
      <w:legacy w:legacy="1" w:legacySpace="0" w:legacyIndent="450"/>
      <w:lvlJc w:val="left"/>
      <w:pPr>
        <w:ind w:left="450" w:hanging="450"/>
      </w:pPr>
      <w:rPr>
        <w:rFonts w:ascii="Times New Roman" w:hAnsi="Times New Roman" w:cs="Times New Roman"/>
      </w:rPr>
    </w:lvl>
  </w:abstractNum>
  <w:abstractNum w:abstractNumId="9">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9FE5E53"/>
    <w:multiLevelType w:val="hybridMultilevel"/>
    <w:tmpl w:val="CCFA2A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640B4532"/>
    <w:multiLevelType w:val="hybridMultilevel"/>
    <w:tmpl w:val="806E9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210896"/>
    <w:multiLevelType w:val="singleLevel"/>
    <w:tmpl w:val="C090CE9E"/>
    <w:lvl w:ilvl="0">
      <w:start w:val="1"/>
      <w:numFmt w:val="decimal"/>
      <w:lvlText w:val="%1"/>
      <w:lvlJc w:val="left"/>
      <w:pPr>
        <w:tabs>
          <w:tab w:val="num" w:pos="360"/>
        </w:tabs>
        <w:ind w:left="360" w:hanging="360"/>
      </w:pPr>
      <w:rPr>
        <w:rFonts w:hint="default"/>
      </w:rPr>
    </w:lvl>
  </w:abstractNum>
  <w:abstractNum w:abstractNumId="1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CE23401"/>
    <w:multiLevelType w:val="singleLevel"/>
    <w:tmpl w:val="08090017"/>
    <w:lvl w:ilvl="0">
      <w:start w:val="1"/>
      <w:numFmt w:val="lowerLetter"/>
      <w:lvlText w:val="%1)"/>
      <w:legacy w:legacy="1" w:legacySpace="0" w:legacyIndent="360"/>
      <w:lvlJc w:val="left"/>
      <w:pPr>
        <w:ind w:left="360" w:hanging="360"/>
      </w:pPr>
      <w:rPr>
        <w:rFonts w:ascii="Times New Roman" w:hAnsi="Times New Roman" w:cs="Times New Roman"/>
      </w:rPr>
    </w:lvl>
  </w:abstractNum>
  <w:num w:numId="1">
    <w:abstractNumId w:val="7"/>
  </w:num>
  <w:num w:numId="2">
    <w:abstractNumId w:val="15"/>
  </w:num>
  <w:num w:numId="3">
    <w:abstractNumId w:val="11"/>
  </w:num>
  <w:num w:numId="4">
    <w:abstractNumId w:val="2"/>
  </w:num>
  <w:num w:numId="5">
    <w:abstractNumId w:val="3"/>
  </w:num>
  <w:num w:numId="6">
    <w:abstractNumId w:val="5"/>
  </w:num>
  <w:num w:numId="7">
    <w:abstractNumId w:val="4"/>
  </w:num>
  <w:num w:numId="8">
    <w:abstractNumId w:val="10"/>
  </w:num>
  <w:num w:numId="9">
    <w:abstractNumId w:val="9"/>
  </w:num>
  <w:num w:numId="10">
    <w:abstractNumId w:val="6"/>
  </w:num>
  <w:num w:numId="11">
    <w:abstractNumId w:val="10"/>
    <w:lvlOverride w:ilvl="0">
      <w:startOverride w:val="1"/>
    </w:lvlOverride>
  </w:num>
  <w:num w:numId="12">
    <w:abstractNumId w:val="0"/>
  </w:num>
  <w:num w:numId="13">
    <w:abstractNumId w:val="14"/>
  </w:num>
  <w:num w:numId="14">
    <w:abstractNumId w:val="16"/>
  </w:num>
  <w:num w:numId="15">
    <w:abstractNumId w:val="13"/>
  </w:num>
  <w:num w:numId="16">
    <w:abstractNumId w:val="8"/>
  </w:num>
  <w:num w:numId="17">
    <w:abstractNumId w:val="6"/>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90"/>
    <w:rsid w:val="00003336"/>
    <w:rsid w:val="00005441"/>
    <w:rsid w:val="00024F49"/>
    <w:rsid w:val="0003322C"/>
    <w:rsid w:val="00046E78"/>
    <w:rsid w:val="00050F0D"/>
    <w:rsid w:val="00057303"/>
    <w:rsid w:val="000622AD"/>
    <w:rsid w:val="000679F8"/>
    <w:rsid w:val="00071290"/>
    <w:rsid w:val="00083295"/>
    <w:rsid w:val="000B493E"/>
    <w:rsid w:val="000D222A"/>
    <w:rsid w:val="000D583F"/>
    <w:rsid w:val="000E2439"/>
    <w:rsid w:val="000F2733"/>
    <w:rsid w:val="001010E4"/>
    <w:rsid w:val="0011709F"/>
    <w:rsid w:val="00122370"/>
    <w:rsid w:val="0013221C"/>
    <w:rsid w:val="00135660"/>
    <w:rsid w:val="00160E8A"/>
    <w:rsid w:val="001730B8"/>
    <w:rsid w:val="00177117"/>
    <w:rsid w:val="0018333C"/>
    <w:rsid w:val="00184702"/>
    <w:rsid w:val="001861ED"/>
    <w:rsid w:val="00190CA8"/>
    <w:rsid w:val="001C3274"/>
    <w:rsid w:val="001C4F66"/>
    <w:rsid w:val="001D3D67"/>
    <w:rsid w:val="001E2556"/>
    <w:rsid w:val="001E3311"/>
    <w:rsid w:val="00215A37"/>
    <w:rsid w:val="002238C2"/>
    <w:rsid w:val="0023286C"/>
    <w:rsid w:val="002417A3"/>
    <w:rsid w:val="00246B39"/>
    <w:rsid w:val="00246D0F"/>
    <w:rsid w:val="002617AA"/>
    <w:rsid w:val="00266B04"/>
    <w:rsid w:val="00271453"/>
    <w:rsid w:val="002724FB"/>
    <w:rsid w:val="00282983"/>
    <w:rsid w:val="00286676"/>
    <w:rsid w:val="00287946"/>
    <w:rsid w:val="002923FD"/>
    <w:rsid w:val="002A4768"/>
    <w:rsid w:val="002A6FB3"/>
    <w:rsid w:val="002B1DAD"/>
    <w:rsid w:val="002B1EB4"/>
    <w:rsid w:val="002D09C8"/>
    <w:rsid w:val="002D5289"/>
    <w:rsid w:val="002D75F2"/>
    <w:rsid w:val="002E70A6"/>
    <w:rsid w:val="00301CF3"/>
    <w:rsid w:val="00320075"/>
    <w:rsid w:val="003253E0"/>
    <w:rsid w:val="0033014C"/>
    <w:rsid w:val="00334518"/>
    <w:rsid w:val="00353A9C"/>
    <w:rsid w:val="003614E4"/>
    <w:rsid w:val="003735C0"/>
    <w:rsid w:val="003823B3"/>
    <w:rsid w:val="00387FC6"/>
    <w:rsid w:val="003A556E"/>
    <w:rsid w:val="003B41E0"/>
    <w:rsid w:val="003B509B"/>
    <w:rsid w:val="003C50AC"/>
    <w:rsid w:val="003C62E7"/>
    <w:rsid w:val="003D32E0"/>
    <w:rsid w:val="003D66CB"/>
    <w:rsid w:val="003E21F1"/>
    <w:rsid w:val="003E4AC0"/>
    <w:rsid w:val="00404605"/>
    <w:rsid w:val="00413532"/>
    <w:rsid w:val="00417943"/>
    <w:rsid w:val="0042267D"/>
    <w:rsid w:val="0044132C"/>
    <w:rsid w:val="00463661"/>
    <w:rsid w:val="004646D8"/>
    <w:rsid w:val="00472ED8"/>
    <w:rsid w:val="00473FDA"/>
    <w:rsid w:val="0047703D"/>
    <w:rsid w:val="004829D1"/>
    <w:rsid w:val="00482CCC"/>
    <w:rsid w:val="00487246"/>
    <w:rsid w:val="00492C38"/>
    <w:rsid w:val="004A796B"/>
    <w:rsid w:val="004C2C73"/>
    <w:rsid w:val="004D408D"/>
    <w:rsid w:val="004E1ADB"/>
    <w:rsid w:val="00503467"/>
    <w:rsid w:val="00510C12"/>
    <w:rsid w:val="00511C78"/>
    <w:rsid w:val="00522E00"/>
    <w:rsid w:val="00530BD7"/>
    <w:rsid w:val="005319AE"/>
    <w:rsid w:val="00586FE2"/>
    <w:rsid w:val="005874BB"/>
    <w:rsid w:val="00587E0B"/>
    <w:rsid w:val="00593F4D"/>
    <w:rsid w:val="005A5F78"/>
    <w:rsid w:val="005D0431"/>
    <w:rsid w:val="005E148C"/>
    <w:rsid w:val="005E6197"/>
    <w:rsid w:val="005F784E"/>
    <w:rsid w:val="00605376"/>
    <w:rsid w:val="00612D7F"/>
    <w:rsid w:val="00612FC6"/>
    <w:rsid w:val="0062374D"/>
    <w:rsid w:val="00630DF1"/>
    <w:rsid w:val="00635338"/>
    <w:rsid w:val="006418CD"/>
    <w:rsid w:val="00663D25"/>
    <w:rsid w:val="00671650"/>
    <w:rsid w:val="00672371"/>
    <w:rsid w:val="006735A9"/>
    <w:rsid w:val="00674523"/>
    <w:rsid w:val="00687B94"/>
    <w:rsid w:val="006B4C68"/>
    <w:rsid w:val="006C0648"/>
    <w:rsid w:val="006C1AAC"/>
    <w:rsid w:val="006D14A1"/>
    <w:rsid w:val="006E131B"/>
    <w:rsid w:val="006E310F"/>
    <w:rsid w:val="00701325"/>
    <w:rsid w:val="0071780F"/>
    <w:rsid w:val="00717993"/>
    <w:rsid w:val="00725D33"/>
    <w:rsid w:val="00753418"/>
    <w:rsid w:val="0076112C"/>
    <w:rsid w:val="0076147D"/>
    <w:rsid w:val="00765F3F"/>
    <w:rsid w:val="007769DC"/>
    <w:rsid w:val="007908CB"/>
    <w:rsid w:val="00793F60"/>
    <w:rsid w:val="00796739"/>
    <w:rsid w:val="007A414F"/>
    <w:rsid w:val="007B6B15"/>
    <w:rsid w:val="007C4E4E"/>
    <w:rsid w:val="007D41A6"/>
    <w:rsid w:val="007E304E"/>
    <w:rsid w:val="007E7E29"/>
    <w:rsid w:val="007F2233"/>
    <w:rsid w:val="0080194D"/>
    <w:rsid w:val="00814A3E"/>
    <w:rsid w:val="00815891"/>
    <w:rsid w:val="00815E71"/>
    <w:rsid w:val="0081752D"/>
    <w:rsid w:val="00825FEA"/>
    <w:rsid w:val="008449BF"/>
    <w:rsid w:val="00857230"/>
    <w:rsid w:val="00862E7F"/>
    <w:rsid w:val="00865548"/>
    <w:rsid w:val="008656AE"/>
    <w:rsid w:val="008B3406"/>
    <w:rsid w:val="008D72FB"/>
    <w:rsid w:val="008D7407"/>
    <w:rsid w:val="008F1172"/>
    <w:rsid w:val="008F148E"/>
    <w:rsid w:val="008F1BD6"/>
    <w:rsid w:val="008F2334"/>
    <w:rsid w:val="00913EC3"/>
    <w:rsid w:val="00917108"/>
    <w:rsid w:val="00934A23"/>
    <w:rsid w:val="00937F2F"/>
    <w:rsid w:val="0094666C"/>
    <w:rsid w:val="00954A08"/>
    <w:rsid w:val="00973CEA"/>
    <w:rsid w:val="00993BBB"/>
    <w:rsid w:val="009A1181"/>
    <w:rsid w:val="009A321B"/>
    <w:rsid w:val="009B0A89"/>
    <w:rsid w:val="009B11A3"/>
    <w:rsid w:val="009B4BC9"/>
    <w:rsid w:val="009D3EC3"/>
    <w:rsid w:val="009E0F0B"/>
    <w:rsid w:val="009E38C6"/>
    <w:rsid w:val="009E687E"/>
    <w:rsid w:val="009E72B4"/>
    <w:rsid w:val="009F27D2"/>
    <w:rsid w:val="00A219FC"/>
    <w:rsid w:val="00A436CC"/>
    <w:rsid w:val="00A5546A"/>
    <w:rsid w:val="00A56C58"/>
    <w:rsid w:val="00A64E98"/>
    <w:rsid w:val="00A84498"/>
    <w:rsid w:val="00AA121E"/>
    <w:rsid w:val="00AA7DDA"/>
    <w:rsid w:val="00AB4B4D"/>
    <w:rsid w:val="00AB5CE0"/>
    <w:rsid w:val="00AD1434"/>
    <w:rsid w:val="00AD7F06"/>
    <w:rsid w:val="00AE0CAD"/>
    <w:rsid w:val="00AE0CC7"/>
    <w:rsid w:val="00AE326E"/>
    <w:rsid w:val="00AE4D71"/>
    <w:rsid w:val="00AF45D8"/>
    <w:rsid w:val="00B02C9E"/>
    <w:rsid w:val="00B550F7"/>
    <w:rsid w:val="00B8531B"/>
    <w:rsid w:val="00B86503"/>
    <w:rsid w:val="00B90CC7"/>
    <w:rsid w:val="00BA1C9C"/>
    <w:rsid w:val="00BA4633"/>
    <w:rsid w:val="00BA7DB1"/>
    <w:rsid w:val="00BC1D15"/>
    <w:rsid w:val="00BC2CE2"/>
    <w:rsid w:val="00BC2F35"/>
    <w:rsid w:val="00BD59AE"/>
    <w:rsid w:val="00BE0EB5"/>
    <w:rsid w:val="00C05A92"/>
    <w:rsid w:val="00C52060"/>
    <w:rsid w:val="00C5753D"/>
    <w:rsid w:val="00C6405B"/>
    <w:rsid w:val="00C744D3"/>
    <w:rsid w:val="00C77BEF"/>
    <w:rsid w:val="00C93A04"/>
    <w:rsid w:val="00C97756"/>
    <w:rsid w:val="00CA631C"/>
    <w:rsid w:val="00CA6527"/>
    <w:rsid w:val="00CB5AAE"/>
    <w:rsid w:val="00CC170F"/>
    <w:rsid w:val="00CD6318"/>
    <w:rsid w:val="00CF3FA2"/>
    <w:rsid w:val="00D2211D"/>
    <w:rsid w:val="00D223E7"/>
    <w:rsid w:val="00D26120"/>
    <w:rsid w:val="00D4299A"/>
    <w:rsid w:val="00D45224"/>
    <w:rsid w:val="00D54831"/>
    <w:rsid w:val="00D55111"/>
    <w:rsid w:val="00D666C6"/>
    <w:rsid w:val="00D66DD8"/>
    <w:rsid w:val="00D804A4"/>
    <w:rsid w:val="00D94618"/>
    <w:rsid w:val="00DA4B01"/>
    <w:rsid w:val="00DB25C6"/>
    <w:rsid w:val="00DB4081"/>
    <w:rsid w:val="00DD7231"/>
    <w:rsid w:val="00DF4925"/>
    <w:rsid w:val="00E32EFC"/>
    <w:rsid w:val="00E400E8"/>
    <w:rsid w:val="00E43932"/>
    <w:rsid w:val="00E450A5"/>
    <w:rsid w:val="00E46E90"/>
    <w:rsid w:val="00E67550"/>
    <w:rsid w:val="00E7495D"/>
    <w:rsid w:val="00E76E7D"/>
    <w:rsid w:val="00E81730"/>
    <w:rsid w:val="00E902F3"/>
    <w:rsid w:val="00EB1D86"/>
    <w:rsid w:val="00EB44CB"/>
    <w:rsid w:val="00EE0F44"/>
    <w:rsid w:val="00EF234F"/>
    <w:rsid w:val="00F02A54"/>
    <w:rsid w:val="00F07F15"/>
    <w:rsid w:val="00F332F4"/>
    <w:rsid w:val="00F40E07"/>
    <w:rsid w:val="00F6414E"/>
    <w:rsid w:val="00F648AC"/>
    <w:rsid w:val="00F71552"/>
    <w:rsid w:val="00F8084A"/>
    <w:rsid w:val="00F96B34"/>
    <w:rsid w:val="00FB0750"/>
    <w:rsid w:val="00FB7A7A"/>
    <w:rsid w:val="00FC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link w:val="Heading1Char"/>
    <w:autoRedefine/>
    <w:uiPriority w:val="9"/>
    <w:qFormat/>
    <w:rsid w:val="00FE1795"/>
    <w:pPr>
      <w:keepNext/>
      <w:pageBreakBefore/>
      <w:spacing w:before="400" w:after="240"/>
      <w:outlineLvl w:val="0"/>
    </w:pPr>
    <w:rPr>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character" w:customStyle="1" w:styleId="Heading1Char">
    <w:name w:val="Heading 1 Char"/>
    <w:aliases w:val="ECC Heading 1 Char"/>
    <w:link w:val="Heading1"/>
    <w:uiPriority w:val="9"/>
    <w:rsid w:val="00E46E90"/>
    <w:rPr>
      <w:rFonts w:ascii="Arial" w:hAnsi="Arial" w:cs="Arial"/>
      <w:b/>
      <w:bCs/>
      <w:caps/>
      <w:color w:val="D2232A"/>
      <w:kern w:val="32"/>
      <w:szCs w:val="32"/>
      <w:lang w:val="en-GB" w:eastAsia="en-US"/>
    </w:rPr>
  </w:style>
  <w:style w:type="paragraph" w:styleId="BodyTextIndent3">
    <w:name w:val="Body Text Indent 3"/>
    <w:basedOn w:val="Normal"/>
    <w:link w:val="BodyTextIndent3Char"/>
    <w:uiPriority w:val="99"/>
    <w:rsid w:val="00E46E90"/>
    <w:pPr>
      <w:tabs>
        <w:tab w:val="left" w:pos="851"/>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autoSpaceDE w:val="0"/>
      <w:autoSpaceDN w:val="0"/>
      <w:ind w:left="284"/>
      <w:jc w:val="both"/>
    </w:pPr>
    <w:rPr>
      <w:rFonts w:ascii="Times New Roman" w:hAnsi="Times New Roman"/>
      <w:szCs w:val="20"/>
      <w:lang w:val="en-GB" w:eastAsia="x-none"/>
    </w:rPr>
  </w:style>
  <w:style w:type="character" w:customStyle="1" w:styleId="BodyTextIndent3Char">
    <w:name w:val="Body Text Indent 3 Char"/>
    <w:link w:val="BodyTextIndent3"/>
    <w:uiPriority w:val="99"/>
    <w:rsid w:val="00E46E90"/>
    <w:rPr>
      <w:rFonts w:eastAsia="Times New Roman"/>
      <w:lang w:val="en-GB"/>
    </w:rPr>
  </w:style>
  <w:style w:type="paragraph" w:styleId="BodyText">
    <w:name w:val="Body Text"/>
    <w:basedOn w:val="Normal"/>
    <w:link w:val="BodyTextChar"/>
    <w:uiPriority w:val="99"/>
    <w:semiHidden/>
    <w:unhideWhenUsed/>
    <w:rsid w:val="00E46E90"/>
    <w:pPr>
      <w:spacing w:after="120"/>
    </w:pPr>
  </w:style>
  <w:style w:type="character" w:customStyle="1" w:styleId="BodyTextChar">
    <w:name w:val="Body Text Char"/>
    <w:link w:val="BodyText"/>
    <w:uiPriority w:val="99"/>
    <w:semiHidden/>
    <w:rsid w:val="00E46E90"/>
    <w:rPr>
      <w:rFonts w:ascii="Arial" w:hAnsi="Arial"/>
      <w:szCs w:val="24"/>
      <w:lang w:val="en-US" w:eastAsia="en-US"/>
    </w:rPr>
  </w:style>
  <w:style w:type="paragraph" w:styleId="BalloonText">
    <w:name w:val="Balloon Text"/>
    <w:basedOn w:val="Normal"/>
    <w:semiHidden/>
    <w:rsid w:val="002D09C8"/>
    <w:rPr>
      <w:rFonts w:ascii="Tahoma" w:hAnsi="Tahoma" w:cs="Tahoma"/>
      <w:sz w:val="16"/>
      <w:szCs w:val="16"/>
    </w:rPr>
  </w:style>
  <w:style w:type="character" w:styleId="CommentReference">
    <w:name w:val="annotation reference"/>
    <w:semiHidden/>
    <w:rsid w:val="009E0F0B"/>
    <w:rPr>
      <w:sz w:val="16"/>
      <w:szCs w:val="16"/>
    </w:rPr>
  </w:style>
  <w:style w:type="paragraph" w:styleId="CommentText">
    <w:name w:val="annotation text"/>
    <w:basedOn w:val="Normal"/>
    <w:semiHidden/>
    <w:rsid w:val="009E0F0B"/>
    <w:rPr>
      <w:szCs w:val="20"/>
    </w:rPr>
  </w:style>
  <w:style w:type="paragraph" w:styleId="CommentSubject">
    <w:name w:val="annotation subject"/>
    <w:basedOn w:val="CommentText"/>
    <w:next w:val="CommentText"/>
    <w:semiHidden/>
    <w:rsid w:val="009E0F0B"/>
    <w:rPr>
      <w:b/>
      <w:bCs/>
    </w:rPr>
  </w:style>
  <w:style w:type="character" w:customStyle="1" w:styleId="highlight">
    <w:name w:val="highlight"/>
    <w:rsid w:val="00246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link w:val="Heading1Char"/>
    <w:autoRedefine/>
    <w:uiPriority w:val="9"/>
    <w:qFormat/>
    <w:rsid w:val="00FE1795"/>
    <w:pPr>
      <w:keepNext/>
      <w:pageBreakBefore/>
      <w:spacing w:before="400" w:after="240"/>
      <w:outlineLvl w:val="0"/>
    </w:pPr>
    <w:rPr>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character" w:customStyle="1" w:styleId="Heading1Char">
    <w:name w:val="Heading 1 Char"/>
    <w:aliases w:val="ECC Heading 1 Char"/>
    <w:link w:val="Heading1"/>
    <w:uiPriority w:val="9"/>
    <w:rsid w:val="00E46E90"/>
    <w:rPr>
      <w:rFonts w:ascii="Arial" w:hAnsi="Arial" w:cs="Arial"/>
      <w:b/>
      <w:bCs/>
      <w:caps/>
      <w:color w:val="D2232A"/>
      <w:kern w:val="32"/>
      <w:szCs w:val="32"/>
      <w:lang w:val="en-GB" w:eastAsia="en-US"/>
    </w:rPr>
  </w:style>
  <w:style w:type="paragraph" w:styleId="BodyTextIndent3">
    <w:name w:val="Body Text Indent 3"/>
    <w:basedOn w:val="Normal"/>
    <w:link w:val="BodyTextIndent3Char"/>
    <w:uiPriority w:val="99"/>
    <w:rsid w:val="00E46E90"/>
    <w:pPr>
      <w:tabs>
        <w:tab w:val="left" w:pos="851"/>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autoSpaceDE w:val="0"/>
      <w:autoSpaceDN w:val="0"/>
      <w:ind w:left="284"/>
      <w:jc w:val="both"/>
    </w:pPr>
    <w:rPr>
      <w:rFonts w:ascii="Times New Roman" w:hAnsi="Times New Roman"/>
      <w:szCs w:val="20"/>
      <w:lang w:val="en-GB" w:eastAsia="x-none"/>
    </w:rPr>
  </w:style>
  <w:style w:type="character" w:customStyle="1" w:styleId="BodyTextIndent3Char">
    <w:name w:val="Body Text Indent 3 Char"/>
    <w:link w:val="BodyTextIndent3"/>
    <w:uiPriority w:val="99"/>
    <w:rsid w:val="00E46E90"/>
    <w:rPr>
      <w:rFonts w:eastAsia="Times New Roman"/>
      <w:lang w:val="en-GB"/>
    </w:rPr>
  </w:style>
  <w:style w:type="paragraph" w:styleId="BodyText">
    <w:name w:val="Body Text"/>
    <w:basedOn w:val="Normal"/>
    <w:link w:val="BodyTextChar"/>
    <w:uiPriority w:val="99"/>
    <w:semiHidden/>
    <w:unhideWhenUsed/>
    <w:rsid w:val="00E46E90"/>
    <w:pPr>
      <w:spacing w:after="120"/>
    </w:pPr>
  </w:style>
  <w:style w:type="character" w:customStyle="1" w:styleId="BodyTextChar">
    <w:name w:val="Body Text Char"/>
    <w:link w:val="BodyText"/>
    <w:uiPriority w:val="99"/>
    <w:semiHidden/>
    <w:rsid w:val="00E46E90"/>
    <w:rPr>
      <w:rFonts w:ascii="Arial" w:hAnsi="Arial"/>
      <w:szCs w:val="24"/>
      <w:lang w:val="en-US" w:eastAsia="en-US"/>
    </w:rPr>
  </w:style>
  <w:style w:type="paragraph" w:styleId="BalloonText">
    <w:name w:val="Balloon Text"/>
    <w:basedOn w:val="Normal"/>
    <w:semiHidden/>
    <w:rsid w:val="002D09C8"/>
    <w:rPr>
      <w:rFonts w:ascii="Tahoma" w:hAnsi="Tahoma" w:cs="Tahoma"/>
      <w:sz w:val="16"/>
      <w:szCs w:val="16"/>
    </w:rPr>
  </w:style>
  <w:style w:type="character" w:styleId="CommentReference">
    <w:name w:val="annotation reference"/>
    <w:semiHidden/>
    <w:rsid w:val="009E0F0B"/>
    <w:rPr>
      <w:sz w:val="16"/>
      <w:szCs w:val="16"/>
    </w:rPr>
  </w:style>
  <w:style w:type="paragraph" w:styleId="CommentText">
    <w:name w:val="annotation text"/>
    <w:basedOn w:val="Normal"/>
    <w:semiHidden/>
    <w:rsid w:val="009E0F0B"/>
    <w:rPr>
      <w:szCs w:val="20"/>
    </w:rPr>
  </w:style>
  <w:style w:type="paragraph" w:styleId="CommentSubject">
    <w:name w:val="annotation subject"/>
    <w:basedOn w:val="CommentText"/>
    <w:next w:val="CommentText"/>
    <w:semiHidden/>
    <w:rsid w:val="009E0F0B"/>
    <w:rPr>
      <w:b/>
      <w:bCs/>
    </w:rPr>
  </w:style>
  <w:style w:type="character" w:customStyle="1" w:styleId="highlight">
    <w:name w:val="highlight"/>
    <w:rsid w:val="0024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670">
      <w:bodyDiv w:val="1"/>
      <w:marLeft w:val="0"/>
      <w:marRight w:val="0"/>
      <w:marTop w:val="0"/>
      <w:marBottom w:val="0"/>
      <w:divBdr>
        <w:top w:val="none" w:sz="0" w:space="0" w:color="auto"/>
        <w:left w:val="none" w:sz="0" w:space="0" w:color="auto"/>
        <w:bottom w:val="none" w:sz="0" w:space="0" w:color="auto"/>
        <w:right w:val="none" w:sz="0" w:space="0" w:color="auto"/>
      </w:divBdr>
    </w:div>
    <w:div w:id="248661101">
      <w:bodyDiv w:val="1"/>
      <w:marLeft w:val="0"/>
      <w:marRight w:val="0"/>
      <w:marTop w:val="0"/>
      <w:marBottom w:val="0"/>
      <w:divBdr>
        <w:top w:val="none" w:sz="0" w:space="0" w:color="auto"/>
        <w:left w:val="none" w:sz="0" w:space="0" w:color="auto"/>
        <w:bottom w:val="none" w:sz="0" w:space="0" w:color="auto"/>
        <w:right w:val="none" w:sz="0" w:space="0" w:color="auto"/>
      </w:divBdr>
    </w:div>
    <w:div w:id="297534373">
      <w:bodyDiv w:val="1"/>
      <w:marLeft w:val="0"/>
      <w:marRight w:val="0"/>
      <w:marTop w:val="0"/>
      <w:marBottom w:val="0"/>
      <w:divBdr>
        <w:top w:val="none" w:sz="0" w:space="0" w:color="auto"/>
        <w:left w:val="none" w:sz="0" w:space="0" w:color="auto"/>
        <w:bottom w:val="none" w:sz="0" w:space="0" w:color="auto"/>
        <w:right w:val="none" w:sz="0" w:space="0" w:color="auto"/>
      </w:divBdr>
      <w:divsChild>
        <w:div w:id="816605714">
          <w:marLeft w:val="0"/>
          <w:marRight w:val="0"/>
          <w:marTop w:val="0"/>
          <w:marBottom w:val="0"/>
          <w:divBdr>
            <w:top w:val="none" w:sz="0" w:space="0" w:color="auto"/>
            <w:left w:val="none" w:sz="0" w:space="0" w:color="auto"/>
            <w:bottom w:val="none" w:sz="0" w:space="0" w:color="auto"/>
            <w:right w:val="none" w:sz="0" w:space="0" w:color="auto"/>
          </w:divBdr>
        </w:div>
        <w:div w:id="1587836764">
          <w:marLeft w:val="0"/>
          <w:marRight w:val="0"/>
          <w:marTop w:val="0"/>
          <w:marBottom w:val="0"/>
          <w:divBdr>
            <w:top w:val="none" w:sz="0" w:space="0" w:color="auto"/>
            <w:left w:val="none" w:sz="0" w:space="0" w:color="auto"/>
            <w:bottom w:val="none" w:sz="0" w:space="0" w:color="auto"/>
            <w:right w:val="none" w:sz="0" w:space="0" w:color="auto"/>
          </w:divBdr>
        </w:div>
        <w:div w:id="1786927241">
          <w:marLeft w:val="0"/>
          <w:marRight w:val="0"/>
          <w:marTop w:val="0"/>
          <w:marBottom w:val="0"/>
          <w:divBdr>
            <w:top w:val="none" w:sz="0" w:space="0" w:color="auto"/>
            <w:left w:val="none" w:sz="0" w:space="0" w:color="auto"/>
            <w:bottom w:val="none" w:sz="0" w:space="0" w:color="auto"/>
            <w:right w:val="none" w:sz="0" w:space="0" w:color="auto"/>
          </w:divBdr>
        </w:div>
      </w:divsChild>
    </w:div>
    <w:div w:id="683869496">
      <w:bodyDiv w:val="1"/>
      <w:marLeft w:val="0"/>
      <w:marRight w:val="0"/>
      <w:marTop w:val="0"/>
      <w:marBottom w:val="0"/>
      <w:divBdr>
        <w:top w:val="none" w:sz="0" w:space="0" w:color="auto"/>
        <w:left w:val="none" w:sz="0" w:space="0" w:color="auto"/>
        <w:bottom w:val="none" w:sz="0" w:space="0" w:color="auto"/>
        <w:right w:val="none" w:sz="0" w:space="0" w:color="auto"/>
      </w:divBdr>
      <w:divsChild>
        <w:div w:id="327827873">
          <w:marLeft w:val="0"/>
          <w:marRight w:val="0"/>
          <w:marTop w:val="0"/>
          <w:marBottom w:val="0"/>
          <w:divBdr>
            <w:top w:val="none" w:sz="0" w:space="0" w:color="auto"/>
            <w:left w:val="none" w:sz="0" w:space="0" w:color="auto"/>
            <w:bottom w:val="none" w:sz="0" w:space="0" w:color="auto"/>
            <w:right w:val="none" w:sz="0" w:space="0" w:color="auto"/>
          </w:divBdr>
        </w:div>
        <w:div w:id="351616893">
          <w:marLeft w:val="0"/>
          <w:marRight w:val="0"/>
          <w:marTop w:val="0"/>
          <w:marBottom w:val="0"/>
          <w:divBdr>
            <w:top w:val="none" w:sz="0" w:space="0" w:color="auto"/>
            <w:left w:val="none" w:sz="0" w:space="0" w:color="auto"/>
            <w:bottom w:val="none" w:sz="0" w:space="0" w:color="auto"/>
            <w:right w:val="none" w:sz="0" w:space="0" w:color="auto"/>
          </w:divBdr>
        </w:div>
        <w:div w:id="367029577">
          <w:marLeft w:val="0"/>
          <w:marRight w:val="0"/>
          <w:marTop w:val="0"/>
          <w:marBottom w:val="0"/>
          <w:divBdr>
            <w:top w:val="none" w:sz="0" w:space="0" w:color="auto"/>
            <w:left w:val="none" w:sz="0" w:space="0" w:color="auto"/>
            <w:bottom w:val="none" w:sz="0" w:space="0" w:color="auto"/>
            <w:right w:val="none" w:sz="0" w:space="0" w:color="auto"/>
          </w:divBdr>
        </w:div>
        <w:div w:id="599607419">
          <w:marLeft w:val="0"/>
          <w:marRight w:val="0"/>
          <w:marTop w:val="0"/>
          <w:marBottom w:val="0"/>
          <w:divBdr>
            <w:top w:val="none" w:sz="0" w:space="0" w:color="auto"/>
            <w:left w:val="none" w:sz="0" w:space="0" w:color="auto"/>
            <w:bottom w:val="none" w:sz="0" w:space="0" w:color="auto"/>
            <w:right w:val="none" w:sz="0" w:space="0" w:color="auto"/>
          </w:divBdr>
        </w:div>
        <w:div w:id="716975003">
          <w:marLeft w:val="0"/>
          <w:marRight w:val="0"/>
          <w:marTop w:val="0"/>
          <w:marBottom w:val="0"/>
          <w:divBdr>
            <w:top w:val="none" w:sz="0" w:space="0" w:color="auto"/>
            <w:left w:val="none" w:sz="0" w:space="0" w:color="auto"/>
            <w:bottom w:val="none" w:sz="0" w:space="0" w:color="auto"/>
            <w:right w:val="none" w:sz="0" w:space="0" w:color="auto"/>
          </w:divBdr>
        </w:div>
        <w:div w:id="792214600">
          <w:marLeft w:val="0"/>
          <w:marRight w:val="0"/>
          <w:marTop w:val="0"/>
          <w:marBottom w:val="0"/>
          <w:divBdr>
            <w:top w:val="none" w:sz="0" w:space="0" w:color="auto"/>
            <w:left w:val="none" w:sz="0" w:space="0" w:color="auto"/>
            <w:bottom w:val="none" w:sz="0" w:space="0" w:color="auto"/>
            <w:right w:val="none" w:sz="0" w:space="0" w:color="auto"/>
          </w:divBdr>
        </w:div>
        <w:div w:id="802189167">
          <w:marLeft w:val="0"/>
          <w:marRight w:val="0"/>
          <w:marTop w:val="0"/>
          <w:marBottom w:val="0"/>
          <w:divBdr>
            <w:top w:val="none" w:sz="0" w:space="0" w:color="auto"/>
            <w:left w:val="none" w:sz="0" w:space="0" w:color="auto"/>
            <w:bottom w:val="none" w:sz="0" w:space="0" w:color="auto"/>
            <w:right w:val="none" w:sz="0" w:space="0" w:color="auto"/>
          </w:divBdr>
        </w:div>
        <w:div w:id="810633859">
          <w:marLeft w:val="0"/>
          <w:marRight w:val="0"/>
          <w:marTop w:val="0"/>
          <w:marBottom w:val="0"/>
          <w:divBdr>
            <w:top w:val="none" w:sz="0" w:space="0" w:color="auto"/>
            <w:left w:val="none" w:sz="0" w:space="0" w:color="auto"/>
            <w:bottom w:val="none" w:sz="0" w:space="0" w:color="auto"/>
            <w:right w:val="none" w:sz="0" w:space="0" w:color="auto"/>
          </w:divBdr>
        </w:div>
        <w:div w:id="923878361">
          <w:marLeft w:val="0"/>
          <w:marRight w:val="0"/>
          <w:marTop w:val="0"/>
          <w:marBottom w:val="0"/>
          <w:divBdr>
            <w:top w:val="none" w:sz="0" w:space="0" w:color="auto"/>
            <w:left w:val="none" w:sz="0" w:space="0" w:color="auto"/>
            <w:bottom w:val="none" w:sz="0" w:space="0" w:color="auto"/>
            <w:right w:val="none" w:sz="0" w:space="0" w:color="auto"/>
          </w:divBdr>
        </w:div>
        <w:div w:id="1263805012">
          <w:marLeft w:val="0"/>
          <w:marRight w:val="0"/>
          <w:marTop w:val="0"/>
          <w:marBottom w:val="0"/>
          <w:divBdr>
            <w:top w:val="none" w:sz="0" w:space="0" w:color="auto"/>
            <w:left w:val="none" w:sz="0" w:space="0" w:color="auto"/>
            <w:bottom w:val="none" w:sz="0" w:space="0" w:color="auto"/>
            <w:right w:val="none" w:sz="0" w:space="0" w:color="auto"/>
          </w:divBdr>
        </w:div>
        <w:div w:id="1617906659">
          <w:marLeft w:val="0"/>
          <w:marRight w:val="0"/>
          <w:marTop w:val="0"/>
          <w:marBottom w:val="0"/>
          <w:divBdr>
            <w:top w:val="none" w:sz="0" w:space="0" w:color="auto"/>
            <w:left w:val="none" w:sz="0" w:space="0" w:color="auto"/>
            <w:bottom w:val="none" w:sz="0" w:space="0" w:color="auto"/>
            <w:right w:val="none" w:sz="0" w:space="0" w:color="auto"/>
          </w:divBdr>
        </w:div>
        <w:div w:id="1687823875">
          <w:marLeft w:val="0"/>
          <w:marRight w:val="0"/>
          <w:marTop w:val="0"/>
          <w:marBottom w:val="0"/>
          <w:divBdr>
            <w:top w:val="none" w:sz="0" w:space="0" w:color="auto"/>
            <w:left w:val="none" w:sz="0" w:space="0" w:color="auto"/>
            <w:bottom w:val="none" w:sz="0" w:space="0" w:color="auto"/>
            <w:right w:val="none" w:sz="0" w:space="0" w:color="auto"/>
          </w:divBdr>
        </w:div>
        <w:div w:id="1741714858">
          <w:marLeft w:val="0"/>
          <w:marRight w:val="0"/>
          <w:marTop w:val="0"/>
          <w:marBottom w:val="0"/>
          <w:divBdr>
            <w:top w:val="none" w:sz="0" w:space="0" w:color="auto"/>
            <w:left w:val="none" w:sz="0" w:space="0" w:color="auto"/>
            <w:bottom w:val="none" w:sz="0" w:space="0" w:color="auto"/>
            <w:right w:val="none" w:sz="0" w:space="0" w:color="auto"/>
          </w:divBdr>
        </w:div>
        <w:div w:id="1919248846">
          <w:marLeft w:val="0"/>
          <w:marRight w:val="0"/>
          <w:marTop w:val="0"/>
          <w:marBottom w:val="0"/>
          <w:divBdr>
            <w:top w:val="none" w:sz="0" w:space="0" w:color="auto"/>
            <w:left w:val="none" w:sz="0" w:space="0" w:color="auto"/>
            <w:bottom w:val="none" w:sz="0" w:space="0" w:color="auto"/>
            <w:right w:val="none" w:sz="0" w:space="0" w:color="auto"/>
          </w:divBdr>
        </w:div>
        <w:div w:id="1976524814">
          <w:marLeft w:val="0"/>
          <w:marRight w:val="0"/>
          <w:marTop w:val="0"/>
          <w:marBottom w:val="0"/>
          <w:divBdr>
            <w:top w:val="none" w:sz="0" w:space="0" w:color="auto"/>
            <w:left w:val="none" w:sz="0" w:space="0" w:color="auto"/>
            <w:bottom w:val="none" w:sz="0" w:space="0" w:color="auto"/>
            <w:right w:val="none" w:sz="0" w:space="0" w:color="auto"/>
          </w:divBdr>
        </w:div>
      </w:divsChild>
    </w:div>
    <w:div w:id="1307584268">
      <w:bodyDiv w:val="1"/>
      <w:marLeft w:val="0"/>
      <w:marRight w:val="0"/>
      <w:marTop w:val="0"/>
      <w:marBottom w:val="0"/>
      <w:divBdr>
        <w:top w:val="none" w:sz="0" w:space="0" w:color="auto"/>
        <w:left w:val="none" w:sz="0" w:space="0" w:color="auto"/>
        <w:bottom w:val="none" w:sz="0" w:space="0" w:color="auto"/>
        <w:right w:val="none" w:sz="0" w:space="0" w:color="auto"/>
      </w:divBdr>
      <w:divsChild>
        <w:div w:id="730230767">
          <w:marLeft w:val="0"/>
          <w:marRight w:val="0"/>
          <w:marTop w:val="0"/>
          <w:marBottom w:val="0"/>
          <w:divBdr>
            <w:top w:val="none" w:sz="0" w:space="0" w:color="auto"/>
            <w:left w:val="none" w:sz="0" w:space="0" w:color="auto"/>
            <w:bottom w:val="none" w:sz="0" w:space="0" w:color="auto"/>
            <w:right w:val="none" w:sz="0" w:space="0" w:color="auto"/>
          </w:divBdr>
          <w:divsChild>
            <w:div w:id="187256214">
              <w:marLeft w:val="0"/>
              <w:marRight w:val="0"/>
              <w:marTop w:val="0"/>
              <w:marBottom w:val="0"/>
              <w:divBdr>
                <w:top w:val="none" w:sz="0" w:space="0" w:color="auto"/>
                <w:left w:val="none" w:sz="0" w:space="0" w:color="auto"/>
                <w:bottom w:val="none" w:sz="0" w:space="0" w:color="auto"/>
                <w:right w:val="none" w:sz="0" w:space="0" w:color="auto"/>
              </w:divBdr>
            </w:div>
            <w:div w:id="301732457">
              <w:marLeft w:val="0"/>
              <w:marRight w:val="0"/>
              <w:marTop w:val="0"/>
              <w:marBottom w:val="0"/>
              <w:divBdr>
                <w:top w:val="none" w:sz="0" w:space="0" w:color="auto"/>
                <w:left w:val="none" w:sz="0" w:space="0" w:color="auto"/>
                <w:bottom w:val="none" w:sz="0" w:space="0" w:color="auto"/>
                <w:right w:val="none" w:sz="0" w:space="0" w:color="auto"/>
              </w:divBdr>
            </w:div>
            <w:div w:id="497888397">
              <w:marLeft w:val="0"/>
              <w:marRight w:val="0"/>
              <w:marTop w:val="0"/>
              <w:marBottom w:val="0"/>
              <w:divBdr>
                <w:top w:val="none" w:sz="0" w:space="0" w:color="auto"/>
                <w:left w:val="none" w:sz="0" w:space="0" w:color="auto"/>
                <w:bottom w:val="none" w:sz="0" w:space="0" w:color="auto"/>
                <w:right w:val="none" w:sz="0" w:space="0" w:color="auto"/>
              </w:divBdr>
            </w:div>
            <w:div w:id="656572222">
              <w:marLeft w:val="0"/>
              <w:marRight w:val="0"/>
              <w:marTop w:val="0"/>
              <w:marBottom w:val="0"/>
              <w:divBdr>
                <w:top w:val="none" w:sz="0" w:space="0" w:color="auto"/>
                <w:left w:val="none" w:sz="0" w:space="0" w:color="auto"/>
                <w:bottom w:val="none" w:sz="0" w:space="0" w:color="auto"/>
                <w:right w:val="none" w:sz="0" w:space="0" w:color="auto"/>
              </w:divBdr>
            </w:div>
            <w:div w:id="699621361">
              <w:marLeft w:val="0"/>
              <w:marRight w:val="0"/>
              <w:marTop w:val="0"/>
              <w:marBottom w:val="0"/>
              <w:divBdr>
                <w:top w:val="none" w:sz="0" w:space="0" w:color="auto"/>
                <w:left w:val="none" w:sz="0" w:space="0" w:color="auto"/>
                <w:bottom w:val="none" w:sz="0" w:space="0" w:color="auto"/>
                <w:right w:val="none" w:sz="0" w:space="0" w:color="auto"/>
              </w:divBdr>
            </w:div>
            <w:div w:id="819349620">
              <w:marLeft w:val="0"/>
              <w:marRight w:val="0"/>
              <w:marTop w:val="0"/>
              <w:marBottom w:val="0"/>
              <w:divBdr>
                <w:top w:val="none" w:sz="0" w:space="0" w:color="auto"/>
                <w:left w:val="none" w:sz="0" w:space="0" w:color="auto"/>
                <w:bottom w:val="none" w:sz="0" w:space="0" w:color="auto"/>
                <w:right w:val="none" w:sz="0" w:space="0" w:color="auto"/>
              </w:divBdr>
            </w:div>
            <w:div w:id="1192573104">
              <w:marLeft w:val="0"/>
              <w:marRight w:val="0"/>
              <w:marTop w:val="0"/>
              <w:marBottom w:val="0"/>
              <w:divBdr>
                <w:top w:val="none" w:sz="0" w:space="0" w:color="auto"/>
                <w:left w:val="none" w:sz="0" w:space="0" w:color="auto"/>
                <w:bottom w:val="none" w:sz="0" w:space="0" w:color="auto"/>
                <w:right w:val="none" w:sz="0" w:space="0" w:color="auto"/>
              </w:divBdr>
            </w:div>
            <w:div w:id="1468818754">
              <w:marLeft w:val="0"/>
              <w:marRight w:val="0"/>
              <w:marTop w:val="0"/>
              <w:marBottom w:val="0"/>
              <w:divBdr>
                <w:top w:val="none" w:sz="0" w:space="0" w:color="auto"/>
                <w:left w:val="none" w:sz="0" w:space="0" w:color="auto"/>
                <w:bottom w:val="none" w:sz="0" w:space="0" w:color="auto"/>
                <w:right w:val="none" w:sz="0" w:space="0" w:color="auto"/>
              </w:divBdr>
            </w:div>
            <w:div w:id="1473281791">
              <w:marLeft w:val="0"/>
              <w:marRight w:val="0"/>
              <w:marTop w:val="0"/>
              <w:marBottom w:val="0"/>
              <w:divBdr>
                <w:top w:val="none" w:sz="0" w:space="0" w:color="auto"/>
                <w:left w:val="none" w:sz="0" w:space="0" w:color="auto"/>
                <w:bottom w:val="none" w:sz="0" w:space="0" w:color="auto"/>
                <w:right w:val="none" w:sz="0" w:space="0" w:color="auto"/>
              </w:divBdr>
            </w:div>
            <w:div w:id="1547789469">
              <w:marLeft w:val="0"/>
              <w:marRight w:val="0"/>
              <w:marTop w:val="0"/>
              <w:marBottom w:val="0"/>
              <w:divBdr>
                <w:top w:val="none" w:sz="0" w:space="0" w:color="auto"/>
                <w:left w:val="none" w:sz="0" w:space="0" w:color="auto"/>
                <w:bottom w:val="none" w:sz="0" w:space="0" w:color="auto"/>
                <w:right w:val="none" w:sz="0" w:space="0" w:color="auto"/>
              </w:divBdr>
            </w:div>
            <w:div w:id="1681807819">
              <w:marLeft w:val="0"/>
              <w:marRight w:val="0"/>
              <w:marTop w:val="0"/>
              <w:marBottom w:val="0"/>
              <w:divBdr>
                <w:top w:val="none" w:sz="0" w:space="0" w:color="auto"/>
                <w:left w:val="none" w:sz="0" w:space="0" w:color="auto"/>
                <w:bottom w:val="none" w:sz="0" w:space="0" w:color="auto"/>
                <w:right w:val="none" w:sz="0" w:space="0" w:color="auto"/>
              </w:divBdr>
            </w:div>
            <w:div w:id="2051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2742">
      <w:bodyDiv w:val="1"/>
      <w:marLeft w:val="0"/>
      <w:marRight w:val="0"/>
      <w:marTop w:val="0"/>
      <w:marBottom w:val="0"/>
      <w:divBdr>
        <w:top w:val="none" w:sz="0" w:space="0" w:color="auto"/>
        <w:left w:val="none" w:sz="0" w:space="0" w:color="auto"/>
        <w:bottom w:val="none" w:sz="0" w:space="0" w:color="auto"/>
        <w:right w:val="none" w:sz="0" w:space="0" w:color="auto"/>
      </w:divBdr>
      <w:divsChild>
        <w:div w:id="499122725">
          <w:marLeft w:val="0"/>
          <w:marRight w:val="0"/>
          <w:marTop w:val="0"/>
          <w:marBottom w:val="0"/>
          <w:divBdr>
            <w:top w:val="none" w:sz="0" w:space="0" w:color="auto"/>
            <w:left w:val="none" w:sz="0" w:space="0" w:color="auto"/>
            <w:bottom w:val="none" w:sz="0" w:space="0" w:color="auto"/>
            <w:right w:val="none" w:sz="0" w:space="0" w:color="auto"/>
          </w:divBdr>
        </w:div>
        <w:div w:id="794493783">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EC8B-0318-4A84-879A-62092236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11224</Characters>
  <Application>Microsoft Office Word</Application>
  <DocSecurity>0</DocSecurity>
  <Lines>93</Lines>
  <Paragraphs>26</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Rubrik</vt:lpstr>
      </vt:variant>
      <vt:variant>
        <vt:i4>1</vt:i4>
      </vt:variant>
      <vt:variant>
        <vt:lpstr>Название</vt:lpstr>
      </vt:variant>
      <vt:variant>
        <vt:i4>1</vt:i4>
      </vt:variant>
    </vt:vector>
  </HeadingPairs>
  <TitlesOfParts>
    <vt:vector size="5" baseType="lpstr">
      <vt:lpstr>ECC Decision on PMR 446</vt:lpstr>
      <vt:lpstr>ECC Decision on PMR 446</vt:lpstr>
      <vt:lpstr>ECC Decision on PMR 446</vt:lpstr>
      <vt:lpstr>New ECC Report Style</vt:lpstr>
      <vt:lpstr>New ECC Report Style</vt:lpstr>
    </vt:vector>
  </TitlesOfParts>
  <Company>WGFM#90</Company>
  <LinksUpToDate>false</LinksUpToDate>
  <CharactersWithSpaces>13038</CharactersWithSpaces>
  <SharedDoc>false</SharedDoc>
  <HLinks>
    <vt:vector size="6" baseType="variant">
      <vt:variant>
        <vt:i4>7274546</vt:i4>
      </vt:variant>
      <vt:variant>
        <vt:i4>0</vt:i4>
      </vt:variant>
      <vt:variant>
        <vt:i4>0</vt:i4>
      </vt:variant>
      <vt:variant>
        <vt:i4>5</vt:i4>
      </vt:variant>
      <vt:variant>
        <vt:lpwstr>http://www.ecodocdb.dk/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on PMR 446</dc:title>
  <dc:creator>Bente Pedersen</dc:creator>
  <dc:description>Output WGFM#90</dc:description>
  <cp:lastModifiedBy>Anne-Dorthe Hjelm Christensen</cp:lastModifiedBy>
  <cp:revision>2</cp:revision>
  <cp:lastPrinted>2015-07-01T13:42:00Z</cp:lastPrinted>
  <dcterms:created xsi:type="dcterms:W3CDTF">2018-03-06T12:21:00Z</dcterms:created>
  <dcterms:modified xsi:type="dcterms:W3CDTF">2018-03-06T12:21:00Z</dcterms:modified>
  <cp:contentStatus>for final approval at ECC</cp:contentStatus>
</cp:coreProperties>
</file>