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54E0A" w14:textId="77777777" w:rsidR="006C03D0" w:rsidRDefault="006C03D0">
      <w:bookmarkStart w:id="0" w:name="_GoBack"/>
      <w:bookmarkEnd w:id="0"/>
    </w:p>
    <w:p w14:paraId="52A54E0B" w14:textId="77777777" w:rsidR="006C03D0" w:rsidRPr="0010769E" w:rsidRDefault="006C03D0" w:rsidP="006C03D0">
      <w:pPr>
        <w:jc w:val="center"/>
      </w:pPr>
    </w:p>
    <w:p w14:paraId="52A54E0C" w14:textId="77777777" w:rsidR="006C03D0" w:rsidRPr="0010769E" w:rsidRDefault="006C03D0" w:rsidP="006C03D0">
      <w:pPr>
        <w:jc w:val="center"/>
      </w:pPr>
    </w:p>
    <w:p w14:paraId="52A54E0D" w14:textId="77777777" w:rsidR="006C03D0" w:rsidRPr="0010769E" w:rsidRDefault="006C03D0" w:rsidP="006C03D0"/>
    <w:p w14:paraId="52A54E0E" w14:textId="77777777" w:rsidR="006C03D0" w:rsidRPr="0010769E" w:rsidRDefault="006C03D0" w:rsidP="006C03D0"/>
    <w:p w14:paraId="52A54E0F" w14:textId="77777777" w:rsidR="006C03D0" w:rsidRPr="0010769E" w:rsidRDefault="007C6571" w:rsidP="006C03D0">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52A54F2A" wp14:editId="52A54F2B">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54F3A"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6211F5">
                                <w:rPr>
                                  <w:color w:val="887E6E"/>
                                  <w:sz w:val="68"/>
                                </w:rPr>
                                <w:t>17</w:t>
                              </w:r>
                              <w:r w:rsidRPr="001E2FAA">
                                <w:rPr>
                                  <w:color w:val="887E6E"/>
                                  <w:sz w:val="68"/>
                                </w:rPr>
                                <w:t>)</w:t>
                              </w:r>
                              <w:r w:rsidR="006211F5">
                                <w:rPr>
                                  <w:color w:val="887E6E"/>
                                  <w:sz w:val="68"/>
                                </w:rPr>
                                <w:t>06</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14:paraId="52A54F3A"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6211F5">
                          <w:rPr>
                            <w:color w:val="887E6E"/>
                            <w:sz w:val="68"/>
                          </w:rPr>
                          <w:t>17</w:t>
                        </w:r>
                        <w:r w:rsidRPr="001E2FAA">
                          <w:rPr>
                            <w:color w:val="887E6E"/>
                            <w:sz w:val="68"/>
                          </w:rPr>
                          <w:t>)</w:t>
                        </w:r>
                        <w:r w:rsidR="006211F5">
                          <w:rPr>
                            <w:color w:val="887E6E"/>
                            <w:sz w:val="68"/>
                          </w:rPr>
                          <w:t>06</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14:paraId="52A54E10" w14:textId="77777777" w:rsidR="006C03D0" w:rsidRPr="0010769E" w:rsidRDefault="006C03D0" w:rsidP="006C03D0">
      <w:pPr>
        <w:jc w:val="center"/>
        <w:rPr>
          <w:b/>
          <w:sz w:val="24"/>
        </w:rPr>
      </w:pPr>
    </w:p>
    <w:p w14:paraId="52A54E11" w14:textId="77777777" w:rsidR="006C03D0" w:rsidRPr="0010769E" w:rsidRDefault="006C03D0" w:rsidP="006C03D0">
      <w:pPr>
        <w:jc w:val="center"/>
        <w:rPr>
          <w:b/>
          <w:sz w:val="24"/>
        </w:rPr>
      </w:pPr>
    </w:p>
    <w:p w14:paraId="52A54E12" w14:textId="77777777" w:rsidR="006C03D0" w:rsidRPr="0010769E" w:rsidRDefault="006C03D0" w:rsidP="006C03D0">
      <w:pPr>
        <w:jc w:val="center"/>
        <w:rPr>
          <w:b/>
          <w:sz w:val="24"/>
        </w:rPr>
      </w:pPr>
    </w:p>
    <w:p w14:paraId="52A54E13" w14:textId="77777777" w:rsidR="006C03D0" w:rsidRPr="0010769E" w:rsidRDefault="006C03D0" w:rsidP="006C03D0">
      <w:pPr>
        <w:jc w:val="center"/>
        <w:rPr>
          <w:b/>
          <w:sz w:val="24"/>
        </w:rPr>
      </w:pPr>
    </w:p>
    <w:p w14:paraId="52A54E14" w14:textId="77777777" w:rsidR="006C03D0" w:rsidRPr="0010769E" w:rsidRDefault="006C03D0" w:rsidP="006C03D0">
      <w:pPr>
        <w:jc w:val="center"/>
        <w:rPr>
          <w:b/>
          <w:sz w:val="24"/>
        </w:rPr>
      </w:pPr>
    </w:p>
    <w:p w14:paraId="52A54E15" w14:textId="77777777" w:rsidR="006C03D0" w:rsidRPr="0010769E" w:rsidRDefault="006C03D0" w:rsidP="006C03D0">
      <w:pPr>
        <w:jc w:val="center"/>
        <w:rPr>
          <w:b/>
          <w:sz w:val="24"/>
        </w:rPr>
      </w:pPr>
    </w:p>
    <w:p w14:paraId="52A54E16" w14:textId="77777777" w:rsidR="006C03D0" w:rsidRPr="0010769E" w:rsidRDefault="006C03D0" w:rsidP="006C03D0">
      <w:pPr>
        <w:jc w:val="center"/>
        <w:rPr>
          <w:b/>
          <w:sz w:val="24"/>
        </w:rPr>
      </w:pPr>
    </w:p>
    <w:p w14:paraId="52A54E17" w14:textId="77777777" w:rsidR="006C03D0" w:rsidRPr="0010769E" w:rsidRDefault="006C03D0" w:rsidP="006C03D0">
      <w:pPr>
        <w:jc w:val="center"/>
        <w:rPr>
          <w:b/>
          <w:sz w:val="24"/>
        </w:rPr>
      </w:pPr>
    </w:p>
    <w:p w14:paraId="52A54E18" w14:textId="77777777" w:rsidR="006C03D0" w:rsidRPr="0010769E" w:rsidRDefault="006C03D0" w:rsidP="006C03D0">
      <w:pPr>
        <w:jc w:val="center"/>
        <w:rPr>
          <w:b/>
          <w:sz w:val="24"/>
        </w:rPr>
      </w:pPr>
    </w:p>
    <w:p w14:paraId="52A54E19" w14:textId="77777777" w:rsidR="006C03D0" w:rsidRPr="0010769E" w:rsidRDefault="006C03D0" w:rsidP="006C03D0">
      <w:pPr>
        <w:jc w:val="center"/>
        <w:rPr>
          <w:b/>
          <w:sz w:val="24"/>
        </w:rPr>
      </w:pPr>
    </w:p>
    <w:p w14:paraId="52A54E1A" w14:textId="77777777" w:rsidR="006C03D0" w:rsidRPr="0010769E" w:rsidRDefault="006C03D0" w:rsidP="006C03D0">
      <w:pPr>
        <w:rPr>
          <w:b/>
          <w:sz w:val="24"/>
        </w:rPr>
      </w:pPr>
    </w:p>
    <w:p w14:paraId="52A54E1B" w14:textId="77777777" w:rsidR="006C03D0" w:rsidRPr="0010769E" w:rsidRDefault="006C03D0" w:rsidP="006C03D0">
      <w:pPr>
        <w:jc w:val="center"/>
        <w:rPr>
          <w:b/>
          <w:sz w:val="24"/>
        </w:rPr>
      </w:pPr>
    </w:p>
    <w:p w14:paraId="52A54E1C" w14:textId="77777777" w:rsidR="006C03D0" w:rsidRPr="006A00A6" w:rsidRDefault="006A00A6" w:rsidP="006C03D0">
      <w:pPr>
        <w:pStyle w:val="Reporttitledescription"/>
        <w:rPr>
          <w:color w:val="auto"/>
          <w:lang w:val="en-GB"/>
        </w:rPr>
      </w:pPr>
      <w:r>
        <w:rPr>
          <w:color w:val="auto"/>
          <w:lang w:val="en-GB"/>
        </w:rPr>
        <w:t xml:space="preserve">The harmonised use of the frequency bands </w:t>
      </w:r>
      <w:r>
        <w:rPr>
          <w:color w:val="auto"/>
          <w:lang w:val="en-GB"/>
        </w:rPr>
        <w:br/>
        <w:t xml:space="preserve">1427-1452 MHz and 1492-1518 MHz for </w:t>
      </w:r>
      <w:r>
        <w:rPr>
          <w:color w:val="auto"/>
          <w:lang w:val="en-GB"/>
        </w:rPr>
        <w:br/>
        <w:t xml:space="preserve">Mobile/Fixed Communications Networks </w:t>
      </w:r>
      <w:r>
        <w:rPr>
          <w:color w:val="auto"/>
          <w:lang w:val="en-GB"/>
        </w:rPr>
        <w:br/>
        <w:t>Supplemental Downlink (MFCN SDL)</w:t>
      </w:r>
    </w:p>
    <w:p w14:paraId="52A54E1D" w14:textId="77777777" w:rsidR="006C03D0" w:rsidRDefault="006A00A6" w:rsidP="006C03D0">
      <w:pPr>
        <w:pStyle w:val="Reporttitledescription"/>
        <w:rPr>
          <w:b/>
          <w:color w:val="auto"/>
          <w:sz w:val="18"/>
        </w:rPr>
      </w:pPr>
      <w:bookmarkStart w:id="1" w:name="Text8"/>
      <w:r>
        <w:rPr>
          <w:b/>
          <w:color w:val="auto"/>
          <w:sz w:val="18"/>
        </w:rPr>
        <w:t>Approved 17 November 2017</w:t>
      </w:r>
      <w:bookmarkEnd w:id="1"/>
    </w:p>
    <w:p w14:paraId="3229B7F7" w14:textId="6902B4C9" w:rsidR="007B7383" w:rsidRPr="005A00E5" w:rsidRDefault="007B7383" w:rsidP="007B7383">
      <w:pPr>
        <w:pStyle w:val="Reporttitledescription"/>
        <w:spacing w:before="120" w:after="120"/>
        <w:rPr>
          <w:b/>
          <w:color w:val="auto"/>
          <w:sz w:val="18"/>
        </w:rPr>
      </w:pPr>
      <w:r>
        <w:rPr>
          <w:b/>
          <w:color w:val="auto"/>
          <w:sz w:val="18"/>
        </w:rPr>
        <w:t>Corrected 2 March 2018</w:t>
      </w:r>
    </w:p>
    <w:p w14:paraId="52A54E1E" w14:textId="77777777" w:rsidR="006C03D0" w:rsidRDefault="005F7AD5" w:rsidP="006C03D0">
      <w:pPr>
        <w:pStyle w:val="Heading1"/>
      </w:pPr>
      <w:r>
        <w:lastRenderedPageBreak/>
        <w:t>explanatory memorandum</w:t>
      </w:r>
    </w:p>
    <w:p w14:paraId="52A54E1F" w14:textId="77777777" w:rsidR="006C03D0" w:rsidRDefault="005F7AD5" w:rsidP="006C03D0">
      <w:pPr>
        <w:pStyle w:val="Heading2"/>
      </w:pPr>
      <w:r>
        <w:t>INTRODUCTION</w:t>
      </w:r>
    </w:p>
    <w:p w14:paraId="52A54E20" w14:textId="77777777" w:rsidR="006A00A6" w:rsidRDefault="006A00A6" w:rsidP="006A00A6">
      <w:pPr>
        <w:pStyle w:val="ECCParagraph"/>
      </w:pPr>
      <w:r>
        <w:t>This ECC Decision harmonises the use of the 1427-1452 MHz and 1492-1518 MHz bands for terrestrial M</w:t>
      </w:r>
      <w:r>
        <w:rPr>
          <w:rFonts w:cs="Arial"/>
        </w:rPr>
        <w:t>obile/Fixed Communications Networks Supplemental Downlink (MFCN SDL)</w:t>
      </w:r>
      <w:r>
        <w:t xml:space="preserve"> while allowing CEPT countries to adapt to specific national circumstances for incumbent terrestrial services currently operating in the bands. It provides the harmonised technical conditions including the least restrictive technical conditions for the deployment of MFCN SDL within CEPT.</w:t>
      </w:r>
    </w:p>
    <w:p w14:paraId="52A54E21" w14:textId="77777777" w:rsidR="006A00A6" w:rsidRDefault="006A00A6" w:rsidP="006A00A6">
      <w:pPr>
        <w:pStyle w:val="ECCParagraph"/>
      </w:pPr>
      <w:r>
        <w:t>An MFCN SDL is a mobile broadband system, which by means of base station transmitters in the network, uses unpaired spectrum in the downlink to provide a supplemental downlink capacity to carry comprehensive text, audio, images, data, sound and video content in general, in a unicasting, multicasting or broadcasting mode.</w:t>
      </w:r>
    </w:p>
    <w:p w14:paraId="52A54E22" w14:textId="77777777" w:rsidR="006A00A6" w:rsidRDefault="006A00A6" w:rsidP="006A00A6">
      <w:pPr>
        <w:pStyle w:val="ECCParagraph"/>
        <w:rPr>
          <w:rFonts w:cs="Arial"/>
          <w:szCs w:val="20"/>
        </w:rPr>
      </w:pPr>
      <w:r>
        <w:rPr>
          <w:rFonts w:cs="Arial"/>
          <w:szCs w:val="20"/>
        </w:rPr>
        <w:t xml:space="preserve">The harmonisation of the </w:t>
      </w:r>
      <w:r>
        <w:t xml:space="preserve">1427-1452 MHz and 1492–1518 MHz frequency bands </w:t>
      </w:r>
      <w:r>
        <w:rPr>
          <w:rFonts w:cs="Arial"/>
          <w:szCs w:val="20"/>
        </w:rPr>
        <w:t>for MFCN SDL through this ECC Decision is important to enhance the downlink capability of mobile broadband systems and represents a strategic tool to tackle the growing mobile data traffic asymmetry.</w:t>
      </w:r>
    </w:p>
    <w:p w14:paraId="52A54E23" w14:textId="77777777" w:rsidR="006A00A6" w:rsidRDefault="006A00A6" w:rsidP="006A00A6">
      <w:pPr>
        <w:pStyle w:val="ECCParagraph"/>
        <w:rPr>
          <w:bCs/>
        </w:rPr>
      </w:pPr>
      <w:r>
        <w:rPr>
          <w:bCs/>
        </w:rPr>
        <w:t>This ECC Decision contains annexes defining the harmonised frequency arrangement and applicable least restrictive technical conditions (LRTC) through Block Edge Masks (BEMs) for the use of the bands by MFCN SDL within CEPT.</w:t>
      </w:r>
    </w:p>
    <w:p w14:paraId="52A54E24" w14:textId="77777777" w:rsidR="006A00A6" w:rsidRDefault="006A00A6" w:rsidP="006A00A6">
      <w:pPr>
        <w:pStyle w:val="ECCParagraph"/>
      </w:pPr>
      <w:r>
        <w:t xml:space="preserve">This ECC Decision complements ECC Decision (13)03 on the harmonised use of the frequency band </w:t>
      </w:r>
      <w:r>
        <w:br/>
        <w:t xml:space="preserve">1452-1492 MHz for Mobile/Fixed Communications Networks Supplemental Downlink (MFCN SDL) </w:t>
      </w:r>
      <w:r>
        <w:fldChar w:fldCharType="begin"/>
      </w:r>
      <w:r>
        <w:instrText xml:space="preserve"> REF _Ref481765313 \r \h </w:instrText>
      </w:r>
      <w:r>
        <w:fldChar w:fldCharType="separate"/>
      </w:r>
      <w:r w:rsidR="006211F5">
        <w:t>[1]</w:t>
      </w:r>
      <w:r>
        <w:fldChar w:fldCharType="end"/>
      </w:r>
      <w:r>
        <w:t>. It ensures that MFCN SDL could benefit from up to 90 MHz of harmonised spectrum.</w:t>
      </w:r>
    </w:p>
    <w:p w14:paraId="52A54E25" w14:textId="77777777" w:rsidR="006C03D0" w:rsidRDefault="005F7AD5" w:rsidP="006C03D0">
      <w:pPr>
        <w:pStyle w:val="Heading2"/>
      </w:pPr>
      <w:r>
        <w:t xml:space="preserve">BACKGROUND </w:t>
      </w:r>
    </w:p>
    <w:p w14:paraId="52A54E26" w14:textId="77777777" w:rsidR="006A00A6" w:rsidRDefault="006A00A6" w:rsidP="006A00A6">
      <w:pPr>
        <w:pStyle w:val="ECCParagraph"/>
        <w:rPr>
          <w:highlight w:val="green"/>
        </w:rPr>
      </w:pPr>
      <w:r>
        <w:t xml:space="preserve">ECC/DEC/(13)03 harmonises the use of the band 1452-1492 MHz for terrestrial </w:t>
      </w:r>
      <w:r>
        <w:br/>
        <w:t>Mobile/Fixed Communications Networks Supplemental Downlink (MFCN SDL). Since 2015, authorisations have been granted for MFCN SDL in this band in some CEPT countries.</w:t>
      </w:r>
    </w:p>
    <w:p w14:paraId="52A54E27" w14:textId="77777777" w:rsidR="006A00A6" w:rsidRDefault="006A00A6" w:rsidP="006A00A6">
      <w:pPr>
        <w:pStyle w:val="ECCParagraph"/>
      </w:pPr>
      <w:r>
        <w:t xml:space="preserve">At WRC-15, the frequency bands 1427-1452 MHz and 1492-1518 MHz were identified globally for International Mobile Telecommunications (IMT) in accordance with Resolution 223 (Rev.WRC-15) </w:t>
      </w:r>
      <w:r>
        <w:fldChar w:fldCharType="begin"/>
      </w:r>
      <w:r>
        <w:instrText xml:space="preserve"> REF _Ref482011235 \r \h </w:instrText>
      </w:r>
      <w:r>
        <w:fldChar w:fldCharType="separate"/>
      </w:r>
      <w:r w:rsidR="006211F5">
        <w:t>[2]</w:t>
      </w:r>
      <w:r>
        <w:fldChar w:fldCharType="end"/>
      </w:r>
      <w:r>
        <w:t>.</w:t>
      </w:r>
    </w:p>
    <w:p w14:paraId="52A54E28" w14:textId="77777777" w:rsidR="006A00A6" w:rsidRDefault="006A00A6" w:rsidP="006A00A6">
      <w:pPr>
        <w:pStyle w:val="ECCParagraph"/>
      </w:pPr>
      <w:r>
        <w:t xml:space="preserve">In addition, for the protection of the Earth Exploration Satellite Service (EESS) passive, WRC-15 also introduced in Resolution 750 (Rev.WRC-15) </w:t>
      </w:r>
      <w:r>
        <w:fldChar w:fldCharType="begin"/>
      </w:r>
      <w:r>
        <w:instrText xml:space="preserve"> REF _Ref482011235 \r \h </w:instrText>
      </w:r>
      <w:r>
        <w:fldChar w:fldCharType="separate"/>
      </w:r>
      <w:r w:rsidR="006211F5">
        <w:t>[2]</w:t>
      </w:r>
      <w:r>
        <w:fldChar w:fldCharType="end"/>
      </w:r>
      <w:r>
        <w:t xml:space="preserve"> relevant limits of unwanted emission power in the band </w:t>
      </w:r>
      <w:r>
        <w:br/>
        <w:t xml:space="preserve">1400-1427 MHz applying to IMT stations operating in the band 1427-1452 MHz. It is noted that the radio astronomy service (RAS) also has a primary allocation in the passive band 1400-1427 MHz, and that Recommendation ITU-R RA.769 </w:t>
      </w:r>
      <w:r>
        <w:fldChar w:fldCharType="begin"/>
      </w:r>
      <w:r>
        <w:instrText xml:space="preserve"> REF _Ref482011503 \r \h </w:instrText>
      </w:r>
      <w:r>
        <w:fldChar w:fldCharType="separate"/>
      </w:r>
      <w:r w:rsidR="006211F5">
        <w:t>[3]</w:t>
      </w:r>
      <w:r>
        <w:fldChar w:fldCharType="end"/>
      </w:r>
      <w:r>
        <w:t xml:space="preserve"> sets the threshold input power into the RAS frequency band </w:t>
      </w:r>
      <w:r>
        <w:br/>
        <w:t>1400-1427 MHz to -205 dBW for broadband observations and to -220 dBW/20 kHz for narrow band observations. In order to meet these power threshold levels additional mitigation methods are required at the location of RAS stations, such as setting adequate separation distances between RAS stations and IMT base stations. The size of these separation distances will be determined on an individual basis for the affected RAS stations.</w:t>
      </w:r>
    </w:p>
    <w:p w14:paraId="52A54E29" w14:textId="77777777" w:rsidR="006A00A6" w:rsidRDefault="006A00A6" w:rsidP="006A00A6">
      <w:pPr>
        <w:pStyle w:val="ECCParagraph"/>
      </w:pPr>
      <w:r>
        <w:t xml:space="preserve">WRC-15 also requested studies to address adjacent band compatibility between IMT systems and MSS systems which operate in the band 1518-1525 MHz (see Resolution 223 (Rev.WRC-15)). CEPT conducted studies in this regard which are contained in ECC Report 263 </w:t>
      </w:r>
      <w:r>
        <w:fldChar w:fldCharType="begin"/>
      </w:r>
      <w:r>
        <w:instrText xml:space="preserve"> REF _Ref481764288 \r \h </w:instrText>
      </w:r>
      <w:r>
        <w:fldChar w:fldCharType="separate"/>
      </w:r>
      <w:r w:rsidR="006211F5">
        <w:t>[4]</w:t>
      </w:r>
      <w:r>
        <w:fldChar w:fldCharType="end"/>
      </w:r>
      <w:r>
        <w:t>.</w:t>
      </w:r>
    </w:p>
    <w:p w14:paraId="52A54E2A" w14:textId="77777777" w:rsidR="006A00A6" w:rsidRDefault="006A00A6" w:rsidP="006A00A6">
      <w:pPr>
        <w:pStyle w:val="ECCParagraph"/>
      </w:pPr>
      <w:r>
        <w:t xml:space="preserve">It is noted that Recommendation T/R 13-01 (1375-1400 MHz frequency band paired with 1427-1452 MHz and 1350-1375 MHz paired with 1492-1518 MHz) </w:t>
      </w:r>
      <w:r>
        <w:rPr>
          <w:bCs/>
        </w:rPr>
        <w:t>applies for low capacity fixed links and it is implemented in several countries (see ECC Report 173).</w:t>
      </w:r>
    </w:p>
    <w:p w14:paraId="52A54E2B" w14:textId="77777777" w:rsidR="006A00A6" w:rsidRDefault="006A00A6" w:rsidP="006A00A6">
      <w:pPr>
        <w:pStyle w:val="ECCParagraph"/>
      </w:pPr>
      <w:r>
        <w:lastRenderedPageBreak/>
        <w:t>It is noted that the 1427-1452 MHz and 1492-1518 MHz bands are also used for land military systems in some CEPT countries according to ERC Report 25 (The European table of frequency allocations and applications in the frequency range 8.3 kHz to 3000 GHz (ECA Table)).</w:t>
      </w:r>
    </w:p>
    <w:p w14:paraId="52A54E2C" w14:textId="77777777" w:rsidR="006A00A6" w:rsidRDefault="006A00A6" w:rsidP="006A00A6">
      <w:pPr>
        <w:pStyle w:val="ECCParagraph"/>
      </w:pPr>
      <w:r>
        <w:t>CEPT supported an IMT identification in the bands 1427-1452 MHz and 1492-1518 MHz. Further to the IMT identification of these bands at WRC-15, CEPT conducted a questionnaire on timing for the harmonisation of the 1427-1452 MHz and 1492-1518 MHz frequency bands and their availability for MFCN. Based on the responses to the questionnaire, ECC supports the use of parts or all of the frequency band 1427-1518 MHz</w:t>
      </w:r>
      <w:r w:rsidRPr="002248FB">
        <w:t xml:space="preserve"> for a one direction MFCN downlink service, used in</w:t>
      </w:r>
      <w:r>
        <w:t xml:space="preserve"> connection with another MFCN band that provides the uplink capabilities, and to initiate the development of this ECC Decision.</w:t>
      </w:r>
    </w:p>
    <w:p w14:paraId="52A54E2D" w14:textId="77777777" w:rsidR="006A00A6" w:rsidRDefault="006A00A6" w:rsidP="006A00A6">
      <w:pPr>
        <w:pStyle w:val="ECCParagraph"/>
      </w:pPr>
      <w:r>
        <w:t>ECC identified synergies between the harmonised MFCN SDL in 1452-1492 MHz and further considered that:</w:t>
      </w:r>
    </w:p>
    <w:p w14:paraId="52A54E2E" w14:textId="77777777" w:rsidR="006A00A6" w:rsidRDefault="006A00A6" w:rsidP="006A00A6">
      <w:pPr>
        <w:pStyle w:val="ECCParBulleted"/>
      </w:pPr>
      <w:r>
        <w:t>without prejudice of the designation of the frequency bands 1427-1452 MHz and 1492-1518 MHz for MFCN SDL in this ECC Decision making available these bands in addition to 1452-1492 MHz, national scenarios are foreseen where the entire range might not be fully available in some CEPT countries;</w:t>
      </w:r>
    </w:p>
    <w:p w14:paraId="52A54E2F" w14:textId="77777777" w:rsidR="006A00A6" w:rsidRDefault="006A00A6" w:rsidP="006A00A6">
      <w:pPr>
        <w:pStyle w:val="ECCParBulleted"/>
      </w:pPr>
      <w:r>
        <w:t>this ECC Decision takes into account the existing standardisation framework and activities at the worldwide level, and an appropriate frequency arrangement.</w:t>
      </w:r>
    </w:p>
    <w:p w14:paraId="52A54E30" w14:textId="77777777" w:rsidR="006A00A6" w:rsidRPr="006A00A6" w:rsidRDefault="006A00A6" w:rsidP="006A00A6">
      <w:pPr>
        <w:pStyle w:val="ECCParagraph"/>
      </w:pPr>
    </w:p>
    <w:p w14:paraId="52A54E31" w14:textId="77777777" w:rsidR="006C03D0" w:rsidRDefault="005F7AD5" w:rsidP="006C03D0">
      <w:pPr>
        <w:pStyle w:val="Heading2"/>
      </w:pPr>
      <w:r>
        <w:t>REQUIREMENT FOR AN ECC DECISION</w:t>
      </w:r>
    </w:p>
    <w:p w14:paraId="52A54E32" w14:textId="77777777" w:rsidR="006A00A6" w:rsidRDefault="006A00A6" w:rsidP="006A00A6">
      <w:pPr>
        <w:pStyle w:val="ECCParagraph"/>
      </w:pPr>
      <w:r>
        <w:t xml:space="preserve">The ECC recognises that the bands 1427-1452 MHz and 1492-1518 MHz together with 1452-1492 MHz could be made available for MFCN SDL based on least restrictive technical conditions (LRTC). A harmonised frequency arrangement will </w:t>
      </w:r>
      <w:r>
        <w:rPr>
          <w:rFonts w:eastAsia="Arial" w:cs="Arial"/>
        </w:rPr>
        <w:t>maximise the opportunities and benefits for end users,</w:t>
      </w:r>
      <w:r>
        <w:t xml:space="preserve"> will reduce capital expenditure for operators and cost of manufacturing equipment and will secure future investments by providing economy of scale.</w:t>
      </w:r>
    </w:p>
    <w:p w14:paraId="52A54E33" w14:textId="77777777" w:rsidR="006A00A6" w:rsidRDefault="006A00A6" w:rsidP="006A00A6">
      <w:pPr>
        <w:pStyle w:val="ECCParagraph"/>
      </w:pPr>
      <w:r>
        <w:t xml:space="preserve">An ECC Decision is required to support the development of innovation with mobile systems that are capable of aggregating multiple downlink channels in multiple bands. Providing harmonised technical conditions for the use of 1427-1452 MHz and 1492-1518 MHz by MFCN SDL, will enable the industry to implement the </w:t>
      </w:r>
      <w:r>
        <w:br/>
        <w:t>1427-1518 MHz band as MFCN SDL band in chipsets, devices and equipment thus ensuring relevant economies of scale and development of radio equipment on a large scale.</w:t>
      </w:r>
    </w:p>
    <w:p w14:paraId="52A54E34" w14:textId="77777777" w:rsidR="006A00A6" w:rsidRDefault="006A00A6" w:rsidP="006A00A6">
      <w:pPr>
        <w:pStyle w:val="ECCParagraph"/>
      </w:pPr>
      <w:r>
        <w:t xml:space="preserve">Moreover, the </w:t>
      </w:r>
      <w:smartTag w:uri="urn:schemas-microsoft-com:office:smarttags" w:element="stockticker">
        <w:r>
          <w:t>ECC</w:t>
        </w:r>
      </w:smartTag>
      <w:r>
        <w:t xml:space="preserve"> recognises that an </w:t>
      </w:r>
      <w:smartTag w:uri="urn:schemas-microsoft-com:office:smarttags" w:element="stockticker">
        <w:r>
          <w:t>ECC</w:t>
        </w:r>
      </w:smartTag>
      <w:r>
        <w:t xml:space="preserve"> Decision harmonising technical conditions for the use of the frequency bands 1427-1452 MHz and 1492-1518 MHz needs to leave flexibility for administrations with regards to the use of incumbent services and applications to adapt to specific national circumstances. Such flexibility does not impact the harmonised technical conditions in the Annex and, according to market demand, ensures that MFCN SDL could be introduced either in 1427-1452 MHz and/or 1492 -1518 MHz, or in parts of these bands.</w:t>
      </w:r>
    </w:p>
    <w:p w14:paraId="52A54E35" w14:textId="66E6D659" w:rsidR="006A00A6" w:rsidRPr="00DC2FEA" w:rsidRDefault="006A00A6" w:rsidP="006A00A6">
      <w:pPr>
        <w:pStyle w:val="Heading1"/>
        <w:rPr>
          <w:lang w:val="en-US"/>
        </w:rPr>
      </w:pPr>
      <w:r>
        <w:lastRenderedPageBreak/>
        <w:t xml:space="preserve">ECC Decision of 17 November 2017 on the harmonised use of the frequency bands 1427-1452 and 1492-1518 MHZ for Mobile/Fixed Communications Networks Supplemental Downlink (MFCN SDL) </w:t>
      </w:r>
      <w:r w:rsidRPr="006C2EAE">
        <w:t>(ECC/dec/(17)06)</w:t>
      </w:r>
      <w:r>
        <w:t xml:space="preserve"> </w:t>
      </w:r>
      <w:r w:rsidR="00DC2FEA">
        <w:t>corrected 2 march 2018</w:t>
      </w:r>
    </w:p>
    <w:p w14:paraId="52A54E36" w14:textId="77777777" w:rsidR="006C03D0" w:rsidRDefault="006A00A6" w:rsidP="006A00A6">
      <w:pPr>
        <w:pStyle w:val="ECCParagraph"/>
      </w:pPr>
      <w:r>
        <w:t xml:space="preserve"> </w:t>
      </w:r>
      <w:r w:rsidR="005F7AD5">
        <w:t>“The European Conference of Postal and Telecommunications Administrations,</w:t>
      </w:r>
    </w:p>
    <w:p w14:paraId="52A54E37" w14:textId="77777777" w:rsidR="006C03D0" w:rsidRDefault="005F7AD5" w:rsidP="006C03D0">
      <w:pPr>
        <w:pStyle w:val="ECCParagraph"/>
        <w:rPr>
          <w:i/>
          <w:color w:val="D2232A"/>
        </w:rPr>
      </w:pPr>
      <w:r w:rsidRPr="00FE1795">
        <w:rPr>
          <w:i/>
          <w:color w:val="D2232A"/>
        </w:rPr>
        <w:t xml:space="preserve">considering </w:t>
      </w:r>
    </w:p>
    <w:p w14:paraId="52A54E38" w14:textId="77777777" w:rsidR="006A00A6" w:rsidRPr="002248FB" w:rsidRDefault="006A00A6" w:rsidP="006A00A6">
      <w:pPr>
        <w:pStyle w:val="ListParagraph"/>
        <w:numPr>
          <w:ilvl w:val="0"/>
          <w:numId w:val="17"/>
        </w:numPr>
        <w:tabs>
          <w:tab w:val="left" w:pos="567"/>
        </w:tabs>
        <w:spacing w:after="240"/>
        <w:ind w:left="567" w:hanging="567"/>
        <w:contextualSpacing w:val="0"/>
        <w:rPr>
          <w:lang w:val="en-GB"/>
        </w:rPr>
      </w:pPr>
      <w:r>
        <w:rPr>
          <w:lang w:val="en-GB"/>
        </w:rPr>
        <w:t xml:space="preserve">that the frequency bands 1427-1452 MHz and 1492-1518 MHz are allocated to the mobile service (except aeronautical mobile service) and fixed service on a co-primary basis and identified for use by </w:t>
      </w:r>
      <w:r w:rsidRPr="002248FB">
        <w:rPr>
          <w:lang w:val="en-GB"/>
        </w:rPr>
        <w:t>administrations wishing to implement International Mobile Telecommunications (IMT) in ITU Region 1, in accordance with RR No 5.341A of the ITU Radio Regulation;</w:t>
      </w:r>
    </w:p>
    <w:p w14:paraId="52A54E39" w14:textId="77777777" w:rsidR="006A00A6" w:rsidRPr="002248FB" w:rsidRDefault="006A00A6" w:rsidP="006A00A6">
      <w:pPr>
        <w:pStyle w:val="ListParagraph"/>
        <w:numPr>
          <w:ilvl w:val="0"/>
          <w:numId w:val="17"/>
        </w:numPr>
        <w:tabs>
          <w:tab w:val="left" w:pos="567"/>
        </w:tabs>
        <w:spacing w:after="240"/>
        <w:ind w:left="567" w:hanging="567"/>
        <w:contextualSpacing w:val="0"/>
        <w:rPr>
          <w:lang w:val="en-GB"/>
        </w:rPr>
      </w:pPr>
      <w:r w:rsidRPr="002248FB">
        <w:rPr>
          <w:lang w:val="en-GB"/>
        </w:rPr>
        <w:t>that in some CEPT countries the band 1429-1518 MHz is also allocated on a co-primary basis to aeronautical mobile service for the purpose of aeronautical telemetry within the national territory according to No 5.342 of the ITU Radio Regulation;</w:t>
      </w:r>
    </w:p>
    <w:p w14:paraId="52A54E3A" w14:textId="77777777" w:rsidR="006A00A6" w:rsidRPr="002248FB" w:rsidRDefault="006A00A6" w:rsidP="006A00A6">
      <w:pPr>
        <w:numPr>
          <w:ilvl w:val="0"/>
          <w:numId w:val="17"/>
        </w:numPr>
        <w:spacing w:before="120" w:after="120"/>
        <w:ind w:left="567" w:hanging="567"/>
        <w:jc w:val="both"/>
        <w:rPr>
          <w:lang w:val="en-GB"/>
        </w:rPr>
      </w:pPr>
      <w:r w:rsidRPr="002248FB">
        <w:rPr>
          <w:lang w:val="en-GB"/>
        </w:rPr>
        <w:t xml:space="preserve">that ECC Decision (13)03 </w:t>
      </w:r>
      <w:r w:rsidRPr="002248FB">
        <w:rPr>
          <w:lang w:val="en-GB"/>
        </w:rPr>
        <w:fldChar w:fldCharType="begin"/>
      </w:r>
      <w:r w:rsidRPr="002248FB">
        <w:rPr>
          <w:lang w:val="en-GB"/>
        </w:rPr>
        <w:instrText xml:space="preserve"> REF _Ref481765313 \r \h </w:instrText>
      </w:r>
      <w:r>
        <w:rPr>
          <w:lang w:val="en-GB"/>
        </w:rPr>
        <w:instrText xml:space="preserve"> \* MERGEFORMAT </w:instrText>
      </w:r>
      <w:r w:rsidRPr="002248FB">
        <w:rPr>
          <w:lang w:val="en-GB"/>
        </w:rPr>
      </w:r>
      <w:r w:rsidRPr="002248FB">
        <w:rPr>
          <w:lang w:val="en-GB"/>
        </w:rPr>
        <w:fldChar w:fldCharType="separate"/>
      </w:r>
      <w:r w:rsidR="006211F5">
        <w:rPr>
          <w:lang w:val="en-GB"/>
        </w:rPr>
        <w:t>[1]</w:t>
      </w:r>
      <w:r w:rsidRPr="002248FB">
        <w:rPr>
          <w:lang w:val="en-GB"/>
        </w:rPr>
        <w:fldChar w:fldCharType="end"/>
      </w:r>
      <w:r w:rsidRPr="002248FB">
        <w:rPr>
          <w:lang w:val="en-GB"/>
        </w:rPr>
        <w:t xml:space="preserve"> already harmonises the use of the band 1452-1492 MHz for terrestrial Mobile/Fixed Communications Networks Supplemental Downlink (MFCN SDL) based on ECC Report 202 </w:t>
      </w:r>
      <w:r>
        <w:rPr>
          <w:lang w:val="en-GB"/>
        </w:rPr>
        <w:fldChar w:fldCharType="begin"/>
      </w:r>
      <w:r>
        <w:rPr>
          <w:lang w:val="en-GB"/>
        </w:rPr>
        <w:instrText xml:space="preserve"> REF _Ref492546830 \r \h </w:instrText>
      </w:r>
      <w:r>
        <w:rPr>
          <w:lang w:val="en-GB"/>
        </w:rPr>
      </w:r>
      <w:r>
        <w:rPr>
          <w:lang w:val="en-GB"/>
        </w:rPr>
        <w:fldChar w:fldCharType="separate"/>
      </w:r>
      <w:r w:rsidR="006211F5">
        <w:rPr>
          <w:lang w:val="en-GB"/>
        </w:rPr>
        <w:t>[8]</w:t>
      </w:r>
      <w:r>
        <w:rPr>
          <w:lang w:val="en-GB"/>
        </w:rPr>
        <w:fldChar w:fldCharType="end"/>
      </w:r>
      <w:r>
        <w:rPr>
          <w:lang w:val="en-GB"/>
        </w:rPr>
        <w:t xml:space="preserve"> </w:t>
      </w:r>
      <w:r w:rsidRPr="002248FB">
        <w:rPr>
          <w:lang w:val="en-GB"/>
        </w:rPr>
        <w:t xml:space="preserve">and takes into account the new designation of the band 1427-1452 and 1492-1518 MHz; </w:t>
      </w:r>
    </w:p>
    <w:p w14:paraId="52A54E3B" w14:textId="77777777" w:rsidR="006A00A6" w:rsidRDefault="006A00A6" w:rsidP="006A00A6">
      <w:pPr>
        <w:numPr>
          <w:ilvl w:val="0"/>
          <w:numId w:val="17"/>
        </w:numPr>
        <w:tabs>
          <w:tab w:val="left" w:pos="3306"/>
        </w:tabs>
        <w:suppressAutoHyphens/>
        <w:spacing w:before="120"/>
        <w:ind w:left="567" w:hanging="567"/>
        <w:jc w:val="both"/>
        <w:rPr>
          <w:lang w:val="en-GB"/>
        </w:rPr>
      </w:pPr>
      <w:r>
        <w:rPr>
          <w:lang w:val="en-GB"/>
        </w:rPr>
        <w:t>that the protection of services in frequency bands below 1427 MHz and above 1518 MHz needs to be addressed;</w:t>
      </w:r>
    </w:p>
    <w:p w14:paraId="52A54E3C" w14:textId="77777777" w:rsidR="006A00A6" w:rsidRDefault="006A00A6" w:rsidP="006A00A6">
      <w:pPr>
        <w:numPr>
          <w:ilvl w:val="0"/>
          <w:numId w:val="17"/>
        </w:numPr>
        <w:tabs>
          <w:tab w:val="left" w:pos="3306"/>
        </w:tabs>
        <w:suppressAutoHyphens/>
        <w:spacing w:before="120"/>
        <w:ind w:left="567" w:hanging="567"/>
        <w:jc w:val="both"/>
        <w:rPr>
          <w:lang w:val="en-GB" w:eastAsia="zh-CN"/>
        </w:rPr>
      </w:pPr>
      <w:r>
        <w:rPr>
          <w:lang w:val="en-GB" w:eastAsia="zh-CN"/>
        </w:rPr>
        <w:t xml:space="preserve">that Resolution 750 (Rev.WRC-15) </w:t>
      </w:r>
      <w:r>
        <w:rPr>
          <w:lang w:val="en-GB" w:eastAsia="zh-CN"/>
        </w:rPr>
        <w:fldChar w:fldCharType="begin"/>
      </w:r>
      <w:r>
        <w:rPr>
          <w:lang w:val="en-GB" w:eastAsia="zh-CN"/>
        </w:rPr>
        <w:instrText xml:space="preserve"> REF _Ref482011235 \r \h </w:instrText>
      </w:r>
      <w:r>
        <w:rPr>
          <w:lang w:val="en-GB" w:eastAsia="zh-CN"/>
        </w:rPr>
      </w:r>
      <w:r>
        <w:rPr>
          <w:lang w:val="en-GB" w:eastAsia="zh-CN"/>
        </w:rPr>
        <w:fldChar w:fldCharType="separate"/>
      </w:r>
      <w:r w:rsidR="006211F5">
        <w:rPr>
          <w:lang w:val="en-GB" w:eastAsia="zh-CN"/>
        </w:rPr>
        <w:t>[2]</w:t>
      </w:r>
      <w:r>
        <w:rPr>
          <w:lang w:val="en-GB" w:eastAsia="zh-CN"/>
        </w:rPr>
        <w:fldChar w:fldCharType="end"/>
      </w:r>
      <w:r>
        <w:rPr>
          <w:lang w:val="en-GB" w:eastAsia="zh-CN"/>
        </w:rPr>
        <w:t xml:space="preserve"> provides relevant limits of unwanted emission power in the band 1400-1427 MHz applying to IMT stations operating in the band1427-1452 MHz;</w:t>
      </w:r>
    </w:p>
    <w:p w14:paraId="52A54E3D" w14:textId="77777777" w:rsidR="006A00A6" w:rsidRDefault="006A00A6" w:rsidP="006A00A6">
      <w:pPr>
        <w:numPr>
          <w:ilvl w:val="0"/>
          <w:numId w:val="17"/>
        </w:numPr>
        <w:tabs>
          <w:tab w:val="left" w:pos="3306"/>
        </w:tabs>
        <w:suppressAutoHyphens/>
        <w:spacing w:before="120"/>
        <w:ind w:left="567" w:hanging="567"/>
        <w:jc w:val="both"/>
        <w:rPr>
          <w:lang w:val="en-GB" w:eastAsia="zh-CN"/>
        </w:rPr>
      </w:pPr>
      <w:r>
        <w:rPr>
          <w:lang w:val="en-GB" w:eastAsia="zh-CN"/>
        </w:rPr>
        <w:t>that for the protection of radio astronomy observations in the passive band 1400-1427 MHz from IMT systems in the band 1427-1452 MHz, unwanted emission power limits in Resolution 750 (Rev.WRC-15) may not be sufficient and there is therefore a need to consider at national level relevant separation distances around radio telescopes, and other mitigation techniques such as additional filtering and/or a guard band for MFCN IMT stations, as required;</w:t>
      </w:r>
    </w:p>
    <w:p w14:paraId="52A54E3E" w14:textId="77777777" w:rsidR="006A00A6" w:rsidRDefault="006A00A6" w:rsidP="006A00A6">
      <w:pPr>
        <w:numPr>
          <w:ilvl w:val="0"/>
          <w:numId w:val="17"/>
        </w:numPr>
        <w:spacing w:before="120" w:after="120"/>
        <w:ind w:left="567" w:hanging="567"/>
        <w:jc w:val="both"/>
        <w:rPr>
          <w:lang w:val="en-GB"/>
        </w:rPr>
      </w:pPr>
      <w:r>
        <w:rPr>
          <w:lang w:val="en-GB"/>
        </w:rPr>
        <w:t xml:space="preserve">that ECC Report 263 </w:t>
      </w:r>
      <w:r>
        <w:rPr>
          <w:lang w:val="en-GB"/>
        </w:rPr>
        <w:fldChar w:fldCharType="begin"/>
      </w:r>
      <w:r>
        <w:rPr>
          <w:lang w:val="en-GB"/>
        </w:rPr>
        <w:instrText xml:space="preserve"> REF _Ref481764288 \r \h </w:instrText>
      </w:r>
      <w:r>
        <w:rPr>
          <w:lang w:val="en-GB"/>
        </w:rPr>
      </w:r>
      <w:r>
        <w:rPr>
          <w:lang w:val="en-GB"/>
        </w:rPr>
        <w:fldChar w:fldCharType="separate"/>
      </w:r>
      <w:r w:rsidR="006211F5">
        <w:rPr>
          <w:lang w:val="en-GB"/>
        </w:rPr>
        <w:t>[4]</w:t>
      </w:r>
      <w:r>
        <w:rPr>
          <w:lang w:val="en-GB"/>
        </w:rPr>
        <w:fldChar w:fldCharType="end"/>
      </w:r>
      <w:r>
        <w:rPr>
          <w:lang w:val="en-GB"/>
        </w:rPr>
        <w:t xml:space="preserve"> addresses adjacent band compatibility studies between IMT operating in the frequency band below 1518 MHz and the MSS operating in the frequency band above 1518 MHz;</w:t>
      </w:r>
    </w:p>
    <w:p w14:paraId="52A54E3F" w14:textId="77777777" w:rsidR="006A00A6" w:rsidRDefault="006A00A6" w:rsidP="006A00A6">
      <w:pPr>
        <w:numPr>
          <w:ilvl w:val="0"/>
          <w:numId w:val="17"/>
        </w:numPr>
        <w:spacing w:before="120" w:after="120"/>
        <w:ind w:left="567" w:hanging="567"/>
        <w:jc w:val="both"/>
        <w:rPr>
          <w:szCs w:val="20"/>
          <w:lang w:val="en-GB"/>
        </w:rPr>
      </w:pPr>
      <w:r>
        <w:rPr>
          <w:lang w:val="en-GB"/>
        </w:rPr>
        <w:t xml:space="preserve">that there are ongoing studies in CEPT of measures to address potential blocking of MES operating in bands adjacent to 1518 MHz (including 1525-1559 MHz) at sea ports and </w:t>
      </w:r>
      <w:r w:rsidRPr="001F33BE">
        <w:rPr>
          <w:lang w:val="en-GB"/>
        </w:rPr>
        <w:t xml:space="preserve">airports </w:t>
      </w:r>
      <w:r w:rsidRPr="00C94301">
        <w:t xml:space="preserve">and </w:t>
      </w:r>
      <w:r w:rsidRPr="001F33BE">
        <w:t>propose proportionate solutions to address this issue</w:t>
      </w:r>
      <w:r w:rsidRPr="001F33BE">
        <w:rPr>
          <w:lang w:val="en-GB"/>
        </w:rPr>
        <w:t>;</w:t>
      </w:r>
    </w:p>
    <w:p w14:paraId="52A54E40" w14:textId="77777777" w:rsidR="006A00A6" w:rsidRDefault="006A00A6" w:rsidP="006A00A6">
      <w:pPr>
        <w:numPr>
          <w:ilvl w:val="0"/>
          <w:numId w:val="17"/>
        </w:numPr>
        <w:tabs>
          <w:tab w:val="left" w:pos="3306"/>
        </w:tabs>
        <w:suppressAutoHyphens/>
        <w:spacing w:before="120"/>
        <w:ind w:left="567" w:hanging="567"/>
        <w:jc w:val="both"/>
        <w:rPr>
          <w:lang w:val="en-GB"/>
        </w:rPr>
      </w:pPr>
      <w:r>
        <w:rPr>
          <w:lang w:val="en-GB" w:eastAsia="zh-CN"/>
        </w:rPr>
        <w:t xml:space="preserve">that the 1427-1452 and 1492-1518 MHz bands are also used for land military systems in some countries according to ERC Report 25 </w:t>
      </w:r>
      <w:r>
        <w:rPr>
          <w:highlight w:val="yellow"/>
          <w:lang w:val="en-GB" w:eastAsia="zh-CN"/>
        </w:rPr>
        <w:fldChar w:fldCharType="begin"/>
      </w:r>
      <w:r>
        <w:rPr>
          <w:lang w:val="en-GB" w:eastAsia="zh-CN"/>
        </w:rPr>
        <w:instrText xml:space="preserve"> REF _Ref482004585 \r \h </w:instrText>
      </w:r>
      <w:r>
        <w:rPr>
          <w:highlight w:val="yellow"/>
          <w:lang w:val="en-GB" w:eastAsia="zh-CN"/>
        </w:rPr>
      </w:r>
      <w:r>
        <w:rPr>
          <w:highlight w:val="yellow"/>
          <w:lang w:val="en-GB" w:eastAsia="zh-CN"/>
        </w:rPr>
        <w:fldChar w:fldCharType="separate"/>
      </w:r>
      <w:r w:rsidR="006211F5">
        <w:rPr>
          <w:lang w:val="en-GB" w:eastAsia="zh-CN"/>
        </w:rPr>
        <w:t>[7]</w:t>
      </w:r>
      <w:r>
        <w:rPr>
          <w:highlight w:val="yellow"/>
          <w:lang w:val="en-GB" w:eastAsia="zh-CN"/>
        </w:rPr>
        <w:fldChar w:fldCharType="end"/>
      </w:r>
      <w:r>
        <w:rPr>
          <w:lang w:val="en-GB" w:eastAsia="zh-CN"/>
        </w:rPr>
        <w:t xml:space="preserve"> (ECA Table), however this does not exclude the utilisation for civil applications;</w:t>
      </w:r>
    </w:p>
    <w:p w14:paraId="52A54E41" w14:textId="77777777" w:rsidR="006A00A6" w:rsidRDefault="006A00A6" w:rsidP="006A00A6">
      <w:pPr>
        <w:numPr>
          <w:ilvl w:val="0"/>
          <w:numId w:val="17"/>
        </w:numPr>
        <w:tabs>
          <w:tab w:val="left" w:pos="3306"/>
        </w:tabs>
        <w:suppressAutoHyphens/>
        <w:spacing w:before="120"/>
        <w:ind w:left="567" w:hanging="567"/>
        <w:jc w:val="both"/>
        <w:rPr>
          <w:lang w:val="en-GB"/>
        </w:rPr>
      </w:pPr>
      <w:r>
        <w:rPr>
          <w:lang w:val="en-GB"/>
        </w:rPr>
        <w:t>that terrestrial Mobile/Fixed Communications Networks (MFCN) for the purpose of this Decision includes IMT and other communications networks in the mobile and fixed services;</w:t>
      </w:r>
    </w:p>
    <w:p w14:paraId="52A54E42" w14:textId="77777777" w:rsidR="006A00A6" w:rsidRDefault="006A00A6" w:rsidP="006A00A6">
      <w:pPr>
        <w:numPr>
          <w:ilvl w:val="0"/>
          <w:numId w:val="17"/>
        </w:numPr>
        <w:suppressAutoHyphens/>
        <w:spacing w:before="120"/>
        <w:ind w:left="567" w:hanging="567"/>
        <w:jc w:val="both"/>
        <w:rPr>
          <w:lang w:val="en-GB"/>
        </w:rPr>
      </w:pPr>
      <w:r>
        <w:rPr>
          <w:lang w:val="en-GB"/>
        </w:rPr>
        <w:t>that harmonised frequency arrangements facilitate economies of scale and availability of low-cost equipment;</w:t>
      </w:r>
    </w:p>
    <w:p w14:paraId="52A54E43" w14:textId="77777777" w:rsidR="006A00A6" w:rsidRDefault="006A00A6" w:rsidP="006A00A6">
      <w:pPr>
        <w:numPr>
          <w:ilvl w:val="0"/>
          <w:numId w:val="17"/>
        </w:numPr>
        <w:suppressAutoHyphens/>
        <w:spacing w:before="120"/>
        <w:ind w:left="567" w:hanging="567"/>
        <w:jc w:val="both"/>
        <w:rPr>
          <w:lang w:val="en-GB"/>
        </w:rPr>
      </w:pPr>
      <w:r>
        <w:rPr>
          <w:lang w:val="en-GB"/>
        </w:rPr>
        <w:t xml:space="preserve">that a MFCN Supplemental Downlink (SDL) </w:t>
      </w:r>
      <w:r>
        <w:rPr>
          <w:iCs/>
          <w:lang w:val="en-GB"/>
        </w:rPr>
        <w:t xml:space="preserve">is a </w:t>
      </w:r>
      <w:r>
        <w:rPr>
          <w:lang w:val="en-GB"/>
        </w:rPr>
        <w:t xml:space="preserve">mobile broadband system, which by means of base station transmitters in the network, uses the downlink to provide a supplemental downlink capacity to </w:t>
      </w:r>
      <w:r>
        <w:rPr>
          <w:szCs w:val="22"/>
          <w:lang w:val="en-GB"/>
        </w:rPr>
        <w:t>carry comprehensive text, audio, images, data, sound and video content</w:t>
      </w:r>
      <w:r>
        <w:rPr>
          <w:lang w:val="en-GB"/>
        </w:rPr>
        <w:t xml:space="preserve"> in general, in a unicasting, multicasting or broadcasting mode;</w:t>
      </w:r>
    </w:p>
    <w:p w14:paraId="52A54E44" w14:textId="77777777" w:rsidR="006A00A6" w:rsidRDefault="006A00A6" w:rsidP="006A00A6">
      <w:pPr>
        <w:numPr>
          <w:ilvl w:val="0"/>
          <w:numId w:val="17"/>
        </w:numPr>
        <w:suppressAutoHyphens/>
        <w:spacing w:before="120"/>
        <w:ind w:left="567" w:hanging="567"/>
        <w:jc w:val="both"/>
        <w:rPr>
          <w:lang w:val="en-GB"/>
        </w:rPr>
      </w:pPr>
      <w:r>
        <w:rPr>
          <w:lang w:val="en-GB"/>
        </w:rPr>
        <w:t>that a MFCN SDL could aggregate the usual downlink channel of a MFCN band with a supplemental downlink channel(s) to increase the downlink capacity;</w:t>
      </w:r>
    </w:p>
    <w:p w14:paraId="52A54E45" w14:textId="77777777" w:rsidR="006A00A6" w:rsidRDefault="006A00A6" w:rsidP="006A00A6">
      <w:pPr>
        <w:numPr>
          <w:ilvl w:val="0"/>
          <w:numId w:val="17"/>
        </w:numPr>
        <w:suppressAutoHyphens/>
        <w:spacing w:before="120"/>
        <w:ind w:left="567" w:hanging="567"/>
        <w:jc w:val="both"/>
        <w:rPr>
          <w:lang w:val="en-GB"/>
        </w:rPr>
      </w:pPr>
      <w:r>
        <w:rPr>
          <w:lang w:val="en-GB"/>
        </w:rPr>
        <w:t xml:space="preserve">that there could be differences in the market demand for spectrum for MFCN SDL and that different licensing schemes across CEPT countries on incumbent services could lead to different timescales concerning the introduction of Mobile/Fixed Communication services in the frequency bands </w:t>
      </w:r>
      <w:r>
        <w:rPr>
          <w:lang w:val="en-GB"/>
        </w:rPr>
        <w:br/>
        <w:t>1427-1452 MHz and 1492-1518 MHz;</w:t>
      </w:r>
    </w:p>
    <w:p w14:paraId="52A54E46" w14:textId="77777777" w:rsidR="006A00A6" w:rsidRDefault="006A00A6" w:rsidP="006A00A6">
      <w:pPr>
        <w:numPr>
          <w:ilvl w:val="0"/>
          <w:numId w:val="17"/>
        </w:numPr>
        <w:suppressAutoHyphens/>
        <w:spacing w:before="120"/>
        <w:ind w:left="567" w:hanging="567"/>
        <w:jc w:val="both"/>
        <w:rPr>
          <w:lang w:val="en-GB"/>
        </w:rPr>
      </w:pPr>
      <w:r>
        <w:rPr>
          <w:lang w:val="en-GB"/>
        </w:rPr>
        <w:t xml:space="preserve">that different national usage plans could lead to only partial availability of the frequency bands </w:t>
      </w:r>
      <w:r>
        <w:rPr>
          <w:lang w:val="en-GB"/>
        </w:rPr>
        <w:br/>
        <w:t>1427-1452 MHz and/or 1492-1518 MHz for the introduction of MFCN SDL;</w:t>
      </w:r>
    </w:p>
    <w:p w14:paraId="52A54E47" w14:textId="77777777" w:rsidR="006A00A6" w:rsidRDefault="006A00A6" w:rsidP="006A00A6">
      <w:pPr>
        <w:numPr>
          <w:ilvl w:val="0"/>
          <w:numId w:val="17"/>
        </w:numPr>
        <w:suppressAutoHyphens/>
        <w:spacing w:before="120"/>
        <w:ind w:left="567" w:hanging="567"/>
        <w:jc w:val="both"/>
        <w:rPr>
          <w:lang w:val="en-GB"/>
        </w:rPr>
      </w:pPr>
      <w:r>
        <w:rPr>
          <w:lang w:val="en-GB"/>
        </w:rPr>
        <w:lastRenderedPageBreak/>
        <w:t>that data based traffic over mobile broadband networks is predicted to increase over the coming years with a particular evolution towards asymmetrical traffic due to mobile multimedia usage leading to an increasing demand for downlink capacity;</w:t>
      </w:r>
    </w:p>
    <w:p w14:paraId="52A54E48" w14:textId="77777777" w:rsidR="006A00A6" w:rsidRDefault="006A00A6" w:rsidP="006A00A6">
      <w:pPr>
        <w:numPr>
          <w:ilvl w:val="0"/>
          <w:numId w:val="17"/>
        </w:numPr>
        <w:suppressAutoHyphens/>
        <w:spacing w:before="120"/>
        <w:ind w:left="567" w:hanging="567"/>
        <w:jc w:val="both"/>
        <w:rPr>
          <w:lang w:val="en-GB"/>
        </w:rPr>
      </w:pPr>
      <w:r>
        <w:rPr>
          <w:szCs w:val="22"/>
          <w:lang w:val="en-GB"/>
        </w:rPr>
        <w:t>that some radio-communication standards enable the efficient delivery of live and on-demand content to mobile devices over MFCN SDL for example using broadcast over eMBMS (evolved Multimedia Broadcast Multicast Service) and dynamic unicast/broadcast hand-off techniques;</w:t>
      </w:r>
    </w:p>
    <w:p w14:paraId="52A54E49" w14:textId="77777777" w:rsidR="006A00A6" w:rsidRPr="002248FB" w:rsidRDefault="006A00A6" w:rsidP="006A00A6">
      <w:pPr>
        <w:numPr>
          <w:ilvl w:val="0"/>
          <w:numId w:val="17"/>
        </w:numPr>
        <w:tabs>
          <w:tab w:val="left" w:pos="3306"/>
        </w:tabs>
        <w:suppressAutoHyphens/>
        <w:spacing w:before="120"/>
        <w:ind w:left="567" w:hanging="567"/>
        <w:jc w:val="both"/>
        <w:rPr>
          <w:lang w:val="en-GB"/>
        </w:rPr>
      </w:pPr>
      <w:r>
        <w:rPr>
          <w:lang w:val="en-GB"/>
        </w:rPr>
        <w:t xml:space="preserve">that the appropriate frequency block size for MFCN SDL is 5 MHz, or a multiple thereof, which does </w:t>
      </w:r>
      <w:r w:rsidRPr="002248FB">
        <w:rPr>
          <w:lang w:val="en-GB"/>
        </w:rPr>
        <w:t>not preclude smaller channel bandwidths within a block;</w:t>
      </w:r>
    </w:p>
    <w:p w14:paraId="52A54E4A" w14:textId="77777777" w:rsidR="006A00A6" w:rsidRPr="002248FB" w:rsidRDefault="006A00A6" w:rsidP="006A00A6">
      <w:pPr>
        <w:numPr>
          <w:ilvl w:val="0"/>
          <w:numId w:val="17"/>
        </w:numPr>
        <w:tabs>
          <w:tab w:val="left" w:pos="3306"/>
        </w:tabs>
        <w:suppressAutoHyphens/>
        <w:spacing w:before="120"/>
        <w:ind w:left="567" w:hanging="567"/>
        <w:jc w:val="both"/>
        <w:rPr>
          <w:lang w:val="en-GB"/>
        </w:rPr>
      </w:pPr>
      <w:r w:rsidRPr="002248FB">
        <w:rPr>
          <w:lang w:val="en-GB"/>
        </w:rPr>
        <w:t>that the block edge mask (BEM) concept has been developed by CEPT to facilitate implementation of spectrum rights of use which are as technology neutral as possible;</w:t>
      </w:r>
    </w:p>
    <w:p w14:paraId="52A54E4B" w14:textId="77777777" w:rsidR="006A00A6" w:rsidRPr="002248FB" w:rsidRDefault="006A00A6" w:rsidP="006A00A6">
      <w:pPr>
        <w:numPr>
          <w:ilvl w:val="0"/>
          <w:numId w:val="17"/>
        </w:numPr>
        <w:tabs>
          <w:tab w:val="left" w:pos="3306"/>
        </w:tabs>
        <w:suppressAutoHyphens/>
        <w:spacing w:before="120"/>
        <w:ind w:left="567" w:hanging="567"/>
        <w:jc w:val="both"/>
        <w:rPr>
          <w:lang w:val="en-GB"/>
        </w:rPr>
      </w:pPr>
      <w:r w:rsidRPr="002248FB">
        <w:t>that if 5G specifications are consistent with the proposed harmonised technical conditions contained in CEPT Report 65, then it will be suitable for the implementation of 5G terrestrial wireless systems;</w:t>
      </w:r>
    </w:p>
    <w:p w14:paraId="52A54E4C" w14:textId="77777777" w:rsidR="006A00A6" w:rsidRPr="002248FB" w:rsidRDefault="006A00A6" w:rsidP="006A00A6">
      <w:pPr>
        <w:numPr>
          <w:ilvl w:val="0"/>
          <w:numId w:val="17"/>
        </w:numPr>
        <w:suppressAutoHyphens/>
        <w:spacing w:before="120"/>
        <w:ind w:left="567" w:hanging="567"/>
        <w:jc w:val="both"/>
        <w:rPr>
          <w:lang w:val="en-GB"/>
        </w:rPr>
      </w:pPr>
      <w:r w:rsidRPr="002248FB">
        <w:rPr>
          <w:lang w:val="en-GB"/>
        </w:rPr>
        <w:t>that the designation of the frequency bands 1427-1452 MHz and 1492-1518 MHz to MFCN SDL does not prevent administrations from using either of the bands, or parts thereof, for other terrestrial applications to adapt to national circumstances;</w:t>
      </w:r>
    </w:p>
    <w:p w14:paraId="52A54E4D" w14:textId="77777777" w:rsidR="006A00A6" w:rsidRDefault="006A00A6" w:rsidP="006A00A6">
      <w:pPr>
        <w:numPr>
          <w:ilvl w:val="0"/>
          <w:numId w:val="17"/>
        </w:numPr>
        <w:suppressAutoHyphens/>
        <w:spacing w:before="120"/>
        <w:ind w:left="567" w:hanging="567"/>
        <w:jc w:val="both"/>
        <w:rPr>
          <w:szCs w:val="20"/>
          <w:lang w:val="en-GB"/>
        </w:rPr>
      </w:pPr>
      <w:r>
        <w:rPr>
          <w:szCs w:val="20"/>
          <w:lang w:val="en-GB" w:eastAsia="de-DE"/>
        </w:rPr>
        <w:t xml:space="preserve">that </w:t>
      </w:r>
      <w:r>
        <w:rPr>
          <w:rFonts w:cs="Arial"/>
          <w:lang w:val="en-GB"/>
        </w:rPr>
        <w:t xml:space="preserve">MFCN SDL to aeronautical telemetry cross-border coordination in the frequency </w:t>
      </w:r>
      <w:r>
        <w:rPr>
          <w:lang w:val="en-GB"/>
        </w:rPr>
        <w:t xml:space="preserve">bands </w:t>
      </w:r>
      <w:r>
        <w:rPr>
          <w:lang w:val="en-GB"/>
        </w:rPr>
        <w:br/>
        <w:t xml:space="preserve">1429–1452 MHz and 1492-1518 MHz will be studied in order to provide further guidance, where needed, to administrations for </w:t>
      </w:r>
      <w:r>
        <w:rPr>
          <w:rFonts w:cs="Arial"/>
          <w:lang w:val="en-GB"/>
        </w:rPr>
        <w:t>bi/multi-lateral negotiations;</w:t>
      </w:r>
    </w:p>
    <w:p w14:paraId="52A54E4E" w14:textId="77777777" w:rsidR="006A00A6" w:rsidRDefault="006A00A6" w:rsidP="006A00A6">
      <w:pPr>
        <w:numPr>
          <w:ilvl w:val="0"/>
          <w:numId w:val="17"/>
        </w:numPr>
        <w:suppressAutoHyphens/>
        <w:spacing w:before="120"/>
        <w:ind w:left="567" w:hanging="567"/>
        <w:jc w:val="both"/>
        <w:rPr>
          <w:lang w:val="en-GB"/>
        </w:rPr>
      </w:pPr>
      <w:r>
        <w:rPr>
          <w:lang w:val="en-GB"/>
        </w:rPr>
        <w:t xml:space="preserve">that </w:t>
      </w:r>
      <w:r>
        <w:rPr>
          <w:rFonts w:cs="Arial"/>
          <w:lang w:val="en-GB"/>
        </w:rPr>
        <w:t xml:space="preserve">MFCN SDL to MFCN SDL cross-border coordination in the frequency </w:t>
      </w:r>
      <w:r>
        <w:rPr>
          <w:lang w:val="en-GB"/>
        </w:rPr>
        <w:t xml:space="preserve">bands 1427-1452 MHz and 1492-1518 MHz </w:t>
      </w:r>
      <w:r>
        <w:rPr>
          <w:rFonts w:cs="Arial"/>
          <w:lang w:val="en-GB"/>
        </w:rPr>
        <w:t>needs to be addressed and is expected to be addressed in an appropriate ECC Recommendation;</w:t>
      </w:r>
    </w:p>
    <w:p w14:paraId="52A54E4F" w14:textId="77777777" w:rsidR="006A00A6" w:rsidRDefault="006A00A6" w:rsidP="006A00A6">
      <w:pPr>
        <w:pStyle w:val="ECCParagraph"/>
        <w:numPr>
          <w:ilvl w:val="0"/>
          <w:numId w:val="17"/>
        </w:numPr>
        <w:spacing w:before="120"/>
        <w:ind w:left="567" w:hanging="567"/>
      </w:pPr>
      <w:r>
        <w:t xml:space="preserve">that in EU/EFTA countries the radio equipment that is under the scope of this Decision shall comply with the RE Directive </w:t>
      </w:r>
      <w:r>
        <w:rPr>
          <w:highlight w:val="yellow"/>
        </w:rPr>
        <w:fldChar w:fldCharType="begin"/>
      </w:r>
      <w:r>
        <w:instrText xml:space="preserve"> REF _Ref482018812 \r \h </w:instrText>
      </w:r>
      <w:r>
        <w:rPr>
          <w:highlight w:val="yellow"/>
        </w:rPr>
      </w:r>
      <w:r>
        <w:rPr>
          <w:highlight w:val="yellow"/>
        </w:rPr>
        <w:fldChar w:fldCharType="separate"/>
      </w:r>
      <w:r w:rsidR="006211F5">
        <w:t>[9]</w:t>
      </w:r>
      <w:r>
        <w:rPr>
          <w:highlight w:val="yellow"/>
        </w:rPr>
        <w:fldChar w:fldCharType="end"/>
      </w:r>
      <w:r>
        <w:t>. Conformity with the essential requirements of the RE Directive may be demonstrated by compliance with the applicable harmonised European standard(s) or by using the other conformity assessment procedures set out in the RE Directive.</w:t>
      </w:r>
    </w:p>
    <w:p w14:paraId="52A54E50" w14:textId="77777777" w:rsidR="006A00A6" w:rsidRDefault="006A00A6" w:rsidP="001C23B8">
      <w:pPr>
        <w:pStyle w:val="ECCParagraph"/>
        <w:spacing w:before="120" w:after="120"/>
      </w:pPr>
    </w:p>
    <w:p w14:paraId="52A54E51" w14:textId="77777777" w:rsidR="006C03D0" w:rsidRPr="00C10DC9" w:rsidRDefault="005F7AD5" w:rsidP="006C03D0">
      <w:pPr>
        <w:pStyle w:val="ECCParagraph"/>
        <w:rPr>
          <w:color w:val="D2232A"/>
        </w:rPr>
      </w:pPr>
      <w:r w:rsidRPr="00C10DC9">
        <w:rPr>
          <w:i/>
          <w:color w:val="D2232A"/>
        </w:rPr>
        <w:t>DECIDES</w:t>
      </w:r>
      <w:r w:rsidRPr="00C10DC9">
        <w:rPr>
          <w:color w:val="D2232A"/>
        </w:rPr>
        <w:t xml:space="preserve"> </w:t>
      </w:r>
    </w:p>
    <w:p w14:paraId="52A54E52" w14:textId="77777777" w:rsidR="006A00A6" w:rsidRPr="002248FB" w:rsidRDefault="006A00A6" w:rsidP="006A00A6">
      <w:pPr>
        <w:pStyle w:val="NumberedList"/>
      </w:pPr>
      <w:r>
        <w:t xml:space="preserve">that the </w:t>
      </w:r>
      <w:r>
        <w:rPr>
          <w:b/>
        </w:rPr>
        <w:t>purpose of this ECC Decision</w:t>
      </w:r>
      <w:r>
        <w:t xml:space="preserve"> is to harmonise technical conditions for the use of the bands 1427-1452 and 1492-1518 MHz for terrestrial Mobile/Fixed Communications Networks Supplemental Downlink (MFCN </w:t>
      </w:r>
      <w:r w:rsidRPr="002248FB">
        <w:t>SDL);</w:t>
      </w:r>
    </w:p>
    <w:p w14:paraId="52A54E53" w14:textId="77777777" w:rsidR="006A00A6" w:rsidRPr="002248FB" w:rsidRDefault="006A00A6" w:rsidP="006A00A6">
      <w:pPr>
        <w:pStyle w:val="NumberedList"/>
      </w:pPr>
      <w:r w:rsidRPr="002248FB">
        <w:t xml:space="preserve">that CEPT administrations shall designate the frequency bands 1427-1452 MHz and 1492–1518 MHz to MFCN SDL, ensuring, when needed, the necessary flexibility to respond to national needs, taking into account </w:t>
      </w:r>
      <w:r w:rsidRPr="00C94301">
        <w:rPr>
          <w:rFonts w:cs="Arial"/>
          <w:szCs w:val="22"/>
        </w:rPr>
        <w:t>considering u) above,</w:t>
      </w:r>
      <w:r w:rsidRPr="002248FB">
        <w:t xml:space="preserve"> and market demand;</w:t>
      </w:r>
    </w:p>
    <w:p w14:paraId="52A54E54" w14:textId="77777777" w:rsidR="006A00A6" w:rsidRDefault="006A00A6" w:rsidP="006A00A6">
      <w:pPr>
        <w:pStyle w:val="NumberedList"/>
        <w:rPr>
          <w:szCs w:val="20"/>
        </w:rPr>
      </w:pPr>
      <w:r w:rsidRPr="002248FB">
        <w:rPr>
          <w:szCs w:val="20"/>
        </w:rPr>
        <w:t xml:space="preserve">that, for the purpose of this ECC Decision, the </w:t>
      </w:r>
      <w:r w:rsidRPr="002248FB">
        <w:rPr>
          <w:b/>
          <w:szCs w:val="20"/>
        </w:rPr>
        <w:t>following technical and operational parameters</w:t>
      </w:r>
      <w:r w:rsidRPr="002248FB">
        <w:rPr>
          <w:szCs w:val="20"/>
        </w:rPr>
        <w:t xml:space="preserve"> apply to MFCN SDL in </w:t>
      </w:r>
      <w:r w:rsidRPr="002248FB">
        <w:t>the frequency bands 1427-1452 and 1492</w:t>
      </w:r>
      <w:r>
        <w:t>-1518 MHz:</w:t>
      </w:r>
    </w:p>
    <w:p w14:paraId="52A54E55" w14:textId="77777777" w:rsidR="006A00A6" w:rsidRDefault="006A00A6" w:rsidP="006A00A6">
      <w:pPr>
        <w:pStyle w:val="NumberedList"/>
        <w:numPr>
          <w:ilvl w:val="1"/>
          <w:numId w:val="15"/>
        </w:numPr>
        <w:rPr>
          <w:szCs w:val="20"/>
        </w:rPr>
      </w:pPr>
      <w:r>
        <w:t>the harmonised frequency arrangement is given in Annex 1;</w:t>
      </w:r>
    </w:p>
    <w:p w14:paraId="52A54E56" w14:textId="77777777" w:rsidR="006A00A6" w:rsidRDefault="006A00A6" w:rsidP="006A00A6">
      <w:pPr>
        <w:pStyle w:val="NumberedList"/>
        <w:numPr>
          <w:ilvl w:val="1"/>
          <w:numId w:val="15"/>
        </w:numPr>
        <w:rPr>
          <w:szCs w:val="20"/>
        </w:rPr>
      </w:pPr>
      <w:r>
        <w:t>the least restrictive technical conditions (LRTC) are specified in Annex 2;</w:t>
      </w:r>
    </w:p>
    <w:p w14:paraId="52A54E57" w14:textId="23F18AF3" w:rsidR="006A00A6" w:rsidRDefault="006A00A6" w:rsidP="006A00A6">
      <w:pPr>
        <w:pStyle w:val="NumberedList"/>
      </w:pPr>
      <w:r>
        <w:t xml:space="preserve">that this Decision </w:t>
      </w:r>
      <w:r>
        <w:rPr>
          <w:b/>
        </w:rPr>
        <w:t>enters into force</w:t>
      </w:r>
      <w:r>
        <w:t xml:space="preserve"> on 17 November 2017;</w:t>
      </w:r>
      <w:r w:rsidR="001C23B8">
        <w:t xml:space="preserve"> </w:t>
      </w:r>
    </w:p>
    <w:p w14:paraId="52A54E58" w14:textId="77777777" w:rsidR="006A00A6" w:rsidRDefault="006A00A6" w:rsidP="001C23B8">
      <w:pPr>
        <w:pStyle w:val="NumberedList"/>
      </w:pPr>
      <w:r>
        <w:t xml:space="preserve">that the preferred </w:t>
      </w:r>
      <w:r>
        <w:rPr>
          <w:b/>
        </w:rPr>
        <w:t>date for implementation</w:t>
      </w:r>
      <w:r>
        <w:t xml:space="preserve"> of this Decision shall be 17 May 2018; </w:t>
      </w:r>
    </w:p>
    <w:p w14:paraId="52A54E59" w14:textId="77777777" w:rsidR="006A00A6" w:rsidRDefault="006A00A6" w:rsidP="001C23B8">
      <w:pPr>
        <w:pStyle w:val="NumberedList"/>
      </w:pPr>
      <w:r>
        <w:t xml:space="preserve">that CEPT administrations shall communicate the </w:t>
      </w:r>
      <w:r>
        <w:rPr>
          <w:b/>
        </w:rPr>
        <w:t>national measures</w:t>
      </w:r>
      <w:r>
        <w:t xml:space="preserve"> implementing this Decision to the </w:t>
      </w:r>
      <w:smartTag w:uri="urn:schemas-microsoft-com:office:smarttags" w:element="stockticker">
        <w:r>
          <w:t>ECC</w:t>
        </w:r>
      </w:smartTag>
      <w:r>
        <w:t xml:space="preserve"> Chairman and the Office when this ECC Decision is nationally implemented.</w:t>
      </w:r>
    </w:p>
    <w:p w14:paraId="52A54E5B" w14:textId="77777777" w:rsidR="001C46EA" w:rsidRPr="00FE1795" w:rsidRDefault="001C46EA" w:rsidP="001C23B8">
      <w:pPr>
        <w:pStyle w:val="ECCParagraph"/>
        <w:rPr>
          <w:i/>
          <w:color w:val="D2232A"/>
        </w:rPr>
      </w:pPr>
      <w:r w:rsidRPr="00FE1795">
        <w:rPr>
          <w:i/>
          <w:color w:val="D2232A"/>
        </w:rPr>
        <w:t xml:space="preserve">Note: </w:t>
      </w:r>
    </w:p>
    <w:p w14:paraId="52A54E5C" w14:textId="77777777" w:rsidR="001C46EA" w:rsidRDefault="001C46EA" w:rsidP="001C23B8">
      <w:pPr>
        <w:pStyle w:val="ECCParagraph"/>
      </w:pPr>
      <w:r w:rsidRPr="00E80C5C">
        <w:rPr>
          <w:i/>
          <w:szCs w:val="20"/>
        </w:rPr>
        <w:t xml:space="preserve">Please check the Office </w:t>
      </w:r>
      <w:r>
        <w:rPr>
          <w:i/>
          <w:szCs w:val="20"/>
        </w:rPr>
        <w:t>documentation database</w:t>
      </w:r>
      <w:r w:rsidRPr="00E80C5C">
        <w:rPr>
          <w:i/>
          <w:szCs w:val="20"/>
        </w:rPr>
        <w:t xml:space="preserve"> http://www.</w:t>
      </w:r>
      <w:r>
        <w:rPr>
          <w:i/>
          <w:szCs w:val="20"/>
        </w:rPr>
        <w:t>ecodocdb.dk for</w:t>
      </w:r>
      <w:r w:rsidRPr="00E80C5C">
        <w:rPr>
          <w:i/>
          <w:szCs w:val="20"/>
        </w:rPr>
        <w:t xml:space="preserve"> the up to date position on the implementation of this and other </w:t>
      </w:r>
      <w:smartTag w:uri="urn:schemas-microsoft-com:office:smarttags" w:element="stockticker">
        <w:r w:rsidRPr="00E80C5C">
          <w:rPr>
            <w:i/>
            <w:szCs w:val="20"/>
          </w:rPr>
          <w:t>ECC</w:t>
        </w:r>
      </w:smartTag>
      <w:r w:rsidRPr="00E80C5C">
        <w:rPr>
          <w:i/>
          <w:szCs w:val="20"/>
        </w:rPr>
        <w:t xml:space="preserve"> Decisions.</w:t>
      </w:r>
    </w:p>
    <w:p w14:paraId="52A54E5D" w14:textId="77777777" w:rsidR="006A00A6" w:rsidRDefault="006A00A6" w:rsidP="006A00A6">
      <w:pPr>
        <w:pStyle w:val="ECCAnnex-heading1"/>
      </w:pPr>
      <w:bookmarkStart w:id="2" w:name="_Toc280099658"/>
      <w:r>
        <w:lastRenderedPageBreak/>
        <w:t>Harmonised frequency arrangement for the bands 1427-1452 and 1492-1518 MHz</w:t>
      </w:r>
    </w:p>
    <w:p w14:paraId="52A54E5E" w14:textId="77777777" w:rsidR="006A00A6" w:rsidRPr="002248FB" w:rsidRDefault="006A00A6" w:rsidP="006A00A6">
      <w:pPr>
        <w:pStyle w:val="ECCParagraph"/>
      </w:pPr>
      <w:r w:rsidRPr="002248FB">
        <w:t>The harmonised frequency arrangements are based on a block size of 5 MHz, resulting in the following 10 frequency blocks in the bands 1427-1452 and 1492-1518 MHz:</w:t>
      </w:r>
    </w:p>
    <w:p w14:paraId="52A54E5F" w14:textId="77777777" w:rsidR="006A00A6" w:rsidRPr="002248FB" w:rsidRDefault="006A00A6" w:rsidP="006A00A6">
      <w:pPr>
        <w:pStyle w:val="Caption"/>
      </w:pPr>
      <w:r w:rsidRPr="002248FB">
        <w:t xml:space="preserve">Table </w:t>
      </w:r>
      <w:r w:rsidRPr="005157F3">
        <w:fldChar w:fldCharType="begin"/>
      </w:r>
      <w:r w:rsidRPr="002248FB">
        <w:instrText xml:space="preserve"> SEQ Table \* ARABIC </w:instrText>
      </w:r>
      <w:r w:rsidRPr="005157F3">
        <w:rPr>
          <w:noProof/>
        </w:rPr>
        <w:fldChar w:fldCharType="separate"/>
      </w:r>
      <w:r w:rsidR="006211F5">
        <w:rPr>
          <w:noProof/>
        </w:rPr>
        <w:t>1</w:t>
      </w:r>
      <w:r w:rsidRPr="005157F3">
        <w:rPr>
          <w:noProof/>
        </w:rPr>
        <w:fldChar w:fldCharType="end"/>
      </w:r>
      <w:r w:rsidRPr="002248FB">
        <w:t>: Harmonised frequency arrangement for 1427-1452 MHz</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251"/>
        <w:gridCol w:w="1173"/>
        <w:gridCol w:w="1173"/>
        <w:gridCol w:w="1173"/>
        <w:gridCol w:w="1173"/>
      </w:tblGrid>
      <w:tr w:rsidR="006A00A6" w:rsidRPr="002248FB" w14:paraId="52A54E65" w14:textId="77777777" w:rsidTr="00C94301">
        <w:trPr>
          <w:tblHeader/>
          <w:jc w:val="center"/>
        </w:trPr>
        <w:tc>
          <w:tcPr>
            <w:tcW w:w="0" w:type="auto"/>
            <w:shd w:val="clear" w:color="auto" w:fill="FFFFFF" w:themeFill="background1"/>
            <w:vAlign w:val="center"/>
          </w:tcPr>
          <w:p w14:paraId="52A54E60" w14:textId="77777777" w:rsidR="006A00A6" w:rsidRPr="002248FB" w:rsidRDefault="006A00A6" w:rsidP="00C94301">
            <w:pPr>
              <w:spacing w:before="60" w:after="60" w:line="288" w:lineRule="auto"/>
              <w:jc w:val="center"/>
              <w:rPr>
                <w:rFonts w:cs="Arial"/>
                <w:b/>
                <w:color w:val="FFFFFF"/>
                <w:lang w:val="en-GB"/>
              </w:rPr>
            </w:pPr>
            <w:r w:rsidRPr="002248FB">
              <w:rPr>
                <w:rFonts w:cs="Arial"/>
                <w:color w:val="000000"/>
                <w:kern w:val="24"/>
                <w:szCs w:val="22"/>
                <w:lang w:val="en-GB"/>
              </w:rPr>
              <w:t>1427-1432*</w:t>
            </w:r>
          </w:p>
        </w:tc>
        <w:tc>
          <w:tcPr>
            <w:tcW w:w="0" w:type="auto"/>
            <w:shd w:val="clear" w:color="auto" w:fill="FFFFFF" w:themeFill="background1"/>
            <w:vAlign w:val="center"/>
          </w:tcPr>
          <w:p w14:paraId="52A54E61" w14:textId="77777777" w:rsidR="006A00A6" w:rsidRPr="002248FB" w:rsidRDefault="006A00A6" w:rsidP="00C94301">
            <w:pPr>
              <w:spacing w:before="60" w:after="60" w:line="288" w:lineRule="auto"/>
              <w:jc w:val="center"/>
              <w:rPr>
                <w:rFonts w:cs="Arial"/>
                <w:b/>
                <w:color w:val="FFFFFF"/>
                <w:lang w:val="en-GB"/>
              </w:rPr>
            </w:pPr>
            <w:r w:rsidRPr="002248FB">
              <w:rPr>
                <w:rFonts w:cs="Arial"/>
                <w:color w:val="000000"/>
                <w:kern w:val="24"/>
                <w:szCs w:val="22"/>
                <w:lang w:val="en-GB"/>
              </w:rPr>
              <w:t>1432-1437</w:t>
            </w:r>
          </w:p>
        </w:tc>
        <w:tc>
          <w:tcPr>
            <w:tcW w:w="0" w:type="auto"/>
            <w:shd w:val="clear" w:color="auto" w:fill="FFFFFF" w:themeFill="background1"/>
            <w:vAlign w:val="center"/>
          </w:tcPr>
          <w:p w14:paraId="52A54E62" w14:textId="77777777" w:rsidR="006A00A6" w:rsidRPr="002248FB" w:rsidRDefault="006A00A6" w:rsidP="00C94301">
            <w:pPr>
              <w:spacing w:before="60" w:after="60" w:line="288" w:lineRule="auto"/>
              <w:jc w:val="center"/>
              <w:rPr>
                <w:rFonts w:cs="Arial"/>
                <w:b/>
                <w:color w:val="FFFFFF"/>
                <w:lang w:val="en-GB"/>
              </w:rPr>
            </w:pPr>
            <w:r w:rsidRPr="002248FB">
              <w:rPr>
                <w:rFonts w:cs="Arial"/>
                <w:color w:val="000000"/>
                <w:kern w:val="24"/>
                <w:szCs w:val="22"/>
                <w:lang w:val="en-GB"/>
              </w:rPr>
              <w:t>1437-1442</w:t>
            </w:r>
          </w:p>
        </w:tc>
        <w:tc>
          <w:tcPr>
            <w:tcW w:w="0" w:type="auto"/>
            <w:shd w:val="clear" w:color="auto" w:fill="FFFFFF" w:themeFill="background1"/>
            <w:vAlign w:val="center"/>
          </w:tcPr>
          <w:p w14:paraId="52A54E63" w14:textId="77777777" w:rsidR="006A00A6" w:rsidRPr="002248FB" w:rsidRDefault="006A00A6" w:rsidP="00C94301">
            <w:pPr>
              <w:spacing w:before="60" w:after="60" w:line="288" w:lineRule="auto"/>
              <w:jc w:val="center"/>
              <w:rPr>
                <w:rFonts w:cs="Arial"/>
                <w:b/>
                <w:color w:val="FFFFFF"/>
                <w:lang w:val="en-GB"/>
              </w:rPr>
            </w:pPr>
            <w:r w:rsidRPr="002248FB">
              <w:rPr>
                <w:rFonts w:cs="Arial"/>
                <w:color w:val="000000"/>
                <w:kern w:val="24"/>
                <w:szCs w:val="22"/>
                <w:lang w:val="en-GB"/>
              </w:rPr>
              <w:t>1442-1447</w:t>
            </w:r>
          </w:p>
        </w:tc>
        <w:tc>
          <w:tcPr>
            <w:tcW w:w="0" w:type="auto"/>
            <w:shd w:val="clear" w:color="auto" w:fill="FFFFFF" w:themeFill="background1"/>
            <w:vAlign w:val="center"/>
          </w:tcPr>
          <w:p w14:paraId="52A54E64" w14:textId="77777777" w:rsidR="006A00A6" w:rsidRPr="002248FB" w:rsidRDefault="006A00A6" w:rsidP="00C94301">
            <w:pPr>
              <w:spacing w:before="60" w:after="60" w:line="288" w:lineRule="auto"/>
              <w:jc w:val="center"/>
              <w:rPr>
                <w:rFonts w:cs="Arial"/>
                <w:b/>
                <w:color w:val="FFFFFF"/>
                <w:lang w:val="en-GB"/>
              </w:rPr>
            </w:pPr>
            <w:r w:rsidRPr="002248FB">
              <w:rPr>
                <w:rFonts w:cs="Arial"/>
                <w:color w:val="000000"/>
                <w:kern w:val="24"/>
                <w:szCs w:val="22"/>
                <w:lang w:val="en-GB"/>
              </w:rPr>
              <w:t>1447-1452</w:t>
            </w:r>
          </w:p>
        </w:tc>
      </w:tr>
      <w:tr w:rsidR="006A00A6" w:rsidRPr="002248FB" w14:paraId="52A54E67" w14:textId="77777777" w:rsidTr="00C94301">
        <w:trPr>
          <w:tblHeader/>
          <w:jc w:val="center"/>
        </w:trPr>
        <w:tc>
          <w:tcPr>
            <w:tcW w:w="0" w:type="auto"/>
            <w:gridSpan w:val="5"/>
            <w:shd w:val="clear" w:color="auto" w:fill="D2232A"/>
          </w:tcPr>
          <w:p w14:paraId="52A54E66" w14:textId="77777777" w:rsidR="006A00A6" w:rsidRPr="002248FB" w:rsidRDefault="006A00A6" w:rsidP="00C94301">
            <w:pPr>
              <w:spacing w:before="60" w:after="60"/>
              <w:jc w:val="center"/>
              <w:rPr>
                <w:rFonts w:cs="Arial"/>
                <w:color w:val="FFFFFF" w:themeColor="background1"/>
                <w:lang w:val="en-GB"/>
              </w:rPr>
            </w:pPr>
            <w:r w:rsidRPr="002248FB">
              <w:rPr>
                <w:rFonts w:cs="Arial"/>
                <w:b/>
                <w:bCs/>
                <w:color w:val="FFFFFF" w:themeColor="background1"/>
                <w:lang w:val="en-GB"/>
              </w:rPr>
              <w:t>Downlink (base station transmit)</w:t>
            </w:r>
          </w:p>
        </w:tc>
      </w:tr>
      <w:tr w:rsidR="006A00A6" w:rsidRPr="002248FB" w14:paraId="52A54E69" w14:textId="77777777" w:rsidTr="00C94301">
        <w:trPr>
          <w:jc w:val="center"/>
        </w:trPr>
        <w:tc>
          <w:tcPr>
            <w:tcW w:w="0" w:type="auto"/>
            <w:gridSpan w:val="5"/>
          </w:tcPr>
          <w:p w14:paraId="52A54E68" w14:textId="77777777" w:rsidR="006A00A6" w:rsidRPr="002248FB" w:rsidRDefault="006A00A6" w:rsidP="00C94301">
            <w:pPr>
              <w:spacing w:before="60" w:after="60"/>
              <w:jc w:val="center"/>
              <w:rPr>
                <w:rFonts w:cs="Arial"/>
                <w:lang w:val="en-GB"/>
              </w:rPr>
            </w:pPr>
            <w:r w:rsidRPr="002248FB">
              <w:rPr>
                <w:rFonts w:cs="Arial"/>
                <w:lang w:val="en-GB"/>
              </w:rPr>
              <w:t>25 MHz (5 blocks of 5 MHz)</w:t>
            </w:r>
          </w:p>
        </w:tc>
      </w:tr>
    </w:tbl>
    <w:p w14:paraId="52A54E6A" w14:textId="77777777" w:rsidR="006A00A6" w:rsidRPr="002248FB" w:rsidRDefault="006A00A6" w:rsidP="006A00A6">
      <w:pPr>
        <w:pStyle w:val="ECCTablenote"/>
      </w:pPr>
      <w:r w:rsidRPr="002248FB">
        <w:t>*Block conditions: see ANNEX 2</w:t>
      </w:r>
    </w:p>
    <w:p w14:paraId="52A54E6B" w14:textId="77777777" w:rsidR="006A00A6" w:rsidRDefault="006A00A6" w:rsidP="006A00A6">
      <w:pPr>
        <w:jc w:val="center"/>
        <w:rPr>
          <w:rFonts w:cs="Arial"/>
          <w:lang w:val="en-GB"/>
        </w:rPr>
      </w:pPr>
    </w:p>
    <w:p w14:paraId="52A54E6C" w14:textId="77777777" w:rsidR="006A00A6" w:rsidRPr="002248FB" w:rsidRDefault="006A00A6" w:rsidP="006A00A6">
      <w:pPr>
        <w:jc w:val="center"/>
        <w:rPr>
          <w:rFonts w:cs="Arial"/>
          <w:lang w:val="en-GB"/>
        </w:rPr>
      </w:pPr>
    </w:p>
    <w:p w14:paraId="52A54E6D" w14:textId="77777777" w:rsidR="006A00A6" w:rsidRPr="002248FB" w:rsidRDefault="006A00A6" w:rsidP="006A00A6">
      <w:pPr>
        <w:pStyle w:val="Caption"/>
      </w:pPr>
      <w:r w:rsidRPr="002248FB">
        <w:t xml:space="preserve">Table </w:t>
      </w:r>
      <w:r w:rsidRPr="005157F3">
        <w:fldChar w:fldCharType="begin"/>
      </w:r>
      <w:r w:rsidRPr="002248FB">
        <w:instrText xml:space="preserve"> SEQ Table \* ARABIC </w:instrText>
      </w:r>
      <w:r w:rsidRPr="005157F3">
        <w:fldChar w:fldCharType="separate"/>
      </w:r>
      <w:r w:rsidR="006211F5">
        <w:rPr>
          <w:noProof/>
        </w:rPr>
        <w:t>2</w:t>
      </w:r>
      <w:r w:rsidRPr="005157F3">
        <w:rPr>
          <w:noProof/>
        </w:rPr>
        <w:fldChar w:fldCharType="end"/>
      </w:r>
      <w:r w:rsidRPr="002248FB">
        <w:t>: Harmonised frequency arrangement for 1492-1518 MHz</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173"/>
        <w:gridCol w:w="1173"/>
        <w:gridCol w:w="1173"/>
        <w:gridCol w:w="1173"/>
        <w:gridCol w:w="1329"/>
        <w:gridCol w:w="1339"/>
      </w:tblGrid>
      <w:tr w:rsidR="006A00A6" w:rsidRPr="002248FB" w14:paraId="52A54E74" w14:textId="77777777" w:rsidTr="00C94301">
        <w:trPr>
          <w:tblHeader/>
          <w:jc w:val="center"/>
        </w:trPr>
        <w:tc>
          <w:tcPr>
            <w:tcW w:w="0" w:type="auto"/>
            <w:tcBorders>
              <w:bottom w:val="single" w:sz="4" w:space="0" w:color="D2232A"/>
            </w:tcBorders>
            <w:shd w:val="clear" w:color="auto" w:fill="FFFFFF" w:themeFill="background1"/>
            <w:vAlign w:val="center"/>
          </w:tcPr>
          <w:p w14:paraId="52A54E6E" w14:textId="77777777" w:rsidR="006A00A6" w:rsidRPr="002248FB" w:rsidRDefault="006A00A6" w:rsidP="00C94301">
            <w:pPr>
              <w:spacing w:before="60" w:after="60" w:line="288" w:lineRule="auto"/>
              <w:jc w:val="center"/>
              <w:rPr>
                <w:rFonts w:cs="Arial"/>
                <w:b/>
                <w:color w:val="FFFFFF"/>
                <w:lang w:val="en-GB"/>
              </w:rPr>
            </w:pPr>
            <w:r w:rsidRPr="002248FB">
              <w:rPr>
                <w:rFonts w:cs="Arial"/>
                <w:color w:val="000000"/>
                <w:kern w:val="24"/>
                <w:szCs w:val="22"/>
                <w:lang w:val="en-GB"/>
              </w:rPr>
              <w:t>1492-1497</w:t>
            </w:r>
          </w:p>
        </w:tc>
        <w:tc>
          <w:tcPr>
            <w:tcW w:w="0" w:type="auto"/>
            <w:tcBorders>
              <w:bottom w:val="single" w:sz="4" w:space="0" w:color="D2232A"/>
            </w:tcBorders>
            <w:shd w:val="clear" w:color="auto" w:fill="FFFFFF" w:themeFill="background1"/>
            <w:vAlign w:val="center"/>
          </w:tcPr>
          <w:p w14:paraId="52A54E6F" w14:textId="77777777" w:rsidR="006A00A6" w:rsidRPr="002248FB" w:rsidRDefault="006A00A6" w:rsidP="00C94301">
            <w:pPr>
              <w:spacing w:before="60" w:after="60" w:line="288" w:lineRule="auto"/>
              <w:jc w:val="center"/>
              <w:rPr>
                <w:rFonts w:cs="Arial"/>
                <w:b/>
                <w:color w:val="FFFFFF"/>
                <w:lang w:val="en-GB"/>
              </w:rPr>
            </w:pPr>
            <w:r w:rsidRPr="002248FB">
              <w:rPr>
                <w:rFonts w:cs="Arial"/>
                <w:color w:val="000000"/>
                <w:kern w:val="24"/>
                <w:szCs w:val="22"/>
                <w:lang w:val="en-GB"/>
              </w:rPr>
              <w:t>1497-1502</w:t>
            </w:r>
          </w:p>
        </w:tc>
        <w:tc>
          <w:tcPr>
            <w:tcW w:w="0" w:type="auto"/>
            <w:tcBorders>
              <w:bottom w:val="single" w:sz="4" w:space="0" w:color="D2232A"/>
            </w:tcBorders>
            <w:shd w:val="clear" w:color="auto" w:fill="FFFFFF" w:themeFill="background1"/>
            <w:vAlign w:val="center"/>
          </w:tcPr>
          <w:p w14:paraId="52A54E70" w14:textId="77777777" w:rsidR="006A00A6" w:rsidRPr="002248FB" w:rsidRDefault="006A00A6" w:rsidP="00C94301">
            <w:pPr>
              <w:spacing w:before="60" w:after="60" w:line="288" w:lineRule="auto"/>
              <w:jc w:val="center"/>
              <w:rPr>
                <w:rFonts w:cs="Arial"/>
                <w:b/>
                <w:color w:val="FFFFFF"/>
                <w:lang w:val="en-GB"/>
              </w:rPr>
            </w:pPr>
            <w:r w:rsidRPr="002248FB">
              <w:rPr>
                <w:rFonts w:cs="Arial"/>
                <w:color w:val="000000"/>
                <w:kern w:val="24"/>
                <w:szCs w:val="22"/>
                <w:lang w:val="en-GB"/>
              </w:rPr>
              <w:t>1502-1507</w:t>
            </w:r>
          </w:p>
        </w:tc>
        <w:tc>
          <w:tcPr>
            <w:tcW w:w="0" w:type="auto"/>
            <w:tcBorders>
              <w:bottom w:val="single" w:sz="4" w:space="0" w:color="D2232A"/>
            </w:tcBorders>
            <w:shd w:val="clear" w:color="auto" w:fill="FFFFFF" w:themeFill="background1"/>
            <w:vAlign w:val="center"/>
          </w:tcPr>
          <w:p w14:paraId="52A54E71" w14:textId="77777777" w:rsidR="006A00A6" w:rsidRPr="002248FB" w:rsidRDefault="006A00A6" w:rsidP="00C94301">
            <w:pPr>
              <w:spacing w:before="60" w:after="60" w:line="288" w:lineRule="auto"/>
              <w:jc w:val="center"/>
              <w:rPr>
                <w:rFonts w:cs="Arial"/>
                <w:b/>
                <w:color w:val="FFFFFF"/>
                <w:lang w:val="en-GB"/>
              </w:rPr>
            </w:pPr>
            <w:r w:rsidRPr="002248FB">
              <w:rPr>
                <w:rFonts w:cs="Arial"/>
                <w:color w:val="000000"/>
                <w:kern w:val="24"/>
                <w:szCs w:val="22"/>
                <w:lang w:val="en-GB"/>
              </w:rPr>
              <w:t>1507-1512</w:t>
            </w:r>
          </w:p>
        </w:tc>
        <w:tc>
          <w:tcPr>
            <w:tcW w:w="0" w:type="auto"/>
            <w:tcBorders>
              <w:bottom w:val="single" w:sz="4" w:space="0" w:color="D2232A"/>
            </w:tcBorders>
            <w:shd w:val="clear" w:color="auto" w:fill="FFFFFF" w:themeFill="background1"/>
            <w:vAlign w:val="center"/>
          </w:tcPr>
          <w:p w14:paraId="52A54E72" w14:textId="77777777" w:rsidR="006A00A6" w:rsidRPr="002248FB" w:rsidRDefault="006A00A6" w:rsidP="00C94301">
            <w:pPr>
              <w:spacing w:before="60" w:after="60" w:line="288" w:lineRule="auto"/>
              <w:jc w:val="center"/>
              <w:rPr>
                <w:rFonts w:cs="Arial"/>
                <w:b/>
                <w:color w:val="FFFFFF"/>
                <w:lang w:val="en-GB"/>
              </w:rPr>
            </w:pPr>
            <w:r w:rsidRPr="002248FB">
              <w:rPr>
                <w:rFonts w:cs="Arial"/>
                <w:color w:val="000000"/>
                <w:kern w:val="24"/>
                <w:szCs w:val="22"/>
                <w:lang w:val="en-GB"/>
              </w:rPr>
              <w:t>1512-1517**</w:t>
            </w:r>
          </w:p>
        </w:tc>
        <w:tc>
          <w:tcPr>
            <w:tcW w:w="0" w:type="auto"/>
            <w:shd w:val="clear" w:color="auto" w:fill="FFFFFF" w:themeFill="background1"/>
          </w:tcPr>
          <w:p w14:paraId="52A54E73" w14:textId="77777777" w:rsidR="006A00A6" w:rsidRPr="002248FB" w:rsidRDefault="006A00A6" w:rsidP="00C94301">
            <w:pPr>
              <w:spacing w:before="60" w:after="60" w:line="288" w:lineRule="auto"/>
              <w:jc w:val="center"/>
              <w:rPr>
                <w:rFonts w:cs="Arial"/>
                <w:color w:val="000000"/>
                <w:kern w:val="24"/>
                <w:szCs w:val="22"/>
                <w:lang w:val="en-GB"/>
              </w:rPr>
            </w:pPr>
            <w:r w:rsidRPr="002248FB">
              <w:rPr>
                <w:rFonts w:cs="Arial"/>
                <w:color w:val="000000"/>
                <w:kern w:val="24"/>
                <w:szCs w:val="22"/>
                <w:lang w:val="en-GB"/>
              </w:rPr>
              <w:t>1517-1518</w:t>
            </w:r>
          </w:p>
        </w:tc>
      </w:tr>
      <w:tr w:rsidR="006A00A6" w:rsidRPr="002248FB" w14:paraId="52A54E77" w14:textId="77777777" w:rsidTr="00C94301">
        <w:trPr>
          <w:tblHeader/>
          <w:jc w:val="center"/>
        </w:trPr>
        <w:tc>
          <w:tcPr>
            <w:tcW w:w="0" w:type="auto"/>
            <w:gridSpan w:val="5"/>
            <w:tcBorders>
              <w:right w:val="single" w:sz="4" w:space="0" w:color="FFFFFF" w:themeColor="background1"/>
            </w:tcBorders>
            <w:shd w:val="clear" w:color="auto" w:fill="D2232A"/>
          </w:tcPr>
          <w:p w14:paraId="52A54E75" w14:textId="77777777" w:rsidR="006A00A6" w:rsidRPr="002248FB" w:rsidRDefault="006A00A6" w:rsidP="00C94301">
            <w:pPr>
              <w:spacing w:before="60" w:after="60"/>
              <w:jc w:val="center"/>
              <w:rPr>
                <w:rFonts w:cs="Arial"/>
                <w:color w:val="FFFFFF" w:themeColor="background1"/>
                <w:lang w:val="en-GB"/>
              </w:rPr>
            </w:pPr>
            <w:r w:rsidRPr="002248FB">
              <w:rPr>
                <w:rFonts w:cs="Arial"/>
                <w:b/>
                <w:bCs/>
                <w:color w:val="FFFFFF" w:themeColor="background1"/>
                <w:lang w:val="en-GB"/>
              </w:rPr>
              <w:t>Downlink (base station transmit)</w:t>
            </w:r>
          </w:p>
        </w:tc>
        <w:tc>
          <w:tcPr>
            <w:tcW w:w="0" w:type="auto"/>
            <w:tcBorders>
              <w:left w:val="single" w:sz="4" w:space="0" w:color="FFFFFF" w:themeColor="background1"/>
            </w:tcBorders>
            <w:shd w:val="clear" w:color="auto" w:fill="D2232A"/>
          </w:tcPr>
          <w:p w14:paraId="52A54E76" w14:textId="77777777" w:rsidR="006A00A6" w:rsidRPr="002248FB" w:rsidRDefault="006A00A6" w:rsidP="00C94301">
            <w:pPr>
              <w:spacing w:before="60" w:after="60"/>
              <w:jc w:val="center"/>
              <w:rPr>
                <w:rFonts w:cs="Arial"/>
                <w:b/>
                <w:bCs/>
                <w:color w:val="FFFFFF" w:themeColor="background1"/>
                <w:lang w:val="en-GB"/>
              </w:rPr>
            </w:pPr>
            <w:r w:rsidRPr="002248FB">
              <w:rPr>
                <w:rFonts w:cs="Arial"/>
                <w:b/>
                <w:bCs/>
                <w:color w:val="FFFFFF" w:themeColor="background1"/>
                <w:lang w:val="en-GB"/>
              </w:rPr>
              <w:t>Guard band</w:t>
            </w:r>
          </w:p>
        </w:tc>
      </w:tr>
      <w:tr w:rsidR="006A00A6" w:rsidRPr="002248FB" w14:paraId="52A54E7A" w14:textId="77777777" w:rsidTr="00C94301">
        <w:trPr>
          <w:jc w:val="center"/>
        </w:trPr>
        <w:tc>
          <w:tcPr>
            <w:tcW w:w="0" w:type="auto"/>
            <w:gridSpan w:val="5"/>
          </w:tcPr>
          <w:p w14:paraId="52A54E78" w14:textId="77777777" w:rsidR="006A00A6" w:rsidRPr="002248FB" w:rsidRDefault="006A00A6" w:rsidP="00C94301">
            <w:pPr>
              <w:spacing w:before="60" w:after="60"/>
              <w:jc w:val="center"/>
              <w:rPr>
                <w:rFonts w:cs="Arial"/>
                <w:lang w:val="en-GB"/>
              </w:rPr>
            </w:pPr>
            <w:r w:rsidRPr="002248FB">
              <w:rPr>
                <w:rFonts w:cs="Arial"/>
                <w:lang w:val="en-GB"/>
              </w:rPr>
              <w:t>25 MHz (5 blocks of 5 MHz)</w:t>
            </w:r>
          </w:p>
        </w:tc>
        <w:tc>
          <w:tcPr>
            <w:tcW w:w="0" w:type="auto"/>
          </w:tcPr>
          <w:p w14:paraId="52A54E79" w14:textId="77777777" w:rsidR="006A00A6" w:rsidRPr="002248FB" w:rsidRDefault="006A00A6" w:rsidP="00C94301">
            <w:pPr>
              <w:spacing w:before="60" w:after="60"/>
              <w:jc w:val="center"/>
              <w:rPr>
                <w:rFonts w:cs="Arial"/>
                <w:lang w:val="en-GB"/>
              </w:rPr>
            </w:pPr>
            <w:r w:rsidRPr="002248FB">
              <w:rPr>
                <w:rFonts w:cs="Arial"/>
                <w:lang w:val="en-GB"/>
              </w:rPr>
              <w:t>1 MHz</w:t>
            </w:r>
          </w:p>
        </w:tc>
      </w:tr>
    </w:tbl>
    <w:p w14:paraId="52A54E7B" w14:textId="77777777" w:rsidR="006A00A6" w:rsidRDefault="006A00A6" w:rsidP="006A00A6">
      <w:pPr>
        <w:pStyle w:val="ECCTablenote"/>
      </w:pPr>
      <w:r w:rsidRPr="002248FB">
        <w:t>**Restricted power: see ANNEX 2</w:t>
      </w:r>
    </w:p>
    <w:p w14:paraId="52A54E7C" w14:textId="77777777" w:rsidR="006A00A6" w:rsidRDefault="006A00A6" w:rsidP="006A00A6">
      <w:pPr>
        <w:jc w:val="center"/>
        <w:rPr>
          <w:rFonts w:cs="Arial"/>
          <w:lang w:val="en-GB"/>
        </w:rPr>
      </w:pPr>
    </w:p>
    <w:p w14:paraId="52A54E7D" w14:textId="77777777" w:rsidR="006A00A6" w:rsidRPr="002248FB" w:rsidRDefault="006A00A6" w:rsidP="006A00A6">
      <w:pPr>
        <w:jc w:val="center"/>
        <w:rPr>
          <w:rFonts w:cs="Arial"/>
          <w:lang w:val="en-GB"/>
        </w:rPr>
      </w:pPr>
    </w:p>
    <w:p w14:paraId="52A54E7E" w14:textId="77777777" w:rsidR="006A00A6" w:rsidRDefault="006A00A6" w:rsidP="006A00A6">
      <w:pPr>
        <w:pStyle w:val="Caption"/>
        <w:keepNext/>
      </w:pPr>
      <w:bookmarkStart w:id="3" w:name="_Ref481761428"/>
      <w:r w:rsidRPr="002248FB">
        <w:t xml:space="preserve">Table </w:t>
      </w:r>
      <w:r w:rsidRPr="005157F3">
        <w:fldChar w:fldCharType="begin"/>
      </w:r>
      <w:r w:rsidRPr="002248FB">
        <w:instrText xml:space="preserve"> SEQ Table \* ARABIC </w:instrText>
      </w:r>
      <w:r w:rsidRPr="005157F3">
        <w:fldChar w:fldCharType="separate"/>
      </w:r>
      <w:r w:rsidR="006211F5">
        <w:rPr>
          <w:noProof/>
        </w:rPr>
        <w:t>3</w:t>
      </w:r>
      <w:r w:rsidRPr="005157F3">
        <w:rPr>
          <w:noProof/>
        </w:rPr>
        <w:fldChar w:fldCharType="end"/>
      </w:r>
      <w:bookmarkEnd w:id="3"/>
      <w:r w:rsidRPr="002248FB">
        <w:t>: Combined harmonised frequency arrangement</w:t>
      </w:r>
      <w:r>
        <w:t xml:space="preserve"> </w:t>
      </w:r>
      <w:r>
        <w:br/>
        <w:t>(incl. ECC/DEC/(13)03 for informative purpose)</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525"/>
        <w:gridCol w:w="526"/>
        <w:gridCol w:w="526"/>
        <w:gridCol w:w="526"/>
        <w:gridCol w:w="525"/>
        <w:gridCol w:w="526"/>
        <w:gridCol w:w="526"/>
        <w:gridCol w:w="526"/>
        <w:gridCol w:w="526"/>
        <w:gridCol w:w="525"/>
        <w:gridCol w:w="526"/>
        <w:gridCol w:w="526"/>
        <w:gridCol w:w="526"/>
        <w:gridCol w:w="525"/>
        <w:gridCol w:w="526"/>
        <w:gridCol w:w="526"/>
        <w:gridCol w:w="526"/>
        <w:gridCol w:w="526"/>
        <w:gridCol w:w="601"/>
      </w:tblGrid>
      <w:tr w:rsidR="006A00A6" w14:paraId="52A54E8D" w14:textId="77777777" w:rsidTr="00C94301">
        <w:tc>
          <w:tcPr>
            <w:tcW w:w="1577" w:type="dxa"/>
            <w:gridSpan w:val="3"/>
            <w:tcBorders>
              <w:top w:val="single" w:sz="4" w:space="0" w:color="FFFFFF" w:themeColor="background1"/>
              <w:left w:val="single" w:sz="4" w:space="0" w:color="FFFFFF" w:themeColor="background1"/>
              <w:bottom w:val="single" w:sz="4" w:space="0" w:color="D2232A"/>
              <w:right w:val="single" w:sz="4" w:space="0" w:color="FFFFFF" w:themeColor="background1"/>
            </w:tcBorders>
            <w:vAlign w:val="center"/>
          </w:tcPr>
          <w:p w14:paraId="52A54E7F" w14:textId="77777777" w:rsidR="006A00A6" w:rsidRDefault="006A00A6" w:rsidP="00C94301">
            <w:pPr>
              <w:spacing w:line="288" w:lineRule="auto"/>
              <w:rPr>
                <w:lang w:val="en-GB"/>
              </w:rPr>
            </w:pPr>
            <w:r>
              <w:rPr>
                <w:b/>
                <w:lang w:val="en-GB"/>
              </w:rPr>
              <w:t>1427 MHz</w:t>
            </w:r>
          </w:p>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14:paraId="52A54E80" w14:textId="77777777" w:rsidR="006A00A6" w:rsidRDefault="006A00A6" w:rsidP="00C94301">
            <w:pPr>
              <w:spacing w:line="288" w:lineRule="auto"/>
              <w:rPr>
                <w:lang w:val="en-GB"/>
              </w:rPr>
            </w:pPr>
          </w:p>
        </w:tc>
        <w:tc>
          <w:tcPr>
            <w:tcW w:w="525"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14:paraId="52A54E81" w14:textId="77777777" w:rsidR="006A00A6" w:rsidRDefault="006A00A6" w:rsidP="00C94301">
            <w:pPr>
              <w:spacing w:line="288" w:lineRule="auto"/>
              <w:rPr>
                <w:lang w:val="en-GB"/>
              </w:rPr>
            </w:pPr>
          </w:p>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14:paraId="52A54E82" w14:textId="77777777" w:rsidR="006A00A6" w:rsidRDefault="006A00A6" w:rsidP="00C94301">
            <w:pPr>
              <w:spacing w:line="288" w:lineRule="auto"/>
              <w:rPr>
                <w:lang w:val="en-GB"/>
              </w:rPr>
            </w:pPr>
          </w:p>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14:paraId="52A54E83" w14:textId="77777777" w:rsidR="006A00A6" w:rsidRDefault="006A00A6" w:rsidP="00C94301">
            <w:pPr>
              <w:spacing w:line="288" w:lineRule="auto"/>
              <w:rPr>
                <w:lang w:val="en-GB"/>
              </w:rPr>
            </w:pPr>
          </w:p>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14:paraId="52A54E84" w14:textId="77777777" w:rsidR="006A00A6" w:rsidRDefault="006A00A6" w:rsidP="00C94301">
            <w:pPr>
              <w:spacing w:line="288" w:lineRule="auto"/>
              <w:rPr>
                <w:lang w:val="en-GB"/>
              </w:rPr>
            </w:pPr>
          </w:p>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14:paraId="52A54E85" w14:textId="77777777" w:rsidR="006A00A6" w:rsidRDefault="006A00A6" w:rsidP="00C94301">
            <w:pPr>
              <w:spacing w:line="288" w:lineRule="auto"/>
              <w:rPr>
                <w:lang w:val="en-GB"/>
              </w:rPr>
            </w:pPr>
          </w:p>
        </w:tc>
        <w:tc>
          <w:tcPr>
            <w:tcW w:w="525"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14:paraId="52A54E86" w14:textId="77777777" w:rsidR="006A00A6" w:rsidRDefault="006A00A6" w:rsidP="00C94301">
            <w:pPr>
              <w:spacing w:line="288" w:lineRule="auto"/>
              <w:rPr>
                <w:lang w:val="en-GB"/>
              </w:rPr>
            </w:pPr>
          </w:p>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14:paraId="52A54E87" w14:textId="77777777" w:rsidR="006A00A6" w:rsidRDefault="006A00A6" w:rsidP="00C94301">
            <w:pPr>
              <w:spacing w:line="288" w:lineRule="auto"/>
              <w:rPr>
                <w:lang w:val="en-GB"/>
              </w:rPr>
            </w:pPr>
          </w:p>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14:paraId="52A54E88" w14:textId="77777777" w:rsidR="006A00A6" w:rsidRDefault="006A00A6" w:rsidP="00C94301">
            <w:pPr>
              <w:spacing w:line="288" w:lineRule="auto"/>
              <w:rPr>
                <w:lang w:val="en-GB"/>
              </w:rPr>
            </w:pPr>
          </w:p>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14:paraId="52A54E89" w14:textId="77777777" w:rsidR="006A00A6" w:rsidRDefault="006A00A6" w:rsidP="00C94301">
            <w:pPr>
              <w:spacing w:line="288" w:lineRule="auto"/>
              <w:rPr>
                <w:lang w:val="en-GB"/>
              </w:rPr>
            </w:pPr>
          </w:p>
        </w:tc>
        <w:tc>
          <w:tcPr>
            <w:tcW w:w="525"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14:paraId="52A54E8A" w14:textId="77777777" w:rsidR="006A00A6" w:rsidRDefault="006A00A6" w:rsidP="00C94301">
            <w:pPr>
              <w:spacing w:line="288" w:lineRule="auto"/>
              <w:rPr>
                <w:lang w:val="en-GB"/>
              </w:rPr>
            </w:pPr>
          </w:p>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14:paraId="52A54E8B" w14:textId="77777777" w:rsidR="006A00A6" w:rsidRDefault="006A00A6" w:rsidP="00C94301">
            <w:pPr>
              <w:spacing w:line="288" w:lineRule="auto"/>
              <w:rPr>
                <w:lang w:val="en-GB"/>
              </w:rPr>
            </w:pPr>
          </w:p>
        </w:tc>
        <w:tc>
          <w:tcPr>
            <w:tcW w:w="2179" w:type="dxa"/>
            <w:gridSpan w:val="4"/>
            <w:tcBorders>
              <w:top w:val="single" w:sz="4" w:space="0" w:color="FFFFFF" w:themeColor="background1"/>
              <w:left w:val="single" w:sz="4" w:space="0" w:color="FFFFFF" w:themeColor="background1"/>
              <w:bottom w:val="single" w:sz="4" w:space="0" w:color="D2232A"/>
              <w:right w:val="single" w:sz="4" w:space="0" w:color="FFFFFF" w:themeColor="background1"/>
            </w:tcBorders>
          </w:tcPr>
          <w:p w14:paraId="52A54E8C" w14:textId="77777777" w:rsidR="006A00A6" w:rsidRDefault="006A00A6" w:rsidP="00C94301">
            <w:pPr>
              <w:spacing w:line="288" w:lineRule="auto"/>
              <w:jc w:val="right"/>
              <w:rPr>
                <w:b/>
                <w:lang w:val="en-GB"/>
              </w:rPr>
            </w:pPr>
            <w:r>
              <w:rPr>
                <w:b/>
                <w:lang w:val="en-GB"/>
              </w:rPr>
              <w:t>1518 MHz</w:t>
            </w:r>
          </w:p>
        </w:tc>
      </w:tr>
      <w:tr w:rsidR="006A00A6" w14:paraId="52A54EC7" w14:textId="77777777" w:rsidTr="00C94301">
        <w:tc>
          <w:tcPr>
            <w:tcW w:w="525" w:type="dxa"/>
            <w:tcBorders>
              <w:top w:val="single" w:sz="4" w:space="0" w:color="D2232A"/>
              <w:left w:val="single" w:sz="4" w:space="0" w:color="D2232A"/>
              <w:bottom w:val="single" w:sz="4" w:space="0" w:color="D2232A"/>
              <w:right w:val="single" w:sz="4" w:space="0" w:color="D2232A"/>
            </w:tcBorders>
            <w:vAlign w:val="center"/>
          </w:tcPr>
          <w:p w14:paraId="52A54E8E" w14:textId="77777777" w:rsidR="006A00A6" w:rsidRDefault="006A00A6" w:rsidP="00C94301">
            <w:pPr>
              <w:spacing w:line="288" w:lineRule="auto"/>
              <w:jc w:val="center"/>
              <w:rPr>
                <w:sz w:val="12"/>
                <w:lang w:val="en-GB"/>
              </w:rPr>
            </w:pPr>
            <w:r>
              <w:rPr>
                <w:sz w:val="12"/>
                <w:lang w:val="en-GB"/>
              </w:rPr>
              <w:t>1427</w:t>
            </w:r>
          </w:p>
          <w:p w14:paraId="52A54E8F" w14:textId="77777777" w:rsidR="006A00A6" w:rsidRDefault="006A00A6" w:rsidP="00C94301">
            <w:pPr>
              <w:spacing w:line="288" w:lineRule="auto"/>
              <w:jc w:val="center"/>
              <w:rPr>
                <w:sz w:val="12"/>
                <w:lang w:val="en-GB"/>
              </w:rPr>
            </w:pPr>
            <w:r>
              <w:rPr>
                <w:sz w:val="12"/>
                <w:lang w:val="en-GB"/>
              </w:rPr>
              <w:t>-</w:t>
            </w:r>
          </w:p>
          <w:p w14:paraId="52A54E90" w14:textId="77777777" w:rsidR="006A00A6" w:rsidRDefault="006A00A6" w:rsidP="00C94301">
            <w:pPr>
              <w:spacing w:line="288" w:lineRule="auto"/>
              <w:jc w:val="center"/>
              <w:rPr>
                <w:lang w:val="en-GB"/>
              </w:rPr>
            </w:pPr>
            <w:r>
              <w:rPr>
                <w:sz w:val="12"/>
                <w:lang w:val="en-GB"/>
              </w:rPr>
              <w:t>1432</w:t>
            </w:r>
            <w:r>
              <w:rPr>
                <w:sz w:val="10"/>
                <w:lang w:val="en-GB"/>
              </w:rPr>
              <w:t>*</w:t>
            </w:r>
          </w:p>
        </w:tc>
        <w:tc>
          <w:tcPr>
            <w:tcW w:w="526" w:type="dxa"/>
            <w:tcBorders>
              <w:top w:val="single" w:sz="4" w:space="0" w:color="D2232A"/>
              <w:left w:val="single" w:sz="4" w:space="0" w:color="D2232A"/>
              <w:bottom w:val="single" w:sz="4" w:space="0" w:color="D2232A"/>
              <w:right w:val="single" w:sz="4" w:space="0" w:color="D2232A"/>
            </w:tcBorders>
            <w:vAlign w:val="center"/>
          </w:tcPr>
          <w:p w14:paraId="52A54E91" w14:textId="77777777" w:rsidR="006A00A6" w:rsidRDefault="006A00A6" w:rsidP="00C94301">
            <w:pPr>
              <w:spacing w:line="288" w:lineRule="auto"/>
              <w:jc w:val="center"/>
              <w:rPr>
                <w:sz w:val="12"/>
                <w:lang w:val="en-GB"/>
              </w:rPr>
            </w:pPr>
            <w:r>
              <w:rPr>
                <w:sz w:val="12"/>
                <w:lang w:val="en-GB"/>
              </w:rPr>
              <w:t>1432</w:t>
            </w:r>
          </w:p>
          <w:p w14:paraId="52A54E92" w14:textId="77777777" w:rsidR="006A00A6" w:rsidRDefault="006A00A6" w:rsidP="00C94301">
            <w:pPr>
              <w:spacing w:line="288" w:lineRule="auto"/>
              <w:jc w:val="center"/>
              <w:rPr>
                <w:sz w:val="12"/>
                <w:lang w:val="en-GB"/>
              </w:rPr>
            </w:pPr>
            <w:r>
              <w:rPr>
                <w:sz w:val="12"/>
                <w:lang w:val="en-GB"/>
              </w:rPr>
              <w:t>-</w:t>
            </w:r>
          </w:p>
          <w:p w14:paraId="52A54E93" w14:textId="77777777" w:rsidR="006A00A6" w:rsidRDefault="006A00A6" w:rsidP="00C94301">
            <w:pPr>
              <w:spacing w:line="288" w:lineRule="auto"/>
              <w:rPr>
                <w:lang w:val="en-GB"/>
              </w:rPr>
            </w:pPr>
            <w:r>
              <w:rPr>
                <w:sz w:val="12"/>
                <w:lang w:val="en-GB"/>
              </w:rPr>
              <w:t>1437</w:t>
            </w:r>
          </w:p>
        </w:tc>
        <w:tc>
          <w:tcPr>
            <w:tcW w:w="526" w:type="dxa"/>
            <w:tcBorders>
              <w:top w:val="single" w:sz="4" w:space="0" w:color="D2232A"/>
              <w:left w:val="single" w:sz="4" w:space="0" w:color="D2232A"/>
              <w:bottom w:val="single" w:sz="4" w:space="0" w:color="D2232A"/>
              <w:right w:val="single" w:sz="4" w:space="0" w:color="D2232A"/>
            </w:tcBorders>
            <w:vAlign w:val="center"/>
          </w:tcPr>
          <w:p w14:paraId="52A54E94" w14:textId="77777777" w:rsidR="006A00A6" w:rsidRDefault="006A00A6" w:rsidP="00C94301">
            <w:pPr>
              <w:spacing w:line="288" w:lineRule="auto"/>
              <w:jc w:val="center"/>
              <w:rPr>
                <w:sz w:val="12"/>
                <w:lang w:val="en-GB"/>
              </w:rPr>
            </w:pPr>
            <w:r>
              <w:rPr>
                <w:sz w:val="12"/>
                <w:lang w:val="en-GB"/>
              </w:rPr>
              <w:t>1437</w:t>
            </w:r>
          </w:p>
          <w:p w14:paraId="52A54E95" w14:textId="77777777" w:rsidR="006A00A6" w:rsidRDefault="006A00A6" w:rsidP="00C94301">
            <w:pPr>
              <w:spacing w:line="288" w:lineRule="auto"/>
              <w:jc w:val="center"/>
              <w:rPr>
                <w:sz w:val="12"/>
                <w:lang w:val="en-GB"/>
              </w:rPr>
            </w:pPr>
            <w:r>
              <w:rPr>
                <w:sz w:val="12"/>
                <w:lang w:val="en-GB"/>
              </w:rPr>
              <w:t>-</w:t>
            </w:r>
          </w:p>
          <w:p w14:paraId="52A54E96" w14:textId="77777777" w:rsidR="006A00A6" w:rsidRDefault="006A00A6" w:rsidP="00C94301">
            <w:pPr>
              <w:spacing w:line="288" w:lineRule="auto"/>
              <w:rPr>
                <w:lang w:val="en-GB"/>
              </w:rPr>
            </w:pPr>
            <w:r>
              <w:rPr>
                <w:sz w:val="12"/>
                <w:lang w:val="en-GB"/>
              </w:rPr>
              <w:t>1442</w:t>
            </w:r>
          </w:p>
        </w:tc>
        <w:tc>
          <w:tcPr>
            <w:tcW w:w="526" w:type="dxa"/>
            <w:tcBorders>
              <w:top w:val="single" w:sz="4" w:space="0" w:color="D2232A"/>
              <w:left w:val="single" w:sz="4" w:space="0" w:color="D2232A"/>
              <w:bottom w:val="single" w:sz="4" w:space="0" w:color="D2232A"/>
              <w:right w:val="single" w:sz="4" w:space="0" w:color="D2232A"/>
            </w:tcBorders>
            <w:vAlign w:val="center"/>
          </w:tcPr>
          <w:p w14:paraId="52A54E97" w14:textId="77777777" w:rsidR="006A00A6" w:rsidRDefault="006A00A6" w:rsidP="00C94301">
            <w:pPr>
              <w:spacing w:line="288" w:lineRule="auto"/>
              <w:jc w:val="center"/>
              <w:rPr>
                <w:sz w:val="12"/>
                <w:lang w:val="en-GB"/>
              </w:rPr>
            </w:pPr>
            <w:r>
              <w:rPr>
                <w:sz w:val="12"/>
                <w:lang w:val="en-GB"/>
              </w:rPr>
              <w:t>1442</w:t>
            </w:r>
          </w:p>
          <w:p w14:paraId="52A54E98" w14:textId="77777777" w:rsidR="006A00A6" w:rsidRDefault="006A00A6" w:rsidP="00C94301">
            <w:pPr>
              <w:spacing w:line="288" w:lineRule="auto"/>
              <w:jc w:val="center"/>
              <w:rPr>
                <w:sz w:val="12"/>
                <w:lang w:val="en-GB"/>
              </w:rPr>
            </w:pPr>
            <w:r>
              <w:rPr>
                <w:sz w:val="12"/>
                <w:lang w:val="en-GB"/>
              </w:rPr>
              <w:t>-</w:t>
            </w:r>
          </w:p>
          <w:p w14:paraId="52A54E99" w14:textId="77777777" w:rsidR="006A00A6" w:rsidRDefault="006A00A6" w:rsidP="00C94301">
            <w:pPr>
              <w:spacing w:line="288" w:lineRule="auto"/>
              <w:jc w:val="center"/>
              <w:rPr>
                <w:lang w:val="en-GB"/>
              </w:rPr>
            </w:pPr>
            <w:r>
              <w:rPr>
                <w:sz w:val="12"/>
                <w:lang w:val="en-GB"/>
              </w:rPr>
              <w:t>1447</w:t>
            </w:r>
          </w:p>
        </w:tc>
        <w:tc>
          <w:tcPr>
            <w:tcW w:w="525" w:type="dxa"/>
            <w:tcBorders>
              <w:top w:val="single" w:sz="4" w:space="0" w:color="D2232A"/>
              <w:left w:val="single" w:sz="4" w:space="0" w:color="D2232A"/>
              <w:bottom w:val="single" w:sz="4" w:space="0" w:color="D2232A"/>
              <w:right w:val="single" w:sz="4" w:space="0" w:color="D2232A"/>
            </w:tcBorders>
            <w:vAlign w:val="center"/>
          </w:tcPr>
          <w:p w14:paraId="52A54E9A" w14:textId="77777777" w:rsidR="006A00A6" w:rsidRDefault="006A00A6" w:rsidP="00C94301">
            <w:pPr>
              <w:spacing w:line="288" w:lineRule="auto"/>
              <w:jc w:val="center"/>
              <w:rPr>
                <w:sz w:val="12"/>
                <w:lang w:val="en-GB"/>
              </w:rPr>
            </w:pPr>
            <w:r>
              <w:rPr>
                <w:sz w:val="12"/>
                <w:lang w:val="en-GB"/>
              </w:rPr>
              <w:t>1447</w:t>
            </w:r>
          </w:p>
          <w:p w14:paraId="52A54E9B" w14:textId="77777777" w:rsidR="006A00A6" w:rsidRDefault="006A00A6" w:rsidP="00C94301">
            <w:pPr>
              <w:spacing w:line="288" w:lineRule="auto"/>
              <w:jc w:val="center"/>
              <w:rPr>
                <w:sz w:val="12"/>
                <w:lang w:val="en-GB"/>
              </w:rPr>
            </w:pPr>
            <w:r>
              <w:rPr>
                <w:sz w:val="12"/>
                <w:lang w:val="en-GB"/>
              </w:rPr>
              <w:t>-</w:t>
            </w:r>
          </w:p>
          <w:p w14:paraId="52A54E9C" w14:textId="77777777" w:rsidR="006A00A6" w:rsidRDefault="006A00A6" w:rsidP="00C94301">
            <w:pPr>
              <w:spacing w:line="288" w:lineRule="auto"/>
              <w:jc w:val="center"/>
              <w:rPr>
                <w:lang w:val="en-GB"/>
              </w:rPr>
            </w:pPr>
            <w:r>
              <w:rPr>
                <w:sz w:val="12"/>
                <w:lang w:val="en-GB"/>
              </w:rPr>
              <w:t>1452</w:t>
            </w:r>
          </w:p>
        </w:tc>
        <w:tc>
          <w:tcPr>
            <w:tcW w:w="526" w:type="dxa"/>
            <w:tcBorders>
              <w:top w:val="single" w:sz="4" w:space="0" w:color="D2232A"/>
              <w:left w:val="single" w:sz="4" w:space="0" w:color="D2232A"/>
              <w:bottom w:val="single" w:sz="4" w:space="0" w:color="D2232A"/>
              <w:right w:val="single" w:sz="4" w:space="0" w:color="D2232A"/>
            </w:tcBorders>
            <w:vAlign w:val="center"/>
          </w:tcPr>
          <w:p w14:paraId="52A54E9D" w14:textId="77777777" w:rsidR="006A00A6" w:rsidRDefault="006A00A6" w:rsidP="00C94301">
            <w:pPr>
              <w:spacing w:line="288" w:lineRule="auto"/>
              <w:jc w:val="center"/>
              <w:rPr>
                <w:sz w:val="12"/>
                <w:lang w:val="en-GB"/>
              </w:rPr>
            </w:pPr>
            <w:r>
              <w:rPr>
                <w:sz w:val="12"/>
                <w:lang w:val="en-GB"/>
              </w:rPr>
              <w:t>1452</w:t>
            </w:r>
          </w:p>
          <w:p w14:paraId="52A54E9E" w14:textId="77777777" w:rsidR="006A00A6" w:rsidRDefault="006A00A6" w:rsidP="00C94301">
            <w:pPr>
              <w:spacing w:line="288" w:lineRule="auto"/>
              <w:jc w:val="center"/>
              <w:rPr>
                <w:sz w:val="12"/>
                <w:lang w:val="en-GB"/>
              </w:rPr>
            </w:pPr>
            <w:r>
              <w:rPr>
                <w:sz w:val="12"/>
                <w:lang w:val="en-GB"/>
              </w:rPr>
              <w:t>-</w:t>
            </w:r>
          </w:p>
          <w:p w14:paraId="52A54E9F" w14:textId="77777777" w:rsidR="006A00A6" w:rsidRDefault="006A00A6" w:rsidP="00C94301">
            <w:pPr>
              <w:spacing w:line="288" w:lineRule="auto"/>
              <w:jc w:val="center"/>
              <w:rPr>
                <w:lang w:val="en-GB"/>
              </w:rPr>
            </w:pPr>
            <w:r>
              <w:rPr>
                <w:sz w:val="12"/>
                <w:lang w:val="en-GB"/>
              </w:rPr>
              <w:t>1457</w:t>
            </w:r>
          </w:p>
        </w:tc>
        <w:tc>
          <w:tcPr>
            <w:tcW w:w="526" w:type="dxa"/>
            <w:tcBorders>
              <w:top w:val="single" w:sz="4" w:space="0" w:color="D2232A"/>
              <w:left w:val="single" w:sz="4" w:space="0" w:color="D2232A"/>
              <w:bottom w:val="single" w:sz="4" w:space="0" w:color="D2232A"/>
              <w:right w:val="single" w:sz="4" w:space="0" w:color="D2232A"/>
            </w:tcBorders>
            <w:vAlign w:val="center"/>
          </w:tcPr>
          <w:p w14:paraId="52A54EA0" w14:textId="77777777" w:rsidR="006A00A6" w:rsidRDefault="006A00A6" w:rsidP="00C94301">
            <w:pPr>
              <w:spacing w:line="288" w:lineRule="auto"/>
              <w:jc w:val="center"/>
              <w:rPr>
                <w:sz w:val="12"/>
                <w:lang w:val="en-GB"/>
              </w:rPr>
            </w:pPr>
            <w:r>
              <w:rPr>
                <w:sz w:val="12"/>
                <w:lang w:val="en-GB"/>
              </w:rPr>
              <w:t>1457</w:t>
            </w:r>
          </w:p>
          <w:p w14:paraId="52A54EA1" w14:textId="77777777" w:rsidR="006A00A6" w:rsidRDefault="006A00A6" w:rsidP="00C94301">
            <w:pPr>
              <w:spacing w:line="288" w:lineRule="auto"/>
              <w:jc w:val="center"/>
              <w:rPr>
                <w:sz w:val="12"/>
                <w:lang w:val="en-GB"/>
              </w:rPr>
            </w:pPr>
            <w:r>
              <w:rPr>
                <w:sz w:val="12"/>
                <w:lang w:val="en-GB"/>
              </w:rPr>
              <w:t>-</w:t>
            </w:r>
          </w:p>
          <w:p w14:paraId="52A54EA2" w14:textId="77777777" w:rsidR="006A00A6" w:rsidRDefault="006A00A6" w:rsidP="00C94301">
            <w:pPr>
              <w:spacing w:line="288" w:lineRule="auto"/>
              <w:jc w:val="center"/>
              <w:rPr>
                <w:lang w:val="en-GB"/>
              </w:rPr>
            </w:pPr>
            <w:r>
              <w:rPr>
                <w:sz w:val="12"/>
                <w:lang w:val="en-GB"/>
              </w:rPr>
              <w:t>1462</w:t>
            </w:r>
          </w:p>
        </w:tc>
        <w:tc>
          <w:tcPr>
            <w:tcW w:w="526" w:type="dxa"/>
            <w:tcBorders>
              <w:top w:val="single" w:sz="4" w:space="0" w:color="D2232A"/>
              <w:left w:val="single" w:sz="4" w:space="0" w:color="D2232A"/>
              <w:bottom w:val="single" w:sz="4" w:space="0" w:color="D2232A"/>
              <w:right w:val="single" w:sz="4" w:space="0" w:color="D2232A"/>
            </w:tcBorders>
            <w:vAlign w:val="center"/>
          </w:tcPr>
          <w:p w14:paraId="52A54EA3" w14:textId="77777777" w:rsidR="006A00A6" w:rsidRDefault="006A00A6" w:rsidP="00C94301">
            <w:pPr>
              <w:spacing w:line="288" w:lineRule="auto"/>
              <w:jc w:val="center"/>
              <w:rPr>
                <w:sz w:val="12"/>
                <w:lang w:val="en-GB"/>
              </w:rPr>
            </w:pPr>
            <w:r>
              <w:rPr>
                <w:sz w:val="12"/>
                <w:lang w:val="en-GB"/>
              </w:rPr>
              <w:t>1462</w:t>
            </w:r>
          </w:p>
          <w:p w14:paraId="52A54EA4" w14:textId="77777777" w:rsidR="006A00A6" w:rsidRDefault="006A00A6" w:rsidP="00C94301">
            <w:pPr>
              <w:spacing w:line="288" w:lineRule="auto"/>
              <w:jc w:val="center"/>
              <w:rPr>
                <w:sz w:val="12"/>
                <w:lang w:val="en-GB"/>
              </w:rPr>
            </w:pPr>
            <w:r>
              <w:rPr>
                <w:sz w:val="12"/>
                <w:lang w:val="en-GB"/>
              </w:rPr>
              <w:t>-</w:t>
            </w:r>
          </w:p>
          <w:p w14:paraId="52A54EA5" w14:textId="77777777" w:rsidR="006A00A6" w:rsidRDefault="006A00A6" w:rsidP="00C94301">
            <w:pPr>
              <w:spacing w:line="288" w:lineRule="auto"/>
              <w:jc w:val="center"/>
              <w:rPr>
                <w:lang w:val="en-GB"/>
              </w:rPr>
            </w:pPr>
            <w:r>
              <w:rPr>
                <w:sz w:val="12"/>
                <w:lang w:val="en-GB"/>
              </w:rPr>
              <w:t>1467</w:t>
            </w:r>
          </w:p>
        </w:tc>
        <w:tc>
          <w:tcPr>
            <w:tcW w:w="526" w:type="dxa"/>
            <w:tcBorders>
              <w:top w:val="single" w:sz="4" w:space="0" w:color="D2232A"/>
              <w:left w:val="single" w:sz="4" w:space="0" w:color="D2232A"/>
              <w:bottom w:val="single" w:sz="4" w:space="0" w:color="D2232A"/>
              <w:right w:val="single" w:sz="4" w:space="0" w:color="D2232A"/>
            </w:tcBorders>
            <w:vAlign w:val="center"/>
          </w:tcPr>
          <w:p w14:paraId="52A54EA6" w14:textId="77777777" w:rsidR="006A00A6" w:rsidRDefault="006A00A6" w:rsidP="00C94301">
            <w:pPr>
              <w:spacing w:line="288" w:lineRule="auto"/>
              <w:jc w:val="center"/>
              <w:rPr>
                <w:sz w:val="12"/>
                <w:lang w:val="en-GB"/>
              </w:rPr>
            </w:pPr>
            <w:r>
              <w:rPr>
                <w:sz w:val="12"/>
                <w:lang w:val="en-GB"/>
              </w:rPr>
              <w:t>1467</w:t>
            </w:r>
          </w:p>
          <w:p w14:paraId="52A54EA7" w14:textId="77777777" w:rsidR="006A00A6" w:rsidRDefault="006A00A6" w:rsidP="00C94301">
            <w:pPr>
              <w:spacing w:line="288" w:lineRule="auto"/>
              <w:jc w:val="center"/>
              <w:rPr>
                <w:sz w:val="12"/>
                <w:lang w:val="en-GB"/>
              </w:rPr>
            </w:pPr>
            <w:r>
              <w:rPr>
                <w:sz w:val="12"/>
                <w:lang w:val="en-GB"/>
              </w:rPr>
              <w:t>-</w:t>
            </w:r>
          </w:p>
          <w:p w14:paraId="52A54EA8" w14:textId="77777777" w:rsidR="006A00A6" w:rsidRDefault="006A00A6" w:rsidP="00C94301">
            <w:pPr>
              <w:spacing w:line="288" w:lineRule="auto"/>
              <w:jc w:val="center"/>
              <w:rPr>
                <w:lang w:val="en-GB"/>
              </w:rPr>
            </w:pPr>
            <w:r>
              <w:rPr>
                <w:sz w:val="12"/>
                <w:lang w:val="en-GB"/>
              </w:rPr>
              <w:t>1472</w:t>
            </w:r>
          </w:p>
        </w:tc>
        <w:tc>
          <w:tcPr>
            <w:tcW w:w="525" w:type="dxa"/>
            <w:tcBorders>
              <w:top w:val="single" w:sz="4" w:space="0" w:color="D2232A"/>
              <w:left w:val="single" w:sz="4" w:space="0" w:color="D2232A"/>
              <w:bottom w:val="single" w:sz="4" w:space="0" w:color="D2232A"/>
              <w:right w:val="single" w:sz="4" w:space="0" w:color="D2232A"/>
            </w:tcBorders>
            <w:vAlign w:val="center"/>
          </w:tcPr>
          <w:p w14:paraId="52A54EA9" w14:textId="77777777" w:rsidR="006A00A6" w:rsidRDefault="006A00A6" w:rsidP="00C94301">
            <w:pPr>
              <w:spacing w:line="288" w:lineRule="auto"/>
              <w:jc w:val="center"/>
              <w:rPr>
                <w:sz w:val="12"/>
                <w:lang w:val="en-GB"/>
              </w:rPr>
            </w:pPr>
            <w:r>
              <w:rPr>
                <w:sz w:val="12"/>
                <w:lang w:val="en-GB"/>
              </w:rPr>
              <w:t>1472</w:t>
            </w:r>
          </w:p>
          <w:p w14:paraId="52A54EAA" w14:textId="77777777" w:rsidR="006A00A6" w:rsidRDefault="006A00A6" w:rsidP="00C94301">
            <w:pPr>
              <w:spacing w:line="288" w:lineRule="auto"/>
              <w:jc w:val="center"/>
              <w:rPr>
                <w:sz w:val="12"/>
                <w:lang w:val="en-GB"/>
              </w:rPr>
            </w:pPr>
            <w:r>
              <w:rPr>
                <w:sz w:val="12"/>
                <w:lang w:val="en-GB"/>
              </w:rPr>
              <w:t>-</w:t>
            </w:r>
          </w:p>
          <w:p w14:paraId="52A54EAB" w14:textId="77777777" w:rsidR="006A00A6" w:rsidRDefault="006A00A6" w:rsidP="00C94301">
            <w:pPr>
              <w:spacing w:line="288" w:lineRule="auto"/>
              <w:jc w:val="center"/>
              <w:rPr>
                <w:lang w:val="en-GB"/>
              </w:rPr>
            </w:pPr>
            <w:r>
              <w:rPr>
                <w:sz w:val="12"/>
                <w:lang w:val="en-GB"/>
              </w:rPr>
              <w:t>1477</w:t>
            </w:r>
          </w:p>
        </w:tc>
        <w:tc>
          <w:tcPr>
            <w:tcW w:w="526" w:type="dxa"/>
            <w:tcBorders>
              <w:top w:val="single" w:sz="4" w:space="0" w:color="D2232A"/>
              <w:left w:val="single" w:sz="4" w:space="0" w:color="D2232A"/>
              <w:bottom w:val="single" w:sz="4" w:space="0" w:color="D2232A"/>
              <w:right w:val="single" w:sz="4" w:space="0" w:color="D2232A"/>
            </w:tcBorders>
            <w:vAlign w:val="center"/>
          </w:tcPr>
          <w:p w14:paraId="52A54EAC" w14:textId="77777777" w:rsidR="006A00A6" w:rsidRDefault="006A00A6" w:rsidP="00C94301">
            <w:pPr>
              <w:spacing w:line="288" w:lineRule="auto"/>
              <w:jc w:val="center"/>
              <w:rPr>
                <w:sz w:val="12"/>
                <w:lang w:val="en-GB"/>
              </w:rPr>
            </w:pPr>
            <w:r>
              <w:rPr>
                <w:sz w:val="12"/>
                <w:lang w:val="en-GB"/>
              </w:rPr>
              <w:t>1477</w:t>
            </w:r>
          </w:p>
          <w:p w14:paraId="52A54EAD" w14:textId="77777777" w:rsidR="006A00A6" w:rsidRDefault="006A00A6" w:rsidP="00C94301">
            <w:pPr>
              <w:spacing w:line="288" w:lineRule="auto"/>
              <w:jc w:val="center"/>
              <w:rPr>
                <w:sz w:val="12"/>
                <w:lang w:val="en-GB"/>
              </w:rPr>
            </w:pPr>
            <w:r>
              <w:rPr>
                <w:sz w:val="12"/>
                <w:lang w:val="en-GB"/>
              </w:rPr>
              <w:t>-</w:t>
            </w:r>
          </w:p>
          <w:p w14:paraId="52A54EAE" w14:textId="77777777" w:rsidR="006A00A6" w:rsidRDefault="006A00A6" w:rsidP="00C94301">
            <w:pPr>
              <w:spacing w:line="288" w:lineRule="auto"/>
              <w:jc w:val="center"/>
              <w:rPr>
                <w:lang w:val="en-GB"/>
              </w:rPr>
            </w:pPr>
            <w:r>
              <w:rPr>
                <w:sz w:val="12"/>
                <w:lang w:val="en-GB"/>
              </w:rPr>
              <w:t>1482</w:t>
            </w:r>
          </w:p>
        </w:tc>
        <w:tc>
          <w:tcPr>
            <w:tcW w:w="526" w:type="dxa"/>
            <w:tcBorders>
              <w:top w:val="single" w:sz="4" w:space="0" w:color="D2232A"/>
              <w:left w:val="single" w:sz="4" w:space="0" w:color="D2232A"/>
              <w:bottom w:val="single" w:sz="4" w:space="0" w:color="D2232A"/>
              <w:right w:val="single" w:sz="4" w:space="0" w:color="D2232A"/>
            </w:tcBorders>
            <w:vAlign w:val="center"/>
          </w:tcPr>
          <w:p w14:paraId="52A54EAF" w14:textId="77777777" w:rsidR="006A00A6" w:rsidRDefault="006A00A6" w:rsidP="00C94301">
            <w:pPr>
              <w:spacing w:line="288" w:lineRule="auto"/>
              <w:jc w:val="center"/>
              <w:rPr>
                <w:sz w:val="12"/>
                <w:lang w:val="en-GB"/>
              </w:rPr>
            </w:pPr>
            <w:r>
              <w:rPr>
                <w:sz w:val="12"/>
                <w:lang w:val="en-GB"/>
              </w:rPr>
              <w:t>1482</w:t>
            </w:r>
          </w:p>
          <w:p w14:paraId="52A54EB0" w14:textId="77777777" w:rsidR="006A00A6" w:rsidRDefault="006A00A6" w:rsidP="00C94301">
            <w:pPr>
              <w:spacing w:line="288" w:lineRule="auto"/>
              <w:jc w:val="center"/>
              <w:rPr>
                <w:sz w:val="12"/>
                <w:lang w:val="en-GB"/>
              </w:rPr>
            </w:pPr>
            <w:r>
              <w:rPr>
                <w:sz w:val="12"/>
                <w:lang w:val="en-GB"/>
              </w:rPr>
              <w:t>-</w:t>
            </w:r>
          </w:p>
          <w:p w14:paraId="52A54EB1" w14:textId="77777777" w:rsidR="006A00A6" w:rsidRDefault="006A00A6" w:rsidP="00C94301">
            <w:pPr>
              <w:spacing w:line="288" w:lineRule="auto"/>
              <w:jc w:val="center"/>
              <w:rPr>
                <w:lang w:val="en-GB"/>
              </w:rPr>
            </w:pPr>
            <w:r>
              <w:rPr>
                <w:sz w:val="12"/>
                <w:lang w:val="en-GB"/>
              </w:rPr>
              <w:t>1487</w:t>
            </w:r>
          </w:p>
        </w:tc>
        <w:tc>
          <w:tcPr>
            <w:tcW w:w="526" w:type="dxa"/>
            <w:tcBorders>
              <w:top w:val="single" w:sz="4" w:space="0" w:color="D2232A"/>
              <w:left w:val="single" w:sz="4" w:space="0" w:color="D2232A"/>
              <w:bottom w:val="single" w:sz="4" w:space="0" w:color="D2232A"/>
              <w:right w:val="single" w:sz="4" w:space="0" w:color="D2232A"/>
            </w:tcBorders>
            <w:vAlign w:val="center"/>
          </w:tcPr>
          <w:p w14:paraId="52A54EB2" w14:textId="77777777" w:rsidR="006A00A6" w:rsidRDefault="006A00A6" w:rsidP="00C94301">
            <w:pPr>
              <w:spacing w:line="288" w:lineRule="auto"/>
              <w:jc w:val="center"/>
              <w:rPr>
                <w:sz w:val="12"/>
                <w:lang w:val="en-GB"/>
              </w:rPr>
            </w:pPr>
            <w:r>
              <w:rPr>
                <w:sz w:val="12"/>
                <w:lang w:val="en-GB"/>
              </w:rPr>
              <w:t>1487</w:t>
            </w:r>
          </w:p>
          <w:p w14:paraId="52A54EB3" w14:textId="77777777" w:rsidR="006A00A6" w:rsidRDefault="006A00A6" w:rsidP="00C94301">
            <w:pPr>
              <w:spacing w:line="288" w:lineRule="auto"/>
              <w:jc w:val="center"/>
              <w:rPr>
                <w:sz w:val="12"/>
                <w:lang w:val="en-GB"/>
              </w:rPr>
            </w:pPr>
            <w:r>
              <w:rPr>
                <w:sz w:val="12"/>
                <w:lang w:val="en-GB"/>
              </w:rPr>
              <w:t>-</w:t>
            </w:r>
          </w:p>
          <w:p w14:paraId="52A54EB4" w14:textId="77777777" w:rsidR="006A00A6" w:rsidRDefault="006A00A6" w:rsidP="00C94301">
            <w:pPr>
              <w:spacing w:line="288" w:lineRule="auto"/>
              <w:jc w:val="center"/>
              <w:rPr>
                <w:lang w:val="en-GB"/>
              </w:rPr>
            </w:pPr>
            <w:r>
              <w:rPr>
                <w:sz w:val="12"/>
                <w:lang w:val="en-GB"/>
              </w:rPr>
              <w:t>1492</w:t>
            </w:r>
          </w:p>
        </w:tc>
        <w:tc>
          <w:tcPr>
            <w:tcW w:w="525" w:type="dxa"/>
            <w:tcBorders>
              <w:top w:val="single" w:sz="4" w:space="0" w:color="D2232A"/>
              <w:left w:val="single" w:sz="4" w:space="0" w:color="D2232A"/>
              <w:bottom w:val="single" w:sz="4" w:space="0" w:color="D2232A"/>
              <w:right w:val="single" w:sz="4" w:space="0" w:color="D2232A"/>
            </w:tcBorders>
            <w:vAlign w:val="center"/>
          </w:tcPr>
          <w:p w14:paraId="52A54EB5" w14:textId="77777777" w:rsidR="006A00A6" w:rsidRDefault="006A00A6" w:rsidP="00C94301">
            <w:pPr>
              <w:spacing w:line="288" w:lineRule="auto"/>
              <w:jc w:val="center"/>
              <w:rPr>
                <w:sz w:val="12"/>
                <w:lang w:val="en-GB"/>
              </w:rPr>
            </w:pPr>
            <w:r>
              <w:rPr>
                <w:sz w:val="12"/>
                <w:lang w:val="en-GB"/>
              </w:rPr>
              <w:t>1492</w:t>
            </w:r>
          </w:p>
          <w:p w14:paraId="52A54EB6" w14:textId="77777777" w:rsidR="006A00A6" w:rsidRDefault="006A00A6" w:rsidP="00C94301">
            <w:pPr>
              <w:spacing w:line="288" w:lineRule="auto"/>
              <w:jc w:val="center"/>
              <w:rPr>
                <w:sz w:val="12"/>
                <w:lang w:val="en-GB"/>
              </w:rPr>
            </w:pPr>
            <w:r>
              <w:rPr>
                <w:sz w:val="12"/>
                <w:lang w:val="en-GB"/>
              </w:rPr>
              <w:t>-</w:t>
            </w:r>
          </w:p>
          <w:p w14:paraId="52A54EB7" w14:textId="77777777" w:rsidR="006A00A6" w:rsidRDefault="006A00A6" w:rsidP="00C94301">
            <w:pPr>
              <w:spacing w:line="288" w:lineRule="auto"/>
              <w:jc w:val="center"/>
              <w:rPr>
                <w:lang w:val="en-GB"/>
              </w:rPr>
            </w:pPr>
            <w:r>
              <w:rPr>
                <w:sz w:val="12"/>
                <w:lang w:val="en-GB"/>
              </w:rPr>
              <w:t>1497</w:t>
            </w:r>
          </w:p>
        </w:tc>
        <w:tc>
          <w:tcPr>
            <w:tcW w:w="526" w:type="dxa"/>
            <w:tcBorders>
              <w:top w:val="single" w:sz="4" w:space="0" w:color="D2232A"/>
              <w:left w:val="single" w:sz="4" w:space="0" w:color="D2232A"/>
              <w:bottom w:val="single" w:sz="4" w:space="0" w:color="D2232A"/>
              <w:right w:val="single" w:sz="4" w:space="0" w:color="D2232A"/>
            </w:tcBorders>
            <w:vAlign w:val="center"/>
          </w:tcPr>
          <w:p w14:paraId="52A54EB8" w14:textId="77777777" w:rsidR="006A00A6" w:rsidRDefault="006A00A6" w:rsidP="00C94301">
            <w:pPr>
              <w:spacing w:line="288" w:lineRule="auto"/>
              <w:jc w:val="center"/>
              <w:rPr>
                <w:sz w:val="12"/>
                <w:lang w:val="en-GB"/>
              </w:rPr>
            </w:pPr>
            <w:r>
              <w:rPr>
                <w:sz w:val="12"/>
                <w:lang w:val="en-GB"/>
              </w:rPr>
              <w:t>1497</w:t>
            </w:r>
          </w:p>
          <w:p w14:paraId="52A54EB9" w14:textId="77777777" w:rsidR="006A00A6" w:rsidRDefault="006A00A6" w:rsidP="00C94301">
            <w:pPr>
              <w:spacing w:line="288" w:lineRule="auto"/>
              <w:jc w:val="center"/>
              <w:rPr>
                <w:sz w:val="12"/>
                <w:lang w:val="en-GB"/>
              </w:rPr>
            </w:pPr>
            <w:r>
              <w:rPr>
                <w:sz w:val="12"/>
                <w:lang w:val="en-GB"/>
              </w:rPr>
              <w:t>-</w:t>
            </w:r>
          </w:p>
          <w:p w14:paraId="52A54EBA" w14:textId="77777777" w:rsidR="006A00A6" w:rsidRDefault="006A00A6" w:rsidP="00C94301">
            <w:pPr>
              <w:spacing w:line="288" w:lineRule="auto"/>
              <w:jc w:val="center"/>
              <w:rPr>
                <w:lang w:val="en-GB"/>
              </w:rPr>
            </w:pPr>
            <w:r>
              <w:rPr>
                <w:sz w:val="12"/>
                <w:lang w:val="en-GB"/>
              </w:rPr>
              <w:t>1502</w:t>
            </w:r>
          </w:p>
        </w:tc>
        <w:tc>
          <w:tcPr>
            <w:tcW w:w="526" w:type="dxa"/>
            <w:tcBorders>
              <w:top w:val="single" w:sz="4" w:space="0" w:color="D2232A"/>
              <w:left w:val="single" w:sz="4" w:space="0" w:color="D2232A"/>
              <w:bottom w:val="single" w:sz="4" w:space="0" w:color="D2232A"/>
              <w:right w:val="single" w:sz="4" w:space="0" w:color="D2232A"/>
            </w:tcBorders>
            <w:vAlign w:val="center"/>
          </w:tcPr>
          <w:p w14:paraId="52A54EBB" w14:textId="77777777" w:rsidR="006A00A6" w:rsidRDefault="006A00A6" w:rsidP="00C94301">
            <w:pPr>
              <w:spacing w:line="288" w:lineRule="auto"/>
              <w:jc w:val="center"/>
              <w:rPr>
                <w:sz w:val="12"/>
                <w:lang w:val="en-GB"/>
              </w:rPr>
            </w:pPr>
            <w:r>
              <w:rPr>
                <w:sz w:val="12"/>
                <w:lang w:val="en-GB"/>
              </w:rPr>
              <w:t>1502</w:t>
            </w:r>
          </w:p>
          <w:p w14:paraId="52A54EBC" w14:textId="77777777" w:rsidR="006A00A6" w:rsidRDefault="006A00A6" w:rsidP="00C94301">
            <w:pPr>
              <w:spacing w:line="288" w:lineRule="auto"/>
              <w:jc w:val="center"/>
              <w:rPr>
                <w:sz w:val="12"/>
                <w:lang w:val="en-GB"/>
              </w:rPr>
            </w:pPr>
            <w:r>
              <w:rPr>
                <w:sz w:val="12"/>
                <w:lang w:val="en-GB"/>
              </w:rPr>
              <w:t>-</w:t>
            </w:r>
          </w:p>
          <w:p w14:paraId="52A54EBD" w14:textId="77777777" w:rsidR="006A00A6" w:rsidRDefault="006A00A6" w:rsidP="00C94301">
            <w:pPr>
              <w:spacing w:line="288" w:lineRule="auto"/>
              <w:jc w:val="center"/>
              <w:rPr>
                <w:lang w:val="en-GB"/>
              </w:rPr>
            </w:pPr>
            <w:r>
              <w:rPr>
                <w:sz w:val="12"/>
                <w:lang w:val="en-GB"/>
              </w:rPr>
              <w:t>1507</w:t>
            </w:r>
          </w:p>
        </w:tc>
        <w:tc>
          <w:tcPr>
            <w:tcW w:w="526" w:type="dxa"/>
            <w:tcBorders>
              <w:top w:val="single" w:sz="4" w:space="0" w:color="D2232A"/>
              <w:left w:val="single" w:sz="4" w:space="0" w:color="D2232A"/>
              <w:bottom w:val="single" w:sz="4" w:space="0" w:color="D2232A"/>
              <w:right w:val="single" w:sz="4" w:space="0" w:color="D2232A"/>
            </w:tcBorders>
            <w:vAlign w:val="center"/>
          </w:tcPr>
          <w:p w14:paraId="52A54EBE" w14:textId="77777777" w:rsidR="006A00A6" w:rsidRDefault="006A00A6" w:rsidP="00C94301">
            <w:pPr>
              <w:spacing w:line="288" w:lineRule="auto"/>
              <w:jc w:val="center"/>
              <w:rPr>
                <w:sz w:val="12"/>
                <w:lang w:val="en-GB"/>
              </w:rPr>
            </w:pPr>
            <w:r>
              <w:rPr>
                <w:sz w:val="12"/>
                <w:lang w:val="en-GB"/>
              </w:rPr>
              <w:t>1507</w:t>
            </w:r>
          </w:p>
          <w:p w14:paraId="52A54EBF" w14:textId="77777777" w:rsidR="006A00A6" w:rsidRDefault="006A00A6" w:rsidP="00C94301">
            <w:pPr>
              <w:spacing w:line="288" w:lineRule="auto"/>
              <w:jc w:val="center"/>
              <w:rPr>
                <w:sz w:val="12"/>
                <w:lang w:val="en-GB"/>
              </w:rPr>
            </w:pPr>
            <w:r>
              <w:rPr>
                <w:sz w:val="12"/>
                <w:lang w:val="en-GB"/>
              </w:rPr>
              <w:t>-</w:t>
            </w:r>
          </w:p>
          <w:p w14:paraId="52A54EC0" w14:textId="77777777" w:rsidR="006A00A6" w:rsidRDefault="006A00A6" w:rsidP="00C94301">
            <w:pPr>
              <w:spacing w:line="288" w:lineRule="auto"/>
              <w:jc w:val="center"/>
              <w:rPr>
                <w:lang w:val="en-GB"/>
              </w:rPr>
            </w:pPr>
            <w:r>
              <w:rPr>
                <w:sz w:val="12"/>
                <w:lang w:val="en-GB"/>
              </w:rPr>
              <w:t>1512</w:t>
            </w:r>
          </w:p>
        </w:tc>
        <w:tc>
          <w:tcPr>
            <w:tcW w:w="526" w:type="dxa"/>
            <w:tcBorders>
              <w:top w:val="single" w:sz="4" w:space="0" w:color="D2232A"/>
              <w:left w:val="single" w:sz="4" w:space="0" w:color="D2232A"/>
              <w:bottom w:val="single" w:sz="4" w:space="0" w:color="D2232A"/>
              <w:right w:val="single" w:sz="4" w:space="0" w:color="D2232A"/>
            </w:tcBorders>
            <w:vAlign w:val="center"/>
          </w:tcPr>
          <w:p w14:paraId="52A54EC1" w14:textId="77777777" w:rsidR="006A00A6" w:rsidRPr="001F33BE" w:rsidRDefault="006A00A6" w:rsidP="00C94301">
            <w:pPr>
              <w:spacing w:line="288" w:lineRule="auto"/>
              <w:jc w:val="center"/>
              <w:rPr>
                <w:sz w:val="12"/>
                <w:lang w:val="en-GB"/>
              </w:rPr>
            </w:pPr>
            <w:r w:rsidRPr="002248FB">
              <w:rPr>
                <w:sz w:val="12"/>
                <w:lang w:val="en-GB"/>
              </w:rPr>
              <w:t>1512</w:t>
            </w:r>
          </w:p>
          <w:p w14:paraId="52A54EC2" w14:textId="77777777" w:rsidR="006A00A6" w:rsidRPr="002248FB" w:rsidRDefault="006A00A6" w:rsidP="00C94301">
            <w:pPr>
              <w:spacing w:line="288" w:lineRule="auto"/>
              <w:jc w:val="center"/>
              <w:rPr>
                <w:sz w:val="12"/>
                <w:lang w:val="en-GB"/>
              </w:rPr>
            </w:pPr>
            <w:r w:rsidRPr="001F33BE">
              <w:rPr>
                <w:sz w:val="12"/>
                <w:lang w:val="en-GB"/>
              </w:rPr>
              <w:t>-</w:t>
            </w:r>
          </w:p>
          <w:p w14:paraId="52A54EC3" w14:textId="77777777" w:rsidR="006A00A6" w:rsidRDefault="006A00A6" w:rsidP="00C94301">
            <w:pPr>
              <w:spacing w:line="288" w:lineRule="auto"/>
              <w:jc w:val="center"/>
              <w:rPr>
                <w:lang w:val="en-GB"/>
              </w:rPr>
            </w:pPr>
            <w:r w:rsidRPr="002248FB">
              <w:rPr>
                <w:sz w:val="12"/>
                <w:lang w:val="en-GB"/>
              </w:rPr>
              <w:t>1517</w:t>
            </w:r>
            <w:r w:rsidRPr="002248FB">
              <w:rPr>
                <w:sz w:val="10"/>
                <w:lang w:val="en-GB"/>
              </w:rPr>
              <w:t>**</w:t>
            </w:r>
          </w:p>
        </w:tc>
        <w:tc>
          <w:tcPr>
            <w:tcW w:w="601" w:type="dxa"/>
            <w:tcBorders>
              <w:top w:val="single" w:sz="4" w:space="0" w:color="D2232A"/>
              <w:left w:val="single" w:sz="4" w:space="0" w:color="D2232A"/>
              <w:bottom w:val="single" w:sz="4" w:space="0" w:color="D2232A"/>
              <w:right w:val="single" w:sz="4" w:space="0" w:color="D2232A"/>
            </w:tcBorders>
            <w:vAlign w:val="center"/>
          </w:tcPr>
          <w:p w14:paraId="52A54EC4" w14:textId="77777777" w:rsidR="006A00A6" w:rsidRDefault="006A00A6" w:rsidP="00C94301">
            <w:pPr>
              <w:spacing w:line="288" w:lineRule="auto"/>
              <w:jc w:val="center"/>
              <w:rPr>
                <w:sz w:val="12"/>
                <w:lang w:val="en-GB"/>
              </w:rPr>
            </w:pPr>
            <w:r>
              <w:rPr>
                <w:sz w:val="12"/>
                <w:lang w:val="en-GB"/>
              </w:rPr>
              <w:t>1517</w:t>
            </w:r>
          </w:p>
          <w:p w14:paraId="52A54EC5" w14:textId="77777777" w:rsidR="006A00A6" w:rsidRDefault="006A00A6" w:rsidP="00C94301">
            <w:pPr>
              <w:spacing w:line="288" w:lineRule="auto"/>
              <w:jc w:val="center"/>
              <w:rPr>
                <w:sz w:val="12"/>
                <w:lang w:val="en-GB"/>
              </w:rPr>
            </w:pPr>
            <w:r>
              <w:rPr>
                <w:sz w:val="12"/>
                <w:lang w:val="en-GB"/>
              </w:rPr>
              <w:t>-</w:t>
            </w:r>
          </w:p>
          <w:p w14:paraId="52A54EC6" w14:textId="77777777" w:rsidR="006A00A6" w:rsidRDefault="006A00A6" w:rsidP="00C94301">
            <w:pPr>
              <w:spacing w:line="288" w:lineRule="auto"/>
              <w:jc w:val="center"/>
              <w:rPr>
                <w:sz w:val="12"/>
                <w:lang w:val="en-GB"/>
              </w:rPr>
            </w:pPr>
            <w:r>
              <w:rPr>
                <w:sz w:val="12"/>
                <w:lang w:val="en-GB"/>
              </w:rPr>
              <w:t>1518</w:t>
            </w:r>
          </w:p>
        </w:tc>
      </w:tr>
      <w:tr w:rsidR="006A00A6" w14:paraId="52A54ECA" w14:textId="77777777" w:rsidTr="00C94301">
        <w:trPr>
          <w:tblHeader/>
        </w:trPr>
        <w:tc>
          <w:tcPr>
            <w:tcW w:w="9464" w:type="dxa"/>
            <w:gridSpan w:val="18"/>
            <w:tcBorders>
              <w:top w:val="single" w:sz="4" w:space="0" w:color="D2232A"/>
              <w:left w:val="single" w:sz="4" w:space="0" w:color="D2232A"/>
              <w:bottom w:val="single" w:sz="4" w:space="0" w:color="D2232A"/>
              <w:right w:val="single" w:sz="4" w:space="0" w:color="FFFFFF" w:themeColor="background1"/>
            </w:tcBorders>
            <w:shd w:val="clear" w:color="auto" w:fill="D2232A"/>
            <w:vAlign w:val="center"/>
          </w:tcPr>
          <w:p w14:paraId="52A54EC8" w14:textId="77777777" w:rsidR="006A00A6" w:rsidRDefault="006A00A6" w:rsidP="00C94301">
            <w:pPr>
              <w:spacing w:line="288" w:lineRule="auto"/>
              <w:jc w:val="center"/>
              <w:rPr>
                <w:b/>
                <w:color w:val="FFFFFF"/>
                <w:lang w:val="en-GB"/>
              </w:rPr>
            </w:pPr>
            <w:r>
              <w:rPr>
                <w:b/>
                <w:color w:val="FFFFFF"/>
                <w:lang w:val="en-GB"/>
              </w:rPr>
              <w:t xml:space="preserve">Downlink (base station transmit) </w:t>
            </w:r>
          </w:p>
        </w:tc>
        <w:tc>
          <w:tcPr>
            <w:tcW w:w="601" w:type="dxa"/>
            <w:tcBorders>
              <w:top w:val="single" w:sz="4" w:space="0" w:color="D2232A"/>
              <w:left w:val="single" w:sz="4" w:space="0" w:color="FFFFFF" w:themeColor="background1"/>
              <w:bottom w:val="single" w:sz="4" w:space="0" w:color="D2232A"/>
              <w:right w:val="single" w:sz="4" w:space="0" w:color="D2232A"/>
            </w:tcBorders>
            <w:shd w:val="clear" w:color="auto" w:fill="D2232A"/>
          </w:tcPr>
          <w:p w14:paraId="52A54EC9" w14:textId="77777777" w:rsidR="006A00A6" w:rsidRDefault="006A00A6" w:rsidP="00C94301">
            <w:pPr>
              <w:spacing w:line="288" w:lineRule="auto"/>
              <w:jc w:val="center"/>
              <w:rPr>
                <w:b/>
                <w:color w:val="FFFFFF"/>
                <w:sz w:val="12"/>
                <w:szCs w:val="12"/>
                <w:lang w:val="en-GB"/>
              </w:rPr>
            </w:pPr>
            <w:r>
              <w:rPr>
                <w:b/>
                <w:color w:val="FFFFFF"/>
                <w:sz w:val="12"/>
                <w:szCs w:val="12"/>
                <w:lang w:val="en-GB"/>
              </w:rPr>
              <w:t>Guard band</w:t>
            </w:r>
          </w:p>
        </w:tc>
      </w:tr>
      <w:tr w:rsidR="006A00A6" w:rsidRPr="002248FB" w14:paraId="52A54ECD" w14:textId="77777777" w:rsidTr="00C94301">
        <w:tc>
          <w:tcPr>
            <w:tcW w:w="9464" w:type="dxa"/>
            <w:gridSpan w:val="18"/>
            <w:tcBorders>
              <w:top w:val="single" w:sz="4" w:space="0" w:color="D2232A"/>
              <w:left w:val="single" w:sz="4" w:space="0" w:color="D2232A"/>
              <w:bottom w:val="single" w:sz="4" w:space="0" w:color="D2232A"/>
              <w:right w:val="single" w:sz="4" w:space="0" w:color="D2232A"/>
            </w:tcBorders>
            <w:vAlign w:val="center"/>
          </w:tcPr>
          <w:p w14:paraId="52A54ECB" w14:textId="77777777" w:rsidR="006A00A6" w:rsidRPr="002248FB" w:rsidRDefault="006A00A6" w:rsidP="00C94301">
            <w:pPr>
              <w:spacing w:line="288" w:lineRule="auto"/>
              <w:jc w:val="center"/>
              <w:rPr>
                <w:lang w:val="en-GB"/>
              </w:rPr>
            </w:pPr>
            <w:r w:rsidRPr="002248FB">
              <w:rPr>
                <w:lang w:val="en-GB"/>
              </w:rPr>
              <w:t>90 MHz (18 blocks of 5 MHz)</w:t>
            </w:r>
          </w:p>
        </w:tc>
        <w:tc>
          <w:tcPr>
            <w:tcW w:w="601" w:type="dxa"/>
            <w:tcBorders>
              <w:top w:val="single" w:sz="4" w:space="0" w:color="D2232A"/>
              <w:left w:val="single" w:sz="4" w:space="0" w:color="D2232A"/>
              <w:bottom w:val="single" w:sz="4" w:space="0" w:color="D2232A"/>
              <w:right w:val="single" w:sz="4" w:space="0" w:color="D2232A"/>
            </w:tcBorders>
            <w:vAlign w:val="center"/>
          </w:tcPr>
          <w:p w14:paraId="52A54ECC" w14:textId="77777777" w:rsidR="006A00A6" w:rsidRPr="002248FB" w:rsidRDefault="006A00A6" w:rsidP="00C94301">
            <w:pPr>
              <w:spacing w:line="288" w:lineRule="auto"/>
              <w:jc w:val="center"/>
              <w:rPr>
                <w:sz w:val="12"/>
                <w:szCs w:val="12"/>
                <w:lang w:val="en-GB"/>
              </w:rPr>
            </w:pPr>
            <w:r w:rsidRPr="002248FB">
              <w:rPr>
                <w:sz w:val="12"/>
                <w:szCs w:val="12"/>
                <w:lang w:val="en-GB"/>
              </w:rPr>
              <w:t>1 MHz</w:t>
            </w:r>
          </w:p>
        </w:tc>
      </w:tr>
    </w:tbl>
    <w:p w14:paraId="52A54ECE" w14:textId="77777777" w:rsidR="006A00A6" w:rsidRDefault="006A00A6" w:rsidP="006A00A6">
      <w:pPr>
        <w:pStyle w:val="ECCTablenote"/>
      </w:pPr>
      <w:r w:rsidRPr="002248FB">
        <w:t>*Block conditions and **Restricted power: see ANNEX 2</w:t>
      </w:r>
    </w:p>
    <w:p w14:paraId="52A54ECF" w14:textId="77777777" w:rsidR="006A00A6" w:rsidRPr="006A00A6" w:rsidRDefault="006A00A6" w:rsidP="006A00A6">
      <w:pPr>
        <w:pStyle w:val="ECCParagraph"/>
      </w:pPr>
    </w:p>
    <w:p w14:paraId="52A54ED0" w14:textId="77777777" w:rsidR="006A00A6" w:rsidRDefault="006A00A6" w:rsidP="006A00A6">
      <w:pPr>
        <w:pStyle w:val="ECCTablenote"/>
      </w:pPr>
    </w:p>
    <w:p w14:paraId="52A54ED1" w14:textId="77777777" w:rsidR="006A00A6" w:rsidRDefault="006A00A6" w:rsidP="006A00A6">
      <w:pPr>
        <w:pStyle w:val="ECCParagraph"/>
      </w:pPr>
      <w:r>
        <w:fldChar w:fldCharType="begin"/>
      </w:r>
      <w:r>
        <w:instrText xml:space="preserve"> REF _Ref481761428 \h </w:instrText>
      </w:r>
      <w:r>
        <w:fldChar w:fldCharType="separate"/>
      </w:r>
      <w:r w:rsidR="006211F5" w:rsidRPr="002248FB">
        <w:t xml:space="preserve">Table </w:t>
      </w:r>
      <w:r w:rsidR="006211F5">
        <w:rPr>
          <w:noProof/>
        </w:rPr>
        <w:t>3</w:t>
      </w:r>
      <w:r>
        <w:fldChar w:fldCharType="end"/>
      </w:r>
      <w:r>
        <w:t xml:space="preserve"> for information reveals the potential synergy with ECC Decision (13)03 </w:t>
      </w:r>
      <w:r>
        <w:fldChar w:fldCharType="begin"/>
      </w:r>
      <w:r>
        <w:instrText xml:space="preserve"> REF _Ref481765313 \r \h </w:instrText>
      </w:r>
      <w:r>
        <w:fldChar w:fldCharType="separate"/>
      </w:r>
      <w:r w:rsidR="006211F5">
        <w:t>[1]</w:t>
      </w:r>
      <w:r>
        <w:fldChar w:fldCharType="end"/>
      </w:r>
      <w:r>
        <w:t>.</w:t>
      </w:r>
    </w:p>
    <w:p w14:paraId="52A54ED2" w14:textId="77777777" w:rsidR="006A00A6" w:rsidRDefault="006A00A6" w:rsidP="006A00A6">
      <w:pPr>
        <w:pStyle w:val="ECCParagraph"/>
        <w:rPr>
          <w:i/>
        </w:rPr>
      </w:pPr>
    </w:p>
    <w:p w14:paraId="52A54ED3" w14:textId="77777777" w:rsidR="00FF0FE2" w:rsidRDefault="00FF0FE2" w:rsidP="00FF0FE2">
      <w:pPr>
        <w:pStyle w:val="ECCAnnex-heading1"/>
      </w:pPr>
      <w:r>
        <w:lastRenderedPageBreak/>
        <w:t>LEAST RESTRICTIVE Technical conditions</w:t>
      </w:r>
    </w:p>
    <w:p w14:paraId="52A54ED4" w14:textId="77777777" w:rsidR="00FF0FE2" w:rsidRDefault="00FF0FE2" w:rsidP="00FF0FE2">
      <w:pPr>
        <w:pStyle w:val="ECCParagraph"/>
        <w:rPr>
          <w:rFonts w:eastAsia="Calibri"/>
        </w:rPr>
      </w:pPr>
      <w:r>
        <w:rPr>
          <w:rFonts w:eastAsia="Calibri"/>
        </w:rPr>
        <w:t>The least restrictive technical conditions (LRTC) are in the form of a block-edge mask (BEM) and out-of-block emission limits. LRTC are related to the avoidance of interference between users of spectrum. The LRTC in the 1427</w:t>
      </w:r>
      <w:r>
        <w:t>-</w:t>
      </w:r>
      <w:r>
        <w:rPr>
          <w:rFonts w:eastAsia="Calibri"/>
        </w:rPr>
        <w:t>1452 MHz and 1492</w:t>
      </w:r>
      <w:r>
        <w:t>-</w:t>
      </w:r>
      <w:r>
        <w:rPr>
          <w:rFonts w:eastAsia="Calibri"/>
        </w:rPr>
        <w:t>1518 MHz bands are optimised for, but are not limited to MFCN SDL.</w:t>
      </w:r>
    </w:p>
    <w:p w14:paraId="52A54ED5" w14:textId="77777777" w:rsidR="00FF0FE2" w:rsidRDefault="00FF0FE2" w:rsidP="00FF0FE2">
      <w:pPr>
        <w:pStyle w:val="ECCParagraph"/>
        <w:rPr>
          <w:rFonts w:eastAsia="Calibri"/>
        </w:rPr>
      </w:pPr>
      <w:r>
        <w:rPr>
          <w:rFonts w:eastAsia="Calibri"/>
        </w:rPr>
        <w:t>A BEM is an emission mask that is defined, as a function of frequency, relative to the block edge of spectrum. BEMs are emission restrictions without implication on the levels of the emission restriction applicable to the spurious domain. The term block edge refers to the frequency boundary of spectrum licensed to a mobile/fixed communication network.</w:t>
      </w:r>
    </w:p>
    <w:p w14:paraId="52A54ED6" w14:textId="77777777" w:rsidR="00FF0FE2" w:rsidRDefault="00FF0FE2" w:rsidP="00FF0FE2">
      <w:pPr>
        <w:pStyle w:val="ECCParagraph"/>
        <w:rPr>
          <w:rFonts w:eastAsia="Calibri"/>
        </w:rPr>
      </w:pPr>
      <w:r>
        <w:rPr>
          <w:rFonts w:eastAsia="Calibri"/>
        </w:rPr>
        <w:t>The BEM has been derived to allow coexistence between MFCN SDL systems in the 1427</w:t>
      </w:r>
      <w:r>
        <w:t>-</w:t>
      </w:r>
      <w:r>
        <w:rPr>
          <w:rFonts w:eastAsia="Calibri"/>
        </w:rPr>
        <w:t>1452 MHz and 1492</w:t>
      </w:r>
      <w:r>
        <w:t>-</w:t>
      </w:r>
      <w:r>
        <w:rPr>
          <w:rFonts w:eastAsia="Calibri"/>
        </w:rPr>
        <w:t>1518 MHz bands.</w:t>
      </w:r>
    </w:p>
    <w:p w14:paraId="52A54ED7" w14:textId="77777777" w:rsidR="00FF0FE2" w:rsidRDefault="00FF0FE2" w:rsidP="00FF0FE2">
      <w:pPr>
        <w:pStyle w:val="ECCParagraph"/>
      </w:pPr>
      <w:r>
        <w:t xml:space="preserve">In addition, </w:t>
      </w:r>
      <w:r>
        <w:rPr>
          <w:rFonts w:eastAsia="Calibri"/>
        </w:rPr>
        <w:t>out-of-block</w:t>
      </w:r>
      <w:r>
        <w:t xml:space="preserve"> emission limits for MFCN SDL have been defined to address compatibility between MFCN SDL in the 1427-1452 MHz and 1492-1518 MHz bands and other applications in adjacent bands.</w:t>
      </w:r>
    </w:p>
    <w:p w14:paraId="52A54ED8" w14:textId="77777777" w:rsidR="00FF0FE2" w:rsidRDefault="00FF0FE2" w:rsidP="00FF0FE2">
      <w:pPr>
        <w:pStyle w:val="ECCParagraph"/>
      </w:pPr>
      <w:r>
        <w:t>Operators of MFCN in the 1427-</w:t>
      </w:r>
      <w:r>
        <w:rPr>
          <w:rFonts w:eastAsia="Calibri"/>
        </w:rPr>
        <w:t>1452 MHz and 1492</w:t>
      </w:r>
      <w:r>
        <w:t>-1518 MHz bands may agree, on a bilateral or multilateral basis, different technical parameters providing that they continue to comply with the technical conditions applicable for the protection of other services, applications or networks and with their cross-border obligations. Administrations should ensure that these technical parameters can be used, if agreed among all affected parties.</w:t>
      </w:r>
    </w:p>
    <w:p w14:paraId="52A54ED9" w14:textId="77777777" w:rsidR="00FF0FE2" w:rsidRDefault="00FF0FE2" w:rsidP="00FF0FE2">
      <w:pPr>
        <w:pStyle w:val="ECCAnnexheading2"/>
        <w:jc w:val="both"/>
        <w:rPr>
          <w:lang w:val="en-GB"/>
        </w:rPr>
      </w:pPr>
      <w:r>
        <w:rPr>
          <w:lang w:val="en-GB"/>
        </w:rPr>
        <w:t>Technical conditions for base stations</w:t>
      </w:r>
    </w:p>
    <w:p w14:paraId="52A54EDA" w14:textId="77777777" w:rsidR="00FF0FE2" w:rsidRDefault="00FF0FE2" w:rsidP="00FF0FE2">
      <w:pPr>
        <w:pStyle w:val="ECCParagraph"/>
      </w:pPr>
      <w:r>
        <w:t>Administrations should take into account the following aspects:</w:t>
      </w:r>
    </w:p>
    <w:p w14:paraId="52A54EDB" w14:textId="77777777" w:rsidR="00FF0FE2" w:rsidRDefault="00FF0FE2" w:rsidP="00FF0FE2">
      <w:pPr>
        <w:pStyle w:val="ECCParagraph"/>
      </w:pPr>
      <w:r>
        <w:t xml:space="preserve">It is not desirable to restrict the in-band e.i.r.p. for base stations operating in 1427-1452 MHz and </w:t>
      </w:r>
      <w:r>
        <w:br/>
        <w:t>1492-1512 MHz, as the band could be aggregated with FDD coverage bands in lower frequencies and thus higher in-band e.i.r.p. for a base station allows benefiting of the SDL capacity across the base station cell.</w:t>
      </w:r>
    </w:p>
    <w:p w14:paraId="52A54EDC" w14:textId="77777777" w:rsidR="00FF0FE2" w:rsidRDefault="00FF0FE2" w:rsidP="00FF0FE2">
      <w:pPr>
        <w:pStyle w:val="ECCParagraph"/>
      </w:pPr>
      <w:r>
        <w:t>Based on deployment requirements and on compatibility studies with other services operating in adjacent bands, or with legacy services operating in the band, an administration could at national level:</w:t>
      </w:r>
    </w:p>
    <w:p w14:paraId="52A54EDD" w14:textId="77777777" w:rsidR="00FF0FE2" w:rsidRDefault="00FF0FE2" w:rsidP="00FF0FE2">
      <w:pPr>
        <w:pStyle w:val="ECCBulletsLv1"/>
      </w:pPr>
      <w:r>
        <w:t xml:space="preserve">restrict base stations in-band e.i.r.p. in the band 1427-1452 and 1492-1512 MHz. Such a limit may range up to 68 dBm. Higher e.i.r.p. may be considered in specific circumstances; </w:t>
      </w:r>
    </w:p>
    <w:p w14:paraId="52A54EDE" w14:textId="77777777" w:rsidR="00FF0FE2" w:rsidRDefault="00FF0FE2" w:rsidP="00FF0FE2">
      <w:pPr>
        <w:pStyle w:val="ECCBulletsLv1"/>
        <w:numPr>
          <w:ilvl w:val="0"/>
          <w:numId w:val="0"/>
        </w:numPr>
        <w:ind w:left="340"/>
      </w:pPr>
      <w:r>
        <w:t>and/or</w:t>
      </w:r>
    </w:p>
    <w:p w14:paraId="52A54EDF" w14:textId="77777777" w:rsidR="00FF0FE2" w:rsidRDefault="00FF0FE2" w:rsidP="00FF0FE2">
      <w:pPr>
        <w:pStyle w:val="ECCBulletsLv1"/>
      </w:pPr>
      <w:r>
        <w:t>according to the service considered: handle coordination of stations.</w:t>
      </w:r>
    </w:p>
    <w:p w14:paraId="52A54EE0" w14:textId="77777777" w:rsidR="00FF0FE2" w:rsidRDefault="00FF0FE2" w:rsidP="00FF0FE2">
      <w:pPr>
        <w:pStyle w:val="ECCBulletsLv1"/>
        <w:numPr>
          <w:ilvl w:val="0"/>
          <w:numId w:val="0"/>
        </w:numPr>
        <w:ind w:left="340"/>
      </w:pPr>
    </w:p>
    <w:p w14:paraId="52A54EE1" w14:textId="77777777" w:rsidR="00FF0FE2" w:rsidRDefault="00FF0FE2" w:rsidP="00FF0FE2">
      <w:pPr>
        <w:pStyle w:val="ECCParagraph"/>
      </w:pPr>
      <w:r>
        <w:t xml:space="preserve">It should be noted that it is not expected that base station operating in the block 1427-1432 MHz can transmit a large power while respecting the emission limits detailed in Table 6 below. On the contrary, it is expected that only lower power base stations can be deployed in the block 1427-1432 MHz. It is not appropriate to introduce regulatory emission limits for these bands, as such limits are only related to current state-of-the-art of the technology and specific deployment models.  </w:t>
      </w:r>
    </w:p>
    <w:p w14:paraId="52A54EE2" w14:textId="77777777" w:rsidR="00FF0FE2" w:rsidRDefault="00FF0FE2" w:rsidP="00FF0FE2">
      <w:pPr>
        <w:pStyle w:val="ECCParagraph"/>
      </w:pPr>
      <w:r>
        <w:t xml:space="preserve">Compatibility requirements identified in ECC Report 263 </w:t>
      </w:r>
      <w:r>
        <w:fldChar w:fldCharType="begin"/>
      </w:r>
      <w:r>
        <w:instrText xml:space="preserve"> REF _Ref481764288 \r \h </w:instrText>
      </w:r>
      <w:r>
        <w:fldChar w:fldCharType="separate"/>
      </w:r>
      <w:r w:rsidR="006211F5">
        <w:t>[4]</w:t>
      </w:r>
      <w:r>
        <w:fldChar w:fldCharType="end"/>
      </w:r>
      <w:r>
        <w:t xml:space="preserve"> and ECC Report 269 </w:t>
      </w:r>
      <w:r>
        <w:rPr>
          <w:highlight w:val="yellow"/>
        </w:rPr>
        <w:fldChar w:fldCharType="begin"/>
      </w:r>
      <w:r>
        <w:instrText xml:space="preserve"> REF _Ref492546948 \r \h </w:instrText>
      </w:r>
      <w:r>
        <w:rPr>
          <w:highlight w:val="yellow"/>
        </w:rPr>
      </w:r>
      <w:r>
        <w:rPr>
          <w:highlight w:val="yellow"/>
        </w:rPr>
        <w:fldChar w:fldCharType="separate"/>
      </w:r>
      <w:r w:rsidR="006211F5">
        <w:t>[5]</w:t>
      </w:r>
      <w:r>
        <w:rPr>
          <w:highlight w:val="yellow"/>
        </w:rPr>
        <w:fldChar w:fldCharType="end"/>
      </w:r>
      <w:r>
        <w:t xml:space="preserve"> require restricting the in-block e.i.r.p. for base stations operating in 1512-1517 MHz to 58 dBm in band e.i.r.p.</w:t>
      </w:r>
    </w:p>
    <w:p w14:paraId="52A54EE3" w14:textId="3215AA62" w:rsidR="00FF0FE2" w:rsidRDefault="00FF0FE2" w:rsidP="00311A22">
      <w:pPr>
        <w:pStyle w:val="ECCParagraph"/>
      </w:pPr>
      <w:r>
        <w:fldChar w:fldCharType="begin"/>
      </w:r>
      <w:r>
        <w:instrText xml:space="preserve"> REF _Ref480830506 \h </w:instrText>
      </w:r>
      <w:r>
        <w:fldChar w:fldCharType="separate"/>
      </w:r>
      <w:r w:rsidR="006211F5">
        <w:t xml:space="preserve">Table </w:t>
      </w:r>
      <w:r w:rsidR="006211F5">
        <w:rPr>
          <w:noProof/>
        </w:rPr>
        <w:t>4</w:t>
      </w:r>
      <w:r>
        <w:fldChar w:fldCharType="end"/>
      </w:r>
      <w:r>
        <w:t xml:space="preserve">, </w:t>
      </w:r>
      <w:r>
        <w:rPr>
          <w:b/>
          <w:color w:val="D2232A"/>
        </w:rPr>
        <w:fldChar w:fldCharType="begin"/>
      </w:r>
      <w:r>
        <w:instrText xml:space="preserve"> REF _Ref480830094 \h </w:instrText>
      </w:r>
      <w:r>
        <w:rPr>
          <w:b/>
          <w:color w:val="D2232A"/>
        </w:rPr>
      </w:r>
      <w:r>
        <w:rPr>
          <w:b/>
          <w:color w:val="D2232A"/>
        </w:rPr>
        <w:fldChar w:fldCharType="separate"/>
      </w:r>
      <w:r w:rsidR="006211F5">
        <w:t xml:space="preserve">Table </w:t>
      </w:r>
      <w:r w:rsidR="006211F5">
        <w:rPr>
          <w:noProof/>
        </w:rPr>
        <w:t>5</w:t>
      </w:r>
      <w:r>
        <w:fldChar w:fldCharType="end"/>
      </w:r>
      <w:r>
        <w:t xml:space="preserve">, </w:t>
      </w:r>
      <w:r>
        <w:fldChar w:fldCharType="begin"/>
      </w:r>
      <w:r>
        <w:instrText xml:space="preserve"> REF _Ref480830563 \h </w:instrText>
      </w:r>
      <w:r>
        <w:fldChar w:fldCharType="separate"/>
      </w:r>
      <w:r w:rsidR="006211F5">
        <w:t xml:space="preserve">Table </w:t>
      </w:r>
      <w:r w:rsidR="006211F5">
        <w:rPr>
          <w:noProof/>
        </w:rPr>
        <w:t>6</w:t>
      </w:r>
      <w:r>
        <w:fldChar w:fldCharType="end"/>
      </w:r>
      <w:r>
        <w:t xml:space="preserve"> and </w:t>
      </w:r>
      <w:r>
        <w:fldChar w:fldCharType="begin"/>
      </w:r>
      <w:r>
        <w:instrText xml:space="preserve"> REF _Ref480830572 \h </w:instrText>
      </w:r>
      <w:r>
        <w:fldChar w:fldCharType="separate"/>
      </w:r>
      <w:r w:rsidR="006211F5">
        <w:t xml:space="preserve">Table </w:t>
      </w:r>
      <w:r w:rsidR="006211F5">
        <w:rPr>
          <w:noProof/>
        </w:rPr>
        <w:t>7</w:t>
      </w:r>
      <w:r>
        <w:fldChar w:fldCharType="end"/>
      </w:r>
      <w:r>
        <w:t xml:space="preserve"> below define, respectively, the maximum in-block e.i.r.p. for BS operating in 1512-1517 MHz per</w:t>
      </w:r>
      <w:r w:rsidR="00D256E4">
        <w:t xml:space="preserve"> cell</w:t>
      </w:r>
      <w:r>
        <w:t>, the base station BEM out-of-block e.i.r.p. limits for emissions within the band 1427-</w:t>
      </w:r>
      <w:r>
        <w:rPr>
          <w:rFonts w:eastAsia="Calibri"/>
        </w:rPr>
        <w:t>1452 MHz and 1492</w:t>
      </w:r>
      <w:r>
        <w:t xml:space="preserve">-1517 MHz per antenna, the base station maximum unwanted emission power in the band 1400-1427 MHz for base stations operating in 1427-1452 MHz and the base station unwanted emission limits </w:t>
      </w:r>
      <w:r w:rsidR="00D256E4">
        <w:t xml:space="preserve">per cell </w:t>
      </w:r>
      <w:r>
        <w:t xml:space="preserve">above </w:t>
      </w:r>
      <w:r>
        <w:rPr>
          <w:rFonts w:eastAsia="Calibri"/>
        </w:rPr>
        <w:t>1518</w:t>
      </w:r>
      <w:r>
        <w:t xml:space="preserve"> MHz for base stations operating in 1492-1517 MHz</w:t>
      </w:r>
      <w:r w:rsidR="00F03E36" w:rsidRPr="007B7383">
        <w:t xml:space="preserve">. In a multi sector site “cell” refers to one of the </w:t>
      </w:r>
      <w:r w:rsidR="00F03E36" w:rsidRPr="002C7A68">
        <w:t>sectors</w:t>
      </w:r>
      <w:r w:rsidR="00BB550A" w:rsidRPr="002C7A68">
        <w:t>.</w:t>
      </w:r>
    </w:p>
    <w:p w14:paraId="52A54EE4" w14:textId="7BD55782" w:rsidR="00FF0FE2" w:rsidRDefault="00FF0FE2" w:rsidP="00FF0FE2">
      <w:pPr>
        <w:pStyle w:val="Caption"/>
        <w:keepNext/>
      </w:pPr>
      <w:bookmarkStart w:id="4" w:name="_Ref480830506"/>
      <w:r>
        <w:lastRenderedPageBreak/>
        <w:t xml:space="preserve">Table </w:t>
      </w:r>
      <w:r w:rsidR="00B41C84">
        <w:fldChar w:fldCharType="begin"/>
      </w:r>
      <w:r w:rsidR="00B41C84">
        <w:instrText xml:space="preserve"> SEQ Table \* ARABIC </w:instrText>
      </w:r>
      <w:r w:rsidR="00B41C84">
        <w:fldChar w:fldCharType="separate"/>
      </w:r>
      <w:r w:rsidR="006211F5">
        <w:rPr>
          <w:noProof/>
        </w:rPr>
        <w:t>4</w:t>
      </w:r>
      <w:r w:rsidR="00B41C84">
        <w:rPr>
          <w:noProof/>
        </w:rPr>
        <w:fldChar w:fldCharType="end"/>
      </w:r>
      <w:bookmarkEnd w:id="4"/>
      <w:r>
        <w:t xml:space="preserve">: </w:t>
      </w:r>
      <w:bookmarkStart w:id="5" w:name="_Ref480830665"/>
      <w:r>
        <w:t xml:space="preserve">Maximum in-block e.i.r.p. for BS operating in 1512-1517 MHz per </w:t>
      </w:r>
      <w:r w:rsidR="007C3986">
        <w:t>cell</w:t>
      </w:r>
      <w:bookmarkEnd w:id="5"/>
      <w:r>
        <w:rPr>
          <w:rStyle w:val="FootnoteReference"/>
        </w:rPr>
        <w:footnoteReference w:id="1"/>
      </w:r>
      <w:r w:rsidR="0099226F" w:rsidRPr="0099226F">
        <w:rPr>
          <w:vertAlign w:val="superscript"/>
        </w:rPr>
        <w:t>,</w:t>
      </w:r>
      <w:bookmarkStart w:id="6" w:name="_Ref505339043"/>
      <w:r w:rsidR="0099226F" w:rsidRPr="007B7383">
        <w:rPr>
          <w:rStyle w:val="FootnoteReference"/>
        </w:rPr>
        <w:footnoteReference w:id="2"/>
      </w:r>
      <w:bookmarkEnd w:id="6"/>
    </w:p>
    <w:tbl>
      <w:tblPr>
        <w:tblStyle w:val="ECCTable-redheader1"/>
        <w:tblW w:w="5000" w:type="pct"/>
        <w:tblInd w:w="0" w:type="dxa"/>
        <w:tblLook w:val="04A0" w:firstRow="1" w:lastRow="0" w:firstColumn="1" w:lastColumn="0" w:noHBand="0" w:noVBand="1"/>
      </w:tblPr>
      <w:tblGrid>
        <w:gridCol w:w="4220"/>
        <w:gridCol w:w="2976"/>
        <w:gridCol w:w="2659"/>
      </w:tblGrid>
      <w:tr w:rsidR="00FF0FE2" w14:paraId="52A54EE8" w14:textId="77777777" w:rsidTr="00C94301">
        <w:trPr>
          <w:cnfStyle w:val="100000000000" w:firstRow="1" w:lastRow="0" w:firstColumn="0" w:lastColumn="0" w:oddVBand="0" w:evenVBand="0" w:oddHBand="0" w:evenHBand="0" w:firstRowFirstColumn="0" w:firstRowLastColumn="0" w:lastRowFirstColumn="0" w:lastRowLastColumn="0"/>
        </w:trPr>
        <w:tc>
          <w:tcPr>
            <w:tcW w:w="2141" w:type="pct"/>
          </w:tcPr>
          <w:p w14:paraId="52A54EE5" w14:textId="77777777" w:rsidR="00FF0FE2" w:rsidRDefault="00FF0FE2" w:rsidP="00C94301">
            <w:pPr>
              <w:pStyle w:val="ECCTableHeaderwhitefont"/>
              <w:keepNext/>
              <w:spacing w:before="120" w:after="120"/>
              <w:rPr>
                <w:lang w:val="en-GB"/>
              </w:rPr>
            </w:pPr>
            <w:r>
              <w:rPr>
                <w:lang w:val="en-GB"/>
              </w:rPr>
              <w:t>MFCN block</w:t>
            </w:r>
          </w:p>
        </w:tc>
        <w:tc>
          <w:tcPr>
            <w:tcW w:w="1510" w:type="pct"/>
          </w:tcPr>
          <w:p w14:paraId="52A54EE6" w14:textId="77777777" w:rsidR="00FF0FE2" w:rsidRPr="005633EA" w:rsidRDefault="00FF0FE2" w:rsidP="00C94301">
            <w:pPr>
              <w:pStyle w:val="ECCTableHeaderwhitefont"/>
              <w:keepNext/>
              <w:spacing w:before="120" w:after="120"/>
              <w:rPr>
                <w:lang w:val="en-GB"/>
              </w:rPr>
            </w:pPr>
            <w:r w:rsidRPr="00FF19DF">
              <w:t>Maximum in band e.i.r.p.</w:t>
            </w:r>
          </w:p>
        </w:tc>
        <w:tc>
          <w:tcPr>
            <w:tcW w:w="1349" w:type="pct"/>
          </w:tcPr>
          <w:p w14:paraId="52A54EE7" w14:textId="77777777" w:rsidR="00FF0FE2" w:rsidRDefault="00FF0FE2" w:rsidP="00C94301">
            <w:pPr>
              <w:pStyle w:val="ECCTableHeaderwhitefont"/>
              <w:keepNext/>
              <w:spacing w:before="120" w:after="120"/>
              <w:rPr>
                <w:lang w:val="en-GB"/>
              </w:rPr>
            </w:pPr>
            <w:r>
              <w:rPr>
                <w:lang w:val="en-GB"/>
              </w:rPr>
              <w:t>Measurement bandwidth</w:t>
            </w:r>
          </w:p>
        </w:tc>
      </w:tr>
      <w:tr w:rsidR="00FF0FE2" w14:paraId="52A54EEC" w14:textId="77777777" w:rsidTr="00C94301">
        <w:trPr>
          <w:trHeight w:val="265"/>
        </w:trPr>
        <w:tc>
          <w:tcPr>
            <w:tcW w:w="2141" w:type="pct"/>
          </w:tcPr>
          <w:p w14:paraId="52A54EE9" w14:textId="77777777" w:rsidR="00FF0FE2" w:rsidRDefault="00FF0FE2" w:rsidP="00C94301">
            <w:pPr>
              <w:pStyle w:val="ECCTabletext"/>
              <w:keepNext/>
            </w:pPr>
            <w:r>
              <w:t>1512-1517 MHz</w:t>
            </w:r>
          </w:p>
        </w:tc>
        <w:tc>
          <w:tcPr>
            <w:tcW w:w="1510" w:type="pct"/>
          </w:tcPr>
          <w:p w14:paraId="52A54EEA" w14:textId="77777777" w:rsidR="00FF0FE2" w:rsidRDefault="00FF0FE2" w:rsidP="00C94301">
            <w:pPr>
              <w:pStyle w:val="ECCTabletext"/>
              <w:keepNext/>
            </w:pPr>
            <w:r>
              <w:t>58 dBm</w:t>
            </w:r>
          </w:p>
        </w:tc>
        <w:tc>
          <w:tcPr>
            <w:tcW w:w="1349" w:type="pct"/>
          </w:tcPr>
          <w:p w14:paraId="52A54EEB" w14:textId="77777777" w:rsidR="00FF0FE2" w:rsidRDefault="00FF0FE2" w:rsidP="00C94301">
            <w:pPr>
              <w:pStyle w:val="ECCTabletext"/>
              <w:keepNext/>
            </w:pPr>
            <w:r>
              <w:t>5 MHz</w:t>
            </w:r>
          </w:p>
        </w:tc>
      </w:tr>
    </w:tbl>
    <w:p w14:paraId="52A54EED" w14:textId="77777777" w:rsidR="00FF0FE2" w:rsidRDefault="00FF0FE2" w:rsidP="00FF0FE2">
      <w:pPr>
        <w:pStyle w:val="Caption"/>
        <w:spacing w:before="240" w:after="60"/>
      </w:pPr>
      <w:bookmarkStart w:id="7" w:name="_Ref480830094"/>
      <w:bookmarkStart w:id="8" w:name="_Ref480830086"/>
    </w:p>
    <w:p w14:paraId="52A54EEE" w14:textId="77777777" w:rsidR="00FF0FE2" w:rsidRDefault="00FF0FE2" w:rsidP="00FF0FE2">
      <w:pPr>
        <w:pStyle w:val="Caption"/>
      </w:pPr>
      <w:r>
        <w:t xml:space="preserve">Table </w:t>
      </w:r>
      <w:r w:rsidR="00B41C84">
        <w:fldChar w:fldCharType="begin"/>
      </w:r>
      <w:r w:rsidR="00B41C84">
        <w:instrText xml:space="preserve"> SEQ Table \* ARABIC </w:instrText>
      </w:r>
      <w:r w:rsidR="00B41C84">
        <w:fldChar w:fldCharType="separate"/>
      </w:r>
      <w:r w:rsidR="006211F5">
        <w:rPr>
          <w:noProof/>
        </w:rPr>
        <w:t>5</w:t>
      </w:r>
      <w:r w:rsidR="00B41C84">
        <w:rPr>
          <w:noProof/>
        </w:rPr>
        <w:fldChar w:fldCharType="end"/>
      </w:r>
      <w:bookmarkEnd w:id="7"/>
      <w:r>
        <w:t xml:space="preserve">: </w:t>
      </w:r>
      <w:bookmarkStart w:id="9" w:name="_Ref480830672"/>
      <w:r>
        <w:t>Base station BEM out-of-block e.i.r.p. limits for emissions</w:t>
      </w:r>
      <w:r>
        <w:br/>
        <w:t xml:space="preserve"> within the band 1427-</w:t>
      </w:r>
      <w:r>
        <w:rPr>
          <w:rFonts w:eastAsia="Calibri"/>
        </w:rPr>
        <w:t>1452 MHz and 1492</w:t>
      </w:r>
      <w:r>
        <w:t>-1517 MHz per antenna</w:t>
      </w:r>
      <w:bookmarkEnd w:id="8"/>
      <w:bookmarkEnd w:id="9"/>
      <w:r>
        <w:rPr>
          <w:rStyle w:val="FootnoteReference"/>
        </w:rPr>
        <w:footnoteReference w:id="3"/>
      </w:r>
    </w:p>
    <w:tbl>
      <w:tblPr>
        <w:tblStyle w:val="ECCTable-redheader1"/>
        <w:tblW w:w="0" w:type="auto"/>
        <w:tblInd w:w="0" w:type="dxa"/>
        <w:tblLook w:val="01E0" w:firstRow="1" w:lastRow="1" w:firstColumn="1" w:lastColumn="1" w:noHBand="0" w:noVBand="0"/>
      </w:tblPr>
      <w:tblGrid>
        <w:gridCol w:w="4248"/>
        <w:gridCol w:w="2880"/>
        <w:gridCol w:w="2727"/>
      </w:tblGrid>
      <w:tr w:rsidR="00FF0FE2" w14:paraId="52A54EF2" w14:textId="77777777" w:rsidTr="00C94301">
        <w:trPr>
          <w:cnfStyle w:val="100000000000" w:firstRow="1" w:lastRow="0" w:firstColumn="0" w:lastColumn="0" w:oddVBand="0" w:evenVBand="0" w:oddHBand="0" w:evenHBand="0" w:firstRowFirstColumn="0" w:firstRowLastColumn="0" w:lastRowFirstColumn="0" w:lastRowLastColumn="0"/>
        </w:trPr>
        <w:tc>
          <w:tcPr>
            <w:tcW w:w="4248" w:type="dxa"/>
          </w:tcPr>
          <w:p w14:paraId="52A54EEF" w14:textId="77777777" w:rsidR="00FF0FE2" w:rsidRDefault="00FF0FE2" w:rsidP="00C94301">
            <w:pPr>
              <w:pStyle w:val="ECCTableHeaderwhitefont"/>
              <w:spacing w:before="0" w:after="0" w:line="288" w:lineRule="auto"/>
              <w:rPr>
                <w:lang w:val="en-GB"/>
              </w:rPr>
            </w:pPr>
            <w:r>
              <w:rPr>
                <w:lang w:val="en-GB"/>
              </w:rPr>
              <w:t xml:space="preserve">Frequency range of </w:t>
            </w:r>
            <w:r>
              <w:rPr>
                <w:lang w:val="en-GB"/>
              </w:rPr>
              <w:br/>
              <w:t>out-of-block emissions</w:t>
            </w:r>
          </w:p>
        </w:tc>
        <w:tc>
          <w:tcPr>
            <w:tcW w:w="2880" w:type="dxa"/>
          </w:tcPr>
          <w:p w14:paraId="52A54EF0" w14:textId="77777777" w:rsidR="00FF0FE2" w:rsidRDefault="00FF0FE2" w:rsidP="00C94301">
            <w:pPr>
              <w:pStyle w:val="ECCTableHeaderwhitefont"/>
              <w:spacing w:before="0" w:after="0" w:line="288" w:lineRule="auto"/>
              <w:rPr>
                <w:lang w:val="en-GB"/>
              </w:rPr>
            </w:pPr>
            <w:r>
              <w:rPr>
                <w:lang w:val="en-GB"/>
              </w:rPr>
              <w:t xml:space="preserve">Maximum mean </w:t>
            </w:r>
            <w:r>
              <w:rPr>
                <w:lang w:val="en-GB"/>
              </w:rPr>
              <w:br/>
              <w:t>out-of-block e.i.r.p.</w:t>
            </w:r>
          </w:p>
        </w:tc>
        <w:tc>
          <w:tcPr>
            <w:tcW w:w="2727" w:type="dxa"/>
          </w:tcPr>
          <w:p w14:paraId="52A54EF1" w14:textId="77777777" w:rsidR="00FF0FE2" w:rsidRDefault="00FF0FE2" w:rsidP="00C94301">
            <w:pPr>
              <w:pStyle w:val="ECCTableHeaderwhitefont"/>
              <w:spacing w:before="0" w:after="0" w:line="288" w:lineRule="auto"/>
              <w:rPr>
                <w:lang w:val="en-GB"/>
              </w:rPr>
            </w:pPr>
            <w:r>
              <w:rPr>
                <w:lang w:val="en-GB"/>
              </w:rPr>
              <w:t xml:space="preserve">Measurement </w:t>
            </w:r>
            <w:r>
              <w:rPr>
                <w:lang w:val="en-GB"/>
              </w:rPr>
              <w:br/>
              <w:t>Bandwidth</w:t>
            </w:r>
          </w:p>
        </w:tc>
      </w:tr>
      <w:tr w:rsidR="00FF0FE2" w14:paraId="52A54EF6" w14:textId="77777777" w:rsidTr="00C94301">
        <w:tc>
          <w:tcPr>
            <w:tcW w:w="4248" w:type="dxa"/>
          </w:tcPr>
          <w:p w14:paraId="52A54EF3" w14:textId="77777777" w:rsidR="00FF0FE2" w:rsidRDefault="00FF0FE2" w:rsidP="00C94301">
            <w:pPr>
              <w:rPr>
                <w:lang w:val="en-GB"/>
              </w:rPr>
            </w:pPr>
            <w:r>
              <w:rPr>
                <w:lang w:val="en-GB"/>
              </w:rPr>
              <w:t>–10 to –5 MHz from lower block edge</w:t>
            </w:r>
          </w:p>
        </w:tc>
        <w:tc>
          <w:tcPr>
            <w:tcW w:w="2880" w:type="dxa"/>
          </w:tcPr>
          <w:p w14:paraId="52A54EF4" w14:textId="77777777" w:rsidR="00FF0FE2" w:rsidRDefault="00FF0FE2" w:rsidP="00C94301">
            <w:pPr>
              <w:rPr>
                <w:lang w:val="en-GB"/>
              </w:rPr>
            </w:pPr>
            <w:r>
              <w:rPr>
                <w:lang w:val="en-GB"/>
              </w:rPr>
              <w:t xml:space="preserve">11 dBm </w:t>
            </w:r>
          </w:p>
        </w:tc>
        <w:tc>
          <w:tcPr>
            <w:tcW w:w="2727" w:type="dxa"/>
          </w:tcPr>
          <w:p w14:paraId="52A54EF5" w14:textId="77777777" w:rsidR="00FF0FE2" w:rsidRDefault="00FF0FE2" w:rsidP="00C94301">
            <w:pPr>
              <w:rPr>
                <w:lang w:val="en-GB"/>
              </w:rPr>
            </w:pPr>
            <w:r>
              <w:rPr>
                <w:lang w:val="en-GB"/>
              </w:rPr>
              <w:t>5 MHz</w:t>
            </w:r>
          </w:p>
        </w:tc>
      </w:tr>
      <w:tr w:rsidR="00FF0FE2" w14:paraId="52A54EFA" w14:textId="77777777" w:rsidTr="00C94301">
        <w:tc>
          <w:tcPr>
            <w:tcW w:w="4248" w:type="dxa"/>
          </w:tcPr>
          <w:p w14:paraId="52A54EF7" w14:textId="77777777" w:rsidR="00FF0FE2" w:rsidRDefault="00FF0FE2" w:rsidP="00C94301">
            <w:pPr>
              <w:rPr>
                <w:lang w:val="en-GB"/>
              </w:rPr>
            </w:pPr>
            <w:r>
              <w:rPr>
                <w:lang w:val="en-GB"/>
              </w:rPr>
              <w:t>–5 to 0 MHz from lower block edge</w:t>
            </w:r>
          </w:p>
        </w:tc>
        <w:tc>
          <w:tcPr>
            <w:tcW w:w="2880" w:type="dxa"/>
          </w:tcPr>
          <w:p w14:paraId="52A54EF8" w14:textId="77777777" w:rsidR="00FF0FE2" w:rsidRDefault="00FF0FE2" w:rsidP="00C94301">
            <w:pPr>
              <w:rPr>
                <w:lang w:val="en-GB"/>
              </w:rPr>
            </w:pPr>
            <w:r>
              <w:rPr>
                <w:lang w:val="en-GB"/>
              </w:rPr>
              <w:t xml:space="preserve">16.3 dBm </w:t>
            </w:r>
          </w:p>
        </w:tc>
        <w:tc>
          <w:tcPr>
            <w:tcW w:w="2727" w:type="dxa"/>
          </w:tcPr>
          <w:p w14:paraId="52A54EF9" w14:textId="77777777" w:rsidR="00FF0FE2" w:rsidRDefault="00FF0FE2" w:rsidP="00C94301">
            <w:pPr>
              <w:rPr>
                <w:lang w:val="en-GB"/>
              </w:rPr>
            </w:pPr>
            <w:r>
              <w:rPr>
                <w:lang w:val="en-GB"/>
              </w:rPr>
              <w:t>5 MHz</w:t>
            </w:r>
          </w:p>
        </w:tc>
      </w:tr>
      <w:tr w:rsidR="00FF0FE2" w14:paraId="52A54EFE" w14:textId="77777777" w:rsidTr="00C94301">
        <w:tc>
          <w:tcPr>
            <w:tcW w:w="4248" w:type="dxa"/>
          </w:tcPr>
          <w:p w14:paraId="52A54EFB" w14:textId="77777777" w:rsidR="00FF0FE2" w:rsidRDefault="00FF0FE2" w:rsidP="00C94301">
            <w:pPr>
              <w:rPr>
                <w:lang w:val="en-GB"/>
              </w:rPr>
            </w:pPr>
            <w:r>
              <w:rPr>
                <w:lang w:val="en-GB"/>
              </w:rPr>
              <w:t>0 to +5 MHz from upper block edge</w:t>
            </w:r>
          </w:p>
        </w:tc>
        <w:tc>
          <w:tcPr>
            <w:tcW w:w="2880" w:type="dxa"/>
          </w:tcPr>
          <w:p w14:paraId="52A54EFC" w14:textId="77777777" w:rsidR="00FF0FE2" w:rsidRDefault="00FF0FE2" w:rsidP="00C94301">
            <w:pPr>
              <w:rPr>
                <w:lang w:val="en-GB"/>
              </w:rPr>
            </w:pPr>
            <w:r>
              <w:rPr>
                <w:lang w:val="en-GB"/>
              </w:rPr>
              <w:t xml:space="preserve">16.3 dBm </w:t>
            </w:r>
          </w:p>
        </w:tc>
        <w:tc>
          <w:tcPr>
            <w:tcW w:w="2727" w:type="dxa"/>
          </w:tcPr>
          <w:p w14:paraId="52A54EFD" w14:textId="77777777" w:rsidR="00FF0FE2" w:rsidRDefault="00FF0FE2" w:rsidP="00C94301">
            <w:pPr>
              <w:rPr>
                <w:lang w:val="en-GB"/>
              </w:rPr>
            </w:pPr>
            <w:r>
              <w:rPr>
                <w:lang w:val="en-GB"/>
              </w:rPr>
              <w:t>5 MHz</w:t>
            </w:r>
          </w:p>
        </w:tc>
      </w:tr>
      <w:tr w:rsidR="00FF0FE2" w14:paraId="52A54F02" w14:textId="77777777" w:rsidTr="00C94301">
        <w:tc>
          <w:tcPr>
            <w:tcW w:w="4248" w:type="dxa"/>
          </w:tcPr>
          <w:p w14:paraId="52A54EFF" w14:textId="77777777" w:rsidR="00FF0FE2" w:rsidRDefault="00FF0FE2" w:rsidP="00C94301">
            <w:pPr>
              <w:rPr>
                <w:lang w:val="en-GB"/>
              </w:rPr>
            </w:pPr>
            <w:r>
              <w:rPr>
                <w:lang w:val="en-GB"/>
              </w:rPr>
              <w:t>+5 to +10 MHz from upper block edge</w:t>
            </w:r>
          </w:p>
        </w:tc>
        <w:tc>
          <w:tcPr>
            <w:tcW w:w="2880" w:type="dxa"/>
          </w:tcPr>
          <w:p w14:paraId="52A54F00" w14:textId="77777777" w:rsidR="00FF0FE2" w:rsidRDefault="00FF0FE2" w:rsidP="00C94301">
            <w:pPr>
              <w:rPr>
                <w:lang w:val="en-GB"/>
              </w:rPr>
            </w:pPr>
            <w:r>
              <w:rPr>
                <w:lang w:val="en-GB"/>
              </w:rPr>
              <w:t xml:space="preserve">11 dBm </w:t>
            </w:r>
          </w:p>
        </w:tc>
        <w:tc>
          <w:tcPr>
            <w:tcW w:w="2727" w:type="dxa"/>
          </w:tcPr>
          <w:p w14:paraId="52A54F01" w14:textId="77777777" w:rsidR="00FF0FE2" w:rsidRDefault="00FF0FE2" w:rsidP="00C94301">
            <w:pPr>
              <w:rPr>
                <w:lang w:val="en-GB"/>
              </w:rPr>
            </w:pPr>
            <w:r>
              <w:rPr>
                <w:lang w:val="en-GB"/>
              </w:rPr>
              <w:t>5 MHz</w:t>
            </w:r>
          </w:p>
        </w:tc>
      </w:tr>
      <w:tr w:rsidR="00FF0FE2" w14:paraId="52A54F06" w14:textId="77777777" w:rsidTr="00C94301">
        <w:tc>
          <w:tcPr>
            <w:tcW w:w="4248" w:type="dxa"/>
          </w:tcPr>
          <w:p w14:paraId="52A54F03" w14:textId="77777777" w:rsidR="00FF0FE2" w:rsidRDefault="00FF0FE2" w:rsidP="00C94301">
            <w:pPr>
              <w:rPr>
                <w:lang w:val="en-GB"/>
              </w:rPr>
            </w:pPr>
            <w:r>
              <w:rPr>
                <w:lang w:val="en-GB"/>
              </w:rPr>
              <w:t>Remaining MFCN SDL frequencies</w:t>
            </w:r>
          </w:p>
        </w:tc>
        <w:tc>
          <w:tcPr>
            <w:tcW w:w="2880" w:type="dxa"/>
          </w:tcPr>
          <w:p w14:paraId="52A54F04" w14:textId="77777777" w:rsidR="00FF0FE2" w:rsidRDefault="00FF0FE2" w:rsidP="00C94301">
            <w:pPr>
              <w:rPr>
                <w:lang w:val="en-GB"/>
              </w:rPr>
            </w:pPr>
            <w:r>
              <w:rPr>
                <w:lang w:val="en-GB"/>
              </w:rPr>
              <w:t xml:space="preserve">9 dBm </w:t>
            </w:r>
          </w:p>
        </w:tc>
        <w:tc>
          <w:tcPr>
            <w:tcW w:w="2727" w:type="dxa"/>
          </w:tcPr>
          <w:p w14:paraId="52A54F05" w14:textId="77777777" w:rsidR="00FF0FE2" w:rsidRDefault="00FF0FE2" w:rsidP="00C94301">
            <w:pPr>
              <w:rPr>
                <w:lang w:val="en-GB"/>
              </w:rPr>
            </w:pPr>
            <w:r>
              <w:rPr>
                <w:lang w:val="en-GB"/>
              </w:rPr>
              <w:t>5 MHz</w:t>
            </w:r>
          </w:p>
        </w:tc>
      </w:tr>
    </w:tbl>
    <w:p w14:paraId="52A54F07" w14:textId="77777777" w:rsidR="00FF0FE2" w:rsidRDefault="00FF0FE2" w:rsidP="00FF0FE2">
      <w:pPr>
        <w:pStyle w:val="Caption"/>
        <w:spacing w:before="240" w:after="60"/>
      </w:pPr>
    </w:p>
    <w:p w14:paraId="52A54F08" w14:textId="77777777" w:rsidR="00FF0FE2" w:rsidRDefault="00FF0FE2" w:rsidP="00FF0FE2">
      <w:pPr>
        <w:pStyle w:val="Caption"/>
      </w:pPr>
      <w:bookmarkStart w:id="10" w:name="_Ref480830563"/>
      <w:bookmarkStart w:id="11" w:name="_Ref486592484"/>
      <w:r>
        <w:t xml:space="preserve">Table </w:t>
      </w:r>
      <w:r w:rsidR="00B41C84">
        <w:fldChar w:fldCharType="begin"/>
      </w:r>
      <w:r w:rsidR="00B41C84">
        <w:instrText xml:space="preserve"> SEQ Table \* ARABIC </w:instrText>
      </w:r>
      <w:r w:rsidR="00B41C84">
        <w:fldChar w:fldCharType="separate"/>
      </w:r>
      <w:r w:rsidR="006211F5">
        <w:rPr>
          <w:noProof/>
        </w:rPr>
        <w:t>6</w:t>
      </w:r>
      <w:r w:rsidR="00B41C84">
        <w:rPr>
          <w:noProof/>
        </w:rPr>
        <w:fldChar w:fldCharType="end"/>
      </w:r>
      <w:bookmarkEnd w:id="10"/>
      <w:r>
        <w:t xml:space="preserve">: </w:t>
      </w:r>
      <w:bookmarkStart w:id="12" w:name="_Ref480830677"/>
      <w:r>
        <w:t xml:space="preserve">Base station maximum unwanted emission power in the band 1400-1427 MHz </w:t>
      </w:r>
      <w:r>
        <w:br/>
        <w:t>for base stations operating in 1427-1452 MHz</w:t>
      </w:r>
      <w:bookmarkEnd w:id="11"/>
      <w:bookmarkEnd w:id="12"/>
    </w:p>
    <w:tbl>
      <w:tblPr>
        <w:tblStyle w:val="ECCTable-redheader1"/>
        <w:tblW w:w="0" w:type="auto"/>
        <w:tblInd w:w="0" w:type="dxa"/>
        <w:tblLook w:val="01E0" w:firstRow="1" w:lastRow="1" w:firstColumn="1" w:lastColumn="1" w:noHBand="0" w:noVBand="0"/>
      </w:tblPr>
      <w:tblGrid>
        <w:gridCol w:w="4248"/>
        <w:gridCol w:w="2880"/>
        <w:gridCol w:w="2727"/>
      </w:tblGrid>
      <w:tr w:rsidR="00FF0FE2" w14:paraId="52A54F0C" w14:textId="77777777" w:rsidTr="00C94301">
        <w:trPr>
          <w:cnfStyle w:val="100000000000" w:firstRow="1" w:lastRow="0" w:firstColumn="0" w:lastColumn="0" w:oddVBand="0" w:evenVBand="0" w:oddHBand="0" w:evenHBand="0" w:firstRowFirstColumn="0" w:firstRowLastColumn="0" w:lastRowFirstColumn="0" w:lastRowLastColumn="0"/>
        </w:trPr>
        <w:tc>
          <w:tcPr>
            <w:tcW w:w="4248" w:type="dxa"/>
          </w:tcPr>
          <w:p w14:paraId="52A54F09" w14:textId="77777777" w:rsidR="00FF0FE2" w:rsidRDefault="00FF0FE2" w:rsidP="00C94301">
            <w:pPr>
              <w:pStyle w:val="ECCTableHeaderwhitefont"/>
              <w:spacing w:before="0" w:after="0" w:line="288" w:lineRule="auto"/>
              <w:rPr>
                <w:lang w:val="en-GB"/>
              </w:rPr>
            </w:pPr>
            <w:r>
              <w:rPr>
                <w:lang w:val="en-GB"/>
              </w:rPr>
              <w:t xml:space="preserve">Frequency range </w:t>
            </w:r>
          </w:p>
        </w:tc>
        <w:tc>
          <w:tcPr>
            <w:tcW w:w="2880" w:type="dxa"/>
          </w:tcPr>
          <w:p w14:paraId="52A54F0A" w14:textId="77777777" w:rsidR="00FF0FE2" w:rsidRDefault="00FF0FE2" w:rsidP="00C94301">
            <w:pPr>
              <w:pStyle w:val="ECCTableHeaderwhitefont"/>
              <w:spacing w:before="0" w:after="0" w:line="288" w:lineRule="auto"/>
              <w:rPr>
                <w:lang w:val="en-GB"/>
              </w:rPr>
            </w:pPr>
            <w:r>
              <w:rPr>
                <w:lang w:val="en-GB"/>
              </w:rPr>
              <w:t xml:space="preserve">Maximum unwanted </w:t>
            </w:r>
            <w:r>
              <w:rPr>
                <w:lang w:val="en-GB"/>
              </w:rPr>
              <w:br/>
              <w:t>emission power</w:t>
            </w:r>
            <w:r>
              <w:rPr>
                <w:vertAlign w:val="superscript"/>
                <w:lang w:val="en-GB"/>
              </w:rPr>
              <w:footnoteReference w:id="4"/>
            </w:r>
          </w:p>
        </w:tc>
        <w:tc>
          <w:tcPr>
            <w:tcW w:w="2727" w:type="dxa"/>
          </w:tcPr>
          <w:p w14:paraId="52A54F0B" w14:textId="77777777" w:rsidR="00FF0FE2" w:rsidRDefault="00FF0FE2" w:rsidP="00C94301">
            <w:pPr>
              <w:pStyle w:val="ECCTableHeaderwhitefont"/>
              <w:spacing w:before="0" w:after="0" w:line="288" w:lineRule="auto"/>
              <w:rPr>
                <w:lang w:val="en-GB"/>
              </w:rPr>
            </w:pPr>
            <w:r>
              <w:rPr>
                <w:lang w:val="en-GB"/>
              </w:rPr>
              <w:t xml:space="preserve">Measurement </w:t>
            </w:r>
            <w:r>
              <w:rPr>
                <w:lang w:val="en-GB"/>
              </w:rPr>
              <w:br/>
              <w:t>Bandwidth</w:t>
            </w:r>
          </w:p>
        </w:tc>
      </w:tr>
      <w:tr w:rsidR="00FF0FE2" w14:paraId="52A54F10" w14:textId="77777777" w:rsidTr="00C94301">
        <w:tc>
          <w:tcPr>
            <w:tcW w:w="4248" w:type="dxa"/>
          </w:tcPr>
          <w:p w14:paraId="52A54F0D" w14:textId="77777777" w:rsidR="00FF0FE2" w:rsidRDefault="00FF0FE2" w:rsidP="00C94301">
            <w:pPr>
              <w:rPr>
                <w:lang w:val="en-GB"/>
              </w:rPr>
            </w:pPr>
            <w:r>
              <w:rPr>
                <w:lang w:val="en-GB"/>
              </w:rPr>
              <w:t>1400-1427 MHz</w:t>
            </w:r>
          </w:p>
        </w:tc>
        <w:tc>
          <w:tcPr>
            <w:tcW w:w="2880" w:type="dxa"/>
          </w:tcPr>
          <w:p w14:paraId="52A54F0E" w14:textId="77777777" w:rsidR="00FF0FE2" w:rsidRDefault="00FF0FE2" w:rsidP="00C94301">
            <w:pPr>
              <w:rPr>
                <w:lang w:val="en-GB"/>
              </w:rPr>
            </w:pPr>
            <w:r>
              <w:rPr>
                <w:lang w:val="en-GB"/>
              </w:rPr>
              <w:t xml:space="preserve">-72 dBW </w:t>
            </w:r>
          </w:p>
        </w:tc>
        <w:tc>
          <w:tcPr>
            <w:tcW w:w="2727" w:type="dxa"/>
          </w:tcPr>
          <w:p w14:paraId="52A54F0F" w14:textId="77777777" w:rsidR="00FF0FE2" w:rsidRDefault="00FF0FE2" w:rsidP="00C94301">
            <w:pPr>
              <w:rPr>
                <w:lang w:val="en-GB"/>
              </w:rPr>
            </w:pPr>
            <w:r>
              <w:rPr>
                <w:lang w:val="en-GB"/>
              </w:rPr>
              <w:t>27 MHz</w:t>
            </w:r>
          </w:p>
        </w:tc>
      </w:tr>
    </w:tbl>
    <w:p w14:paraId="52A54F11" w14:textId="77777777" w:rsidR="00FF0FE2" w:rsidRDefault="00FF0FE2" w:rsidP="00FF0FE2">
      <w:pPr>
        <w:rPr>
          <w:lang w:val="en-GB"/>
        </w:rPr>
      </w:pPr>
    </w:p>
    <w:p w14:paraId="52A54F12" w14:textId="4F563E37" w:rsidR="00FF0FE2" w:rsidRDefault="00FF0FE2" w:rsidP="00FF0FE2">
      <w:pPr>
        <w:pStyle w:val="Caption"/>
      </w:pPr>
      <w:bookmarkStart w:id="13" w:name="_Ref480830572"/>
      <w:r>
        <w:t xml:space="preserve">Table </w:t>
      </w:r>
      <w:r w:rsidR="00B41C84">
        <w:fldChar w:fldCharType="begin"/>
      </w:r>
      <w:r w:rsidR="00B41C84">
        <w:instrText xml:space="preserve"> SEQ Table \* ARABIC </w:instrText>
      </w:r>
      <w:r w:rsidR="00B41C84">
        <w:fldChar w:fldCharType="separate"/>
      </w:r>
      <w:r w:rsidR="006211F5">
        <w:rPr>
          <w:noProof/>
        </w:rPr>
        <w:t>7</w:t>
      </w:r>
      <w:r w:rsidR="00B41C84">
        <w:rPr>
          <w:noProof/>
        </w:rPr>
        <w:fldChar w:fldCharType="end"/>
      </w:r>
      <w:bookmarkEnd w:id="13"/>
      <w:r>
        <w:t xml:space="preserve">: </w:t>
      </w:r>
      <w:bookmarkStart w:id="14" w:name="_Ref480830679"/>
      <w:r>
        <w:t xml:space="preserve">Base station out-of-block e.i.r.p. limits </w:t>
      </w:r>
      <w:r w:rsidR="007C3986">
        <w:t>per cell</w:t>
      </w:r>
      <w:r w:rsidR="0099226F" w:rsidRPr="007B7383">
        <w:rPr>
          <w:vertAlign w:val="superscript"/>
        </w:rPr>
        <w:fldChar w:fldCharType="begin"/>
      </w:r>
      <w:r w:rsidR="0099226F" w:rsidRPr="007B7383">
        <w:rPr>
          <w:vertAlign w:val="superscript"/>
        </w:rPr>
        <w:instrText xml:space="preserve"> NOTEREF _Ref505339043 \h  \* MERGEFORMAT </w:instrText>
      </w:r>
      <w:r w:rsidR="0099226F" w:rsidRPr="007B7383">
        <w:rPr>
          <w:vertAlign w:val="superscript"/>
        </w:rPr>
      </w:r>
      <w:r w:rsidR="0099226F" w:rsidRPr="007B7383">
        <w:rPr>
          <w:vertAlign w:val="superscript"/>
        </w:rPr>
        <w:fldChar w:fldCharType="separate"/>
      </w:r>
      <w:r w:rsidR="0099226F" w:rsidRPr="007B7383">
        <w:rPr>
          <w:vertAlign w:val="superscript"/>
        </w:rPr>
        <w:t>2</w:t>
      </w:r>
      <w:r w:rsidR="0099226F" w:rsidRPr="007B7383">
        <w:rPr>
          <w:vertAlign w:val="superscript"/>
        </w:rPr>
        <w:fldChar w:fldCharType="end"/>
      </w:r>
      <w:r w:rsidR="007C3986">
        <w:t xml:space="preserve"> </w:t>
      </w:r>
      <w:r>
        <w:t xml:space="preserve">above </w:t>
      </w:r>
      <w:r>
        <w:rPr>
          <w:rFonts w:eastAsia="Calibri"/>
        </w:rPr>
        <w:t>1518</w:t>
      </w:r>
      <w:r>
        <w:t xml:space="preserve"> MHz </w:t>
      </w:r>
      <w:r>
        <w:br/>
        <w:t>for base stations operating in 1492-1517 MHz.</w:t>
      </w:r>
      <w:bookmarkEnd w:id="14"/>
    </w:p>
    <w:tbl>
      <w:tblPr>
        <w:tblStyle w:val="ECCTable-redheader1"/>
        <w:tblW w:w="0" w:type="auto"/>
        <w:tblInd w:w="0" w:type="dxa"/>
        <w:tblLook w:val="01E0" w:firstRow="1" w:lastRow="1" w:firstColumn="1" w:lastColumn="1" w:noHBand="0" w:noVBand="0"/>
      </w:tblPr>
      <w:tblGrid>
        <w:gridCol w:w="4248"/>
        <w:gridCol w:w="2814"/>
        <w:gridCol w:w="2771"/>
      </w:tblGrid>
      <w:tr w:rsidR="00FF0FE2" w14:paraId="52A54F16" w14:textId="77777777" w:rsidTr="00C94301">
        <w:trPr>
          <w:cnfStyle w:val="100000000000" w:firstRow="1" w:lastRow="0" w:firstColumn="0" w:lastColumn="0" w:oddVBand="0" w:evenVBand="0" w:oddHBand="0" w:evenHBand="0" w:firstRowFirstColumn="0" w:firstRowLastColumn="0" w:lastRowFirstColumn="0" w:lastRowLastColumn="0"/>
        </w:trPr>
        <w:tc>
          <w:tcPr>
            <w:tcW w:w="4248" w:type="dxa"/>
          </w:tcPr>
          <w:p w14:paraId="52A54F13" w14:textId="77777777" w:rsidR="00FF0FE2" w:rsidRDefault="00FF0FE2" w:rsidP="00C94301">
            <w:pPr>
              <w:pStyle w:val="ECCTableHeaderwhitefont"/>
              <w:spacing w:before="0" w:after="0" w:line="288" w:lineRule="auto"/>
              <w:rPr>
                <w:lang w:val="en-GB"/>
              </w:rPr>
            </w:pPr>
            <w:r>
              <w:rPr>
                <w:lang w:val="en-GB"/>
              </w:rPr>
              <w:t xml:space="preserve">Frequency range of </w:t>
            </w:r>
            <w:r>
              <w:rPr>
                <w:lang w:val="en-GB"/>
              </w:rPr>
              <w:br/>
              <w:t>out-of-block emissions</w:t>
            </w:r>
          </w:p>
        </w:tc>
        <w:tc>
          <w:tcPr>
            <w:tcW w:w="2814" w:type="dxa"/>
          </w:tcPr>
          <w:p w14:paraId="52A54F14" w14:textId="77777777" w:rsidR="00FF0FE2" w:rsidRDefault="00FF0FE2" w:rsidP="00C94301">
            <w:pPr>
              <w:pStyle w:val="ECCTableHeaderwhitefont"/>
              <w:spacing w:before="0" w:after="0" w:line="288" w:lineRule="auto"/>
              <w:rPr>
                <w:lang w:val="en-GB"/>
              </w:rPr>
            </w:pPr>
            <w:r>
              <w:rPr>
                <w:lang w:val="en-GB"/>
              </w:rPr>
              <w:t>Maximum</w:t>
            </w:r>
            <w:r w:rsidRPr="00C94301">
              <w:rPr>
                <w:lang w:val="en-US"/>
              </w:rPr>
              <w:t xml:space="preserve"> out-of-block </w:t>
            </w:r>
            <w:r>
              <w:rPr>
                <w:lang w:val="en-GB"/>
              </w:rPr>
              <w:t>e.i.r.p.</w:t>
            </w:r>
          </w:p>
        </w:tc>
        <w:tc>
          <w:tcPr>
            <w:tcW w:w="2771" w:type="dxa"/>
          </w:tcPr>
          <w:p w14:paraId="52A54F15" w14:textId="77777777" w:rsidR="00FF0FE2" w:rsidRDefault="00FF0FE2" w:rsidP="00C94301">
            <w:pPr>
              <w:pStyle w:val="ECCTableHeaderwhitefont"/>
              <w:spacing w:before="0" w:after="0" w:line="288" w:lineRule="auto"/>
              <w:rPr>
                <w:lang w:val="en-GB"/>
              </w:rPr>
            </w:pPr>
            <w:r>
              <w:rPr>
                <w:lang w:val="en-GB"/>
              </w:rPr>
              <w:t xml:space="preserve">Measurement </w:t>
            </w:r>
            <w:r>
              <w:rPr>
                <w:lang w:val="en-GB"/>
              </w:rPr>
              <w:br/>
              <w:t>Bandwidth</w:t>
            </w:r>
          </w:p>
        </w:tc>
      </w:tr>
      <w:tr w:rsidR="00FF0FE2" w14:paraId="52A54F1A" w14:textId="77777777" w:rsidTr="00C94301">
        <w:tc>
          <w:tcPr>
            <w:tcW w:w="4248" w:type="dxa"/>
          </w:tcPr>
          <w:p w14:paraId="52A54F17" w14:textId="77777777" w:rsidR="00FF0FE2" w:rsidRDefault="00FF0FE2" w:rsidP="00C94301">
            <w:pPr>
              <w:rPr>
                <w:lang w:val="en-GB"/>
              </w:rPr>
            </w:pPr>
            <w:r>
              <w:rPr>
                <w:lang w:val="en-GB"/>
              </w:rPr>
              <w:t>Between 1518 and 1520 MHz</w:t>
            </w:r>
          </w:p>
        </w:tc>
        <w:tc>
          <w:tcPr>
            <w:tcW w:w="2814" w:type="dxa"/>
          </w:tcPr>
          <w:p w14:paraId="52A54F18" w14:textId="77777777" w:rsidR="00FF0FE2" w:rsidRDefault="00FF0FE2" w:rsidP="00C94301">
            <w:pPr>
              <w:rPr>
                <w:lang w:val="en-GB"/>
              </w:rPr>
            </w:pPr>
            <w:r>
              <w:rPr>
                <w:lang w:val="en-GB"/>
              </w:rPr>
              <w:t xml:space="preserve">-0.8 dBm </w:t>
            </w:r>
          </w:p>
        </w:tc>
        <w:tc>
          <w:tcPr>
            <w:tcW w:w="2771" w:type="dxa"/>
          </w:tcPr>
          <w:p w14:paraId="52A54F19" w14:textId="77777777" w:rsidR="00FF0FE2" w:rsidRDefault="00FF0FE2" w:rsidP="00C94301">
            <w:pPr>
              <w:rPr>
                <w:lang w:val="en-GB"/>
              </w:rPr>
            </w:pPr>
            <w:r>
              <w:rPr>
                <w:lang w:val="en-GB"/>
              </w:rPr>
              <w:t>1 MHz</w:t>
            </w:r>
          </w:p>
        </w:tc>
      </w:tr>
      <w:tr w:rsidR="00FF0FE2" w14:paraId="52A54F1E" w14:textId="77777777" w:rsidTr="00C94301">
        <w:tc>
          <w:tcPr>
            <w:tcW w:w="4248" w:type="dxa"/>
          </w:tcPr>
          <w:p w14:paraId="52A54F1B" w14:textId="77777777" w:rsidR="00FF0FE2" w:rsidRDefault="00FF0FE2" w:rsidP="00C94301">
            <w:pPr>
              <w:rPr>
                <w:lang w:val="en-GB"/>
              </w:rPr>
            </w:pPr>
            <w:r>
              <w:rPr>
                <w:lang w:val="en-GB"/>
              </w:rPr>
              <w:t>Between 1520 and 1559 MHz</w:t>
            </w:r>
          </w:p>
        </w:tc>
        <w:tc>
          <w:tcPr>
            <w:tcW w:w="2814" w:type="dxa"/>
          </w:tcPr>
          <w:p w14:paraId="52A54F1C" w14:textId="77777777" w:rsidR="00FF0FE2" w:rsidRDefault="00FF0FE2" w:rsidP="00C94301">
            <w:pPr>
              <w:rPr>
                <w:lang w:val="en-GB"/>
              </w:rPr>
            </w:pPr>
            <w:r>
              <w:rPr>
                <w:lang w:val="en-GB"/>
              </w:rPr>
              <w:t xml:space="preserve">-30 dBm </w:t>
            </w:r>
          </w:p>
        </w:tc>
        <w:tc>
          <w:tcPr>
            <w:tcW w:w="2771" w:type="dxa"/>
          </w:tcPr>
          <w:p w14:paraId="52A54F1D" w14:textId="77777777" w:rsidR="00FF0FE2" w:rsidRDefault="00FF0FE2" w:rsidP="00C94301">
            <w:pPr>
              <w:rPr>
                <w:lang w:val="en-GB"/>
              </w:rPr>
            </w:pPr>
            <w:r>
              <w:rPr>
                <w:lang w:val="en-GB"/>
              </w:rPr>
              <w:t>1 MHz</w:t>
            </w:r>
          </w:p>
        </w:tc>
      </w:tr>
      <w:bookmarkEnd w:id="2"/>
    </w:tbl>
    <w:p w14:paraId="52A54F1F" w14:textId="77777777" w:rsidR="006C03D0" w:rsidRDefault="006C03D0" w:rsidP="006C03D0">
      <w:pPr>
        <w:pStyle w:val="ECCParagraph"/>
      </w:pPr>
    </w:p>
    <w:p w14:paraId="52A54F20" w14:textId="77777777" w:rsidR="006C03D0" w:rsidRDefault="005F7AD5" w:rsidP="006C03D0">
      <w:pPr>
        <w:pStyle w:val="ECCAnnex-heading1"/>
      </w:pPr>
      <w:bookmarkStart w:id="15" w:name="_Toc280099660"/>
      <w:r>
        <w:lastRenderedPageBreak/>
        <w:t>List of reference</w:t>
      </w:r>
      <w:bookmarkEnd w:id="15"/>
    </w:p>
    <w:p w14:paraId="52A54F21" w14:textId="77777777" w:rsidR="00FF0FE2" w:rsidRDefault="00FF0FE2" w:rsidP="00FF0FE2">
      <w:pPr>
        <w:pStyle w:val="ECCReference"/>
        <w:numPr>
          <w:ilvl w:val="0"/>
          <w:numId w:val="8"/>
        </w:numPr>
      </w:pPr>
      <w:bookmarkStart w:id="16" w:name="_Ref481765313"/>
      <w:bookmarkStart w:id="17" w:name="_Ref481765869"/>
      <w:bookmarkStart w:id="18" w:name="_Ref213741794"/>
      <w:r>
        <w:t>ECC Decision (13)03: The harmonised use of the frequency band 1452-1492 MHz for Mobile/Fixed Communications Networks Supplemental Downlink (MFCN SDL)</w:t>
      </w:r>
      <w:bookmarkEnd w:id="16"/>
      <w:r>
        <w:t>, November 2013 and amended in July 2015), November 2013 and amended July 2015</w:t>
      </w:r>
    </w:p>
    <w:p w14:paraId="52A54F22" w14:textId="77777777" w:rsidR="00FF0FE2" w:rsidRDefault="00FF0FE2" w:rsidP="00FF0FE2">
      <w:pPr>
        <w:pStyle w:val="ECCReference"/>
        <w:numPr>
          <w:ilvl w:val="0"/>
          <w:numId w:val="8"/>
        </w:numPr>
      </w:pPr>
      <w:bookmarkStart w:id="19" w:name="_Ref482011235"/>
      <w:r>
        <w:t>ITU Radio Regulations Edition of 2016</w:t>
      </w:r>
      <w:bookmarkEnd w:id="17"/>
      <w:bookmarkEnd w:id="19"/>
    </w:p>
    <w:p w14:paraId="52A54F23" w14:textId="77777777" w:rsidR="00FF0FE2" w:rsidRDefault="00FF0FE2" w:rsidP="00FF0FE2">
      <w:pPr>
        <w:pStyle w:val="ECCReference"/>
        <w:numPr>
          <w:ilvl w:val="0"/>
          <w:numId w:val="8"/>
        </w:numPr>
      </w:pPr>
      <w:bookmarkStart w:id="20" w:name="_Ref482011503"/>
      <w:r>
        <w:t>Recommendation ITU-R RA.769</w:t>
      </w:r>
      <w:bookmarkEnd w:id="20"/>
    </w:p>
    <w:p w14:paraId="52A54F24" w14:textId="77777777" w:rsidR="00FF0FE2" w:rsidRDefault="00FF0FE2" w:rsidP="00FF0FE2">
      <w:pPr>
        <w:pStyle w:val="ECCReference"/>
        <w:numPr>
          <w:ilvl w:val="0"/>
          <w:numId w:val="8"/>
        </w:numPr>
      </w:pPr>
      <w:bookmarkStart w:id="21" w:name="_Ref481764288"/>
      <w:r>
        <w:t>ECC Report 263: Adjacent band compatibility studies between IMT operating in the frequency band 1492-1518 MHz and the MSS operating in the frequency band 1518-1525 MHz, March 2017</w:t>
      </w:r>
      <w:bookmarkEnd w:id="21"/>
    </w:p>
    <w:p w14:paraId="52A54F25" w14:textId="77777777" w:rsidR="00FF0FE2" w:rsidRPr="005C398B" w:rsidRDefault="00FF0FE2" w:rsidP="00FF0FE2">
      <w:pPr>
        <w:pStyle w:val="reference"/>
      </w:pPr>
      <w:bookmarkStart w:id="22" w:name="_Ref492546948"/>
      <w:r w:rsidRPr="005C398B">
        <w:t>ECC Report 269:</w:t>
      </w:r>
      <w:bookmarkEnd w:id="22"/>
      <w:r w:rsidRPr="005C398B">
        <w:t xml:space="preserve"> </w:t>
      </w:r>
      <w:r w:rsidRPr="005C398B">
        <w:rPr>
          <w:rFonts w:eastAsia="Calibri"/>
          <w:szCs w:val="22"/>
          <w:lang w:val="en-GB"/>
        </w:rPr>
        <w:t>Least restrictive technical conditions for Mobile/Fixed Communications Networks in 1427-1452 MHz and 1492-1518 MHz, November 2017</w:t>
      </w:r>
    </w:p>
    <w:p w14:paraId="52A54F26" w14:textId="77777777" w:rsidR="00FF0FE2" w:rsidRDefault="00FF0FE2" w:rsidP="00FF0FE2">
      <w:pPr>
        <w:pStyle w:val="ECCReference"/>
        <w:numPr>
          <w:ilvl w:val="0"/>
          <w:numId w:val="8"/>
        </w:numPr>
      </w:pPr>
      <w:r>
        <w:t>ECC Report 173: Fixed Service in Europe, March 2012</w:t>
      </w:r>
    </w:p>
    <w:p w14:paraId="52A54F27" w14:textId="77777777" w:rsidR="00FF0FE2" w:rsidRPr="005C398B" w:rsidRDefault="00FF0FE2" w:rsidP="00FF0FE2">
      <w:pPr>
        <w:pStyle w:val="reference"/>
      </w:pPr>
      <w:bookmarkStart w:id="23" w:name="_Ref482004585"/>
      <w:r>
        <w:t>ERC Report 25: The European table of frequency allocations and applications in the frequency range 8.3 kHz to 3000 GHz, June 2016</w:t>
      </w:r>
      <w:bookmarkEnd w:id="23"/>
    </w:p>
    <w:p w14:paraId="52A54F28" w14:textId="77777777" w:rsidR="00FF0FE2" w:rsidRPr="002248FB" w:rsidRDefault="00FF0FE2" w:rsidP="00FF0FE2">
      <w:pPr>
        <w:pStyle w:val="reference"/>
        <w:rPr>
          <w:lang w:val="en-GB"/>
        </w:rPr>
      </w:pPr>
      <w:bookmarkStart w:id="24" w:name="_Ref492546830"/>
      <w:r w:rsidRPr="002248FB">
        <w:t>ECC Report 202</w:t>
      </w:r>
      <w:bookmarkEnd w:id="24"/>
      <w:r w:rsidRPr="005C398B">
        <w:t xml:space="preserve">: </w:t>
      </w:r>
      <w:r w:rsidRPr="002248FB">
        <w:t>Out-of-Band emission limits for Mobile/Fixed Communication Networks (MFCN) Supplemental Downlink (SDL) operating in the 1452-1492 MHz band, September 2013</w:t>
      </w:r>
    </w:p>
    <w:p w14:paraId="52A54F29" w14:textId="77777777" w:rsidR="006C03D0" w:rsidRPr="000A672F" w:rsidRDefault="00FF0FE2" w:rsidP="00FF0FE2">
      <w:pPr>
        <w:pStyle w:val="reference"/>
      </w:pPr>
      <w:bookmarkStart w:id="25" w:name="_Ref482018812"/>
      <w:r>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18"/>
      <w:bookmarkEnd w:id="25"/>
    </w:p>
    <w:sectPr w:rsidR="006C03D0" w:rsidRPr="000A672F"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40E87" w14:textId="77777777" w:rsidR="00D742C6" w:rsidRDefault="00D742C6" w:rsidP="006C03D0">
      <w:r>
        <w:separator/>
      </w:r>
    </w:p>
  </w:endnote>
  <w:endnote w:type="continuationSeparator" w:id="0">
    <w:p w14:paraId="59F42BD3" w14:textId="77777777" w:rsidR="00D742C6" w:rsidRDefault="00D742C6"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charset w:val="00"/>
    <w:family w:val="auto"/>
    <w:pitch w:val="variable"/>
    <w:sig w:usb0="00000000"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C581D" w14:textId="77777777" w:rsidR="00D742C6" w:rsidRDefault="00D742C6" w:rsidP="006C03D0">
      <w:r>
        <w:separator/>
      </w:r>
    </w:p>
  </w:footnote>
  <w:footnote w:type="continuationSeparator" w:id="0">
    <w:p w14:paraId="5076C04E" w14:textId="77777777" w:rsidR="00D742C6" w:rsidRDefault="00D742C6" w:rsidP="006C03D0">
      <w:r>
        <w:continuationSeparator/>
      </w:r>
    </w:p>
  </w:footnote>
  <w:footnote w:id="1">
    <w:p w14:paraId="52A54F37" w14:textId="5879F102" w:rsidR="00FF0FE2" w:rsidRPr="00C94301" w:rsidRDefault="00FF0FE2" w:rsidP="00FF0FE2">
      <w:pPr>
        <w:pStyle w:val="FootnoteText"/>
        <w:rPr>
          <w:sz w:val="16"/>
          <w:szCs w:val="16"/>
        </w:rPr>
      </w:pPr>
      <w:r w:rsidRPr="00435255">
        <w:rPr>
          <w:rStyle w:val="FootnoteReference"/>
          <w:sz w:val="16"/>
          <w:szCs w:val="16"/>
        </w:rPr>
        <w:footnoteRef/>
      </w:r>
      <w:r w:rsidRPr="00435255">
        <w:rPr>
          <w:sz w:val="16"/>
          <w:szCs w:val="16"/>
        </w:rPr>
        <w:t xml:space="preserve"> </w:t>
      </w:r>
      <w:r w:rsidRPr="00FF0FE2">
        <w:rPr>
          <w:sz w:val="16"/>
          <w:szCs w:val="16"/>
        </w:rPr>
        <w:t xml:space="preserve">Corresponding minimum blocking requirements for MSS terminals operating above 1518 MHz were defined in ECC Report 263, taking into account, in particular, a maximum in band e.i.r.p of 58 </w:t>
      </w:r>
      <w:r w:rsidR="007B7383" w:rsidRPr="00FF0FE2">
        <w:rPr>
          <w:sz w:val="16"/>
          <w:szCs w:val="16"/>
        </w:rPr>
        <w:t>dBm for</w:t>
      </w:r>
      <w:r w:rsidRPr="00FF0FE2">
        <w:rPr>
          <w:sz w:val="16"/>
          <w:szCs w:val="16"/>
        </w:rPr>
        <w:t xml:space="preserve"> BS operating in 1512-1517 MHz. </w:t>
      </w:r>
    </w:p>
  </w:footnote>
  <w:footnote w:id="2">
    <w:p w14:paraId="54B56B15" w14:textId="125B467E" w:rsidR="0099226F" w:rsidRPr="0099226F" w:rsidRDefault="0099226F">
      <w:pPr>
        <w:pStyle w:val="FootnoteText"/>
        <w:rPr>
          <w:sz w:val="16"/>
          <w:szCs w:val="16"/>
        </w:rPr>
      </w:pPr>
      <w:r w:rsidRPr="007B7383">
        <w:rPr>
          <w:rStyle w:val="FootnoteReference"/>
          <w:sz w:val="16"/>
          <w:szCs w:val="16"/>
        </w:rPr>
        <w:footnoteRef/>
      </w:r>
      <w:r w:rsidRPr="007B7383">
        <w:t xml:space="preserve"> </w:t>
      </w:r>
      <w:r w:rsidRPr="007B7383">
        <w:rPr>
          <w:sz w:val="16"/>
          <w:szCs w:val="16"/>
        </w:rPr>
        <w:t>In a multi-sector site, the value per ‘cell’ corresponds to the value for one of the sectors.</w:t>
      </w:r>
    </w:p>
  </w:footnote>
  <w:footnote w:id="3">
    <w:p w14:paraId="52A54F38" w14:textId="77777777" w:rsidR="00FF0FE2" w:rsidRPr="00C94301" w:rsidRDefault="00FF0FE2" w:rsidP="00FF0FE2">
      <w:pPr>
        <w:pStyle w:val="FootnoteText"/>
        <w:rPr>
          <w:sz w:val="16"/>
          <w:szCs w:val="16"/>
        </w:rPr>
      </w:pPr>
      <w:r w:rsidRPr="00C94301">
        <w:rPr>
          <w:rStyle w:val="FootnoteReference"/>
          <w:sz w:val="16"/>
          <w:szCs w:val="16"/>
        </w:rPr>
        <w:footnoteRef/>
      </w:r>
      <w:r w:rsidRPr="00C94301">
        <w:rPr>
          <w:sz w:val="16"/>
          <w:szCs w:val="16"/>
        </w:rPr>
        <w:t xml:space="preserve"> The same conditions are applicable within the range 1452-1492 MHz, as specified in ECC/DEC/(13)03</w:t>
      </w:r>
    </w:p>
  </w:footnote>
  <w:footnote w:id="4">
    <w:p w14:paraId="52A54F39" w14:textId="77777777" w:rsidR="00FF0FE2" w:rsidRDefault="00FF0FE2" w:rsidP="00FF0FE2">
      <w:pPr>
        <w:pStyle w:val="ECCFootnote"/>
        <w:rPr>
          <w:lang w:val="en-GB"/>
        </w:rPr>
      </w:pPr>
      <w:r w:rsidRPr="00435255">
        <w:rPr>
          <w:rStyle w:val="FootnoteReference"/>
          <w:szCs w:val="16"/>
        </w:rPr>
        <w:footnoteRef/>
      </w:r>
      <w:r w:rsidRPr="00435255">
        <w:rPr>
          <w:szCs w:val="16"/>
          <w:lang w:val="en-GB"/>
        </w:rPr>
        <w:t xml:space="preserve"> The unwanted emission power level is to be understood here as the level measured at the antenna 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54F30" w14:textId="69168CE6" w:rsidR="00FA4704" w:rsidRPr="007C5F95" w:rsidRDefault="00B03382">
    <w:pPr>
      <w:pStyle w:val="Header"/>
      <w:rPr>
        <w:szCs w:val="16"/>
        <w:lang w:val="da-DK"/>
      </w:rPr>
    </w:pPr>
    <w:r>
      <w:rPr>
        <w:lang w:val="da-DK"/>
      </w:rPr>
      <w:t>ECC/DEC/</w:t>
    </w:r>
    <w:r w:rsidR="00FA4704" w:rsidRPr="007C5F95">
      <w:rPr>
        <w:lang w:val="da-DK"/>
      </w:rPr>
      <w:t>(</w:t>
    </w:r>
    <w:r w:rsidR="006A00A6">
      <w:rPr>
        <w:lang w:val="da-DK"/>
      </w:rPr>
      <w:t>17</w:t>
    </w:r>
    <w:r w:rsidR="00FA4704" w:rsidRPr="007C5F95">
      <w:rPr>
        <w:lang w:val="da-DK"/>
      </w:rPr>
      <w:t>)</w:t>
    </w:r>
    <w:r w:rsidR="006A00A6">
      <w:rPr>
        <w:lang w:val="da-DK"/>
      </w:rPr>
      <w:t>06</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B41C84" w:rsidRPr="00B41C84">
      <w:rPr>
        <w:noProof/>
        <w:szCs w:val="16"/>
        <w:lang w:val="da-DK"/>
      </w:rPr>
      <w:t>4</w:t>
    </w:r>
    <w:r w:rsidR="00FA4704">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54F31" w14:textId="3F96BF78" w:rsidR="00FA4704" w:rsidRPr="007C5F95" w:rsidRDefault="006A00A6" w:rsidP="006C03D0">
    <w:pPr>
      <w:pStyle w:val="Header"/>
      <w:jc w:val="right"/>
      <w:rPr>
        <w:szCs w:val="16"/>
        <w:lang w:val="da-DK"/>
      </w:rPr>
    </w:pPr>
    <w:r>
      <w:rPr>
        <w:lang w:val="da-DK"/>
      </w:rPr>
      <w:t>ECC/DEC/</w:t>
    </w:r>
    <w:r w:rsidRPr="007C5F95">
      <w:rPr>
        <w:lang w:val="da-DK"/>
      </w:rPr>
      <w:t>(</w:t>
    </w:r>
    <w:r>
      <w:rPr>
        <w:lang w:val="da-DK"/>
      </w:rPr>
      <w:t>17</w:t>
    </w:r>
    <w:r w:rsidRPr="007C5F95">
      <w:rPr>
        <w:lang w:val="da-DK"/>
      </w:rPr>
      <w:t>)</w:t>
    </w:r>
    <w:r>
      <w:rPr>
        <w:lang w:val="da-DK"/>
      </w:rPr>
      <w:t>06</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B41C84" w:rsidRPr="00B41C84">
      <w:rPr>
        <w:noProof/>
        <w:szCs w:val="16"/>
        <w:lang w:val="da-DK"/>
      </w:rPr>
      <w:t>3</w:t>
    </w:r>
    <w:r w:rsidR="00FA4704">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54F32" w14:textId="77777777" w:rsidR="00FA4704" w:rsidRDefault="00FA4704" w:rsidP="003F37BE">
    <w:pPr>
      <w:pStyle w:val="Header"/>
      <w:jc w:val="right"/>
    </w:pPr>
    <w:r>
      <w:rPr>
        <w:noProof/>
        <w:szCs w:val="20"/>
        <w:lang w:val="da-DK" w:eastAsia="da-DK"/>
      </w:rPr>
      <w:drawing>
        <wp:anchor distT="0" distB="0" distL="114300" distR="114300" simplePos="0" relativeHeight="251658240" behindDoc="0" locked="0" layoutInCell="1" allowOverlap="1" wp14:anchorId="52A54F33" wp14:editId="52A54F34">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52A54F35" wp14:editId="52A54F36">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9">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4">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17">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9">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5"/>
  </w:num>
  <w:num w:numId="4">
    <w:abstractNumId w:val="5"/>
  </w:num>
  <w:num w:numId="5">
    <w:abstractNumId w:val="16"/>
  </w:num>
  <w:num w:numId="6">
    <w:abstractNumId w:val="9"/>
  </w:num>
  <w:num w:numId="7">
    <w:abstractNumId w:val="8"/>
  </w:num>
  <w:num w:numId="8">
    <w:abstractNumId w:val="14"/>
  </w:num>
  <w:num w:numId="9">
    <w:abstractNumId w:val="13"/>
  </w:num>
  <w:num w:numId="10">
    <w:abstractNumId w:val="10"/>
  </w:num>
  <w:num w:numId="11">
    <w:abstractNumId w:val="14"/>
    <w:lvlOverride w:ilvl="0">
      <w:startOverride w:val="1"/>
    </w:lvlOverride>
  </w:num>
  <w:num w:numId="12">
    <w:abstractNumId w:val="4"/>
  </w:num>
  <w:num w:numId="13">
    <w:abstractNumId w:val="2"/>
  </w:num>
  <w:num w:numId="14">
    <w:abstractNumId w:val="1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19"/>
  </w:num>
  <w:num w:numId="20">
    <w:abstractNumId w:val="11"/>
  </w:num>
  <w:num w:numId="21">
    <w:abstractNumId w:val="21"/>
  </w:num>
  <w:num w:numId="22">
    <w:abstractNumId w:val="22"/>
  </w:num>
  <w:num w:numId="23">
    <w:abstractNumId w:val="0"/>
  </w:num>
  <w:num w:numId="24">
    <w:abstractNumId w:val="3"/>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Green">
    <w15:presenceInfo w15:providerId="None" w15:userId="Steve Gre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14337">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F9"/>
    <w:rsid w:val="00031379"/>
    <w:rsid w:val="000412F9"/>
    <w:rsid w:val="00072B81"/>
    <w:rsid w:val="000C183F"/>
    <w:rsid w:val="000F3919"/>
    <w:rsid w:val="0013619B"/>
    <w:rsid w:val="00172A32"/>
    <w:rsid w:val="001B1F5E"/>
    <w:rsid w:val="001C23B8"/>
    <w:rsid w:val="001C46EA"/>
    <w:rsid w:val="001E0C8D"/>
    <w:rsid w:val="002741A5"/>
    <w:rsid w:val="002C7A68"/>
    <w:rsid w:val="00311A22"/>
    <w:rsid w:val="003F37BE"/>
    <w:rsid w:val="00412E32"/>
    <w:rsid w:val="00456276"/>
    <w:rsid w:val="004652A6"/>
    <w:rsid w:val="004A3CAA"/>
    <w:rsid w:val="004C730D"/>
    <w:rsid w:val="004D4301"/>
    <w:rsid w:val="005F7AD5"/>
    <w:rsid w:val="006211F5"/>
    <w:rsid w:val="006A00A6"/>
    <w:rsid w:val="006A410B"/>
    <w:rsid w:val="006A5D55"/>
    <w:rsid w:val="006C03D0"/>
    <w:rsid w:val="006C2EAE"/>
    <w:rsid w:val="0070052E"/>
    <w:rsid w:val="00713DBA"/>
    <w:rsid w:val="007B7383"/>
    <w:rsid w:val="007C3986"/>
    <w:rsid w:val="007C6571"/>
    <w:rsid w:val="007E23E4"/>
    <w:rsid w:val="008319BD"/>
    <w:rsid w:val="008F4B99"/>
    <w:rsid w:val="0099226F"/>
    <w:rsid w:val="00A41673"/>
    <w:rsid w:val="00A8085A"/>
    <w:rsid w:val="00B03382"/>
    <w:rsid w:val="00B23041"/>
    <w:rsid w:val="00B41C84"/>
    <w:rsid w:val="00BB550A"/>
    <w:rsid w:val="00BE308E"/>
    <w:rsid w:val="00C1340F"/>
    <w:rsid w:val="00C555A5"/>
    <w:rsid w:val="00C64D00"/>
    <w:rsid w:val="00C665E0"/>
    <w:rsid w:val="00C779F7"/>
    <w:rsid w:val="00D256E4"/>
    <w:rsid w:val="00D742C6"/>
    <w:rsid w:val="00D90B0A"/>
    <w:rsid w:val="00DA090D"/>
    <w:rsid w:val="00DC0568"/>
    <w:rsid w:val="00DC2FEA"/>
    <w:rsid w:val="00E65E22"/>
    <w:rsid w:val="00E73D39"/>
    <w:rsid w:val="00F03377"/>
    <w:rsid w:val="00F03E36"/>
    <w:rsid w:val="00F177F1"/>
    <w:rsid w:val="00F32EE8"/>
    <w:rsid w:val="00F50A67"/>
    <w:rsid w:val="00F54F7E"/>
    <w:rsid w:val="00FA4704"/>
    <w:rsid w:val="00FF0FE2"/>
    <w:rsid w:val="00FF3D9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4337">
      <o:colormru v:ext="edit" colors="#7b6c58,#887e6e,#d2232a,#57433e,#b0a696"/>
    </o:shapedefaults>
    <o:shapelayout v:ext="edit">
      <o:idmap v:ext="edit" data="1"/>
    </o:shapelayout>
  </w:shapeDefaults>
  <w:decimalSymbol w:val=","/>
  <w:listSeparator w:val=";"/>
  <w14:docId w14:val="52A5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qFormat/>
    <w:rsid w:val="008935B9"/>
    <w:rPr>
      <w:szCs w:val="20"/>
    </w:rPr>
  </w:style>
  <w:style w:type="character" w:styleId="FootnoteReference">
    <w:name w:val="footnote reference"/>
    <w:aliases w:val="Fussnotenzeichen,Appel note de bas de p,Footnote Reference/,Footnote,ECC Footnote number,Nota,Footnote symbol"/>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6A00A6"/>
    <w:pPr>
      <w:spacing w:after="0"/>
      <w:ind w:left="284" w:hanging="284"/>
      <w:jc w:val="center"/>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styleId="Caption">
    <w:name w:val="caption"/>
    <w:aliases w:val="Ca,ECC Caption"/>
    <w:basedOn w:val="ECCTabletitle"/>
    <w:next w:val="Normal"/>
    <w:link w:val="CaptionChar"/>
    <w:qFormat/>
    <w:rsid w:val="006A00A6"/>
    <w:pPr>
      <w:numPr>
        <w:numId w:val="0"/>
      </w:numPr>
    </w:pPr>
  </w:style>
  <w:style w:type="character" w:customStyle="1" w:styleId="CaptionChar">
    <w:name w:val="Caption Char"/>
    <w:aliases w:val="Ca Char,ECC Caption Char"/>
    <w:link w:val="Caption"/>
    <w:rsid w:val="006A00A6"/>
    <w:rPr>
      <w:rFonts w:ascii="Arial" w:hAnsi="Arial"/>
      <w:b/>
      <w:color w:val="D2232A"/>
      <w:szCs w:val="24"/>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rsid w:val="00FF0FE2"/>
    <w:rPr>
      <w:rFonts w:ascii="Arial" w:hAnsi="Arial"/>
      <w:lang w:val="en-US"/>
    </w:rPr>
  </w:style>
  <w:style w:type="paragraph" w:customStyle="1" w:styleId="ECCBulletsLv1">
    <w:name w:val="ECC Bullets Lv1"/>
    <w:basedOn w:val="Normal"/>
    <w:qFormat/>
    <w:rsid w:val="00FF0FE2"/>
    <w:pPr>
      <w:numPr>
        <w:numId w:val="25"/>
      </w:numPr>
      <w:tabs>
        <w:tab w:val="left" w:pos="340"/>
      </w:tabs>
      <w:spacing w:before="60"/>
      <w:ind w:left="340" w:hanging="340"/>
      <w:jc w:val="both"/>
    </w:pPr>
    <w:rPr>
      <w:rFonts w:eastAsia="Calibri"/>
      <w:szCs w:val="22"/>
      <w:lang w:val="en-GB"/>
    </w:rPr>
  </w:style>
  <w:style w:type="paragraph" w:customStyle="1" w:styleId="ECCTableHeaderwhitefont">
    <w:name w:val="ECC Table Header white font"/>
    <w:qFormat/>
    <w:rsid w:val="00FF0FE2"/>
    <w:pPr>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FF0FE2"/>
    <w:pPr>
      <w:spacing w:after="60"/>
      <w:jc w:val="both"/>
    </w:pPr>
    <w:rPr>
      <w:rFonts w:eastAsia="Calibri"/>
      <w:szCs w:val="22"/>
      <w:lang w:val="en-GB"/>
    </w:rPr>
  </w:style>
  <w:style w:type="table" w:customStyle="1" w:styleId="ECCTable-redheader1">
    <w:name w:val="ECC Table - red header1"/>
    <w:basedOn w:val="TableNormal"/>
    <w:uiPriority w:val="99"/>
    <w:rsid w:val="00FF0FE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styleId="NormalWeb">
    <w:name w:val="Normal (Web)"/>
    <w:basedOn w:val="Normal"/>
    <w:uiPriority w:val="99"/>
    <w:semiHidden/>
    <w:unhideWhenUsed/>
    <w:rsid w:val="00FF0FE2"/>
    <w:pPr>
      <w:spacing w:before="100" w:beforeAutospacing="1" w:after="100" w:afterAutospacing="1"/>
    </w:pPr>
    <w:rPr>
      <w:rFonts w:ascii="Times New Roman" w:eastAsiaTheme="minorEastAsia" w:hAnsi="Times New Roman"/>
      <w:sz w:val="24"/>
      <w:lang w:val="sv-SE" w:eastAsia="sv-SE"/>
    </w:rPr>
  </w:style>
  <w:style w:type="paragraph" w:customStyle="1" w:styleId="ECCReference">
    <w:name w:val="ECC Reference"/>
    <w:basedOn w:val="Normal"/>
    <w:rsid w:val="00FF0FE2"/>
    <w:pPr>
      <w:tabs>
        <w:tab w:val="num" w:pos="397"/>
      </w:tabs>
      <w:ind w:left="397" w:hanging="397"/>
      <w:jc w:val="both"/>
    </w:pPr>
    <w:rPr>
      <w:rFonts w:eastAsia="Calibri"/>
      <w:szCs w:val="22"/>
      <w:lang w:val="en-GB" w:eastAsia="ja-JP"/>
    </w:rPr>
  </w:style>
  <w:style w:type="character" w:customStyle="1" w:styleId="HeaderChar">
    <w:name w:val="Header Char"/>
    <w:basedOn w:val="DefaultParagraphFont"/>
    <w:link w:val="Header"/>
    <w:uiPriority w:val="99"/>
    <w:rsid w:val="003F37BE"/>
    <w:rPr>
      <w:rFonts w:ascii="Arial" w:hAnsi="Arial"/>
      <w:b/>
      <w:sz w:val="16"/>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qFormat/>
    <w:rsid w:val="008935B9"/>
    <w:rPr>
      <w:szCs w:val="20"/>
    </w:rPr>
  </w:style>
  <w:style w:type="character" w:styleId="FootnoteReference">
    <w:name w:val="footnote reference"/>
    <w:aliases w:val="Fussnotenzeichen,Appel note de bas de p,Footnote Reference/,Footnote,ECC Footnote number,Nota,Footnote symbol"/>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6A00A6"/>
    <w:pPr>
      <w:spacing w:after="0"/>
      <w:ind w:left="284" w:hanging="284"/>
      <w:jc w:val="center"/>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styleId="Caption">
    <w:name w:val="caption"/>
    <w:aliases w:val="Ca,ECC Caption"/>
    <w:basedOn w:val="ECCTabletitle"/>
    <w:next w:val="Normal"/>
    <w:link w:val="CaptionChar"/>
    <w:qFormat/>
    <w:rsid w:val="006A00A6"/>
    <w:pPr>
      <w:numPr>
        <w:numId w:val="0"/>
      </w:numPr>
    </w:pPr>
  </w:style>
  <w:style w:type="character" w:customStyle="1" w:styleId="CaptionChar">
    <w:name w:val="Caption Char"/>
    <w:aliases w:val="Ca Char,ECC Caption Char"/>
    <w:link w:val="Caption"/>
    <w:rsid w:val="006A00A6"/>
    <w:rPr>
      <w:rFonts w:ascii="Arial" w:hAnsi="Arial"/>
      <w:b/>
      <w:color w:val="D2232A"/>
      <w:szCs w:val="24"/>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rsid w:val="00FF0FE2"/>
    <w:rPr>
      <w:rFonts w:ascii="Arial" w:hAnsi="Arial"/>
      <w:lang w:val="en-US"/>
    </w:rPr>
  </w:style>
  <w:style w:type="paragraph" w:customStyle="1" w:styleId="ECCBulletsLv1">
    <w:name w:val="ECC Bullets Lv1"/>
    <w:basedOn w:val="Normal"/>
    <w:qFormat/>
    <w:rsid w:val="00FF0FE2"/>
    <w:pPr>
      <w:numPr>
        <w:numId w:val="25"/>
      </w:numPr>
      <w:tabs>
        <w:tab w:val="left" w:pos="340"/>
      </w:tabs>
      <w:spacing w:before="60"/>
      <w:ind w:left="340" w:hanging="340"/>
      <w:jc w:val="both"/>
    </w:pPr>
    <w:rPr>
      <w:rFonts w:eastAsia="Calibri"/>
      <w:szCs w:val="22"/>
      <w:lang w:val="en-GB"/>
    </w:rPr>
  </w:style>
  <w:style w:type="paragraph" w:customStyle="1" w:styleId="ECCTableHeaderwhitefont">
    <w:name w:val="ECC Table Header white font"/>
    <w:qFormat/>
    <w:rsid w:val="00FF0FE2"/>
    <w:pPr>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FF0FE2"/>
    <w:pPr>
      <w:spacing w:after="60"/>
      <w:jc w:val="both"/>
    </w:pPr>
    <w:rPr>
      <w:rFonts w:eastAsia="Calibri"/>
      <w:szCs w:val="22"/>
      <w:lang w:val="en-GB"/>
    </w:rPr>
  </w:style>
  <w:style w:type="table" w:customStyle="1" w:styleId="ECCTable-redheader1">
    <w:name w:val="ECC Table - red header1"/>
    <w:basedOn w:val="TableNormal"/>
    <w:uiPriority w:val="99"/>
    <w:rsid w:val="00FF0FE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styleId="NormalWeb">
    <w:name w:val="Normal (Web)"/>
    <w:basedOn w:val="Normal"/>
    <w:uiPriority w:val="99"/>
    <w:semiHidden/>
    <w:unhideWhenUsed/>
    <w:rsid w:val="00FF0FE2"/>
    <w:pPr>
      <w:spacing w:before="100" w:beforeAutospacing="1" w:after="100" w:afterAutospacing="1"/>
    </w:pPr>
    <w:rPr>
      <w:rFonts w:ascii="Times New Roman" w:eastAsiaTheme="minorEastAsia" w:hAnsi="Times New Roman"/>
      <w:sz w:val="24"/>
      <w:lang w:val="sv-SE" w:eastAsia="sv-SE"/>
    </w:rPr>
  </w:style>
  <w:style w:type="paragraph" w:customStyle="1" w:styleId="ECCReference">
    <w:name w:val="ECC Reference"/>
    <w:basedOn w:val="Normal"/>
    <w:rsid w:val="00FF0FE2"/>
    <w:pPr>
      <w:tabs>
        <w:tab w:val="num" w:pos="397"/>
      </w:tabs>
      <w:ind w:left="397" w:hanging="397"/>
      <w:jc w:val="both"/>
    </w:pPr>
    <w:rPr>
      <w:rFonts w:eastAsia="Calibri"/>
      <w:szCs w:val="22"/>
      <w:lang w:val="en-GB" w:eastAsia="ja-JP"/>
    </w:rPr>
  </w:style>
  <w:style w:type="character" w:customStyle="1" w:styleId="HeaderChar">
    <w:name w:val="Header Char"/>
    <w:basedOn w:val="DefaultParagraphFont"/>
    <w:link w:val="Header"/>
    <w:uiPriority w:val="99"/>
    <w:rsid w:val="003F37BE"/>
    <w:rPr>
      <w:rFonts w:ascii="Arial" w:hAnsi="Arial"/>
      <w:b/>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ECC%20Decision_June_2016%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A8FEF-E268-4F09-9FD1-B79367EA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 (6)</Template>
  <TotalTime>0</TotalTime>
  <Pages>9</Pages>
  <Words>3385</Words>
  <Characters>18381</Characters>
  <Application>Microsoft Office Word</Application>
  <DocSecurity>0</DocSecurity>
  <Lines>448</Lines>
  <Paragraphs>268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New ECC Report Style</vt:lpstr>
      <vt:lpstr>New ECC Report Style</vt:lpstr>
    </vt:vector>
  </TitlesOfParts>
  <Company>ECO</Company>
  <LinksUpToDate>false</LinksUpToDate>
  <CharactersWithSpaces>21498</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author</dc:creator>
  <dc:description>This template is used as guidance to draft ECC Reports.</dc:description>
  <cp:lastModifiedBy>Anne-Dorthe Hjelm Christensen</cp:lastModifiedBy>
  <cp:revision>2</cp:revision>
  <cp:lastPrinted>2017-11-16T13:32:00Z</cp:lastPrinted>
  <dcterms:created xsi:type="dcterms:W3CDTF">2018-03-08T08:49:00Z</dcterms:created>
  <dcterms:modified xsi:type="dcterms:W3CDTF">2018-03-08T08:49:00Z</dcterms:modified>
</cp:coreProperties>
</file>