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529262574"/>
    <w:p w:rsidR="001F1056" w:rsidRPr="00095A3E" w:rsidRDefault="00CA26C2" w:rsidP="001F1056">
      <w:pPr>
        <w:pStyle w:val="coverpageReporttitledescription"/>
        <w:rPr>
          <w:lang w:val="en-GB"/>
        </w:rPr>
      </w:pPr>
      <w:r>
        <w:rPr>
          <w:noProof/>
          <w:lang w:eastAsia="da-DK"/>
        </w:rPr>
        <mc:AlternateContent>
          <mc:Choice Requires="wpg">
            <w:drawing>
              <wp:anchor distT="0" distB="0" distL="114300" distR="114300" simplePos="0" relativeHeight="251685888" behindDoc="0" locked="0" layoutInCell="1" allowOverlap="1" wp14:anchorId="1F3483F4" wp14:editId="3CB6E48F">
                <wp:simplePos x="0" y="0"/>
                <wp:positionH relativeFrom="column">
                  <wp:posOffset>107950</wp:posOffset>
                </wp:positionH>
                <wp:positionV relativeFrom="paragraph">
                  <wp:posOffset>581025</wp:posOffset>
                </wp:positionV>
                <wp:extent cx="1703070" cy="1563370"/>
                <wp:effectExtent l="0" t="19050" r="0" b="0"/>
                <wp:wrapTopAndBottom/>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3070" cy="1563370"/>
                          <a:chOff x="431" y="2744"/>
                          <a:chExt cx="2699" cy="2449"/>
                        </a:xfrm>
                      </wpg:grpSpPr>
                      <wps:wsp>
                        <wps:cNvPr id="19" name="Line 11"/>
                        <wps:cNvCnPr/>
                        <wps:spPr bwMode="auto">
                          <a:xfrm rot="2700000">
                            <a:off x="1265"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20" name="Line 12"/>
                        <wps:cNvCnPr/>
                        <wps:spPr bwMode="auto">
                          <a:xfrm rot="2700000" flipH="1">
                            <a:off x="574"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21" name="Line 13"/>
                        <wps:cNvCnPr/>
                        <wps:spPr bwMode="auto">
                          <a:xfrm rot="2700000" flipH="1">
                            <a:off x="2352"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22" name="Line 14"/>
                        <wps:cNvCnPr/>
                        <wps:spPr bwMode="auto">
                          <a:xfrm rot="2700000" flipH="1">
                            <a:off x="1566"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23" name="Line 15"/>
                        <wps:cNvCnPr/>
                        <wps:spPr bwMode="auto">
                          <a:xfrm>
                            <a:off x="1797"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7EAAB6" id="Group 18" o:spid="_x0000_s1026" style="position:absolute;margin-left:8.5pt;margin-top:45.75pt;width:134.1pt;height:123.1pt;z-index:251685888" coordorigin="431,2744" coordsize="2699,2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">
                <v:line id="Line 11" o:spid="_x0000_s1027" style="position:absolute;rotation:45;visibility:visible;mso-wrap-style:square" from="1265,2646" to="1279,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" strokecolor="#d2232a" strokeweight="15pt"/>
                <v:line id="Line 12" o:spid="_x0000_s1028" style="position:absolute;rotation:-45;flip:x;visibility:visible;mso-wrap-style:square" from="574,4478" to="2005,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" strokecolor="#d2232a" strokeweight="15pt"/>
                <v:line id="Line 13" o:spid="_x0000_s1029" style="position:absolute;rotation:-45;flip:x;visibility:visible;mso-wrap-style:square" from="2352,3653" to="2353,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" strokecolor="white" strokeweight="15pt"/>
                <v:line id="Line 14" o:spid="_x0000_s1030" style="position:absolute;rotation:-45;flip:x;visibility:visible;mso-wrap-style:square" from="1566,3520" to="3114,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" strokecolor="white" strokeweight="15pt"/>
                <v:line id="Line 15" o:spid="_x0000_s1031" style="position:absolute;visibility:visible;mso-wrap-style:square" from="1797,2744" to="1798,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" strokecolor="#887e6e" strokeweight="15.5pt"/>
                <w10:wrap type="topAndBottom"/>
              </v:group>
            </w:pict>
          </mc:Fallback>
        </mc:AlternateContent>
      </w:r>
      <w:r w:rsidR="009A0DC1" w:rsidRPr="00752CED">
        <w:rPr>
          <w:noProof/>
          <w:lang w:eastAsia="da-DK"/>
        </w:rPr>
        <mc:AlternateContent>
          <mc:Choice Requires="wpg">
            <w:drawing>
              <wp:anchor distT="0" distB="0" distL="114300" distR="114300" simplePos="0" relativeHeight="251692032" behindDoc="0" locked="1" layoutInCell="1" allowOverlap="1" wp14:anchorId="2FF2054D" wp14:editId="72C2333C">
                <wp:simplePos x="0" y="0"/>
                <wp:positionH relativeFrom="page">
                  <wp:posOffset>-12700</wp:posOffset>
                </wp:positionH>
                <wp:positionV relativeFrom="page">
                  <wp:posOffset>1591945</wp:posOffset>
                </wp:positionV>
                <wp:extent cx="7559675" cy="1626870"/>
                <wp:effectExtent l="0" t="0" r="3175" b="0"/>
                <wp:wrapTopAndBottom/>
                <wp:docPr id="15" name="Gruppieren 15"/>
                <wp:cNvGraphicFramePr/>
                <a:graphic xmlns:a="http://schemas.openxmlformats.org/drawingml/2006/main">
                  <a:graphicData uri="http://schemas.microsoft.com/office/word/2010/wordprocessingGroup">
                    <wpg:wgp>
                      <wpg:cNvGrpSpPr/>
                      <wpg:grpSpPr>
                        <a:xfrm>
                          <a:off x="0" y="0"/>
                          <a:ext cx="7559675" cy="1626870"/>
                          <a:chOff x="-166271" y="0"/>
                          <a:chExt cx="7560635" cy="1628473"/>
                        </a:xfrm>
                      </wpg:grpSpPr>
                      <wps:wsp>
                        <wps:cNvPr id="14" name="Text Box 9"/>
                        <wps:cNvSpPr txBox="1">
                          <a:spLocks noChangeArrowheads="1"/>
                        </wps:cNvSpPr>
                        <wps:spPr bwMode="auto">
                          <a:xfrm>
                            <a:off x="-166271" y="0"/>
                            <a:ext cx="7560635" cy="1628473"/>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85" w:rsidRPr="00F7440E" w:rsidRDefault="001C2B85" w:rsidP="009A0DC1">
                              <w:pPr>
                                <w:pStyle w:val="coverpageECCReport"/>
                                <w:shd w:val="clear" w:color="auto" w:fill="auto"/>
                              </w:pPr>
                              <w:r w:rsidRPr="00264464">
                                <w:t xml:space="preserve">ECC Report </w:t>
                              </w:r>
                              <w:r>
                                <w:rPr>
                                  <w:rStyle w:val="IntenseReference"/>
                                </w:rPr>
                                <w:t>299</w:t>
                              </w:r>
                            </w:p>
                          </w:txbxContent>
                        </wps:txbx>
                        <wps:bodyPr rot="0" vert="horz" wrap="square" lIns="2880000" tIns="540000" rIns="91440" bIns="45720" anchor="t" anchorCtr="0" upright="1">
                          <a:noAutofit/>
                        </wps:bodyPr>
                      </wps:wsp>
                      <wpg:grpSp>
                        <wpg:cNvPr id="8" name="Group 18"/>
                        <wpg:cNvGrpSpPr>
                          <a:grpSpLocks/>
                        </wpg:cNvGrpSpPr>
                        <wpg:grpSpPr bwMode="auto">
                          <a:xfrm>
                            <a:off x="828136" y="34505"/>
                            <a:ext cx="1703705" cy="1564640"/>
                            <a:chOff x="431" y="2744"/>
                            <a:chExt cx="2683" cy="2464"/>
                          </a:xfrm>
                        </wpg:grpSpPr>
                        <wps:wsp>
                          <wps:cNvPr id="9" name="Line 11"/>
                          <wps:cNvCnPr/>
                          <wps:spPr bwMode="auto">
                            <a:xfrm rot="2700000">
                              <a:off x="1265"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rot="2700000" flipH="1">
                              <a:off x="574"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rot="2700000" flipH="1">
                              <a:off x="2352"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rot="2700000" flipH="1">
                              <a:off x="1566"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1797"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Gruppieren 15" o:spid="_x0000_s1026" style="position:absolute;left:0;text-align:left;margin-left:-1pt;margin-top:125.35pt;width:595.25pt;height:128.1pt;z-index:251692032;mso-position-horizontal-relative:page;mso-position-vertical-relative:page;mso-width-relative:margin;mso-height-relative:margin" coordorigin="-1662" coordsize="75606,1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">
                <v:shapetype id="_x0000_t202" coordsize="21600,21600" o:spt="202" path="m,l,21600r21600,l21600,xe">
                  <v:stroke joinstyle="miter"/>
                  <v:path gradientshapeok="t" o:connecttype="rect"/>
                </v:shapetype>
                <v:shape id="Text Box 9" o:spid="_x0000_s1027" type="#_x0000_t202" style="position:absolute;left:-1662;width:75605;height:16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D8VsIA&#10;AADbAAAADwAAAGRycy9kb3ducmV2LnhtbERPTWvCQBC9F/wPywi9NZtaaWrqKhIQqhRKUg8eh+w0&#10;Cc3OhuyapP/eFYTe5vE+Z72dTCsG6l1jWcFzFIMgLq1uuFJw+t4/vYFwHllja5kU/JGD7Wb2sMZU&#10;25FzGgpfiRDCLkUFtfddKqUrazLoItsRB+7H9gZ9gH0ldY9jCDetXMTxqzTYcGiosaOspvK3uBgF&#10;59VOdudjliS5+1zQy2GwfvxS6nE+7d5BeJr8v/ju/tBh/hJuv4QD5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IPxWwgAAANsAAAAPAAAAAAAAAAAAAAAAAJgCAABkcnMvZG93&#10;bnJldi54bWxQSwUGAAAAAAQABAD1AAAAhwMAAAAA&#10;" fillcolor="#887e6e" stroked="f">
                  <v:textbox inset="80mm,15mm">
                    <w:txbxContent>
                      <w:p w:rsidR="001C2B85" w:rsidRPr="00F7440E" w:rsidRDefault="001C2B85" w:rsidP="009A0DC1">
                        <w:pPr>
                          <w:pStyle w:val="coverpageECCReport"/>
                          <w:shd w:val="clear" w:color="auto" w:fill="auto"/>
                        </w:pPr>
                        <w:r w:rsidRPr="00264464">
                          <w:t xml:space="preserve">ECC Report </w:t>
                        </w:r>
                        <w:r>
                          <w:rPr>
                            <w:rStyle w:val="IntenseReference"/>
                          </w:rPr>
                          <w:t>299</w:t>
                        </w:r>
                      </w:p>
                    </w:txbxContent>
                  </v:textbox>
                </v:shape>
                <v:group id="Group 18" o:spid="_x0000_s1028" style="position:absolute;left:8281;top:345;width:17037;height:15646" coordorigin="431,2744" coordsize="2683,2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11" o:spid="_x0000_s1029" style="position:absolute;rotation:45;visibility:visible;mso-wrap-style:square" from="1265,2646" to="1279,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r5MQAAADaAAAADwAAAGRycy9kb3ducmV2LnhtbESPT2vCQBTE74V+h+UVvNVNK4YYXaUU&#10;xT940Va8PrLPJJh9G3ZXjd/eFQo9DjPzG2Yy60wjruR8bVnBRz8BQVxYXXOp4Pdn8Z6B8AFZY2OZ&#10;FNzJw2z6+jLBXNsb7+i6D6WIEPY5KqhCaHMpfVGRQd+3LXH0TtYZDFG6UmqHtwg3jfxMklQarDku&#10;VNjSd0XFeX8xCpbZdp4ei1G9QZdmh8VlfdwMhkr13rqvMYhAXfgP/7VXWsEInlfiDZ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NevkxAAAANoAAAAPAAAAAAAAAAAA&#10;AAAAAKECAABkcnMvZG93bnJldi54bWxQSwUGAAAAAAQABAD5AAAAkgMAAAAA&#10;" strokecolor="#d2232a" strokeweight="15pt"/>
                  <v:line id="Line 12" o:spid="_x0000_s1030" style="position:absolute;rotation:-45;flip:x;visibility:visible;mso-wrap-style:square" from="574,4478" to="2005,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gDcEAAADbAAAADwAAAGRycy9kb3ducmV2LnhtbESPQYvCQAyF74L/YYjgTacKylIdRQRB&#10;T7quHrzFTmyrnUzpjFr//eawsLeE9/Lel/mydZV6URNKzwZGwwQUceZtybmB089m8AUqRGSLlWcy&#10;8KEAy0W3M8fU+jd/0+sYcyUhHFI0UMRYp1qHrCCHYehrYtFuvnEYZW1ybRt8S7ir9DhJptphydJQ&#10;YE3rgrLH8ekM0JXO9xsRHibTy8TlH73bhL0x/V67moGK1MZ/89/11gq+0MsvMoB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hWANwQAAANsAAAAPAAAAAAAAAAAAAAAA&#10;AKECAABkcnMvZG93bnJldi54bWxQSwUGAAAAAAQABAD5AAAAjwMAAAAA&#10;" strokecolor="#d2232a" strokeweight="15pt"/>
                  <v:line id="Line 13" o:spid="_x0000_s1031" style="position:absolute;rotation:-45;flip:x;visibility:visible;mso-wrap-style:square" from="2352,3653" to="2353,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2/9sMAAADbAAAADwAAAGRycy9kb3ducmV2LnhtbERPTWvCQBC9C/0PyxR6EbOxBZE0q1ih&#10;RQ8FY4t4HLLTJDQ7G3fXmP77riB4m8f7nHw5mFb05HxjWcE0SUEQl1Y3XCn4/nqfzEH4gKyxtUwK&#10;/sjDcvEwyjHT9sIF9ftQiRjCPkMFdQhdJqUvazLoE9sRR+7HOoMhQldJ7fASw00rn9N0Jg02HBtq&#10;7GhdU/m7PxsFZ3dC9zF+w8PusArt8aXY9p+FUk+Pw+oVRKAh3MU390bH+VO4/h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dv/bDAAAA2wAAAA8AAAAAAAAAAAAA&#10;AAAAoQIAAGRycy9kb3ducmV2LnhtbFBLBQYAAAAABAAEAPkAAACRAwAAAAA=&#10;" strokecolor="white" strokeweight="15pt"/>
                  <v:line id="Line 14" o:spid="_x0000_s1032" style="position:absolute;rotation:-45;flip:x;visibility:visible;mso-wrap-style:square" from="1566,3520" to="3114,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8hgcMAAADbAAAADwAAAGRycy9kb3ducmV2LnhtbERPTWvCQBC9F/wPywheitnUgpQ0q2hB&#10;aQ9CY4t4HLLTJJidjbtrTP+9WxB6m8f7nHw5mFb05HxjWcFTkoIgLq1uuFLw/bWZvoDwAVlja5kU&#10;/JKH5WL0kGOm7ZUL6vehEjGEfYYK6hC6TEpf1mTQJ7YjjtyPdQZDhK6S2uE1hptWztJ0Lg02HBtq&#10;7OitpvK0vxgFF3dGt31c4+HzsArt8bn46HeFUpPxsHoFEWgI/+K7+13H+TP4+yUe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PIYHDAAAA2wAAAA8AAAAAAAAAAAAA&#10;AAAAoQIAAGRycy9kb3ducmV2LnhtbFBLBQYAAAAABAAEAPkAAACRAwAAAAA=&#10;" strokecolor="white" strokeweight="15pt"/>
                  <v:line id="Line 15" o:spid="_x0000_s1033" style="position:absolute;visibility:visible;mso-wrap-style:square" from="1797,2744" to="1798,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PThcEAAADbAAAADwAAAGRycy9kb3ducmV2LnhtbERPTWvCQBC9C/0PyxR6000tiE1dJUgD&#10;3rSa0OuQnWZDs7Npdk3iv3cLhd7m8T5ns5tsKwbqfeNYwfMiAUFcOd1wraC45PM1CB+QNbaOScGN&#10;POy2D7MNptqN/EHDOdQihrBPUYEJoUul9JUhi37hOuLIfbneYoiwr6XucYzhtpXLJFlJiw3HBoMd&#10;7Q1V3+erVZBlyWe7L8r8uNTm/VT+4Ou4Xin19DhlbyACTeFf/Oc+6Dj/BX5/iQfI7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c9OFwQAAANsAAAAPAAAAAAAAAAAAAAAA&#10;AKECAABkcnMvZG93bnJldi54bWxQSwUGAAAAAAQABAD5AAAAjwMAAAAA&#10;" strokecolor="#887e6e" strokeweight="15.5pt"/>
                </v:group>
                <w10:wrap type="topAndBottom" anchorx="page" anchory="page"/>
                <w10:anchorlock/>
              </v:group>
            </w:pict>
          </mc:Fallback>
        </mc:AlternateContent>
      </w:r>
      <w:r w:rsidR="001F1056" w:rsidRPr="00E1626F">
        <w:rPr>
          <w:lang w:val="en-GB"/>
        </w:rPr>
        <w:fldChar w:fldCharType="begin">
          <w:ffData>
            <w:name w:val=""/>
            <w:enabled/>
            <w:calcOnExit w:val="0"/>
            <w:textInput>
              <w:default w:val="Measures to address potential blocking of MES operating in bands adjacent to 1518 MHz (including 1525-1559 MHz) at sea ports and airports"/>
            </w:textInput>
          </w:ffData>
        </w:fldChar>
      </w:r>
      <w:r w:rsidR="001F1056">
        <w:rPr>
          <w:lang w:val="en-GB"/>
        </w:rPr>
        <w:instrText xml:space="preserve"> FORMTEXT </w:instrText>
      </w:r>
      <w:r w:rsidR="001F1056" w:rsidRPr="00E1626F">
        <w:rPr>
          <w:lang w:val="en-GB"/>
        </w:rPr>
      </w:r>
      <w:r w:rsidR="001F1056" w:rsidRPr="00E1626F">
        <w:rPr>
          <w:lang w:val="en-GB"/>
        </w:rPr>
        <w:fldChar w:fldCharType="separate"/>
      </w:r>
      <w:r w:rsidR="00E9777B" w:rsidRPr="00E1626F">
        <w:rPr>
          <w:lang w:val="en-GB"/>
        </w:rPr>
        <w:t>Measures to address potential blocking of MES operating in bands adjacent to 1518 MHz (including 1525-1559 MHz) at sea ports and airports</w:t>
      </w:r>
      <w:r w:rsidR="001F1056" w:rsidRPr="00E1626F">
        <w:rPr>
          <w:lang w:val="en-GB"/>
        </w:rPr>
        <w:fldChar w:fldCharType="end"/>
      </w:r>
      <w:bookmarkEnd w:id="0"/>
    </w:p>
    <w:p w:rsidR="00930439" w:rsidRPr="00CF05D2" w:rsidRDefault="00DA3B5A" w:rsidP="00941D3A">
      <w:pPr>
        <w:pStyle w:val="coverpageapprovedDDMMYY"/>
        <w:rPr>
          <w:lang w:val="en-GB"/>
        </w:rPr>
      </w:pPr>
      <w:r>
        <w:rPr>
          <w:lang w:val="en-GB"/>
        </w:rPr>
        <w:fldChar w:fldCharType="begin">
          <w:ffData>
            <w:name w:val="Text8"/>
            <w:enabled/>
            <w:calcOnExit w:val="0"/>
            <w:textInput>
              <w:default w:val="Approved 8 March 2019"/>
            </w:textInput>
          </w:ffData>
        </w:fldChar>
      </w:r>
      <w:r>
        <w:rPr>
          <w:lang w:val="en-GB"/>
        </w:rPr>
        <w:instrText xml:space="preserve"> </w:instrText>
      </w:r>
      <w:bookmarkStart w:id="1" w:name="Text8"/>
      <w:r>
        <w:rPr>
          <w:lang w:val="en-GB"/>
        </w:rPr>
        <w:instrText xml:space="preserve">FORMTEXT </w:instrText>
      </w:r>
      <w:r>
        <w:rPr>
          <w:lang w:val="en-GB"/>
        </w:rPr>
      </w:r>
      <w:r>
        <w:rPr>
          <w:lang w:val="en-GB"/>
        </w:rPr>
        <w:fldChar w:fldCharType="separate"/>
      </w:r>
      <w:r>
        <w:rPr>
          <w:noProof/>
          <w:lang w:val="en-GB"/>
        </w:rPr>
        <w:t>Approved 8 March 2019</w:t>
      </w:r>
      <w:r>
        <w:rPr>
          <w:lang w:val="en-GB"/>
        </w:rPr>
        <w:fldChar w:fldCharType="end"/>
      </w:r>
      <w:bookmarkEnd w:id="1"/>
    </w:p>
    <w:p w:rsidR="00930439" w:rsidRPr="00BC03FD" w:rsidRDefault="00930439" w:rsidP="00673A9B">
      <w:pPr>
        <w:pStyle w:val="coverpagelastupdatedDDMMYY"/>
        <w:rPr>
          <w:lang w:val="en-GB"/>
        </w:rPr>
      </w:pPr>
      <w:r w:rsidRPr="00BC03FD">
        <w:rPr>
          <w:noProof/>
          <w:lang w:eastAsia="da-DK"/>
        </w:rPr>
        <mc:AlternateContent>
          <mc:Choice Requires="wps">
            <w:drawing>
              <wp:anchor distT="0" distB="0" distL="114300" distR="114300" simplePos="0" relativeHeight="251662336" behindDoc="0" locked="1" layoutInCell="1" allowOverlap="1" wp14:anchorId="2F74F2FF" wp14:editId="349AEE6A">
                <wp:simplePos x="0" y="0"/>
                <wp:positionH relativeFrom="page">
                  <wp:posOffset>-1270</wp:posOffset>
                </wp:positionH>
                <wp:positionV relativeFrom="page">
                  <wp:posOffset>9803765</wp:posOffset>
                </wp:positionV>
                <wp:extent cx="7559675" cy="179705"/>
                <wp:effectExtent l="0" t="0" r="3175"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179705"/>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6775BF" id="Rectangle 8" o:spid="_x0000_s1026" style="position:absolute;margin-left:-.1pt;margin-top:771.95pt;width:595.25pt;height:14.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" fillcolor="#887e6e" stroked="f">
                <v:textbox inset=",15mm"/>
                <w10:wrap anchorx="page" anchory="page"/>
                <w10:anchorlock/>
              </v:rect>
            </w:pict>
          </mc:Fallback>
        </mc:AlternateContent>
      </w:r>
      <w:r w:rsidR="001F1056">
        <w:rPr>
          <w:lang w:val="en-GB"/>
        </w:rPr>
        <w:fldChar w:fldCharType="begin">
          <w:ffData>
            <w:name w:val="Text3"/>
            <w:enabled/>
            <w:calcOnExit w:val="0"/>
            <w:textInput/>
          </w:ffData>
        </w:fldChar>
      </w:r>
      <w:r w:rsidR="001F1056">
        <w:rPr>
          <w:lang w:val="en-GB"/>
        </w:rPr>
        <w:instrText xml:space="preserve"> </w:instrText>
      </w:r>
      <w:bookmarkStart w:id="2" w:name="Text3"/>
      <w:r w:rsidR="001F1056">
        <w:rPr>
          <w:lang w:val="en-GB"/>
        </w:rPr>
        <w:instrText xml:space="preserve">FORMTEXT </w:instrText>
      </w:r>
      <w:r w:rsidR="001F1056">
        <w:rPr>
          <w:lang w:val="en-GB"/>
        </w:rPr>
      </w:r>
      <w:r w:rsidR="001F1056">
        <w:rPr>
          <w:lang w:val="en-GB"/>
        </w:rPr>
        <w:fldChar w:fldCharType="separate"/>
      </w:r>
      <w:r w:rsidR="001F1056">
        <w:rPr>
          <w:noProof/>
          <w:lang w:val="en-GB"/>
        </w:rPr>
        <w:t> </w:t>
      </w:r>
      <w:r w:rsidR="001F1056">
        <w:rPr>
          <w:noProof/>
          <w:lang w:val="en-GB"/>
        </w:rPr>
        <w:t> </w:t>
      </w:r>
      <w:r w:rsidR="001F1056">
        <w:rPr>
          <w:noProof/>
          <w:lang w:val="en-GB"/>
        </w:rPr>
        <w:t> </w:t>
      </w:r>
      <w:r w:rsidR="001F1056">
        <w:rPr>
          <w:noProof/>
          <w:lang w:val="en-GB"/>
        </w:rPr>
        <w:t> </w:t>
      </w:r>
      <w:r w:rsidR="001F1056">
        <w:rPr>
          <w:noProof/>
          <w:lang w:val="en-GB"/>
        </w:rPr>
        <w:t> </w:t>
      </w:r>
      <w:r w:rsidR="001F1056">
        <w:rPr>
          <w:lang w:val="en-GB"/>
        </w:rPr>
        <w:fldChar w:fldCharType="end"/>
      </w:r>
      <w:bookmarkEnd w:id="2"/>
    </w:p>
    <w:p w:rsidR="008A54FC" w:rsidRDefault="008A54FC" w:rsidP="00264464">
      <w:pPr>
        <w:rPr>
          <w:rStyle w:val="ECCParagraph"/>
        </w:rPr>
      </w:pPr>
    </w:p>
    <w:p w:rsidR="008A54FC" w:rsidRPr="00BC03FD" w:rsidRDefault="008A54FC" w:rsidP="009465E0">
      <w:pPr>
        <w:pStyle w:val="Heading1"/>
        <w:rPr>
          <w:lang w:val="en-GB"/>
        </w:rPr>
      </w:pPr>
      <w:bookmarkStart w:id="3" w:name="_Toc524360597"/>
      <w:bookmarkStart w:id="4" w:name="_Toc524361059"/>
      <w:bookmarkStart w:id="5" w:name="_Toc524361151"/>
      <w:bookmarkStart w:id="6" w:name="_Toc525544402"/>
      <w:bookmarkStart w:id="7" w:name="_Toc528659164"/>
      <w:bookmarkStart w:id="8" w:name="_Toc3285873"/>
      <w:bookmarkStart w:id="9" w:name="_Toc380056496"/>
      <w:bookmarkStart w:id="10" w:name="_Toc380059747"/>
      <w:bookmarkStart w:id="11" w:name="_Toc380059784"/>
      <w:bookmarkStart w:id="12" w:name="_Toc396153635"/>
      <w:bookmarkStart w:id="13" w:name="_Toc396383862"/>
      <w:bookmarkStart w:id="14" w:name="_Toc396917295"/>
      <w:bookmarkStart w:id="15" w:name="_Toc396917344"/>
      <w:bookmarkStart w:id="16" w:name="_Toc396917406"/>
      <w:bookmarkStart w:id="17" w:name="_Toc396917459"/>
      <w:bookmarkStart w:id="18" w:name="_Toc396917626"/>
      <w:bookmarkStart w:id="19" w:name="_Toc396917641"/>
      <w:bookmarkStart w:id="20" w:name="_Toc396917746"/>
      <w:bookmarkEnd w:id="3"/>
      <w:bookmarkEnd w:id="4"/>
      <w:bookmarkEnd w:id="5"/>
      <w:r w:rsidRPr="00BC03FD">
        <w:rPr>
          <w:lang w:val="en-GB"/>
        </w:rPr>
        <w:lastRenderedPageBreak/>
        <w:t>Executive summary</w:t>
      </w:r>
      <w:bookmarkEnd w:id="6"/>
      <w:bookmarkEnd w:id="7"/>
      <w:bookmarkEnd w:id="8"/>
      <w:r w:rsidRPr="00BC03FD">
        <w:rPr>
          <w:lang w:val="en-GB"/>
        </w:rPr>
        <w:t xml:space="preserve"> </w:t>
      </w:r>
      <w:bookmarkEnd w:id="9"/>
      <w:bookmarkEnd w:id="10"/>
      <w:bookmarkEnd w:id="11"/>
      <w:bookmarkEnd w:id="12"/>
      <w:bookmarkEnd w:id="13"/>
      <w:bookmarkEnd w:id="14"/>
      <w:bookmarkEnd w:id="15"/>
      <w:bookmarkEnd w:id="16"/>
      <w:bookmarkEnd w:id="17"/>
      <w:bookmarkEnd w:id="18"/>
      <w:bookmarkEnd w:id="19"/>
      <w:bookmarkEnd w:id="20"/>
    </w:p>
    <w:p w:rsidR="007D06F4" w:rsidRDefault="00802789" w:rsidP="00264464">
      <w:r w:rsidRPr="00802789">
        <w:t>ECC Report 263</w:t>
      </w:r>
      <w:r w:rsidR="00BE53BD">
        <w:t xml:space="preserve"> </w:t>
      </w:r>
      <w:r w:rsidR="00BE53BD">
        <w:fldChar w:fldCharType="begin"/>
      </w:r>
      <w:r w:rsidR="00BE53BD">
        <w:instrText xml:space="preserve"> REF _Ref531767779 \r \h </w:instrText>
      </w:r>
      <w:r w:rsidR="00BE53BD">
        <w:fldChar w:fldCharType="separate"/>
      </w:r>
      <w:r w:rsidR="00E9777B">
        <w:t>[1]</w:t>
      </w:r>
      <w:r w:rsidR="00BE53BD">
        <w:fldChar w:fldCharType="end"/>
      </w:r>
      <w:r w:rsidR="00D43C78" w:rsidRPr="00D51582">
        <w:t xml:space="preserve"> </w:t>
      </w:r>
      <w:r w:rsidRPr="00802789">
        <w:t xml:space="preserve">identified that there may be a need to provide proportionate protection measures to </w:t>
      </w:r>
      <w:r w:rsidR="00233114">
        <w:t>Mobile Earth Stations (</w:t>
      </w:r>
      <w:r w:rsidRPr="00802789">
        <w:t>MES</w:t>
      </w:r>
      <w:r w:rsidR="00233114">
        <w:t>s)</w:t>
      </w:r>
      <w:r w:rsidRPr="00802789">
        <w:t xml:space="preserve"> at seaports and airports</w:t>
      </w:r>
      <w:r w:rsidR="00E70983">
        <w:rPr>
          <w:rStyle w:val="ECCParagraph"/>
        </w:rPr>
        <w:t xml:space="preserve">, </w:t>
      </w:r>
      <w:r>
        <w:rPr>
          <w:rStyle w:val="ECCParagraph"/>
        </w:rPr>
        <w:t xml:space="preserve">and hence </w:t>
      </w:r>
      <w:r w:rsidR="00D54CFB">
        <w:rPr>
          <w:rStyle w:val="ECCParagraph"/>
        </w:rPr>
        <w:t xml:space="preserve">ECC PT1 </w:t>
      </w:r>
      <w:r w:rsidR="00E70983">
        <w:rPr>
          <w:rStyle w:val="ECCParagraph"/>
        </w:rPr>
        <w:t xml:space="preserve">decided to create a </w:t>
      </w:r>
      <w:r w:rsidR="00233114">
        <w:rPr>
          <w:rStyle w:val="ECCParagraph"/>
        </w:rPr>
        <w:t>w</w:t>
      </w:r>
      <w:r w:rsidR="00E70983">
        <w:rPr>
          <w:rStyle w:val="ECCParagraph"/>
        </w:rPr>
        <w:t xml:space="preserve">ork </w:t>
      </w:r>
      <w:r w:rsidR="00233114">
        <w:rPr>
          <w:rStyle w:val="ECCParagraph"/>
        </w:rPr>
        <w:t>i</w:t>
      </w:r>
      <w:r w:rsidR="00E70983">
        <w:rPr>
          <w:rStyle w:val="ECCParagraph"/>
        </w:rPr>
        <w:t xml:space="preserve">tem with the following </w:t>
      </w:r>
      <w:r w:rsidR="000D5BB4">
        <w:rPr>
          <w:rStyle w:val="ECCParagraph"/>
        </w:rPr>
        <w:t>scope</w:t>
      </w:r>
      <w:r w:rsidR="00E70983">
        <w:rPr>
          <w:rStyle w:val="ECCParagraph"/>
        </w:rPr>
        <w:t>:</w:t>
      </w:r>
      <w:r w:rsidR="00D54CFB">
        <w:rPr>
          <w:rStyle w:val="ECCParagraph"/>
        </w:rPr>
        <w:t xml:space="preserve"> </w:t>
      </w:r>
      <w:r w:rsidR="00D54CFB" w:rsidRPr="00D54CFB">
        <w:t>“Study potential blocking of MES receivers caused by MFCN (SDL base stations) below 1518 MHz. MES</w:t>
      </w:r>
      <w:r w:rsidR="00C35B65">
        <w:t>s</w:t>
      </w:r>
      <w:r w:rsidR="00D54CFB" w:rsidRPr="00D54CFB">
        <w:t xml:space="preserve"> may need to show correct functioning in bands adjacent to 1518 MHz (including 1525-1559 MHz), as part of operational procedures, prior to departure from sea ports or airports</w:t>
      </w:r>
      <w:r w:rsidR="00B257FA">
        <w:t xml:space="preserve">. </w:t>
      </w:r>
      <w:r w:rsidR="00D54CFB" w:rsidRPr="00D54CFB">
        <w:t>Propose proportionate solutions to address this issue.</w:t>
      </w:r>
      <w:r w:rsidR="00FB1F49">
        <w:t>"</w:t>
      </w:r>
    </w:p>
    <w:p w:rsidR="00D54CFB" w:rsidRDefault="00D54CFB" w:rsidP="00264464">
      <w:r>
        <w:t xml:space="preserve">To </w:t>
      </w:r>
      <w:r w:rsidR="00FD2DD0" w:rsidRPr="006D6CA1">
        <w:t>minimise</w:t>
      </w:r>
      <w:r>
        <w:t xml:space="preserve"> any potential blocking of </w:t>
      </w:r>
      <w:r w:rsidR="00FD2DD0" w:rsidRPr="002E2408">
        <w:t xml:space="preserve">next </w:t>
      </w:r>
      <w:r w:rsidR="00487EFE">
        <w:t>generation</w:t>
      </w:r>
      <w:r w:rsidR="001B4A93">
        <w:t xml:space="preserve"> </w:t>
      </w:r>
      <w:r>
        <w:t xml:space="preserve">MES </w:t>
      </w:r>
      <w:r w:rsidRPr="006D6CA1">
        <w:t>receiver</w:t>
      </w:r>
      <w:r w:rsidR="006D6CA1">
        <w:t>s</w:t>
      </w:r>
      <w:r>
        <w:t>, CEPT</w:t>
      </w:r>
      <w:r w:rsidR="00FB1F49">
        <w:t xml:space="preserve"> </w:t>
      </w:r>
      <w:r w:rsidR="00FB1F49" w:rsidRPr="00FB1F49">
        <w:t>concluded</w:t>
      </w:r>
      <w:r w:rsidR="00FB1F49">
        <w:t xml:space="preserve"> in </w:t>
      </w:r>
      <w:r w:rsidR="004628A8">
        <w:t>ECC Report 263</w:t>
      </w:r>
      <w:r>
        <w:t xml:space="preserve"> that the</w:t>
      </w:r>
      <w:r w:rsidRPr="00DA41FD">
        <w:t xml:space="preserve"> minimum in-band blocking characteristic for </w:t>
      </w:r>
      <w:r w:rsidR="00233114" w:rsidRPr="00212A05">
        <w:rPr>
          <w:rStyle w:val="ECCParagraph"/>
        </w:rPr>
        <w:t>land</w:t>
      </w:r>
      <w:r w:rsidR="006F3335">
        <w:t xml:space="preserve"> </w:t>
      </w:r>
      <w:r w:rsidR="006A04AF">
        <w:t xml:space="preserve">mobile earth station receivers </w:t>
      </w:r>
      <w:r w:rsidRPr="00DA41FD">
        <w:t>from a 5 MHz broadband signal interferer (LTE) operating below 1518 MHz shall be −</w:t>
      </w:r>
      <w:r w:rsidRPr="00D51582">
        <w:t>30</w:t>
      </w:r>
      <w:r w:rsidR="00496087">
        <w:t> </w:t>
      </w:r>
      <w:r w:rsidRPr="00D51582">
        <w:t>dBm</w:t>
      </w:r>
      <w:r w:rsidRPr="00DA41FD">
        <w:t xml:space="preserve"> above 1520 MHz</w:t>
      </w:r>
      <w:r w:rsidR="006A04AF">
        <w:t>, noting that the IMT block ends at 1517 MHz</w:t>
      </w:r>
      <w:r>
        <w:t>.</w:t>
      </w:r>
      <w:r w:rsidR="00233114" w:rsidRPr="006D6CA1">
        <w:t xml:space="preserve">  The</w:t>
      </w:r>
      <w:r w:rsidR="00233114">
        <w:t xml:space="preserve"> </w:t>
      </w:r>
      <w:r w:rsidR="00233114" w:rsidRPr="007C615B">
        <w:t>same blocking requirement</w:t>
      </w:r>
      <w:r w:rsidR="006A04AF">
        <w:t xml:space="preserve"> as used for land mobile</w:t>
      </w:r>
      <w:r w:rsidR="00233114" w:rsidRPr="007C615B">
        <w:t xml:space="preserve"> is assumed for next generation maritime and aeronautical MESs. This Report also addresses </w:t>
      </w:r>
      <w:r w:rsidR="006A04AF">
        <w:t>proportionate solutions</w:t>
      </w:r>
      <w:r w:rsidR="00FF5746">
        <w:t xml:space="preserve"> </w:t>
      </w:r>
      <w:r w:rsidR="00233114" w:rsidRPr="007C615B">
        <w:t xml:space="preserve">for currently operating maritime and aeronautical MESs, that do not meet this blocking requirement.  </w:t>
      </w:r>
      <w:r>
        <w:t xml:space="preserve"> </w:t>
      </w:r>
    </w:p>
    <w:p w:rsidR="00CC4346" w:rsidRDefault="00C77C03" w:rsidP="00C77C03">
      <w:r w:rsidRPr="00E1626F">
        <w:rPr>
          <w:rStyle w:val="ECCParagraph"/>
        </w:rPr>
        <w:t xml:space="preserve">This ECC Report has considered proportionate solutions that CEPT members could implement to address potential blocking of L-band </w:t>
      </w:r>
      <w:r w:rsidR="00C35B65" w:rsidRPr="00212A05">
        <w:rPr>
          <w:rStyle w:val="ECCParagraph"/>
        </w:rPr>
        <w:t xml:space="preserve">maritime and aeronautical MES </w:t>
      </w:r>
      <w:r w:rsidRPr="00212A05">
        <w:rPr>
          <w:rStyle w:val="ECCParagraph"/>
        </w:rPr>
        <w:t>receivers in specific areas or locations.</w:t>
      </w:r>
      <w:r w:rsidR="00091435" w:rsidRPr="00212A05">
        <w:rPr>
          <w:rStyle w:val="ECCParagraph"/>
        </w:rPr>
        <w:t xml:space="preserve"> This report has identified certain maritime and aeronautical applications that administrations may wish to take into account in determining </w:t>
      </w:r>
      <w:r w:rsidR="002A077C" w:rsidRPr="00212A05">
        <w:rPr>
          <w:rStyle w:val="ECCParagraph"/>
        </w:rPr>
        <w:t>airports</w:t>
      </w:r>
      <w:r w:rsidR="00145E67" w:rsidRPr="00145E67">
        <w:rPr>
          <w:rStyle w:val="ECCParagraph"/>
        </w:rPr>
        <w:t xml:space="preserve"> and sea</w:t>
      </w:r>
      <w:r w:rsidR="002A077C" w:rsidRPr="00212A05">
        <w:rPr>
          <w:rStyle w:val="ECCParagraph"/>
        </w:rPr>
        <w:t xml:space="preserve">ports </w:t>
      </w:r>
      <w:r w:rsidR="00091435" w:rsidRPr="00212A05">
        <w:rPr>
          <w:rStyle w:val="ECCParagraph"/>
        </w:rPr>
        <w:t>for application of the proportionate measures.</w:t>
      </w:r>
      <w:r w:rsidR="002A077C">
        <w:rPr>
          <w:rStyle w:val="ECCParagraph"/>
        </w:rPr>
        <w:t xml:space="preserve"> </w:t>
      </w:r>
      <w:r w:rsidR="002118AA" w:rsidRPr="00212A05">
        <w:rPr>
          <w:rStyle w:val="ECCParagraph"/>
        </w:rPr>
        <w:t xml:space="preserve">Regarding maritime operations, administrations may choose to provide protection based on GMDSS services, which operate in the band 1530-1544 MHz, noting that this may also protect other maritime MSS operations outside this band if used at the same </w:t>
      </w:r>
      <w:r w:rsidR="00145E67" w:rsidRPr="00145E67">
        <w:rPr>
          <w:rStyle w:val="ECCParagraph"/>
        </w:rPr>
        <w:t>sea</w:t>
      </w:r>
      <w:r w:rsidR="0019611F" w:rsidRPr="00212A05">
        <w:rPr>
          <w:rStyle w:val="ECCParagraph"/>
        </w:rPr>
        <w:t>ports</w:t>
      </w:r>
      <w:r w:rsidR="002118AA" w:rsidRPr="00212A05">
        <w:rPr>
          <w:rStyle w:val="ECCParagraph"/>
        </w:rPr>
        <w:t xml:space="preserve">.  </w:t>
      </w:r>
      <w:r w:rsidR="00E05B3C" w:rsidRPr="00EB48A0">
        <w:rPr>
          <w:rStyle w:val="ECCParagraph"/>
        </w:rPr>
        <w:t xml:space="preserve">Regarding aeronautical operations, administrations may choose to provide protection based on </w:t>
      </w:r>
      <w:r w:rsidR="00145E67">
        <w:rPr>
          <w:rStyle w:val="ECCParagraph"/>
        </w:rPr>
        <w:t>AMS(R)S</w:t>
      </w:r>
      <w:r w:rsidR="00E05B3C" w:rsidRPr="00EB48A0">
        <w:rPr>
          <w:rStyle w:val="ECCParagraph"/>
        </w:rPr>
        <w:t xml:space="preserve"> services</w:t>
      </w:r>
      <w:r w:rsidR="00145E67">
        <w:rPr>
          <w:rStyle w:val="ECCParagraph"/>
        </w:rPr>
        <w:t>, which operate in the band 1525</w:t>
      </w:r>
      <w:r w:rsidR="00E05B3C" w:rsidRPr="00EB48A0">
        <w:rPr>
          <w:rStyle w:val="ECCParagraph"/>
        </w:rPr>
        <w:t>-15</w:t>
      </w:r>
      <w:r w:rsidR="00145E67">
        <w:rPr>
          <w:rStyle w:val="ECCParagraph"/>
        </w:rPr>
        <w:t>59</w:t>
      </w:r>
      <w:r w:rsidR="00E05B3C" w:rsidRPr="00EB48A0">
        <w:rPr>
          <w:rStyle w:val="ECCParagraph"/>
        </w:rPr>
        <w:t xml:space="preserve"> MHz, noting that this may also protect other </w:t>
      </w:r>
      <w:r w:rsidR="00145E67" w:rsidRPr="00EB48A0">
        <w:rPr>
          <w:rStyle w:val="ECCParagraph"/>
        </w:rPr>
        <w:t xml:space="preserve">aeronautical </w:t>
      </w:r>
      <w:r w:rsidR="00E05B3C" w:rsidRPr="00EB48A0">
        <w:rPr>
          <w:rStyle w:val="ECCParagraph"/>
        </w:rPr>
        <w:t xml:space="preserve">MSS operations outside this band if used at the same </w:t>
      </w:r>
      <w:r w:rsidR="00145E67" w:rsidRPr="00EB48A0">
        <w:rPr>
          <w:rStyle w:val="ECCParagraph"/>
        </w:rPr>
        <w:t>airports</w:t>
      </w:r>
      <w:r w:rsidR="00E05B3C" w:rsidRPr="00EB48A0">
        <w:rPr>
          <w:rStyle w:val="ECCParagraph"/>
        </w:rPr>
        <w:t xml:space="preserve">.  </w:t>
      </w:r>
      <w:r w:rsidR="002118AA" w:rsidRPr="00212A05">
        <w:rPr>
          <w:rStyle w:val="ECCParagraph"/>
        </w:rPr>
        <w:t xml:space="preserve">If administrations also provide protection of MSS applications which are </w:t>
      </w:r>
      <w:r w:rsidR="00BC3424" w:rsidRPr="00212A05">
        <w:rPr>
          <w:rStyle w:val="ECCParagraph"/>
        </w:rPr>
        <w:t xml:space="preserve">operating outside </w:t>
      </w:r>
      <w:r w:rsidR="002118AA" w:rsidRPr="00212A05">
        <w:rPr>
          <w:rStyle w:val="ECCParagraph"/>
        </w:rPr>
        <w:t>the GMDSS</w:t>
      </w:r>
      <w:r w:rsidR="00145E67">
        <w:rPr>
          <w:rStyle w:val="ECCParagraph"/>
        </w:rPr>
        <w:t>/</w:t>
      </w:r>
      <w:r w:rsidR="00145E67" w:rsidRPr="00145E67">
        <w:rPr>
          <w:rStyle w:val="ECCParagraph"/>
        </w:rPr>
        <w:t xml:space="preserve"> </w:t>
      </w:r>
      <w:r w:rsidR="00145E67">
        <w:rPr>
          <w:rStyle w:val="ECCParagraph"/>
        </w:rPr>
        <w:t>AMS(R)S</w:t>
      </w:r>
      <w:r w:rsidR="002118AA" w:rsidRPr="00212A05">
        <w:rPr>
          <w:rStyle w:val="ECCParagraph"/>
        </w:rPr>
        <w:t xml:space="preserve"> bands</w:t>
      </w:r>
      <w:r w:rsidR="00BC3424" w:rsidRPr="00212A05">
        <w:rPr>
          <w:rStyle w:val="ECCParagraph"/>
        </w:rPr>
        <w:t>,</w:t>
      </w:r>
      <w:r w:rsidR="002118AA" w:rsidRPr="00212A05">
        <w:rPr>
          <w:rStyle w:val="ECCParagraph"/>
        </w:rPr>
        <w:t xml:space="preserve"> </w:t>
      </w:r>
      <w:r w:rsidR="00BC3424" w:rsidRPr="00212A05">
        <w:rPr>
          <w:rStyle w:val="ECCParagraph"/>
        </w:rPr>
        <w:t xml:space="preserve">this </w:t>
      </w:r>
      <w:r w:rsidR="002118AA" w:rsidRPr="00212A05">
        <w:rPr>
          <w:rStyle w:val="ECCParagraph"/>
        </w:rPr>
        <w:t xml:space="preserve">may require protection measures at additional </w:t>
      </w:r>
      <w:r w:rsidR="0019611F" w:rsidRPr="00212A05">
        <w:rPr>
          <w:rStyle w:val="ECCParagraph"/>
        </w:rPr>
        <w:t>sea</w:t>
      </w:r>
      <w:r w:rsidR="002118AA" w:rsidRPr="00212A05">
        <w:rPr>
          <w:rStyle w:val="ECCParagraph"/>
        </w:rPr>
        <w:t>ports</w:t>
      </w:r>
      <w:r w:rsidR="00145E67">
        <w:rPr>
          <w:rStyle w:val="ECCParagraph"/>
        </w:rPr>
        <w:t>/airports</w:t>
      </w:r>
      <w:r w:rsidR="002118AA" w:rsidRPr="00212A05">
        <w:rPr>
          <w:rStyle w:val="ECCParagraph"/>
        </w:rPr>
        <w:t xml:space="preserve">, but the pfd values </w:t>
      </w:r>
      <w:r w:rsidR="0019611F" w:rsidRPr="00212A05">
        <w:rPr>
          <w:rStyle w:val="ECCParagraph"/>
        </w:rPr>
        <w:t xml:space="preserve">recommended in this Report </w:t>
      </w:r>
      <w:r w:rsidR="002118AA" w:rsidRPr="00212A05">
        <w:rPr>
          <w:rStyle w:val="ECCParagraph"/>
        </w:rPr>
        <w:t>remain unchanged.</w:t>
      </w:r>
      <w:r w:rsidR="002118AA">
        <w:t xml:space="preserve"> </w:t>
      </w:r>
    </w:p>
    <w:p w:rsidR="00C77C03" w:rsidRPr="00212A05" w:rsidRDefault="00C77C03" w:rsidP="00C77C03">
      <w:pPr>
        <w:rPr>
          <w:rStyle w:val="ECCParagraph"/>
        </w:rPr>
      </w:pPr>
      <w:r w:rsidRPr="00E1626F">
        <w:rPr>
          <w:rStyle w:val="ECCParagraph"/>
        </w:rPr>
        <w:t>Each national administration will decide which areas or locations require protection and how to do so, e.g. by using options outlined in</w:t>
      </w:r>
      <w:r w:rsidR="00C90BC1" w:rsidRPr="00E1626F">
        <w:rPr>
          <w:rStyle w:val="ECCParagraph"/>
        </w:rPr>
        <w:t xml:space="preserve"> Section </w:t>
      </w:r>
      <w:r w:rsidR="008B5F63">
        <w:fldChar w:fldCharType="begin"/>
      </w:r>
      <w:r w:rsidR="008B5F63">
        <w:rPr>
          <w:rStyle w:val="ECCParagraph"/>
        </w:rPr>
        <w:instrText xml:space="preserve"> REF _Ref534369779 \r \h </w:instrText>
      </w:r>
      <w:r w:rsidR="008B5F63">
        <w:fldChar w:fldCharType="separate"/>
      </w:r>
      <w:r w:rsidR="00E9777B">
        <w:rPr>
          <w:rStyle w:val="ECCParagraph"/>
        </w:rPr>
        <w:t>5</w:t>
      </w:r>
      <w:r w:rsidR="008B5F63">
        <w:fldChar w:fldCharType="end"/>
      </w:r>
      <w:r w:rsidR="00FF5746" w:rsidRPr="00E1626F">
        <w:rPr>
          <w:rStyle w:val="ECCParagraph"/>
        </w:rPr>
        <w:t xml:space="preserve"> </w:t>
      </w:r>
      <w:r w:rsidR="00C90BC1" w:rsidRPr="00E1626F">
        <w:rPr>
          <w:rStyle w:val="ECCParagraph"/>
        </w:rPr>
        <w:t xml:space="preserve">of </w:t>
      </w:r>
      <w:r w:rsidRPr="00E1626F">
        <w:rPr>
          <w:rStyle w:val="ECCParagraph"/>
        </w:rPr>
        <w:t xml:space="preserve">this </w:t>
      </w:r>
      <w:r w:rsidR="00947D1E" w:rsidRPr="00E1626F">
        <w:rPr>
          <w:rStyle w:val="ECCParagraph"/>
        </w:rPr>
        <w:t>r</w:t>
      </w:r>
      <w:r w:rsidRPr="00E1626F">
        <w:rPr>
          <w:rStyle w:val="ECCParagraph"/>
        </w:rPr>
        <w:t xml:space="preserve">eport if suitable to their national circumstances. </w:t>
      </w:r>
    </w:p>
    <w:p w:rsidR="00F77680" w:rsidRPr="00D51582" w:rsidRDefault="00F77680" w:rsidP="00264464">
      <w:pPr>
        <w:rPr>
          <w:rStyle w:val="ECCParagraph"/>
        </w:rPr>
      </w:pPr>
      <w:r w:rsidRPr="00D51582">
        <w:rPr>
          <w:rStyle w:val="ECCParagraph"/>
        </w:rPr>
        <w:br w:type="page"/>
      </w:r>
    </w:p>
    <w:p w:rsidR="00F77680" w:rsidRPr="00D51582" w:rsidRDefault="00F77680" w:rsidP="00E2303A">
      <w:pPr>
        <w:pStyle w:val="coverpageTableofContent"/>
        <w:rPr>
          <w:noProof w:val="0"/>
          <w:lang w:val="en-GB"/>
        </w:rPr>
      </w:pPr>
    </w:p>
    <w:p w:rsidR="008A54FC" w:rsidRPr="00BC03FD" w:rsidRDefault="005C5A96" w:rsidP="00E2303A">
      <w:pPr>
        <w:pStyle w:val="coverpageTableofContent"/>
        <w:rPr>
          <w:noProof w:val="0"/>
          <w:lang w:val="en-GB"/>
        </w:rPr>
      </w:pPr>
      <w:r w:rsidRPr="00D51582">
        <w:rPr>
          <w:lang w:val="da-DK" w:eastAsia="da-DK"/>
        </w:rPr>
        <mc:AlternateContent>
          <mc:Choice Requires="wps">
            <w:drawing>
              <wp:anchor distT="0" distB="0" distL="114300" distR="114300" simplePos="0" relativeHeight="251680768" behindDoc="1" locked="1" layoutInCell="1" allowOverlap="1" wp14:anchorId="1C6349A4" wp14:editId="280CC7DC">
                <wp:simplePos x="0" y="0"/>
                <wp:positionH relativeFrom="page">
                  <wp:posOffset>0</wp:posOffset>
                </wp:positionH>
                <wp:positionV relativeFrom="page">
                  <wp:posOffset>900430</wp:posOffset>
                </wp:positionV>
                <wp:extent cx="7585200" cy="716400"/>
                <wp:effectExtent l="0" t="0" r="0" b="7620"/>
                <wp:wrapNone/>
                <wp:docPr id="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200" cy="71640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85" w:rsidRPr="005C5A96" w:rsidRDefault="001C2B85" w:rsidP="005C5A96">
                            <w:pPr>
                              <w:pStyle w:val="coverpageTableofContent"/>
                            </w:pPr>
                          </w:p>
                          <w:p w:rsidR="001C2B85" w:rsidRDefault="001C2B85" w:rsidP="00E2303A">
                            <w:pPr>
                              <w:pStyle w:val="coverpageTableofContent"/>
                            </w:pPr>
                          </w:p>
                          <w:p w:rsidR="001C2B85" w:rsidRPr="003226D8" w:rsidRDefault="001C2B85" w:rsidP="004930E1">
                            <w:pPr>
                              <w:rPr>
                                <w:rStyle w:val="ECCParagrap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4" style="position:absolute;left:0;text-align:left;margin-left:0;margin-top:70.9pt;width:597.25pt;height:56.4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" fillcolor="#b0a696" stroked="f">
                <v:textbox>
                  <w:txbxContent>
                    <w:p w:rsidR="001C2B85" w:rsidRPr="005C5A96" w:rsidRDefault="001C2B85" w:rsidP="005C5A96">
                      <w:pPr>
                        <w:pStyle w:val="coverpageTableofContent"/>
                      </w:pPr>
                    </w:p>
                    <w:p w:rsidR="001C2B85" w:rsidRDefault="001C2B85" w:rsidP="00E2303A">
                      <w:pPr>
                        <w:pStyle w:val="coverpageTableofContent"/>
                      </w:pPr>
                    </w:p>
                    <w:p w:rsidR="001C2B85" w:rsidRPr="003226D8" w:rsidRDefault="001C2B85" w:rsidP="004930E1">
                      <w:pPr>
                        <w:rPr>
                          <w:rStyle w:val="ECCParagraph"/>
                        </w:rPr>
                      </w:pPr>
                    </w:p>
                  </w:txbxContent>
                </v:textbox>
                <w10:wrap anchorx="page" anchory="page"/>
                <w10:anchorlock/>
              </v:rect>
            </w:pict>
          </mc:Fallback>
        </mc:AlternateContent>
      </w:r>
      <w:r w:rsidRPr="00D51582">
        <w:rPr>
          <w:lang w:val="da-DK" w:eastAsia="da-DK"/>
        </w:rPr>
        <mc:AlternateContent>
          <mc:Choice Requires="wps">
            <w:drawing>
              <wp:anchor distT="0" distB="0" distL="114300" distR="114300" simplePos="0" relativeHeight="251674624" behindDoc="1" locked="1" layoutInCell="1" allowOverlap="1" wp14:anchorId="399A4CF7" wp14:editId="6F8768DC">
                <wp:simplePos x="0" y="0"/>
                <wp:positionH relativeFrom="page">
                  <wp:posOffset>0</wp:posOffset>
                </wp:positionH>
                <wp:positionV relativeFrom="page">
                  <wp:posOffset>900430</wp:posOffset>
                </wp:positionV>
                <wp:extent cx="7585200" cy="716400"/>
                <wp:effectExtent l="0" t="0" r="0" b="7620"/>
                <wp:wrapNone/>
                <wp:docPr id="3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200" cy="71640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85" w:rsidRPr="005C5A96" w:rsidRDefault="001C2B85" w:rsidP="005C5A96">
                            <w:pPr>
                              <w:pStyle w:val="coverpageTableofContent"/>
                            </w:pPr>
                          </w:p>
                          <w:p w:rsidR="001C2B85" w:rsidRDefault="001C2B85" w:rsidP="00E2303A">
                            <w:pPr>
                              <w:pStyle w:val="coverpageTableofContent"/>
                            </w:pPr>
                          </w:p>
                          <w:p w:rsidR="001C2B85" w:rsidRPr="003226D8" w:rsidRDefault="001C2B85" w:rsidP="004930E1">
                            <w:pPr>
                              <w:rPr>
                                <w:rStyle w:val="ECCParagrap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0;margin-top:70.9pt;width:597.25pt;height:56.4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" fillcolor="#b0a696" stroked="f">
                <v:textbox>
                  <w:txbxContent>
                    <w:p w:rsidR="001C2B85" w:rsidRPr="005C5A96" w:rsidRDefault="001C2B85" w:rsidP="005C5A96">
                      <w:pPr>
                        <w:pStyle w:val="coverpageTableofContent"/>
                      </w:pPr>
                    </w:p>
                    <w:p w:rsidR="001C2B85" w:rsidRDefault="001C2B85" w:rsidP="00E2303A">
                      <w:pPr>
                        <w:pStyle w:val="coverpageTableofContent"/>
                      </w:pPr>
                    </w:p>
                    <w:p w:rsidR="001C2B85" w:rsidRPr="003226D8" w:rsidRDefault="001C2B85" w:rsidP="004930E1">
                      <w:pPr>
                        <w:rPr>
                          <w:rStyle w:val="ECCParagraph"/>
                        </w:rPr>
                      </w:pPr>
                    </w:p>
                  </w:txbxContent>
                </v:textbox>
                <w10:wrap anchorx="page" anchory="page"/>
                <w10:anchorlock/>
              </v:rect>
            </w:pict>
          </mc:Fallback>
        </mc:AlternateContent>
      </w:r>
      <w:r w:rsidR="008E365D">
        <w:rPr>
          <w:lang w:val="da-DK" w:eastAsia="da-DK"/>
        </w:rPr>
        <mc:AlternateContent>
          <mc:Choice Requires="wps">
            <w:drawing>
              <wp:anchor distT="0" distB="0" distL="114300" distR="114300" simplePos="0" relativeHeight="251669504" behindDoc="1" locked="1" layoutInCell="1" allowOverlap="1" wp14:anchorId="733BFC6E" wp14:editId="5F4FEC70">
                <wp:simplePos x="0" y="0"/>
                <wp:positionH relativeFrom="page">
                  <wp:posOffset>0</wp:posOffset>
                </wp:positionH>
                <wp:positionV relativeFrom="page">
                  <wp:posOffset>900430</wp:posOffset>
                </wp:positionV>
                <wp:extent cx="7585075" cy="716280"/>
                <wp:effectExtent l="0" t="0" r="0" b="7620"/>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075" cy="71628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85" w:rsidRPr="005C5A96" w:rsidRDefault="001C2B85" w:rsidP="005C5A96">
                            <w:pPr>
                              <w:pStyle w:val="coverpageTableofContent"/>
                            </w:pPr>
                          </w:p>
                          <w:p w:rsidR="001C2B85" w:rsidRDefault="001C2B85" w:rsidP="00E2303A">
                            <w:pPr>
                              <w:pStyle w:val="coverpageTableofContent"/>
                            </w:pPr>
                          </w:p>
                          <w:p w:rsidR="001C2B85" w:rsidRPr="003226D8" w:rsidRDefault="001C2B85" w:rsidP="004930E1">
                            <w:pPr>
                              <w:rPr>
                                <w:rStyle w:val="ECCParagrap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0;margin-top:70.9pt;width:597.25pt;height:56.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" fillcolor="#b0a696" stroked="f">
                <v:textbox>
                  <w:txbxContent>
                    <w:p w:rsidR="001C2B85" w:rsidRPr="005C5A96" w:rsidRDefault="001C2B85" w:rsidP="005C5A96">
                      <w:pPr>
                        <w:pStyle w:val="coverpageTableofContent"/>
                      </w:pPr>
                    </w:p>
                    <w:p w:rsidR="001C2B85" w:rsidRDefault="001C2B85" w:rsidP="00E2303A">
                      <w:pPr>
                        <w:pStyle w:val="coverpageTableofContent"/>
                      </w:pPr>
                    </w:p>
                    <w:p w:rsidR="001C2B85" w:rsidRPr="003226D8" w:rsidRDefault="001C2B85" w:rsidP="004930E1">
                      <w:pPr>
                        <w:rPr>
                          <w:rStyle w:val="ECCParagraph"/>
                        </w:rPr>
                      </w:pPr>
                    </w:p>
                  </w:txbxContent>
                </v:textbox>
                <w10:wrap anchorx="page" anchory="page"/>
                <w10:anchorlock/>
              </v:rect>
            </w:pict>
          </mc:Fallback>
        </mc:AlternateContent>
      </w:r>
      <w:r w:rsidR="00E059C5" w:rsidRPr="00BC03FD">
        <w:rPr>
          <w:noProof w:val="0"/>
          <w:lang w:val="en-GB"/>
        </w:rPr>
        <w:t>T</w:t>
      </w:r>
      <w:r w:rsidR="00763BA3" w:rsidRPr="00BC03FD">
        <w:rPr>
          <w:noProof w:val="0"/>
          <w:lang w:val="en-GB"/>
        </w:rPr>
        <w:t>ABLE OF CONTENTS</w:t>
      </w:r>
    </w:p>
    <w:p w:rsidR="00067793" w:rsidRPr="00BC03FD" w:rsidRDefault="00067793" w:rsidP="00AC2686">
      <w:pPr>
        <w:pStyle w:val="coverpageTableofContent"/>
        <w:rPr>
          <w:noProof w:val="0"/>
          <w:lang w:val="en-GB"/>
        </w:rPr>
      </w:pPr>
    </w:p>
    <w:p w:rsidR="00741BEF" w:rsidRDefault="00A90997">
      <w:pPr>
        <w:pStyle w:val="TOC1"/>
        <w:rPr>
          <w:rFonts w:asciiTheme="minorHAnsi" w:eastAsiaTheme="minorEastAsia" w:hAnsiTheme="minorHAnsi" w:cstheme="minorBidi"/>
          <w:b w:val="0"/>
          <w:noProof/>
          <w:sz w:val="22"/>
          <w:szCs w:val="22"/>
          <w:lang w:val="da-DK" w:eastAsia="da-DK"/>
        </w:rPr>
      </w:pPr>
      <w:r w:rsidRPr="00BC03FD">
        <w:rPr>
          <w:rStyle w:val="ECCParagraph"/>
          <w:b w:val="0"/>
        </w:rPr>
        <w:fldChar w:fldCharType="begin"/>
      </w:r>
      <w:r w:rsidRPr="00BC03FD">
        <w:rPr>
          <w:rStyle w:val="ECCParagraph"/>
          <w:b w:val="0"/>
        </w:rPr>
        <w:instrText xml:space="preserve"> TOC \o "1-4" \h \z \t "ECC Annex heading1;1" </w:instrText>
      </w:r>
      <w:r w:rsidRPr="00BC03FD">
        <w:rPr>
          <w:rStyle w:val="ECCParagraph"/>
          <w:b w:val="0"/>
        </w:rPr>
        <w:fldChar w:fldCharType="separate"/>
      </w:r>
      <w:hyperlink w:anchor="_Toc3285873" w:history="1">
        <w:r w:rsidR="00741BEF" w:rsidRPr="00397A07">
          <w:rPr>
            <w:rStyle w:val="Hyperlink"/>
            <w:noProof/>
          </w:rPr>
          <w:t>0</w:t>
        </w:r>
        <w:r w:rsidR="00741BEF">
          <w:rPr>
            <w:rFonts w:asciiTheme="minorHAnsi" w:eastAsiaTheme="minorEastAsia" w:hAnsiTheme="minorHAnsi" w:cstheme="minorBidi"/>
            <w:b w:val="0"/>
            <w:noProof/>
            <w:sz w:val="22"/>
            <w:szCs w:val="22"/>
            <w:lang w:val="da-DK" w:eastAsia="da-DK"/>
          </w:rPr>
          <w:tab/>
        </w:r>
        <w:r w:rsidR="00741BEF" w:rsidRPr="00397A07">
          <w:rPr>
            <w:rStyle w:val="Hyperlink"/>
            <w:noProof/>
          </w:rPr>
          <w:t>Executive summary</w:t>
        </w:r>
        <w:r w:rsidR="00741BEF">
          <w:rPr>
            <w:noProof/>
            <w:webHidden/>
          </w:rPr>
          <w:tab/>
        </w:r>
        <w:r w:rsidR="00741BEF">
          <w:rPr>
            <w:noProof/>
            <w:webHidden/>
          </w:rPr>
          <w:fldChar w:fldCharType="begin"/>
        </w:r>
        <w:r w:rsidR="00741BEF">
          <w:rPr>
            <w:noProof/>
            <w:webHidden/>
          </w:rPr>
          <w:instrText xml:space="preserve"> PAGEREF _Toc3285873 \h </w:instrText>
        </w:r>
        <w:r w:rsidR="00741BEF">
          <w:rPr>
            <w:noProof/>
            <w:webHidden/>
          </w:rPr>
        </w:r>
        <w:r w:rsidR="00741BEF">
          <w:rPr>
            <w:noProof/>
            <w:webHidden/>
          </w:rPr>
          <w:fldChar w:fldCharType="separate"/>
        </w:r>
        <w:r w:rsidR="00741BEF">
          <w:rPr>
            <w:noProof/>
            <w:webHidden/>
          </w:rPr>
          <w:t>2</w:t>
        </w:r>
        <w:r w:rsidR="00741BEF">
          <w:rPr>
            <w:noProof/>
            <w:webHidden/>
          </w:rPr>
          <w:fldChar w:fldCharType="end"/>
        </w:r>
      </w:hyperlink>
    </w:p>
    <w:p w:rsidR="00741BEF" w:rsidRDefault="002D0E0F">
      <w:pPr>
        <w:pStyle w:val="TOC1"/>
        <w:rPr>
          <w:rFonts w:asciiTheme="minorHAnsi" w:eastAsiaTheme="minorEastAsia" w:hAnsiTheme="minorHAnsi" w:cstheme="minorBidi"/>
          <w:b w:val="0"/>
          <w:noProof/>
          <w:sz w:val="22"/>
          <w:szCs w:val="22"/>
          <w:lang w:val="da-DK" w:eastAsia="da-DK"/>
        </w:rPr>
      </w:pPr>
      <w:hyperlink w:anchor="_Toc3285874" w:history="1">
        <w:r w:rsidR="00741BEF" w:rsidRPr="00397A07">
          <w:rPr>
            <w:rStyle w:val="Hyperlink"/>
            <w:noProof/>
          </w:rPr>
          <w:t>1</w:t>
        </w:r>
        <w:r w:rsidR="00741BEF">
          <w:rPr>
            <w:rFonts w:asciiTheme="minorHAnsi" w:eastAsiaTheme="minorEastAsia" w:hAnsiTheme="minorHAnsi" w:cstheme="minorBidi"/>
            <w:b w:val="0"/>
            <w:noProof/>
            <w:sz w:val="22"/>
            <w:szCs w:val="22"/>
            <w:lang w:val="da-DK" w:eastAsia="da-DK"/>
          </w:rPr>
          <w:tab/>
        </w:r>
        <w:r w:rsidR="00741BEF" w:rsidRPr="00397A07">
          <w:rPr>
            <w:rStyle w:val="Hyperlink"/>
            <w:noProof/>
          </w:rPr>
          <w:t>Introduction</w:t>
        </w:r>
        <w:r w:rsidR="00741BEF">
          <w:rPr>
            <w:noProof/>
            <w:webHidden/>
          </w:rPr>
          <w:tab/>
        </w:r>
        <w:r w:rsidR="00741BEF">
          <w:rPr>
            <w:noProof/>
            <w:webHidden/>
          </w:rPr>
          <w:fldChar w:fldCharType="begin"/>
        </w:r>
        <w:r w:rsidR="00741BEF">
          <w:rPr>
            <w:noProof/>
            <w:webHidden/>
          </w:rPr>
          <w:instrText xml:space="preserve"> PAGEREF _Toc3285874 \h </w:instrText>
        </w:r>
        <w:r w:rsidR="00741BEF">
          <w:rPr>
            <w:noProof/>
            <w:webHidden/>
          </w:rPr>
        </w:r>
        <w:r w:rsidR="00741BEF">
          <w:rPr>
            <w:noProof/>
            <w:webHidden/>
          </w:rPr>
          <w:fldChar w:fldCharType="separate"/>
        </w:r>
        <w:r w:rsidR="00741BEF">
          <w:rPr>
            <w:noProof/>
            <w:webHidden/>
          </w:rPr>
          <w:t>7</w:t>
        </w:r>
        <w:r w:rsidR="00741BEF">
          <w:rPr>
            <w:noProof/>
            <w:webHidden/>
          </w:rPr>
          <w:fldChar w:fldCharType="end"/>
        </w:r>
      </w:hyperlink>
    </w:p>
    <w:p w:rsidR="00741BEF" w:rsidRDefault="002D0E0F">
      <w:pPr>
        <w:pStyle w:val="TOC1"/>
        <w:rPr>
          <w:rFonts w:asciiTheme="minorHAnsi" w:eastAsiaTheme="minorEastAsia" w:hAnsiTheme="minorHAnsi" w:cstheme="minorBidi"/>
          <w:b w:val="0"/>
          <w:noProof/>
          <w:sz w:val="22"/>
          <w:szCs w:val="22"/>
          <w:lang w:val="da-DK" w:eastAsia="da-DK"/>
        </w:rPr>
      </w:pPr>
      <w:hyperlink w:anchor="_Toc3285875" w:history="1">
        <w:r w:rsidR="00741BEF" w:rsidRPr="00397A07">
          <w:rPr>
            <w:rStyle w:val="Hyperlink"/>
            <w:noProof/>
          </w:rPr>
          <w:t>2</w:t>
        </w:r>
        <w:r w:rsidR="00741BEF">
          <w:rPr>
            <w:rFonts w:asciiTheme="minorHAnsi" w:eastAsiaTheme="minorEastAsia" w:hAnsiTheme="minorHAnsi" w:cstheme="minorBidi"/>
            <w:b w:val="0"/>
            <w:noProof/>
            <w:sz w:val="22"/>
            <w:szCs w:val="22"/>
            <w:lang w:val="da-DK" w:eastAsia="da-DK"/>
          </w:rPr>
          <w:tab/>
        </w:r>
        <w:r w:rsidR="00741BEF" w:rsidRPr="00397A07">
          <w:rPr>
            <w:rStyle w:val="Hyperlink"/>
            <w:noProof/>
          </w:rPr>
          <w:t>Current MES terminals</w:t>
        </w:r>
        <w:r w:rsidR="00741BEF">
          <w:rPr>
            <w:noProof/>
            <w:webHidden/>
          </w:rPr>
          <w:tab/>
        </w:r>
        <w:r w:rsidR="00741BEF">
          <w:rPr>
            <w:noProof/>
            <w:webHidden/>
          </w:rPr>
          <w:fldChar w:fldCharType="begin"/>
        </w:r>
        <w:r w:rsidR="00741BEF">
          <w:rPr>
            <w:noProof/>
            <w:webHidden/>
          </w:rPr>
          <w:instrText xml:space="preserve"> PAGEREF _Toc3285875 \h </w:instrText>
        </w:r>
        <w:r w:rsidR="00741BEF">
          <w:rPr>
            <w:noProof/>
            <w:webHidden/>
          </w:rPr>
        </w:r>
        <w:r w:rsidR="00741BEF">
          <w:rPr>
            <w:noProof/>
            <w:webHidden/>
          </w:rPr>
          <w:fldChar w:fldCharType="separate"/>
        </w:r>
        <w:r w:rsidR="00741BEF">
          <w:rPr>
            <w:noProof/>
            <w:webHidden/>
          </w:rPr>
          <w:t>8</w:t>
        </w:r>
        <w:r w:rsidR="00741BEF">
          <w:rPr>
            <w:noProof/>
            <w:webHidden/>
          </w:rPr>
          <w:fldChar w:fldCharType="end"/>
        </w:r>
      </w:hyperlink>
    </w:p>
    <w:p w:rsidR="00741BEF" w:rsidRDefault="002D0E0F">
      <w:pPr>
        <w:pStyle w:val="TOC2"/>
        <w:rPr>
          <w:rFonts w:asciiTheme="minorHAnsi" w:eastAsiaTheme="minorEastAsia" w:hAnsiTheme="minorHAnsi" w:cstheme="minorBidi"/>
          <w:bCs w:val="0"/>
          <w:sz w:val="22"/>
          <w:szCs w:val="22"/>
          <w:lang w:val="da-DK" w:eastAsia="da-DK"/>
        </w:rPr>
      </w:pPr>
      <w:hyperlink w:anchor="_Toc3285876" w:history="1">
        <w:r w:rsidR="00741BEF" w:rsidRPr="00397A07">
          <w:rPr>
            <w:rStyle w:val="Hyperlink"/>
          </w:rPr>
          <w:t>2.1</w:t>
        </w:r>
        <w:r w:rsidR="00741BEF">
          <w:rPr>
            <w:rFonts w:asciiTheme="minorHAnsi" w:eastAsiaTheme="minorEastAsia" w:hAnsiTheme="minorHAnsi" w:cstheme="minorBidi"/>
            <w:bCs w:val="0"/>
            <w:sz w:val="22"/>
            <w:szCs w:val="22"/>
            <w:lang w:val="da-DK" w:eastAsia="da-DK"/>
          </w:rPr>
          <w:tab/>
        </w:r>
        <w:r w:rsidR="00741BEF" w:rsidRPr="00397A07">
          <w:rPr>
            <w:rStyle w:val="Hyperlink"/>
            <w:lang w:val="en-US"/>
          </w:rPr>
          <w:t xml:space="preserve">Blocking performance Levels FOR </w:t>
        </w:r>
        <w:r w:rsidR="00741BEF" w:rsidRPr="00397A07">
          <w:rPr>
            <w:rStyle w:val="Hyperlink"/>
          </w:rPr>
          <w:t>Current aeronautical MES terminals</w:t>
        </w:r>
        <w:r w:rsidR="00741BEF">
          <w:rPr>
            <w:webHidden/>
          </w:rPr>
          <w:tab/>
        </w:r>
        <w:r w:rsidR="00741BEF">
          <w:rPr>
            <w:webHidden/>
          </w:rPr>
          <w:fldChar w:fldCharType="begin"/>
        </w:r>
        <w:r w:rsidR="00741BEF">
          <w:rPr>
            <w:webHidden/>
          </w:rPr>
          <w:instrText xml:space="preserve"> PAGEREF _Toc3285876 \h </w:instrText>
        </w:r>
        <w:r w:rsidR="00741BEF">
          <w:rPr>
            <w:webHidden/>
          </w:rPr>
        </w:r>
        <w:r w:rsidR="00741BEF">
          <w:rPr>
            <w:webHidden/>
          </w:rPr>
          <w:fldChar w:fldCharType="separate"/>
        </w:r>
        <w:r w:rsidR="00741BEF">
          <w:rPr>
            <w:webHidden/>
          </w:rPr>
          <w:t>9</w:t>
        </w:r>
        <w:r w:rsidR="00741BEF">
          <w:rPr>
            <w:webHidden/>
          </w:rPr>
          <w:fldChar w:fldCharType="end"/>
        </w:r>
      </w:hyperlink>
    </w:p>
    <w:p w:rsidR="00741BEF" w:rsidRDefault="002D0E0F">
      <w:pPr>
        <w:pStyle w:val="TOC3"/>
        <w:rPr>
          <w:rFonts w:asciiTheme="minorHAnsi" w:eastAsiaTheme="minorEastAsia" w:hAnsiTheme="minorHAnsi" w:cstheme="minorBidi"/>
          <w:sz w:val="22"/>
          <w:szCs w:val="22"/>
          <w:lang w:val="da-DK" w:eastAsia="da-DK"/>
        </w:rPr>
      </w:pPr>
      <w:hyperlink w:anchor="_Toc3285877" w:history="1">
        <w:r w:rsidR="00741BEF" w:rsidRPr="00397A07">
          <w:rPr>
            <w:rStyle w:val="Hyperlink"/>
          </w:rPr>
          <w:t>2.1.1</w:t>
        </w:r>
        <w:r w:rsidR="00741BEF">
          <w:rPr>
            <w:rFonts w:asciiTheme="minorHAnsi" w:eastAsiaTheme="minorEastAsia" w:hAnsiTheme="minorHAnsi" w:cstheme="minorBidi"/>
            <w:sz w:val="22"/>
            <w:szCs w:val="22"/>
            <w:lang w:val="da-DK" w:eastAsia="da-DK"/>
          </w:rPr>
          <w:tab/>
        </w:r>
        <w:r w:rsidR="00741BEF" w:rsidRPr="00397A07">
          <w:rPr>
            <w:rStyle w:val="Hyperlink"/>
          </w:rPr>
          <w:t>Blocking performance</w:t>
        </w:r>
        <w:r w:rsidR="00741BEF" w:rsidRPr="00397A07">
          <w:rPr>
            <w:rStyle w:val="Hyperlink"/>
            <w:lang w:val="en-US"/>
          </w:rPr>
          <w:t xml:space="preserve"> </w:t>
        </w:r>
        <w:r w:rsidR="00741BEF" w:rsidRPr="00397A07">
          <w:rPr>
            <w:rStyle w:val="Hyperlink"/>
          </w:rPr>
          <w:t>results from a single LTE channel transmission</w:t>
        </w:r>
        <w:r w:rsidR="00741BEF">
          <w:rPr>
            <w:webHidden/>
          </w:rPr>
          <w:tab/>
        </w:r>
        <w:r w:rsidR="00741BEF">
          <w:rPr>
            <w:webHidden/>
          </w:rPr>
          <w:fldChar w:fldCharType="begin"/>
        </w:r>
        <w:r w:rsidR="00741BEF">
          <w:rPr>
            <w:webHidden/>
          </w:rPr>
          <w:instrText xml:space="preserve"> PAGEREF _Toc3285877 \h </w:instrText>
        </w:r>
        <w:r w:rsidR="00741BEF">
          <w:rPr>
            <w:webHidden/>
          </w:rPr>
        </w:r>
        <w:r w:rsidR="00741BEF">
          <w:rPr>
            <w:webHidden/>
          </w:rPr>
          <w:fldChar w:fldCharType="separate"/>
        </w:r>
        <w:r w:rsidR="00741BEF">
          <w:rPr>
            <w:webHidden/>
          </w:rPr>
          <w:t>10</w:t>
        </w:r>
        <w:r w:rsidR="00741BEF">
          <w:rPr>
            <w:webHidden/>
          </w:rPr>
          <w:fldChar w:fldCharType="end"/>
        </w:r>
      </w:hyperlink>
    </w:p>
    <w:p w:rsidR="00741BEF" w:rsidRDefault="002D0E0F">
      <w:pPr>
        <w:pStyle w:val="TOC3"/>
        <w:rPr>
          <w:rFonts w:asciiTheme="minorHAnsi" w:eastAsiaTheme="minorEastAsia" w:hAnsiTheme="minorHAnsi" w:cstheme="minorBidi"/>
          <w:sz w:val="22"/>
          <w:szCs w:val="22"/>
          <w:lang w:val="da-DK" w:eastAsia="da-DK"/>
        </w:rPr>
      </w:pPr>
      <w:hyperlink w:anchor="_Toc3285878" w:history="1">
        <w:r w:rsidR="00741BEF" w:rsidRPr="00397A07">
          <w:rPr>
            <w:rStyle w:val="Hyperlink"/>
          </w:rPr>
          <w:t>2.1.2</w:t>
        </w:r>
        <w:r w:rsidR="00741BEF">
          <w:rPr>
            <w:rFonts w:asciiTheme="minorHAnsi" w:eastAsiaTheme="minorEastAsia" w:hAnsiTheme="minorHAnsi" w:cstheme="minorBidi"/>
            <w:sz w:val="22"/>
            <w:szCs w:val="22"/>
            <w:lang w:val="da-DK" w:eastAsia="da-DK"/>
          </w:rPr>
          <w:tab/>
        </w:r>
        <w:r w:rsidR="00741BEF" w:rsidRPr="00397A07">
          <w:rPr>
            <w:rStyle w:val="Hyperlink"/>
          </w:rPr>
          <w:t>Blocking performance</w:t>
        </w:r>
        <w:r w:rsidR="00741BEF" w:rsidRPr="00397A07">
          <w:rPr>
            <w:rStyle w:val="Hyperlink"/>
            <w:lang w:val="en-US"/>
          </w:rPr>
          <w:t xml:space="preserve"> </w:t>
        </w:r>
        <w:r w:rsidR="00741BEF" w:rsidRPr="00397A07">
          <w:rPr>
            <w:rStyle w:val="Hyperlink"/>
          </w:rPr>
          <w:t>results from multiple LTE channel transmissions</w:t>
        </w:r>
        <w:r w:rsidR="00741BEF">
          <w:rPr>
            <w:webHidden/>
          </w:rPr>
          <w:tab/>
        </w:r>
        <w:r w:rsidR="00741BEF">
          <w:rPr>
            <w:webHidden/>
          </w:rPr>
          <w:fldChar w:fldCharType="begin"/>
        </w:r>
        <w:r w:rsidR="00741BEF">
          <w:rPr>
            <w:webHidden/>
          </w:rPr>
          <w:instrText xml:space="preserve"> PAGEREF _Toc3285878 \h </w:instrText>
        </w:r>
        <w:r w:rsidR="00741BEF">
          <w:rPr>
            <w:webHidden/>
          </w:rPr>
        </w:r>
        <w:r w:rsidR="00741BEF">
          <w:rPr>
            <w:webHidden/>
          </w:rPr>
          <w:fldChar w:fldCharType="separate"/>
        </w:r>
        <w:r w:rsidR="00741BEF">
          <w:rPr>
            <w:webHidden/>
          </w:rPr>
          <w:t>11</w:t>
        </w:r>
        <w:r w:rsidR="00741BEF">
          <w:rPr>
            <w:webHidden/>
          </w:rPr>
          <w:fldChar w:fldCharType="end"/>
        </w:r>
      </w:hyperlink>
    </w:p>
    <w:p w:rsidR="00741BEF" w:rsidRDefault="002D0E0F">
      <w:pPr>
        <w:pStyle w:val="TOC2"/>
        <w:rPr>
          <w:rFonts w:asciiTheme="minorHAnsi" w:eastAsiaTheme="minorEastAsia" w:hAnsiTheme="minorHAnsi" w:cstheme="minorBidi"/>
          <w:bCs w:val="0"/>
          <w:sz w:val="22"/>
          <w:szCs w:val="22"/>
          <w:lang w:val="da-DK" w:eastAsia="da-DK"/>
        </w:rPr>
      </w:pPr>
      <w:hyperlink w:anchor="_Toc3285879" w:history="1">
        <w:r w:rsidR="00741BEF" w:rsidRPr="00397A07">
          <w:rPr>
            <w:rStyle w:val="Hyperlink"/>
          </w:rPr>
          <w:t>2.2</w:t>
        </w:r>
        <w:r w:rsidR="00741BEF">
          <w:rPr>
            <w:rFonts w:asciiTheme="minorHAnsi" w:eastAsiaTheme="minorEastAsia" w:hAnsiTheme="minorHAnsi" w:cstheme="minorBidi"/>
            <w:bCs w:val="0"/>
            <w:sz w:val="22"/>
            <w:szCs w:val="22"/>
            <w:lang w:val="da-DK" w:eastAsia="da-DK"/>
          </w:rPr>
          <w:tab/>
        </w:r>
        <w:r w:rsidR="00741BEF" w:rsidRPr="00397A07">
          <w:rPr>
            <w:rStyle w:val="Hyperlink"/>
            <w:lang w:val="en-US"/>
          </w:rPr>
          <w:t xml:space="preserve">Blocking performance Levels for </w:t>
        </w:r>
        <w:r w:rsidR="00741BEF" w:rsidRPr="00397A07">
          <w:rPr>
            <w:rStyle w:val="Hyperlink"/>
          </w:rPr>
          <w:t>Current maritime MES terminals</w:t>
        </w:r>
        <w:r w:rsidR="00741BEF">
          <w:rPr>
            <w:webHidden/>
          </w:rPr>
          <w:tab/>
        </w:r>
        <w:r w:rsidR="00741BEF">
          <w:rPr>
            <w:webHidden/>
          </w:rPr>
          <w:fldChar w:fldCharType="begin"/>
        </w:r>
        <w:r w:rsidR="00741BEF">
          <w:rPr>
            <w:webHidden/>
          </w:rPr>
          <w:instrText xml:space="preserve"> PAGEREF _Toc3285879 \h </w:instrText>
        </w:r>
        <w:r w:rsidR="00741BEF">
          <w:rPr>
            <w:webHidden/>
          </w:rPr>
        </w:r>
        <w:r w:rsidR="00741BEF">
          <w:rPr>
            <w:webHidden/>
          </w:rPr>
          <w:fldChar w:fldCharType="separate"/>
        </w:r>
        <w:r w:rsidR="00741BEF">
          <w:rPr>
            <w:webHidden/>
          </w:rPr>
          <w:t>11</w:t>
        </w:r>
        <w:r w:rsidR="00741BEF">
          <w:rPr>
            <w:webHidden/>
          </w:rPr>
          <w:fldChar w:fldCharType="end"/>
        </w:r>
      </w:hyperlink>
    </w:p>
    <w:p w:rsidR="00741BEF" w:rsidRDefault="002D0E0F">
      <w:pPr>
        <w:pStyle w:val="TOC3"/>
        <w:rPr>
          <w:rFonts w:asciiTheme="minorHAnsi" w:eastAsiaTheme="minorEastAsia" w:hAnsiTheme="minorHAnsi" w:cstheme="minorBidi"/>
          <w:sz w:val="22"/>
          <w:szCs w:val="22"/>
          <w:lang w:val="da-DK" w:eastAsia="da-DK"/>
        </w:rPr>
      </w:pPr>
      <w:hyperlink w:anchor="_Toc3285880" w:history="1">
        <w:r w:rsidR="00741BEF" w:rsidRPr="00397A07">
          <w:rPr>
            <w:rStyle w:val="Hyperlink"/>
          </w:rPr>
          <w:t>2.2.1</w:t>
        </w:r>
        <w:r w:rsidR="00741BEF">
          <w:rPr>
            <w:rFonts w:asciiTheme="minorHAnsi" w:eastAsiaTheme="minorEastAsia" w:hAnsiTheme="minorHAnsi" w:cstheme="minorBidi"/>
            <w:sz w:val="22"/>
            <w:szCs w:val="22"/>
            <w:lang w:val="da-DK" w:eastAsia="da-DK"/>
          </w:rPr>
          <w:tab/>
        </w:r>
        <w:r w:rsidR="00741BEF" w:rsidRPr="00397A07">
          <w:rPr>
            <w:rStyle w:val="Hyperlink"/>
          </w:rPr>
          <w:t>Blocking performance results from a single LTE channel transmission</w:t>
        </w:r>
        <w:r w:rsidR="00741BEF">
          <w:rPr>
            <w:webHidden/>
          </w:rPr>
          <w:tab/>
        </w:r>
        <w:r w:rsidR="00741BEF">
          <w:rPr>
            <w:webHidden/>
          </w:rPr>
          <w:fldChar w:fldCharType="begin"/>
        </w:r>
        <w:r w:rsidR="00741BEF">
          <w:rPr>
            <w:webHidden/>
          </w:rPr>
          <w:instrText xml:space="preserve"> PAGEREF _Toc3285880 \h </w:instrText>
        </w:r>
        <w:r w:rsidR="00741BEF">
          <w:rPr>
            <w:webHidden/>
          </w:rPr>
        </w:r>
        <w:r w:rsidR="00741BEF">
          <w:rPr>
            <w:webHidden/>
          </w:rPr>
          <w:fldChar w:fldCharType="separate"/>
        </w:r>
        <w:r w:rsidR="00741BEF">
          <w:rPr>
            <w:webHidden/>
          </w:rPr>
          <w:t>11</w:t>
        </w:r>
        <w:r w:rsidR="00741BEF">
          <w:rPr>
            <w:webHidden/>
          </w:rPr>
          <w:fldChar w:fldCharType="end"/>
        </w:r>
      </w:hyperlink>
    </w:p>
    <w:p w:rsidR="00741BEF" w:rsidRDefault="002D0E0F">
      <w:pPr>
        <w:pStyle w:val="TOC3"/>
        <w:rPr>
          <w:rFonts w:asciiTheme="minorHAnsi" w:eastAsiaTheme="minorEastAsia" w:hAnsiTheme="minorHAnsi" w:cstheme="minorBidi"/>
          <w:sz w:val="22"/>
          <w:szCs w:val="22"/>
          <w:lang w:val="da-DK" w:eastAsia="da-DK"/>
        </w:rPr>
      </w:pPr>
      <w:hyperlink w:anchor="_Toc3285881" w:history="1">
        <w:r w:rsidR="00741BEF" w:rsidRPr="00397A07">
          <w:rPr>
            <w:rStyle w:val="Hyperlink"/>
          </w:rPr>
          <w:t>2.2.2</w:t>
        </w:r>
        <w:r w:rsidR="00741BEF">
          <w:rPr>
            <w:rFonts w:asciiTheme="minorHAnsi" w:eastAsiaTheme="minorEastAsia" w:hAnsiTheme="minorHAnsi" w:cstheme="minorBidi"/>
            <w:sz w:val="22"/>
            <w:szCs w:val="22"/>
            <w:lang w:val="da-DK" w:eastAsia="da-DK"/>
          </w:rPr>
          <w:tab/>
        </w:r>
        <w:r w:rsidR="00741BEF" w:rsidRPr="00397A07">
          <w:rPr>
            <w:rStyle w:val="Hyperlink"/>
          </w:rPr>
          <w:t>Blocking performance</w:t>
        </w:r>
        <w:r w:rsidR="00741BEF" w:rsidRPr="00397A07">
          <w:rPr>
            <w:rStyle w:val="Hyperlink"/>
            <w:lang w:val="en-US"/>
          </w:rPr>
          <w:t xml:space="preserve"> </w:t>
        </w:r>
        <w:r w:rsidR="00741BEF" w:rsidRPr="00397A07">
          <w:rPr>
            <w:rStyle w:val="Hyperlink"/>
          </w:rPr>
          <w:t>results from multiple LTE channel transmissions</w:t>
        </w:r>
        <w:r w:rsidR="00741BEF">
          <w:rPr>
            <w:webHidden/>
          </w:rPr>
          <w:tab/>
        </w:r>
        <w:r w:rsidR="00741BEF">
          <w:rPr>
            <w:webHidden/>
          </w:rPr>
          <w:fldChar w:fldCharType="begin"/>
        </w:r>
        <w:r w:rsidR="00741BEF">
          <w:rPr>
            <w:webHidden/>
          </w:rPr>
          <w:instrText xml:space="preserve"> PAGEREF _Toc3285881 \h </w:instrText>
        </w:r>
        <w:r w:rsidR="00741BEF">
          <w:rPr>
            <w:webHidden/>
          </w:rPr>
        </w:r>
        <w:r w:rsidR="00741BEF">
          <w:rPr>
            <w:webHidden/>
          </w:rPr>
          <w:fldChar w:fldCharType="separate"/>
        </w:r>
        <w:r w:rsidR="00741BEF">
          <w:rPr>
            <w:webHidden/>
          </w:rPr>
          <w:t>12</w:t>
        </w:r>
        <w:r w:rsidR="00741BEF">
          <w:rPr>
            <w:webHidden/>
          </w:rPr>
          <w:fldChar w:fldCharType="end"/>
        </w:r>
      </w:hyperlink>
    </w:p>
    <w:p w:rsidR="00741BEF" w:rsidRDefault="002D0E0F">
      <w:pPr>
        <w:pStyle w:val="TOC1"/>
        <w:rPr>
          <w:rFonts w:asciiTheme="minorHAnsi" w:eastAsiaTheme="minorEastAsia" w:hAnsiTheme="minorHAnsi" w:cstheme="minorBidi"/>
          <w:b w:val="0"/>
          <w:noProof/>
          <w:sz w:val="22"/>
          <w:szCs w:val="22"/>
          <w:lang w:val="da-DK" w:eastAsia="da-DK"/>
        </w:rPr>
      </w:pPr>
      <w:hyperlink w:anchor="_Toc3285882" w:history="1">
        <w:r w:rsidR="00741BEF" w:rsidRPr="00397A07">
          <w:rPr>
            <w:rStyle w:val="Hyperlink"/>
            <w:noProof/>
          </w:rPr>
          <w:t>3</w:t>
        </w:r>
        <w:r w:rsidR="00741BEF">
          <w:rPr>
            <w:rFonts w:asciiTheme="minorHAnsi" w:eastAsiaTheme="minorEastAsia" w:hAnsiTheme="minorHAnsi" w:cstheme="minorBidi"/>
            <w:b w:val="0"/>
            <w:noProof/>
            <w:sz w:val="22"/>
            <w:szCs w:val="22"/>
            <w:lang w:val="da-DK" w:eastAsia="da-DK"/>
          </w:rPr>
          <w:tab/>
        </w:r>
        <w:r w:rsidR="00741BEF" w:rsidRPr="00397A07">
          <w:rPr>
            <w:rStyle w:val="Hyperlink"/>
            <w:noProof/>
          </w:rPr>
          <w:t>Operational requirements</w:t>
        </w:r>
        <w:r w:rsidR="00741BEF">
          <w:rPr>
            <w:noProof/>
            <w:webHidden/>
          </w:rPr>
          <w:tab/>
        </w:r>
        <w:r w:rsidR="00741BEF">
          <w:rPr>
            <w:noProof/>
            <w:webHidden/>
          </w:rPr>
          <w:fldChar w:fldCharType="begin"/>
        </w:r>
        <w:r w:rsidR="00741BEF">
          <w:rPr>
            <w:noProof/>
            <w:webHidden/>
          </w:rPr>
          <w:instrText xml:space="preserve"> PAGEREF _Toc3285882 \h </w:instrText>
        </w:r>
        <w:r w:rsidR="00741BEF">
          <w:rPr>
            <w:noProof/>
            <w:webHidden/>
          </w:rPr>
        </w:r>
        <w:r w:rsidR="00741BEF">
          <w:rPr>
            <w:noProof/>
            <w:webHidden/>
          </w:rPr>
          <w:fldChar w:fldCharType="separate"/>
        </w:r>
        <w:r w:rsidR="00741BEF">
          <w:rPr>
            <w:noProof/>
            <w:webHidden/>
          </w:rPr>
          <w:t>14</w:t>
        </w:r>
        <w:r w:rsidR="00741BEF">
          <w:rPr>
            <w:noProof/>
            <w:webHidden/>
          </w:rPr>
          <w:fldChar w:fldCharType="end"/>
        </w:r>
      </w:hyperlink>
    </w:p>
    <w:p w:rsidR="00741BEF" w:rsidRDefault="002D0E0F">
      <w:pPr>
        <w:pStyle w:val="TOC2"/>
        <w:rPr>
          <w:rFonts w:asciiTheme="minorHAnsi" w:eastAsiaTheme="minorEastAsia" w:hAnsiTheme="minorHAnsi" w:cstheme="minorBidi"/>
          <w:bCs w:val="0"/>
          <w:sz w:val="22"/>
          <w:szCs w:val="22"/>
          <w:lang w:val="da-DK" w:eastAsia="da-DK"/>
        </w:rPr>
      </w:pPr>
      <w:hyperlink w:anchor="_Toc3285883" w:history="1">
        <w:r w:rsidR="00741BEF" w:rsidRPr="00397A07">
          <w:rPr>
            <w:rStyle w:val="Hyperlink"/>
          </w:rPr>
          <w:t>3.1</w:t>
        </w:r>
        <w:r w:rsidR="00741BEF">
          <w:rPr>
            <w:rFonts w:asciiTheme="minorHAnsi" w:eastAsiaTheme="minorEastAsia" w:hAnsiTheme="minorHAnsi" w:cstheme="minorBidi"/>
            <w:bCs w:val="0"/>
            <w:sz w:val="22"/>
            <w:szCs w:val="22"/>
            <w:lang w:val="da-DK" w:eastAsia="da-DK"/>
          </w:rPr>
          <w:tab/>
        </w:r>
        <w:r w:rsidR="00741BEF" w:rsidRPr="00397A07">
          <w:rPr>
            <w:rStyle w:val="Hyperlink"/>
          </w:rPr>
          <w:t>Aeronautical</w:t>
        </w:r>
        <w:r w:rsidR="00741BEF">
          <w:rPr>
            <w:webHidden/>
          </w:rPr>
          <w:tab/>
        </w:r>
        <w:r w:rsidR="00741BEF">
          <w:rPr>
            <w:webHidden/>
          </w:rPr>
          <w:fldChar w:fldCharType="begin"/>
        </w:r>
        <w:r w:rsidR="00741BEF">
          <w:rPr>
            <w:webHidden/>
          </w:rPr>
          <w:instrText xml:space="preserve"> PAGEREF _Toc3285883 \h </w:instrText>
        </w:r>
        <w:r w:rsidR="00741BEF">
          <w:rPr>
            <w:webHidden/>
          </w:rPr>
        </w:r>
        <w:r w:rsidR="00741BEF">
          <w:rPr>
            <w:webHidden/>
          </w:rPr>
          <w:fldChar w:fldCharType="separate"/>
        </w:r>
        <w:r w:rsidR="00741BEF">
          <w:rPr>
            <w:webHidden/>
          </w:rPr>
          <w:t>14</w:t>
        </w:r>
        <w:r w:rsidR="00741BEF">
          <w:rPr>
            <w:webHidden/>
          </w:rPr>
          <w:fldChar w:fldCharType="end"/>
        </w:r>
      </w:hyperlink>
    </w:p>
    <w:p w:rsidR="00741BEF" w:rsidRDefault="002D0E0F">
      <w:pPr>
        <w:pStyle w:val="TOC2"/>
        <w:rPr>
          <w:rFonts w:asciiTheme="minorHAnsi" w:eastAsiaTheme="minorEastAsia" w:hAnsiTheme="minorHAnsi" w:cstheme="minorBidi"/>
          <w:bCs w:val="0"/>
          <w:sz w:val="22"/>
          <w:szCs w:val="22"/>
          <w:lang w:val="da-DK" w:eastAsia="da-DK"/>
        </w:rPr>
      </w:pPr>
      <w:hyperlink w:anchor="_Toc3285884" w:history="1">
        <w:r w:rsidR="00741BEF" w:rsidRPr="00397A07">
          <w:rPr>
            <w:rStyle w:val="Hyperlink"/>
          </w:rPr>
          <w:t>3.2</w:t>
        </w:r>
        <w:r w:rsidR="00741BEF">
          <w:rPr>
            <w:rFonts w:asciiTheme="minorHAnsi" w:eastAsiaTheme="minorEastAsia" w:hAnsiTheme="minorHAnsi" w:cstheme="minorBidi"/>
            <w:bCs w:val="0"/>
            <w:sz w:val="22"/>
            <w:szCs w:val="22"/>
            <w:lang w:val="da-DK" w:eastAsia="da-DK"/>
          </w:rPr>
          <w:tab/>
        </w:r>
        <w:r w:rsidR="00741BEF" w:rsidRPr="00397A07">
          <w:rPr>
            <w:rStyle w:val="Hyperlink"/>
          </w:rPr>
          <w:t>Maritime</w:t>
        </w:r>
        <w:r w:rsidR="00741BEF">
          <w:rPr>
            <w:webHidden/>
          </w:rPr>
          <w:tab/>
        </w:r>
        <w:r w:rsidR="00741BEF">
          <w:rPr>
            <w:webHidden/>
          </w:rPr>
          <w:fldChar w:fldCharType="begin"/>
        </w:r>
        <w:r w:rsidR="00741BEF">
          <w:rPr>
            <w:webHidden/>
          </w:rPr>
          <w:instrText xml:space="preserve"> PAGEREF _Toc3285884 \h </w:instrText>
        </w:r>
        <w:r w:rsidR="00741BEF">
          <w:rPr>
            <w:webHidden/>
          </w:rPr>
        </w:r>
        <w:r w:rsidR="00741BEF">
          <w:rPr>
            <w:webHidden/>
          </w:rPr>
          <w:fldChar w:fldCharType="separate"/>
        </w:r>
        <w:r w:rsidR="00741BEF">
          <w:rPr>
            <w:webHidden/>
          </w:rPr>
          <w:t>15</w:t>
        </w:r>
        <w:r w:rsidR="00741BEF">
          <w:rPr>
            <w:webHidden/>
          </w:rPr>
          <w:fldChar w:fldCharType="end"/>
        </w:r>
      </w:hyperlink>
    </w:p>
    <w:p w:rsidR="00741BEF" w:rsidRDefault="002D0E0F">
      <w:pPr>
        <w:pStyle w:val="TOC3"/>
        <w:rPr>
          <w:rFonts w:asciiTheme="minorHAnsi" w:eastAsiaTheme="minorEastAsia" w:hAnsiTheme="minorHAnsi" w:cstheme="minorBidi"/>
          <w:sz w:val="22"/>
          <w:szCs w:val="22"/>
          <w:lang w:val="da-DK" w:eastAsia="da-DK"/>
        </w:rPr>
      </w:pPr>
      <w:hyperlink w:anchor="_Toc3285885" w:history="1">
        <w:r w:rsidR="00741BEF" w:rsidRPr="00397A07">
          <w:rPr>
            <w:rStyle w:val="Hyperlink"/>
          </w:rPr>
          <w:t>3.2.1</w:t>
        </w:r>
        <w:r w:rsidR="00741BEF">
          <w:rPr>
            <w:rFonts w:asciiTheme="minorHAnsi" w:eastAsiaTheme="minorEastAsia" w:hAnsiTheme="minorHAnsi" w:cstheme="minorBidi"/>
            <w:sz w:val="22"/>
            <w:szCs w:val="22"/>
            <w:lang w:val="da-DK" w:eastAsia="da-DK"/>
          </w:rPr>
          <w:tab/>
        </w:r>
        <w:r w:rsidR="00741BEF" w:rsidRPr="00397A07">
          <w:rPr>
            <w:rStyle w:val="Hyperlink"/>
          </w:rPr>
          <w:t>Situation at sea</w:t>
        </w:r>
        <w:r w:rsidR="00741BEF">
          <w:rPr>
            <w:webHidden/>
          </w:rPr>
          <w:tab/>
        </w:r>
        <w:r w:rsidR="00741BEF">
          <w:rPr>
            <w:webHidden/>
          </w:rPr>
          <w:fldChar w:fldCharType="begin"/>
        </w:r>
        <w:r w:rsidR="00741BEF">
          <w:rPr>
            <w:webHidden/>
          </w:rPr>
          <w:instrText xml:space="preserve"> PAGEREF _Toc3285885 \h </w:instrText>
        </w:r>
        <w:r w:rsidR="00741BEF">
          <w:rPr>
            <w:webHidden/>
          </w:rPr>
        </w:r>
        <w:r w:rsidR="00741BEF">
          <w:rPr>
            <w:webHidden/>
          </w:rPr>
          <w:fldChar w:fldCharType="separate"/>
        </w:r>
        <w:r w:rsidR="00741BEF">
          <w:rPr>
            <w:webHidden/>
          </w:rPr>
          <w:t>15</w:t>
        </w:r>
        <w:r w:rsidR="00741BEF">
          <w:rPr>
            <w:webHidden/>
          </w:rPr>
          <w:fldChar w:fldCharType="end"/>
        </w:r>
      </w:hyperlink>
    </w:p>
    <w:p w:rsidR="00741BEF" w:rsidRDefault="002D0E0F">
      <w:pPr>
        <w:pStyle w:val="TOC3"/>
        <w:rPr>
          <w:rFonts w:asciiTheme="minorHAnsi" w:eastAsiaTheme="minorEastAsia" w:hAnsiTheme="minorHAnsi" w:cstheme="minorBidi"/>
          <w:sz w:val="22"/>
          <w:szCs w:val="22"/>
          <w:lang w:val="da-DK" w:eastAsia="da-DK"/>
        </w:rPr>
      </w:pPr>
      <w:hyperlink w:anchor="_Toc3285886" w:history="1">
        <w:r w:rsidR="00741BEF" w:rsidRPr="00397A07">
          <w:rPr>
            <w:rStyle w:val="Hyperlink"/>
          </w:rPr>
          <w:t>3.2.2</w:t>
        </w:r>
        <w:r w:rsidR="00741BEF">
          <w:rPr>
            <w:rFonts w:asciiTheme="minorHAnsi" w:eastAsiaTheme="minorEastAsia" w:hAnsiTheme="minorHAnsi" w:cstheme="minorBidi"/>
            <w:sz w:val="22"/>
            <w:szCs w:val="22"/>
            <w:lang w:val="da-DK" w:eastAsia="da-DK"/>
          </w:rPr>
          <w:tab/>
        </w:r>
        <w:r w:rsidR="00741BEF" w:rsidRPr="00397A07">
          <w:rPr>
            <w:rStyle w:val="Hyperlink"/>
          </w:rPr>
          <w:t>Situation for inland waterways</w:t>
        </w:r>
        <w:r w:rsidR="00741BEF">
          <w:rPr>
            <w:webHidden/>
          </w:rPr>
          <w:tab/>
        </w:r>
        <w:r w:rsidR="00741BEF">
          <w:rPr>
            <w:webHidden/>
          </w:rPr>
          <w:fldChar w:fldCharType="begin"/>
        </w:r>
        <w:r w:rsidR="00741BEF">
          <w:rPr>
            <w:webHidden/>
          </w:rPr>
          <w:instrText xml:space="preserve"> PAGEREF _Toc3285886 \h </w:instrText>
        </w:r>
        <w:r w:rsidR="00741BEF">
          <w:rPr>
            <w:webHidden/>
          </w:rPr>
        </w:r>
        <w:r w:rsidR="00741BEF">
          <w:rPr>
            <w:webHidden/>
          </w:rPr>
          <w:fldChar w:fldCharType="separate"/>
        </w:r>
        <w:r w:rsidR="00741BEF">
          <w:rPr>
            <w:webHidden/>
          </w:rPr>
          <w:t>17</w:t>
        </w:r>
        <w:r w:rsidR="00741BEF">
          <w:rPr>
            <w:webHidden/>
          </w:rPr>
          <w:fldChar w:fldCharType="end"/>
        </w:r>
      </w:hyperlink>
    </w:p>
    <w:p w:rsidR="00741BEF" w:rsidRDefault="002D0E0F">
      <w:pPr>
        <w:pStyle w:val="TOC3"/>
        <w:rPr>
          <w:rFonts w:asciiTheme="minorHAnsi" w:eastAsiaTheme="minorEastAsia" w:hAnsiTheme="minorHAnsi" w:cstheme="minorBidi"/>
          <w:sz w:val="22"/>
          <w:szCs w:val="22"/>
          <w:lang w:val="da-DK" w:eastAsia="da-DK"/>
        </w:rPr>
      </w:pPr>
      <w:hyperlink w:anchor="_Toc3285887" w:history="1">
        <w:r w:rsidR="00741BEF" w:rsidRPr="00397A07">
          <w:rPr>
            <w:rStyle w:val="Hyperlink"/>
          </w:rPr>
          <w:t>3.2.3</w:t>
        </w:r>
        <w:r w:rsidR="00741BEF">
          <w:rPr>
            <w:rFonts w:asciiTheme="minorHAnsi" w:eastAsiaTheme="minorEastAsia" w:hAnsiTheme="minorHAnsi" w:cstheme="minorBidi"/>
            <w:sz w:val="22"/>
            <w:szCs w:val="22"/>
            <w:lang w:val="da-DK" w:eastAsia="da-DK"/>
          </w:rPr>
          <w:tab/>
        </w:r>
        <w:r w:rsidR="00741BEF" w:rsidRPr="00397A07">
          <w:rPr>
            <w:rStyle w:val="Hyperlink"/>
          </w:rPr>
          <w:t>Testing at seaports</w:t>
        </w:r>
        <w:r w:rsidR="00741BEF">
          <w:rPr>
            <w:webHidden/>
          </w:rPr>
          <w:tab/>
        </w:r>
        <w:r w:rsidR="00741BEF">
          <w:rPr>
            <w:webHidden/>
          </w:rPr>
          <w:fldChar w:fldCharType="begin"/>
        </w:r>
        <w:r w:rsidR="00741BEF">
          <w:rPr>
            <w:webHidden/>
          </w:rPr>
          <w:instrText xml:space="preserve"> PAGEREF _Toc3285887 \h </w:instrText>
        </w:r>
        <w:r w:rsidR="00741BEF">
          <w:rPr>
            <w:webHidden/>
          </w:rPr>
        </w:r>
        <w:r w:rsidR="00741BEF">
          <w:rPr>
            <w:webHidden/>
          </w:rPr>
          <w:fldChar w:fldCharType="separate"/>
        </w:r>
        <w:r w:rsidR="00741BEF">
          <w:rPr>
            <w:webHidden/>
          </w:rPr>
          <w:t>17</w:t>
        </w:r>
        <w:r w:rsidR="00741BEF">
          <w:rPr>
            <w:webHidden/>
          </w:rPr>
          <w:fldChar w:fldCharType="end"/>
        </w:r>
      </w:hyperlink>
    </w:p>
    <w:p w:rsidR="00741BEF" w:rsidRDefault="002D0E0F">
      <w:pPr>
        <w:pStyle w:val="TOC1"/>
        <w:rPr>
          <w:rFonts w:asciiTheme="minorHAnsi" w:eastAsiaTheme="minorEastAsia" w:hAnsiTheme="minorHAnsi" w:cstheme="minorBidi"/>
          <w:b w:val="0"/>
          <w:noProof/>
          <w:sz w:val="22"/>
          <w:szCs w:val="22"/>
          <w:lang w:val="da-DK" w:eastAsia="da-DK"/>
        </w:rPr>
      </w:pPr>
      <w:hyperlink w:anchor="_Toc3285888" w:history="1">
        <w:r w:rsidR="00741BEF" w:rsidRPr="00397A07">
          <w:rPr>
            <w:rStyle w:val="Hyperlink"/>
            <w:noProof/>
          </w:rPr>
          <w:t>4</w:t>
        </w:r>
        <w:r w:rsidR="00741BEF">
          <w:rPr>
            <w:rFonts w:asciiTheme="minorHAnsi" w:eastAsiaTheme="minorEastAsia" w:hAnsiTheme="minorHAnsi" w:cstheme="minorBidi"/>
            <w:b w:val="0"/>
            <w:noProof/>
            <w:sz w:val="22"/>
            <w:szCs w:val="22"/>
            <w:lang w:val="da-DK" w:eastAsia="da-DK"/>
          </w:rPr>
          <w:tab/>
        </w:r>
        <w:r w:rsidR="00741BEF" w:rsidRPr="00397A07">
          <w:rPr>
            <w:rStyle w:val="Hyperlink"/>
            <w:noProof/>
          </w:rPr>
          <w:t>Timing and steps for the introduction of MFCN in L-Band and protection of MES in adjacent bands</w:t>
        </w:r>
        <w:r w:rsidR="00741BEF">
          <w:rPr>
            <w:noProof/>
            <w:webHidden/>
          </w:rPr>
          <w:tab/>
        </w:r>
        <w:r w:rsidR="00741BEF">
          <w:rPr>
            <w:noProof/>
            <w:webHidden/>
          </w:rPr>
          <w:fldChar w:fldCharType="begin"/>
        </w:r>
        <w:r w:rsidR="00741BEF">
          <w:rPr>
            <w:noProof/>
            <w:webHidden/>
          </w:rPr>
          <w:instrText xml:space="preserve"> PAGEREF _Toc3285888 \h </w:instrText>
        </w:r>
        <w:r w:rsidR="00741BEF">
          <w:rPr>
            <w:noProof/>
            <w:webHidden/>
          </w:rPr>
        </w:r>
        <w:r w:rsidR="00741BEF">
          <w:rPr>
            <w:noProof/>
            <w:webHidden/>
          </w:rPr>
          <w:fldChar w:fldCharType="separate"/>
        </w:r>
        <w:r w:rsidR="00741BEF">
          <w:rPr>
            <w:noProof/>
            <w:webHidden/>
          </w:rPr>
          <w:t>18</w:t>
        </w:r>
        <w:r w:rsidR="00741BEF">
          <w:rPr>
            <w:noProof/>
            <w:webHidden/>
          </w:rPr>
          <w:fldChar w:fldCharType="end"/>
        </w:r>
      </w:hyperlink>
    </w:p>
    <w:p w:rsidR="00741BEF" w:rsidRDefault="002D0E0F">
      <w:pPr>
        <w:pStyle w:val="TOC2"/>
        <w:rPr>
          <w:rFonts w:asciiTheme="minorHAnsi" w:eastAsiaTheme="minorEastAsia" w:hAnsiTheme="minorHAnsi" w:cstheme="minorBidi"/>
          <w:bCs w:val="0"/>
          <w:sz w:val="22"/>
          <w:szCs w:val="22"/>
          <w:lang w:val="da-DK" w:eastAsia="da-DK"/>
        </w:rPr>
      </w:pPr>
      <w:hyperlink w:anchor="_Toc3285889" w:history="1">
        <w:r w:rsidR="00741BEF" w:rsidRPr="00397A07">
          <w:rPr>
            <w:rStyle w:val="Hyperlink"/>
          </w:rPr>
          <w:t>4.1</w:t>
        </w:r>
        <w:r w:rsidR="00741BEF">
          <w:rPr>
            <w:rFonts w:asciiTheme="minorHAnsi" w:eastAsiaTheme="minorEastAsia" w:hAnsiTheme="minorHAnsi" w:cstheme="minorBidi"/>
            <w:bCs w:val="0"/>
            <w:sz w:val="22"/>
            <w:szCs w:val="22"/>
            <w:lang w:val="da-DK" w:eastAsia="da-DK"/>
          </w:rPr>
          <w:tab/>
        </w:r>
        <w:r w:rsidR="00741BEF" w:rsidRPr="00397A07">
          <w:rPr>
            <w:rStyle w:val="Hyperlink"/>
          </w:rPr>
          <w:t>Timing of availability of spectrum and authorisation for SDL</w:t>
        </w:r>
        <w:r w:rsidR="00741BEF">
          <w:rPr>
            <w:webHidden/>
          </w:rPr>
          <w:tab/>
        </w:r>
        <w:r w:rsidR="00741BEF">
          <w:rPr>
            <w:webHidden/>
          </w:rPr>
          <w:fldChar w:fldCharType="begin"/>
        </w:r>
        <w:r w:rsidR="00741BEF">
          <w:rPr>
            <w:webHidden/>
          </w:rPr>
          <w:instrText xml:space="preserve"> PAGEREF _Toc3285889 \h </w:instrText>
        </w:r>
        <w:r w:rsidR="00741BEF">
          <w:rPr>
            <w:webHidden/>
          </w:rPr>
        </w:r>
        <w:r w:rsidR="00741BEF">
          <w:rPr>
            <w:webHidden/>
          </w:rPr>
          <w:fldChar w:fldCharType="separate"/>
        </w:r>
        <w:r w:rsidR="00741BEF">
          <w:rPr>
            <w:webHidden/>
          </w:rPr>
          <w:t>18</w:t>
        </w:r>
        <w:r w:rsidR="00741BEF">
          <w:rPr>
            <w:webHidden/>
          </w:rPr>
          <w:fldChar w:fldCharType="end"/>
        </w:r>
      </w:hyperlink>
    </w:p>
    <w:p w:rsidR="00741BEF" w:rsidRDefault="002D0E0F">
      <w:pPr>
        <w:pStyle w:val="TOC2"/>
        <w:rPr>
          <w:rFonts w:asciiTheme="minorHAnsi" w:eastAsiaTheme="minorEastAsia" w:hAnsiTheme="minorHAnsi" w:cstheme="minorBidi"/>
          <w:bCs w:val="0"/>
          <w:sz w:val="22"/>
          <w:szCs w:val="22"/>
          <w:lang w:val="da-DK" w:eastAsia="da-DK"/>
        </w:rPr>
      </w:pPr>
      <w:hyperlink w:anchor="_Toc3285890" w:history="1">
        <w:r w:rsidR="00741BEF" w:rsidRPr="00397A07">
          <w:rPr>
            <w:rStyle w:val="Hyperlink"/>
          </w:rPr>
          <w:t>4.2</w:t>
        </w:r>
        <w:r w:rsidR="00741BEF">
          <w:rPr>
            <w:rFonts w:asciiTheme="minorHAnsi" w:eastAsiaTheme="minorEastAsia" w:hAnsiTheme="minorHAnsi" w:cstheme="minorBidi"/>
            <w:bCs w:val="0"/>
            <w:sz w:val="22"/>
            <w:szCs w:val="22"/>
            <w:lang w:val="da-DK" w:eastAsia="da-DK"/>
          </w:rPr>
          <w:tab/>
        </w:r>
        <w:r w:rsidR="00741BEF" w:rsidRPr="00397A07">
          <w:rPr>
            <w:rStyle w:val="Hyperlink"/>
          </w:rPr>
          <w:t>Timing for availability of new MES equipment</w:t>
        </w:r>
        <w:r w:rsidR="00741BEF">
          <w:rPr>
            <w:webHidden/>
          </w:rPr>
          <w:tab/>
        </w:r>
        <w:r w:rsidR="00741BEF">
          <w:rPr>
            <w:webHidden/>
          </w:rPr>
          <w:fldChar w:fldCharType="begin"/>
        </w:r>
        <w:r w:rsidR="00741BEF">
          <w:rPr>
            <w:webHidden/>
          </w:rPr>
          <w:instrText xml:space="preserve"> PAGEREF _Toc3285890 \h </w:instrText>
        </w:r>
        <w:r w:rsidR="00741BEF">
          <w:rPr>
            <w:webHidden/>
          </w:rPr>
        </w:r>
        <w:r w:rsidR="00741BEF">
          <w:rPr>
            <w:webHidden/>
          </w:rPr>
          <w:fldChar w:fldCharType="separate"/>
        </w:r>
        <w:r w:rsidR="00741BEF">
          <w:rPr>
            <w:webHidden/>
          </w:rPr>
          <w:t>18</w:t>
        </w:r>
        <w:r w:rsidR="00741BEF">
          <w:rPr>
            <w:webHidden/>
          </w:rPr>
          <w:fldChar w:fldCharType="end"/>
        </w:r>
      </w:hyperlink>
    </w:p>
    <w:p w:rsidR="00741BEF" w:rsidRDefault="002D0E0F">
      <w:pPr>
        <w:pStyle w:val="TOC2"/>
        <w:rPr>
          <w:rFonts w:asciiTheme="minorHAnsi" w:eastAsiaTheme="minorEastAsia" w:hAnsiTheme="minorHAnsi" w:cstheme="minorBidi"/>
          <w:bCs w:val="0"/>
          <w:sz w:val="22"/>
          <w:szCs w:val="22"/>
          <w:lang w:val="da-DK" w:eastAsia="da-DK"/>
        </w:rPr>
      </w:pPr>
      <w:hyperlink w:anchor="_Toc3285891" w:history="1">
        <w:r w:rsidR="00741BEF" w:rsidRPr="00397A07">
          <w:rPr>
            <w:rStyle w:val="Hyperlink"/>
          </w:rPr>
          <w:t>4.3</w:t>
        </w:r>
        <w:r w:rsidR="00741BEF">
          <w:rPr>
            <w:rFonts w:asciiTheme="minorHAnsi" w:eastAsiaTheme="minorEastAsia" w:hAnsiTheme="minorHAnsi" w:cstheme="minorBidi"/>
            <w:bCs w:val="0"/>
            <w:sz w:val="22"/>
            <w:szCs w:val="22"/>
            <w:lang w:val="da-DK" w:eastAsia="da-DK"/>
          </w:rPr>
          <w:tab/>
        </w:r>
        <w:r w:rsidR="00741BEF" w:rsidRPr="00397A07">
          <w:rPr>
            <w:rStyle w:val="Hyperlink"/>
          </w:rPr>
          <w:t>Lifetime of equipment on board vessels and aircraft</w:t>
        </w:r>
        <w:r w:rsidR="00741BEF">
          <w:rPr>
            <w:webHidden/>
          </w:rPr>
          <w:tab/>
        </w:r>
        <w:r w:rsidR="00741BEF">
          <w:rPr>
            <w:webHidden/>
          </w:rPr>
          <w:fldChar w:fldCharType="begin"/>
        </w:r>
        <w:r w:rsidR="00741BEF">
          <w:rPr>
            <w:webHidden/>
          </w:rPr>
          <w:instrText xml:space="preserve"> PAGEREF _Toc3285891 \h </w:instrText>
        </w:r>
        <w:r w:rsidR="00741BEF">
          <w:rPr>
            <w:webHidden/>
          </w:rPr>
        </w:r>
        <w:r w:rsidR="00741BEF">
          <w:rPr>
            <w:webHidden/>
          </w:rPr>
          <w:fldChar w:fldCharType="separate"/>
        </w:r>
        <w:r w:rsidR="00741BEF">
          <w:rPr>
            <w:webHidden/>
          </w:rPr>
          <w:t>19</w:t>
        </w:r>
        <w:r w:rsidR="00741BEF">
          <w:rPr>
            <w:webHidden/>
          </w:rPr>
          <w:fldChar w:fldCharType="end"/>
        </w:r>
      </w:hyperlink>
    </w:p>
    <w:p w:rsidR="00741BEF" w:rsidRDefault="002D0E0F">
      <w:pPr>
        <w:pStyle w:val="TOC2"/>
        <w:rPr>
          <w:rFonts w:asciiTheme="minorHAnsi" w:eastAsiaTheme="minorEastAsia" w:hAnsiTheme="minorHAnsi" w:cstheme="minorBidi"/>
          <w:bCs w:val="0"/>
          <w:sz w:val="22"/>
          <w:szCs w:val="22"/>
          <w:lang w:val="da-DK" w:eastAsia="da-DK"/>
        </w:rPr>
      </w:pPr>
      <w:hyperlink w:anchor="_Toc3285892" w:history="1">
        <w:r w:rsidR="00741BEF" w:rsidRPr="00397A07">
          <w:rPr>
            <w:rStyle w:val="Hyperlink"/>
            <w:rFonts w:cs="Times New Roman"/>
          </w:rPr>
          <w:t>4.4</w:t>
        </w:r>
        <w:r w:rsidR="00741BEF">
          <w:rPr>
            <w:rFonts w:asciiTheme="minorHAnsi" w:eastAsiaTheme="minorEastAsia" w:hAnsiTheme="minorHAnsi" w:cstheme="minorBidi"/>
            <w:bCs w:val="0"/>
            <w:sz w:val="22"/>
            <w:szCs w:val="22"/>
            <w:lang w:val="da-DK" w:eastAsia="da-DK"/>
          </w:rPr>
          <w:tab/>
        </w:r>
        <w:r w:rsidR="00741BEF" w:rsidRPr="00397A07">
          <w:rPr>
            <w:rStyle w:val="Hyperlink"/>
          </w:rPr>
          <w:t>Potential to accelerate retrofit</w:t>
        </w:r>
        <w:r w:rsidR="00741BEF">
          <w:rPr>
            <w:webHidden/>
          </w:rPr>
          <w:tab/>
        </w:r>
        <w:r w:rsidR="00741BEF">
          <w:rPr>
            <w:webHidden/>
          </w:rPr>
          <w:fldChar w:fldCharType="begin"/>
        </w:r>
        <w:r w:rsidR="00741BEF">
          <w:rPr>
            <w:webHidden/>
          </w:rPr>
          <w:instrText xml:space="preserve"> PAGEREF _Toc3285892 \h </w:instrText>
        </w:r>
        <w:r w:rsidR="00741BEF">
          <w:rPr>
            <w:webHidden/>
          </w:rPr>
        </w:r>
        <w:r w:rsidR="00741BEF">
          <w:rPr>
            <w:webHidden/>
          </w:rPr>
          <w:fldChar w:fldCharType="separate"/>
        </w:r>
        <w:r w:rsidR="00741BEF">
          <w:rPr>
            <w:webHidden/>
          </w:rPr>
          <w:t>19</w:t>
        </w:r>
        <w:r w:rsidR="00741BEF">
          <w:rPr>
            <w:webHidden/>
          </w:rPr>
          <w:fldChar w:fldCharType="end"/>
        </w:r>
      </w:hyperlink>
    </w:p>
    <w:p w:rsidR="00741BEF" w:rsidRDefault="002D0E0F">
      <w:pPr>
        <w:pStyle w:val="TOC2"/>
        <w:rPr>
          <w:rFonts w:asciiTheme="minorHAnsi" w:eastAsiaTheme="minorEastAsia" w:hAnsiTheme="minorHAnsi" w:cstheme="minorBidi"/>
          <w:bCs w:val="0"/>
          <w:sz w:val="22"/>
          <w:szCs w:val="22"/>
          <w:lang w:val="da-DK" w:eastAsia="da-DK"/>
        </w:rPr>
      </w:pPr>
      <w:hyperlink w:anchor="_Toc3285893" w:history="1">
        <w:r w:rsidR="00741BEF" w:rsidRPr="00397A07">
          <w:rPr>
            <w:rStyle w:val="Hyperlink"/>
          </w:rPr>
          <w:t>4.5</w:t>
        </w:r>
        <w:r w:rsidR="00741BEF">
          <w:rPr>
            <w:rFonts w:asciiTheme="minorHAnsi" w:eastAsiaTheme="minorEastAsia" w:hAnsiTheme="minorHAnsi" w:cstheme="minorBidi"/>
            <w:bCs w:val="0"/>
            <w:sz w:val="22"/>
            <w:szCs w:val="22"/>
            <w:lang w:val="da-DK" w:eastAsia="da-DK"/>
          </w:rPr>
          <w:tab/>
        </w:r>
        <w:r w:rsidR="00741BEF" w:rsidRPr="00397A07">
          <w:rPr>
            <w:rStyle w:val="Hyperlink"/>
          </w:rPr>
          <w:t>Timing for protection of MES terminals</w:t>
        </w:r>
        <w:r w:rsidR="00741BEF">
          <w:rPr>
            <w:webHidden/>
          </w:rPr>
          <w:tab/>
        </w:r>
        <w:r w:rsidR="00741BEF">
          <w:rPr>
            <w:webHidden/>
          </w:rPr>
          <w:fldChar w:fldCharType="begin"/>
        </w:r>
        <w:r w:rsidR="00741BEF">
          <w:rPr>
            <w:webHidden/>
          </w:rPr>
          <w:instrText xml:space="preserve"> PAGEREF _Toc3285893 \h </w:instrText>
        </w:r>
        <w:r w:rsidR="00741BEF">
          <w:rPr>
            <w:webHidden/>
          </w:rPr>
        </w:r>
        <w:r w:rsidR="00741BEF">
          <w:rPr>
            <w:webHidden/>
          </w:rPr>
          <w:fldChar w:fldCharType="separate"/>
        </w:r>
        <w:r w:rsidR="00741BEF">
          <w:rPr>
            <w:webHidden/>
          </w:rPr>
          <w:t>20</w:t>
        </w:r>
        <w:r w:rsidR="00741BEF">
          <w:rPr>
            <w:webHidden/>
          </w:rPr>
          <w:fldChar w:fldCharType="end"/>
        </w:r>
      </w:hyperlink>
    </w:p>
    <w:p w:rsidR="00741BEF" w:rsidRDefault="002D0E0F">
      <w:pPr>
        <w:pStyle w:val="TOC1"/>
        <w:rPr>
          <w:rFonts w:asciiTheme="minorHAnsi" w:eastAsiaTheme="minorEastAsia" w:hAnsiTheme="minorHAnsi" w:cstheme="minorBidi"/>
          <w:b w:val="0"/>
          <w:noProof/>
          <w:sz w:val="22"/>
          <w:szCs w:val="22"/>
          <w:lang w:val="da-DK" w:eastAsia="da-DK"/>
        </w:rPr>
      </w:pPr>
      <w:hyperlink w:anchor="_Toc3285894" w:history="1">
        <w:r w:rsidR="00741BEF" w:rsidRPr="00397A07">
          <w:rPr>
            <w:rStyle w:val="Hyperlink"/>
            <w:noProof/>
          </w:rPr>
          <w:t>5</w:t>
        </w:r>
        <w:r w:rsidR="00741BEF">
          <w:rPr>
            <w:rFonts w:asciiTheme="minorHAnsi" w:eastAsiaTheme="minorEastAsia" w:hAnsiTheme="minorHAnsi" w:cstheme="minorBidi"/>
            <w:b w:val="0"/>
            <w:noProof/>
            <w:sz w:val="22"/>
            <w:szCs w:val="22"/>
            <w:lang w:val="da-DK" w:eastAsia="da-DK"/>
          </w:rPr>
          <w:tab/>
        </w:r>
        <w:r w:rsidR="00741BEF" w:rsidRPr="00397A07">
          <w:rPr>
            <w:rStyle w:val="Hyperlink"/>
            <w:noProof/>
          </w:rPr>
          <w:t>Proportionate measures to address the potential blocking of MES terminals</w:t>
        </w:r>
        <w:r w:rsidR="00741BEF">
          <w:rPr>
            <w:noProof/>
            <w:webHidden/>
          </w:rPr>
          <w:tab/>
        </w:r>
        <w:r w:rsidR="00741BEF">
          <w:rPr>
            <w:noProof/>
            <w:webHidden/>
          </w:rPr>
          <w:fldChar w:fldCharType="begin"/>
        </w:r>
        <w:r w:rsidR="00741BEF">
          <w:rPr>
            <w:noProof/>
            <w:webHidden/>
          </w:rPr>
          <w:instrText xml:space="preserve"> PAGEREF _Toc3285894 \h </w:instrText>
        </w:r>
        <w:r w:rsidR="00741BEF">
          <w:rPr>
            <w:noProof/>
            <w:webHidden/>
          </w:rPr>
        </w:r>
        <w:r w:rsidR="00741BEF">
          <w:rPr>
            <w:noProof/>
            <w:webHidden/>
          </w:rPr>
          <w:fldChar w:fldCharType="separate"/>
        </w:r>
        <w:r w:rsidR="00741BEF">
          <w:rPr>
            <w:noProof/>
            <w:webHidden/>
          </w:rPr>
          <w:t>21</w:t>
        </w:r>
        <w:r w:rsidR="00741BEF">
          <w:rPr>
            <w:noProof/>
            <w:webHidden/>
          </w:rPr>
          <w:fldChar w:fldCharType="end"/>
        </w:r>
      </w:hyperlink>
    </w:p>
    <w:p w:rsidR="00741BEF" w:rsidRDefault="002D0E0F">
      <w:pPr>
        <w:pStyle w:val="TOC2"/>
        <w:rPr>
          <w:rFonts w:asciiTheme="minorHAnsi" w:eastAsiaTheme="minorEastAsia" w:hAnsiTheme="minorHAnsi" w:cstheme="minorBidi"/>
          <w:bCs w:val="0"/>
          <w:sz w:val="22"/>
          <w:szCs w:val="22"/>
          <w:lang w:val="da-DK" w:eastAsia="da-DK"/>
        </w:rPr>
      </w:pPr>
      <w:hyperlink w:anchor="_Toc3285895" w:history="1">
        <w:r w:rsidR="00741BEF" w:rsidRPr="00397A07">
          <w:rPr>
            <w:rStyle w:val="Hyperlink"/>
          </w:rPr>
          <w:t>5.1</w:t>
        </w:r>
        <w:r w:rsidR="00741BEF">
          <w:rPr>
            <w:rFonts w:asciiTheme="minorHAnsi" w:eastAsiaTheme="minorEastAsia" w:hAnsiTheme="minorHAnsi" w:cstheme="minorBidi"/>
            <w:bCs w:val="0"/>
            <w:sz w:val="22"/>
            <w:szCs w:val="22"/>
            <w:lang w:val="da-DK" w:eastAsia="da-DK"/>
          </w:rPr>
          <w:tab/>
        </w:r>
        <w:r w:rsidR="00741BEF" w:rsidRPr="00397A07">
          <w:rPr>
            <w:rStyle w:val="Hyperlink"/>
          </w:rPr>
          <w:t>PFD limits for MFCN base stations</w:t>
        </w:r>
        <w:r w:rsidR="00741BEF">
          <w:rPr>
            <w:webHidden/>
          </w:rPr>
          <w:tab/>
        </w:r>
        <w:r w:rsidR="00741BEF">
          <w:rPr>
            <w:webHidden/>
          </w:rPr>
          <w:fldChar w:fldCharType="begin"/>
        </w:r>
        <w:r w:rsidR="00741BEF">
          <w:rPr>
            <w:webHidden/>
          </w:rPr>
          <w:instrText xml:space="preserve"> PAGEREF _Toc3285895 \h </w:instrText>
        </w:r>
        <w:r w:rsidR="00741BEF">
          <w:rPr>
            <w:webHidden/>
          </w:rPr>
        </w:r>
        <w:r w:rsidR="00741BEF">
          <w:rPr>
            <w:webHidden/>
          </w:rPr>
          <w:fldChar w:fldCharType="separate"/>
        </w:r>
        <w:r w:rsidR="00741BEF">
          <w:rPr>
            <w:webHidden/>
          </w:rPr>
          <w:t>21</w:t>
        </w:r>
        <w:r w:rsidR="00741BEF">
          <w:rPr>
            <w:webHidden/>
          </w:rPr>
          <w:fldChar w:fldCharType="end"/>
        </w:r>
      </w:hyperlink>
    </w:p>
    <w:p w:rsidR="00741BEF" w:rsidRDefault="002D0E0F">
      <w:pPr>
        <w:pStyle w:val="TOC2"/>
        <w:rPr>
          <w:rFonts w:asciiTheme="minorHAnsi" w:eastAsiaTheme="minorEastAsia" w:hAnsiTheme="minorHAnsi" w:cstheme="minorBidi"/>
          <w:bCs w:val="0"/>
          <w:sz w:val="22"/>
          <w:szCs w:val="22"/>
          <w:lang w:val="da-DK" w:eastAsia="da-DK"/>
        </w:rPr>
      </w:pPr>
      <w:hyperlink w:anchor="_Toc3285896" w:history="1">
        <w:r w:rsidR="00741BEF" w:rsidRPr="00397A07">
          <w:rPr>
            <w:rStyle w:val="Hyperlink"/>
          </w:rPr>
          <w:t>5.2</w:t>
        </w:r>
        <w:r w:rsidR="00741BEF">
          <w:rPr>
            <w:rFonts w:asciiTheme="minorHAnsi" w:eastAsiaTheme="minorEastAsia" w:hAnsiTheme="minorHAnsi" w:cstheme="minorBidi"/>
            <w:bCs w:val="0"/>
            <w:sz w:val="22"/>
            <w:szCs w:val="22"/>
            <w:lang w:val="da-DK" w:eastAsia="da-DK"/>
          </w:rPr>
          <w:tab/>
        </w:r>
        <w:r w:rsidR="00741BEF" w:rsidRPr="00397A07">
          <w:rPr>
            <w:rStyle w:val="Hyperlink"/>
          </w:rPr>
          <w:t>Coordination thresholds</w:t>
        </w:r>
        <w:r w:rsidR="00741BEF">
          <w:rPr>
            <w:webHidden/>
          </w:rPr>
          <w:tab/>
        </w:r>
        <w:r w:rsidR="00741BEF">
          <w:rPr>
            <w:webHidden/>
          </w:rPr>
          <w:fldChar w:fldCharType="begin"/>
        </w:r>
        <w:r w:rsidR="00741BEF">
          <w:rPr>
            <w:webHidden/>
          </w:rPr>
          <w:instrText xml:space="preserve"> PAGEREF _Toc3285896 \h </w:instrText>
        </w:r>
        <w:r w:rsidR="00741BEF">
          <w:rPr>
            <w:webHidden/>
          </w:rPr>
        </w:r>
        <w:r w:rsidR="00741BEF">
          <w:rPr>
            <w:webHidden/>
          </w:rPr>
          <w:fldChar w:fldCharType="separate"/>
        </w:r>
        <w:r w:rsidR="00741BEF">
          <w:rPr>
            <w:webHidden/>
          </w:rPr>
          <w:t>21</w:t>
        </w:r>
        <w:r w:rsidR="00741BEF">
          <w:rPr>
            <w:webHidden/>
          </w:rPr>
          <w:fldChar w:fldCharType="end"/>
        </w:r>
      </w:hyperlink>
    </w:p>
    <w:p w:rsidR="00741BEF" w:rsidRDefault="002D0E0F">
      <w:pPr>
        <w:pStyle w:val="TOC2"/>
        <w:rPr>
          <w:rFonts w:asciiTheme="minorHAnsi" w:eastAsiaTheme="minorEastAsia" w:hAnsiTheme="minorHAnsi" w:cstheme="minorBidi"/>
          <w:bCs w:val="0"/>
          <w:sz w:val="22"/>
          <w:szCs w:val="22"/>
          <w:lang w:val="da-DK" w:eastAsia="da-DK"/>
        </w:rPr>
      </w:pPr>
      <w:hyperlink w:anchor="_Toc3285897" w:history="1">
        <w:r w:rsidR="00741BEF" w:rsidRPr="00397A07">
          <w:rPr>
            <w:rStyle w:val="Hyperlink"/>
          </w:rPr>
          <w:t>5.3</w:t>
        </w:r>
        <w:r w:rsidR="00741BEF">
          <w:rPr>
            <w:rFonts w:asciiTheme="minorHAnsi" w:eastAsiaTheme="minorEastAsia" w:hAnsiTheme="minorHAnsi" w:cstheme="minorBidi"/>
            <w:bCs w:val="0"/>
            <w:sz w:val="22"/>
            <w:szCs w:val="22"/>
            <w:lang w:val="da-DK" w:eastAsia="da-DK"/>
          </w:rPr>
          <w:tab/>
        </w:r>
        <w:r w:rsidR="00741BEF" w:rsidRPr="00397A07">
          <w:rPr>
            <w:rStyle w:val="Hyperlink"/>
          </w:rPr>
          <w:t>Guidance to administrations regarding the locations (airports/seaports) necessary to be protected, possibly in conjunction with national authorities for aviation and maritime</w:t>
        </w:r>
        <w:r w:rsidR="00741BEF">
          <w:rPr>
            <w:webHidden/>
          </w:rPr>
          <w:tab/>
        </w:r>
        <w:r w:rsidR="00741BEF">
          <w:rPr>
            <w:webHidden/>
          </w:rPr>
          <w:fldChar w:fldCharType="begin"/>
        </w:r>
        <w:r w:rsidR="00741BEF">
          <w:rPr>
            <w:webHidden/>
          </w:rPr>
          <w:instrText xml:space="preserve"> PAGEREF _Toc3285897 \h </w:instrText>
        </w:r>
        <w:r w:rsidR="00741BEF">
          <w:rPr>
            <w:webHidden/>
          </w:rPr>
        </w:r>
        <w:r w:rsidR="00741BEF">
          <w:rPr>
            <w:webHidden/>
          </w:rPr>
          <w:fldChar w:fldCharType="separate"/>
        </w:r>
        <w:r w:rsidR="00741BEF">
          <w:rPr>
            <w:webHidden/>
          </w:rPr>
          <w:t>22</w:t>
        </w:r>
        <w:r w:rsidR="00741BEF">
          <w:rPr>
            <w:webHidden/>
          </w:rPr>
          <w:fldChar w:fldCharType="end"/>
        </w:r>
      </w:hyperlink>
    </w:p>
    <w:p w:rsidR="00741BEF" w:rsidRDefault="002D0E0F">
      <w:pPr>
        <w:pStyle w:val="TOC1"/>
        <w:rPr>
          <w:rFonts w:asciiTheme="minorHAnsi" w:eastAsiaTheme="minorEastAsia" w:hAnsiTheme="minorHAnsi" w:cstheme="minorBidi"/>
          <w:b w:val="0"/>
          <w:noProof/>
          <w:sz w:val="22"/>
          <w:szCs w:val="22"/>
          <w:lang w:val="da-DK" w:eastAsia="da-DK"/>
        </w:rPr>
      </w:pPr>
      <w:hyperlink w:anchor="_Toc3285898" w:history="1">
        <w:r w:rsidR="00741BEF" w:rsidRPr="00397A07">
          <w:rPr>
            <w:rStyle w:val="Hyperlink"/>
            <w:noProof/>
          </w:rPr>
          <w:t>6</w:t>
        </w:r>
        <w:r w:rsidR="00741BEF">
          <w:rPr>
            <w:rFonts w:asciiTheme="minorHAnsi" w:eastAsiaTheme="minorEastAsia" w:hAnsiTheme="minorHAnsi" w:cstheme="minorBidi"/>
            <w:b w:val="0"/>
            <w:noProof/>
            <w:sz w:val="22"/>
            <w:szCs w:val="22"/>
            <w:lang w:val="da-DK" w:eastAsia="da-DK"/>
          </w:rPr>
          <w:tab/>
        </w:r>
        <w:r w:rsidR="00741BEF" w:rsidRPr="00397A07">
          <w:rPr>
            <w:rStyle w:val="Hyperlink"/>
            <w:noProof/>
          </w:rPr>
          <w:t>Conclusions</w:t>
        </w:r>
        <w:r w:rsidR="00741BEF">
          <w:rPr>
            <w:noProof/>
            <w:webHidden/>
          </w:rPr>
          <w:tab/>
        </w:r>
        <w:r w:rsidR="00741BEF">
          <w:rPr>
            <w:noProof/>
            <w:webHidden/>
          </w:rPr>
          <w:fldChar w:fldCharType="begin"/>
        </w:r>
        <w:r w:rsidR="00741BEF">
          <w:rPr>
            <w:noProof/>
            <w:webHidden/>
          </w:rPr>
          <w:instrText xml:space="preserve"> PAGEREF _Toc3285898 \h </w:instrText>
        </w:r>
        <w:r w:rsidR="00741BEF">
          <w:rPr>
            <w:noProof/>
            <w:webHidden/>
          </w:rPr>
        </w:r>
        <w:r w:rsidR="00741BEF">
          <w:rPr>
            <w:noProof/>
            <w:webHidden/>
          </w:rPr>
          <w:fldChar w:fldCharType="separate"/>
        </w:r>
        <w:r w:rsidR="00741BEF">
          <w:rPr>
            <w:noProof/>
            <w:webHidden/>
          </w:rPr>
          <w:t>23</w:t>
        </w:r>
        <w:r w:rsidR="00741BEF">
          <w:rPr>
            <w:noProof/>
            <w:webHidden/>
          </w:rPr>
          <w:fldChar w:fldCharType="end"/>
        </w:r>
      </w:hyperlink>
    </w:p>
    <w:p w:rsidR="00741BEF" w:rsidRDefault="002D0E0F">
      <w:pPr>
        <w:pStyle w:val="TOC1"/>
        <w:rPr>
          <w:rFonts w:asciiTheme="minorHAnsi" w:eastAsiaTheme="minorEastAsia" w:hAnsiTheme="minorHAnsi" w:cstheme="minorBidi"/>
          <w:b w:val="0"/>
          <w:noProof/>
          <w:sz w:val="22"/>
          <w:szCs w:val="22"/>
          <w:lang w:val="da-DK" w:eastAsia="da-DK"/>
        </w:rPr>
      </w:pPr>
      <w:hyperlink w:anchor="_Toc3285899" w:history="1">
        <w:r w:rsidR="00741BEF" w:rsidRPr="00397A07">
          <w:rPr>
            <w:rStyle w:val="Hyperlink"/>
            <w:noProof/>
          </w:rPr>
          <w:t>ANNEX 1: Other Maritime issues identified</w:t>
        </w:r>
        <w:r w:rsidR="00741BEF">
          <w:rPr>
            <w:noProof/>
            <w:webHidden/>
          </w:rPr>
          <w:tab/>
        </w:r>
        <w:r w:rsidR="00741BEF">
          <w:rPr>
            <w:noProof/>
            <w:webHidden/>
          </w:rPr>
          <w:fldChar w:fldCharType="begin"/>
        </w:r>
        <w:r w:rsidR="00741BEF">
          <w:rPr>
            <w:noProof/>
            <w:webHidden/>
          </w:rPr>
          <w:instrText xml:space="preserve"> PAGEREF _Toc3285899 \h </w:instrText>
        </w:r>
        <w:r w:rsidR="00741BEF">
          <w:rPr>
            <w:noProof/>
            <w:webHidden/>
          </w:rPr>
        </w:r>
        <w:r w:rsidR="00741BEF">
          <w:rPr>
            <w:noProof/>
            <w:webHidden/>
          </w:rPr>
          <w:fldChar w:fldCharType="separate"/>
        </w:r>
        <w:r w:rsidR="00741BEF">
          <w:rPr>
            <w:noProof/>
            <w:webHidden/>
          </w:rPr>
          <w:t>24</w:t>
        </w:r>
        <w:r w:rsidR="00741BEF">
          <w:rPr>
            <w:noProof/>
            <w:webHidden/>
          </w:rPr>
          <w:fldChar w:fldCharType="end"/>
        </w:r>
      </w:hyperlink>
    </w:p>
    <w:p w:rsidR="00741BEF" w:rsidRDefault="002D0E0F">
      <w:pPr>
        <w:pStyle w:val="TOC1"/>
        <w:rPr>
          <w:rFonts w:asciiTheme="minorHAnsi" w:eastAsiaTheme="minorEastAsia" w:hAnsiTheme="minorHAnsi" w:cstheme="minorBidi"/>
          <w:b w:val="0"/>
          <w:noProof/>
          <w:sz w:val="22"/>
          <w:szCs w:val="22"/>
          <w:lang w:val="da-DK" w:eastAsia="da-DK"/>
        </w:rPr>
      </w:pPr>
      <w:hyperlink w:anchor="_Toc3285900" w:history="1">
        <w:r w:rsidR="00741BEF" w:rsidRPr="00397A07">
          <w:rPr>
            <w:rStyle w:val="Hyperlink"/>
            <w:noProof/>
          </w:rPr>
          <w:t>ANNEX 2: Examples of PFD limits</w:t>
        </w:r>
        <w:r w:rsidR="00741BEF">
          <w:rPr>
            <w:noProof/>
            <w:webHidden/>
          </w:rPr>
          <w:tab/>
        </w:r>
        <w:r w:rsidR="00741BEF">
          <w:rPr>
            <w:noProof/>
            <w:webHidden/>
          </w:rPr>
          <w:fldChar w:fldCharType="begin"/>
        </w:r>
        <w:r w:rsidR="00741BEF">
          <w:rPr>
            <w:noProof/>
            <w:webHidden/>
          </w:rPr>
          <w:instrText xml:space="preserve"> PAGEREF _Toc3285900 \h </w:instrText>
        </w:r>
        <w:r w:rsidR="00741BEF">
          <w:rPr>
            <w:noProof/>
            <w:webHidden/>
          </w:rPr>
        </w:r>
        <w:r w:rsidR="00741BEF">
          <w:rPr>
            <w:noProof/>
            <w:webHidden/>
          </w:rPr>
          <w:fldChar w:fldCharType="separate"/>
        </w:r>
        <w:r w:rsidR="00741BEF">
          <w:rPr>
            <w:noProof/>
            <w:webHidden/>
          </w:rPr>
          <w:t>26</w:t>
        </w:r>
        <w:r w:rsidR="00741BEF">
          <w:rPr>
            <w:noProof/>
            <w:webHidden/>
          </w:rPr>
          <w:fldChar w:fldCharType="end"/>
        </w:r>
      </w:hyperlink>
    </w:p>
    <w:p w:rsidR="00741BEF" w:rsidRDefault="002D0E0F">
      <w:pPr>
        <w:pStyle w:val="TOC1"/>
        <w:rPr>
          <w:rFonts w:asciiTheme="minorHAnsi" w:eastAsiaTheme="minorEastAsia" w:hAnsiTheme="minorHAnsi" w:cstheme="minorBidi"/>
          <w:b w:val="0"/>
          <w:noProof/>
          <w:sz w:val="22"/>
          <w:szCs w:val="22"/>
          <w:lang w:val="da-DK" w:eastAsia="da-DK"/>
        </w:rPr>
      </w:pPr>
      <w:hyperlink w:anchor="_Toc3285901" w:history="1">
        <w:r w:rsidR="00741BEF" w:rsidRPr="00397A07">
          <w:rPr>
            <w:rStyle w:val="Hyperlink"/>
            <w:noProof/>
          </w:rPr>
          <w:t>ANNEX 3: List of References</w:t>
        </w:r>
        <w:r w:rsidR="00741BEF">
          <w:rPr>
            <w:noProof/>
            <w:webHidden/>
          </w:rPr>
          <w:tab/>
        </w:r>
        <w:r w:rsidR="00741BEF">
          <w:rPr>
            <w:noProof/>
            <w:webHidden/>
          </w:rPr>
          <w:fldChar w:fldCharType="begin"/>
        </w:r>
        <w:r w:rsidR="00741BEF">
          <w:rPr>
            <w:noProof/>
            <w:webHidden/>
          </w:rPr>
          <w:instrText xml:space="preserve"> PAGEREF _Toc3285901 \h </w:instrText>
        </w:r>
        <w:r w:rsidR="00741BEF">
          <w:rPr>
            <w:noProof/>
            <w:webHidden/>
          </w:rPr>
        </w:r>
        <w:r w:rsidR="00741BEF">
          <w:rPr>
            <w:noProof/>
            <w:webHidden/>
          </w:rPr>
          <w:fldChar w:fldCharType="separate"/>
        </w:r>
        <w:r w:rsidR="00741BEF">
          <w:rPr>
            <w:noProof/>
            <w:webHidden/>
          </w:rPr>
          <w:t>28</w:t>
        </w:r>
        <w:r w:rsidR="00741BEF">
          <w:rPr>
            <w:noProof/>
            <w:webHidden/>
          </w:rPr>
          <w:fldChar w:fldCharType="end"/>
        </w:r>
      </w:hyperlink>
    </w:p>
    <w:p w:rsidR="00E55C68" w:rsidRPr="00D51582" w:rsidRDefault="00A90997" w:rsidP="00E55C68">
      <w:pPr>
        <w:rPr>
          <w:rStyle w:val="ECCParagraph"/>
        </w:rPr>
      </w:pPr>
      <w:r w:rsidRPr="00BC03FD">
        <w:rPr>
          <w:rStyle w:val="ECCParagraph"/>
          <w:b/>
          <w:szCs w:val="20"/>
        </w:rPr>
        <w:fldChar w:fldCharType="end"/>
      </w:r>
      <w:r w:rsidR="00E55C68" w:rsidRPr="00D51582">
        <w:rPr>
          <w:rStyle w:val="ECCParagraph"/>
        </w:rPr>
        <w:br w:type="page"/>
      </w:r>
    </w:p>
    <w:p w:rsidR="008009EC" w:rsidRDefault="008009EC" w:rsidP="00E2303A">
      <w:pPr>
        <w:pStyle w:val="coverpageTableofContent"/>
      </w:pPr>
    </w:p>
    <w:p w:rsidR="008A54FC" w:rsidRPr="00BC03FD" w:rsidRDefault="00DF2C67" w:rsidP="00E2303A">
      <w:pPr>
        <w:pStyle w:val="coverpageTableofContent"/>
        <w:rPr>
          <w:noProof w:val="0"/>
          <w:lang w:val="en-GB"/>
        </w:rPr>
      </w:pPr>
      <w:r w:rsidRPr="00BC03FD">
        <w:rPr>
          <w:lang w:val="da-DK" w:eastAsia="da-DK"/>
        </w:rPr>
        <mc:AlternateContent>
          <mc:Choice Requires="wps">
            <w:drawing>
              <wp:anchor distT="0" distB="0" distL="114300" distR="114300" simplePos="0" relativeHeight="251683840" behindDoc="1" locked="1" layoutInCell="1" allowOverlap="1" wp14:anchorId="58E07A44" wp14:editId="36BF5E44">
                <wp:simplePos x="0" y="0"/>
                <wp:positionH relativeFrom="page">
                  <wp:posOffset>-12700</wp:posOffset>
                </wp:positionH>
                <wp:positionV relativeFrom="page">
                  <wp:posOffset>900430</wp:posOffset>
                </wp:positionV>
                <wp:extent cx="7559675" cy="719455"/>
                <wp:effectExtent l="0" t="0" r="3175" b="4445"/>
                <wp:wrapNone/>
                <wp:docPr id="1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719455"/>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7674E0" id="Rectangle 22" o:spid="_x0000_s1026" style="position:absolute;margin-left:-1pt;margin-top:70.9pt;width:595.25pt;height:56.6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" fillcolor="#b0a696" stroked="f">
                <w10:wrap anchorx="page" anchory="page"/>
                <w10:anchorlock/>
              </v:rect>
            </w:pict>
          </mc:Fallback>
        </mc:AlternateContent>
      </w:r>
      <w:r w:rsidRPr="00BC03FD">
        <w:rPr>
          <w:lang w:val="da-DK" w:eastAsia="da-DK"/>
        </w:rPr>
        <mc:AlternateContent>
          <mc:Choice Requires="wps">
            <w:drawing>
              <wp:anchor distT="0" distB="0" distL="114300" distR="114300" simplePos="0" relativeHeight="251677696" behindDoc="1" locked="1" layoutInCell="1" allowOverlap="1" wp14:anchorId="446F587F" wp14:editId="7EA2D6FA">
                <wp:simplePos x="0" y="0"/>
                <wp:positionH relativeFrom="page">
                  <wp:posOffset>-12700</wp:posOffset>
                </wp:positionH>
                <wp:positionV relativeFrom="page">
                  <wp:posOffset>900430</wp:posOffset>
                </wp:positionV>
                <wp:extent cx="7559675" cy="719455"/>
                <wp:effectExtent l="0" t="0" r="3175" b="4445"/>
                <wp:wrapNone/>
                <wp:docPr id="3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719455"/>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F082D0" id="Rectangle 22" o:spid="_x0000_s1026" style="position:absolute;margin-left:-1pt;margin-top:70.9pt;width:595.25pt;height:56.6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" fillcolor="#b0a696" stroked="f">
                <w10:wrap anchorx="page" anchory="page"/>
                <w10:anchorlock/>
              </v:rect>
            </w:pict>
          </mc:Fallback>
        </mc:AlternateContent>
      </w:r>
      <w:r w:rsidRPr="00BC03FD">
        <w:rPr>
          <w:lang w:val="da-DK" w:eastAsia="da-DK"/>
        </w:rPr>
        <mc:AlternateContent>
          <mc:Choice Requires="wps">
            <w:drawing>
              <wp:anchor distT="0" distB="0" distL="114300" distR="114300" simplePos="0" relativeHeight="251659264" behindDoc="1" locked="1" layoutInCell="1" allowOverlap="1" wp14:anchorId="303BCF81" wp14:editId="01945A40">
                <wp:simplePos x="0" y="0"/>
                <wp:positionH relativeFrom="page">
                  <wp:posOffset>-12700</wp:posOffset>
                </wp:positionH>
                <wp:positionV relativeFrom="page">
                  <wp:posOffset>900430</wp:posOffset>
                </wp:positionV>
                <wp:extent cx="7559675" cy="719455"/>
                <wp:effectExtent l="0" t="0" r="3175" b="4445"/>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719455"/>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2A9053" id="Rectangle 22" o:spid="_x0000_s1026" style="position:absolute;margin-left:-1pt;margin-top:70.9pt;width:595.25pt;height:56.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" fillcolor="#b0a696" stroked="f">
                <w10:wrap anchorx="page" anchory="page"/>
                <w10:anchorlock/>
              </v:rect>
            </w:pict>
          </mc:Fallback>
        </mc:AlternateContent>
      </w:r>
      <w:r w:rsidR="008A54FC" w:rsidRPr="00BC03FD">
        <w:rPr>
          <w:noProof w:val="0"/>
          <w:lang w:val="en-GB"/>
        </w:rPr>
        <w:t>LIST OF ABBREVIATIONS</w:t>
      </w:r>
    </w:p>
    <w:p w:rsidR="008A54FC" w:rsidRPr="00BC03FD" w:rsidRDefault="008A54FC" w:rsidP="00AC2686">
      <w:pPr>
        <w:pStyle w:val="coverpageTableofContent"/>
        <w:rPr>
          <w:noProof w:val="0"/>
          <w:lang w:val="en-GB"/>
        </w:rPr>
      </w:pPr>
    </w:p>
    <w:tbl>
      <w:tblPr>
        <w:tblStyle w:val="ECCTable-clean"/>
        <w:tblW w:w="0" w:type="auto"/>
        <w:tblInd w:w="0" w:type="dxa"/>
        <w:tblLook w:val="01E0" w:firstRow="1" w:lastRow="1" w:firstColumn="1" w:lastColumn="1" w:noHBand="0" w:noVBand="0"/>
      </w:tblPr>
      <w:tblGrid>
        <w:gridCol w:w="2984"/>
        <w:gridCol w:w="6871"/>
      </w:tblGrid>
      <w:tr w:rsidR="00CE6FF5" w:rsidRPr="00854314" w:rsidTr="00281922">
        <w:trPr>
          <w:cnfStyle w:val="100000000000" w:firstRow="1" w:lastRow="0" w:firstColumn="0" w:lastColumn="0" w:oddVBand="0" w:evenVBand="0" w:oddHBand="0" w:evenHBand="0" w:firstRowFirstColumn="0" w:firstRowLastColumn="0" w:lastRowFirstColumn="0" w:lastRowLastColumn="0"/>
          <w:trHeight w:val="76"/>
        </w:trPr>
        <w:tc>
          <w:tcPr>
            <w:tcW w:w="2984" w:type="dxa"/>
          </w:tcPr>
          <w:p w:rsidR="00930439" w:rsidRPr="00854314" w:rsidRDefault="00930439" w:rsidP="00854314">
            <w:pPr>
              <w:pStyle w:val="ECCTableHeaderredfont"/>
            </w:pPr>
            <w:r w:rsidRPr="00854314">
              <w:t>Abbreviation</w:t>
            </w:r>
          </w:p>
        </w:tc>
        <w:tc>
          <w:tcPr>
            <w:tcW w:w="6871" w:type="dxa"/>
          </w:tcPr>
          <w:p w:rsidR="00930439" w:rsidRPr="00854314" w:rsidRDefault="00930439" w:rsidP="00315FB5">
            <w:pPr>
              <w:pStyle w:val="ECCTableHeaderredfont"/>
            </w:pPr>
            <w:r w:rsidRPr="00854314">
              <w:t>Explanation</w:t>
            </w:r>
          </w:p>
        </w:tc>
      </w:tr>
      <w:tr w:rsidR="006C2EA3" w:rsidRPr="00BC03FD" w:rsidTr="00281922">
        <w:trPr>
          <w:trHeight w:val="317"/>
        </w:trPr>
        <w:tc>
          <w:tcPr>
            <w:tcW w:w="2984" w:type="dxa"/>
            <w:vAlign w:val="top"/>
          </w:tcPr>
          <w:p w:rsidR="006C2EA3" w:rsidRPr="00F11EF2" w:rsidRDefault="006C2EA3" w:rsidP="00F11EF2">
            <w:pPr>
              <w:pStyle w:val="ECCTabletext"/>
              <w:rPr>
                <w:rStyle w:val="ECCHLbold"/>
              </w:rPr>
            </w:pPr>
            <w:r w:rsidRPr="00F11EF2">
              <w:rPr>
                <w:rStyle w:val="ECCHLbold"/>
              </w:rPr>
              <w:t xml:space="preserve">3G </w:t>
            </w:r>
          </w:p>
        </w:tc>
        <w:tc>
          <w:tcPr>
            <w:tcW w:w="6871" w:type="dxa"/>
            <w:vAlign w:val="top"/>
          </w:tcPr>
          <w:p w:rsidR="006C2EA3" w:rsidRPr="00F11EF2" w:rsidRDefault="006C2EA3" w:rsidP="00F11EF2">
            <w:pPr>
              <w:pStyle w:val="ECCTabletext"/>
            </w:pPr>
            <w:r w:rsidRPr="00F11EF2">
              <w:t>3rd Generation</w:t>
            </w:r>
          </w:p>
        </w:tc>
      </w:tr>
      <w:tr w:rsidR="006C2EA3" w:rsidRPr="00BC03FD" w:rsidTr="002D75C3">
        <w:trPr>
          <w:trHeight w:val="317"/>
        </w:trPr>
        <w:tc>
          <w:tcPr>
            <w:tcW w:w="2984" w:type="dxa"/>
            <w:vAlign w:val="top"/>
          </w:tcPr>
          <w:p w:rsidR="006C2EA3" w:rsidRPr="00F11EF2" w:rsidRDefault="006C2EA3" w:rsidP="00F11EF2">
            <w:pPr>
              <w:pStyle w:val="ECCTabletext"/>
              <w:rPr>
                <w:rStyle w:val="ECCHLbold"/>
              </w:rPr>
            </w:pPr>
            <w:r>
              <w:rPr>
                <w:rStyle w:val="ECCHLbold"/>
              </w:rPr>
              <w:t>ACARS</w:t>
            </w:r>
          </w:p>
        </w:tc>
        <w:tc>
          <w:tcPr>
            <w:tcW w:w="6871" w:type="dxa"/>
            <w:vAlign w:val="top"/>
          </w:tcPr>
          <w:p w:rsidR="006C2EA3" w:rsidRPr="00F11EF2" w:rsidRDefault="006C2EA3" w:rsidP="00F11EF2">
            <w:pPr>
              <w:pStyle w:val="ECCTabletext"/>
              <w:rPr>
                <w:rStyle w:val="ECCParagraph"/>
              </w:rPr>
            </w:pPr>
            <w:r w:rsidRPr="004070BC">
              <w:rPr>
                <w:rStyle w:val="ECCParagraph"/>
              </w:rPr>
              <w:t>Aircraft Communications Addressing and Reporting System</w:t>
            </w:r>
          </w:p>
        </w:tc>
      </w:tr>
      <w:tr w:rsidR="006C2EA3" w:rsidRPr="00BC03FD" w:rsidTr="00281922">
        <w:trPr>
          <w:trHeight w:val="317"/>
        </w:trPr>
        <w:tc>
          <w:tcPr>
            <w:tcW w:w="2984" w:type="dxa"/>
            <w:vAlign w:val="top"/>
          </w:tcPr>
          <w:p w:rsidR="006C2EA3" w:rsidRPr="00F11EF2" w:rsidRDefault="006C2EA3" w:rsidP="00F11EF2">
            <w:pPr>
              <w:pStyle w:val="ECCTabletext"/>
              <w:rPr>
                <w:rStyle w:val="ECCHLbold"/>
              </w:rPr>
            </w:pPr>
            <w:r w:rsidRPr="00F11EF2">
              <w:rPr>
                <w:rStyle w:val="ECCHLbold"/>
              </w:rPr>
              <w:t>ADS-B</w:t>
            </w:r>
          </w:p>
        </w:tc>
        <w:tc>
          <w:tcPr>
            <w:tcW w:w="6871" w:type="dxa"/>
            <w:vAlign w:val="top"/>
          </w:tcPr>
          <w:p w:rsidR="006C2EA3" w:rsidRPr="00F11EF2" w:rsidRDefault="006C2EA3" w:rsidP="00F11EF2">
            <w:pPr>
              <w:pStyle w:val="ECCTabletext"/>
            </w:pPr>
            <w:r w:rsidRPr="00F11EF2">
              <w:rPr>
                <w:rStyle w:val="ECCParagraph"/>
              </w:rPr>
              <w:t>Automatic Dependent Surveillance-B</w:t>
            </w:r>
          </w:p>
        </w:tc>
      </w:tr>
      <w:tr w:rsidR="006C2EA3" w:rsidRPr="00BC03FD" w:rsidTr="00281922">
        <w:trPr>
          <w:trHeight w:val="317"/>
        </w:trPr>
        <w:tc>
          <w:tcPr>
            <w:tcW w:w="2984" w:type="dxa"/>
            <w:vAlign w:val="top"/>
          </w:tcPr>
          <w:p w:rsidR="006C2EA3" w:rsidRPr="00F11EF2" w:rsidRDefault="006C2EA3" w:rsidP="00F11EF2">
            <w:pPr>
              <w:pStyle w:val="ECCTabletext"/>
              <w:rPr>
                <w:rStyle w:val="ECCHLbold"/>
              </w:rPr>
            </w:pPr>
            <w:r w:rsidRPr="00F11EF2">
              <w:rPr>
                <w:rStyle w:val="ECCHLbold"/>
              </w:rPr>
              <w:t xml:space="preserve">ADS-C </w:t>
            </w:r>
          </w:p>
        </w:tc>
        <w:tc>
          <w:tcPr>
            <w:tcW w:w="6871" w:type="dxa"/>
            <w:vAlign w:val="top"/>
          </w:tcPr>
          <w:p w:rsidR="006C2EA3" w:rsidRPr="00F11EF2" w:rsidRDefault="006C2EA3" w:rsidP="00F11EF2">
            <w:pPr>
              <w:pStyle w:val="ECCTabletext"/>
            </w:pPr>
            <w:r w:rsidRPr="00F11EF2">
              <w:rPr>
                <w:rStyle w:val="ECCParagraph"/>
              </w:rPr>
              <w:t>Automatic Dependent Surveillance-Contract</w:t>
            </w:r>
          </w:p>
        </w:tc>
      </w:tr>
      <w:tr w:rsidR="006C2EA3" w:rsidRPr="00BC03FD" w:rsidTr="00281922">
        <w:trPr>
          <w:trHeight w:val="317"/>
        </w:trPr>
        <w:tc>
          <w:tcPr>
            <w:tcW w:w="2984" w:type="dxa"/>
            <w:vAlign w:val="top"/>
          </w:tcPr>
          <w:p w:rsidR="006C2EA3" w:rsidRPr="00F11EF2" w:rsidRDefault="006C2EA3" w:rsidP="00F11EF2">
            <w:pPr>
              <w:pStyle w:val="ECCTabletext"/>
              <w:rPr>
                <w:rStyle w:val="ECCHLbold"/>
              </w:rPr>
            </w:pPr>
            <w:r w:rsidRPr="00F11EF2">
              <w:rPr>
                <w:rStyle w:val="ECCHLbold"/>
              </w:rPr>
              <w:t xml:space="preserve">AES </w:t>
            </w:r>
          </w:p>
        </w:tc>
        <w:tc>
          <w:tcPr>
            <w:tcW w:w="6871" w:type="dxa"/>
            <w:vAlign w:val="top"/>
          </w:tcPr>
          <w:p w:rsidR="006C2EA3" w:rsidRPr="00F11EF2" w:rsidRDefault="006C2EA3" w:rsidP="00F11EF2">
            <w:pPr>
              <w:pStyle w:val="ECCTabletext"/>
            </w:pPr>
            <w:r w:rsidRPr="00F11EF2">
              <w:t xml:space="preserve">Aircraft Earth Station </w:t>
            </w:r>
          </w:p>
        </w:tc>
      </w:tr>
      <w:tr w:rsidR="006C2EA3" w:rsidRPr="00BC03FD" w:rsidTr="002D75C3">
        <w:trPr>
          <w:trHeight w:val="317"/>
        </w:trPr>
        <w:tc>
          <w:tcPr>
            <w:tcW w:w="2984" w:type="dxa"/>
            <w:vAlign w:val="top"/>
          </w:tcPr>
          <w:p w:rsidR="006C2EA3" w:rsidRPr="00F11EF2" w:rsidRDefault="006C2EA3" w:rsidP="00F11EF2">
            <w:pPr>
              <w:pStyle w:val="ECCTabletext"/>
              <w:rPr>
                <w:rStyle w:val="ECCHLbold"/>
              </w:rPr>
            </w:pPr>
            <w:r>
              <w:rPr>
                <w:rStyle w:val="ECCHLbold"/>
              </w:rPr>
              <w:t>agl</w:t>
            </w:r>
          </w:p>
        </w:tc>
        <w:tc>
          <w:tcPr>
            <w:tcW w:w="6871" w:type="dxa"/>
            <w:vAlign w:val="top"/>
          </w:tcPr>
          <w:p w:rsidR="006C2EA3" w:rsidRPr="00F11EF2" w:rsidRDefault="006C2EA3" w:rsidP="00486F3E">
            <w:pPr>
              <w:pStyle w:val="ECCTabletext"/>
            </w:pPr>
            <w:r>
              <w:t>above ground level</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11EF2">
              <w:rPr>
                <w:rStyle w:val="ECCHLbold"/>
              </w:rPr>
              <w:t>AMS(R)S</w:t>
            </w:r>
          </w:p>
        </w:tc>
        <w:tc>
          <w:tcPr>
            <w:tcW w:w="6871" w:type="dxa"/>
            <w:vAlign w:val="top"/>
          </w:tcPr>
          <w:p w:rsidR="006C2EA3" w:rsidRPr="00F11EF2" w:rsidRDefault="006C2EA3" w:rsidP="00F11EF2">
            <w:pPr>
              <w:pStyle w:val="ECCTabletext"/>
            </w:pPr>
            <w:r w:rsidRPr="00F11EF2">
              <w:t xml:space="preserve">Aeronautical Mobile Satellite (Route) Service (AMSS used for aeronautical safety services) </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11EF2">
              <w:rPr>
                <w:rStyle w:val="ECCHLbold"/>
              </w:rPr>
              <w:t xml:space="preserve">AMSS </w:t>
            </w:r>
          </w:p>
        </w:tc>
        <w:tc>
          <w:tcPr>
            <w:tcW w:w="6871" w:type="dxa"/>
            <w:vAlign w:val="top"/>
          </w:tcPr>
          <w:p w:rsidR="006C2EA3" w:rsidRPr="00F11EF2" w:rsidRDefault="006C2EA3" w:rsidP="009855B4">
            <w:pPr>
              <w:pStyle w:val="ECCTabletext"/>
            </w:pPr>
            <w:r w:rsidRPr="00F11EF2">
              <w:t>Aeronautical Mobile</w:t>
            </w:r>
            <w:r>
              <w:t>-</w:t>
            </w:r>
            <w:r w:rsidRPr="00F11EF2">
              <w:t xml:space="preserve">Satellite Services </w:t>
            </w:r>
          </w:p>
        </w:tc>
      </w:tr>
      <w:tr w:rsidR="006C2EA3" w:rsidRPr="00BC03FD" w:rsidTr="002D75C3">
        <w:trPr>
          <w:trHeight w:val="317"/>
        </w:trPr>
        <w:tc>
          <w:tcPr>
            <w:tcW w:w="2984" w:type="dxa"/>
            <w:vAlign w:val="top"/>
          </w:tcPr>
          <w:p w:rsidR="006C2EA3" w:rsidRDefault="006C2EA3" w:rsidP="00F11EF2">
            <w:pPr>
              <w:pStyle w:val="ECCTabletext"/>
              <w:rPr>
                <w:rStyle w:val="ECCHLbold"/>
              </w:rPr>
            </w:pPr>
            <w:r>
              <w:rPr>
                <w:rStyle w:val="ECCHLbold"/>
              </w:rPr>
              <w:t>ARINC</w:t>
            </w:r>
          </w:p>
        </w:tc>
        <w:tc>
          <w:tcPr>
            <w:tcW w:w="6871" w:type="dxa"/>
            <w:vAlign w:val="top"/>
          </w:tcPr>
          <w:p w:rsidR="006C2EA3" w:rsidRDefault="006C2EA3" w:rsidP="005D4C9B">
            <w:pPr>
              <w:pStyle w:val="ECCTabletext"/>
              <w:rPr>
                <w:rStyle w:val="ECCParagraph"/>
              </w:rPr>
            </w:pPr>
            <w:r w:rsidRPr="005D4C9B">
              <w:t>Aeronautical Radio, Incorporated</w:t>
            </w:r>
          </w:p>
        </w:tc>
      </w:tr>
      <w:tr w:rsidR="006C2EA3" w:rsidRPr="00BC03FD" w:rsidTr="002D75C3">
        <w:trPr>
          <w:trHeight w:val="317"/>
        </w:trPr>
        <w:tc>
          <w:tcPr>
            <w:tcW w:w="2984" w:type="dxa"/>
            <w:vAlign w:val="top"/>
          </w:tcPr>
          <w:p w:rsidR="006C2EA3" w:rsidRPr="00F11EF2" w:rsidRDefault="006C2EA3" w:rsidP="00F11EF2">
            <w:pPr>
              <w:pStyle w:val="ECCTabletext"/>
              <w:rPr>
                <w:rStyle w:val="ECCHLbold"/>
              </w:rPr>
            </w:pPr>
            <w:r>
              <w:rPr>
                <w:rStyle w:val="ECCHLbold"/>
              </w:rPr>
              <w:t>ATM</w:t>
            </w:r>
          </w:p>
        </w:tc>
        <w:tc>
          <w:tcPr>
            <w:tcW w:w="6871" w:type="dxa"/>
            <w:vAlign w:val="top"/>
          </w:tcPr>
          <w:p w:rsidR="006C2EA3" w:rsidRPr="00F11EF2" w:rsidRDefault="006C2EA3" w:rsidP="009E3C28">
            <w:pPr>
              <w:pStyle w:val="ECCTabletext"/>
            </w:pPr>
            <w:r>
              <w:rPr>
                <w:rStyle w:val="ECCParagraph"/>
              </w:rPr>
              <w:t>A</w:t>
            </w:r>
            <w:r w:rsidRPr="004070BC">
              <w:rPr>
                <w:rStyle w:val="ECCParagraph"/>
              </w:rPr>
              <w:t xml:space="preserve">ir </w:t>
            </w:r>
            <w:r>
              <w:rPr>
                <w:rStyle w:val="ECCParagraph"/>
              </w:rPr>
              <w:t>Traffic M</w:t>
            </w:r>
            <w:r w:rsidRPr="004070BC">
              <w:rPr>
                <w:rStyle w:val="ECCParagraph"/>
              </w:rPr>
              <w:t>anagement</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11EF2">
              <w:rPr>
                <w:rStyle w:val="ECCHLbold"/>
              </w:rPr>
              <w:t>BER</w:t>
            </w:r>
          </w:p>
        </w:tc>
        <w:tc>
          <w:tcPr>
            <w:tcW w:w="6871" w:type="dxa"/>
            <w:vAlign w:val="top"/>
          </w:tcPr>
          <w:p w:rsidR="006C2EA3" w:rsidRPr="00F11EF2" w:rsidRDefault="006C2EA3" w:rsidP="00F11EF2">
            <w:pPr>
              <w:pStyle w:val="ECCTabletext"/>
            </w:pPr>
            <w:r w:rsidRPr="00F11EF2">
              <w:t>Bit Error Rate</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11EF2">
              <w:rPr>
                <w:rStyle w:val="ECCHLbold"/>
              </w:rPr>
              <w:t xml:space="preserve">BS </w:t>
            </w:r>
          </w:p>
        </w:tc>
        <w:tc>
          <w:tcPr>
            <w:tcW w:w="6871" w:type="dxa"/>
            <w:vAlign w:val="top"/>
          </w:tcPr>
          <w:p w:rsidR="006C2EA3" w:rsidRPr="00F11EF2" w:rsidRDefault="006C2EA3" w:rsidP="00F11EF2">
            <w:pPr>
              <w:pStyle w:val="ECCTabletext"/>
            </w:pPr>
            <w:r w:rsidRPr="00F11EF2">
              <w:t xml:space="preserve">Base Station </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11EF2">
              <w:rPr>
                <w:rStyle w:val="ECCHLbold"/>
              </w:rPr>
              <w:t xml:space="preserve">BW </w:t>
            </w:r>
          </w:p>
        </w:tc>
        <w:tc>
          <w:tcPr>
            <w:tcW w:w="6871" w:type="dxa"/>
            <w:vAlign w:val="top"/>
          </w:tcPr>
          <w:p w:rsidR="006C2EA3" w:rsidRPr="00F11EF2" w:rsidRDefault="006C2EA3" w:rsidP="00F11EF2">
            <w:pPr>
              <w:pStyle w:val="ECCTabletext"/>
            </w:pPr>
            <w:r w:rsidRPr="00F11EF2">
              <w:t xml:space="preserve">Bandwidth </w:t>
            </w:r>
          </w:p>
        </w:tc>
      </w:tr>
      <w:tr w:rsidR="006C2EA3" w:rsidRPr="00BC03FD" w:rsidTr="00212A05">
        <w:trPr>
          <w:trHeight w:val="317"/>
        </w:trPr>
        <w:tc>
          <w:tcPr>
            <w:tcW w:w="2984" w:type="dxa"/>
          </w:tcPr>
          <w:p w:rsidR="006C2EA3" w:rsidRPr="00FE2D5E" w:rsidRDefault="006C2EA3" w:rsidP="00FE2D5E">
            <w:pPr>
              <w:pStyle w:val="ECCTabletext"/>
              <w:rPr>
                <w:rStyle w:val="ECCHLbold"/>
              </w:rPr>
            </w:pPr>
            <w:r w:rsidRPr="00F11EF2">
              <w:rPr>
                <w:rStyle w:val="ECCHLbold"/>
              </w:rPr>
              <w:t>CEPT</w:t>
            </w:r>
          </w:p>
        </w:tc>
        <w:tc>
          <w:tcPr>
            <w:tcW w:w="6871" w:type="dxa"/>
          </w:tcPr>
          <w:p w:rsidR="006C2EA3" w:rsidRPr="00FE2D5E" w:rsidRDefault="006C2EA3" w:rsidP="00FE2D5E">
            <w:pPr>
              <w:pStyle w:val="ECCTabletext"/>
            </w:pPr>
            <w:r w:rsidRPr="00BC03FD">
              <w:t>European Conference of Postal and Telecommunications Administrations</w:t>
            </w:r>
          </w:p>
        </w:tc>
      </w:tr>
      <w:tr w:rsidR="006C2EA3" w:rsidRPr="00BC03FD" w:rsidTr="00212A05">
        <w:trPr>
          <w:trHeight w:val="317"/>
        </w:trPr>
        <w:tc>
          <w:tcPr>
            <w:tcW w:w="2984" w:type="dxa"/>
          </w:tcPr>
          <w:p w:rsidR="006C2EA3" w:rsidRPr="00FE2D5E" w:rsidRDefault="006C2EA3" w:rsidP="00FE2D5E">
            <w:pPr>
              <w:pStyle w:val="ECCTabletext"/>
              <w:rPr>
                <w:rStyle w:val="ECCHLbold"/>
              </w:rPr>
            </w:pPr>
            <w:r>
              <w:rPr>
                <w:rStyle w:val="ECCHLbold"/>
              </w:rPr>
              <w:t>CIRM</w:t>
            </w:r>
          </w:p>
        </w:tc>
        <w:tc>
          <w:tcPr>
            <w:tcW w:w="6871" w:type="dxa"/>
          </w:tcPr>
          <w:p w:rsidR="006C2EA3" w:rsidRPr="00FE2D5E" w:rsidRDefault="006C2EA3" w:rsidP="00FE2D5E">
            <w:pPr>
              <w:pStyle w:val="ECCTabletext"/>
            </w:pPr>
            <w:r>
              <w:t xml:space="preserve">International </w:t>
            </w:r>
            <w:r w:rsidRPr="00FE2D5E">
              <w:t>Radio-Maritime Committee</w:t>
            </w:r>
          </w:p>
        </w:tc>
      </w:tr>
      <w:tr w:rsidR="006C2EA3" w:rsidRPr="00BC03FD" w:rsidTr="002D75C3">
        <w:trPr>
          <w:trHeight w:val="317"/>
        </w:trPr>
        <w:tc>
          <w:tcPr>
            <w:tcW w:w="2984" w:type="dxa"/>
            <w:vAlign w:val="top"/>
          </w:tcPr>
          <w:p w:rsidR="006C2EA3" w:rsidRPr="00F11EF2" w:rsidRDefault="006C2EA3" w:rsidP="00F11EF2">
            <w:pPr>
              <w:pStyle w:val="ECCTabletext"/>
              <w:rPr>
                <w:rStyle w:val="ECCHLbold"/>
              </w:rPr>
            </w:pPr>
            <w:r>
              <w:rPr>
                <w:rStyle w:val="ECCHLbold"/>
              </w:rPr>
              <w:t>COSPAS-</w:t>
            </w:r>
            <w:r w:rsidRPr="005D4C9B">
              <w:rPr>
                <w:rStyle w:val="ECCHLbold"/>
              </w:rPr>
              <w:t>SARSAT</w:t>
            </w:r>
          </w:p>
        </w:tc>
        <w:tc>
          <w:tcPr>
            <w:tcW w:w="6871" w:type="dxa"/>
            <w:vAlign w:val="top"/>
          </w:tcPr>
          <w:p w:rsidR="006C2EA3" w:rsidRPr="00F11EF2" w:rsidRDefault="006C2EA3" w:rsidP="00F11EF2">
            <w:pPr>
              <w:pStyle w:val="ECCTabletext"/>
              <w:rPr>
                <w:rStyle w:val="ECCParagraph"/>
              </w:rPr>
            </w:pPr>
            <w:r w:rsidRPr="005D4C9B">
              <w:t>Space System for Search of Distress Vessels</w:t>
            </w:r>
            <w:r>
              <w:t xml:space="preserve"> - </w:t>
            </w:r>
            <w:r w:rsidRPr="005D4C9B">
              <w:t>Search and Rescue Satellite-Aided Tracking</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11EF2">
              <w:rPr>
                <w:rStyle w:val="ECCHLbold"/>
              </w:rPr>
              <w:t>CPDLC</w:t>
            </w:r>
          </w:p>
        </w:tc>
        <w:tc>
          <w:tcPr>
            <w:tcW w:w="6871" w:type="dxa"/>
            <w:vAlign w:val="top"/>
          </w:tcPr>
          <w:p w:rsidR="006C2EA3" w:rsidRPr="00F11EF2" w:rsidRDefault="006C2EA3" w:rsidP="00F11EF2">
            <w:pPr>
              <w:pStyle w:val="ECCTabletext"/>
            </w:pPr>
            <w:r w:rsidRPr="00F11EF2">
              <w:rPr>
                <w:rStyle w:val="ECCParagraph"/>
              </w:rPr>
              <w:t>Controller Pilot Data Link Communications</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11EF2">
              <w:rPr>
                <w:rStyle w:val="ECCHLbold"/>
              </w:rPr>
              <w:t xml:space="preserve">dB </w:t>
            </w:r>
          </w:p>
        </w:tc>
        <w:tc>
          <w:tcPr>
            <w:tcW w:w="6871" w:type="dxa"/>
            <w:vAlign w:val="top"/>
          </w:tcPr>
          <w:p w:rsidR="006C2EA3" w:rsidRPr="00F11EF2" w:rsidRDefault="006C2EA3" w:rsidP="00F11EF2">
            <w:pPr>
              <w:pStyle w:val="ECCTabletext"/>
            </w:pPr>
            <w:r w:rsidRPr="00F11EF2">
              <w:t xml:space="preserve">Decibel </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11EF2">
              <w:rPr>
                <w:rStyle w:val="ECCHLbold"/>
              </w:rPr>
              <w:t xml:space="preserve">dBi </w:t>
            </w:r>
          </w:p>
        </w:tc>
        <w:tc>
          <w:tcPr>
            <w:tcW w:w="6871" w:type="dxa"/>
            <w:vAlign w:val="top"/>
          </w:tcPr>
          <w:p w:rsidR="006C2EA3" w:rsidRPr="00F11EF2" w:rsidRDefault="006C2EA3" w:rsidP="00F11EF2">
            <w:pPr>
              <w:pStyle w:val="ECCTabletext"/>
            </w:pPr>
            <w:r w:rsidRPr="00F11EF2">
              <w:t xml:space="preserve">Decibel relative to an Isotropic antenna </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11EF2">
              <w:rPr>
                <w:rStyle w:val="ECCHLbold"/>
              </w:rPr>
              <w:t xml:space="preserve">dBm </w:t>
            </w:r>
          </w:p>
        </w:tc>
        <w:tc>
          <w:tcPr>
            <w:tcW w:w="6871" w:type="dxa"/>
            <w:vAlign w:val="top"/>
          </w:tcPr>
          <w:p w:rsidR="006C2EA3" w:rsidRPr="00F11EF2" w:rsidRDefault="006C2EA3" w:rsidP="00F11EF2">
            <w:pPr>
              <w:pStyle w:val="ECCTabletext"/>
            </w:pPr>
            <w:r w:rsidRPr="00F11EF2">
              <w:t xml:space="preserve">Decibel relative to 1 mW </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11EF2">
              <w:rPr>
                <w:rStyle w:val="ECCHLbold"/>
              </w:rPr>
              <w:t xml:space="preserve">dBW </w:t>
            </w:r>
          </w:p>
        </w:tc>
        <w:tc>
          <w:tcPr>
            <w:tcW w:w="6871" w:type="dxa"/>
            <w:vAlign w:val="top"/>
          </w:tcPr>
          <w:p w:rsidR="006C2EA3" w:rsidRPr="00F11EF2" w:rsidRDefault="006C2EA3" w:rsidP="00F11EF2">
            <w:pPr>
              <w:pStyle w:val="ECCTabletext"/>
            </w:pPr>
            <w:r w:rsidRPr="00F11EF2">
              <w:t xml:space="preserve">Decibel relative to 1 W </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11EF2">
              <w:rPr>
                <w:rStyle w:val="ECCHLbold"/>
              </w:rPr>
              <w:t xml:space="preserve">e.i.r.p. </w:t>
            </w:r>
          </w:p>
        </w:tc>
        <w:tc>
          <w:tcPr>
            <w:tcW w:w="6871" w:type="dxa"/>
            <w:vAlign w:val="top"/>
          </w:tcPr>
          <w:p w:rsidR="006C2EA3" w:rsidRPr="00F11EF2" w:rsidRDefault="006C2EA3" w:rsidP="00F11EF2">
            <w:pPr>
              <w:pStyle w:val="ECCTabletext"/>
            </w:pPr>
            <w:r w:rsidRPr="00F11EF2">
              <w:t xml:space="preserve">equivalent isotropic radiated power </w:t>
            </w:r>
          </w:p>
        </w:tc>
      </w:tr>
      <w:tr w:rsidR="006C2EA3" w:rsidRPr="00BC03FD" w:rsidTr="002D75C3">
        <w:trPr>
          <w:trHeight w:val="317"/>
        </w:trPr>
        <w:tc>
          <w:tcPr>
            <w:tcW w:w="2984" w:type="dxa"/>
            <w:vAlign w:val="top"/>
          </w:tcPr>
          <w:p w:rsidR="006C2EA3" w:rsidRPr="00FE2D5E" w:rsidRDefault="006C2EA3" w:rsidP="00FE2D5E">
            <w:pPr>
              <w:pStyle w:val="ECCTabletext"/>
              <w:rPr>
                <w:rStyle w:val="ECCHLbold"/>
              </w:rPr>
            </w:pPr>
            <w:r w:rsidRPr="009E3C28">
              <w:rPr>
                <w:rStyle w:val="ECCHLbold"/>
              </w:rPr>
              <w:t>EASA</w:t>
            </w:r>
            <w:r w:rsidRPr="00FE2D5E">
              <w:rPr>
                <w:rStyle w:val="ECCHLbold"/>
              </w:rPr>
              <w:tab/>
            </w:r>
          </w:p>
        </w:tc>
        <w:tc>
          <w:tcPr>
            <w:tcW w:w="6871" w:type="dxa"/>
            <w:vAlign w:val="top"/>
          </w:tcPr>
          <w:p w:rsidR="006C2EA3" w:rsidRPr="00FE2D5E" w:rsidRDefault="006C2EA3" w:rsidP="00FE2D5E">
            <w:pPr>
              <w:pStyle w:val="ECCTabletext"/>
            </w:pPr>
            <w:r w:rsidRPr="00212A05">
              <w:rPr>
                <w:rStyle w:val="ECCParagraph"/>
              </w:rPr>
              <w:t>European Aviation Safety Agency</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11EF2">
              <w:rPr>
                <w:rStyle w:val="ECCHLbold"/>
              </w:rPr>
              <w:t xml:space="preserve">ECC </w:t>
            </w:r>
            <w:r w:rsidRPr="00F11EF2">
              <w:rPr>
                <w:rStyle w:val="ECCHLbold"/>
              </w:rPr>
              <w:tab/>
            </w:r>
          </w:p>
        </w:tc>
        <w:tc>
          <w:tcPr>
            <w:tcW w:w="6871" w:type="dxa"/>
            <w:vAlign w:val="top"/>
          </w:tcPr>
          <w:p w:rsidR="006C2EA3" w:rsidRPr="00F11EF2" w:rsidRDefault="006C2EA3" w:rsidP="00F11EF2">
            <w:pPr>
              <w:pStyle w:val="ECCTabletext"/>
            </w:pPr>
            <w:r w:rsidRPr="00F11EF2">
              <w:t xml:space="preserve">Electronic Communications Committee </w:t>
            </w:r>
          </w:p>
        </w:tc>
      </w:tr>
      <w:tr w:rsidR="006C2EA3" w:rsidRPr="00BC03FD" w:rsidTr="002D75C3">
        <w:trPr>
          <w:trHeight w:val="317"/>
        </w:trPr>
        <w:tc>
          <w:tcPr>
            <w:tcW w:w="2984" w:type="dxa"/>
            <w:vAlign w:val="top"/>
          </w:tcPr>
          <w:p w:rsidR="006C2EA3" w:rsidRPr="00F11EF2" w:rsidRDefault="006C2EA3" w:rsidP="00F11EF2">
            <w:pPr>
              <w:pStyle w:val="ECCTabletext"/>
              <w:rPr>
                <w:rStyle w:val="ECCHLbold"/>
              </w:rPr>
            </w:pPr>
            <w:r>
              <w:rPr>
                <w:rStyle w:val="ECCHLbold"/>
              </w:rPr>
              <w:t>EGC</w:t>
            </w:r>
          </w:p>
        </w:tc>
        <w:tc>
          <w:tcPr>
            <w:tcW w:w="6871" w:type="dxa"/>
            <w:vAlign w:val="top"/>
          </w:tcPr>
          <w:p w:rsidR="006C2EA3" w:rsidRPr="00F11EF2" w:rsidRDefault="006C2EA3" w:rsidP="00F11EF2">
            <w:pPr>
              <w:pStyle w:val="ECCTabletext"/>
            </w:pPr>
            <w:r w:rsidRPr="00CD3F35">
              <w:t>Enhanced Group Calling System</w:t>
            </w:r>
          </w:p>
        </w:tc>
      </w:tr>
      <w:tr w:rsidR="006C2EA3" w:rsidRPr="00BC03FD" w:rsidTr="002D75C3">
        <w:trPr>
          <w:trHeight w:val="317"/>
        </w:trPr>
        <w:tc>
          <w:tcPr>
            <w:tcW w:w="2984" w:type="dxa"/>
            <w:vAlign w:val="top"/>
          </w:tcPr>
          <w:p w:rsidR="006C2EA3" w:rsidRPr="0027043A" w:rsidRDefault="006C2EA3" w:rsidP="00F11EF2">
            <w:pPr>
              <w:pStyle w:val="ECCTabletext"/>
              <w:rPr>
                <w:b/>
              </w:rPr>
            </w:pPr>
            <w:r>
              <w:rPr>
                <w:b/>
              </w:rPr>
              <w:t>EMSA</w:t>
            </w:r>
          </w:p>
        </w:tc>
        <w:tc>
          <w:tcPr>
            <w:tcW w:w="6871" w:type="dxa"/>
            <w:vAlign w:val="top"/>
          </w:tcPr>
          <w:p w:rsidR="006C2EA3" w:rsidRPr="00F11EF2" w:rsidRDefault="006C2EA3" w:rsidP="00F11EF2">
            <w:pPr>
              <w:pStyle w:val="ECCTabletext"/>
            </w:pPr>
            <w:r w:rsidRPr="00CA5220">
              <w:rPr>
                <w:lang w:val="en-US"/>
              </w:rPr>
              <w:t>European Maritime Safety Agency</w:t>
            </w:r>
          </w:p>
        </w:tc>
      </w:tr>
      <w:tr w:rsidR="006C2EA3" w:rsidRPr="00BC03FD" w:rsidTr="002D75C3">
        <w:trPr>
          <w:trHeight w:val="317"/>
        </w:trPr>
        <w:tc>
          <w:tcPr>
            <w:tcW w:w="2984" w:type="dxa"/>
            <w:vAlign w:val="top"/>
          </w:tcPr>
          <w:p w:rsidR="006C2EA3" w:rsidRPr="0027043A" w:rsidRDefault="006C2EA3" w:rsidP="00F11EF2">
            <w:pPr>
              <w:pStyle w:val="ECCTabletext"/>
              <w:rPr>
                <w:rStyle w:val="ECCHLbold"/>
                <w:b w:val="0"/>
              </w:rPr>
            </w:pPr>
            <w:r w:rsidRPr="0027043A">
              <w:rPr>
                <w:b/>
              </w:rPr>
              <w:t>EPIRB</w:t>
            </w:r>
          </w:p>
        </w:tc>
        <w:tc>
          <w:tcPr>
            <w:tcW w:w="6871" w:type="dxa"/>
            <w:vAlign w:val="top"/>
          </w:tcPr>
          <w:p w:rsidR="006C2EA3" w:rsidRPr="00F11EF2" w:rsidRDefault="006C2EA3" w:rsidP="005D4C9B">
            <w:pPr>
              <w:pStyle w:val="ECCTabletext"/>
            </w:pPr>
            <w:r>
              <w:t>E</w:t>
            </w:r>
            <w:r w:rsidRPr="005D4C9B">
              <w:t xml:space="preserve">mergency </w:t>
            </w:r>
            <w:r>
              <w:t>P</w:t>
            </w:r>
            <w:r w:rsidRPr="005D4C9B">
              <w:t>osition-</w:t>
            </w:r>
            <w:r>
              <w:t>I</w:t>
            </w:r>
            <w:r w:rsidRPr="005D4C9B">
              <w:t xml:space="preserve">ndicating </w:t>
            </w:r>
            <w:r>
              <w:t>R</w:t>
            </w:r>
            <w:r w:rsidRPr="005D4C9B">
              <w:t>adio</w:t>
            </w:r>
            <w:r>
              <w:t xml:space="preserve"> Beacon</w:t>
            </w:r>
          </w:p>
        </w:tc>
      </w:tr>
      <w:tr w:rsidR="006C2EA3" w:rsidRPr="00BC03FD" w:rsidTr="002D75C3">
        <w:trPr>
          <w:trHeight w:val="317"/>
        </w:trPr>
        <w:tc>
          <w:tcPr>
            <w:tcW w:w="2984" w:type="dxa"/>
            <w:vAlign w:val="top"/>
          </w:tcPr>
          <w:p w:rsidR="006C2EA3" w:rsidRPr="00F11EF2" w:rsidRDefault="006C2EA3" w:rsidP="00212A05">
            <w:pPr>
              <w:pStyle w:val="ECCTabletext"/>
              <w:tabs>
                <w:tab w:val="left" w:pos="1060"/>
              </w:tabs>
              <w:rPr>
                <w:rStyle w:val="ECCHLbold"/>
                <w:lang w:eastAsia="en-US"/>
              </w:rPr>
            </w:pPr>
            <w:r>
              <w:rPr>
                <w:rStyle w:val="ECCHLbold"/>
              </w:rPr>
              <w:t>ESA</w:t>
            </w:r>
          </w:p>
        </w:tc>
        <w:tc>
          <w:tcPr>
            <w:tcW w:w="6871" w:type="dxa"/>
            <w:vAlign w:val="top"/>
          </w:tcPr>
          <w:p w:rsidR="006C2EA3" w:rsidRPr="00F11EF2" w:rsidRDefault="006C2EA3" w:rsidP="00F11EF2">
            <w:pPr>
              <w:pStyle w:val="ECCTabletext"/>
            </w:pPr>
            <w:r>
              <w:t>European Space Agency</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11EF2">
              <w:rPr>
                <w:rStyle w:val="ECCHLbold"/>
              </w:rPr>
              <w:t xml:space="preserve">ETSI </w:t>
            </w:r>
          </w:p>
        </w:tc>
        <w:tc>
          <w:tcPr>
            <w:tcW w:w="6871" w:type="dxa"/>
            <w:vAlign w:val="top"/>
          </w:tcPr>
          <w:p w:rsidR="006C2EA3" w:rsidRPr="00F11EF2" w:rsidRDefault="006C2EA3" w:rsidP="00F11EF2">
            <w:pPr>
              <w:pStyle w:val="ECCTabletext"/>
            </w:pPr>
            <w:r w:rsidRPr="00F11EF2">
              <w:t xml:space="preserve">European Telecommunications Standards Institute </w:t>
            </w:r>
          </w:p>
        </w:tc>
      </w:tr>
      <w:tr w:rsidR="006C2EA3" w:rsidRPr="00BC03FD" w:rsidTr="002D75C3">
        <w:trPr>
          <w:trHeight w:val="317"/>
        </w:trPr>
        <w:tc>
          <w:tcPr>
            <w:tcW w:w="2984" w:type="dxa"/>
            <w:vAlign w:val="top"/>
          </w:tcPr>
          <w:p w:rsidR="006C2EA3" w:rsidRDefault="006C2EA3" w:rsidP="00F11EF2">
            <w:pPr>
              <w:pStyle w:val="ECCTabletext"/>
              <w:rPr>
                <w:rStyle w:val="ECCHLbold"/>
              </w:rPr>
            </w:pPr>
            <w:r>
              <w:rPr>
                <w:rStyle w:val="ECCHLbold"/>
              </w:rPr>
              <w:t>EUROCAE</w:t>
            </w:r>
          </w:p>
        </w:tc>
        <w:tc>
          <w:tcPr>
            <w:tcW w:w="6871" w:type="dxa"/>
            <w:vAlign w:val="top"/>
          </w:tcPr>
          <w:p w:rsidR="006C2EA3" w:rsidRPr="00F11EF2" w:rsidRDefault="006C2EA3" w:rsidP="00F11EF2">
            <w:pPr>
              <w:pStyle w:val="ECCTabletext"/>
            </w:pPr>
            <w:r w:rsidRPr="005D4C9B">
              <w:t>European Organisation for Civil Aviation Equipment</w:t>
            </w:r>
          </w:p>
        </w:tc>
      </w:tr>
      <w:tr w:rsidR="006C2EA3" w:rsidRPr="00BC03FD" w:rsidTr="00212A05">
        <w:trPr>
          <w:trHeight w:val="317"/>
        </w:trPr>
        <w:tc>
          <w:tcPr>
            <w:tcW w:w="2984" w:type="dxa"/>
            <w:vAlign w:val="top"/>
          </w:tcPr>
          <w:p w:rsidR="006C2EA3" w:rsidRPr="00F11EF2" w:rsidRDefault="006C2EA3" w:rsidP="00F11EF2">
            <w:pPr>
              <w:pStyle w:val="ECCTabletext"/>
              <w:rPr>
                <w:rStyle w:val="ECCHLbold"/>
              </w:rPr>
            </w:pPr>
            <w:r>
              <w:rPr>
                <w:rStyle w:val="ECCHLbold"/>
              </w:rPr>
              <w:lastRenderedPageBreak/>
              <w:t>FANS</w:t>
            </w:r>
          </w:p>
        </w:tc>
        <w:tc>
          <w:tcPr>
            <w:tcW w:w="6871" w:type="dxa"/>
            <w:vAlign w:val="top"/>
          </w:tcPr>
          <w:p w:rsidR="006C2EA3" w:rsidRPr="00212A05" w:rsidRDefault="006C2EA3" w:rsidP="00212A05">
            <w:pPr>
              <w:rPr>
                <w:lang w:val="da-DK"/>
              </w:rPr>
            </w:pPr>
            <w:r w:rsidRPr="00212A05">
              <w:rPr>
                <w:lang w:val="da-DK"/>
              </w:rPr>
              <w:t>Future Air Navigation System</w:t>
            </w:r>
            <w:r w:rsidRPr="005D4C9B">
              <w:rPr>
                <w:lang w:val="da-DK" w:eastAsia="da-DK"/>
              </w:rPr>
              <w:t xml:space="preserve"> </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11EF2">
              <w:rPr>
                <w:rStyle w:val="ECCHLbold"/>
              </w:rPr>
              <w:t>FB</w:t>
            </w:r>
          </w:p>
        </w:tc>
        <w:tc>
          <w:tcPr>
            <w:tcW w:w="6871" w:type="dxa"/>
            <w:vAlign w:val="top"/>
          </w:tcPr>
          <w:p w:rsidR="006C2EA3" w:rsidRPr="00F11EF2" w:rsidRDefault="006C2EA3" w:rsidP="00F11EF2">
            <w:pPr>
              <w:pStyle w:val="ECCTabletext"/>
            </w:pPr>
            <w:r w:rsidRPr="00F11EF2">
              <w:t>Fleet Broadband</w:t>
            </w:r>
          </w:p>
        </w:tc>
      </w:tr>
      <w:tr w:rsidR="006C2EA3" w:rsidRPr="00BC03FD" w:rsidTr="002D75C3">
        <w:trPr>
          <w:trHeight w:val="317"/>
        </w:trPr>
        <w:tc>
          <w:tcPr>
            <w:tcW w:w="2984" w:type="dxa"/>
            <w:vAlign w:val="top"/>
          </w:tcPr>
          <w:p w:rsidR="006C2EA3" w:rsidRPr="00F11EF2" w:rsidRDefault="006C2EA3" w:rsidP="00F11EF2">
            <w:pPr>
              <w:pStyle w:val="ECCTabletext"/>
              <w:rPr>
                <w:rStyle w:val="ECCHLbold"/>
              </w:rPr>
            </w:pPr>
            <w:r>
              <w:rPr>
                <w:rStyle w:val="ECCHLbold"/>
              </w:rPr>
              <w:t>FCC</w:t>
            </w:r>
          </w:p>
        </w:tc>
        <w:tc>
          <w:tcPr>
            <w:tcW w:w="6871" w:type="dxa"/>
            <w:vAlign w:val="top"/>
          </w:tcPr>
          <w:p w:rsidR="006C2EA3" w:rsidRPr="00F11EF2" w:rsidRDefault="006C2EA3" w:rsidP="00F11EF2">
            <w:pPr>
              <w:pStyle w:val="ECCTabletext"/>
            </w:pPr>
            <w:r>
              <w:t>Federal Communications Commission</w:t>
            </w:r>
          </w:p>
        </w:tc>
      </w:tr>
      <w:tr w:rsidR="006C2EA3" w:rsidRPr="00BC03FD" w:rsidTr="002D75C3">
        <w:trPr>
          <w:trHeight w:val="317"/>
        </w:trPr>
        <w:tc>
          <w:tcPr>
            <w:tcW w:w="2984" w:type="dxa"/>
            <w:vAlign w:val="top"/>
          </w:tcPr>
          <w:p w:rsidR="006C2EA3" w:rsidRPr="002A7BA9" w:rsidRDefault="006C2EA3" w:rsidP="00F11EF2">
            <w:pPr>
              <w:pStyle w:val="ECCTabletext"/>
              <w:rPr>
                <w:rStyle w:val="ECCHLbold"/>
                <w:b w:val="0"/>
              </w:rPr>
            </w:pPr>
            <w:r w:rsidRPr="00212A05">
              <w:rPr>
                <w:b/>
              </w:rPr>
              <w:t>GMDSS</w:t>
            </w:r>
          </w:p>
        </w:tc>
        <w:tc>
          <w:tcPr>
            <w:tcW w:w="6871" w:type="dxa"/>
            <w:vAlign w:val="top"/>
          </w:tcPr>
          <w:p w:rsidR="006C2EA3" w:rsidRPr="00F11EF2" w:rsidRDefault="006C2EA3" w:rsidP="00F11EF2">
            <w:pPr>
              <w:pStyle w:val="ECCTabletext"/>
            </w:pPr>
            <w:r w:rsidRPr="004070BC">
              <w:rPr>
                <w:rStyle w:val="ECCParagraph"/>
              </w:rPr>
              <w:t>Global Maritime Distress and Safety System</w:t>
            </w:r>
          </w:p>
        </w:tc>
      </w:tr>
      <w:tr w:rsidR="006C2EA3" w:rsidRPr="00BC03FD" w:rsidTr="00212A05">
        <w:trPr>
          <w:trHeight w:val="317"/>
        </w:trPr>
        <w:tc>
          <w:tcPr>
            <w:tcW w:w="2984" w:type="dxa"/>
            <w:vAlign w:val="top"/>
          </w:tcPr>
          <w:p w:rsidR="006C2EA3" w:rsidRPr="007116DE" w:rsidRDefault="006C2EA3" w:rsidP="00F11EF2">
            <w:pPr>
              <w:pStyle w:val="ECCTabletext"/>
              <w:rPr>
                <w:rStyle w:val="ECCHLbold"/>
              </w:rPr>
            </w:pPr>
            <w:r w:rsidRPr="007116DE">
              <w:rPr>
                <w:rStyle w:val="ECCHLbold"/>
              </w:rPr>
              <w:t>GOLD</w:t>
            </w:r>
          </w:p>
        </w:tc>
        <w:tc>
          <w:tcPr>
            <w:tcW w:w="6871" w:type="dxa"/>
            <w:vAlign w:val="top"/>
          </w:tcPr>
          <w:p w:rsidR="006C2EA3" w:rsidRPr="00F11EF2" w:rsidRDefault="006C2EA3" w:rsidP="00F11EF2">
            <w:pPr>
              <w:pStyle w:val="ECCTabletext"/>
            </w:pPr>
            <w:r w:rsidRPr="00212A05">
              <w:rPr>
                <w:rStyle w:val="ECCParagraph"/>
              </w:rPr>
              <w:t>Global Operational Data Link Document</w:t>
            </w:r>
          </w:p>
        </w:tc>
      </w:tr>
      <w:tr w:rsidR="006C2EA3" w:rsidRPr="00BC03FD" w:rsidTr="002D75C3">
        <w:trPr>
          <w:trHeight w:val="317"/>
        </w:trPr>
        <w:tc>
          <w:tcPr>
            <w:tcW w:w="2984" w:type="dxa"/>
            <w:vAlign w:val="top"/>
          </w:tcPr>
          <w:p w:rsidR="006C2EA3" w:rsidRDefault="006C2EA3" w:rsidP="00F11EF2">
            <w:pPr>
              <w:pStyle w:val="ECCTabletext"/>
              <w:rPr>
                <w:rStyle w:val="ECCHLbold"/>
              </w:rPr>
            </w:pPr>
            <w:r>
              <w:rPr>
                <w:rStyle w:val="ECCHLbold"/>
              </w:rPr>
              <w:t>HF</w:t>
            </w:r>
          </w:p>
        </w:tc>
        <w:tc>
          <w:tcPr>
            <w:tcW w:w="6871" w:type="dxa"/>
            <w:vAlign w:val="top"/>
          </w:tcPr>
          <w:p w:rsidR="006C2EA3" w:rsidRPr="00F11EF2" w:rsidDel="005D4C9B" w:rsidRDefault="006C2EA3" w:rsidP="00F11EF2">
            <w:pPr>
              <w:pStyle w:val="ECCTabletext"/>
            </w:pPr>
            <w:r>
              <w:t>High Frequency</w:t>
            </w:r>
          </w:p>
        </w:tc>
      </w:tr>
      <w:tr w:rsidR="006C2EA3" w:rsidRPr="00BC03FD" w:rsidTr="002D75C3">
        <w:trPr>
          <w:trHeight w:val="317"/>
        </w:trPr>
        <w:tc>
          <w:tcPr>
            <w:tcW w:w="2984" w:type="dxa"/>
            <w:vAlign w:val="top"/>
          </w:tcPr>
          <w:p w:rsidR="006C2EA3" w:rsidRDefault="006C2EA3" w:rsidP="00F11EF2">
            <w:pPr>
              <w:pStyle w:val="ECCTabletext"/>
              <w:rPr>
                <w:rStyle w:val="ECCHLbold"/>
              </w:rPr>
            </w:pPr>
            <w:r>
              <w:rPr>
                <w:rStyle w:val="ECCHLbold"/>
              </w:rPr>
              <w:t>IATA</w:t>
            </w:r>
          </w:p>
        </w:tc>
        <w:tc>
          <w:tcPr>
            <w:tcW w:w="6871" w:type="dxa"/>
            <w:vAlign w:val="top"/>
          </w:tcPr>
          <w:p w:rsidR="006C2EA3" w:rsidRPr="00F11EF2" w:rsidRDefault="006C2EA3" w:rsidP="00F11EF2">
            <w:pPr>
              <w:pStyle w:val="ECCTabletext"/>
            </w:pPr>
            <w:r w:rsidRPr="00034C38">
              <w:t>International Air Transport Association</w:t>
            </w:r>
          </w:p>
        </w:tc>
      </w:tr>
      <w:tr w:rsidR="006C2EA3" w:rsidRPr="00BC03FD" w:rsidTr="00212A05">
        <w:trPr>
          <w:trHeight w:val="317"/>
        </w:trPr>
        <w:tc>
          <w:tcPr>
            <w:tcW w:w="2984" w:type="dxa"/>
            <w:vAlign w:val="top"/>
          </w:tcPr>
          <w:p w:rsidR="006C2EA3" w:rsidRPr="00F11EF2" w:rsidRDefault="006C2EA3" w:rsidP="00F11EF2">
            <w:pPr>
              <w:pStyle w:val="ECCTabletext"/>
              <w:rPr>
                <w:rStyle w:val="ECCHLbold"/>
              </w:rPr>
            </w:pPr>
            <w:r>
              <w:rPr>
                <w:rStyle w:val="ECCHLbold"/>
              </w:rPr>
              <w:t>ICAO</w:t>
            </w:r>
          </w:p>
        </w:tc>
        <w:tc>
          <w:tcPr>
            <w:tcW w:w="6871" w:type="dxa"/>
            <w:vAlign w:val="top"/>
          </w:tcPr>
          <w:p w:rsidR="006C2EA3" w:rsidRPr="00F11EF2" w:rsidRDefault="006C2EA3" w:rsidP="00F11EF2">
            <w:pPr>
              <w:pStyle w:val="ECCTabletext"/>
            </w:pPr>
            <w:r w:rsidRPr="00034C38">
              <w:t>International Civil Aviation Organization</w:t>
            </w:r>
          </w:p>
        </w:tc>
      </w:tr>
      <w:tr w:rsidR="006C2EA3" w:rsidRPr="00BC03FD" w:rsidTr="002D75C3">
        <w:trPr>
          <w:trHeight w:val="317"/>
        </w:trPr>
        <w:tc>
          <w:tcPr>
            <w:tcW w:w="2984" w:type="dxa"/>
            <w:vAlign w:val="top"/>
          </w:tcPr>
          <w:p w:rsidR="006C2EA3" w:rsidRDefault="006C2EA3" w:rsidP="00F11EF2">
            <w:pPr>
              <w:pStyle w:val="ECCTabletext"/>
              <w:rPr>
                <w:rStyle w:val="ECCHLbold"/>
              </w:rPr>
            </w:pPr>
            <w:r>
              <w:rPr>
                <w:rStyle w:val="ECCHLbold"/>
              </w:rPr>
              <w:t>ICS</w:t>
            </w:r>
          </w:p>
        </w:tc>
        <w:tc>
          <w:tcPr>
            <w:tcW w:w="6871" w:type="dxa"/>
            <w:vAlign w:val="top"/>
          </w:tcPr>
          <w:p w:rsidR="006C2EA3" w:rsidRPr="00E95076" w:rsidRDefault="006C2EA3" w:rsidP="00212A05">
            <w:pPr>
              <w:pStyle w:val="FootnoteText"/>
              <w:rPr>
                <w:rStyle w:val="ECCParagraph"/>
                <w:szCs w:val="20"/>
                <w:lang w:eastAsia="en-US"/>
              </w:rPr>
            </w:pPr>
            <w:r w:rsidRPr="00E95076">
              <w:rPr>
                <w:sz w:val="20"/>
                <w:szCs w:val="20"/>
                <w:lang w:val="en-US"/>
              </w:rPr>
              <w:t>International Chamber of Shipping</w:t>
            </w:r>
          </w:p>
        </w:tc>
      </w:tr>
      <w:tr w:rsidR="006C2EA3" w:rsidRPr="00BC03FD" w:rsidTr="002D75C3">
        <w:trPr>
          <w:trHeight w:val="317"/>
        </w:trPr>
        <w:tc>
          <w:tcPr>
            <w:tcW w:w="2984" w:type="dxa"/>
            <w:vAlign w:val="top"/>
          </w:tcPr>
          <w:p w:rsidR="006C2EA3" w:rsidRDefault="006C2EA3" w:rsidP="00F11EF2">
            <w:pPr>
              <w:pStyle w:val="ECCTabletext"/>
              <w:rPr>
                <w:rStyle w:val="ECCHLbold"/>
              </w:rPr>
            </w:pPr>
            <w:r>
              <w:rPr>
                <w:rStyle w:val="ECCHLbold"/>
              </w:rPr>
              <w:t>IEC</w:t>
            </w:r>
          </w:p>
        </w:tc>
        <w:tc>
          <w:tcPr>
            <w:tcW w:w="6871" w:type="dxa"/>
            <w:vAlign w:val="top"/>
          </w:tcPr>
          <w:p w:rsidR="006C2EA3" w:rsidRPr="00212A05" w:rsidRDefault="006C2EA3">
            <w:pPr>
              <w:pStyle w:val="FootnoteText"/>
              <w:rPr>
                <w:rStyle w:val="ECCParagraph"/>
              </w:rPr>
            </w:pPr>
            <w:r w:rsidRPr="00212A05">
              <w:rPr>
                <w:rStyle w:val="ECCParagraph"/>
              </w:rPr>
              <w:t>Internati</w:t>
            </w:r>
            <w:r>
              <w:rPr>
                <w:rStyle w:val="ECCParagraph"/>
              </w:rPr>
              <w:t>onal Electrotechnial Commission</w:t>
            </w:r>
          </w:p>
        </w:tc>
      </w:tr>
      <w:tr w:rsidR="006C2EA3" w:rsidRPr="00BC03FD" w:rsidTr="00212A05">
        <w:trPr>
          <w:trHeight w:val="317"/>
        </w:trPr>
        <w:tc>
          <w:tcPr>
            <w:tcW w:w="2984" w:type="dxa"/>
            <w:vAlign w:val="top"/>
          </w:tcPr>
          <w:p w:rsidR="006C2EA3" w:rsidRDefault="006C2EA3" w:rsidP="00F11EF2">
            <w:pPr>
              <w:pStyle w:val="ECCTabletext"/>
              <w:rPr>
                <w:rStyle w:val="ECCHLbold"/>
              </w:rPr>
            </w:pPr>
            <w:r>
              <w:rPr>
                <w:rStyle w:val="ECCHLbold"/>
              </w:rPr>
              <w:t>IMO</w:t>
            </w:r>
          </w:p>
        </w:tc>
        <w:tc>
          <w:tcPr>
            <w:tcW w:w="6871" w:type="dxa"/>
            <w:vAlign w:val="top"/>
          </w:tcPr>
          <w:p w:rsidR="006C2EA3" w:rsidRPr="00212A05" w:rsidRDefault="006C2EA3" w:rsidP="00212A05">
            <w:pPr>
              <w:pStyle w:val="FootnoteText"/>
              <w:rPr>
                <w:rStyle w:val="ECCParagraph"/>
              </w:rPr>
            </w:pPr>
            <w:r w:rsidRPr="00212A05">
              <w:rPr>
                <w:rStyle w:val="ECCParagraph"/>
              </w:rPr>
              <w:t>International Maritime Organization</w:t>
            </w:r>
          </w:p>
        </w:tc>
      </w:tr>
      <w:tr w:rsidR="006C2EA3" w:rsidRPr="00BC03FD" w:rsidTr="00212A05">
        <w:trPr>
          <w:trHeight w:val="317"/>
        </w:trPr>
        <w:tc>
          <w:tcPr>
            <w:tcW w:w="2984" w:type="dxa"/>
            <w:vAlign w:val="top"/>
          </w:tcPr>
          <w:p w:rsidR="006C2EA3" w:rsidRPr="00212A05" w:rsidRDefault="006C2EA3" w:rsidP="00212A05">
            <w:pPr>
              <w:pStyle w:val="ECCTabletext"/>
              <w:tabs>
                <w:tab w:val="left" w:pos="897"/>
              </w:tabs>
              <w:rPr>
                <w:rStyle w:val="ECCHLbold"/>
                <w:sz w:val="16"/>
                <w:lang w:val="da-DK"/>
                <w14:cntxtAlts/>
              </w:rPr>
            </w:pPr>
            <w:r>
              <w:rPr>
                <w:rStyle w:val="ECCHLbold"/>
              </w:rPr>
              <w:t>IMT</w:t>
            </w:r>
          </w:p>
        </w:tc>
        <w:tc>
          <w:tcPr>
            <w:tcW w:w="6871" w:type="dxa"/>
            <w:vAlign w:val="top"/>
          </w:tcPr>
          <w:p w:rsidR="006C2EA3" w:rsidRPr="00212A05" w:rsidRDefault="006C2EA3" w:rsidP="00891884">
            <w:pPr>
              <w:pStyle w:val="ECCTabletext"/>
              <w:rPr>
                <w:rStyle w:val="ECCParagraph"/>
              </w:rPr>
            </w:pPr>
            <w:r w:rsidRPr="00212A05">
              <w:rPr>
                <w:rStyle w:val="ECCParagraph"/>
              </w:rPr>
              <w:t xml:space="preserve">International Mobile </w:t>
            </w:r>
            <w:r>
              <w:rPr>
                <w:rStyle w:val="ECCParagraph"/>
              </w:rPr>
              <w:t>Telecommunications</w:t>
            </w:r>
          </w:p>
        </w:tc>
      </w:tr>
      <w:tr w:rsidR="006C2EA3" w:rsidRPr="00BC03FD" w:rsidTr="002D75C3">
        <w:trPr>
          <w:trHeight w:val="317"/>
        </w:trPr>
        <w:tc>
          <w:tcPr>
            <w:tcW w:w="2984" w:type="dxa"/>
            <w:vAlign w:val="top"/>
          </w:tcPr>
          <w:p w:rsidR="006C2EA3" w:rsidRDefault="006C2EA3" w:rsidP="00F11EF2">
            <w:pPr>
              <w:pStyle w:val="ECCTabletext"/>
              <w:rPr>
                <w:rStyle w:val="ECCHLbold"/>
              </w:rPr>
            </w:pPr>
            <w:r>
              <w:rPr>
                <w:rStyle w:val="ECCHLbold"/>
              </w:rPr>
              <w:t>IOC</w:t>
            </w:r>
          </w:p>
        </w:tc>
        <w:tc>
          <w:tcPr>
            <w:tcW w:w="6871" w:type="dxa"/>
            <w:vAlign w:val="top"/>
          </w:tcPr>
          <w:p w:rsidR="006C2EA3" w:rsidRPr="009E3C28" w:rsidRDefault="006C2EA3" w:rsidP="009E3C28">
            <w:pPr>
              <w:pStyle w:val="ECCTabletext"/>
              <w:rPr>
                <w:szCs w:val="20"/>
              </w:rPr>
            </w:pPr>
            <w:r w:rsidRPr="00E95076">
              <w:rPr>
                <w:rStyle w:val="ECCParagraph"/>
                <w:szCs w:val="20"/>
              </w:rPr>
              <w:t xml:space="preserve">Initial </w:t>
            </w:r>
            <w:r>
              <w:rPr>
                <w:rStyle w:val="ECCParagraph"/>
              </w:rPr>
              <w:t>O</w:t>
            </w:r>
            <w:r w:rsidRPr="00E95076">
              <w:rPr>
                <w:rStyle w:val="ECCParagraph"/>
                <w:szCs w:val="20"/>
              </w:rPr>
              <w:t xml:space="preserve">perational </w:t>
            </w:r>
            <w:r>
              <w:rPr>
                <w:rStyle w:val="ECCParagraph"/>
              </w:rPr>
              <w:t>C</w:t>
            </w:r>
            <w:r w:rsidRPr="00E95076">
              <w:rPr>
                <w:rStyle w:val="ECCParagraph"/>
                <w:szCs w:val="20"/>
              </w:rPr>
              <w:t>apability</w:t>
            </w:r>
          </w:p>
        </w:tc>
      </w:tr>
      <w:tr w:rsidR="006C2EA3" w:rsidRPr="00BC03FD" w:rsidTr="002D75C3">
        <w:trPr>
          <w:trHeight w:val="317"/>
        </w:trPr>
        <w:tc>
          <w:tcPr>
            <w:tcW w:w="2984" w:type="dxa"/>
            <w:vAlign w:val="top"/>
          </w:tcPr>
          <w:p w:rsidR="006C2EA3" w:rsidRDefault="006C2EA3" w:rsidP="00F11EF2">
            <w:pPr>
              <w:pStyle w:val="ECCTabletext"/>
              <w:rPr>
                <w:rStyle w:val="ECCHLbold"/>
              </w:rPr>
            </w:pPr>
            <w:r>
              <w:rPr>
                <w:rStyle w:val="ECCHLbold"/>
              </w:rPr>
              <w:t>ITU</w:t>
            </w:r>
          </w:p>
        </w:tc>
        <w:tc>
          <w:tcPr>
            <w:tcW w:w="6871" w:type="dxa"/>
            <w:vAlign w:val="top"/>
          </w:tcPr>
          <w:p w:rsidR="006C2EA3" w:rsidRPr="00212A05" w:rsidRDefault="006C2EA3" w:rsidP="00212A05">
            <w:pPr>
              <w:pStyle w:val="ECCTabletext"/>
              <w:rPr>
                <w:rStyle w:val="ECCParagraph"/>
              </w:rPr>
            </w:pPr>
            <w:r w:rsidRPr="00034C38">
              <w:rPr>
                <w:rStyle w:val="ECCParagraph"/>
              </w:rPr>
              <w:t>International Telecommunication Union</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11EF2">
              <w:rPr>
                <w:rStyle w:val="ECCHLbold"/>
              </w:rPr>
              <w:t xml:space="preserve">K </w:t>
            </w:r>
          </w:p>
        </w:tc>
        <w:tc>
          <w:tcPr>
            <w:tcW w:w="6871" w:type="dxa"/>
            <w:vAlign w:val="top"/>
          </w:tcPr>
          <w:p w:rsidR="006C2EA3" w:rsidRPr="00F11EF2" w:rsidRDefault="006C2EA3" w:rsidP="00F11EF2">
            <w:pPr>
              <w:pStyle w:val="ECCTabletext"/>
            </w:pPr>
            <w:r w:rsidRPr="00F11EF2">
              <w:t xml:space="preserve">Kelvin </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11EF2">
              <w:rPr>
                <w:rStyle w:val="ECCHLbold"/>
              </w:rPr>
              <w:t xml:space="preserve">kHz </w:t>
            </w:r>
          </w:p>
        </w:tc>
        <w:tc>
          <w:tcPr>
            <w:tcW w:w="6871" w:type="dxa"/>
            <w:vAlign w:val="top"/>
          </w:tcPr>
          <w:p w:rsidR="006C2EA3" w:rsidRPr="00F11EF2" w:rsidRDefault="006C2EA3" w:rsidP="00F11EF2">
            <w:pPr>
              <w:pStyle w:val="ECCTabletext"/>
            </w:pPr>
            <w:r w:rsidRPr="00F11EF2">
              <w:t xml:space="preserve">Kilohertz (1000 oscillations per second) </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11EF2">
              <w:rPr>
                <w:rStyle w:val="ECCHLbold"/>
              </w:rPr>
              <w:t xml:space="preserve">LNA </w:t>
            </w:r>
          </w:p>
        </w:tc>
        <w:tc>
          <w:tcPr>
            <w:tcW w:w="6871" w:type="dxa"/>
            <w:vAlign w:val="top"/>
          </w:tcPr>
          <w:p w:rsidR="006C2EA3" w:rsidRPr="00F11EF2" w:rsidRDefault="006C2EA3" w:rsidP="00F11EF2">
            <w:pPr>
              <w:pStyle w:val="ECCTabletext"/>
            </w:pPr>
            <w:r w:rsidRPr="00F11EF2">
              <w:t xml:space="preserve">Low Noise Amplifier </w:t>
            </w:r>
          </w:p>
        </w:tc>
      </w:tr>
      <w:tr w:rsidR="006C2EA3" w:rsidRPr="00BC03FD" w:rsidTr="002D75C3">
        <w:trPr>
          <w:trHeight w:val="317"/>
        </w:trPr>
        <w:tc>
          <w:tcPr>
            <w:tcW w:w="2984" w:type="dxa"/>
            <w:vAlign w:val="top"/>
          </w:tcPr>
          <w:p w:rsidR="006C2EA3" w:rsidRPr="00F11EF2" w:rsidRDefault="006C2EA3" w:rsidP="00F11EF2">
            <w:pPr>
              <w:pStyle w:val="ECCTabletext"/>
              <w:rPr>
                <w:rStyle w:val="ECCHLbold"/>
              </w:rPr>
            </w:pPr>
            <w:r>
              <w:rPr>
                <w:rStyle w:val="ECCHLbold"/>
              </w:rPr>
              <w:t>LRIT</w:t>
            </w:r>
          </w:p>
        </w:tc>
        <w:tc>
          <w:tcPr>
            <w:tcW w:w="6871" w:type="dxa"/>
            <w:vAlign w:val="top"/>
          </w:tcPr>
          <w:p w:rsidR="006C2EA3" w:rsidRPr="00F11EF2" w:rsidRDefault="006C2EA3" w:rsidP="00F11EF2">
            <w:pPr>
              <w:pStyle w:val="ECCTabletext"/>
            </w:pPr>
            <w:r>
              <w:t>Long Range Identification and Tracking of ships</w:t>
            </w:r>
          </w:p>
        </w:tc>
      </w:tr>
      <w:tr w:rsidR="006C2EA3" w:rsidRPr="00BC03FD" w:rsidTr="00212A05">
        <w:trPr>
          <w:trHeight w:val="317"/>
        </w:trPr>
        <w:tc>
          <w:tcPr>
            <w:tcW w:w="2984" w:type="dxa"/>
            <w:vAlign w:val="top"/>
          </w:tcPr>
          <w:p w:rsidR="006C2EA3" w:rsidRPr="00F11EF2" w:rsidRDefault="006C2EA3" w:rsidP="00F11EF2">
            <w:pPr>
              <w:pStyle w:val="ECCTabletext"/>
              <w:rPr>
                <w:rStyle w:val="ECCHLbold"/>
              </w:rPr>
            </w:pPr>
            <w:r>
              <w:rPr>
                <w:rStyle w:val="ECCHLbold"/>
              </w:rPr>
              <w:t>LRIT</w:t>
            </w:r>
          </w:p>
        </w:tc>
        <w:tc>
          <w:tcPr>
            <w:tcW w:w="6871" w:type="dxa"/>
            <w:vAlign w:val="top"/>
          </w:tcPr>
          <w:p w:rsidR="006C2EA3" w:rsidRPr="00F11EF2" w:rsidRDefault="006C2EA3" w:rsidP="00F11EF2">
            <w:pPr>
              <w:pStyle w:val="ECCTabletext"/>
            </w:pPr>
            <w:r w:rsidRPr="000F4EA1">
              <w:rPr>
                <w:rStyle w:val="ECCParagraph"/>
              </w:rPr>
              <w:t>Long Range Identification and Tracking</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11EF2">
              <w:rPr>
                <w:rStyle w:val="ECCHLbold"/>
              </w:rPr>
              <w:t xml:space="preserve">LTE </w:t>
            </w:r>
          </w:p>
        </w:tc>
        <w:tc>
          <w:tcPr>
            <w:tcW w:w="6871" w:type="dxa"/>
            <w:vAlign w:val="top"/>
          </w:tcPr>
          <w:p w:rsidR="006C2EA3" w:rsidRPr="00F11EF2" w:rsidRDefault="006C2EA3" w:rsidP="00F11EF2">
            <w:pPr>
              <w:pStyle w:val="ECCTabletext"/>
            </w:pPr>
            <w:r w:rsidRPr="00F11EF2">
              <w:t xml:space="preserve">Long Term Evolution </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11EF2">
              <w:rPr>
                <w:rStyle w:val="ECCHLbold"/>
              </w:rPr>
              <w:t xml:space="preserve">MCL </w:t>
            </w:r>
            <w:r>
              <w:rPr>
                <w:rStyle w:val="ECCHLbold"/>
              </w:rPr>
              <w:t>MASPS</w:t>
            </w:r>
          </w:p>
        </w:tc>
        <w:tc>
          <w:tcPr>
            <w:tcW w:w="6871" w:type="dxa"/>
            <w:vAlign w:val="top"/>
          </w:tcPr>
          <w:p w:rsidR="006C2EA3" w:rsidRPr="00F11EF2" w:rsidRDefault="006C2EA3" w:rsidP="00F11EF2">
            <w:pPr>
              <w:pStyle w:val="ECCTabletext"/>
            </w:pPr>
            <w:r w:rsidRPr="00034C38">
              <w:t xml:space="preserve">Minimum </w:t>
            </w:r>
            <w:r w:rsidRPr="00F11EF2">
              <w:t xml:space="preserve">Coupling Loss </w:t>
            </w:r>
            <w:r w:rsidRPr="00034C38">
              <w:t>Aviation System Performance Standards</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Pr>
                <w:rStyle w:val="ECCHLbold"/>
              </w:rPr>
              <w:t>MED</w:t>
            </w:r>
          </w:p>
        </w:tc>
        <w:tc>
          <w:tcPr>
            <w:tcW w:w="6871" w:type="dxa"/>
            <w:vAlign w:val="top"/>
          </w:tcPr>
          <w:p w:rsidR="006C2EA3" w:rsidRPr="00F11EF2" w:rsidRDefault="006C2EA3" w:rsidP="00F11EF2">
            <w:pPr>
              <w:pStyle w:val="ECCTabletext"/>
            </w:pPr>
            <w:r>
              <w:t>Maritime Equipment Directive 2014/90/EU</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11EF2">
              <w:rPr>
                <w:rStyle w:val="ECCHLbold"/>
              </w:rPr>
              <w:t xml:space="preserve">MES </w:t>
            </w:r>
          </w:p>
        </w:tc>
        <w:tc>
          <w:tcPr>
            <w:tcW w:w="6871" w:type="dxa"/>
            <w:vAlign w:val="top"/>
          </w:tcPr>
          <w:p w:rsidR="006C2EA3" w:rsidRPr="00F11EF2" w:rsidRDefault="006C2EA3" w:rsidP="00F11EF2">
            <w:pPr>
              <w:pStyle w:val="ECCTabletext"/>
            </w:pPr>
            <w:r w:rsidRPr="00F11EF2">
              <w:t xml:space="preserve">Mobile Earth Station </w:t>
            </w:r>
          </w:p>
        </w:tc>
      </w:tr>
      <w:tr w:rsidR="006C2EA3" w:rsidRPr="00BC03FD" w:rsidTr="002D75C3">
        <w:trPr>
          <w:trHeight w:val="317"/>
        </w:trPr>
        <w:tc>
          <w:tcPr>
            <w:tcW w:w="2984" w:type="dxa"/>
            <w:vAlign w:val="top"/>
          </w:tcPr>
          <w:p w:rsidR="006C2EA3" w:rsidRPr="00F11EF2" w:rsidRDefault="006C2EA3" w:rsidP="00F11EF2">
            <w:pPr>
              <w:pStyle w:val="ECCTabletext"/>
              <w:rPr>
                <w:rStyle w:val="ECCHLbold"/>
              </w:rPr>
            </w:pPr>
            <w:r>
              <w:rPr>
                <w:rStyle w:val="ECCHLbold"/>
              </w:rPr>
              <w:t>MF</w:t>
            </w:r>
          </w:p>
        </w:tc>
        <w:tc>
          <w:tcPr>
            <w:tcW w:w="6871" w:type="dxa"/>
            <w:vAlign w:val="top"/>
          </w:tcPr>
          <w:p w:rsidR="006C2EA3" w:rsidRPr="00F11EF2" w:rsidRDefault="006C2EA3" w:rsidP="00F11EF2">
            <w:pPr>
              <w:pStyle w:val="ECCTabletext"/>
            </w:pPr>
            <w:r>
              <w:t>Medium Frequency</w:t>
            </w:r>
          </w:p>
        </w:tc>
      </w:tr>
      <w:tr w:rsidR="006C2EA3" w:rsidRPr="00BC03FD" w:rsidTr="00212A05">
        <w:trPr>
          <w:trHeight w:val="317"/>
        </w:trPr>
        <w:tc>
          <w:tcPr>
            <w:tcW w:w="2984" w:type="dxa"/>
            <w:vAlign w:val="top"/>
          </w:tcPr>
          <w:p w:rsidR="006C2EA3" w:rsidRPr="00F11EF2" w:rsidRDefault="006C2EA3" w:rsidP="00F11EF2">
            <w:pPr>
              <w:pStyle w:val="ECCTabletext"/>
              <w:rPr>
                <w:rStyle w:val="ECCHLbold"/>
              </w:rPr>
            </w:pPr>
            <w:r>
              <w:rPr>
                <w:rStyle w:val="ECCHLbold"/>
              </w:rPr>
              <w:t>MFCN</w:t>
            </w:r>
            <w:r w:rsidRPr="00F11EF2">
              <w:rPr>
                <w:rStyle w:val="ECCHLbold"/>
              </w:rPr>
              <w:t xml:space="preserve"> </w:t>
            </w:r>
          </w:p>
        </w:tc>
        <w:tc>
          <w:tcPr>
            <w:tcW w:w="6871" w:type="dxa"/>
            <w:vAlign w:val="top"/>
          </w:tcPr>
          <w:p w:rsidR="006C2EA3" w:rsidRPr="00F11EF2" w:rsidRDefault="006C2EA3" w:rsidP="00F11EF2">
            <w:pPr>
              <w:pStyle w:val="ECCTabletext"/>
            </w:pPr>
            <w:r>
              <w:t>Mobile/Fixed Communications Networks</w:t>
            </w:r>
          </w:p>
        </w:tc>
      </w:tr>
      <w:tr w:rsidR="006C2EA3" w:rsidRPr="00BC03FD" w:rsidTr="006C2EA3">
        <w:trPr>
          <w:trHeight w:val="317"/>
        </w:trPr>
        <w:tc>
          <w:tcPr>
            <w:tcW w:w="2984" w:type="dxa"/>
            <w:vAlign w:val="top"/>
          </w:tcPr>
          <w:p w:rsidR="006C2EA3" w:rsidRDefault="006C2EA3" w:rsidP="00F11EF2">
            <w:pPr>
              <w:pStyle w:val="ECCTabletext"/>
              <w:rPr>
                <w:rStyle w:val="ECCHLbold"/>
              </w:rPr>
            </w:pPr>
            <w:r>
              <w:rPr>
                <w:rStyle w:val="ECCHLbold"/>
              </w:rPr>
              <w:t>MFCN</w:t>
            </w:r>
            <w:r w:rsidRPr="00F11EF2">
              <w:rPr>
                <w:rStyle w:val="ECCHLbold"/>
              </w:rPr>
              <w:t xml:space="preserve"> </w:t>
            </w:r>
            <w:r w:rsidRPr="002D75C3">
              <w:rPr>
                <w:rStyle w:val="ECCHLbold"/>
              </w:rPr>
              <w:t>ILS</w:t>
            </w:r>
          </w:p>
        </w:tc>
        <w:tc>
          <w:tcPr>
            <w:tcW w:w="6871" w:type="dxa"/>
            <w:vAlign w:val="top"/>
          </w:tcPr>
          <w:p w:rsidR="006C2EA3" w:rsidRPr="006C2EA3" w:rsidRDefault="006C2EA3" w:rsidP="009E3C28">
            <w:pPr>
              <w:pStyle w:val="ECCTabletext"/>
              <w:rPr>
                <w:rStyle w:val="ECCParagraph"/>
              </w:rPr>
            </w:pPr>
            <w:r w:rsidRPr="00F11EF2">
              <w:t>International Mobile Telephony</w:t>
            </w:r>
            <w:r w:rsidRPr="002D75C3">
              <w:t>Instrument Landing System, as defined in Annex 10 to the ICAO Convention on International Civil Aviation, Volume I - “International Standards, Recommended Practices and Procedures for Air Navigation Services: Aeronautical Telecommunications”,</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11EF2">
              <w:rPr>
                <w:rStyle w:val="ECCHLbold"/>
              </w:rPr>
              <w:t xml:space="preserve">MHz </w:t>
            </w:r>
          </w:p>
        </w:tc>
        <w:tc>
          <w:tcPr>
            <w:tcW w:w="6871" w:type="dxa"/>
            <w:vAlign w:val="top"/>
          </w:tcPr>
          <w:p w:rsidR="006C2EA3" w:rsidRPr="00F11EF2" w:rsidRDefault="006C2EA3" w:rsidP="00F11EF2">
            <w:pPr>
              <w:pStyle w:val="ECCTabletext"/>
            </w:pPr>
            <w:r w:rsidRPr="00F11EF2">
              <w:t xml:space="preserve">Megahertz (1000000 oscillations per second) </w:t>
            </w:r>
          </w:p>
        </w:tc>
      </w:tr>
      <w:tr w:rsidR="006C2EA3" w:rsidRPr="00BC03FD" w:rsidTr="00212A05">
        <w:trPr>
          <w:trHeight w:val="317"/>
        </w:trPr>
        <w:tc>
          <w:tcPr>
            <w:tcW w:w="2984" w:type="dxa"/>
            <w:vAlign w:val="top"/>
          </w:tcPr>
          <w:p w:rsidR="006C2EA3" w:rsidRPr="00F11EF2" w:rsidRDefault="006C2EA3" w:rsidP="00F11EF2">
            <w:pPr>
              <w:pStyle w:val="ECCTabletext"/>
              <w:rPr>
                <w:rStyle w:val="ECCHLbold"/>
              </w:rPr>
            </w:pPr>
            <w:r>
              <w:rPr>
                <w:rStyle w:val="ECCHLbold"/>
              </w:rPr>
              <w:t>MMEL</w:t>
            </w:r>
          </w:p>
        </w:tc>
        <w:tc>
          <w:tcPr>
            <w:tcW w:w="6871" w:type="dxa"/>
            <w:vAlign w:val="top"/>
          </w:tcPr>
          <w:p w:rsidR="006C2EA3" w:rsidRPr="00F11EF2" w:rsidRDefault="006C2EA3" w:rsidP="009855B4">
            <w:pPr>
              <w:pStyle w:val="ECCTabletext"/>
            </w:pPr>
            <w:r w:rsidRPr="004070BC">
              <w:rPr>
                <w:rStyle w:val="ECCParagraph"/>
              </w:rPr>
              <w:t>Master Minimum Equipment List</w:t>
            </w:r>
          </w:p>
        </w:tc>
      </w:tr>
      <w:tr w:rsidR="006C2EA3" w:rsidRPr="00BC03FD" w:rsidTr="002D75C3">
        <w:trPr>
          <w:trHeight w:val="317"/>
        </w:trPr>
        <w:tc>
          <w:tcPr>
            <w:tcW w:w="2984" w:type="dxa"/>
            <w:vAlign w:val="top"/>
          </w:tcPr>
          <w:p w:rsidR="006C2EA3" w:rsidRPr="00F11EF2" w:rsidRDefault="006C2EA3" w:rsidP="00F11EF2">
            <w:pPr>
              <w:pStyle w:val="ECCTabletext"/>
              <w:rPr>
                <w:rStyle w:val="ECCHLbold"/>
              </w:rPr>
            </w:pPr>
            <w:r>
              <w:rPr>
                <w:rStyle w:val="ECCHLbold"/>
              </w:rPr>
              <w:t>MOPS</w:t>
            </w:r>
          </w:p>
        </w:tc>
        <w:tc>
          <w:tcPr>
            <w:tcW w:w="6871" w:type="dxa"/>
            <w:vAlign w:val="top"/>
          </w:tcPr>
          <w:p w:rsidR="006C2EA3" w:rsidRPr="00F11EF2" w:rsidRDefault="006C2EA3" w:rsidP="009855B4">
            <w:pPr>
              <w:pStyle w:val="ECCTabletext"/>
            </w:pPr>
            <w:r w:rsidRPr="00034C38">
              <w:t>Minimum Operational Performance Specification</w:t>
            </w:r>
          </w:p>
        </w:tc>
      </w:tr>
      <w:tr w:rsidR="006C2EA3" w:rsidRPr="00BC03FD" w:rsidTr="002D75C3">
        <w:trPr>
          <w:trHeight w:val="317"/>
        </w:trPr>
        <w:tc>
          <w:tcPr>
            <w:tcW w:w="2984" w:type="dxa"/>
            <w:vAlign w:val="top"/>
          </w:tcPr>
          <w:p w:rsidR="006C2EA3" w:rsidRDefault="006C2EA3" w:rsidP="00F11EF2">
            <w:pPr>
              <w:pStyle w:val="ECCTabletext"/>
              <w:rPr>
                <w:rStyle w:val="ECCHLbold"/>
              </w:rPr>
            </w:pPr>
            <w:r>
              <w:rPr>
                <w:rStyle w:val="ECCHLbold"/>
              </w:rPr>
              <w:t>MSI</w:t>
            </w:r>
          </w:p>
        </w:tc>
        <w:tc>
          <w:tcPr>
            <w:tcW w:w="6871" w:type="dxa"/>
            <w:vAlign w:val="top"/>
          </w:tcPr>
          <w:p w:rsidR="006C2EA3" w:rsidRDefault="006C2EA3" w:rsidP="00F11EF2">
            <w:pPr>
              <w:pStyle w:val="ECCTabletext"/>
            </w:pPr>
            <w:r w:rsidRPr="007F360C">
              <w:t>Maritime Safety Information</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11EF2">
              <w:rPr>
                <w:rStyle w:val="ECCHLbold"/>
              </w:rPr>
              <w:t xml:space="preserve">MSS </w:t>
            </w:r>
          </w:p>
        </w:tc>
        <w:tc>
          <w:tcPr>
            <w:tcW w:w="6871" w:type="dxa"/>
            <w:vAlign w:val="top"/>
          </w:tcPr>
          <w:p w:rsidR="006C2EA3" w:rsidRPr="00F11EF2" w:rsidRDefault="006C2EA3" w:rsidP="009855B4">
            <w:pPr>
              <w:pStyle w:val="ECCTabletext"/>
            </w:pPr>
            <w:r w:rsidRPr="00F11EF2">
              <w:t>Mobile</w:t>
            </w:r>
            <w:r>
              <w:t>-</w:t>
            </w:r>
            <w:r w:rsidRPr="00F11EF2">
              <w:t xml:space="preserve">Satellite Service </w:t>
            </w:r>
          </w:p>
        </w:tc>
      </w:tr>
      <w:tr w:rsidR="006C2EA3" w:rsidRPr="00BC03FD" w:rsidTr="002D75C3">
        <w:trPr>
          <w:trHeight w:val="317"/>
        </w:trPr>
        <w:tc>
          <w:tcPr>
            <w:tcW w:w="2984" w:type="dxa"/>
            <w:vAlign w:val="top"/>
          </w:tcPr>
          <w:p w:rsidR="006C2EA3" w:rsidRPr="00F11EF2" w:rsidRDefault="006C2EA3" w:rsidP="00F11EF2">
            <w:pPr>
              <w:pStyle w:val="ECCTabletext"/>
              <w:rPr>
                <w:rStyle w:val="ECCHLbold"/>
              </w:rPr>
            </w:pPr>
            <w:r>
              <w:rPr>
                <w:rStyle w:val="ECCHLbold"/>
              </w:rPr>
              <w:t>NAVTEX</w:t>
            </w:r>
          </w:p>
        </w:tc>
        <w:tc>
          <w:tcPr>
            <w:tcW w:w="6871" w:type="dxa"/>
            <w:vAlign w:val="top"/>
          </w:tcPr>
          <w:p w:rsidR="006C2EA3" w:rsidRPr="00F11EF2" w:rsidRDefault="006C2EA3" w:rsidP="00F11EF2">
            <w:pPr>
              <w:pStyle w:val="ECCTabletext"/>
            </w:pPr>
            <w:r>
              <w:t>Navigational Telex</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11EF2">
              <w:rPr>
                <w:rStyle w:val="ECCHLbold"/>
              </w:rPr>
              <w:t>NCSR</w:t>
            </w:r>
          </w:p>
        </w:tc>
        <w:tc>
          <w:tcPr>
            <w:tcW w:w="6871" w:type="dxa"/>
            <w:vAlign w:val="top"/>
          </w:tcPr>
          <w:p w:rsidR="006C2EA3" w:rsidRPr="00F11EF2" w:rsidRDefault="006C2EA3" w:rsidP="00F11EF2">
            <w:pPr>
              <w:pStyle w:val="ECCTabletext"/>
            </w:pPr>
            <w:r w:rsidRPr="00F11EF2">
              <w:t>Navigation, Communications and Search and Rescue</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11EF2">
              <w:rPr>
                <w:rStyle w:val="ECCHLbold"/>
              </w:rPr>
              <w:lastRenderedPageBreak/>
              <w:t xml:space="preserve">OOB </w:t>
            </w:r>
          </w:p>
        </w:tc>
        <w:tc>
          <w:tcPr>
            <w:tcW w:w="6871" w:type="dxa"/>
            <w:vAlign w:val="top"/>
          </w:tcPr>
          <w:p w:rsidR="006C2EA3" w:rsidRPr="00F11EF2" w:rsidRDefault="006C2EA3" w:rsidP="00F11EF2">
            <w:pPr>
              <w:pStyle w:val="ECCTabletext"/>
            </w:pPr>
            <w:r w:rsidRPr="00F11EF2">
              <w:t xml:space="preserve">Out of Band/Out of Block </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11EF2">
              <w:rPr>
                <w:rStyle w:val="ECCHLbold"/>
              </w:rPr>
              <w:t xml:space="preserve">OOBE </w:t>
            </w:r>
          </w:p>
        </w:tc>
        <w:tc>
          <w:tcPr>
            <w:tcW w:w="6871" w:type="dxa"/>
            <w:vAlign w:val="top"/>
          </w:tcPr>
          <w:p w:rsidR="006C2EA3" w:rsidRPr="00F11EF2" w:rsidRDefault="006C2EA3" w:rsidP="00034C38">
            <w:pPr>
              <w:pStyle w:val="ECCTabletext"/>
            </w:pPr>
            <w:r w:rsidRPr="00F11EF2">
              <w:t xml:space="preserve">Out of Band Emissions/Out of Block Emissions </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11EF2">
              <w:rPr>
                <w:rStyle w:val="ECCHLbold"/>
              </w:rPr>
              <w:t>PFD</w:t>
            </w:r>
          </w:p>
        </w:tc>
        <w:tc>
          <w:tcPr>
            <w:tcW w:w="6871" w:type="dxa"/>
            <w:vAlign w:val="top"/>
          </w:tcPr>
          <w:p w:rsidR="006C2EA3" w:rsidRPr="00F11EF2" w:rsidRDefault="006C2EA3" w:rsidP="00F11EF2">
            <w:pPr>
              <w:pStyle w:val="ECCTabletext"/>
            </w:pPr>
            <w:r w:rsidRPr="00F11EF2">
              <w:t>Power Flux Density</w:t>
            </w:r>
          </w:p>
        </w:tc>
      </w:tr>
      <w:tr w:rsidR="006C2EA3" w:rsidRPr="00BC03FD" w:rsidTr="002D75C3">
        <w:trPr>
          <w:trHeight w:val="317"/>
        </w:trPr>
        <w:tc>
          <w:tcPr>
            <w:tcW w:w="2984" w:type="dxa"/>
            <w:vAlign w:val="top"/>
          </w:tcPr>
          <w:p w:rsidR="006C2EA3" w:rsidRDefault="006C2EA3" w:rsidP="00F11EF2">
            <w:pPr>
              <w:pStyle w:val="ECCTabletext"/>
              <w:rPr>
                <w:rStyle w:val="ECCHLbold"/>
              </w:rPr>
            </w:pPr>
            <w:r>
              <w:rPr>
                <w:rStyle w:val="ECCHLbold"/>
              </w:rPr>
              <w:t>PSC</w:t>
            </w:r>
          </w:p>
        </w:tc>
        <w:tc>
          <w:tcPr>
            <w:tcW w:w="6871" w:type="dxa"/>
            <w:vAlign w:val="top"/>
          </w:tcPr>
          <w:p w:rsidR="006C2EA3" w:rsidRPr="00034C38" w:rsidRDefault="006C2EA3" w:rsidP="00F11EF2">
            <w:pPr>
              <w:pStyle w:val="ECCTabletext"/>
            </w:pPr>
            <w:r>
              <w:t>Port State Control</w:t>
            </w:r>
          </w:p>
        </w:tc>
      </w:tr>
      <w:tr w:rsidR="006C2EA3" w:rsidRPr="00BC03FD" w:rsidTr="002D75C3">
        <w:trPr>
          <w:trHeight w:val="317"/>
        </w:trPr>
        <w:tc>
          <w:tcPr>
            <w:tcW w:w="2984" w:type="dxa"/>
            <w:vAlign w:val="top"/>
          </w:tcPr>
          <w:p w:rsidR="006C2EA3" w:rsidRDefault="006C2EA3" w:rsidP="00F11EF2">
            <w:pPr>
              <w:pStyle w:val="ECCTabletext"/>
              <w:rPr>
                <w:rStyle w:val="ECCHLbold"/>
              </w:rPr>
            </w:pPr>
            <w:r>
              <w:rPr>
                <w:rStyle w:val="ECCHLbold"/>
              </w:rPr>
              <w:t>RAINWAT</w:t>
            </w:r>
          </w:p>
        </w:tc>
        <w:tc>
          <w:tcPr>
            <w:tcW w:w="6871" w:type="dxa"/>
            <w:vAlign w:val="top"/>
          </w:tcPr>
          <w:p w:rsidR="006C2EA3" w:rsidRDefault="006C2EA3" w:rsidP="00F11EF2">
            <w:pPr>
              <w:pStyle w:val="ECCTabletext"/>
            </w:pPr>
            <w:r w:rsidRPr="00034C38">
              <w:t>Regional Arrangement on the Radiocommunication Service for Inland Waterways</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Pr>
                <w:rStyle w:val="ECCHLbold"/>
              </w:rPr>
              <w:t>RED</w:t>
            </w:r>
          </w:p>
        </w:tc>
        <w:tc>
          <w:tcPr>
            <w:tcW w:w="6871" w:type="dxa"/>
            <w:vAlign w:val="top"/>
          </w:tcPr>
          <w:p w:rsidR="006C2EA3" w:rsidRPr="00F11EF2" w:rsidRDefault="006C2EA3" w:rsidP="00F11EF2">
            <w:pPr>
              <w:pStyle w:val="ECCTabletext"/>
            </w:pPr>
            <w:r>
              <w:t>Radio Equipment Directive 2014/53/EU</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11EF2">
              <w:rPr>
                <w:rStyle w:val="ECCHLbold"/>
              </w:rPr>
              <w:t xml:space="preserve">RF </w:t>
            </w:r>
          </w:p>
        </w:tc>
        <w:tc>
          <w:tcPr>
            <w:tcW w:w="6871" w:type="dxa"/>
            <w:vAlign w:val="top"/>
          </w:tcPr>
          <w:p w:rsidR="006C2EA3" w:rsidRPr="00F11EF2" w:rsidRDefault="006C2EA3" w:rsidP="00F11EF2">
            <w:pPr>
              <w:pStyle w:val="ECCTabletext"/>
            </w:pPr>
            <w:r w:rsidRPr="00F11EF2">
              <w:t xml:space="preserve">Radio Frequency </w:t>
            </w:r>
          </w:p>
        </w:tc>
      </w:tr>
      <w:tr w:rsidR="006C2EA3" w:rsidRPr="00BC03FD" w:rsidTr="002D75C3">
        <w:trPr>
          <w:trHeight w:val="317"/>
        </w:trPr>
        <w:tc>
          <w:tcPr>
            <w:tcW w:w="2984" w:type="dxa"/>
            <w:vAlign w:val="top"/>
          </w:tcPr>
          <w:p w:rsidR="006C2EA3" w:rsidRPr="00F11EF2" w:rsidRDefault="006C2EA3" w:rsidP="00F11EF2">
            <w:pPr>
              <w:pStyle w:val="ECCTabletext"/>
              <w:rPr>
                <w:rStyle w:val="ECCHLbold"/>
              </w:rPr>
            </w:pPr>
            <w:r>
              <w:rPr>
                <w:rStyle w:val="ECCHLbold"/>
              </w:rPr>
              <w:t>RSCOM</w:t>
            </w:r>
          </w:p>
        </w:tc>
        <w:tc>
          <w:tcPr>
            <w:tcW w:w="6871" w:type="dxa"/>
            <w:vAlign w:val="top"/>
          </w:tcPr>
          <w:p w:rsidR="006C2EA3" w:rsidRPr="00F11EF2" w:rsidRDefault="006C2EA3" w:rsidP="00F11EF2">
            <w:pPr>
              <w:pStyle w:val="ECCTabletext"/>
            </w:pPr>
            <w:r>
              <w:t>Radio Spectrum Committee</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11EF2">
              <w:rPr>
                <w:rStyle w:val="ECCHLbold"/>
              </w:rPr>
              <w:t xml:space="preserve">RTCA </w:t>
            </w:r>
          </w:p>
        </w:tc>
        <w:tc>
          <w:tcPr>
            <w:tcW w:w="6871" w:type="dxa"/>
            <w:vAlign w:val="top"/>
          </w:tcPr>
          <w:p w:rsidR="006C2EA3" w:rsidRPr="00F11EF2" w:rsidRDefault="006C2EA3" w:rsidP="00F11EF2">
            <w:pPr>
              <w:pStyle w:val="ECCTabletext"/>
            </w:pPr>
            <w:r w:rsidRPr="00F11EF2">
              <w:t xml:space="preserve">Radio Technical Commission for Aeronautics </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Pr>
                <w:rStyle w:val="ECCHLbold"/>
              </w:rPr>
              <w:t>Satcom</w:t>
            </w:r>
          </w:p>
        </w:tc>
        <w:tc>
          <w:tcPr>
            <w:tcW w:w="6871" w:type="dxa"/>
            <w:vAlign w:val="top"/>
          </w:tcPr>
          <w:p w:rsidR="006C2EA3" w:rsidRPr="00F11EF2" w:rsidRDefault="006C2EA3" w:rsidP="00F11EF2">
            <w:pPr>
              <w:pStyle w:val="ECCTabletext"/>
            </w:pPr>
            <w:r>
              <w:t>Satellite Communications</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Pr>
                <w:rStyle w:val="ECCHLbold"/>
              </w:rPr>
              <w:t>SAW</w:t>
            </w:r>
          </w:p>
        </w:tc>
        <w:tc>
          <w:tcPr>
            <w:tcW w:w="6871" w:type="dxa"/>
            <w:vAlign w:val="top"/>
          </w:tcPr>
          <w:p w:rsidR="006C2EA3" w:rsidRPr="00F11EF2" w:rsidRDefault="006C2EA3" w:rsidP="00F11EF2">
            <w:pPr>
              <w:pStyle w:val="ECCTabletext"/>
            </w:pPr>
            <w:r>
              <w:t>Surface Acoustic Wave</w:t>
            </w:r>
          </w:p>
        </w:tc>
      </w:tr>
      <w:tr w:rsidR="006C2EA3" w:rsidRPr="00BC03FD" w:rsidTr="006C2EA3">
        <w:trPr>
          <w:trHeight w:val="317"/>
        </w:trPr>
        <w:tc>
          <w:tcPr>
            <w:tcW w:w="2984" w:type="dxa"/>
            <w:vAlign w:val="top"/>
          </w:tcPr>
          <w:p w:rsidR="006C2EA3" w:rsidRPr="00F11EF2" w:rsidRDefault="006C2EA3" w:rsidP="00FB1158">
            <w:pPr>
              <w:pStyle w:val="ECCTabletext"/>
              <w:rPr>
                <w:rStyle w:val="ECCHLbold"/>
              </w:rPr>
            </w:pPr>
            <w:r w:rsidRPr="00F11EF2">
              <w:rPr>
                <w:rStyle w:val="ECCHLbold"/>
              </w:rPr>
              <w:t>SB</w:t>
            </w:r>
          </w:p>
        </w:tc>
        <w:tc>
          <w:tcPr>
            <w:tcW w:w="6871" w:type="dxa"/>
            <w:vAlign w:val="top"/>
          </w:tcPr>
          <w:p w:rsidR="006C2EA3" w:rsidRPr="00F11EF2" w:rsidRDefault="006C2EA3" w:rsidP="00FB1158">
            <w:pPr>
              <w:pStyle w:val="ECCTabletext"/>
            </w:pPr>
            <w:r w:rsidRPr="00F11EF2">
              <w:t>Swift Broadband</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11EF2">
              <w:rPr>
                <w:rStyle w:val="ECCHLbold"/>
              </w:rPr>
              <w:t xml:space="preserve">SDL </w:t>
            </w:r>
            <w:r>
              <w:rPr>
                <w:rStyle w:val="ECCHLbold"/>
              </w:rPr>
              <w:t>S</w:t>
            </w:r>
            <w:r w:rsidRPr="00A66354">
              <w:rPr>
                <w:rStyle w:val="ECCHLbold"/>
              </w:rPr>
              <w:t>SAS</w:t>
            </w:r>
          </w:p>
        </w:tc>
        <w:tc>
          <w:tcPr>
            <w:tcW w:w="6871" w:type="dxa"/>
            <w:vAlign w:val="top"/>
          </w:tcPr>
          <w:p w:rsidR="006C2EA3" w:rsidRPr="00F11EF2" w:rsidRDefault="006C2EA3" w:rsidP="00F11EF2">
            <w:pPr>
              <w:pStyle w:val="ECCTabletext"/>
            </w:pPr>
            <w:r w:rsidRPr="00F11EF2">
              <w:t xml:space="preserve">Supplementary Downlink </w:t>
            </w:r>
            <w:r>
              <w:rPr>
                <w:rStyle w:val="ECCParagraph"/>
              </w:rPr>
              <w:t>Ship Security Alerting Systems</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11EF2">
              <w:rPr>
                <w:rStyle w:val="ECCHLbold"/>
              </w:rPr>
              <w:t xml:space="preserve">SDO </w:t>
            </w:r>
          </w:p>
        </w:tc>
        <w:tc>
          <w:tcPr>
            <w:tcW w:w="6871" w:type="dxa"/>
            <w:vAlign w:val="top"/>
          </w:tcPr>
          <w:p w:rsidR="006C2EA3" w:rsidRPr="00F11EF2" w:rsidRDefault="006C2EA3" w:rsidP="00F11EF2">
            <w:pPr>
              <w:pStyle w:val="ECCTabletext"/>
            </w:pPr>
            <w:r w:rsidRPr="00F11EF2">
              <w:t xml:space="preserve">Standards Development Organisation </w:t>
            </w:r>
          </w:p>
        </w:tc>
      </w:tr>
      <w:tr w:rsidR="006C2EA3" w:rsidRPr="00BC03FD" w:rsidTr="002D75C3">
        <w:trPr>
          <w:trHeight w:val="317"/>
        </w:trPr>
        <w:tc>
          <w:tcPr>
            <w:tcW w:w="2984" w:type="dxa"/>
            <w:vAlign w:val="top"/>
          </w:tcPr>
          <w:p w:rsidR="006C2EA3" w:rsidRPr="00F11EF2" w:rsidRDefault="006C2EA3" w:rsidP="00F11EF2">
            <w:pPr>
              <w:pStyle w:val="ECCTabletext"/>
              <w:rPr>
                <w:rStyle w:val="ECCHLbold"/>
              </w:rPr>
            </w:pPr>
            <w:r>
              <w:rPr>
                <w:rStyle w:val="ECCHLbold"/>
              </w:rPr>
              <w:t>SESAR</w:t>
            </w:r>
          </w:p>
        </w:tc>
        <w:tc>
          <w:tcPr>
            <w:tcW w:w="6871" w:type="dxa"/>
            <w:vAlign w:val="top"/>
          </w:tcPr>
          <w:p w:rsidR="006C2EA3" w:rsidRPr="00F11EF2" w:rsidRDefault="006C2EA3" w:rsidP="00F11EF2">
            <w:pPr>
              <w:pStyle w:val="ECCTabletext"/>
            </w:pPr>
            <w:r>
              <w:t>Single European Sky ATM Research</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11EF2">
              <w:rPr>
                <w:rStyle w:val="ECCHLbold"/>
              </w:rPr>
              <w:t xml:space="preserve">SNR </w:t>
            </w:r>
          </w:p>
        </w:tc>
        <w:tc>
          <w:tcPr>
            <w:tcW w:w="6871" w:type="dxa"/>
            <w:vAlign w:val="top"/>
          </w:tcPr>
          <w:p w:rsidR="006C2EA3" w:rsidRPr="00F11EF2" w:rsidRDefault="006C2EA3" w:rsidP="00F11EF2">
            <w:pPr>
              <w:pStyle w:val="ECCTabletext"/>
            </w:pPr>
            <w:r w:rsidRPr="00F11EF2">
              <w:t xml:space="preserve">Signal to Noise Ratio </w:t>
            </w:r>
          </w:p>
        </w:tc>
      </w:tr>
      <w:tr w:rsidR="006C2EA3" w:rsidRPr="00BC03FD" w:rsidTr="002D75C3">
        <w:trPr>
          <w:trHeight w:val="317"/>
        </w:trPr>
        <w:tc>
          <w:tcPr>
            <w:tcW w:w="2984" w:type="dxa"/>
            <w:vAlign w:val="top"/>
          </w:tcPr>
          <w:p w:rsidR="006C2EA3" w:rsidRPr="00F11EF2" w:rsidRDefault="006C2EA3" w:rsidP="00F11EF2">
            <w:pPr>
              <w:pStyle w:val="ECCTabletext"/>
              <w:rPr>
                <w:rStyle w:val="ECCHLbold"/>
              </w:rPr>
            </w:pPr>
            <w:r>
              <w:rPr>
                <w:rStyle w:val="ECCHLbold"/>
              </w:rPr>
              <w:t>SOLAS</w:t>
            </w:r>
          </w:p>
        </w:tc>
        <w:tc>
          <w:tcPr>
            <w:tcW w:w="6871" w:type="dxa"/>
            <w:vAlign w:val="top"/>
          </w:tcPr>
          <w:p w:rsidR="006C2EA3" w:rsidRPr="00F11EF2" w:rsidRDefault="006C2EA3" w:rsidP="00F11EF2">
            <w:pPr>
              <w:pStyle w:val="ECCTabletext"/>
            </w:pPr>
            <w:r w:rsidRPr="004070BC">
              <w:rPr>
                <w:rStyle w:val="ECCParagraph"/>
              </w:rPr>
              <w:t>Safety of Life at Sea</w:t>
            </w:r>
          </w:p>
        </w:tc>
      </w:tr>
      <w:tr w:rsidR="006C2EA3" w:rsidRPr="00BC03FD" w:rsidTr="002D75C3">
        <w:trPr>
          <w:trHeight w:val="317"/>
        </w:trPr>
        <w:tc>
          <w:tcPr>
            <w:tcW w:w="2984" w:type="dxa"/>
            <w:vAlign w:val="top"/>
          </w:tcPr>
          <w:p w:rsidR="006C2EA3" w:rsidRPr="00FB1158" w:rsidRDefault="006C2EA3" w:rsidP="00F11EF2">
            <w:pPr>
              <w:pStyle w:val="ECCTabletext"/>
              <w:rPr>
                <w:rStyle w:val="ECCHLbold"/>
              </w:rPr>
            </w:pPr>
            <w:r>
              <w:rPr>
                <w:rStyle w:val="ECCHLbold"/>
              </w:rPr>
              <w:t>SSAS</w:t>
            </w:r>
          </w:p>
        </w:tc>
        <w:tc>
          <w:tcPr>
            <w:tcW w:w="6871" w:type="dxa"/>
            <w:vAlign w:val="top"/>
          </w:tcPr>
          <w:p w:rsidR="006C2EA3" w:rsidRPr="00FB1158" w:rsidRDefault="006C2EA3" w:rsidP="002D75C3">
            <w:pPr>
              <w:pStyle w:val="ECCTabletext"/>
            </w:pPr>
            <w:r w:rsidRPr="00212A05">
              <w:t xml:space="preserve">Ship Security </w:t>
            </w:r>
            <w:r w:rsidRPr="00052A51">
              <w:rPr>
                <w:rStyle w:val="ECCParagraph"/>
              </w:rPr>
              <w:t>Alerting</w:t>
            </w:r>
            <w:r w:rsidRPr="00212A05">
              <w:t xml:space="preserve"> System</w:t>
            </w:r>
          </w:p>
        </w:tc>
      </w:tr>
      <w:tr w:rsidR="006C2EA3" w:rsidRPr="00BC03FD" w:rsidTr="002D75C3">
        <w:trPr>
          <w:trHeight w:val="317"/>
        </w:trPr>
        <w:tc>
          <w:tcPr>
            <w:tcW w:w="2984" w:type="dxa"/>
            <w:vAlign w:val="top"/>
          </w:tcPr>
          <w:p w:rsidR="006C2EA3" w:rsidRPr="00FB1158" w:rsidRDefault="006C2EA3" w:rsidP="00F11EF2">
            <w:pPr>
              <w:pStyle w:val="ECCTabletext"/>
              <w:rPr>
                <w:rStyle w:val="ECCHLbold"/>
              </w:rPr>
            </w:pPr>
            <w:r>
              <w:rPr>
                <w:rStyle w:val="ECCHLbold"/>
              </w:rPr>
              <w:t>STC</w:t>
            </w:r>
          </w:p>
        </w:tc>
        <w:tc>
          <w:tcPr>
            <w:tcW w:w="6871" w:type="dxa"/>
            <w:vAlign w:val="top"/>
          </w:tcPr>
          <w:p w:rsidR="006C2EA3" w:rsidRPr="00FB1158" w:rsidRDefault="006C2EA3" w:rsidP="005F5E6B">
            <w:pPr>
              <w:pStyle w:val="ECCTabletext"/>
            </w:pPr>
            <w:r>
              <w:rPr>
                <w:rStyle w:val="ECCParagraph"/>
              </w:rPr>
              <w:t>S</w:t>
            </w:r>
            <w:r w:rsidRPr="00D85A55">
              <w:rPr>
                <w:rStyle w:val="ECCParagraph"/>
              </w:rPr>
              <w:t xml:space="preserve">upplementary </w:t>
            </w:r>
            <w:r>
              <w:rPr>
                <w:rStyle w:val="ECCParagraph"/>
              </w:rPr>
              <w:t>T</w:t>
            </w:r>
            <w:r w:rsidRPr="00D85A55">
              <w:rPr>
                <w:rStyle w:val="ECCParagraph"/>
              </w:rPr>
              <w:t xml:space="preserve">ype </w:t>
            </w:r>
            <w:r>
              <w:rPr>
                <w:rStyle w:val="ECCParagraph"/>
              </w:rPr>
              <w:t>C</w:t>
            </w:r>
            <w:r w:rsidRPr="00D85A55">
              <w:rPr>
                <w:rStyle w:val="ECCParagraph"/>
              </w:rPr>
              <w:t>ertificate</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B1158">
              <w:rPr>
                <w:rStyle w:val="ECCHLbold"/>
              </w:rPr>
              <w:t>TSO</w:t>
            </w:r>
          </w:p>
        </w:tc>
        <w:tc>
          <w:tcPr>
            <w:tcW w:w="6871" w:type="dxa"/>
            <w:vAlign w:val="top"/>
          </w:tcPr>
          <w:p w:rsidR="006C2EA3" w:rsidRPr="00F11EF2" w:rsidRDefault="006C2EA3" w:rsidP="00F11EF2">
            <w:pPr>
              <w:pStyle w:val="ECCTabletext"/>
            </w:pPr>
            <w:r w:rsidRPr="00FB1158">
              <w:t>Technical Standard Orders</w:t>
            </w:r>
          </w:p>
        </w:tc>
      </w:tr>
      <w:tr w:rsidR="006C2EA3" w:rsidRPr="00BC03FD" w:rsidTr="002D75C3">
        <w:trPr>
          <w:trHeight w:val="317"/>
        </w:trPr>
        <w:tc>
          <w:tcPr>
            <w:tcW w:w="2984" w:type="dxa"/>
            <w:vAlign w:val="top"/>
          </w:tcPr>
          <w:p w:rsidR="006C2EA3" w:rsidRDefault="006C2EA3" w:rsidP="00F11EF2">
            <w:pPr>
              <w:pStyle w:val="ECCTabletext"/>
              <w:rPr>
                <w:rStyle w:val="ECCHLbold"/>
              </w:rPr>
            </w:pPr>
            <w:r>
              <w:rPr>
                <w:rStyle w:val="ECCHLbold"/>
              </w:rPr>
              <w:t>VHF</w:t>
            </w:r>
          </w:p>
        </w:tc>
        <w:tc>
          <w:tcPr>
            <w:tcW w:w="6871" w:type="dxa"/>
            <w:vAlign w:val="top"/>
          </w:tcPr>
          <w:p w:rsidR="006C2EA3" w:rsidRPr="00A51EE5" w:rsidRDefault="006C2EA3" w:rsidP="00F11EF2">
            <w:pPr>
              <w:pStyle w:val="ECCTabletext"/>
              <w:rPr>
                <w:rStyle w:val="ECCParagraph"/>
              </w:rPr>
            </w:pPr>
            <w:r>
              <w:rPr>
                <w:rStyle w:val="ECCParagraph"/>
              </w:rPr>
              <w:t>Very High Frequency</w:t>
            </w:r>
          </w:p>
        </w:tc>
      </w:tr>
      <w:tr w:rsidR="006C2EA3" w:rsidRPr="00BC03FD" w:rsidTr="002D75C3">
        <w:trPr>
          <w:trHeight w:val="317"/>
        </w:trPr>
        <w:tc>
          <w:tcPr>
            <w:tcW w:w="2984" w:type="dxa"/>
            <w:vAlign w:val="top"/>
          </w:tcPr>
          <w:p w:rsidR="006C2EA3" w:rsidRPr="00FB1158" w:rsidRDefault="006C2EA3" w:rsidP="00F11EF2">
            <w:pPr>
              <w:pStyle w:val="ECCTabletext"/>
              <w:rPr>
                <w:rStyle w:val="ECCHLbold"/>
              </w:rPr>
            </w:pPr>
            <w:r>
              <w:rPr>
                <w:rStyle w:val="ECCHLbold"/>
              </w:rPr>
              <w:t>VMS</w:t>
            </w:r>
          </w:p>
        </w:tc>
        <w:tc>
          <w:tcPr>
            <w:tcW w:w="6871" w:type="dxa"/>
            <w:vAlign w:val="top"/>
          </w:tcPr>
          <w:p w:rsidR="006C2EA3" w:rsidRPr="00FB1158" w:rsidRDefault="006C2EA3" w:rsidP="00F11EF2">
            <w:pPr>
              <w:pStyle w:val="ECCTabletext"/>
            </w:pPr>
            <w:r w:rsidRPr="00A51EE5">
              <w:rPr>
                <w:rStyle w:val="ECCParagraph"/>
              </w:rPr>
              <w:t>Vessel Monitoring Systems</w:t>
            </w:r>
          </w:p>
        </w:tc>
      </w:tr>
      <w:tr w:rsidR="006C2EA3" w:rsidRPr="00BC03FD" w:rsidTr="006C2EA3">
        <w:trPr>
          <w:trHeight w:val="317"/>
        </w:trPr>
        <w:tc>
          <w:tcPr>
            <w:tcW w:w="2984" w:type="dxa"/>
            <w:vAlign w:val="top"/>
          </w:tcPr>
          <w:p w:rsidR="006C2EA3" w:rsidRPr="00F11EF2" w:rsidRDefault="006C2EA3" w:rsidP="00F11EF2">
            <w:pPr>
              <w:pStyle w:val="ECCTabletext"/>
              <w:rPr>
                <w:rStyle w:val="ECCHLbold"/>
              </w:rPr>
            </w:pPr>
            <w:r w:rsidRPr="00F11EF2">
              <w:rPr>
                <w:rStyle w:val="ECCHLbold"/>
              </w:rPr>
              <w:t xml:space="preserve">WRC </w:t>
            </w:r>
          </w:p>
        </w:tc>
        <w:tc>
          <w:tcPr>
            <w:tcW w:w="6871" w:type="dxa"/>
            <w:vAlign w:val="top"/>
          </w:tcPr>
          <w:p w:rsidR="006C2EA3" w:rsidRPr="00F11EF2" w:rsidRDefault="006C2EA3" w:rsidP="00F11EF2">
            <w:pPr>
              <w:pStyle w:val="ECCTabletext"/>
            </w:pPr>
            <w:r w:rsidRPr="00F11EF2">
              <w:t>World Radiocommunication Conference</w:t>
            </w:r>
          </w:p>
        </w:tc>
      </w:tr>
    </w:tbl>
    <w:p w:rsidR="00797D4C" w:rsidRPr="00CF05D2" w:rsidRDefault="00E45336" w:rsidP="000D0865">
      <w:pPr>
        <w:pStyle w:val="Heading1"/>
        <w:rPr>
          <w:lang w:val="en-GB"/>
        </w:rPr>
      </w:pPr>
      <w:bookmarkStart w:id="21" w:name="_Toc525544403"/>
      <w:bookmarkStart w:id="22" w:name="_Toc528659165"/>
      <w:bookmarkStart w:id="23" w:name="_Toc3285874"/>
      <w:r w:rsidRPr="00CF05D2">
        <w:rPr>
          <w:rStyle w:val="ECCParagraph"/>
        </w:rPr>
        <w:lastRenderedPageBreak/>
        <w:t>I</w:t>
      </w:r>
      <w:r>
        <w:rPr>
          <w:rStyle w:val="ECCParagraph"/>
        </w:rPr>
        <w:t>ntroduction</w:t>
      </w:r>
      <w:bookmarkEnd w:id="21"/>
      <w:bookmarkEnd w:id="22"/>
      <w:bookmarkEnd w:id="23"/>
    </w:p>
    <w:p w:rsidR="009C0614" w:rsidRPr="004B3873" w:rsidRDefault="00DA41FD" w:rsidP="00DA41FD">
      <w:pPr>
        <w:rPr>
          <w:rStyle w:val="ECCParagraph"/>
        </w:rPr>
      </w:pPr>
      <w:r w:rsidRPr="004B3873">
        <w:rPr>
          <w:rStyle w:val="ECCParagraph"/>
        </w:rPr>
        <w:t>This Report is complementary to ECC Report 263</w:t>
      </w:r>
      <w:r w:rsidR="00325B09" w:rsidRPr="004B3873">
        <w:rPr>
          <w:rStyle w:val="ECCParagraph"/>
        </w:rPr>
        <w:t xml:space="preserve"> </w:t>
      </w:r>
      <w:r w:rsidR="00325B09" w:rsidRPr="006C2EA3">
        <w:rPr>
          <w:rStyle w:val="ECCParagraph"/>
        </w:rPr>
        <w:fldChar w:fldCharType="begin"/>
      </w:r>
      <w:r w:rsidR="00325B09" w:rsidRPr="006C2EA3">
        <w:rPr>
          <w:rStyle w:val="ECCParagraph"/>
        </w:rPr>
        <w:instrText xml:space="preserve"> REF _Ref525409369 \r \h </w:instrText>
      </w:r>
      <w:r w:rsidR="004B3873" w:rsidRPr="006C2EA3">
        <w:rPr>
          <w:rStyle w:val="ECCParagraph"/>
        </w:rPr>
        <w:instrText xml:space="preserve"> \* MERGEFORMAT </w:instrText>
      </w:r>
      <w:r w:rsidR="00325B09" w:rsidRPr="006C2EA3">
        <w:rPr>
          <w:rStyle w:val="ECCParagraph"/>
        </w:rPr>
      </w:r>
      <w:r w:rsidR="00325B09" w:rsidRPr="006C2EA3">
        <w:rPr>
          <w:rStyle w:val="ECCParagraph"/>
        </w:rPr>
        <w:fldChar w:fldCharType="separate"/>
      </w:r>
      <w:r w:rsidR="00E9777B" w:rsidRPr="00CA18B5">
        <w:rPr>
          <w:rStyle w:val="ECCParagraph"/>
        </w:rPr>
        <w:t>[1]</w:t>
      </w:r>
      <w:r w:rsidR="00325B09" w:rsidRPr="006C2EA3">
        <w:rPr>
          <w:rStyle w:val="ECCParagraph"/>
        </w:rPr>
        <w:fldChar w:fldCharType="end"/>
      </w:r>
      <w:r w:rsidRPr="004B3873">
        <w:rPr>
          <w:rStyle w:val="ECCParagraph"/>
        </w:rPr>
        <w:t xml:space="preserve">, which addresses the compatibility studies between </w:t>
      </w:r>
      <w:r w:rsidR="00F56B2A" w:rsidRPr="004B3873">
        <w:rPr>
          <w:rStyle w:val="ECCParagraph"/>
        </w:rPr>
        <w:t>MFCN</w:t>
      </w:r>
      <w:r w:rsidRPr="004B3873">
        <w:rPr>
          <w:rStyle w:val="ECCParagraph"/>
        </w:rPr>
        <w:t xml:space="preserve"> base stations operating below 1518 MHz and MSS land terminals operating above 1518 MHz</w:t>
      </w:r>
      <w:r w:rsidR="003521D6" w:rsidRPr="004B3873">
        <w:rPr>
          <w:rStyle w:val="ECCParagraph"/>
        </w:rPr>
        <w:t>.</w:t>
      </w:r>
    </w:p>
    <w:p w:rsidR="009C0614" w:rsidRPr="004B3873" w:rsidRDefault="00DA41FD" w:rsidP="00DA41FD">
      <w:pPr>
        <w:rPr>
          <w:rStyle w:val="ECCParagraph"/>
        </w:rPr>
      </w:pPr>
      <w:r w:rsidRPr="004B3873">
        <w:rPr>
          <w:rStyle w:val="ECCParagraph"/>
        </w:rPr>
        <w:t xml:space="preserve">ECC Report 263 concluded that: </w:t>
      </w:r>
    </w:p>
    <w:p w:rsidR="00DA41FD" w:rsidRPr="00DA41FD" w:rsidRDefault="00DA41FD" w:rsidP="009C0614">
      <w:pPr>
        <w:pStyle w:val="ECCBulletsLv1"/>
      </w:pPr>
      <w:r w:rsidRPr="00DA41FD">
        <w:t>The minimum in-band blocking characteristic for land mobile earth stations receivers from a 5 MHz broadband signal interferer (LTE) operating below 1518 MHz shall be −</w:t>
      </w:r>
      <w:r w:rsidRPr="00D51582">
        <w:t>30</w:t>
      </w:r>
      <w:r w:rsidR="00496087">
        <w:t> </w:t>
      </w:r>
      <w:r w:rsidRPr="00D51582">
        <w:t>dBm</w:t>
      </w:r>
      <w:r w:rsidRPr="00DA41FD">
        <w:t xml:space="preserve"> above 1520 MHz; </w:t>
      </w:r>
    </w:p>
    <w:p w:rsidR="004A37E8" w:rsidRDefault="00DA41FD" w:rsidP="003B51DC">
      <w:pPr>
        <w:pStyle w:val="ECCBulletsLv1"/>
      </w:pPr>
      <w:r w:rsidRPr="004A37E8">
        <w:t>Th</w:t>
      </w:r>
      <w:r w:rsidR="00736D1E" w:rsidRPr="004A37E8">
        <w:t>e</w:t>
      </w:r>
      <w:r w:rsidRPr="004A37E8">
        <w:t xml:space="preserve"> base station unwanted emission limits e.i.r.p. for a broadband signal interferer (LTE) operating below 15</w:t>
      </w:r>
      <w:r w:rsidR="000F3BC6">
        <w:t>1</w:t>
      </w:r>
      <w:r w:rsidRPr="004A37E8">
        <w:t xml:space="preserve">8 MHz shall be −30dBm/MHz above 1520 MHz. This figure is 10 dB more stringent than ECC Decision (13)03 </w:t>
      </w:r>
      <w:r w:rsidR="008B096B">
        <w:fldChar w:fldCharType="begin"/>
      </w:r>
      <w:r w:rsidR="008B096B">
        <w:instrText xml:space="preserve"> REF _Ref866788 \r \h </w:instrText>
      </w:r>
      <w:r w:rsidR="008B096B">
        <w:fldChar w:fldCharType="separate"/>
      </w:r>
      <w:r w:rsidR="00E9777B">
        <w:t>[26]</w:t>
      </w:r>
      <w:r w:rsidR="008B096B">
        <w:fldChar w:fldCharType="end"/>
      </w:r>
      <w:r w:rsidR="00FE2D5E">
        <w:t xml:space="preserve"> </w:t>
      </w:r>
      <w:r w:rsidRPr="004A37E8">
        <w:t>due to a different service in the adjacent band.</w:t>
      </w:r>
    </w:p>
    <w:p w:rsidR="00736D1E" w:rsidRPr="004B3873" w:rsidRDefault="005D1FE4" w:rsidP="00CF05D2">
      <w:pPr>
        <w:rPr>
          <w:rStyle w:val="ECCParagraph"/>
        </w:rPr>
      </w:pPr>
      <w:r w:rsidRPr="004B3873">
        <w:rPr>
          <w:rStyle w:val="ECCParagraph"/>
        </w:rPr>
        <w:t>It w</w:t>
      </w:r>
      <w:r w:rsidR="004A37E8" w:rsidRPr="004B3873">
        <w:rPr>
          <w:rStyle w:val="ECCParagraph"/>
        </w:rPr>
        <w:t xml:space="preserve">as noted that the </w:t>
      </w:r>
      <w:r w:rsidR="00D74F12" w:rsidRPr="004B3873">
        <w:rPr>
          <w:rStyle w:val="ECCParagraph"/>
        </w:rPr>
        <w:t>IMT</w:t>
      </w:r>
      <w:r w:rsidR="004A37E8" w:rsidRPr="004B3873">
        <w:rPr>
          <w:rStyle w:val="ECCParagraph"/>
        </w:rPr>
        <w:t xml:space="preserve"> </w:t>
      </w:r>
      <w:r w:rsidR="004A37E8" w:rsidRPr="000B1C7A">
        <w:rPr>
          <w:rStyle w:val="ECCParagraph"/>
        </w:rPr>
        <w:t>block</w:t>
      </w:r>
      <w:r w:rsidR="004A37E8" w:rsidRPr="004B3873">
        <w:rPr>
          <w:rStyle w:val="ECCParagraph"/>
        </w:rPr>
        <w:t xml:space="preserve"> end</w:t>
      </w:r>
      <w:r w:rsidR="00C21D0E" w:rsidRPr="004B3873">
        <w:rPr>
          <w:rStyle w:val="ECCParagraph"/>
        </w:rPr>
        <w:t>s</w:t>
      </w:r>
      <w:r w:rsidRPr="004B3873">
        <w:rPr>
          <w:rStyle w:val="ECCParagraph"/>
        </w:rPr>
        <w:t xml:space="preserve"> at 1517 MHz</w:t>
      </w:r>
      <w:r w:rsidR="00A62D76" w:rsidRPr="004B3873">
        <w:rPr>
          <w:rStyle w:val="ECCParagraph"/>
        </w:rPr>
        <w:t>.</w:t>
      </w:r>
    </w:p>
    <w:p w:rsidR="00736D1E" w:rsidRPr="004B3873" w:rsidRDefault="00875E18" w:rsidP="00CF05D2">
      <w:pPr>
        <w:rPr>
          <w:rStyle w:val="ECCParagraph"/>
        </w:rPr>
      </w:pPr>
      <w:r w:rsidRPr="004B3873">
        <w:rPr>
          <w:rStyle w:val="ECCParagraph"/>
        </w:rPr>
        <w:t xml:space="preserve">MFCN harmonisation measures for usage of </w:t>
      </w:r>
      <w:r w:rsidR="00CA7B0B" w:rsidRPr="004B3873">
        <w:rPr>
          <w:rStyle w:val="ECCParagraph"/>
        </w:rPr>
        <w:t>MFCN</w:t>
      </w:r>
      <w:r w:rsidRPr="004B3873">
        <w:rPr>
          <w:rStyle w:val="ECCParagraph"/>
        </w:rPr>
        <w:t xml:space="preserve"> SDL below 1518 MHz have been developed under these assumptions and recently adopted (see ECC DEC </w:t>
      </w:r>
      <w:r w:rsidR="000E1FB5" w:rsidRPr="004B3873">
        <w:rPr>
          <w:rStyle w:val="ECCParagraph"/>
        </w:rPr>
        <w:t xml:space="preserve">Decision </w:t>
      </w:r>
      <w:r w:rsidR="00AE6002" w:rsidRPr="004B3873">
        <w:rPr>
          <w:rStyle w:val="ECCParagraph"/>
        </w:rPr>
        <w:t>(17)06</w:t>
      </w:r>
      <w:r w:rsidR="000E1FB5" w:rsidRPr="004B3873">
        <w:rPr>
          <w:rStyle w:val="ECCParagraph"/>
        </w:rPr>
        <w:t xml:space="preserve"> </w:t>
      </w:r>
      <w:r w:rsidR="000E1FB5" w:rsidRPr="006C2EA3">
        <w:fldChar w:fldCharType="begin"/>
      </w:r>
      <w:r w:rsidR="000E1FB5" w:rsidRPr="004B3873">
        <w:rPr>
          <w:rStyle w:val="ECCParagraph"/>
        </w:rPr>
        <w:instrText xml:space="preserve"> REF _Ref525410368 \r \h </w:instrText>
      </w:r>
      <w:r w:rsidR="00862F1E" w:rsidRPr="004B3873">
        <w:rPr>
          <w:rStyle w:val="ECCParagraph"/>
        </w:rPr>
        <w:instrText xml:space="preserve"> \* MERGEFORMAT </w:instrText>
      </w:r>
      <w:r w:rsidR="000E1FB5" w:rsidRPr="006C2EA3">
        <w:fldChar w:fldCharType="separate"/>
      </w:r>
      <w:r w:rsidR="00E9777B">
        <w:rPr>
          <w:rStyle w:val="ECCParagraph"/>
        </w:rPr>
        <w:t>[2]</w:t>
      </w:r>
      <w:r w:rsidR="000E1FB5" w:rsidRPr="006C2EA3">
        <w:fldChar w:fldCharType="end"/>
      </w:r>
      <w:r w:rsidR="005E4A6C">
        <w:rPr>
          <w:rStyle w:val="ECCParagraph"/>
        </w:rPr>
        <w:t xml:space="preserve"> and</w:t>
      </w:r>
      <w:r w:rsidRPr="004B3873">
        <w:rPr>
          <w:rStyle w:val="ECCParagraph"/>
        </w:rPr>
        <w:t xml:space="preserve"> EC </w:t>
      </w:r>
      <w:r w:rsidR="000E1FB5" w:rsidRPr="004B3873">
        <w:rPr>
          <w:rStyle w:val="ECCParagraph"/>
        </w:rPr>
        <w:t xml:space="preserve">Decision (EU) </w:t>
      </w:r>
      <w:r w:rsidR="002103D3" w:rsidRPr="004B3873">
        <w:rPr>
          <w:rStyle w:val="ECCParagraph"/>
        </w:rPr>
        <w:t>2015/750</w:t>
      </w:r>
      <w:r w:rsidR="008B096B">
        <w:rPr>
          <w:rStyle w:val="ECCParagraph"/>
        </w:rPr>
        <w:fldChar w:fldCharType="begin"/>
      </w:r>
      <w:r w:rsidR="008B096B">
        <w:rPr>
          <w:rStyle w:val="ECCParagraph"/>
        </w:rPr>
        <w:instrText xml:space="preserve"> REF _Ref534374202 \r \h </w:instrText>
      </w:r>
      <w:r w:rsidR="008B096B">
        <w:rPr>
          <w:rStyle w:val="ECCParagraph"/>
        </w:rPr>
      </w:r>
      <w:r w:rsidR="008B096B">
        <w:rPr>
          <w:rStyle w:val="ECCParagraph"/>
        </w:rPr>
        <w:fldChar w:fldCharType="separate"/>
      </w:r>
      <w:r w:rsidR="00E9777B">
        <w:rPr>
          <w:rStyle w:val="ECCParagraph"/>
        </w:rPr>
        <w:t>[3]</w:t>
      </w:r>
      <w:r w:rsidR="008B096B">
        <w:rPr>
          <w:rStyle w:val="ECCParagraph"/>
        </w:rPr>
        <w:fldChar w:fldCharType="end"/>
      </w:r>
      <w:r w:rsidR="008B096B">
        <w:rPr>
          <w:rStyle w:val="ECCParagraph"/>
        </w:rPr>
        <w:t xml:space="preserve"> </w:t>
      </w:r>
      <w:r w:rsidRPr="004B3873">
        <w:rPr>
          <w:rStyle w:val="ECCParagraph"/>
        </w:rPr>
        <w:t>)</w:t>
      </w:r>
      <w:r w:rsidR="00736D1E" w:rsidRPr="004B3873">
        <w:rPr>
          <w:rStyle w:val="ECCParagraph"/>
        </w:rPr>
        <w:t>.</w:t>
      </w:r>
    </w:p>
    <w:p w:rsidR="00DA41FD" w:rsidRPr="004B3873" w:rsidRDefault="00875E18" w:rsidP="00CF05D2">
      <w:pPr>
        <w:rPr>
          <w:rStyle w:val="ECCParagraph"/>
        </w:rPr>
      </w:pPr>
      <w:r w:rsidRPr="004B3873">
        <w:rPr>
          <w:rStyle w:val="ECCParagraph"/>
        </w:rPr>
        <w:t>Relevant m</w:t>
      </w:r>
      <w:r w:rsidR="00DA41FD" w:rsidRPr="004B3873">
        <w:rPr>
          <w:rStyle w:val="ECCParagraph"/>
        </w:rPr>
        <w:t>easures will be implemented through the relevant harmonised standards in order to improve the receiver blocking characteristics of MES operating above 1518 MHz according to the conclusion of the ECC Report 263 and to the request sent to ETSI in January 2017</w:t>
      </w:r>
      <w:r w:rsidRPr="004B3873">
        <w:rPr>
          <w:rStyle w:val="ECCParagraph"/>
        </w:rPr>
        <w:t xml:space="preserve"> and June 2017</w:t>
      </w:r>
      <w:r w:rsidR="00DA41FD" w:rsidRPr="004B3873">
        <w:rPr>
          <w:rStyle w:val="ECCParagraph"/>
        </w:rPr>
        <w:t>.</w:t>
      </w:r>
      <w:r w:rsidR="001B4A93" w:rsidRPr="004B3873">
        <w:rPr>
          <w:rStyle w:val="ECCParagraph"/>
        </w:rPr>
        <w:t xml:space="preserve"> The request for ETSI to develop harmonised standards is related to the </w:t>
      </w:r>
      <w:r w:rsidR="00FE2D5E">
        <w:rPr>
          <w:rStyle w:val="ECCParagraph"/>
        </w:rPr>
        <w:t xml:space="preserve">Radio </w:t>
      </w:r>
      <w:bookmarkStart w:id="24" w:name="_Hlk535532915"/>
      <w:r w:rsidR="00FE2D5E">
        <w:rPr>
          <w:rStyle w:val="ECCParagraph"/>
        </w:rPr>
        <w:t>Equipment Directive (</w:t>
      </w:r>
      <w:bookmarkEnd w:id="24"/>
      <w:r w:rsidR="001B4A93" w:rsidRPr="004B3873">
        <w:rPr>
          <w:rStyle w:val="ECCParagraph"/>
        </w:rPr>
        <w:t>RED</w:t>
      </w:r>
      <w:r w:rsidR="00FE2D5E">
        <w:rPr>
          <w:rStyle w:val="ECCParagraph"/>
        </w:rPr>
        <w:t>)</w:t>
      </w:r>
      <w:r w:rsidR="00B97EAC">
        <w:rPr>
          <w:rStyle w:val="ECCParagraph"/>
        </w:rPr>
        <w:t xml:space="preserve"> </w:t>
      </w:r>
      <w:r w:rsidR="00EE6BFB">
        <w:rPr>
          <w:rStyle w:val="ECCParagraph"/>
        </w:rPr>
        <w:fldChar w:fldCharType="begin"/>
      </w:r>
      <w:r w:rsidR="00EE6BFB">
        <w:rPr>
          <w:rStyle w:val="ECCParagraph"/>
        </w:rPr>
        <w:instrText xml:space="preserve"> REF _Ref534374332 \r \h </w:instrText>
      </w:r>
      <w:r w:rsidR="00EE6BFB">
        <w:rPr>
          <w:rStyle w:val="ECCParagraph"/>
        </w:rPr>
      </w:r>
      <w:r w:rsidR="00EE6BFB">
        <w:rPr>
          <w:rStyle w:val="ECCParagraph"/>
        </w:rPr>
        <w:fldChar w:fldCharType="separate"/>
      </w:r>
      <w:r w:rsidR="00E9777B">
        <w:rPr>
          <w:rStyle w:val="ECCParagraph"/>
        </w:rPr>
        <w:t>[4]</w:t>
      </w:r>
      <w:r w:rsidR="00EE6BFB">
        <w:rPr>
          <w:rStyle w:val="ECCParagraph"/>
        </w:rPr>
        <w:fldChar w:fldCharType="end"/>
      </w:r>
      <w:r w:rsidR="00337FBD" w:rsidRPr="004B3873">
        <w:rPr>
          <w:rStyle w:val="ECCParagraph"/>
        </w:rPr>
        <w:t>.</w:t>
      </w:r>
      <w:r w:rsidR="001B4A93" w:rsidRPr="004B3873">
        <w:rPr>
          <w:rStyle w:val="ECCParagraph"/>
        </w:rPr>
        <w:t xml:space="preserve"> </w:t>
      </w:r>
      <w:r w:rsidR="000B1C7A">
        <w:rPr>
          <w:rStyle w:val="ECCParagraph"/>
        </w:rPr>
        <w:t>E</w:t>
      </w:r>
      <w:r w:rsidR="00C54D9A">
        <w:rPr>
          <w:rStyle w:val="ECCParagraph"/>
        </w:rPr>
        <w:t>qui</w:t>
      </w:r>
      <w:r w:rsidR="003930F9">
        <w:rPr>
          <w:rStyle w:val="ECCParagraph"/>
        </w:rPr>
        <w:t xml:space="preserve">valent </w:t>
      </w:r>
      <w:r w:rsidR="001B4A93" w:rsidRPr="004B3873">
        <w:rPr>
          <w:rStyle w:val="ECCParagraph"/>
        </w:rPr>
        <w:t xml:space="preserve">standards </w:t>
      </w:r>
      <w:r w:rsidR="00A5141F">
        <w:rPr>
          <w:rStyle w:val="ECCParagraph"/>
        </w:rPr>
        <w:t>related to</w:t>
      </w:r>
      <w:r w:rsidR="001B4A93" w:rsidRPr="004B3873">
        <w:rPr>
          <w:rStyle w:val="ECCParagraph"/>
        </w:rPr>
        <w:t xml:space="preserve"> the </w:t>
      </w:r>
      <w:r w:rsidR="007F69FE">
        <w:rPr>
          <w:rStyle w:val="ECCParagraph"/>
        </w:rPr>
        <w:t>Maritime Equipment Directive (</w:t>
      </w:r>
      <w:r w:rsidR="001B4A93" w:rsidRPr="004B3873">
        <w:rPr>
          <w:rStyle w:val="ECCParagraph"/>
        </w:rPr>
        <w:t>MED</w:t>
      </w:r>
      <w:r w:rsidR="007F69FE">
        <w:rPr>
          <w:rStyle w:val="ECCParagraph"/>
        </w:rPr>
        <w:t>)</w:t>
      </w:r>
      <w:r w:rsidR="00337FBD" w:rsidRPr="004B3873">
        <w:rPr>
          <w:rStyle w:val="ECCParagraph"/>
        </w:rPr>
        <w:t>,</w:t>
      </w:r>
      <w:r w:rsidR="00866EFE">
        <w:rPr>
          <w:rStyle w:val="ECCParagraph"/>
        </w:rPr>
        <w:t xml:space="preserve"> which applies to new, type-approved marine equipment, mutually-recognised within the EU</w:t>
      </w:r>
      <w:r w:rsidR="00337FBD" w:rsidRPr="004B3873">
        <w:rPr>
          <w:rStyle w:val="ECCParagraph"/>
        </w:rPr>
        <w:t>,</w:t>
      </w:r>
      <w:r w:rsidR="001B4A93" w:rsidRPr="004B3873">
        <w:rPr>
          <w:rStyle w:val="ECCParagraph"/>
        </w:rPr>
        <w:t xml:space="preserve"> either by ETSI or IEC</w:t>
      </w:r>
      <w:r w:rsidR="00337FBD" w:rsidRPr="004B3873">
        <w:rPr>
          <w:rStyle w:val="ECCParagraph"/>
        </w:rPr>
        <w:t>,</w:t>
      </w:r>
      <w:r w:rsidR="001B4A93" w:rsidRPr="004B3873">
        <w:rPr>
          <w:rStyle w:val="ECCParagraph"/>
        </w:rPr>
        <w:t xml:space="preserve"> are </w:t>
      </w:r>
      <w:r w:rsidR="000B1C7A">
        <w:rPr>
          <w:rStyle w:val="ECCParagraph"/>
        </w:rPr>
        <w:t>required</w:t>
      </w:r>
      <w:r w:rsidR="001B4A93" w:rsidRPr="004B3873">
        <w:rPr>
          <w:rStyle w:val="ECCParagraph"/>
        </w:rPr>
        <w:t xml:space="preserve">. </w:t>
      </w:r>
    </w:p>
    <w:p w:rsidR="00DA41FD" w:rsidRPr="004B3873" w:rsidRDefault="00DA41FD" w:rsidP="00DA41FD">
      <w:pPr>
        <w:rPr>
          <w:rStyle w:val="ECCParagraph"/>
        </w:rPr>
      </w:pPr>
      <w:r w:rsidRPr="004B3873">
        <w:rPr>
          <w:rStyle w:val="ECCParagraph"/>
        </w:rPr>
        <w:t xml:space="preserve">In addition, ECC Report 263 identified that there may be a need to provide </w:t>
      </w:r>
      <w:r w:rsidR="00E75F31" w:rsidRPr="004B3873">
        <w:rPr>
          <w:rStyle w:val="ECCParagraph"/>
        </w:rPr>
        <w:t xml:space="preserve">proportionate </w:t>
      </w:r>
      <w:r w:rsidRPr="004B3873">
        <w:rPr>
          <w:rStyle w:val="ECCParagraph"/>
        </w:rPr>
        <w:t>protection</w:t>
      </w:r>
      <w:r w:rsidR="00E75F31" w:rsidRPr="004B3873">
        <w:rPr>
          <w:rStyle w:val="ECCParagraph"/>
        </w:rPr>
        <w:t xml:space="preserve"> measures</w:t>
      </w:r>
      <w:r w:rsidRPr="004B3873">
        <w:rPr>
          <w:rStyle w:val="ECCParagraph"/>
        </w:rPr>
        <w:t xml:space="preserve"> </w:t>
      </w:r>
      <w:r w:rsidR="00E75F31" w:rsidRPr="004B3873">
        <w:rPr>
          <w:rStyle w:val="ECCParagraph"/>
        </w:rPr>
        <w:t>to</w:t>
      </w:r>
      <w:r w:rsidRPr="004B3873">
        <w:rPr>
          <w:rStyle w:val="ECCParagraph"/>
        </w:rPr>
        <w:t xml:space="preserve"> MES</w:t>
      </w:r>
      <w:r w:rsidR="00E257E0">
        <w:rPr>
          <w:rStyle w:val="ECCParagraph"/>
        </w:rPr>
        <w:t>s</w:t>
      </w:r>
      <w:r w:rsidRPr="004B3873">
        <w:rPr>
          <w:rStyle w:val="ECCParagraph"/>
        </w:rPr>
        <w:t xml:space="preserve"> at seaports and airports, </w:t>
      </w:r>
      <w:r w:rsidRPr="00607D5A">
        <w:rPr>
          <w:rStyle w:val="ECCParagraph"/>
        </w:rPr>
        <w:t xml:space="preserve">and hence there may be a need to apply other mitigation techniques to </w:t>
      </w:r>
      <w:r w:rsidR="00D74F12" w:rsidRPr="002F6346">
        <w:rPr>
          <w:rStyle w:val="ECCParagraph"/>
        </w:rPr>
        <w:t>MFCN</w:t>
      </w:r>
      <w:r w:rsidRPr="002F6346">
        <w:rPr>
          <w:rStyle w:val="ECCParagraph"/>
        </w:rPr>
        <w:t xml:space="preserve"> BSs in the vicinity of seaports and airports for the frequencies at the top end of the 1492-1518 MHz frequency band to avoid harmful interference to MESs.</w:t>
      </w:r>
      <w:r w:rsidRPr="004B3873">
        <w:rPr>
          <w:rStyle w:val="ECCParagraph"/>
        </w:rPr>
        <w:t xml:space="preserve"> </w:t>
      </w:r>
      <w:r w:rsidR="00875E18" w:rsidRPr="004B3873">
        <w:rPr>
          <w:rStyle w:val="ECCParagraph"/>
        </w:rPr>
        <w:t xml:space="preserve">In consequence, CEPT </w:t>
      </w:r>
      <w:r w:rsidR="005E0280" w:rsidRPr="004B3873">
        <w:rPr>
          <w:rStyle w:val="ECCParagraph"/>
        </w:rPr>
        <w:t>has developed</w:t>
      </w:r>
      <w:r w:rsidR="00875E18" w:rsidRPr="004B3873">
        <w:rPr>
          <w:rStyle w:val="ECCParagraph"/>
        </w:rPr>
        <w:t xml:space="preserve"> this study on potential blocking of MES receivers caused by </w:t>
      </w:r>
      <w:r w:rsidR="00875E18" w:rsidRPr="00145E67">
        <w:rPr>
          <w:rStyle w:val="ECCParagraph"/>
        </w:rPr>
        <w:t xml:space="preserve">MFCN (SDL base stations) </w:t>
      </w:r>
      <w:r w:rsidR="00680BFC" w:rsidRPr="00145E67">
        <w:rPr>
          <w:rStyle w:val="ECCParagraph"/>
        </w:rPr>
        <w:t xml:space="preserve">operating </w:t>
      </w:r>
      <w:r w:rsidR="00875E18" w:rsidRPr="00145E67">
        <w:rPr>
          <w:rStyle w:val="ECCParagraph"/>
        </w:rPr>
        <w:t>below 1518 MHz. These MES may need to show correct functioning in bands</w:t>
      </w:r>
      <w:r w:rsidR="00875E18" w:rsidRPr="00212A05">
        <w:rPr>
          <w:rStyle w:val="ECCParagraph"/>
        </w:rPr>
        <w:t xml:space="preserve"> adjacent to 1518 MHz (including 1525-1559 MHz</w:t>
      </w:r>
      <w:r w:rsidR="00875E18" w:rsidRPr="00145E67">
        <w:rPr>
          <w:rStyle w:val="ECCParagraph"/>
        </w:rPr>
        <w:t>), as part of operational procedures, prior to departure from sea ports or airports.</w:t>
      </w:r>
      <w:r w:rsidR="00875E18" w:rsidRPr="004B3873">
        <w:rPr>
          <w:rStyle w:val="ECCParagraph"/>
        </w:rPr>
        <w:t xml:space="preserve"> </w:t>
      </w:r>
    </w:p>
    <w:p w:rsidR="005E1BD3" w:rsidRPr="004B3873" w:rsidRDefault="00DA41FD" w:rsidP="00DA41FD">
      <w:pPr>
        <w:rPr>
          <w:rStyle w:val="ECCParagraph"/>
        </w:rPr>
      </w:pPr>
      <w:r w:rsidRPr="004B3873">
        <w:rPr>
          <w:rStyle w:val="ECCParagraph"/>
        </w:rPr>
        <w:t xml:space="preserve">The main activities in </w:t>
      </w:r>
      <w:r w:rsidR="00B00166">
        <w:rPr>
          <w:rStyle w:val="ECCParagraph"/>
        </w:rPr>
        <w:t>this Report</w:t>
      </w:r>
      <w:r w:rsidRPr="004B3873">
        <w:rPr>
          <w:rStyle w:val="ECCParagraph"/>
        </w:rPr>
        <w:t xml:space="preserve"> </w:t>
      </w:r>
      <w:r w:rsidR="00845223" w:rsidRPr="004B3873">
        <w:rPr>
          <w:rStyle w:val="ECCParagraph"/>
        </w:rPr>
        <w:t>are</w:t>
      </w:r>
      <w:r w:rsidR="00C817CB" w:rsidRPr="004B3873">
        <w:rPr>
          <w:rStyle w:val="ECCParagraph"/>
        </w:rPr>
        <w:t>:</w:t>
      </w:r>
      <w:r w:rsidR="005E1BD3" w:rsidRPr="004B3873">
        <w:rPr>
          <w:rStyle w:val="ECCParagraph"/>
        </w:rPr>
        <w:t xml:space="preserve"> </w:t>
      </w:r>
    </w:p>
    <w:p w:rsidR="005E1BD3" w:rsidRDefault="005E1BD3" w:rsidP="003B51DC">
      <w:pPr>
        <w:pStyle w:val="ECCBulletsLv1"/>
      </w:pPr>
      <w:r>
        <w:t xml:space="preserve">to assess the state of the art of MES aeronautical and maritime terminals, in particular blocking </w:t>
      </w:r>
      <w:r w:rsidR="001D7D54">
        <w:t>measurements of these terminals</w:t>
      </w:r>
      <w:r w:rsidR="005307C4">
        <w:t>;</w:t>
      </w:r>
    </w:p>
    <w:p w:rsidR="005E1BD3" w:rsidRDefault="005E1BD3" w:rsidP="003B51DC">
      <w:pPr>
        <w:pStyle w:val="ECCBulletsLv1"/>
      </w:pPr>
      <w:r>
        <w:t xml:space="preserve">to provide the relevant background for aeronautical and maritime applicable </w:t>
      </w:r>
      <w:r w:rsidR="00D11512">
        <w:t xml:space="preserve">international </w:t>
      </w:r>
      <w:r>
        <w:t xml:space="preserve">regulatory framework with a focus on </w:t>
      </w:r>
      <w:r w:rsidR="00233114">
        <w:t xml:space="preserve">aeronautical and maritime </w:t>
      </w:r>
      <w:r w:rsidRPr="00875E18">
        <w:t xml:space="preserve">operational procedures, </w:t>
      </w:r>
      <w:r w:rsidR="00233114">
        <w:t xml:space="preserve">including those required </w:t>
      </w:r>
      <w:r w:rsidRPr="00875E18">
        <w:t>prior to departu</w:t>
      </w:r>
      <w:r>
        <w:t>re from sea ports or airports</w:t>
      </w:r>
      <w:r w:rsidR="00EE3BBA" w:rsidRPr="00EE3BBA">
        <w:t xml:space="preserve"> (NB: the situation along routes approaching or departing from destinations has not been addressed)</w:t>
      </w:r>
      <w:r w:rsidR="005307C4">
        <w:t>;</w:t>
      </w:r>
    </w:p>
    <w:p w:rsidR="005E1BD3" w:rsidRDefault="005E1BD3" w:rsidP="003B51DC">
      <w:pPr>
        <w:pStyle w:val="ECCBulletsLv1"/>
      </w:pPr>
      <w:r>
        <w:t xml:space="preserve">to assess the timing and steps for the introduction </w:t>
      </w:r>
      <w:r w:rsidR="00233114">
        <w:t>of</w:t>
      </w:r>
      <w:r>
        <w:t xml:space="preserve"> MFCN below 1518 MHz and relevant protection of MES terminals in adjacent bands, including</w:t>
      </w:r>
      <w:r w:rsidR="003526A7">
        <w:t xml:space="preserve"> </w:t>
      </w:r>
      <w:r>
        <w:t xml:space="preserve">the need and availability of improved MES receivers </w:t>
      </w:r>
      <w:r w:rsidR="006C217C">
        <w:t>(not based on the natural obsolescen</w:t>
      </w:r>
      <w:r w:rsidR="00D9153A">
        <w:t>c</w:t>
      </w:r>
      <w:r w:rsidR="006C217C">
        <w:t>e of the device)</w:t>
      </w:r>
      <w:r w:rsidR="001B4A93">
        <w:t xml:space="preserve"> </w:t>
      </w:r>
      <w:r w:rsidR="001B4A93" w:rsidRPr="00216400">
        <w:t>taking in</w:t>
      </w:r>
      <w:r w:rsidR="001D7D54">
        <w:t xml:space="preserve">to account the </w:t>
      </w:r>
      <w:r w:rsidR="00462D9D">
        <w:t>r</w:t>
      </w:r>
      <w:r w:rsidR="001D7D54">
        <w:t xml:space="preserve">ules within </w:t>
      </w:r>
      <w:r w:rsidR="00462D9D">
        <w:t>the</w:t>
      </w:r>
      <w:r w:rsidR="001D7D54">
        <w:t xml:space="preserve"> IMO</w:t>
      </w:r>
      <w:r w:rsidR="005307C4">
        <w:t>;</w:t>
      </w:r>
    </w:p>
    <w:p w:rsidR="00DA41FD" w:rsidRPr="006C2EA3" w:rsidRDefault="002C3A1A" w:rsidP="001A723F">
      <w:pPr>
        <w:pStyle w:val="ECCBulletsLv1"/>
        <w:rPr>
          <w:rStyle w:val="ECCParagraph"/>
        </w:rPr>
      </w:pPr>
      <w:r w:rsidRPr="006C2EA3">
        <w:rPr>
          <w:rStyle w:val="ECCParagraph"/>
        </w:rPr>
        <w:t xml:space="preserve">to </w:t>
      </w:r>
      <w:r w:rsidR="005E1BD3" w:rsidRPr="006C2EA3">
        <w:rPr>
          <w:rStyle w:val="ECCParagraph"/>
        </w:rPr>
        <w:t>help</w:t>
      </w:r>
      <w:r w:rsidR="00DA41FD" w:rsidRPr="006C2EA3">
        <w:rPr>
          <w:rStyle w:val="ECCParagraph"/>
        </w:rPr>
        <w:t xml:space="preserve"> administrations</w:t>
      </w:r>
      <w:r w:rsidR="005E1BD3" w:rsidRPr="006C2EA3">
        <w:rPr>
          <w:rStyle w:val="ECCParagraph"/>
        </w:rPr>
        <w:t xml:space="preserve"> define the propo</w:t>
      </w:r>
      <w:r w:rsidR="006C217C" w:rsidRPr="006C2EA3">
        <w:rPr>
          <w:rStyle w:val="ECCParagraph"/>
        </w:rPr>
        <w:t>r</w:t>
      </w:r>
      <w:r w:rsidR="005E1BD3" w:rsidRPr="006C2EA3">
        <w:rPr>
          <w:rStyle w:val="ECCParagraph"/>
        </w:rPr>
        <w:t>tionate measures</w:t>
      </w:r>
      <w:r w:rsidR="00DA41FD" w:rsidRPr="006C2EA3">
        <w:rPr>
          <w:rStyle w:val="ECCParagraph"/>
        </w:rPr>
        <w:t xml:space="preserve"> </w:t>
      </w:r>
      <w:r w:rsidR="00462D9D" w:rsidRPr="00212A05">
        <w:rPr>
          <w:rStyle w:val="ECCParagraph"/>
        </w:rPr>
        <w:t>for</w:t>
      </w:r>
      <w:r w:rsidR="009F71F9" w:rsidRPr="006C2EA3">
        <w:rPr>
          <w:rStyle w:val="ECCParagraph"/>
        </w:rPr>
        <w:t xml:space="preserve"> protecting</w:t>
      </w:r>
      <w:r w:rsidR="00DA41FD" w:rsidRPr="006C2EA3">
        <w:rPr>
          <w:rStyle w:val="ECCParagraph"/>
        </w:rPr>
        <w:t xml:space="preserve"> maritime and aeronautical safety </w:t>
      </w:r>
      <w:r w:rsidR="00DA41FD" w:rsidRPr="00212A05">
        <w:rPr>
          <w:rStyle w:val="ECCParagraph"/>
        </w:rPr>
        <w:t>communications</w:t>
      </w:r>
      <w:r w:rsidR="00DA41FD" w:rsidRPr="006C2EA3">
        <w:rPr>
          <w:rStyle w:val="ECCParagraph"/>
        </w:rPr>
        <w:t xml:space="preserve"> and</w:t>
      </w:r>
      <w:r w:rsidR="006C217C" w:rsidRPr="006C2EA3">
        <w:rPr>
          <w:rStyle w:val="ECCParagraph"/>
        </w:rPr>
        <w:t xml:space="preserve"> MES</w:t>
      </w:r>
      <w:r w:rsidR="00DA41FD" w:rsidRPr="006C2EA3">
        <w:rPr>
          <w:rStyle w:val="ECCParagraph"/>
        </w:rPr>
        <w:t xml:space="preserve"> terminals at seaports and airports</w:t>
      </w:r>
      <w:r w:rsidR="006C217C" w:rsidRPr="006C2EA3">
        <w:rPr>
          <w:rStyle w:val="ECCParagraph"/>
        </w:rPr>
        <w:t xml:space="preserve"> prior to departure from sea ports or airports</w:t>
      </w:r>
      <w:r w:rsidR="00DA41FD" w:rsidRPr="006C2EA3">
        <w:rPr>
          <w:rStyle w:val="ECCParagraph"/>
        </w:rPr>
        <w:t>.</w:t>
      </w:r>
    </w:p>
    <w:p w:rsidR="00A00619" w:rsidRPr="004B3873" w:rsidRDefault="00A00619" w:rsidP="00DA41FD">
      <w:pPr>
        <w:rPr>
          <w:rStyle w:val="ECCParagraph"/>
        </w:rPr>
      </w:pPr>
      <w:r w:rsidRPr="004B3873">
        <w:rPr>
          <w:rStyle w:val="ECCParagraph"/>
        </w:rPr>
        <w:t xml:space="preserve">Each national administration </w:t>
      </w:r>
      <w:r w:rsidR="00DD0F66" w:rsidRPr="00CC48C4">
        <w:rPr>
          <w:rStyle w:val="ECCParagraph"/>
        </w:rPr>
        <w:t xml:space="preserve">exercising </w:t>
      </w:r>
      <w:r w:rsidR="00DD0F66">
        <w:rPr>
          <w:rStyle w:val="ECCParagraph"/>
        </w:rPr>
        <w:t xml:space="preserve">its sovereign rights </w:t>
      </w:r>
      <w:r w:rsidR="00DD0F66" w:rsidRPr="00CC48C4">
        <w:rPr>
          <w:rStyle w:val="ECCParagraph"/>
        </w:rPr>
        <w:t xml:space="preserve">over its land territory, territorial sea and air space in the field of frequency management </w:t>
      </w:r>
      <w:r w:rsidRPr="004B3873">
        <w:rPr>
          <w:rStyle w:val="ECCParagraph"/>
        </w:rPr>
        <w:t xml:space="preserve">will decide which areas or locations require protection and how to do so, e.g. by using options outlined in this </w:t>
      </w:r>
      <w:r w:rsidR="007507D7">
        <w:rPr>
          <w:rStyle w:val="ECCParagraph"/>
        </w:rPr>
        <w:t>R</w:t>
      </w:r>
      <w:r w:rsidRPr="004B3873">
        <w:rPr>
          <w:rStyle w:val="ECCParagraph"/>
        </w:rPr>
        <w:t>eport if suitable to their national circumstances</w:t>
      </w:r>
      <w:r w:rsidR="00EE3BBA" w:rsidRPr="00212A05">
        <w:rPr>
          <w:rStyle w:val="ECCParagraph"/>
        </w:rPr>
        <w:t>.</w:t>
      </w:r>
    </w:p>
    <w:p w:rsidR="00DA41FD" w:rsidRPr="00CF05D2" w:rsidRDefault="00E562E1" w:rsidP="00DA41FD">
      <w:pPr>
        <w:pStyle w:val="Heading1"/>
        <w:rPr>
          <w:lang w:val="en-GB"/>
        </w:rPr>
      </w:pPr>
      <w:bookmarkStart w:id="25" w:name="_Toc525544404"/>
      <w:bookmarkStart w:id="26" w:name="_Toc528659166"/>
      <w:bookmarkStart w:id="27" w:name="_Toc3285875"/>
      <w:r w:rsidRPr="00CF05D2">
        <w:rPr>
          <w:lang w:val="en-GB"/>
        </w:rPr>
        <w:lastRenderedPageBreak/>
        <w:t>C</w:t>
      </w:r>
      <w:r w:rsidR="00FF5AAE" w:rsidRPr="00CF05D2">
        <w:rPr>
          <w:lang w:val="en-GB"/>
        </w:rPr>
        <w:t>urrent MES terminals</w:t>
      </w:r>
      <w:bookmarkEnd w:id="25"/>
      <w:bookmarkEnd w:id="26"/>
      <w:bookmarkEnd w:id="27"/>
    </w:p>
    <w:p w:rsidR="0037520E" w:rsidRPr="00212A05" w:rsidRDefault="00462D9D" w:rsidP="0037520E">
      <w:pPr>
        <w:rPr>
          <w:rStyle w:val="ECCParagraph"/>
        </w:rPr>
      </w:pPr>
      <w:r w:rsidRPr="00212A05">
        <w:rPr>
          <w:rStyle w:val="ECCParagraph"/>
        </w:rPr>
        <w:t xml:space="preserve">The </w:t>
      </w:r>
      <w:r w:rsidR="00DC5661" w:rsidRPr="00212A05">
        <w:rPr>
          <w:rStyle w:val="ECCParagraph"/>
        </w:rPr>
        <w:t xml:space="preserve">MSS </w:t>
      </w:r>
      <w:r w:rsidR="008B096B">
        <w:rPr>
          <w:rStyle w:val="ECCParagraph"/>
        </w:rPr>
        <w:t xml:space="preserve">L-band </w:t>
      </w:r>
      <w:r w:rsidRPr="00212A05">
        <w:rPr>
          <w:rStyle w:val="ECCParagraph"/>
        </w:rPr>
        <w:t xml:space="preserve">is used by several MSS systems, including </w:t>
      </w:r>
      <w:r w:rsidR="007052C5" w:rsidRPr="00212A05">
        <w:rPr>
          <w:rStyle w:val="ECCParagraph"/>
        </w:rPr>
        <w:t>those operated by</w:t>
      </w:r>
      <w:r w:rsidR="002D75C3" w:rsidRPr="00212A05">
        <w:rPr>
          <w:rStyle w:val="ECCParagraph"/>
        </w:rPr>
        <w:t xml:space="preserve"> </w:t>
      </w:r>
      <w:r w:rsidRPr="00212A05">
        <w:rPr>
          <w:rStyle w:val="ECCParagraph"/>
        </w:rPr>
        <w:t xml:space="preserve">Inmarsat </w:t>
      </w:r>
      <w:r w:rsidR="007052C5" w:rsidRPr="00212A05">
        <w:rPr>
          <w:rStyle w:val="ECCParagraph"/>
        </w:rPr>
        <w:t xml:space="preserve">and Thuraya. </w:t>
      </w:r>
      <w:r w:rsidR="0037520E" w:rsidRPr="00E33DB7">
        <w:rPr>
          <w:rStyle w:val="ECCParagraph"/>
        </w:rPr>
        <w:t xml:space="preserve">Inmarsat </w:t>
      </w:r>
      <w:r w:rsidR="0037520E" w:rsidRPr="00212A05">
        <w:rPr>
          <w:rStyle w:val="ECCParagraph"/>
        </w:rPr>
        <w:t xml:space="preserve">maritime </w:t>
      </w:r>
      <w:r w:rsidR="007052C5" w:rsidRPr="00212A05">
        <w:rPr>
          <w:rStyle w:val="ECCParagraph"/>
        </w:rPr>
        <w:t xml:space="preserve">services operate over several types </w:t>
      </w:r>
      <w:r w:rsidR="0037520E" w:rsidRPr="00E33DB7">
        <w:rPr>
          <w:rStyle w:val="ECCParagraph"/>
        </w:rPr>
        <w:t xml:space="preserve">of L-band </w:t>
      </w:r>
      <w:r w:rsidR="007052C5" w:rsidRPr="00212A05">
        <w:rPr>
          <w:rStyle w:val="ECCParagraph"/>
        </w:rPr>
        <w:t>MES terminals</w:t>
      </w:r>
      <w:r w:rsidR="0037520E" w:rsidRPr="00212A05">
        <w:rPr>
          <w:rStyle w:val="ECCParagraph"/>
        </w:rPr>
        <w:t xml:space="preserve">, the most </w:t>
      </w:r>
      <w:r w:rsidR="007052C5" w:rsidRPr="00212A05">
        <w:rPr>
          <w:rStyle w:val="ECCParagraph"/>
        </w:rPr>
        <w:t>widely used</w:t>
      </w:r>
      <w:r w:rsidR="0037520E" w:rsidRPr="00E33DB7">
        <w:rPr>
          <w:rStyle w:val="ECCParagraph"/>
        </w:rPr>
        <w:t xml:space="preserve"> being “Inmarsat</w:t>
      </w:r>
      <w:r w:rsidR="007052C5" w:rsidRPr="00E33DB7">
        <w:rPr>
          <w:rStyle w:val="ECCParagraph"/>
        </w:rPr>
        <w:t xml:space="preserve"> </w:t>
      </w:r>
      <w:r w:rsidR="0037520E" w:rsidRPr="00E33DB7">
        <w:rPr>
          <w:rStyle w:val="ECCParagraph"/>
        </w:rPr>
        <w:t>C”, “Mini</w:t>
      </w:r>
      <w:r w:rsidR="001C2B85">
        <w:rPr>
          <w:rStyle w:val="ECCParagraph"/>
        </w:rPr>
        <w:t xml:space="preserve"> </w:t>
      </w:r>
      <w:r w:rsidR="0037520E" w:rsidRPr="00E33DB7">
        <w:rPr>
          <w:rStyle w:val="ECCParagraph"/>
        </w:rPr>
        <w:t>C”, “Fleet</w:t>
      </w:r>
      <w:r w:rsidR="00532D5C">
        <w:rPr>
          <w:rStyle w:val="ECCParagraph"/>
        </w:rPr>
        <w:t xml:space="preserve"> </w:t>
      </w:r>
      <w:r w:rsidR="0037520E" w:rsidRPr="00E33DB7">
        <w:rPr>
          <w:rStyle w:val="ECCParagraph"/>
        </w:rPr>
        <w:t>77” and “FleetBroadband.”</w:t>
      </w:r>
    </w:p>
    <w:p w:rsidR="0037520E" w:rsidRPr="00DD36C7" w:rsidRDefault="0037520E" w:rsidP="0037520E">
      <w:pPr>
        <w:rPr>
          <w:rStyle w:val="ECCParagraph"/>
        </w:rPr>
      </w:pPr>
      <w:r w:rsidRPr="00DD36C7">
        <w:rPr>
          <w:rStyle w:val="ECCParagraph"/>
        </w:rPr>
        <w:t xml:space="preserve">Inmarsat </w:t>
      </w:r>
      <w:r w:rsidR="007052C5" w:rsidRPr="00DD36C7">
        <w:rPr>
          <w:rStyle w:val="ECCParagraph"/>
        </w:rPr>
        <w:t>also provides</w:t>
      </w:r>
      <w:r w:rsidRPr="00DD36C7">
        <w:rPr>
          <w:rStyle w:val="ECCParagraph"/>
        </w:rPr>
        <w:t xml:space="preserve"> three main types of L-band a</w:t>
      </w:r>
      <w:r w:rsidR="00B47C4A" w:rsidRPr="00DD36C7">
        <w:rPr>
          <w:rStyle w:val="ECCParagraph"/>
        </w:rPr>
        <w:t>eronautical services</w:t>
      </w:r>
      <w:r w:rsidRPr="00DD36C7">
        <w:rPr>
          <w:rStyle w:val="ECCParagraph"/>
        </w:rPr>
        <w:t>, known as “Classic Aero,” “Swift</w:t>
      </w:r>
      <w:r w:rsidR="001376C3">
        <w:rPr>
          <w:rStyle w:val="ECCParagraph"/>
        </w:rPr>
        <w:t xml:space="preserve"> </w:t>
      </w:r>
      <w:r w:rsidRPr="00DD36C7">
        <w:rPr>
          <w:rStyle w:val="ECCParagraph"/>
        </w:rPr>
        <w:t>64” and “SwiftBroadband”.</w:t>
      </w:r>
    </w:p>
    <w:p w:rsidR="00462D9D" w:rsidRPr="00212A05" w:rsidRDefault="00462D9D" w:rsidP="0037520E">
      <w:pPr>
        <w:rPr>
          <w:rStyle w:val="ECCHLmagenta"/>
        </w:rPr>
      </w:pPr>
      <w:r w:rsidRPr="00DD36C7">
        <w:rPr>
          <w:rStyle w:val="ECCParagraph"/>
        </w:rPr>
        <w:t xml:space="preserve">These maritime and aeronautical MESs </w:t>
      </w:r>
      <w:r w:rsidR="007052C5" w:rsidRPr="00212A05">
        <w:rPr>
          <w:rStyle w:val="ECCParagraph"/>
        </w:rPr>
        <w:t xml:space="preserve">currently </w:t>
      </w:r>
      <w:r w:rsidRPr="00DD36C7">
        <w:rPr>
          <w:rStyle w:val="ECCParagraph"/>
        </w:rPr>
        <w:t xml:space="preserve">receive in all or a part of the </w:t>
      </w:r>
      <w:r w:rsidR="00E33DB7" w:rsidRPr="00212A05">
        <w:rPr>
          <w:rStyle w:val="ECCParagraph"/>
        </w:rPr>
        <w:t>MSS L</w:t>
      </w:r>
      <w:r w:rsidR="004F6BE6" w:rsidRPr="00212A05">
        <w:rPr>
          <w:rStyle w:val="ECCParagraph"/>
        </w:rPr>
        <w:t>-</w:t>
      </w:r>
      <w:r w:rsidR="00E33DB7" w:rsidRPr="00212A05">
        <w:rPr>
          <w:rStyle w:val="ECCParagraph"/>
        </w:rPr>
        <w:t>band.</w:t>
      </w:r>
      <w:r w:rsidR="004F6BE6" w:rsidRPr="00DD36C7" w:rsidDel="004F6BE6">
        <w:rPr>
          <w:rStyle w:val="ECCParagraph"/>
        </w:rPr>
        <w:t xml:space="preserve"> </w:t>
      </w:r>
    </w:p>
    <w:p w:rsidR="00CF05D2" w:rsidRPr="00B1234C" w:rsidRDefault="00CF05D2" w:rsidP="00CF05D2">
      <w:pPr>
        <w:pStyle w:val="Caption"/>
        <w:rPr>
          <w:lang w:val="en-GB"/>
        </w:rPr>
      </w:pPr>
      <w:r w:rsidRPr="00CF05D2">
        <w:rPr>
          <w:lang w:val="en-GB"/>
        </w:rPr>
        <w:t xml:space="preserve">Table </w:t>
      </w:r>
      <w:r w:rsidRPr="00CF05D2">
        <w:fldChar w:fldCharType="begin"/>
      </w:r>
      <w:r w:rsidRPr="00CF05D2">
        <w:rPr>
          <w:lang w:val="en-GB"/>
        </w:rPr>
        <w:instrText xml:space="preserve"> SEQ Table \* ARABIC </w:instrText>
      </w:r>
      <w:r w:rsidRPr="00CF05D2">
        <w:fldChar w:fldCharType="separate"/>
      </w:r>
      <w:r w:rsidR="00E9777B">
        <w:rPr>
          <w:noProof/>
          <w:lang w:val="en-GB"/>
        </w:rPr>
        <w:t>1</w:t>
      </w:r>
      <w:r w:rsidRPr="00CF05D2">
        <w:fldChar w:fldCharType="end"/>
      </w:r>
      <w:r w:rsidRPr="00CF05D2">
        <w:rPr>
          <w:lang w:val="en-GB"/>
        </w:rPr>
        <w:t xml:space="preserve">: Number of </w:t>
      </w:r>
      <w:r w:rsidR="007052C5" w:rsidRPr="00E836A4">
        <w:rPr>
          <w:lang w:val="en-US"/>
        </w:rPr>
        <w:t xml:space="preserve">Inmarsat </w:t>
      </w:r>
      <w:r w:rsidRPr="00CF05D2">
        <w:rPr>
          <w:lang w:val="en-GB"/>
        </w:rPr>
        <w:t xml:space="preserve">terminals currently deployed </w:t>
      </w:r>
    </w:p>
    <w:tbl>
      <w:tblPr>
        <w:tblStyle w:val="ECCTable-redheader"/>
        <w:tblW w:w="0" w:type="auto"/>
        <w:tblInd w:w="0" w:type="dxa"/>
        <w:tblLook w:val="04A0" w:firstRow="1" w:lastRow="0" w:firstColumn="1" w:lastColumn="0" w:noHBand="0" w:noVBand="1"/>
      </w:tblPr>
      <w:tblGrid>
        <w:gridCol w:w="590"/>
        <w:gridCol w:w="2678"/>
        <w:gridCol w:w="1879"/>
      </w:tblGrid>
      <w:tr w:rsidR="00CC2AF4" w:rsidTr="007116DE">
        <w:trPr>
          <w:cnfStyle w:val="100000000000" w:firstRow="1" w:lastRow="0" w:firstColumn="0" w:lastColumn="0" w:oddVBand="0" w:evenVBand="0" w:oddHBand="0" w:evenHBand="0" w:firstRowFirstColumn="0" w:firstRowLastColumn="0" w:lastRowFirstColumn="0" w:lastRowLastColumn="0"/>
        </w:trPr>
        <w:tc>
          <w:tcPr>
            <w:tcW w:w="3268" w:type="dxa"/>
            <w:gridSpan w:val="2"/>
          </w:tcPr>
          <w:p w:rsidR="00CF05D2" w:rsidRPr="00CF05D2" w:rsidRDefault="00167843" w:rsidP="009D39B7">
            <w:r w:rsidRPr="000A1402">
              <w:t>Services</w:t>
            </w:r>
          </w:p>
        </w:tc>
        <w:tc>
          <w:tcPr>
            <w:tcW w:w="1879" w:type="dxa"/>
          </w:tcPr>
          <w:p w:rsidR="00CF05D2" w:rsidRPr="00CF05D2" w:rsidRDefault="00CF05D2" w:rsidP="009D39B7">
            <w:r w:rsidRPr="00D51582">
              <w:t xml:space="preserve">Approximate Number of Terminals in </w:t>
            </w:r>
            <w:r w:rsidR="00167843" w:rsidRPr="00167843">
              <w:t>use</w:t>
            </w:r>
          </w:p>
        </w:tc>
      </w:tr>
      <w:tr w:rsidR="00CF05D2" w:rsidTr="007116DE">
        <w:trPr>
          <w:trHeight w:val="361"/>
        </w:trPr>
        <w:tc>
          <w:tcPr>
            <w:tcW w:w="590" w:type="dxa"/>
            <w:vMerge w:val="restart"/>
          </w:tcPr>
          <w:p w:rsidR="00167843" w:rsidRPr="000A1402" w:rsidRDefault="00167843" w:rsidP="00167843">
            <w:r w:rsidRPr="000A1402">
              <w:t>S</w:t>
            </w:r>
            <w:r w:rsidRPr="000A1402">
              <w:br/>
              <w:t>E</w:t>
            </w:r>
            <w:r w:rsidRPr="000A1402">
              <w:br/>
              <w:t>A</w:t>
            </w:r>
          </w:p>
        </w:tc>
        <w:tc>
          <w:tcPr>
            <w:tcW w:w="2678" w:type="dxa"/>
          </w:tcPr>
          <w:p w:rsidR="00CF05D2" w:rsidRPr="005E4A6C" w:rsidRDefault="00CF05D2" w:rsidP="001376C3">
            <w:pPr>
              <w:pStyle w:val="ECCTabletext"/>
            </w:pPr>
            <w:r w:rsidRPr="00B00166">
              <w:t>Inmarsat</w:t>
            </w:r>
            <w:r w:rsidR="00167843" w:rsidRPr="00167843">
              <w:t xml:space="preserve"> </w:t>
            </w:r>
            <w:r w:rsidRPr="00B00166">
              <w:t>C (Maritime)</w:t>
            </w:r>
          </w:p>
        </w:tc>
        <w:tc>
          <w:tcPr>
            <w:tcW w:w="1879" w:type="dxa"/>
          </w:tcPr>
          <w:p w:rsidR="00CF05D2" w:rsidRPr="005E4A6C" w:rsidRDefault="00CF05D2" w:rsidP="001376C3">
            <w:pPr>
              <w:pStyle w:val="ECCTabletext"/>
            </w:pPr>
            <w:r w:rsidRPr="005E4A6C">
              <w:t>160000</w:t>
            </w:r>
          </w:p>
        </w:tc>
      </w:tr>
      <w:tr w:rsidR="00CF05D2" w:rsidTr="007116DE">
        <w:trPr>
          <w:trHeight w:val="361"/>
        </w:trPr>
        <w:tc>
          <w:tcPr>
            <w:tcW w:w="590" w:type="dxa"/>
            <w:vMerge/>
          </w:tcPr>
          <w:p w:rsidR="00167843" w:rsidRPr="000A1402" w:rsidRDefault="00167843" w:rsidP="00167843"/>
        </w:tc>
        <w:tc>
          <w:tcPr>
            <w:tcW w:w="2678" w:type="dxa"/>
          </w:tcPr>
          <w:p w:rsidR="00CF05D2" w:rsidRPr="005E4A6C" w:rsidRDefault="00CF05D2" w:rsidP="001376C3">
            <w:pPr>
              <w:pStyle w:val="ECCTabletext"/>
            </w:pPr>
            <w:r w:rsidRPr="00B00166">
              <w:t>FleetBroadband</w:t>
            </w:r>
          </w:p>
        </w:tc>
        <w:tc>
          <w:tcPr>
            <w:tcW w:w="1879" w:type="dxa"/>
          </w:tcPr>
          <w:p w:rsidR="00CF05D2" w:rsidRPr="005E4A6C" w:rsidRDefault="00CF05D2" w:rsidP="001376C3">
            <w:pPr>
              <w:pStyle w:val="ECCTabletext"/>
            </w:pPr>
            <w:r w:rsidRPr="005E4A6C">
              <w:t>56000</w:t>
            </w:r>
          </w:p>
        </w:tc>
      </w:tr>
      <w:tr w:rsidR="00CF05D2" w:rsidTr="007116DE">
        <w:trPr>
          <w:trHeight w:val="361"/>
        </w:trPr>
        <w:tc>
          <w:tcPr>
            <w:tcW w:w="590" w:type="dxa"/>
            <w:vMerge/>
          </w:tcPr>
          <w:p w:rsidR="00167843" w:rsidRPr="000A1402" w:rsidRDefault="00167843" w:rsidP="00167843"/>
        </w:tc>
        <w:tc>
          <w:tcPr>
            <w:tcW w:w="2678" w:type="dxa"/>
          </w:tcPr>
          <w:p w:rsidR="00CF05D2" w:rsidRPr="005E4A6C" w:rsidRDefault="00CF05D2" w:rsidP="001376C3">
            <w:pPr>
              <w:pStyle w:val="ECCTabletext"/>
            </w:pPr>
            <w:r w:rsidRPr="00B00166">
              <w:t>Fleet-77</w:t>
            </w:r>
          </w:p>
        </w:tc>
        <w:tc>
          <w:tcPr>
            <w:tcW w:w="1879" w:type="dxa"/>
          </w:tcPr>
          <w:p w:rsidR="00CF05D2" w:rsidRPr="005E4A6C" w:rsidRDefault="00CF05D2" w:rsidP="001376C3">
            <w:pPr>
              <w:pStyle w:val="ECCTabletext"/>
            </w:pPr>
            <w:r w:rsidRPr="005E4A6C">
              <w:t>11000</w:t>
            </w:r>
          </w:p>
        </w:tc>
      </w:tr>
      <w:tr w:rsidR="00CF05D2" w:rsidTr="007116DE">
        <w:trPr>
          <w:trHeight w:val="361"/>
        </w:trPr>
        <w:tc>
          <w:tcPr>
            <w:tcW w:w="590" w:type="dxa"/>
            <w:vMerge w:val="restart"/>
          </w:tcPr>
          <w:p w:rsidR="00167843" w:rsidRPr="000A1402" w:rsidRDefault="00167843" w:rsidP="00167843">
            <w:r w:rsidRPr="000A1402">
              <w:t>A</w:t>
            </w:r>
            <w:r w:rsidRPr="000A1402">
              <w:br/>
              <w:t>I</w:t>
            </w:r>
            <w:r w:rsidRPr="000A1402">
              <w:br/>
              <w:t>R</w:t>
            </w:r>
          </w:p>
        </w:tc>
        <w:tc>
          <w:tcPr>
            <w:tcW w:w="2678" w:type="dxa"/>
          </w:tcPr>
          <w:p w:rsidR="00CF05D2" w:rsidRPr="005E4A6C" w:rsidRDefault="00CF05D2" w:rsidP="001376C3">
            <w:pPr>
              <w:pStyle w:val="ECCTabletext"/>
            </w:pPr>
            <w:r w:rsidRPr="00B00166">
              <w:t>Classic Aero</w:t>
            </w:r>
          </w:p>
        </w:tc>
        <w:tc>
          <w:tcPr>
            <w:tcW w:w="1879" w:type="dxa"/>
          </w:tcPr>
          <w:p w:rsidR="00CF05D2" w:rsidRPr="005E4A6C" w:rsidRDefault="00CF05D2" w:rsidP="001376C3">
            <w:pPr>
              <w:pStyle w:val="ECCTabletext"/>
            </w:pPr>
            <w:r w:rsidRPr="005E4A6C">
              <w:t>9000</w:t>
            </w:r>
          </w:p>
        </w:tc>
      </w:tr>
      <w:tr w:rsidR="00CF05D2" w:rsidTr="007116DE">
        <w:trPr>
          <w:trHeight w:val="361"/>
        </w:trPr>
        <w:tc>
          <w:tcPr>
            <w:tcW w:w="590" w:type="dxa"/>
            <w:vMerge/>
          </w:tcPr>
          <w:p w:rsidR="00167843" w:rsidRPr="000A1402" w:rsidRDefault="00167843" w:rsidP="00167843"/>
        </w:tc>
        <w:tc>
          <w:tcPr>
            <w:tcW w:w="2678" w:type="dxa"/>
          </w:tcPr>
          <w:p w:rsidR="00CF05D2" w:rsidRPr="005E4A6C" w:rsidRDefault="00CF05D2" w:rsidP="001376C3">
            <w:pPr>
              <w:pStyle w:val="ECCTabletext"/>
            </w:pPr>
            <w:r w:rsidRPr="00B00166">
              <w:t>Swift Broadband</w:t>
            </w:r>
          </w:p>
        </w:tc>
        <w:tc>
          <w:tcPr>
            <w:tcW w:w="1879" w:type="dxa"/>
          </w:tcPr>
          <w:p w:rsidR="00CF05D2" w:rsidRPr="005E4A6C" w:rsidRDefault="00CF05D2" w:rsidP="001376C3">
            <w:pPr>
              <w:pStyle w:val="ECCTabletext"/>
            </w:pPr>
            <w:r w:rsidRPr="005E4A6C">
              <w:t>9000</w:t>
            </w:r>
          </w:p>
        </w:tc>
      </w:tr>
      <w:tr w:rsidR="00CF05D2" w:rsidTr="007116DE">
        <w:trPr>
          <w:trHeight w:val="361"/>
        </w:trPr>
        <w:tc>
          <w:tcPr>
            <w:tcW w:w="590" w:type="dxa"/>
            <w:vMerge/>
          </w:tcPr>
          <w:p w:rsidR="00167843" w:rsidRPr="000A1402" w:rsidRDefault="00167843" w:rsidP="00167843"/>
        </w:tc>
        <w:tc>
          <w:tcPr>
            <w:tcW w:w="2678" w:type="dxa"/>
          </w:tcPr>
          <w:p w:rsidR="00CF05D2" w:rsidRPr="005E4A6C" w:rsidRDefault="00CF05D2" w:rsidP="001C2B85">
            <w:pPr>
              <w:pStyle w:val="ECCTabletext"/>
            </w:pPr>
            <w:r w:rsidRPr="00B00166">
              <w:t>Swift</w:t>
            </w:r>
            <w:r w:rsidR="001C2B85">
              <w:t xml:space="preserve"> </w:t>
            </w:r>
            <w:r w:rsidRPr="00B00166">
              <w:t>64</w:t>
            </w:r>
          </w:p>
        </w:tc>
        <w:tc>
          <w:tcPr>
            <w:tcW w:w="1879" w:type="dxa"/>
          </w:tcPr>
          <w:p w:rsidR="00CF05D2" w:rsidRPr="005E4A6C" w:rsidRDefault="00CF05D2" w:rsidP="001376C3">
            <w:pPr>
              <w:pStyle w:val="ECCTabletext"/>
            </w:pPr>
            <w:r w:rsidRPr="005E4A6C">
              <w:t>7000</w:t>
            </w:r>
          </w:p>
        </w:tc>
      </w:tr>
    </w:tbl>
    <w:p w:rsidR="00BD5055" w:rsidRPr="004070BC" w:rsidRDefault="00462D9D" w:rsidP="00BD5055">
      <w:pPr>
        <w:rPr>
          <w:rStyle w:val="ECCParagraph"/>
        </w:rPr>
      </w:pPr>
      <w:r>
        <w:rPr>
          <w:rStyle w:val="ECCParagraph"/>
        </w:rPr>
        <w:t>The performance of a</w:t>
      </w:r>
      <w:r w:rsidR="00BD5055" w:rsidRPr="004070BC">
        <w:rPr>
          <w:rStyle w:val="ECCParagraph"/>
        </w:rPr>
        <w:t xml:space="preserve">n example of a </w:t>
      </w:r>
      <w:r>
        <w:rPr>
          <w:rStyle w:val="ECCParagraph"/>
        </w:rPr>
        <w:t xml:space="preserve">potential MES receiver </w:t>
      </w:r>
      <w:r w:rsidR="00BD5055" w:rsidRPr="004070BC">
        <w:rPr>
          <w:rStyle w:val="ECCParagraph"/>
        </w:rPr>
        <w:t xml:space="preserve">filter is shown below in </w:t>
      </w:r>
      <w:r w:rsidR="00E9777B">
        <w:rPr>
          <w:rStyle w:val="ECCParagraph"/>
        </w:rPr>
        <w:fldChar w:fldCharType="begin"/>
      </w:r>
      <w:r w:rsidR="00E9777B">
        <w:rPr>
          <w:rStyle w:val="ECCParagraph"/>
        </w:rPr>
        <w:instrText xml:space="preserve"> REF _Ref534366879 \h </w:instrText>
      </w:r>
      <w:r w:rsidR="00E9777B">
        <w:rPr>
          <w:rStyle w:val="ECCParagraph"/>
        </w:rPr>
      </w:r>
      <w:r w:rsidR="00E9777B">
        <w:rPr>
          <w:rStyle w:val="ECCParagraph"/>
        </w:rPr>
        <w:fldChar w:fldCharType="separate"/>
      </w:r>
      <w:r w:rsidR="00E9777B" w:rsidRPr="00CF05D2">
        <w:t xml:space="preserve">Figure </w:t>
      </w:r>
      <w:r w:rsidR="00E9777B">
        <w:rPr>
          <w:noProof/>
          <w:lang w:val="en-US"/>
        </w:rPr>
        <w:t>1</w:t>
      </w:r>
      <w:r w:rsidR="00E9777B">
        <w:rPr>
          <w:rStyle w:val="ECCParagraph"/>
        </w:rPr>
        <w:fldChar w:fldCharType="end"/>
      </w:r>
      <w:r w:rsidR="00647766">
        <w:rPr>
          <w:rStyle w:val="ECCParagraph"/>
        </w:rPr>
        <w:t xml:space="preserve"> </w:t>
      </w:r>
      <w:r w:rsidR="00647766" w:rsidRPr="00FD4270">
        <w:rPr>
          <w:rStyle w:val="ECCParagraph"/>
        </w:rPr>
        <w:t>(</w:t>
      </w:r>
      <w:r w:rsidR="00FD4270" w:rsidRPr="00FD4270">
        <w:rPr>
          <w:rStyle w:val="ECCParagraph"/>
        </w:rPr>
        <w:t>ECC Report</w:t>
      </w:r>
      <w:r w:rsidR="00E56948" w:rsidRPr="00FD4270">
        <w:rPr>
          <w:rStyle w:val="ECCParagraph"/>
        </w:rPr>
        <w:t xml:space="preserve"> 263</w:t>
      </w:r>
      <w:r w:rsidR="00FD4270" w:rsidRPr="00FD4270">
        <w:rPr>
          <w:rStyle w:val="ECCParagraph"/>
        </w:rPr>
        <w:t xml:space="preserve"> </w:t>
      </w:r>
      <w:r w:rsidR="00E9777B">
        <w:rPr>
          <w:rStyle w:val="ECCParagraph"/>
        </w:rPr>
        <w:fldChar w:fldCharType="begin"/>
      </w:r>
      <w:r w:rsidR="00E9777B">
        <w:rPr>
          <w:rStyle w:val="ECCParagraph"/>
        </w:rPr>
        <w:instrText xml:space="preserve"> REF _Ref531767779 \r \h </w:instrText>
      </w:r>
      <w:r w:rsidR="00E9777B">
        <w:rPr>
          <w:rStyle w:val="ECCParagraph"/>
        </w:rPr>
      </w:r>
      <w:r w:rsidR="00E9777B">
        <w:rPr>
          <w:rStyle w:val="ECCParagraph"/>
        </w:rPr>
        <w:fldChar w:fldCharType="separate"/>
      </w:r>
      <w:r w:rsidR="00E9777B">
        <w:rPr>
          <w:rStyle w:val="ECCParagraph"/>
        </w:rPr>
        <w:t>[1]</w:t>
      </w:r>
      <w:r w:rsidR="00E9777B">
        <w:rPr>
          <w:rStyle w:val="ECCParagraph"/>
        </w:rPr>
        <w:fldChar w:fldCharType="end"/>
      </w:r>
      <w:r w:rsidR="00E9777B">
        <w:rPr>
          <w:rStyle w:val="ECCParagraph"/>
        </w:rPr>
        <w:t xml:space="preserve"> </w:t>
      </w:r>
      <w:r w:rsidR="00FD4270" w:rsidRPr="00FD4270">
        <w:rPr>
          <w:rStyle w:val="ECCParagraph"/>
        </w:rPr>
        <w:t>concluded that the minimum in-band blocking characteristic for land mobile earth stations receivers</w:t>
      </w:r>
      <w:r w:rsidR="00FD4270">
        <w:rPr>
          <w:rStyle w:val="ECCParagraph"/>
        </w:rPr>
        <w:t xml:space="preserve"> from a 5 </w:t>
      </w:r>
      <w:r w:rsidR="00FD4270" w:rsidRPr="00FD4270">
        <w:rPr>
          <w:rStyle w:val="ECCParagraph"/>
        </w:rPr>
        <w:t>MHz broadband signal interferer (LTE) operating below 1518 MHz shall be −30 dBm above 1520</w:t>
      </w:r>
      <w:r w:rsidR="00FD4270">
        <w:rPr>
          <w:rStyle w:val="ECCParagraph"/>
        </w:rPr>
        <w:t> </w:t>
      </w:r>
      <w:r w:rsidR="00FD4270" w:rsidRPr="00FD4270">
        <w:rPr>
          <w:rStyle w:val="ECCParagraph"/>
        </w:rPr>
        <w:t>MHz</w:t>
      </w:r>
      <w:r w:rsidR="00283C93" w:rsidRPr="00FD4270">
        <w:rPr>
          <w:rStyle w:val="ECCParagraph"/>
        </w:rPr>
        <w:t>)</w:t>
      </w:r>
      <w:r w:rsidR="00BD5055" w:rsidRPr="00FD4270">
        <w:rPr>
          <w:rStyle w:val="ECCParagraph"/>
        </w:rPr>
        <w:t>.</w:t>
      </w:r>
      <w:r w:rsidR="00A92703" w:rsidRPr="00FD4270">
        <w:rPr>
          <w:rStyle w:val="ECCParagraph"/>
        </w:rPr>
        <w:t xml:space="preserve"> </w:t>
      </w:r>
      <w:r w:rsidR="00BD5055" w:rsidRPr="004070BC">
        <w:rPr>
          <w:rStyle w:val="ECCParagraph"/>
        </w:rPr>
        <w:t xml:space="preserve">Note that </w:t>
      </w:r>
      <w:r w:rsidR="00167843" w:rsidRPr="00167843">
        <w:t>this example meets the performance requirements for Inmarsat systems established on the basis of the previously settled electromagnetic en</w:t>
      </w:r>
      <w:r w:rsidR="00FD4270">
        <w:t>vironment in the band 1518-1559 </w:t>
      </w:r>
      <w:r w:rsidR="00167843" w:rsidRPr="00167843">
        <w:t>MHz and</w:t>
      </w:r>
      <w:r w:rsidR="00BD5055" w:rsidRPr="004070BC">
        <w:rPr>
          <w:rStyle w:val="ECCParagraph"/>
        </w:rPr>
        <w:t>.</w:t>
      </w:r>
      <w:r w:rsidR="00BD5055" w:rsidRPr="009D39B7">
        <w:t xml:space="preserve"> </w:t>
      </w:r>
      <w:r w:rsidR="00BD5055" w:rsidRPr="004070BC">
        <w:rPr>
          <w:rStyle w:val="ECCParagraph"/>
        </w:rPr>
        <w:t>although the typical curve appears to provide some attenuation in the 1500</w:t>
      </w:r>
      <w:r w:rsidR="00325B09" w:rsidRPr="004070BC">
        <w:rPr>
          <w:rStyle w:val="ECCParagraph"/>
        </w:rPr>
        <w:t>-</w:t>
      </w:r>
      <w:r w:rsidR="00BD5055" w:rsidRPr="004070BC">
        <w:rPr>
          <w:rStyle w:val="ECCParagraph"/>
        </w:rPr>
        <w:t>1510</w:t>
      </w:r>
      <w:r w:rsidR="00325B09" w:rsidRPr="004070BC">
        <w:rPr>
          <w:rStyle w:val="ECCParagraph"/>
        </w:rPr>
        <w:t> </w:t>
      </w:r>
      <w:r w:rsidR="00BD5055" w:rsidRPr="004070BC">
        <w:rPr>
          <w:rStyle w:val="ECCParagraph"/>
        </w:rPr>
        <w:t>MHz region, the mask (straight lines) actually guarantees no attenuation at all above 1490</w:t>
      </w:r>
      <w:r w:rsidR="00325B09" w:rsidRPr="004070BC">
        <w:rPr>
          <w:rStyle w:val="ECCParagraph"/>
        </w:rPr>
        <w:t> </w:t>
      </w:r>
      <w:r w:rsidR="00BD5055" w:rsidRPr="004070BC">
        <w:rPr>
          <w:rStyle w:val="ECCParagraph"/>
        </w:rPr>
        <w:t>MHz.</w:t>
      </w:r>
    </w:p>
    <w:p w:rsidR="000931C4" w:rsidRPr="00CF05D2" w:rsidRDefault="00BD5055" w:rsidP="000931C4">
      <w:pPr>
        <w:pStyle w:val="ECCFiguregraphcentered"/>
        <w:keepNext/>
        <w:rPr>
          <w:lang w:val="en-GB"/>
        </w:rPr>
      </w:pPr>
      <w:r w:rsidRPr="00BD5055">
        <w:rPr>
          <w:lang w:val="da-DK" w:eastAsia="da-DK"/>
        </w:rPr>
        <w:lastRenderedPageBreak/>
        <w:drawing>
          <wp:inline distT="0" distB="0" distL="0" distR="0" wp14:anchorId="43F6DE1E" wp14:editId="70B3FB5D">
            <wp:extent cx="6016978" cy="4064000"/>
            <wp:effectExtent l="0" t="0" r="3175" b="0"/>
            <wp:docPr id="5" name="Picture 0" descr="Filter plot front end GSPS v2.tif"/>
            <wp:cNvGraphicFramePr/>
            <a:graphic xmlns:a="http://schemas.openxmlformats.org/drawingml/2006/main">
              <a:graphicData uri="http://schemas.openxmlformats.org/drawingml/2006/picture">
                <pic:pic xmlns:pic="http://schemas.openxmlformats.org/drawingml/2006/picture">
                  <pic:nvPicPr>
                    <pic:cNvPr id="5" name="Picture 0" descr="Filter plot front end GSPS v2.tif"/>
                    <pic:cNvPicPr/>
                  </pic:nvPicPr>
                  <pic:blipFill>
                    <a:blip r:embed="rId9" cstate="print"/>
                    <a:stretch>
                      <a:fillRect/>
                    </a:stretch>
                  </pic:blipFill>
                  <pic:spPr>
                    <a:xfrm>
                      <a:off x="0" y="0"/>
                      <a:ext cx="6026004" cy="4070096"/>
                    </a:xfrm>
                    <a:prstGeom prst="rect">
                      <a:avLst/>
                    </a:prstGeom>
                  </pic:spPr>
                </pic:pic>
              </a:graphicData>
            </a:graphic>
          </wp:inline>
        </w:drawing>
      </w:r>
    </w:p>
    <w:p w:rsidR="00BD5055" w:rsidRPr="00CF05D2" w:rsidRDefault="000931C4" w:rsidP="00CF05D2">
      <w:pPr>
        <w:pStyle w:val="Caption"/>
        <w:rPr>
          <w:rFonts w:eastAsia="Calibri"/>
          <w:lang w:val="en-GB"/>
        </w:rPr>
      </w:pPr>
      <w:bookmarkStart w:id="28" w:name="_Ref534366879"/>
      <w:r w:rsidRPr="00CF05D2">
        <w:rPr>
          <w:lang w:val="en-GB"/>
        </w:rPr>
        <w:t xml:space="preserve">Figure </w:t>
      </w:r>
      <w:r w:rsidRPr="00CF05D2">
        <w:rPr>
          <w:lang w:val="en-GB"/>
        </w:rPr>
        <w:fldChar w:fldCharType="begin"/>
      </w:r>
      <w:r w:rsidRPr="000931C4">
        <w:rPr>
          <w:lang w:val="en-US"/>
        </w:rPr>
        <w:instrText xml:space="preserve"> SEQ Figure \* ARABIC </w:instrText>
      </w:r>
      <w:r w:rsidRPr="00CF05D2">
        <w:rPr>
          <w:lang w:val="en-GB"/>
        </w:rPr>
        <w:fldChar w:fldCharType="separate"/>
      </w:r>
      <w:r w:rsidR="00E9777B">
        <w:rPr>
          <w:noProof/>
          <w:lang w:val="en-US"/>
        </w:rPr>
        <w:t>1</w:t>
      </w:r>
      <w:r w:rsidRPr="00CF05D2">
        <w:rPr>
          <w:lang w:val="en-GB"/>
        </w:rPr>
        <w:fldChar w:fldCharType="end"/>
      </w:r>
      <w:bookmarkEnd w:id="28"/>
      <w:r w:rsidR="00D51582" w:rsidRPr="00D51582">
        <w:rPr>
          <w:lang w:val="en-GB"/>
        </w:rPr>
        <w:t>:</w:t>
      </w:r>
      <w:r w:rsidRPr="00CF05D2">
        <w:rPr>
          <w:lang w:val="en-GB"/>
        </w:rPr>
        <w:t xml:space="preserve"> Typical satellite receiver front-end SAW filter response</w:t>
      </w:r>
    </w:p>
    <w:p w:rsidR="00610BF8" w:rsidRDefault="00610BF8" w:rsidP="00C61F19">
      <w:pPr>
        <w:rPr>
          <w:rStyle w:val="ECCParagraph"/>
        </w:rPr>
      </w:pPr>
      <w:r w:rsidRPr="00610BF8">
        <w:t>Aeronautical terminals use front end filters conforming to performance requirements defined in ARIN</w:t>
      </w:r>
      <w:r>
        <w:t>C characteristics 741</w:t>
      </w:r>
      <w:r w:rsidR="008B096B">
        <w:t xml:space="preserve"> </w:t>
      </w:r>
      <w:r w:rsidR="008B096B">
        <w:fldChar w:fldCharType="begin"/>
      </w:r>
      <w:r w:rsidR="008B096B">
        <w:instrText xml:space="preserve"> REF _Ref534368633 \r \h </w:instrText>
      </w:r>
      <w:r w:rsidR="008B096B">
        <w:fldChar w:fldCharType="separate"/>
      </w:r>
      <w:r w:rsidR="00E9777B">
        <w:t>[13]</w:t>
      </w:r>
      <w:r w:rsidR="008B096B">
        <w:fldChar w:fldCharType="end"/>
      </w:r>
      <w:r>
        <w:t xml:space="preserve"> and 781</w:t>
      </w:r>
      <w:r w:rsidR="008B096B">
        <w:t xml:space="preserve"> </w:t>
      </w:r>
      <w:r w:rsidR="008B096B">
        <w:fldChar w:fldCharType="begin"/>
      </w:r>
      <w:r w:rsidR="008B096B">
        <w:instrText xml:space="preserve"> REF _Ref534368650 \r \h </w:instrText>
      </w:r>
      <w:r w:rsidR="008B096B">
        <w:fldChar w:fldCharType="separate"/>
      </w:r>
      <w:r w:rsidR="00E9777B">
        <w:t>[15]</w:t>
      </w:r>
      <w:r w:rsidR="008B096B">
        <w:fldChar w:fldCharType="end"/>
      </w:r>
      <w:r>
        <w:t xml:space="preserve">. </w:t>
      </w:r>
      <w:r w:rsidRPr="00610BF8">
        <w:t>These characteristics specify no selectivity requirement above 1450 MHz</w:t>
      </w:r>
    </w:p>
    <w:p w:rsidR="0083260A" w:rsidRPr="004070BC" w:rsidRDefault="00C61F19" w:rsidP="00C61F19">
      <w:pPr>
        <w:rPr>
          <w:rStyle w:val="ECCParagraph"/>
        </w:rPr>
      </w:pPr>
      <w:r w:rsidRPr="004070BC">
        <w:rPr>
          <w:rStyle w:val="ECCParagraph"/>
        </w:rPr>
        <w:t xml:space="preserve">The </w:t>
      </w:r>
      <w:r w:rsidR="009F19B3">
        <w:rPr>
          <w:rStyle w:val="ECCParagraph"/>
        </w:rPr>
        <w:t>responses</w:t>
      </w:r>
      <w:r w:rsidRPr="004070BC">
        <w:rPr>
          <w:rStyle w:val="ECCParagraph"/>
        </w:rPr>
        <w:t xml:space="preserve"> of different types of current maritime and aeronautical terminals </w:t>
      </w:r>
      <w:r w:rsidR="009F19B3">
        <w:rPr>
          <w:rStyle w:val="ECCParagraph"/>
        </w:rPr>
        <w:t xml:space="preserve">to </w:t>
      </w:r>
      <w:r w:rsidR="000B33BA" w:rsidRPr="000B33BA">
        <w:rPr>
          <w:rStyle w:val="ECCParagraph"/>
        </w:rPr>
        <w:t xml:space="preserve">blocking/overload </w:t>
      </w:r>
      <w:r w:rsidR="009F19B3">
        <w:rPr>
          <w:rStyle w:val="ECCParagraph"/>
        </w:rPr>
        <w:t>disturbances</w:t>
      </w:r>
      <w:r w:rsidRPr="004070BC">
        <w:rPr>
          <w:rStyle w:val="ECCParagraph"/>
        </w:rPr>
        <w:t xml:space="preserve"> were measured </w:t>
      </w:r>
      <w:r w:rsidR="00111D92" w:rsidRPr="004070BC">
        <w:rPr>
          <w:rStyle w:val="ECCParagraph"/>
        </w:rPr>
        <w:t>by several Satcom</w:t>
      </w:r>
      <w:r w:rsidR="008A3169" w:rsidRPr="004070BC">
        <w:rPr>
          <w:rStyle w:val="ECCParagraph"/>
        </w:rPr>
        <w:t xml:space="preserve"> (satellite communications)</w:t>
      </w:r>
      <w:r w:rsidR="00111D92" w:rsidRPr="004070BC">
        <w:rPr>
          <w:rStyle w:val="ECCParagraph"/>
        </w:rPr>
        <w:t xml:space="preserve"> manufacturers </w:t>
      </w:r>
      <w:r w:rsidRPr="004070BC">
        <w:rPr>
          <w:rStyle w:val="ECCParagraph"/>
        </w:rPr>
        <w:t>against single and multiple</w:t>
      </w:r>
      <w:r w:rsidR="003C666A" w:rsidRPr="004070BC">
        <w:rPr>
          <w:rStyle w:val="ECCParagraph"/>
        </w:rPr>
        <w:t xml:space="preserve"> (adjacent)</w:t>
      </w:r>
      <w:r w:rsidRPr="004070BC">
        <w:rPr>
          <w:rStyle w:val="ECCParagraph"/>
        </w:rPr>
        <w:t xml:space="preserve"> LTE channels. The </w:t>
      </w:r>
      <w:r w:rsidR="000B33BA">
        <w:rPr>
          <w:rStyle w:val="ECCParagraph"/>
        </w:rPr>
        <w:t xml:space="preserve">onset of </w:t>
      </w:r>
      <w:r w:rsidRPr="004070BC">
        <w:rPr>
          <w:rStyle w:val="ECCParagraph"/>
        </w:rPr>
        <w:t xml:space="preserve">terminal blocking </w:t>
      </w:r>
      <w:r w:rsidR="000B33BA">
        <w:rPr>
          <w:rStyle w:val="ECCParagraph"/>
        </w:rPr>
        <w:t>- the "</w:t>
      </w:r>
      <w:r w:rsidR="005A509E">
        <w:rPr>
          <w:rStyle w:val="ECCParagraph"/>
        </w:rPr>
        <w:t>blocking performance</w:t>
      </w:r>
      <w:r w:rsidR="000B33BA">
        <w:rPr>
          <w:rStyle w:val="ECCParagraph"/>
        </w:rPr>
        <w:t>" -</w:t>
      </w:r>
      <w:r w:rsidRPr="004070BC">
        <w:rPr>
          <w:rStyle w:val="ECCParagraph"/>
        </w:rPr>
        <w:t xml:space="preserve"> resulting from a single LTE channel was measured by simulating an </w:t>
      </w:r>
      <w:r w:rsidR="00D74F12" w:rsidRPr="004070BC">
        <w:rPr>
          <w:rStyle w:val="ECCParagraph"/>
        </w:rPr>
        <w:t>MFCN</w:t>
      </w:r>
      <w:r w:rsidRPr="004070BC">
        <w:rPr>
          <w:rStyle w:val="ECCParagraph"/>
        </w:rPr>
        <w:t xml:space="preserve"> BS transmitting a single 5 MHz LTE channel at 1512-1517 MHz</w:t>
      </w:r>
      <w:r w:rsidR="0083260A" w:rsidRPr="004070BC">
        <w:rPr>
          <w:rStyle w:val="ECCParagraph"/>
        </w:rPr>
        <w:t>. T</w:t>
      </w:r>
      <w:r w:rsidRPr="004070BC">
        <w:rPr>
          <w:rStyle w:val="ECCParagraph"/>
        </w:rPr>
        <w:t xml:space="preserve">he terminal blocking </w:t>
      </w:r>
      <w:r w:rsidR="00DE2337">
        <w:rPr>
          <w:rStyle w:val="ECCParagraph"/>
        </w:rPr>
        <w:t>performance</w:t>
      </w:r>
      <w:r w:rsidR="000B33BA">
        <w:rPr>
          <w:rStyle w:val="ECCParagraph"/>
        </w:rPr>
        <w:t xml:space="preserve"> agai</w:t>
      </w:r>
      <w:r w:rsidR="00486F68">
        <w:rPr>
          <w:rStyle w:val="ECCParagraph"/>
        </w:rPr>
        <w:t>n</w:t>
      </w:r>
      <w:r w:rsidR="000B33BA">
        <w:rPr>
          <w:rStyle w:val="ECCParagraph"/>
        </w:rPr>
        <w:t>st</w:t>
      </w:r>
      <w:r w:rsidRPr="004070BC">
        <w:rPr>
          <w:rStyle w:val="ECCParagraph"/>
        </w:rPr>
        <w:t xml:space="preserve"> multiple LTE channels was measured by simulating an </w:t>
      </w:r>
      <w:r w:rsidR="00D74F12" w:rsidRPr="004070BC">
        <w:rPr>
          <w:rStyle w:val="ECCParagraph"/>
        </w:rPr>
        <w:t>MFCN</w:t>
      </w:r>
      <w:r w:rsidRPr="004070BC">
        <w:rPr>
          <w:rStyle w:val="ECCParagraph"/>
        </w:rPr>
        <w:t xml:space="preserve"> BS transmitting simultaneously combinations of the following LTE channels: (1) a 5 MHz LTE channel at 1512-1517 MHz, (2) a 10 MHz LTE channel at 1502-1512 MHz and (3) a 10 MHz LTE channel at 1492-1502 MHz. The relative levels of these LTE signals have been chosen such that signal in block (1) is lower than the signals in blocks (2) and (3), reflecting the lower </w:t>
      </w:r>
      <w:r w:rsidR="00B00166">
        <w:rPr>
          <w:rStyle w:val="ECCParagraph"/>
        </w:rPr>
        <w:t>e.i.r.p.</w:t>
      </w:r>
      <w:r w:rsidRPr="004070BC">
        <w:rPr>
          <w:rStyle w:val="ECCParagraph"/>
        </w:rPr>
        <w:t xml:space="preserve"> limit that applies to the use of channel (1) in CEPT.</w:t>
      </w:r>
      <w:r w:rsidR="0049204A" w:rsidRPr="004070BC">
        <w:rPr>
          <w:rStyle w:val="ECCParagraph"/>
        </w:rPr>
        <w:t xml:space="preserve"> </w:t>
      </w:r>
    </w:p>
    <w:p w:rsidR="00B4298F" w:rsidRPr="009D39B7" w:rsidRDefault="00462D9D" w:rsidP="00C61F19">
      <w:pPr>
        <w:rPr>
          <w:rStyle w:val="ECCParagraph"/>
        </w:rPr>
      </w:pPr>
      <w:r>
        <w:rPr>
          <w:rStyle w:val="ECCParagraph"/>
        </w:rPr>
        <w:t xml:space="preserve">The </w:t>
      </w:r>
      <w:r w:rsidR="005A509E">
        <w:rPr>
          <w:rStyle w:val="ECCParagraph"/>
        </w:rPr>
        <w:t>blocking performance</w:t>
      </w:r>
      <w:r w:rsidR="007C5FC4">
        <w:rPr>
          <w:rStyle w:val="ECCParagraph"/>
        </w:rPr>
        <w:t xml:space="preserve"> </w:t>
      </w:r>
      <w:r w:rsidR="00B4298F" w:rsidRPr="004070BC">
        <w:rPr>
          <w:rStyle w:val="ECCParagraph"/>
        </w:rPr>
        <w:t xml:space="preserve">measurements for </w:t>
      </w:r>
      <w:r>
        <w:rPr>
          <w:rStyle w:val="ECCParagraph"/>
        </w:rPr>
        <w:t>multiple</w:t>
      </w:r>
      <w:r w:rsidRPr="004070BC">
        <w:rPr>
          <w:rStyle w:val="ECCParagraph"/>
        </w:rPr>
        <w:t xml:space="preserve"> </w:t>
      </w:r>
      <w:r>
        <w:rPr>
          <w:rStyle w:val="ECCParagraph"/>
        </w:rPr>
        <w:t>LTE</w:t>
      </w:r>
      <w:r w:rsidR="00B4298F" w:rsidRPr="004070BC">
        <w:rPr>
          <w:rStyle w:val="ECCParagraph"/>
        </w:rPr>
        <w:t xml:space="preserve"> channels were </w:t>
      </w:r>
      <w:r w:rsidR="0080294C" w:rsidRPr="004070BC">
        <w:rPr>
          <w:rStyle w:val="ECCParagraph"/>
        </w:rPr>
        <w:t xml:space="preserve">conducted in a </w:t>
      </w:r>
      <w:r w:rsidR="00B4298F" w:rsidRPr="004070BC">
        <w:rPr>
          <w:rStyle w:val="ECCParagraph"/>
        </w:rPr>
        <w:t>lab</w:t>
      </w:r>
      <w:r w:rsidR="0080294C" w:rsidRPr="004070BC">
        <w:rPr>
          <w:rStyle w:val="ECCParagraph"/>
        </w:rPr>
        <w:t>oratory</w:t>
      </w:r>
      <w:r w:rsidR="00B4298F" w:rsidRPr="004070BC">
        <w:rPr>
          <w:rStyle w:val="ECCParagraph"/>
        </w:rPr>
        <w:t xml:space="preserve"> with contiguous LTE carriers for different bandwidths (as interference sources), resulting in different LTE signals transmitted. </w:t>
      </w:r>
      <w:r w:rsidR="0080294C" w:rsidRPr="00E33DB7">
        <w:rPr>
          <w:rStyle w:val="ECCParagraph"/>
        </w:rPr>
        <w:t>The results of such studies may not be taken directly as representing a realistic scenario</w:t>
      </w:r>
      <w:r w:rsidR="00B4298F" w:rsidRPr="00E33DB7">
        <w:rPr>
          <w:rStyle w:val="ECCParagraph"/>
        </w:rPr>
        <w:t xml:space="preserve"> since these different signals </w:t>
      </w:r>
      <w:r w:rsidR="007F329D" w:rsidRPr="00E33DB7">
        <w:rPr>
          <w:rStyle w:val="ECCParagraph"/>
        </w:rPr>
        <w:t>are</w:t>
      </w:r>
      <w:r w:rsidR="003C666A" w:rsidRPr="00E33DB7">
        <w:rPr>
          <w:rStyle w:val="ECCParagraph"/>
        </w:rPr>
        <w:t xml:space="preserve"> </w:t>
      </w:r>
      <w:r w:rsidR="00B4298F" w:rsidRPr="00E33DB7">
        <w:rPr>
          <w:rStyle w:val="ECCParagraph"/>
        </w:rPr>
        <w:t xml:space="preserve">not likely to be radiated with the same power at the same time </w:t>
      </w:r>
      <w:r w:rsidR="007F329D" w:rsidRPr="00E33DB7">
        <w:rPr>
          <w:rStyle w:val="ECCParagraph"/>
        </w:rPr>
        <w:t>and</w:t>
      </w:r>
      <w:r w:rsidR="00B4298F" w:rsidRPr="00E33DB7">
        <w:rPr>
          <w:rStyle w:val="ECCParagraph"/>
        </w:rPr>
        <w:t xml:space="preserve"> </w:t>
      </w:r>
      <w:r w:rsidRPr="00E33DB7">
        <w:rPr>
          <w:rStyle w:val="ECCParagraph"/>
        </w:rPr>
        <w:t xml:space="preserve">be </w:t>
      </w:r>
      <w:r w:rsidR="00B4298F" w:rsidRPr="00E33DB7">
        <w:rPr>
          <w:rStyle w:val="ECCParagraph"/>
        </w:rPr>
        <w:t>subject to the same propagation conditions (multi-paths &amp; coherence band conditions).</w:t>
      </w:r>
    </w:p>
    <w:p w:rsidR="0037520E" w:rsidRPr="004070BC" w:rsidRDefault="007C5FC4" w:rsidP="00C61F19">
      <w:pPr>
        <w:rPr>
          <w:rStyle w:val="ECCParagraph"/>
        </w:rPr>
      </w:pPr>
      <w:r>
        <w:rPr>
          <w:rStyle w:val="ECCParagraph"/>
        </w:rPr>
        <w:t xml:space="preserve">The </w:t>
      </w:r>
      <w:r w:rsidR="005A509E">
        <w:rPr>
          <w:rStyle w:val="ECCParagraph"/>
        </w:rPr>
        <w:t>blocking performance</w:t>
      </w:r>
      <w:r>
        <w:rPr>
          <w:rStyle w:val="ECCParagraph"/>
        </w:rPr>
        <w:t xml:space="preserve"> </w:t>
      </w:r>
      <w:r w:rsidR="0083260A" w:rsidRPr="004070BC">
        <w:rPr>
          <w:rStyle w:val="ECCParagraph"/>
        </w:rPr>
        <w:t xml:space="preserve">has been considered to </w:t>
      </w:r>
      <w:r>
        <w:rPr>
          <w:rStyle w:val="ECCParagraph"/>
        </w:rPr>
        <w:t>represent the condition</w:t>
      </w:r>
      <w:r w:rsidR="0083260A" w:rsidRPr="004070BC">
        <w:rPr>
          <w:rStyle w:val="ECCParagraph"/>
        </w:rPr>
        <w:t xml:space="preserve"> when a </w:t>
      </w:r>
      <w:r w:rsidR="002763C0" w:rsidRPr="004070BC">
        <w:rPr>
          <w:rStyle w:val="ECCParagraph"/>
        </w:rPr>
        <w:t xml:space="preserve">1 dB </w:t>
      </w:r>
      <w:r>
        <w:rPr>
          <w:rStyle w:val="ECCParagraph"/>
        </w:rPr>
        <w:t xml:space="preserve">loss in </w:t>
      </w:r>
      <w:r w:rsidR="002763C0" w:rsidRPr="004070BC">
        <w:rPr>
          <w:rStyle w:val="ECCParagraph"/>
        </w:rPr>
        <w:t xml:space="preserve">receiver sensitivity </w:t>
      </w:r>
      <w:r>
        <w:rPr>
          <w:rStyle w:val="ECCParagraph"/>
        </w:rPr>
        <w:t>occurs</w:t>
      </w:r>
      <w:r w:rsidR="002763C0" w:rsidRPr="004070BC">
        <w:rPr>
          <w:rStyle w:val="ECCParagraph"/>
        </w:rPr>
        <w:t>.</w:t>
      </w:r>
    </w:p>
    <w:p w:rsidR="004F6BE6" w:rsidRPr="00212A05" w:rsidRDefault="0020609E" w:rsidP="00C61F19">
      <w:pPr>
        <w:rPr>
          <w:lang w:val="en-US"/>
        </w:rPr>
      </w:pPr>
      <w:r>
        <w:rPr>
          <w:rStyle w:val="ECCParagraph"/>
        </w:rPr>
        <w:t xml:space="preserve">All signal levels are </w:t>
      </w:r>
      <w:r w:rsidR="00077A21" w:rsidRPr="00212A05">
        <w:rPr>
          <w:lang w:val="en-US"/>
        </w:rPr>
        <w:t xml:space="preserve">given for the </w:t>
      </w:r>
      <w:r w:rsidRPr="00212A05">
        <w:rPr>
          <w:lang w:val="en-US"/>
        </w:rPr>
        <w:t>reference</w:t>
      </w:r>
      <w:r w:rsidR="00077A21" w:rsidRPr="00212A05">
        <w:rPr>
          <w:lang w:val="en-US"/>
        </w:rPr>
        <w:t xml:space="preserve"> point</w:t>
      </w:r>
      <w:r w:rsidRPr="00212A05">
        <w:rPr>
          <w:lang w:val="en-US"/>
        </w:rPr>
        <w:t xml:space="preserve"> at the MES</w:t>
      </w:r>
      <w:r w:rsidR="00F3350F" w:rsidRPr="00212A05">
        <w:rPr>
          <w:lang w:val="en-US"/>
        </w:rPr>
        <w:t xml:space="preserve"> receiver/antenna connector</w:t>
      </w:r>
      <w:r w:rsidR="00077A21" w:rsidRPr="00212A05">
        <w:rPr>
          <w:lang w:val="en-US"/>
        </w:rPr>
        <w:t xml:space="preserve"> </w:t>
      </w:r>
      <w:r w:rsidRPr="00212A05">
        <w:rPr>
          <w:lang w:val="en-US"/>
        </w:rPr>
        <w:t>and take</w:t>
      </w:r>
      <w:r w:rsidR="00077A21" w:rsidRPr="00212A05">
        <w:rPr>
          <w:lang w:val="en-US"/>
        </w:rPr>
        <w:t xml:space="preserve"> into</w:t>
      </w:r>
      <w:r w:rsidRPr="00212A05">
        <w:rPr>
          <w:lang w:val="en-US"/>
        </w:rPr>
        <w:t xml:space="preserve"> account diplexer filtering.</w:t>
      </w:r>
    </w:p>
    <w:p w:rsidR="00DA41FD" w:rsidRPr="00CF05D2" w:rsidRDefault="005A509E" w:rsidP="00C61F19">
      <w:pPr>
        <w:pStyle w:val="Heading2"/>
        <w:rPr>
          <w:lang w:val="en-GB"/>
        </w:rPr>
      </w:pPr>
      <w:bookmarkStart w:id="29" w:name="_Ref525118785"/>
      <w:bookmarkStart w:id="30" w:name="_Toc525544405"/>
      <w:bookmarkStart w:id="31" w:name="_Toc3285876"/>
      <w:r>
        <w:rPr>
          <w:lang w:val="en-US"/>
        </w:rPr>
        <w:lastRenderedPageBreak/>
        <w:t>Blocking performance</w:t>
      </w:r>
      <w:r w:rsidR="00F57DE2" w:rsidRPr="00937847">
        <w:rPr>
          <w:lang w:val="en-US"/>
        </w:rPr>
        <w:t xml:space="preserve"> Levels FOR </w:t>
      </w:r>
      <w:bookmarkStart w:id="32" w:name="_Toc528659167"/>
      <w:r w:rsidR="000D0A8F" w:rsidRPr="00CF05D2">
        <w:rPr>
          <w:lang w:val="en-GB"/>
        </w:rPr>
        <w:t>C</w:t>
      </w:r>
      <w:r w:rsidR="000132A0" w:rsidRPr="00CF05D2">
        <w:rPr>
          <w:lang w:val="en-GB"/>
        </w:rPr>
        <w:t>urrent aeronautical MES terminals</w:t>
      </w:r>
      <w:bookmarkEnd w:id="29"/>
      <w:bookmarkEnd w:id="30"/>
      <w:bookmarkEnd w:id="32"/>
      <w:bookmarkEnd w:id="31"/>
    </w:p>
    <w:p w:rsidR="001066A9" w:rsidRPr="004B3873" w:rsidRDefault="001066A9" w:rsidP="001066A9">
      <w:pPr>
        <w:rPr>
          <w:rStyle w:val="ECCParagraph"/>
        </w:rPr>
      </w:pPr>
      <w:r w:rsidRPr="004B3873">
        <w:rPr>
          <w:rStyle w:val="ECCParagraph"/>
        </w:rPr>
        <w:t xml:space="preserve">The </w:t>
      </w:r>
      <w:r w:rsidR="005A509E">
        <w:rPr>
          <w:rStyle w:val="ECCParagraph"/>
        </w:rPr>
        <w:t>blocking performance</w:t>
      </w:r>
      <w:r w:rsidR="00965D2D">
        <w:rPr>
          <w:rStyle w:val="ECCParagraph"/>
        </w:rPr>
        <w:t xml:space="preserve"> levels for a number of </w:t>
      </w:r>
      <w:r w:rsidRPr="004B3873">
        <w:rPr>
          <w:rStyle w:val="ECCParagraph"/>
        </w:rPr>
        <w:t>current aeronautical earth stations (AES)</w:t>
      </w:r>
      <w:r w:rsidR="00965D2D">
        <w:rPr>
          <w:rStyle w:val="ECCParagraph"/>
        </w:rPr>
        <w:t xml:space="preserve"> -</w:t>
      </w:r>
      <w:r w:rsidRPr="004B3873">
        <w:rPr>
          <w:rStyle w:val="ECCParagraph"/>
        </w:rPr>
        <w:t xml:space="preserve"> Classic Aero and Swift Broadband (SB)</w:t>
      </w:r>
      <w:r w:rsidR="00965D2D">
        <w:rPr>
          <w:rStyle w:val="ECCParagraph"/>
        </w:rPr>
        <w:t xml:space="preserve"> terminals -</w:t>
      </w:r>
      <w:r w:rsidRPr="004B3873">
        <w:rPr>
          <w:rStyle w:val="ECCParagraph"/>
        </w:rPr>
        <w:t xml:space="preserve"> ha</w:t>
      </w:r>
      <w:r w:rsidR="00965D2D">
        <w:rPr>
          <w:rStyle w:val="ECCParagraph"/>
        </w:rPr>
        <w:t>ve</w:t>
      </w:r>
      <w:r w:rsidRPr="004B3873">
        <w:rPr>
          <w:rStyle w:val="ECCParagraph"/>
        </w:rPr>
        <w:t xml:space="preserve"> been measured. </w:t>
      </w:r>
      <w:r w:rsidR="00F57DE2">
        <w:rPr>
          <w:rStyle w:val="ECCParagraph"/>
        </w:rPr>
        <w:t xml:space="preserve">The </w:t>
      </w:r>
      <w:r w:rsidRPr="004B3873">
        <w:rPr>
          <w:rStyle w:val="ECCParagraph"/>
        </w:rPr>
        <w:t xml:space="preserve">list of terminal types tested </w:t>
      </w:r>
      <w:r w:rsidR="00965D2D">
        <w:rPr>
          <w:rStyle w:val="ECCParagraph"/>
        </w:rPr>
        <w:t xml:space="preserve">is shown </w:t>
      </w:r>
      <w:r w:rsidRPr="004B3873">
        <w:rPr>
          <w:rStyle w:val="ECCParagraph"/>
        </w:rPr>
        <w:t xml:space="preserve">in </w:t>
      </w:r>
      <w:r w:rsidR="00CF3BF4" w:rsidRPr="009D39B7">
        <w:rPr>
          <w:rStyle w:val="ECCParagraph"/>
        </w:rPr>
        <w:fldChar w:fldCharType="begin"/>
      </w:r>
      <w:r w:rsidR="00CF3BF4" w:rsidRPr="004B3873">
        <w:rPr>
          <w:rStyle w:val="ECCParagraph"/>
        </w:rPr>
        <w:instrText xml:space="preserve"> REF _Ref519843767 \h </w:instrText>
      </w:r>
      <w:r w:rsidR="004B3873">
        <w:rPr>
          <w:rStyle w:val="ECCParagraph"/>
        </w:rPr>
        <w:instrText xml:space="preserve"> \* MERGEFORMAT </w:instrText>
      </w:r>
      <w:r w:rsidR="00CF3BF4" w:rsidRPr="009D39B7">
        <w:rPr>
          <w:rStyle w:val="ECCParagraph"/>
        </w:rPr>
      </w:r>
      <w:r w:rsidR="00CF3BF4" w:rsidRPr="009D39B7">
        <w:rPr>
          <w:rStyle w:val="ECCParagraph"/>
        </w:rPr>
        <w:fldChar w:fldCharType="separate"/>
      </w:r>
      <w:r w:rsidR="00E9777B" w:rsidRPr="00CA18B5">
        <w:rPr>
          <w:rStyle w:val="ECCParagraph"/>
        </w:rPr>
        <w:t>Table 2</w:t>
      </w:r>
      <w:r w:rsidR="00CF3BF4" w:rsidRPr="009D39B7">
        <w:rPr>
          <w:rStyle w:val="ECCParagraph"/>
        </w:rPr>
        <w:fldChar w:fldCharType="end"/>
      </w:r>
      <w:r w:rsidRPr="004B3873">
        <w:rPr>
          <w:rStyle w:val="ECCParagraph"/>
        </w:rPr>
        <w:t xml:space="preserve"> below. </w:t>
      </w:r>
      <w:r w:rsidR="00855F8D">
        <w:rPr>
          <w:rStyle w:val="ECCParagraph"/>
        </w:rPr>
        <w:t>The</w:t>
      </w:r>
      <w:r w:rsidRPr="004B3873">
        <w:rPr>
          <w:rStyle w:val="ECCParagraph"/>
        </w:rPr>
        <w:t xml:space="preserve"> AES </w:t>
      </w:r>
      <w:r w:rsidR="00855F8D">
        <w:rPr>
          <w:rStyle w:val="ECCParagraph"/>
        </w:rPr>
        <w:t>terminal types</w:t>
      </w:r>
      <w:r w:rsidRPr="004B3873">
        <w:rPr>
          <w:rStyle w:val="ECCParagraph"/>
        </w:rPr>
        <w:t xml:space="preserve"> E, F, G and H are the most widely deployed for air transport. </w:t>
      </w:r>
    </w:p>
    <w:p w:rsidR="00C956C2" w:rsidRPr="00CF05D2" w:rsidRDefault="00C956C2" w:rsidP="00C956C2">
      <w:pPr>
        <w:pStyle w:val="Caption"/>
        <w:keepNext/>
        <w:rPr>
          <w:lang w:val="en-GB"/>
        </w:rPr>
      </w:pPr>
      <w:bookmarkStart w:id="33" w:name="_Ref519843767"/>
      <w:bookmarkStart w:id="34" w:name="_Ref519843729"/>
      <w:r w:rsidRPr="00CF05D2">
        <w:rPr>
          <w:lang w:val="en-GB"/>
        </w:rPr>
        <w:t xml:space="preserve">Table </w:t>
      </w:r>
      <w:r w:rsidRPr="00CF05D2">
        <w:rPr>
          <w:lang w:val="en-GB"/>
        </w:rPr>
        <w:fldChar w:fldCharType="begin"/>
      </w:r>
      <w:r w:rsidRPr="00C956C2">
        <w:rPr>
          <w:lang w:val="en-US"/>
        </w:rPr>
        <w:instrText xml:space="preserve"> SEQ Table \* ARABIC </w:instrText>
      </w:r>
      <w:r w:rsidRPr="00CF05D2">
        <w:rPr>
          <w:lang w:val="en-GB"/>
        </w:rPr>
        <w:fldChar w:fldCharType="separate"/>
      </w:r>
      <w:r w:rsidR="00E9777B">
        <w:rPr>
          <w:noProof/>
          <w:lang w:val="en-US"/>
        </w:rPr>
        <w:t>2</w:t>
      </w:r>
      <w:r w:rsidRPr="00CF05D2">
        <w:rPr>
          <w:lang w:val="en-GB"/>
        </w:rPr>
        <w:fldChar w:fldCharType="end"/>
      </w:r>
      <w:bookmarkEnd w:id="33"/>
      <w:r w:rsidR="00D51582" w:rsidRPr="00D51582">
        <w:rPr>
          <w:lang w:val="en-GB"/>
        </w:rPr>
        <w:t>:</w:t>
      </w:r>
      <w:r w:rsidRPr="00CF05D2">
        <w:rPr>
          <w:lang w:val="en-GB"/>
        </w:rPr>
        <w:t xml:space="preserve"> Types of aeronautical terminals tested</w:t>
      </w:r>
      <w:bookmarkEnd w:id="34"/>
    </w:p>
    <w:tbl>
      <w:tblPr>
        <w:tblStyle w:val="ECCTable-redheader"/>
        <w:tblW w:w="7129" w:type="dxa"/>
        <w:tblInd w:w="0" w:type="dxa"/>
        <w:tblLook w:val="04A0" w:firstRow="1" w:lastRow="0" w:firstColumn="1" w:lastColumn="0" w:noHBand="0" w:noVBand="1"/>
      </w:tblPr>
      <w:tblGrid>
        <w:gridCol w:w="2972"/>
        <w:gridCol w:w="2162"/>
        <w:gridCol w:w="1995"/>
      </w:tblGrid>
      <w:tr w:rsidR="001066A9" w:rsidRPr="000C12B3" w:rsidTr="0045484D">
        <w:trPr>
          <w:cnfStyle w:val="100000000000" w:firstRow="1" w:lastRow="0" w:firstColumn="0" w:lastColumn="0" w:oddVBand="0" w:evenVBand="0" w:oddHBand="0" w:evenHBand="0" w:firstRowFirstColumn="0" w:firstRowLastColumn="0" w:lastRowFirstColumn="0" w:lastRowLastColumn="0"/>
          <w:trHeight w:val="288"/>
        </w:trPr>
        <w:tc>
          <w:tcPr>
            <w:tcW w:w="2972" w:type="dxa"/>
            <w:noWrap/>
            <w:hideMark/>
          </w:tcPr>
          <w:p w:rsidR="001066A9" w:rsidRPr="001066A9" w:rsidRDefault="001066A9" w:rsidP="001066A9">
            <w:r w:rsidRPr="001066A9">
              <w:t>Aeronautical Terminal Types</w:t>
            </w:r>
          </w:p>
        </w:tc>
        <w:tc>
          <w:tcPr>
            <w:tcW w:w="2162" w:type="dxa"/>
          </w:tcPr>
          <w:p w:rsidR="001066A9" w:rsidRPr="001066A9" w:rsidRDefault="001066A9" w:rsidP="001066A9">
            <w:r w:rsidRPr="001066A9">
              <w:t>Service</w:t>
            </w:r>
          </w:p>
        </w:tc>
        <w:tc>
          <w:tcPr>
            <w:tcW w:w="1995" w:type="dxa"/>
          </w:tcPr>
          <w:p w:rsidR="001066A9" w:rsidRPr="001066A9" w:rsidRDefault="00590CB4" w:rsidP="00590CB4">
            <w:r>
              <w:t>Operational Band</w:t>
            </w:r>
          </w:p>
        </w:tc>
      </w:tr>
      <w:tr w:rsidR="001066A9" w:rsidRPr="000C12B3" w:rsidTr="0045484D">
        <w:trPr>
          <w:trHeight w:val="288"/>
        </w:trPr>
        <w:tc>
          <w:tcPr>
            <w:tcW w:w="2972" w:type="dxa"/>
            <w:noWrap/>
            <w:hideMark/>
          </w:tcPr>
          <w:p w:rsidR="001066A9" w:rsidRPr="001066A9" w:rsidRDefault="001066A9" w:rsidP="001066A9">
            <w:r w:rsidRPr="001066A9">
              <w:t>AES A</w:t>
            </w:r>
          </w:p>
        </w:tc>
        <w:tc>
          <w:tcPr>
            <w:tcW w:w="2162" w:type="dxa"/>
          </w:tcPr>
          <w:p w:rsidR="001066A9" w:rsidRPr="001066A9" w:rsidRDefault="001066A9" w:rsidP="001066A9">
            <w:r w:rsidRPr="001066A9">
              <w:t>Classic Aero and SB</w:t>
            </w:r>
          </w:p>
        </w:tc>
        <w:tc>
          <w:tcPr>
            <w:tcW w:w="1995" w:type="dxa"/>
          </w:tcPr>
          <w:p w:rsidR="001066A9" w:rsidRPr="001066A9" w:rsidRDefault="001066A9" w:rsidP="00A34D36">
            <w:r w:rsidRPr="001066A9">
              <w:t>1525-1559 MHz</w:t>
            </w:r>
          </w:p>
        </w:tc>
      </w:tr>
      <w:tr w:rsidR="001066A9" w:rsidRPr="000C12B3" w:rsidTr="0045484D">
        <w:trPr>
          <w:trHeight w:val="288"/>
        </w:trPr>
        <w:tc>
          <w:tcPr>
            <w:tcW w:w="2972" w:type="dxa"/>
            <w:noWrap/>
            <w:hideMark/>
          </w:tcPr>
          <w:p w:rsidR="001066A9" w:rsidRPr="001066A9" w:rsidRDefault="001066A9" w:rsidP="001066A9">
            <w:r w:rsidRPr="001066A9">
              <w:t>AES B</w:t>
            </w:r>
          </w:p>
        </w:tc>
        <w:tc>
          <w:tcPr>
            <w:tcW w:w="2162" w:type="dxa"/>
          </w:tcPr>
          <w:p w:rsidR="001066A9" w:rsidRPr="001066A9" w:rsidRDefault="001066A9" w:rsidP="001066A9">
            <w:r w:rsidRPr="001066A9">
              <w:t>Classic Aero and SB</w:t>
            </w:r>
          </w:p>
        </w:tc>
        <w:tc>
          <w:tcPr>
            <w:tcW w:w="1995" w:type="dxa"/>
          </w:tcPr>
          <w:p w:rsidR="001066A9" w:rsidRPr="001066A9" w:rsidRDefault="001066A9" w:rsidP="00A34D36">
            <w:r w:rsidRPr="001066A9">
              <w:t>1525-1559 MHz</w:t>
            </w:r>
          </w:p>
        </w:tc>
      </w:tr>
      <w:tr w:rsidR="001066A9" w:rsidRPr="000C12B3" w:rsidTr="0045484D">
        <w:trPr>
          <w:trHeight w:val="288"/>
        </w:trPr>
        <w:tc>
          <w:tcPr>
            <w:tcW w:w="2972" w:type="dxa"/>
            <w:noWrap/>
            <w:hideMark/>
          </w:tcPr>
          <w:p w:rsidR="001066A9" w:rsidRPr="001066A9" w:rsidRDefault="001066A9" w:rsidP="001066A9">
            <w:r w:rsidRPr="001066A9">
              <w:t>AES C</w:t>
            </w:r>
          </w:p>
        </w:tc>
        <w:tc>
          <w:tcPr>
            <w:tcW w:w="2162" w:type="dxa"/>
          </w:tcPr>
          <w:p w:rsidR="001066A9" w:rsidRPr="001066A9" w:rsidRDefault="001066A9" w:rsidP="001066A9">
            <w:r w:rsidRPr="001066A9">
              <w:t>Classic Aero and SB</w:t>
            </w:r>
          </w:p>
        </w:tc>
        <w:tc>
          <w:tcPr>
            <w:tcW w:w="1995" w:type="dxa"/>
          </w:tcPr>
          <w:p w:rsidR="001066A9" w:rsidRPr="001066A9" w:rsidRDefault="001066A9" w:rsidP="00A34D36">
            <w:r w:rsidRPr="001066A9">
              <w:t>1525-1559 MHz</w:t>
            </w:r>
          </w:p>
        </w:tc>
      </w:tr>
      <w:tr w:rsidR="001066A9" w:rsidRPr="000C12B3" w:rsidTr="0045484D">
        <w:trPr>
          <w:trHeight w:val="288"/>
        </w:trPr>
        <w:tc>
          <w:tcPr>
            <w:tcW w:w="2972" w:type="dxa"/>
            <w:noWrap/>
            <w:hideMark/>
          </w:tcPr>
          <w:p w:rsidR="001066A9" w:rsidRPr="001066A9" w:rsidRDefault="001066A9" w:rsidP="001066A9">
            <w:r w:rsidRPr="001066A9">
              <w:t>AES D</w:t>
            </w:r>
          </w:p>
        </w:tc>
        <w:tc>
          <w:tcPr>
            <w:tcW w:w="2162" w:type="dxa"/>
          </w:tcPr>
          <w:p w:rsidR="001066A9" w:rsidRPr="001066A9" w:rsidRDefault="001066A9" w:rsidP="001066A9">
            <w:r w:rsidRPr="001066A9">
              <w:t>Classic Aero and SB</w:t>
            </w:r>
          </w:p>
        </w:tc>
        <w:tc>
          <w:tcPr>
            <w:tcW w:w="1995" w:type="dxa"/>
          </w:tcPr>
          <w:p w:rsidR="001066A9" w:rsidRPr="001066A9" w:rsidRDefault="001066A9" w:rsidP="00A34D36">
            <w:r w:rsidRPr="001066A9">
              <w:t>1525-1559 MHz</w:t>
            </w:r>
          </w:p>
        </w:tc>
      </w:tr>
      <w:tr w:rsidR="001066A9" w:rsidRPr="000C12B3" w:rsidTr="0045484D">
        <w:trPr>
          <w:trHeight w:val="288"/>
        </w:trPr>
        <w:tc>
          <w:tcPr>
            <w:tcW w:w="2972" w:type="dxa"/>
            <w:noWrap/>
            <w:hideMark/>
          </w:tcPr>
          <w:p w:rsidR="001066A9" w:rsidRPr="001066A9" w:rsidRDefault="001066A9" w:rsidP="001066A9">
            <w:r w:rsidRPr="001066A9">
              <w:t>AES E</w:t>
            </w:r>
          </w:p>
        </w:tc>
        <w:tc>
          <w:tcPr>
            <w:tcW w:w="2162" w:type="dxa"/>
          </w:tcPr>
          <w:p w:rsidR="001066A9" w:rsidRPr="001066A9" w:rsidRDefault="001066A9" w:rsidP="001066A9">
            <w:r w:rsidRPr="001066A9">
              <w:t>Classic Aero and SB</w:t>
            </w:r>
          </w:p>
        </w:tc>
        <w:tc>
          <w:tcPr>
            <w:tcW w:w="1995" w:type="dxa"/>
          </w:tcPr>
          <w:p w:rsidR="001066A9" w:rsidRPr="001066A9" w:rsidRDefault="001066A9" w:rsidP="00A34D36">
            <w:r w:rsidRPr="001066A9">
              <w:t>1525-1559 MHz</w:t>
            </w:r>
          </w:p>
        </w:tc>
      </w:tr>
      <w:tr w:rsidR="001066A9" w:rsidRPr="000C12B3" w:rsidTr="0045484D">
        <w:trPr>
          <w:trHeight w:val="288"/>
        </w:trPr>
        <w:tc>
          <w:tcPr>
            <w:tcW w:w="2972" w:type="dxa"/>
            <w:noWrap/>
            <w:hideMark/>
          </w:tcPr>
          <w:p w:rsidR="001066A9" w:rsidRPr="001066A9" w:rsidRDefault="001066A9" w:rsidP="001066A9">
            <w:r w:rsidRPr="001066A9">
              <w:t>AES F</w:t>
            </w:r>
          </w:p>
        </w:tc>
        <w:tc>
          <w:tcPr>
            <w:tcW w:w="2162" w:type="dxa"/>
          </w:tcPr>
          <w:p w:rsidR="001066A9" w:rsidRPr="001066A9" w:rsidRDefault="001066A9" w:rsidP="001066A9">
            <w:r w:rsidRPr="001066A9">
              <w:t>Classic Aero and SB</w:t>
            </w:r>
          </w:p>
        </w:tc>
        <w:tc>
          <w:tcPr>
            <w:tcW w:w="1995" w:type="dxa"/>
          </w:tcPr>
          <w:p w:rsidR="001066A9" w:rsidRPr="001066A9" w:rsidRDefault="001066A9" w:rsidP="00A34D36">
            <w:r w:rsidRPr="001066A9">
              <w:t>1525-1559 MHz</w:t>
            </w:r>
          </w:p>
        </w:tc>
      </w:tr>
      <w:tr w:rsidR="001066A9" w:rsidRPr="000C12B3" w:rsidTr="0045484D">
        <w:trPr>
          <w:trHeight w:val="288"/>
        </w:trPr>
        <w:tc>
          <w:tcPr>
            <w:tcW w:w="2972" w:type="dxa"/>
            <w:noWrap/>
            <w:hideMark/>
          </w:tcPr>
          <w:p w:rsidR="001066A9" w:rsidRPr="001066A9" w:rsidRDefault="001066A9" w:rsidP="001066A9">
            <w:r w:rsidRPr="001066A9">
              <w:t>AES G</w:t>
            </w:r>
          </w:p>
        </w:tc>
        <w:tc>
          <w:tcPr>
            <w:tcW w:w="2162" w:type="dxa"/>
          </w:tcPr>
          <w:p w:rsidR="001066A9" w:rsidRPr="001066A9" w:rsidRDefault="001066A9" w:rsidP="001066A9">
            <w:r w:rsidRPr="001066A9">
              <w:t xml:space="preserve">Classic Aero </w:t>
            </w:r>
          </w:p>
        </w:tc>
        <w:tc>
          <w:tcPr>
            <w:tcW w:w="1995" w:type="dxa"/>
          </w:tcPr>
          <w:p w:rsidR="001066A9" w:rsidRPr="001066A9" w:rsidRDefault="001066A9" w:rsidP="00A34D36">
            <w:r w:rsidRPr="001066A9">
              <w:t>1530-1559 MHz</w:t>
            </w:r>
          </w:p>
        </w:tc>
      </w:tr>
      <w:tr w:rsidR="001066A9" w:rsidRPr="000C12B3" w:rsidTr="0045484D">
        <w:trPr>
          <w:trHeight w:val="288"/>
        </w:trPr>
        <w:tc>
          <w:tcPr>
            <w:tcW w:w="2972" w:type="dxa"/>
            <w:noWrap/>
            <w:hideMark/>
          </w:tcPr>
          <w:p w:rsidR="001066A9" w:rsidRPr="001066A9" w:rsidRDefault="001066A9" w:rsidP="001066A9">
            <w:r w:rsidRPr="001066A9">
              <w:t>AES H</w:t>
            </w:r>
          </w:p>
        </w:tc>
        <w:tc>
          <w:tcPr>
            <w:tcW w:w="2162" w:type="dxa"/>
          </w:tcPr>
          <w:p w:rsidR="001066A9" w:rsidRPr="001066A9" w:rsidRDefault="001066A9" w:rsidP="001066A9">
            <w:r w:rsidRPr="001066A9">
              <w:t xml:space="preserve">Classic Aero </w:t>
            </w:r>
          </w:p>
        </w:tc>
        <w:tc>
          <w:tcPr>
            <w:tcW w:w="1995" w:type="dxa"/>
          </w:tcPr>
          <w:p w:rsidR="001066A9" w:rsidRPr="001066A9" w:rsidRDefault="001066A9" w:rsidP="00A34D36">
            <w:r w:rsidRPr="001066A9">
              <w:t>1530-1559 MHz</w:t>
            </w:r>
          </w:p>
        </w:tc>
      </w:tr>
    </w:tbl>
    <w:p w:rsidR="001066A9" w:rsidRPr="004B3873" w:rsidRDefault="00F3350F" w:rsidP="001066A9">
      <w:pPr>
        <w:rPr>
          <w:rStyle w:val="ECCParagraph"/>
        </w:rPr>
      </w:pPr>
      <w:r w:rsidRPr="00CC2AF4">
        <w:t>S</w:t>
      </w:r>
      <w:r w:rsidR="00656CF5" w:rsidRPr="00CC2AF4">
        <w:t>ummar</w:t>
      </w:r>
      <w:r w:rsidR="006D6CA1" w:rsidRPr="00CC2AF4">
        <w:t>ies</w:t>
      </w:r>
      <w:r w:rsidR="00656CF5" w:rsidRPr="009D39B7">
        <w:t xml:space="preserve"> of the measured </w:t>
      </w:r>
      <w:r w:rsidR="005A509E" w:rsidRPr="009D39B7">
        <w:t>blocking performance</w:t>
      </w:r>
      <w:r w:rsidR="00656CF5" w:rsidRPr="009D39B7">
        <w:t xml:space="preserve"> results against single and multiple LTE channels </w:t>
      </w:r>
      <w:r w:rsidRPr="00CC2AF4">
        <w:t>are</w:t>
      </w:r>
      <w:r w:rsidR="00656CF5" w:rsidRPr="009D39B7">
        <w:t xml:space="preserve"> given </w:t>
      </w:r>
      <w:r w:rsidR="00952C6E" w:rsidRPr="00CC2AF4">
        <w:t xml:space="preserve">in </w:t>
      </w:r>
      <w:r w:rsidRPr="00CC2AF4">
        <w:t>the</w:t>
      </w:r>
      <w:r w:rsidR="004612C4" w:rsidRPr="00CC2AF4">
        <w:t xml:space="preserve"> </w:t>
      </w:r>
      <w:r w:rsidRPr="00CC2AF4">
        <w:t>sections</w:t>
      </w:r>
      <w:r>
        <w:rPr>
          <w:rStyle w:val="ECCParagraph"/>
        </w:rPr>
        <w:t xml:space="preserve"> </w:t>
      </w:r>
      <w:r w:rsidR="00656CF5" w:rsidRPr="004B3873">
        <w:rPr>
          <w:rStyle w:val="ECCParagraph"/>
        </w:rPr>
        <w:t>below</w:t>
      </w:r>
      <w:r w:rsidR="008E334D" w:rsidRPr="004B3873">
        <w:rPr>
          <w:rStyle w:val="ECCParagraph"/>
        </w:rPr>
        <w:t>.</w:t>
      </w:r>
    </w:p>
    <w:p w:rsidR="001066A9" w:rsidRPr="00CF05D2" w:rsidRDefault="005A509E" w:rsidP="005B7A44">
      <w:pPr>
        <w:pStyle w:val="Heading3"/>
        <w:rPr>
          <w:rFonts w:eastAsia="Calibri"/>
          <w:lang w:val="en-GB"/>
        </w:rPr>
      </w:pPr>
      <w:bookmarkStart w:id="35" w:name="_Toc525544406"/>
      <w:bookmarkStart w:id="36" w:name="_Toc528659168"/>
      <w:bookmarkStart w:id="37" w:name="_Toc3285877"/>
      <w:r>
        <w:rPr>
          <w:rFonts w:eastAsia="Calibri"/>
          <w:lang w:val="en-GB"/>
        </w:rPr>
        <w:t>Blocking performance</w:t>
      </w:r>
      <w:r w:rsidR="007C5FC4" w:rsidRPr="00212A05">
        <w:rPr>
          <w:rFonts w:eastAsia="Calibri"/>
          <w:lang w:val="en-US"/>
        </w:rPr>
        <w:t xml:space="preserve"> </w:t>
      </w:r>
      <w:r w:rsidR="001066A9" w:rsidRPr="00CF05D2">
        <w:rPr>
          <w:rFonts w:eastAsia="Calibri"/>
          <w:lang w:val="en-GB"/>
        </w:rPr>
        <w:t>results from a single LTE channel transmission</w:t>
      </w:r>
      <w:bookmarkEnd w:id="35"/>
      <w:bookmarkEnd w:id="36"/>
      <w:bookmarkEnd w:id="37"/>
      <w:r w:rsidR="001066A9" w:rsidRPr="00CF05D2">
        <w:rPr>
          <w:rFonts w:eastAsia="Calibri"/>
          <w:lang w:val="en-GB"/>
        </w:rPr>
        <w:t xml:space="preserve"> </w:t>
      </w:r>
    </w:p>
    <w:p w:rsidR="001066A9" w:rsidRPr="004B3873" w:rsidRDefault="001066A9" w:rsidP="001066A9">
      <w:pPr>
        <w:rPr>
          <w:rStyle w:val="ECCParagraph"/>
        </w:rPr>
      </w:pPr>
      <w:r w:rsidRPr="004B3873">
        <w:rPr>
          <w:rStyle w:val="ECCParagraph"/>
        </w:rPr>
        <w:t xml:space="preserve">The </w:t>
      </w:r>
      <w:r w:rsidR="005A509E">
        <w:rPr>
          <w:rStyle w:val="ECCParagraph"/>
        </w:rPr>
        <w:t>blocking performance</w:t>
      </w:r>
      <w:r w:rsidR="007C5FC4" w:rsidRPr="009D39B7">
        <w:t xml:space="preserve"> </w:t>
      </w:r>
      <w:r w:rsidR="007C5FC4">
        <w:rPr>
          <w:rStyle w:val="ECCParagraph"/>
        </w:rPr>
        <w:t>for each</w:t>
      </w:r>
      <w:r w:rsidRPr="004B3873">
        <w:rPr>
          <w:rStyle w:val="ECCParagraph"/>
        </w:rPr>
        <w:t xml:space="preserve"> of the AESs</w:t>
      </w:r>
      <w:r w:rsidR="00680BFC">
        <w:rPr>
          <w:rStyle w:val="ECCParagraph"/>
        </w:rPr>
        <w:t xml:space="preserve"> terminals</w:t>
      </w:r>
      <w:r w:rsidRPr="004B3873">
        <w:rPr>
          <w:rStyle w:val="ECCParagraph"/>
        </w:rPr>
        <w:t xml:space="preserve"> listed</w:t>
      </w:r>
      <w:r w:rsidR="00680BFC">
        <w:rPr>
          <w:rStyle w:val="ECCParagraph"/>
        </w:rPr>
        <w:t xml:space="preserve"> above</w:t>
      </w:r>
      <w:r w:rsidRPr="004B3873">
        <w:rPr>
          <w:rStyle w:val="ECCParagraph"/>
        </w:rPr>
        <w:t xml:space="preserve"> in </w:t>
      </w:r>
      <w:r w:rsidR="00C271D9" w:rsidRPr="009D39B7">
        <w:fldChar w:fldCharType="begin"/>
      </w:r>
      <w:r w:rsidR="00C271D9" w:rsidRPr="004B3873">
        <w:rPr>
          <w:rStyle w:val="ECCParagraph"/>
        </w:rPr>
        <w:instrText xml:space="preserve"> REF _Ref519843767 \h </w:instrText>
      </w:r>
      <w:r w:rsidR="004B3873">
        <w:rPr>
          <w:rStyle w:val="ECCParagraph"/>
        </w:rPr>
        <w:instrText xml:space="preserve"> \* MERGEFORMAT </w:instrText>
      </w:r>
      <w:r w:rsidR="00C271D9" w:rsidRPr="009D39B7">
        <w:fldChar w:fldCharType="separate"/>
      </w:r>
      <w:r w:rsidR="00E9777B" w:rsidRPr="00CA18B5">
        <w:rPr>
          <w:rStyle w:val="ECCParagraph"/>
        </w:rPr>
        <w:t>Table 2</w:t>
      </w:r>
      <w:r w:rsidR="00C271D9" w:rsidRPr="009D39B7">
        <w:fldChar w:fldCharType="end"/>
      </w:r>
      <w:r w:rsidR="00C271D9" w:rsidRPr="004B3873">
        <w:rPr>
          <w:rStyle w:val="ECCParagraph"/>
        </w:rPr>
        <w:t xml:space="preserve"> </w:t>
      </w:r>
      <w:r w:rsidRPr="004B3873">
        <w:rPr>
          <w:rStyle w:val="ECCParagraph"/>
        </w:rPr>
        <w:t xml:space="preserve">above </w:t>
      </w:r>
      <w:r w:rsidR="001A4160">
        <w:rPr>
          <w:rStyle w:val="ECCParagraph"/>
        </w:rPr>
        <w:t>was</w:t>
      </w:r>
      <w:r w:rsidRPr="004B3873">
        <w:rPr>
          <w:rStyle w:val="ECCParagraph"/>
        </w:rPr>
        <w:t xml:space="preserve"> measure</w:t>
      </w:r>
      <w:r w:rsidR="00FC49E2" w:rsidRPr="004B3873">
        <w:rPr>
          <w:rStyle w:val="ECCParagraph"/>
        </w:rPr>
        <w:t>d</w:t>
      </w:r>
      <w:r w:rsidRPr="004B3873">
        <w:rPr>
          <w:rStyle w:val="ECCParagraph"/>
        </w:rPr>
        <w:t xml:space="preserve"> against a single 5 MHz LTE channel at 1512-1517 MHz, and a summary </w:t>
      </w:r>
      <w:r w:rsidR="00FC49E2" w:rsidRPr="004B3873">
        <w:rPr>
          <w:rStyle w:val="ECCParagraph"/>
        </w:rPr>
        <w:t xml:space="preserve">of the </w:t>
      </w:r>
      <w:r w:rsidRPr="004B3873">
        <w:rPr>
          <w:rStyle w:val="ECCParagraph"/>
        </w:rPr>
        <w:t xml:space="preserve">results for the most susceptible </w:t>
      </w:r>
      <w:r w:rsidR="00680BFC">
        <w:rPr>
          <w:rStyle w:val="ECCParagraph"/>
        </w:rPr>
        <w:t xml:space="preserve">terminals </w:t>
      </w:r>
      <w:r w:rsidRPr="004B3873">
        <w:rPr>
          <w:rStyle w:val="ECCParagraph"/>
        </w:rPr>
        <w:t xml:space="preserve">Classic Aero (AES E) and SB (AES B) are presented in </w:t>
      </w:r>
      <w:r w:rsidR="000F4BEC" w:rsidRPr="009D39B7">
        <w:fldChar w:fldCharType="begin"/>
      </w:r>
      <w:r w:rsidR="000F4BEC" w:rsidRPr="004B3873">
        <w:rPr>
          <w:rStyle w:val="ECCParagraph"/>
        </w:rPr>
        <w:instrText xml:space="preserve"> REF _Ref519843805 \h </w:instrText>
      </w:r>
      <w:r w:rsidR="004B3873">
        <w:rPr>
          <w:rStyle w:val="ECCParagraph"/>
        </w:rPr>
        <w:instrText xml:space="preserve"> \* MERGEFORMAT </w:instrText>
      </w:r>
      <w:r w:rsidR="000F4BEC" w:rsidRPr="009D39B7">
        <w:fldChar w:fldCharType="separate"/>
      </w:r>
      <w:r w:rsidR="00E9777B" w:rsidRPr="00CA18B5">
        <w:rPr>
          <w:rStyle w:val="ECCParagraph"/>
        </w:rPr>
        <w:t>Table 3</w:t>
      </w:r>
      <w:r w:rsidR="000F4BEC" w:rsidRPr="009D39B7">
        <w:fldChar w:fldCharType="end"/>
      </w:r>
      <w:r w:rsidR="000F4BEC" w:rsidRPr="004B3873">
        <w:rPr>
          <w:rStyle w:val="ECCParagraph"/>
        </w:rPr>
        <w:t xml:space="preserve"> </w:t>
      </w:r>
      <w:r w:rsidRPr="004B3873">
        <w:rPr>
          <w:rStyle w:val="ECCParagraph"/>
        </w:rPr>
        <w:t xml:space="preserve">below. </w:t>
      </w:r>
    </w:p>
    <w:p w:rsidR="007E56B4" w:rsidRPr="00CF05D2" w:rsidRDefault="007E56B4" w:rsidP="0045484D">
      <w:pPr>
        <w:pStyle w:val="Caption"/>
        <w:keepNext/>
        <w:rPr>
          <w:lang w:val="en-GB"/>
        </w:rPr>
      </w:pPr>
      <w:bookmarkStart w:id="38" w:name="_Ref519843805"/>
      <w:r w:rsidRPr="00CF05D2">
        <w:rPr>
          <w:lang w:val="en-GB"/>
        </w:rPr>
        <w:t xml:space="preserve">Table </w:t>
      </w:r>
      <w:r w:rsidRPr="00CF05D2">
        <w:rPr>
          <w:lang w:val="en-GB"/>
        </w:rPr>
        <w:fldChar w:fldCharType="begin"/>
      </w:r>
      <w:r w:rsidRPr="007E56B4">
        <w:rPr>
          <w:lang w:val="en-US"/>
        </w:rPr>
        <w:instrText xml:space="preserve"> SEQ Table \* ARABIC </w:instrText>
      </w:r>
      <w:r w:rsidRPr="00CF05D2">
        <w:rPr>
          <w:lang w:val="en-GB"/>
        </w:rPr>
        <w:fldChar w:fldCharType="separate"/>
      </w:r>
      <w:r w:rsidR="00E9777B">
        <w:rPr>
          <w:noProof/>
          <w:lang w:val="en-US"/>
        </w:rPr>
        <w:t>3</w:t>
      </w:r>
      <w:r w:rsidRPr="00CF05D2">
        <w:rPr>
          <w:lang w:val="en-GB"/>
        </w:rPr>
        <w:fldChar w:fldCharType="end"/>
      </w:r>
      <w:bookmarkEnd w:id="38"/>
      <w:r w:rsidR="00D51582" w:rsidRPr="00D51582">
        <w:rPr>
          <w:lang w:val="en-GB"/>
        </w:rPr>
        <w:t>:</w:t>
      </w:r>
      <w:r w:rsidRPr="00CF05D2">
        <w:rPr>
          <w:lang w:val="en-GB"/>
        </w:rPr>
        <w:t xml:space="preserve"> Measured </w:t>
      </w:r>
      <w:r w:rsidR="005A509E">
        <w:rPr>
          <w:lang w:val="en-GB"/>
        </w:rPr>
        <w:t>blocking performance</w:t>
      </w:r>
      <w:r w:rsidR="007C5FC4" w:rsidRPr="007C5FC4">
        <w:rPr>
          <w:lang w:val="en-GB"/>
        </w:rPr>
        <w:t xml:space="preserve"> </w:t>
      </w:r>
      <w:r w:rsidR="001A4160" w:rsidRPr="00937847">
        <w:rPr>
          <w:lang w:val="en-US"/>
        </w:rPr>
        <w:t>levels for</w:t>
      </w:r>
      <w:r w:rsidRPr="009D39B7">
        <w:rPr>
          <w:lang w:val="en-US"/>
        </w:rPr>
        <w:t xml:space="preserve"> </w:t>
      </w:r>
      <w:r w:rsidRPr="00CF05D2">
        <w:rPr>
          <w:lang w:val="en-GB"/>
        </w:rPr>
        <w:t xml:space="preserve">Classic aero </w:t>
      </w:r>
      <w:r w:rsidR="0020609E" w:rsidRPr="00937847">
        <w:rPr>
          <w:lang w:val="en-US"/>
        </w:rPr>
        <w:t>(</w:t>
      </w:r>
      <w:r w:rsidRPr="00CF05D2">
        <w:rPr>
          <w:lang w:val="en-GB"/>
        </w:rPr>
        <w:t xml:space="preserve">AES E) and SB </w:t>
      </w:r>
      <w:r w:rsidR="0020609E" w:rsidRPr="00937847">
        <w:rPr>
          <w:lang w:val="en-US"/>
        </w:rPr>
        <w:t>(</w:t>
      </w:r>
      <w:r w:rsidRPr="00CF05D2">
        <w:rPr>
          <w:lang w:val="en-GB"/>
        </w:rPr>
        <w:t xml:space="preserve">AES B) </w:t>
      </w:r>
      <w:r w:rsidR="001A4160" w:rsidRPr="00937847">
        <w:rPr>
          <w:lang w:val="en-US"/>
        </w:rPr>
        <w:t>resulting</w:t>
      </w:r>
      <w:r w:rsidRPr="009D39B7">
        <w:rPr>
          <w:lang w:val="en-US"/>
        </w:rPr>
        <w:t xml:space="preserve"> </w:t>
      </w:r>
      <w:r w:rsidRPr="00CF05D2">
        <w:rPr>
          <w:lang w:val="en-GB"/>
        </w:rPr>
        <w:t>from a single LTE channel</w:t>
      </w:r>
    </w:p>
    <w:tbl>
      <w:tblPr>
        <w:tblStyle w:val="ECCTable-redheader"/>
        <w:tblW w:w="4460" w:type="pct"/>
        <w:tblInd w:w="0" w:type="dxa"/>
        <w:tblLook w:val="0420" w:firstRow="1" w:lastRow="0" w:firstColumn="0" w:lastColumn="0" w:noHBand="0" w:noVBand="1"/>
      </w:tblPr>
      <w:tblGrid>
        <w:gridCol w:w="2172"/>
        <w:gridCol w:w="3145"/>
        <w:gridCol w:w="3474"/>
      </w:tblGrid>
      <w:tr w:rsidR="001066A9" w:rsidRPr="000C12B3" w:rsidTr="004B3873">
        <w:trPr>
          <w:cnfStyle w:val="100000000000" w:firstRow="1" w:lastRow="0" w:firstColumn="0" w:lastColumn="0" w:oddVBand="0" w:evenVBand="0" w:oddHBand="0" w:evenHBand="0" w:firstRowFirstColumn="0" w:firstRowLastColumn="0" w:lastRowFirstColumn="0" w:lastRowLastColumn="0"/>
          <w:trHeight w:val="584"/>
        </w:trPr>
        <w:tc>
          <w:tcPr>
            <w:tcW w:w="1235" w:type="pct"/>
          </w:tcPr>
          <w:p w:rsidR="001066A9" w:rsidRPr="001066A9" w:rsidRDefault="001066A9" w:rsidP="004B3873">
            <w:pPr>
              <w:pStyle w:val="ECCTableHeaderwhitefont"/>
              <w:keepNext/>
            </w:pPr>
            <w:r w:rsidRPr="001066A9">
              <w:t>Terminal Type</w:t>
            </w:r>
          </w:p>
        </w:tc>
        <w:tc>
          <w:tcPr>
            <w:tcW w:w="1789" w:type="pct"/>
          </w:tcPr>
          <w:p w:rsidR="001066A9" w:rsidRPr="001066A9" w:rsidRDefault="005A509E" w:rsidP="004B3873">
            <w:pPr>
              <w:pStyle w:val="ECCTableHeaderwhitefont"/>
              <w:keepNext/>
            </w:pPr>
            <w:r>
              <w:t>Blocking performance</w:t>
            </w:r>
            <w:r w:rsidR="001066A9" w:rsidRPr="001066A9">
              <w:t xml:space="preserve"> (dBm)</w:t>
            </w:r>
          </w:p>
        </w:tc>
        <w:tc>
          <w:tcPr>
            <w:tcW w:w="1976" w:type="pct"/>
          </w:tcPr>
          <w:p w:rsidR="001066A9" w:rsidRPr="001066A9" w:rsidRDefault="001066A9" w:rsidP="004B3873">
            <w:pPr>
              <w:pStyle w:val="ECCTableHeaderwhitefont"/>
              <w:keepNext/>
            </w:pPr>
            <w:r w:rsidRPr="001066A9">
              <w:t>Wanted carrier Frequency (MHz)</w:t>
            </w:r>
          </w:p>
        </w:tc>
      </w:tr>
      <w:tr w:rsidR="001066A9" w:rsidRPr="000C12B3" w:rsidTr="00EB2605">
        <w:trPr>
          <w:trHeight w:val="420"/>
        </w:trPr>
        <w:tc>
          <w:tcPr>
            <w:tcW w:w="1235" w:type="pct"/>
            <w:hideMark/>
          </w:tcPr>
          <w:p w:rsidR="001066A9" w:rsidRPr="001066A9" w:rsidRDefault="001066A9" w:rsidP="00532D5C">
            <w:pPr>
              <w:pStyle w:val="ECCTabletext"/>
              <w:keepNext/>
            </w:pPr>
            <w:r w:rsidRPr="001066A9">
              <w:t>Classic Aero (AES E)</w:t>
            </w:r>
          </w:p>
        </w:tc>
        <w:tc>
          <w:tcPr>
            <w:tcW w:w="1789" w:type="pct"/>
            <w:hideMark/>
          </w:tcPr>
          <w:p w:rsidR="001066A9" w:rsidRPr="001066A9" w:rsidRDefault="001066A9" w:rsidP="00532D5C">
            <w:pPr>
              <w:pStyle w:val="ECCTabletext"/>
              <w:keepNext/>
            </w:pPr>
            <w:r w:rsidRPr="001066A9">
              <w:t>-50.3</w:t>
            </w:r>
          </w:p>
        </w:tc>
        <w:tc>
          <w:tcPr>
            <w:tcW w:w="1976" w:type="pct"/>
          </w:tcPr>
          <w:p w:rsidR="001066A9" w:rsidRPr="001066A9" w:rsidRDefault="001066A9" w:rsidP="00532D5C">
            <w:pPr>
              <w:pStyle w:val="ECCTabletext"/>
              <w:keepNext/>
            </w:pPr>
            <w:r w:rsidRPr="001066A9">
              <w:t>1555.1</w:t>
            </w:r>
          </w:p>
        </w:tc>
      </w:tr>
      <w:tr w:rsidR="001066A9" w:rsidRPr="000C12B3" w:rsidTr="00EB2605">
        <w:trPr>
          <w:trHeight w:val="343"/>
        </w:trPr>
        <w:tc>
          <w:tcPr>
            <w:tcW w:w="1235" w:type="pct"/>
          </w:tcPr>
          <w:p w:rsidR="001066A9" w:rsidRPr="001066A9" w:rsidRDefault="001066A9" w:rsidP="00532D5C">
            <w:pPr>
              <w:pStyle w:val="ECCTabletext"/>
              <w:keepNext/>
            </w:pPr>
            <w:r w:rsidRPr="001066A9">
              <w:t>SB (AES B)</w:t>
            </w:r>
          </w:p>
        </w:tc>
        <w:tc>
          <w:tcPr>
            <w:tcW w:w="1789" w:type="pct"/>
          </w:tcPr>
          <w:p w:rsidR="001066A9" w:rsidRPr="001066A9" w:rsidRDefault="001066A9" w:rsidP="00532D5C">
            <w:pPr>
              <w:pStyle w:val="ECCTabletext"/>
              <w:keepNext/>
            </w:pPr>
            <w:r w:rsidRPr="001066A9">
              <w:t>-40.8</w:t>
            </w:r>
          </w:p>
        </w:tc>
        <w:tc>
          <w:tcPr>
            <w:tcW w:w="1976" w:type="pct"/>
          </w:tcPr>
          <w:p w:rsidR="001066A9" w:rsidRPr="001066A9" w:rsidRDefault="001066A9" w:rsidP="00532D5C">
            <w:pPr>
              <w:pStyle w:val="ECCTabletext"/>
              <w:keepNext/>
            </w:pPr>
            <w:r w:rsidRPr="001066A9">
              <w:t>1525.1</w:t>
            </w:r>
          </w:p>
        </w:tc>
      </w:tr>
    </w:tbl>
    <w:p w:rsidR="001066A9" w:rsidRPr="004070BC" w:rsidRDefault="001066A9" w:rsidP="001066A9">
      <w:pPr>
        <w:rPr>
          <w:rStyle w:val="ECCParagraph"/>
        </w:rPr>
      </w:pPr>
      <w:r w:rsidRPr="004070BC">
        <w:rPr>
          <w:rStyle w:val="ECCParagraph"/>
        </w:rPr>
        <w:t xml:space="preserve">It is important to note that transmissions from LTE channels below 1512 MHz also </w:t>
      </w:r>
      <w:r w:rsidR="00050923" w:rsidRPr="004070BC">
        <w:rPr>
          <w:rStyle w:val="ECCParagraph"/>
        </w:rPr>
        <w:t>cause blocking of the terminals. T</w:t>
      </w:r>
      <w:r w:rsidRPr="004070BC">
        <w:rPr>
          <w:rStyle w:val="ECCParagraph"/>
        </w:rPr>
        <w:t xml:space="preserve">o illustrate this, the </w:t>
      </w:r>
      <w:r w:rsidR="005A509E">
        <w:rPr>
          <w:rStyle w:val="ECCParagraph"/>
        </w:rPr>
        <w:t>blocking performance</w:t>
      </w:r>
      <w:r w:rsidR="001A4160">
        <w:rPr>
          <w:rStyle w:val="ECCParagraph"/>
        </w:rPr>
        <w:t xml:space="preserve"> levels for</w:t>
      </w:r>
      <w:r w:rsidRPr="004070BC">
        <w:rPr>
          <w:rStyle w:val="ECCParagraph"/>
        </w:rPr>
        <w:t xml:space="preserve"> Classic Aero (AES E) and SB (AES B) were also measured against an LTE channel at different channels below 1512 MHz and the results are shown in </w:t>
      </w:r>
      <w:r w:rsidR="00D656B1" w:rsidRPr="009D39B7">
        <w:fldChar w:fldCharType="begin"/>
      </w:r>
      <w:r w:rsidR="00D656B1" w:rsidRPr="009D39B7">
        <w:instrText xml:space="preserve"> REF _Ref519843861 \h </w:instrText>
      </w:r>
      <w:r w:rsidR="004070BC" w:rsidRPr="009D39B7">
        <w:instrText xml:space="preserve"> \* MERGEFORMAT </w:instrText>
      </w:r>
      <w:r w:rsidR="00D656B1" w:rsidRPr="009D39B7">
        <w:fldChar w:fldCharType="separate"/>
      </w:r>
      <w:r w:rsidR="00E9777B" w:rsidRPr="00CA18B5">
        <w:rPr>
          <w:rStyle w:val="ECCParagraph"/>
        </w:rPr>
        <w:t>Table 4</w:t>
      </w:r>
      <w:r w:rsidR="00D656B1" w:rsidRPr="009D39B7">
        <w:fldChar w:fldCharType="end"/>
      </w:r>
      <w:r w:rsidRPr="004070BC">
        <w:rPr>
          <w:rStyle w:val="ECCParagraph"/>
        </w:rPr>
        <w:t xml:space="preserve"> below.</w:t>
      </w:r>
    </w:p>
    <w:p w:rsidR="005307C4" w:rsidRDefault="00B04D23" w:rsidP="00CA18B5">
      <w:pPr>
        <w:pStyle w:val="Caption"/>
        <w:keepNext/>
        <w:rPr>
          <w:lang w:val="en-GB"/>
        </w:rPr>
      </w:pPr>
      <w:bookmarkStart w:id="39" w:name="_Ref519843861"/>
      <w:r w:rsidRPr="00CF05D2">
        <w:rPr>
          <w:lang w:val="en-GB"/>
        </w:rPr>
        <w:lastRenderedPageBreak/>
        <w:t xml:space="preserve">Table </w:t>
      </w:r>
      <w:r w:rsidRPr="00CF05D2">
        <w:fldChar w:fldCharType="begin"/>
      </w:r>
      <w:r w:rsidRPr="00B04D23">
        <w:rPr>
          <w:lang w:val="en-US"/>
        </w:rPr>
        <w:instrText xml:space="preserve"> SEQ Table \* ARABIC </w:instrText>
      </w:r>
      <w:r w:rsidRPr="00CF05D2">
        <w:fldChar w:fldCharType="separate"/>
      </w:r>
      <w:r w:rsidR="00E9777B">
        <w:rPr>
          <w:noProof/>
          <w:lang w:val="en-US"/>
        </w:rPr>
        <w:t>4</w:t>
      </w:r>
      <w:r w:rsidRPr="00CF05D2">
        <w:fldChar w:fldCharType="end"/>
      </w:r>
      <w:bookmarkEnd w:id="39"/>
      <w:r w:rsidR="00D51582" w:rsidRPr="00D51582">
        <w:rPr>
          <w:lang w:val="en-GB"/>
        </w:rPr>
        <w:t>:</w:t>
      </w:r>
      <w:r w:rsidRPr="00CF05D2">
        <w:rPr>
          <w:lang w:val="en-GB"/>
        </w:rPr>
        <w:t xml:space="preserve"> Measured blocking </w:t>
      </w:r>
      <w:r w:rsidR="00DE2337" w:rsidRPr="009D39B7">
        <w:t>performance</w:t>
      </w:r>
      <w:r w:rsidR="001A4160" w:rsidRPr="009D39B7">
        <w:t xml:space="preserve"> </w:t>
      </w:r>
      <w:r w:rsidR="001A4160" w:rsidRPr="00212A05">
        <w:rPr>
          <w:lang w:val="en-US"/>
        </w:rPr>
        <w:t xml:space="preserve">levels </w:t>
      </w:r>
      <w:r w:rsidR="007C3754" w:rsidRPr="00212A05">
        <w:rPr>
          <w:lang w:val="en-US"/>
        </w:rPr>
        <w:t>for</w:t>
      </w:r>
      <w:r w:rsidRPr="009D39B7">
        <w:t xml:space="preserve"> </w:t>
      </w:r>
      <w:r w:rsidRPr="00CF05D2">
        <w:rPr>
          <w:lang w:val="en-GB"/>
        </w:rPr>
        <w:t>the most susceptible Classic aero (AES E) and SB</w:t>
      </w:r>
    </w:p>
    <w:p w:rsidR="00B04D23" w:rsidRPr="00CF05D2" w:rsidRDefault="00B04D23">
      <w:pPr>
        <w:pStyle w:val="Caption"/>
        <w:keepNext/>
        <w:rPr>
          <w:lang w:val="en-GB"/>
        </w:rPr>
      </w:pPr>
      <w:r w:rsidRPr="00CF05D2">
        <w:rPr>
          <w:lang w:val="en-GB"/>
        </w:rPr>
        <w:t xml:space="preserve"> (AES B) from a single 5 MHz LTE channel at different frequency centres</w:t>
      </w:r>
    </w:p>
    <w:tbl>
      <w:tblPr>
        <w:tblStyle w:val="ECCTable-redheader"/>
        <w:tblW w:w="8923" w:type="dxa"/>
        <w:tblInd w:w="0" w:type="dxa"/>
        <w:tblLook w:val="04A0" w:firstRow="1" w:lastRow="0" w:firstColumn="1" w:lastColumn="0" w:noHBand="0" w:noVBand="1"/>
      </w:tblPr>
      <w:tblGrid>
        <w:gridCol w:w="2620"/>
        <w:gridCol w:w="3268"/>
        <w:gridCol w:w="3035"/>
      </w:tblGrid>
      <w:tr w:rsidR="00B1234C" w:rsidRPr="000C12B3" w:rsidTr="00C01EBA">
        <w:trPr>
          <w:cnfStyle w:val="100000000000" w:firstRow="1" w:lastRow="0" w:firstColumn="0" w:lastColumn="0" w:oddVBand="0" w:evenVBand="0" w:oddHBand="0" w:evenHBand="0" w:firstRowFirstColumn="0" w:firstRowLastColumn="0" w:lastRowFirstColumn="0" w:lastRowLastColumn="0"/>
        </w:trPr>
        <w:tc>
          <w:tcPr>
            <w:tcW w:w="2620" w:type="dxa"/>
          </w:tcPr>
          <w:p w:rsidR="001066A9" w:rsidRPr="001066A9" w:rsidRDefault="001066A9" w:rsidP="00C01EBA">
            <w:pPr>
              <w:pStyle w:val="ECCTableHeaderwhitefont"/>
              <w:keepNext/>
              <w:keepLines/>
            </w:pPr>
            <w:r w:rsidRPr="001066A9">
              <w:t>LTE Centre frequency (MHz)</w:t>
            </w:r>
          </w:p>
        </w:tc>
        <w:tc>
          <w:tcPr>
            <w:tcW w:w="3268" w:type="dxa"/>
          </w:tcPr>
          <w:p w:rsidR="001066A9" w:rsidRPr="001066A9" w:rsidRDefault="001066A9" w:rsidP="00C01EBA">
            <w:pPr>
              <w:pStyle w:val="ECCTableHeaderwhitefont"/>
              <w:keepNext/>
              <w:keepLines/>
            </w:pPr>
            <w:r w:rsidRPr="001066A9">
              <w:t xml:space="preserve">Blocking </w:t>
            </w:r>
            <w:r w:rsidR="00DE2337">
              <w:t>performance</w:t>
            </w:r>
            <w:r w:rsidRPr="001066A9">
              <w:t xml:space="preserve"> of classic aero (AES E) (dBm) </w:t>
            </w:r>
          </w:p>
        </w:tc>
        <w:tc>
          <w:tcPr>
            <w:tcW w:w="3035" w:type="dxa"/>
          </w:tcPr>
          <w:p w:rsidR="001066A9" w:rsidRPr="001066A9" w:rsidRDefault="001066A9" w:rsidP="00C01EBA">
            <w:pPr>
              <w:pStyle w:val="ECCTableHeaderwhitefont"/>
              <w:keepNext/>
              <w:keepLines/>
            </w:pPr>
            <w:r w:rsidRPr="001066A9">
              <w:t xml:space="preserve">Blocking </w:t>
            </w:r>
            <w:r w:rsidR="00DE2337">
              <w:t>performance</w:t>
            </w:r>
            <w:r w:rsidRPr="001066A9">
              <w:t xml:space="preserve"> of SB (AES B) (dBm)</w:t>
            </w:r>
          </w:p>
        </w:tc>
      </w:tr>
      <w:tr w:rsidR="00043396" w:rsidRPr="000C12B3" w:rsidTr="00C01EBA">
        <w:tc>
          <w:tcPr>
            <w:tcW w:w="2620" w:type="dxa"/>
          </w:tcPr>
          <w:p w:rsidR="001066A9" w:rsidRPr="001066A9" w:rsidRDefault="001066A9" w:rsidP="00532D5C">
            <w:pPr>
              <w:pStyle w:val="ECCTabletext"/>
              <w:keepNext/>
              <w:keepLines/>
            </w:pPr>
            <w:r w:rsidRPr="001066A9">
              <w:t>1514.5</w:t>
            </w:r>
          </w:p>
        </w:tc>
        <w:tc>
          <w:tcPr>
            <w:tcW w:w="3268" w:type="dxa"/>
          </w:tcPr>
          <w:p w:rsidR="001066A9" w:rsidRPr="001066A9" w:rsidRDefault="001066A9" w:rsidP="00532D5C">
            <w:pPr>
              <w:pStyle w:val="ECCTabletext"/>
              <w:keepNext/>
              <w:keepLines/>
            </w:pPr>
            <w:r w:rsidRPr="001066A9">
              <w:t xml:space="preserve">-50.3 </w:t>
            </w:r>
          </w:p>
        </w:tc>
        <w:tc>
          <w:tcPr>
            <w:tcW w:w="3035" w:type="dxa"/>
          </w:tcPr>
          <w:p w:rsidR="001066A9" w:rsidRPr="001066A9" w:rsidRDefault="001066A9" w:rsidP="00532D5C">
            <w:pPr>
              <w:pStyle w:val="ECCTabletext"/>
              <w:keepNext/>
              <w:keepLines/>
            </w:pPr>
            <w:r w:rsidRPr="001066A9">
              <w:t>-40.8</w:t>
            </w:r>
          </w:p>
        </w:tc>
      </w:tr>
      <w:tr w:rsidR="00043396" w:rsidRPr="000C12B3" w:rsidTr="00C01EBA">
        <w:tc>
          <w:tcPr>
            <w:tcW w:w="2620" w:type="dxa"/>
          </w:tcPr>
          <w:p w:rsidR="001066A9" w:rsidRPr="001066A9" w:rsidRDefault="001066A9" w:rsidP="00532D5C">
            <w:pPr>
              <w:pStyle w:val="ECCTabletext"/>
              <w:keepNext/>
              <w:keepLines/>
            </w:pPr>
            <w:r w:rsidRPr="001066A9">
              <w:t>1509.5</w:t>
            </w:r>
          </w:p>
        </w:tc>
        <w:tc>
          <w:tcPr>
            <w:tcW w:w="3268" w:type="dxa"/>
          </w:tcPr>
          <w:p w:rsidR="001066A9" w:rsidRPr="001066A9" w:rsidRDefault="001066A9" w:rsidP="00532D5C">
            <w:pPr>
              <w:pStyle w:val="ECCTabletext"/>
              <w:keepNext/>
              <w:keepLines/>
            </w:pPr>
            <w:r w:rsidRPr="001066A9">
              <w:t>-35</w:t>
            </w:r>
          </w:p>
        </w:tc>
        <w:tc>
          <w:tcPr>
            <w:tcW w:w="3035" w:type="dxa"/>
          </w:tcPr>
          <w:p w:rsidR="001066A9" w:rsidRPr="001066A9" w:rsidRDefault="001066A9" w:rsidP="00532D5C">
            <w:pPr>
              <w:pStyle w:val="ECCTabletext"/>
              <w:keepNext/>
              <w:keepLines/>
            </w:pPr>
            <w:r w:rsidRPr="001066A9">
              <w:t>-25.7</w:t>
            </w:r>
          </w:p>
        </w:tc>
      </w:tr>
      <w:tr w:rsidR="00043396" w:rsidRPr="000C12B3" w:rsidTr="00C01EBA">
        <w:tc>
          <w:tcPr>
            <w:tcW w:w="2620" w:type="dxa"/>
          </w:tcPr>
          <w:p w:rsidR="001066A9" w:rsidRPr="001066A9" w:rsidRDefault="001066A9" w:rsidP="00532D5C">
            <w:pPr>
              <w:pStyle w:val="ECCTabletext"/>
              <w:keepNext/>
              <w:keepLines/>
            </w:pPr>
            <w:r w:rsidRPr="001066A9">
              <w:t>1504.5</w:t>
            </w:r>
          </w:p>
        </w:tc>
        <w:tc>
          <w:tcPr>
            <w:tcW w:w="3268" w:type="dxa"/>
          </w:tcPr>
          <w:p w:rsidR="001066A9" w:rsidRPr="001066A9" w:rsidRDefault="001066A9" w:rsidP="00532D5C">
            <w:pPr>
              <w:pStyle w:val="ECCTabletext"/>
              <w:keepNext/>
              <w:keepLines/>
            </w:pPr>
            <w:r w:rsidRPr="001066A9">
              <w:t>-35</w:t>
            </w:r>
          </w:p>
        </w:tc>
        <w:tc>
          <w:tcPr>
            <w:tcW w:w="3035" w:type="dxa"/>
          </w:tcPr>
          <w:p w:rsidR="001066A9" w:rsidRPr="001066A9" w:rsidRDefault="001066A9" w:rsidP="00532D5C">
            <w:pPr>
              <w:pStyle w:val="ECCTabletext"/>
              <w:keepNext/>
              <w:keepLines/>
            </w:pPr>
            <w:r w:rsidRPr="001066A9">
              <w:t>&gt;-20</w:t>
            </w:r>
          </w:p>
        </w:tc>
      </w:tr>
      <w:tr w:rsidR="00043396" w:rsidRPr="000C12B3" w:rsidTr="00C01EBA">
        <w:tc>
          <w:tcPr>
            <w:tcW w:w="2620" w:type="dxa"/>
          </w:tcPr>
          <w:p w:rsidR="001066A9" w:rsidRPr="001066A9" w:rsidRDefault="001066A9" w:rsidP="00532D5C">
            <w:pPr>
              <w:pStyle w:val="ECCTabletext"/>
              <w:keepNext/>
              <w:keepLines/>
            </w:pPr>
            <w:r w:rsidRPr="001066A9">
              <w:t>1499.5</w:t>
            </w:r>
          </w:p>
        </w:tc>
        <w:tc>
          <w:tcPr>
            <w:tcW w:w="3268" w:type="dxa"/>
          </w:tcPr>
          <w:p w:rsidR="001066A9" w:rsidRPr="001066A9" w:rsidRDefault="001066A9" w:rsidP="00532D5C">
            <w:pPr>
              <w:pStyle w:val="ECCTabletext"/>
              <w:keepNext/>
              <w:keepLines/>
            </w:pPr>
            <w:r w:rsidRPr="001066A9">
              <w:t>-</w:t>
            </w:r>
            <w:r w:rsidR="00937847">
              <w:t>-25</w:t>
            </w:r>
          </w:p>
        </w:tc>
        <w:tc>
          <w:tcPr>
            <w:tcW w:w="3035" w:type="dxa"/>
          </w:tcPr>
          <w:p w:rsidR="001066A9" w:rsidRPr="001066A9" w:rsidRDefault="001066A9" w:rsidP="00532D5C">
            <w:pPr>
              <w:pStyle w:val="ECCTabletext"/>
              <w:keepNext/>
              <w:keepLines/>
            </w:pPr>
            <w:r w:rsidRPr="001066A9">
              <w:t>&gt;-20</w:t>
            </w:r>
          </w:p>
        </w:tc>
      </w:tr>
    </w:tbl>
    <w:p w:rsidR="001066A9" w:rsidRPr="00CF05D2" w:rsidRDefault="005A509E" w:rsidP="000D0A8F">
      <w:pPr>
        <w:pStyle w:val="Heading3"/>
        <w:rPr>
          <w:rFonts w:eastAsia="Calibri"/>
          <w:lang w:val="en-GB"/>
        </w:rPr>
      </w:pPr>
      <w:bookmarkStart w:id="40" w:name="_Toc525544407"/>
      <w:bookmarkStart w:id="41" w:name="_Toc528659169"/>
      <w:bookmarkStart w:id="42" w:name="_Toc3285878"/>
      <w:r>
        <w:rPr>
          <w:rFonts w:eastAsia="Calibri"/>
          <w:lang w:val="en-GB"/>
        </w:rPr>
        <w:t>Blocking performance</w:t>
      </w:r>
      <w:r w:rsidR="007C3754" w:rsidRPr="00212A05">
        <w:rPr>
          <w:rFonts w:eastAsia="Calibri"/>
          <w:lang w:val="en-US"/>
        </w:rPr>
        <w:t xml:space="preserve"> </w:t>
      </w:r>
      <w:r w:rsidR="001066A9" w:rsidRPr="00CF05D2">
        <w:rPr>
          <w:rFonts w:eastAsia="Calibri"/>
          <w:lang w:val="en-GB"/>
        </w:rPr>
        <w:t>results from multiple LTE channel transmissions</w:t>
      </w:r>
      <w:bookmarkEnd w:id="40"/>
      <w:bookmarkEnd w:id="41"/>
      <w:bookmarkEnd w:id="42"/>
      <w:r w:rsidR="001066A9" w:rsidRPr="00CF05D2">
        <w:rPr>
          <w:rFonts w:eastAsia="Calibri"/>
          <w:lang w:val="en-GB"/>
        </w:rPr>
        <w:t xml:space="preserve"> </w:t>
      </w:r>
    </w:p>
    <w:p w:rsidR="001066A9" w:rsidRPr="004070BC" w:rsidRDefault="001066A9" w:rsidP="001066A9">
      <w:pPr>
        <w:rPr>
          <w:rStyle w:val="ECCParagraph"/>
        </w:rPr>
      </w:pPr>
      <w:r w:rsidRPr="004070BC">
        <w:rPr>
          <w:rStyle w:val="ECCParagraph"/>
        </w:rPr>
        <w:t xml:space="preserve">The </w:t>
      </w:r>
      <w:r w:rsidR="005A509E">
        <w:rPr>
          <w:rStyle w:val="ECCParagraph"/>
        </w:rPr>
        <w:t>blocking performance</w:t>
      </w:r>
      <w:r w:rsidR="007C3754">
        <w:rPr>
          <w:rStyle w:val="ECCParagraph"/>
        </w:rPr>
        <w:t xml:space="preserve"> levels for each</w:t>
      </w:r>
      <w:r w:rsidRPr="004070BC">
        <w:rPr>
          <w:rStyle w:val="ECCParagraph"/>
        </w:rPr>
        <w:t xml:space="preserve"> of the AESs listed in </w:t>
      </w:r>
      <w:r w:rsidR="004D6124" w:rsidRPr="00C01EBA">
        <w:fldChar w:fldCharType="begin"/>
      </w:r>
      <w:r w:rsidR="004D6124" w:rsidRPr="004070BC">
        <w:rPr>
          <w:rStyle w:val="ECCParagraph"/>
        </w:rPr>
        <w:instrText xml:space="preserve"> REF _Ref519843767 \h </w:instrText>
      </w:r>
      <w:r w:rsidR="004070BC">
        <w:rPr>
          <w:rStyle w:val="ECCParagraph"/>
        </w:rPr>
        <w:instrText xml:space="preserve"> \* MERGEFORMAT </w:instrText>
      </w:r>
      <w:r w:rsidR="004D6124" w:rsidRPr="00C01EBA">
        <w:fldChar w:fldCharType="separate"/>
      </w:r>
      <w:r w:rsidR="00E9777B" w:rsidRPr="00CA18B5">
        <w:rPr>
          <w:rStyle w:val="ECCParagraph"/>
        </w:rPr>
        <w:t>Table 2</w:t>
      </w:r>
      <w:r w:rsidR="004D6124" w:rsidRPr="00C01EBA">
        <w:fldChar w:fldCharType="end"/>
      </w:r>
      <w:r w:rsidRPr="004070BC">
        <w:rPr>
          <w:rStyle w:val="ECCParagraph"/>
        </w:rPr>
        <w:t xml:space="preserve"> have also been measured against multiple LTE channels simultaneously transmitting, and the results for the most sus</w:t>
      </w:r>
      <w:r w:rsidR="00050923" w:rsidRPr="004070BC">
        <w:rPr>
          <w:rStyle w:val="ECCParagraph"/>
        </w:rPr>
        <w:t>ceptible Classic aero (AES E) are</w:t>
      </w:r>
      <w:r w:rsidRPr="004070BC">
        <w:rPr>
          <w:rStyle w:val="ECCParagraph"/>
        </w:rPr>
        <w:t xml:space="preserve"> shown in </w:t>
      </w:r>
      <w:r w:rsidR="004D6124" w:rsidRPr="00C01EBA">
        <w:fldChar w:fldCharType="begin"/>
      </w:r>
      <w:r w:rsidR="004D6124" w:rsidRPr="004070BC">
        <w:rPr>
          <w:rStyle w:val="ECCParagraph"/>
        </w:rPr>
        <w:instrText xml:space="preserve"> REF _Ref519843936 \h </w:instrText>
      </w:r>
      <w:r w:rsidR="004070BC">
        <w:rPr>
          <w:rStyle w:val="ECCParagraph"/>
        </w:rPr>
        <w:instrText xml:space="preserve"> \* MERGEFORMAT </w:instrText>
      </w:r>
      <w:r w:rsidR="004D6124" w:rsidRPr="00C01EBA">
        <w:fldChar w:fldCharType="separate"/>
      </w:r>
      <w:r w:rsidR="00E9777B" w:rsidRPr="00CA18B5">
        <w:rPr>
          <w:rStyle w:val="ECCParagraph"/>
        </w:rPr>
        <w:t>Table 5</w:t>
      </w:r>
      <w:r w:rsidR="004D6124" w:rsidRPr="00C01EBA">
        <w:fldChar w:fldCharType="end"/>
      </w:r>
      <w:r w:rsidRPr="004070BC">
        <w:rPr>
          <w:rStyle w:val="ECCParagraph"/>
        </w:rPr>
        <w:t xml:space="preserve"> below</w:t>
      </w:r>
      <w:r w:rsidR="0020609E">
        <w:rPr>
          <w:rStyle w:val="ECCParagraph"/>
        </w:rPr>
        <w:t xml:space="preserve"> for two cases: (1) the three uppermost LTE channels in use; and (2) the two uppermost LTE channels in use</w:t>
      </w:r>
      <w:r w:rsidRPr="004070BC">
        <w:rPr>
          <w:rStyle w:val="ECCParagraph"/>
        </w:rPr>
        <w:t>.</w:t>
      </w:r>
    </w:p>
    <w:p w:rsidR="00CB7ABB" w:rsidRPr="00B1234C" w:rsidRDefault="00CB7ABB" w:rsidP="00937847">
      <w:pPr>
        <w:pStyle w:val="Caption"/>
        <w:keepNext/>
        <w:rPr>
          <w:lang w:val="en-GB"/>
        </w:rPr>
      </w:pPr>
      <w:bookmarkStart w:id="43" w:name="_Ref519843936"/>
      <w:r w:rsidRPr="00CF05D2">
        <w:rPr>
          <w:lang w:val="en-GB"/>
        </w:rPr>
        <w:t xml:space="preserve">Table </w:t>
      </w:r>
      <w:r w:rsidRPr="00CF05D2">
        <w:rPr>
          <w:lang w:val="en-GB"/>
        </w:rPr>
        <w:fldChar w:fldCharType="begin"/>
      </w:r>
      <w:r w:rsidRPr="00CB7ABB">
        <w:rPr>
          <w:lang w:val="en-US"/>
        </w:rPr>
        <w:instrText xml:space="preserve"> SEQ Table \* ARABIC </w:instrText>
      </w:r>
      <w:r w:rsidRPr="00CF05D2">
        <w:rPr>
          <w:lang w:val="en-GB"/>
        </w:rPr>
        <w:fldChar w:fldCharType="separate"/>
      </w:r>
      <w:r w:rsidR="00E9777B">
        <w:rPr>
          <w:noProof/>
          <w:lang w:val="en-US"/>
        </w:rPr>
        <w:t>5</w:t>
      </w:r>
      <w:r w:rsidRPr="00CF05D2">
        <w:rPr>
          <w:lang w:val="en-GB"/>
        </w:rPr>
        <w:fldChar w:fldCharType="end"/>
      </w:r>
      <w:bookmarkEnd w:id="43"/>
      <w:r w:rsidR="00D51582" w:rsidRPr="00D51582">
        <w:rPr>
          <w:lang w:val="en-GB"/>
        </w:rPr>
        <w:t>:</w:t>
      </w:r>
      <w:r w:rsidRPr="00CF05D2">
        <w:rPr>
          <w:lang w:val="en-GB"/>
        </w:rPr>
        <w:t xml:space="preserve"> </w:t>
      </w:r>
      <w:r w:rsidRPr="00937847">
        <w:rPr>
          <w:lang w:val="en-GB"/>
        </w:rPr>
        <w:t>Measured</w:t>
      </w:r>
      <w:r w:rsidRPr="00CF05D2">
        <w:rPr>
          <w:lang w:val="en-GB"/>
        </w:rPr>
        <w:t xml:space="preserve"> </w:t>
      </w:r>
      <w:r w:rsidR="005A509E">
        <w:rPr>
          <w:lang w:val="en-GB"/>
        </w:rPr>
        <w:t>blocking performance</w:t>
      </w:r>
      <w:r w:rsidR="00BC23E6" w:rsidRPr="009D39B7">
        <w:rPr>
          <w:lang w:val="en-GB"/>
        </w:rPr>
        <w:t xml:space="preserve"> </w:t>
      </w:r>
      <w:r w:rsidR="00BC23E6" w:rsidRPr="00937847">
        <w:rPr>
          <w:lang w:val="en-US"/>
        </w:rPr>
        <w:t>levels for</w:t>
      </w:r>
      <w:r w:rsidRPr="009D39B7">
        <w:rPr>
          <w:lang w:val="en-GB"/>
        </w:rPr>
        <w:t xml:space="preserve"> </w:t>
      </w:r>
      <w:r w:rsidRPr="00CF05D2">
        <w:rPr>
          <w:lang w:val="en-GB"/>
        </w:rPr>
        <w:t>Classic Aero (AES E) (most susceptible AES) from multiple LTE channel</w:t>
      </w:r>
      <w:r w:rsidR="004D6124" w:rsidRPr="00CF05D2">
        <w:rPr>
          <w:lang w:val="en-GB"/>
        </w:rPr>
        <w:t>s</w:t>
      </w:r>
    </w:p>
    <w:tbl>
      <w:tblPr>
        <w:tblStyle w:val="ECCTable-redheader"/>
        <w:tblW w:w="8359" w:type="dxa"/>
        <w:tblInd w:w="0" w:type="dxa"/>
        <w:tblLook w:val="04A0" w:firstRow="1" w:lastRow="0" w:firstColumn="1" w:lastColumn="0" w:noHBand="0" w:noVBand="1"/>
      </w:tblPr>
      <w:tblGrid>
        <w:gridCol w:w="754"/>
        <w:gridCol w:w="2502"/>
        <w:gridCol w:w="2551"/>
        <w:gridCol w:w="2552"/>
      </w:tblGrid>
      <w:tr w:rsidR="00B1234C" w:rsidRPr="000C12B3" w:rsidTr="009D39B7">
        <w:trPr>
          <w:cnfStyle w:val="100000000000" w:firstRow="1" w:lastRow="0" w:firstColumn="0" w:lastColumn="0" w:oddVBand="0" w:evenVBand="0" w:oddHBand="0" w:evenHBand="0" w:firstRowFirstColumn="0" w:firstRowLastColumn="0" w:lastRowFirstColumn="0" w:lastRowLastColumn="0"/>
          <w:trHeight w:val="1035"/>
        </w:trPr>
        <w:tc>
          <w:tcPr>
            <w:tcW w:w="754" w:type="dxa"/>
          </w:tcPr>
          <w:p w:rsidR="0020609E" w:rsidRDefault="0020609E" w:rsidP="00CF05D2">
            <w:pPr>
              <w:pStyle w:val="ECCTableHeaderwhitefont"/>
            </w:pPr>
            <w:r>
              <w:t>Case</w:t>
            </w:r>
          </w:p>
        </w:tc>
        <w:tc>
          <w:tcPr>
            <w:tcW w:w="2502" w:type="dxa"/>
            <w:hideMark/>
          </w:tcPr>
          <w:p w:rsidR="001066A9" w:rsidRPr="00937847" w:rsidRDefault="001066A9">
            <w:pPr>
              <w:pStyle w:val="ECCTableHeaderwhitefont"/>
            </w:pPr>
            <w:r w:rsidRPr="001066A9">
              <w:t xml:space="preserve">Measured blocking </w:t>
            </w:r>
            <w:r w:rsidR="00D27E03" w:rsidRPr="009D39B7">
              <w:t>performance</w:t>
            </w:r>
            <w:r w:rsidRPr="001066A9">
              <w:t xml:space="preserve"> from LTE channel at 1492</w:t>
            </w:r>
            <w:r w:rsidRPr="00D51582">
              <w:t>-</w:t>
            </w:r>
            <w:r w:rsidRPr="001066A9">
              <w:t>1502 MHz (dBm)</w:t>
            </w:r>
          </w:p>
        </w:tc>
        <w:tc>
          <w:tcPr>
            <w:tcW w:w="2551" w:type="dxa"/>
            <w:hideMark/>
          </w:tcPr>
          <w:p w:rsidR="001066A9" w:rsidRPr="009D39B7" w:rsidRDefault="001066A9" w:rsidP="00CF05D2">
            <w:pPr>
              <w:pStyle w:val="ECCTableHeaderwhitefont"/>
            </w:pPr>
            <w:r w:rsidRPr="009D39B7">
              <w:t xml:space="preserve">Measured blocking </w:t>
            </w:r>
            <w:r w:rsidR="00D27E03" w:rsidRPr="009D39B7">
              <w:t>performance</w:t>
            </w:r>
            <w:r w:rsidRPr="009D39B7">
              <w:t xml:space="preserve"> from LTE channel at 1502</w:t>
            </w:r>
            <w:r w:rsidR="00496087" w:rsidRPr="009D39B7">
              <w:t>-</w:t>
            </w:r>
            <w:r w:rsidRPr="009D39B7">
              <w:t>1512 MHz (dBm)</w:t>
            </w:r>
          </w:p>
        </w:tc>
        <w:tc>
          <w:tcPr>
            <w:tcW w:w="2552" w:type="dxa"/>
            <w:hideMark/>
          </w:tcPr>
          <w:p w:rsidR="001066A9" w:rsidRPr="009D39B7" w:rsidRDefault="001066A9" w:rsidP="00CF05D2">
            <w:pPr>
              <w:pStyle w:val="ECCTableHeaderwhitefont"/>
            </w:pPr>
            <w:r w:rsidRPr="009D39B7">
              <w:t xml:space="preserve">Measured blocking </w:t>
            </w:r>
            <w:r w:rsidR="00D27E03" w:rsidRPr="009D39B7">
              <w:t>performance</w:t>
            </w:r>
            <w:r w:rsidR="00D27E03" w:rsidRPr="009D39B7" w:rsidDel="00D27E03">
              <w:t xml:space="preserve"> </w:t>
            </w:r>
            <w:r w:rsidRPr="009D39B7">
              <w:t>from LTE channel at 1512</w:t>
            </w:r>
            <w:r w:rsidR="00496087" w:rsidRPr="009D39B7">
              <w:t>-</w:t>
            </w:r>
            <w:r w:rsidRPr="009D39B7">
              <w:t>1517 MHz (dBm)</w:t>
            </w:r>
          </w:p>
        </w:tc>
      </w:tr>
      <w:tr w:rsidR="00CC2AF4" w:rsidRPr="000C12B3" w:rsidTr="009D39B7">
        <w:trPr>
          <w:trHeight w:val="255"/>
        </w:trPr>
        <w:tc>
          <w:tcPr>
            <w:tcW w:w="754" w:type="dxa"/>
          </w:tcPr>
          <w:p w:rsidR="0020609E" w:rsidRDefault="0020609E" w:rsidP="00532D5C">
            <w:pPr>
              <w:pStyle w:val="ECCTabletext"/>
            </w:pPr>
            <w:r>
              <w:t>(1)</w:t>
            </w:r>
          </w:p>
        </w:tc>
        <w:tc>
          <w:tcPr>
            <w:tcW w:w="2502" w:type="dxa"/>
            <w:noWrap/>
            <w:hideMark/>
          </w:tcPr>
          <w:p w:rsidR="001066A9" w:rsidRPr="001066A9" w:rsidRDefault="001066A9" w:rsidP="00532D5C">
            <w:pPr>
              <w:pStyle w:val="ECCTabletext"/>
            </w:pPr>
            <w:r w:rsidRPr="001066A9">
              <w:t>-48.4</w:t>
            </w:r>
          </w:p>
        </w:tc>
        <w:tc>
          <w:tcPr>
            <w:tcW w:w="2551" w:type="dxa"/>
            <w:noWrap/>
            <w:hideMark/>
          </w:tcPr>
          <w:p w:rsidR="001066A9" w:rsidRPr="009D39B7" w:rsidRDefault="001066A9" w:rsidP="00532D5C">
            <w:pPr>
              <w:pStyle w:val="ECCTabletext"/>
            </w:pPr>
            <w:r w:rsidRPr="009D39B7">
              <w:t>-48.4</w:t>
            </w:r>
          </w:p>
        </w:tc>
        <w:tc>
          <w:tcPr>
            <w:tcW w:w="2552" w:type="dxa"/>
            <w:noWrap/>
            <w:hideMark/>
          </w:tcPr>
          <w:p w:rsidR="001066A9" w:rsidRPr="009D39B7" w:rsidRDefault="001066A9" w:rsidP="00532D5C">
            <w:pPr>
              <w:pStyle w:val="ECCTabletext"/>
            </w:pPr>
            <w:r w:rsidRPr="009D39B7">
              <w:t>-55.5</w:t>
            </w:r>
          </w:p>
        </w:tc>
      </w:tr>
      <w:tr w:rsidR="00CC2AF4" w:rsidRPr="000C12B3" w:rsidTr="009D39B7">
        <w:trPr>
          <w:trHeight w:val="255"/>
        </w:trPr>
        <w:tc>
          <w:tcPr>
            <w:tcW w:w="754" w:type="dxa"/>
          </w:tcPr>
          <w:p w:rsidR="0020609E" w:rsidRDefault="0020609E" w:rsidP="00532D5C">
            <w:pPr>
              <w:pStyle w:val="ECCTabletext"/>
            </w:pPr>
            <w:r>
              <w:t>(2)</w:t>
            </w:r>
          </w:p>
        </w:tc>
        <w:tc>
          <w:tcPr>
            <w:tcW w:w="2502" w:type="dxa"/>
            <w:noWrap/>
            <w:hideMark/>
          </w:tcPr>
          <w:p w:rsidR="00610BF8" w:rsidRPr="001066A9" w:rsidRDefault="00937847" w:rsidP="00532D5C">
            <w:pPr>
              <w:pStyle w:val="ECCTabletext"/>
            </w:pPr>
            <w:r>
              <w:t>Not tested</w:t>
            </w:r>
            <w:r w:rsidR="008B5F63">
              <w:t>*</w:t>
            </w:r>
          </w:p>
        </w:tc>
        <w:tc>
          <w:tcPr>
            <w:tcW w:w="2551" w:type="dxa"/>
            <w:noWrap/>
            <w:hideMark/>
          </w:tcPr>
          <w:p w:rsidR="001066A9" w:rsidRPr="009D39B7" w:rsidRDefault="001066A9" w:rsidP="00532D5C">
            <w:pPr>
              <w:pStyle w:val="ECCTabletext"/>
            </w:pPr>
            <w:r w:rsidRPr="009D39B7">
              <w:t>-45.6</w:t>
            </w:r>
          </w:p>
        </w:tc>
        <w:tc>
          <w:tcPr>
            <w:tcW w:w="2552" w:type="dxa"/>
            <w:noWrap/>
            <w:hideMark/>
          </w:tcPr>
          <w:p w:rsidR="001066A9" w:rsidRPr="009D39B7" w:rsidRDefault="001066A9" w:rsidP="00532D5C">
            <w:pPr>
              <w:pStyle w:val="ECCTabletext"/>
            </w:pPr>
            <w:r w:rsidRPr="009D39B7">
              <w:t>-55.5</w:t>
            </w:r>
          </w:p>
        </w:tc>
      </w:tr>
      <w:tr w:rsidR="008B5F63" w:rsidRPr="000C12B3" w:rsidTr="008B5F63">
        <w:trPr>
          <w:trHeight w:val="255"/>
        </w:trPr>
        <w:tc>
          <w:tcPr>
            <w:tcW w:w="8359" w:type="dxa"/>
            <w:gridSpan w:val="4"/>
          </w:tcPr>
          <w:p w:rsidR="008B5F63" w:rsidRPr="00E25286" w:rsidRDefault="008B5F63" w:rsidP="008B5F63">
            <w:pPr>
              <w:pStyle w:val="ECCTablenote"/>
            </w:pPr>
            <w:r>
              <w:t>* F</w:t>
            </w:r>
            <w:r w:rsidRPr="00E25286">
              <w:t>or case (2), there was no signal generated in the channel 1492-1502 MHz.</w:t>
            </w:r>
          </w:p>
        </w:tc>
      </w:tr>
    </w:tbl>
    <w:p w:rsidR="00715167" w:rsidRPr="00CF05D2" w:rsidRDefault="005A509E" w:rsidP="00715167">
      <w:pPr>
        <w:pStyle w:val="Heading2"/>
        <w:rPr>
          <w:lang w:val="en-GB"/>
        </w:rPr>
      </w:pPr>
      <w:bookmarkStart w:id="44" w:name="_Toc524356703"/>
      <w:bookmarkStart w:id="45" w:name="_Toc524360604"/>
      <w:bookmarkStart w:id="46" w:name="_Toc524361066"/>
      <w:bookmarkStart w:id="47" w:name="_Toc524361158"/>
      <w:bookmarkStart w:id="48" w:name="_Toc524356704"/>
      <w:bookmarkStart w:id="49" w:name="_Toc524360605"/>
      <w:bookmarkStart w:id="50" w:name="_Toc524361067"/>
      <w:bookmarkStart w:id="51" w:name="_Toc524361159"/>
      <w:bookmarkStart w:id="52" w:name="_Toc524356712"/>
      <w:bookmarkStart w:id="53" w:name="_Toc524360613"/>
      <w:bookmarkStart w:id="54" w:name="_Toc524361075"/>
      <w:bookmarkStart w:id="55" w:name="_Toc524361167"/>
      <w:bookmarkStart w:id="56" w:name="_Toc524356713"/>
      <w:bookmarkStart w:id="57" w:name="_Toc524360614"/>
      <w:bookmarkStart w:id="58" w:name="_Toc524361076"/>
      <w:bookmarkStart w:id="59" w:name="_Toc524361168"/>
      <w:bookmarkStart w:id="60" w:name="_Toc524356714"/>
      <w:bookmarkStart w:id="61" w:name="_Toc524360615"/>
      <w:bookmarkStart w:id="62" w:name="_Toc524361077"/>
      <w:bookmarkStart w:id="63" w:name="_Toc524361169"/>
      <w:bookmarkStart w:id="64" w:name="_Ref525118792"/>
      <w:bookmarkStart w:id="65" w:name="_Toc525544408"/>
      <w:bookmarkStart w:id="66" w:name="_Toc3285879"/>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lang w:val="en-US"/>
        </w:rPr>
        <w:t>Blocking performance</w:t>
      </w:r>
      <w:r w:rsidR="00C01DFE" w:rsidRPr="00212A05">
        <w:rPr>
          <w:lang w:val="en-US"/>
        </w:rPr>
        <w:t xml:space="preserve"> Levels for </w:t>
      </w:r>
      <w:bookmarkStart w:id="67" w:name="_Toc528659170"/>
      <w:r w:rsidR="00CC66E6" w:rsidRPr="00CF05D2">
        <w:rPr>
          <w:lang w:val="en-GB"/>
        </w:rPr>
        <w:t>C</w:t>
      </w:r>
      <w:r w:rsidR="00AE469E" w:rsidRPr="00CF05D2">
        <w:rPr>
          <w:lang w:val="en-GB"/>
        </w:rPr>
        <w:t>urrent maritime MES terminals</w:t>
      </w:r>
      <w:bookmarkEnd w:id="64"/>
      <w:bookmarkEnd w:id="65"/>
      <w:bookmarkEnd w:id="66"/>
    </w:p>
    <w:p w:rsidR="00F50DF2" w:rsidRPr="00CF05D2" w:rsidRDefault="005A509E" w:rsidP="00F50DF2">
      <w:pPr>
        <w:pStyle w:val="Heading3"/>
        <w:rPr>
          <w:lang w:val="en-GB"/>
        </w:rPr>
      </w:pPr>
      <w:bookmarkStart w:id="68" w:name="_Toc525544409"/>
      <w:bookmarkStart w:id="69" w:name="_Toc3285880"/>
      <w:r>
        <w:rPr>
          <w:lang w:val="en-GB"/>
        </w:rPr>
        <w:t>Blocking performance</w:t>
      </w:r>
      <w:r w:rsidR="009E728F" w:rsidRPr="009D39B7">
        <w:t xml:space="preserve"> </w:t>
      </w:r>
      <w:r w:rsidR="00F50DF2" w:rsidRPr="00CF05D2">
        <w:rPr>
          <w:lang w:val="en-GB"/>
        </w:rPr>
        <w:t>results</w:t>
      </w:r>
      <w:bookmarkStart w:id="70" w:name="_Toc528659171"/>
      <w:bookmarkEnd w:id="67"/>
      <w:r w:rsidR="00F50DF2" w:rsidRPr="00CF05D2">
        <w:rPr>
          <w:lang w:val="en-GB"/>
        </w:rPr>
        <w:t xml:space="preserve"> from a single LTE channel transmission</w:t>
      </w:r>
      <w:bookmarkEnd w:id="68"/>
      <w:bookmarkEnd w:id="70"/>
      <w:bookmarkEnd w:id="69"/>
      <w:r w:rsidR="00F50DF2" w:rsidRPr="00CF05D2">
        <w:rPr>
          <w:lang w:val="en-GB"/>
        </w:rPr>
        <w:t xml:space="preserve"> </w:t>
      </w:r>
    </w:p>
    <w:p w:rsidR="00F50DF2" w:rsidRPr="004070BC" w:rsidRDefault="00F50DF2" w:rsidP="00F50DF2">
      <w:pPr>
        <w:rPr>
          <w:rStyle w:val="ECCParagraph"/>
        </w:rPr>
      </w:pPr>
      <w:r w:rsidRPr="004070BC">
        <w:rPr>
          <w:rStyle w:val="ECCParagraph"/>
        </w:rPr>
        <w:t>Three different models of Inmarsat</w:t>
      </w:r>
      <w:r w:rsidR="005050EC" w:rsidRPr="005050EC">
        <w:t> </w:t>
      </w:r>
      <w:r w:rsidRPr="004070BC">
        <w:rPr>
          <w:rStyle w:val="ECCParagraph"/>
        </w:rPr>
        <w:t xml:space="preserve">C and </w:t>
      </w:r>
      <w:r w:rsidR="002B4949" w:rsidRPr="004070BC">
        <w:rPr>
          <w:rStyle w:val="ECCParagraph"/>
        </w:rPr>
        <w:t>Fleet Broadband (FB)</w:t>
      </w:r>
      <w:r w:rsidRPr="004070BC">
        <w:rPr>
          <w:rStyle w:val="ECCParagraph"/>
        </w:rPr>
        <w:t xml:space="preserve"> have been measured against a single 5 MHz LTE channel at </w:t>
      </w:r>
      <w:r w:rsidR="00702F7C">
        <w:rPr>
          <w:rStyle w:val="ECCParagraph"/>
        </w:rPr>
        <w:t>various LTE centre frequencies be</w:t>
      </w:r>
      <w:r w:rsidR="00E5295C">
        <w:rPr>
          <w:rStyle w:val="ECCParagraph"/>
        </w:rPr>
        <w:t>tween</w:t>
      </w:r>
      <w:r w:rsidR="00702F7C" w:rsidRPr="004070BC">
        <w:rPr>
          <w:rStyle w:val="ECCParagraph"/>
        </w:rPr>
        <w:t xml:space="preserve"> </w:t>
      </w:r>
      <w:r w:rsidRPr="004070BC">
        <w:rPr>
          <w:rStyle w:val="ECCParagraph"/>
        </w:rPr>
        <w:t>1512</w:t>
      </w:r>
      <w:r w:rsidR="00E5295C">
        <w:rPr>
          <w:rStyle w:val="ECCParagraph"/>
        </w:rPr>
        <w:t xml:space="preserve"> and</w:t>
      </w:r>
      <w:r w:rsidR="00FE7F74">
        <w:rPr>
          <w:rStyle w:val="ECCParagraph"/>
        </w:rPr>
        <w:t xml:space="preserve"> </w:t>
      </w:r>
      <w:r w:rsidRPr="004070BC">
        <w:rPr>
          <w:rStyle w:val="ECCParagraph"/>
        </w:rPr>
        <w:t>1517</w:t>
      </w:r>
      <w:r w:rsidR="00325B09" w:rsidRPr="004070BC">
        <w:rPr>
          <w:rStyle w:val="ECCParagraph"/>
        </w:rPr>
        <w:t> </w:t>
      </w:r>
      <w:r w:rsidRPr="004070BC">
        <w:rPr>
          <w:rStyle w:val="ECCParagraph"/>
        </w:rPr>
        <w:t xml:space="preserve">MHz, and the results are presented in </w:t>
      </w:r>
      <w:r w:rsidR="00B92A44" w:rsidRPr="009D39B7">
        <w:rPr>
          <w:rStyle w:val="ECCParagraph"/>
        </w:rPr>
        <w:fldChar w:fldCharType="begin"/>
      </w:r>
      <w:r w:rsidR="00B92A44" w:rsidRPr="004070BC">
        <w:rPr>
          <w:rStyle w:val="ECCParagraph"/>
        </w:rPr>
        <w:instrText xml:space="preserve"> REF _Ref519844113 \h </w:instrText>
      </w:r>
      <w:r w:rsidR="004070BC">
        <w:rPr>
          <w:rStyle w:val="ECCParagraph"/>
        </w:rPr>
        <w:instrText xml:space="preserve"> \* MERGEFORMAT </w:instrText>
      </w:r>
      <w:r w:rsidR="00B92A44" w:rsidRPr="009D39B7">
        <w:rPr>
          <w:rStyle w:val="ECCParagraph"/>
        </w:rPr>
      </w:r>
      <w:r w:rsidR="00B92A44" w:rsidRPr="009D39B7">
        <w:rPr>
          <w:rStyle w:val="ECCParagraph"/>
        </w:rPr>
        <w:fldChar w:fldCharType="separate"/>
      </w:r>
      <w:r w:rsidR="00E9777B" w:rsidRPr="009D39B7">
        <w:rPr>
          <w:rStyle w:val="ECCParagraph"/>
        </w:rPr>
        <w:t xml:space="preserve">Table </w:t>
      </w:r>
      <w:r w:rsidR="00E9777B">
        <w:rPr>
          <w:noProof/>
          <w:lang w:val="en-US"/>
        </w:rPr>
        <w:t>6</w:t>
      </w:r>
      <w:r w:rsidR="00B92A44" w:rsidRPr="009D39B7">
        <w:rPr>
          <w:rStyle w:val="ECCParagraph"/>
        </w:rPr>
        <w:fldChar w:fldCharType="end"/>
      </w:r>
      <w:r w:rsidRPr="004070BC">
        <w:rPr>
          <w:rStyle w:val="ECCParagraph"/>
        </w:rPr>
        <w:t xml:space="preserve"> below. Also presented are the approximate number and the year of production of each model, and the frequency at which the blocking </w:t>
      </w:r>
      <w:r w:rsidR="00042218">
        <w:rPr>
          <w:rStyle w:val="ECCParagraph"/>
        </w:rPr>
        <w:t>test</w:t>
      </w:r>
      <w:r w:rsidRPr="004070BC">
        <w:rPr>
          <w:rStyle w:val="ECCParagraph"/>
        </w:rPr>
        <w:t xml:space="preserve"> was </w:t>
      </w:r>
      <w:r w:rsidR="00C038FA">
        <w:rPr>
          <w:rStyle w:val="ECCParagraph"/>
        </w:rPr>
        <w:t>carried out</w:t>
      </w:r>
      <w:r w:rsidRPr="004070BC">
        <w:rPr>
          <w:rStyle w:val="ECCParagraph"/>
        </w:rPr>
        <w:t>.</w:t>
      </w:r>
    </w:p>
    <w:p w:rsidR="00907506" w:rsidRPr="00CF05D2" w:rsidRDefault="00907506" w:rsidP="00CA18B5">
      <w:pPr>
        <w:pStyle w:val="Caption"/>
        <w:keepNext/>
        <w:rPr>
          <w:lang w:val="en-GB"/>
        </w:rPr>
      </w:pPr>
      <w:bookmarkStart w:id="71" w:name="_Ref519844113"/>
      <w:r w:rsidRPr="00CF05D2">
        <w:rPr>
          <w:lang w:val="en-GB"/>
        </w:rPr>
        <w:lastRenderedPageBreak/>
        <w:t xml:space="preserve">Table </w:t>
      </w:r>
      <w:r w:rsidRPr="00CF05D2">
        <w:rPr>
          <w:lang w:val="en-GB"/>
        </w:rPr>
        <w:fldChar w:fldCharType="begin"/>
      </w:r>
      <w:r w:rsidRPr="00907506">
        <w:rPr>
          <w:lang w:val="en-US"/>
        </w:rPr>
        <w:instrText xml:space="preserve"> SEQ Table \* ARABIC </w:instrText>
      </w:r>
      <w:r w:rsidRPr="00CF05D2">
        <w:rPr>
          <w:lang w:val="en-GB"/>
        </w:rPr>
        <w:fldChar w:fldCharType="separate"/>
      </w:r>
      <w:r w:rsidR="00E9777B">
        <w:rPr>
          <w:noProof/>
          <w:lang w:val="en-US"/>
        </w:rPr>
        <w:t>6</w:t>
      </w:r>
      <w:r w:rsidRPr="00CF05D2">
        <w:rPr>
          <w:lang w:val="en-GB"/>
        </w:rPr>
        <w:fldChar w:fldCharType="end"/>
      </w:r>
      <w:bookmarkEnd w:id="71"/>
      <w:r w:rsidR="00D51582" w:rsidRPr="00D51582">
        <w:rPr>
          <w:lang w:val="en-GB"/>
        </w:rPr>
        <w:t>:</w:t>
      </w:r>
      <w:r w:rsidRPr="00CF05D2">
        <w:rPr>
          <w:lang w:val="en-GB"/>
        </w:rPr>
        <w:t xml:space="preserve"> Measured </w:t>
      </w:r>
      <w:r w:rsidR="005A509E">
        <w:rPr>
          <w:lang w:val="en-GB"/>
        </w:rPr>
        <w:t>blocking performance</w:t>
      </w:r>
      <w:r w:rsidR="009E728F" w:rsidRPr="009D39B7">
        <w:rPr>
          <w:lang w:val="en-US"/>
        </w:rPr>
        <w:t xml:space="preserve"> </w:t>
      </w:r>
      <w:r w:rsidR="009E728F" w:rsidRPr="00937847">
        <w:rPr>
          <w:lang w:val="en-US"/>
        </w:rPr>
        <w:t>levels for</w:t>
      </w:r>
      <w:r w:rsidRPr="009D39B7">
        <w:rPr>
          <w:lang w:val="en-US"/>
        </w:rPr>
        <w:t xml:space="preserve"> </w:t>
      </w:r>
      <w:r w:rsidRPr="00CF05D2">
        <w:rPr>
          <w:lang w:val="en-GB"/>
        </w:rPr>
        <w:t>models of current Inmarsat</w:t>
      </w:r>
      <w:r w:rsidR="005050EC" w:rsidRPr="00937847">
        <w:rPr>
          <w:lang w:val="en-US"/>
        </w:rPr>
        <w:t> </w:t>
      </w:r>
      <w:r w:rsidRPr="00CF05D2">
        <w:rPr>
          <w:lang w:val="en-GB"/>
        </w:rPr>
        <w:t>C and FB maritime terminals from a single LTE channel</w:t>
      </w:r>
    </w:p>
    <w:tbl>
      <w:tblPr>
        <w:tblStyle w:val="ECCTable-redheader"/>
        <w:tblW w:w="0" w:type="auto"/>
        <w:tblInd w:w="0" w:type="dxa"/>
        <w:tblLayout w:type="fixed"/>
        <w:tblLook w:val="04A0" w:firstRow="1" w:lastRow="0" w:firstColumn="1" w:lastColumn="0" w:noHBand="0" w:noVBand="1"/>
      </w:tblPr>
      <w:tblGrid>
        <w:gridCol w:w="1418"/>
        <w:gridCol w:w="1574"/>
        <w:gridCol w:w="2034"/>
        <w:gridCol w:w="1612"/>
        <w:gridCol w:w="1527"/>
        <w:gridCol w:w="1298"/>
      </w:tblGrid>
      <w:tr w:rsidR="00CA18B5" w:rsidRPr="00F50DF2" w:rsidTr="00B53044">
        <w:trPr>
          <w:cnfStyle w:val="100000000000" w:firstRow="1" w:lastRow="0" w:firstColumn="0" w:lastColumn="0" w:oddVBand="0" w:evenVBand="0" w:oddHBand="0" w:evenHBand="0" w:firstRowFirstColumn="0" w:firstRowLastColumn="0" w:lastRowFirstColumn="0" w:lastRowLastColumn="0"/>
          <w:trHeight w:val="336"/>
        </w:trPr>
        <w:tc>
          <w:tcPr>
            <w:tcW w:w="1418" w:type="dxa"/>
            <w:hideMark/>
          </w:tcPr>
          <w:p w:rsidR="00F50DF2" w:rsidRPr="00F50DF2" w:rsidRDefault="00F50DF2" w:rsidP="00532D5C">
            <w:pPr>
              <w:pStyle w:val="ECCTableHeaderwhitefont"/>
              <w:keepNext/>
              <w:keepLines/>
              <w:spacing w:before="60" w:after="60"/>
            </w:pPr>
            <w:r w:rsidRPr="00F50DF2">
              <w:t>Terminal type</w:t>
            </w:r>
          </w:p>
        </w:tc>
        <w:tc>
          <w:tcPr>
            <w:tcW w:w="1574" w:type="dxa"/>
            <w:hideMark/>
          </w:tcPr>
          <w:p w:rsidR="00B53044" w:rsidRDefault="00F50DF2" w:rsidP="00532D5C">
            <w:pPr>
              <w:pStyle w:val="ECCTableHeaderwhitefont"/>
              <w:keepNext/>
              <w:keepLines/>
              <w:spacing w:before="60" w:after="60"/>
            </w:pPr>
            <w:r w:rsidRPr="00F50DF2">
              <w:t xml:space="preserve">Measured </w:t>
            </w:r>
            <w:r w:rsidR="005A509E">
              <w:t>blocking performance</w:t>
            </w:r>
            <w:r w:rsidR="009E728F">
              <w:t xml:space="preserve"> </w:t>
            </w:r>
            <w:r w:rsidRPr="00F50DF2">
              <w:t xml:space="preserve"> </w:t>
            </w:r>
          </w:p>
          <w:p w:rsidR="00F50DF2" w:rsidRPr="00F50DF2" w:rsidRDefault="00F50DF2" w:rsidP="00532D5C">
            <w:pPr>
              <w:pStyle w:val="ECCTableHeaderwhitefont"/>
              <w:keepNext/>
              <w:keepLines/>
              <w:spacing w:before="60" w:after="60"/>
            </w:pPr>
            <w:r w:rsidRPr="00F50DF2">
              <w:t>(dBm)</w:t>
            </w:r>
          </w:p>
        </w:tc>
        <w:tc>
          <w:tcPr>
            <w:tcW w:w="2034" w:type="dxa"/>
            <w:hideMark/>
          </w:tcPr>
          <w:p w:rsidR="00F50DF2" w:rsidRPr="00F50DF2" w:rsidRDefault="00F50DF2" w:rsidP="00532D5C">
            <w:pPr>
              <w:pStyle w:val="ECCTableHeaderwhitefont"/>
              <w:keepNext/>
              <w:keepLines/>
              <w:spacing w:before="60" w:after="60"/>
            </w:pPr>
            <w:r w:rsidRPr="00F50DF2">
              <w:t>Appx. Numbers of terminals</w:t>
            </w:r>
          </w:p>
        </w:tc>
        <w:tc>
          <w:tcPr>
            <w:tcW w:w="1612" w:type="dxa"/>
            <w:hideMark/>
          </w:tcPr>
          <w:p w:rsidR="00F50DF2" w:rsidRPr="00F50DF2" w:rsidRDefault="00F50DF2" w:rsidP="00532D5C">
            <w:pPr>
              <w:pStyle w:val="ECCTableHeaderwhitefont"/>
              <w:keepNext/>
              <w:keepLines/>
              <w:spacing w:before="60" w:after="60"/>
            </w:pPr>
            <w:r w:rsidRPr="00F50DF2">
              <w:t>% models within type</w:t>
            </w:r>
          </w:p>
        </w:tc>
        <w:tc>
          <w:tcPr>
            <w:tcW w:w="1527" w:type="dxa"/>
            <w:hideMark/>
          </w:tcPr>
          <w:p w:rsidR="00F50DF2" w:rsidRPr="00F50DF2" w:rsidRDefault="00F50DF2" w:rsidP="00532D5C">
            <w:pPr>
              <w:pStyle w:val="ECCTableHeaderwhitefont"/>
              <w:keepNext/>
              <w:keepLines/>
              <w:spacing w:before="60" w:after="60"/>
            </w:pPr>
            <w:r w:rsidRPr="00F50DF2">
              <w:t>Production Year</w:t>
            </w:r>
          </w:p>
        </w:tc>
        <w:tc>
          <w:tcPr>
            <w:tcW w:w="1298" w:type="dxa"/>
          </w:tcPr>
          <w:p w:rsidR="00F50DF2" w:rsidRPr="00F50DF2" w:rsidRDefault="00F50DF2" w:rsidP="00532D5C">
            <w:pPr>
              <w:pStyle w:val="ECCTableHeaderwhitefont"/>
              <w:keepNext/>
              <w:keepLines/>
              <w:spacing w:before="60" w:after="60"/>
            </w:pPr>
            <w:r w:rsidRPr="00F50DF2">
              <w:t xml:space="preserve">Wanted carrier test </w:t>
            </w:r>
            <w:r w:rsidR="00B53044">
              <w:t>f</w:t>
            </w:r>
            <w:r w:rsidRPr="00F50DF2">
              <w:t>requency (MHz)</w:t>
            </w:r>
          </w:p>
        </w:tc>
      </w:tr>
      <w:tr w:rsidR="00B1234C" w:rsidRPr="00F50DF2" w:rsidTr="009D39B7">
        <w:trPr>
          <w:trHeight w:val="336"/>
        </w:trPr>
        <w:tc>
          <w:tcPr>
            <w:tcW w:w="1418" w:type="dxa"/>
            <w:hideMark/>
          </w:tcPr>
          <w:p w:rsidR="00F50DF2" w:rsidRPr="00F50DF2" w:rsidRDefault="00F50DF2" w:rsidP="00532D5C">
            <w:pPr>
              <w:pStyle w:val="ECCTabletext"/>
              <w:keepNext/>
              <w:keepLines/>
            </w:pPr>
            <w:r w:rsidRPr="00F50DF2">
              <w:t>Inmarsat</w:t>
            </w:r>
            <w:r w:rsidR="005050EC" w:rsidRPr="005050EC">
              <w:t> </w:t>
            </w:r>
            <w:r w:rsidRPr="00F50DF2">
              <w:t>C Model</w:t>
            </w:r>
            <w:r w:rsidR="00532D5C">
              <w:t xml:space="preserve"> </w:t>
            </w:r>
            <w:r w:rsidRPr="00F50DF2">
              <w:t>1</w:t>
            </w:r>
          </w:p>
        </w:tc>
        <w:tc>
          <w:tcPr>
            <w:tcW w:w="1574" w:type="dxa"/>
            <w:hideMark/>
          </w:tcPr>
          <w:p w:rsidR="00F50DF2" w:rsidRPr="00F50DF2" w:rsidRDefault="00F50DF2" w:rsidP="00532D5C">
            <w:pPr>
              <w:pStyle w:val="ECCTabletext"/>
              <w:keepNext/>
              <w:keepLines/>
            </w:pPr>
            <w:r w:rsidRPr="00F50DF2">
              <w:t>-76 to -71</w:t>
            </w:r>
          </w:p>
        </w:tc>
        <w:tc>
          <w:tcPr>
            <w:tcW w:w="2034" w:type="dxa"/>
            <w:hideMark/>
          </w:tcPr>
          <w:p w:rsidR="00F50DF2" w:rsidRPr="00F50DF2" w:rsidRDefault="00F50DF2" w:rsidP="00532D5C">
            <w:pPr>
              <w:pStyle w:val="ECCTabletext"/>
              <w:keepNext/>
              <w:keepLines/>
            </w:pPr>
            <w:r w:rsidRPr="00F50DF2">
              <w:t>59000</w:t>
            </w:r>
          </w:p>
        </w:tc>
        <w:tc>
          <w:tcPr>
            <w:tcW w:w="1612" w:type="dxa"/>
            <w:hideMark/>
          </w:tcPr>
          <w:p w:rsidR="00F50DF2" w:rsidRPr="00F50DF2" w:rsidRDefault="00F50DF2" w:rsidP="00532D5C">
            <w:pPr>
              <w:pStyle w:val="ECCTabletext"/>
              <w:keepNext/>
              <w:keepLines/>
            </w:pPr>
            <w:r w:rsidRPr="00F50DF2">
              <w:t>37%</w:t>
            </w:r>
          </w:p>
        </w:tc>
        <w:tc>
          <w:tcPr>
            <w:tcW w:w="1527" w:type="dxa"/>
            <w:hideMark/>
          </w:tcPr>
          <w:p w:rsidR="00F50DF2" w:rsidRPr="00F50DF2" w:rsidRDefault="009B0F2A" w:rsidP="00532D5C">
            <w:pPr>
              <w:pStyle w:val="ECCTabletext"/>
              <w:keepNext/>
              <w:keepLines/>
            </w:pPr>
            <w:r>
              <w:t>1995–</w:t>
            </w:r>
            <w:r w:rsidR="00F50DF2" w:rsidRPr="00F50DF2">
              <w:t>2005</w:t>
            </w:r>
          </w:p>
        </w:tc>
        <w:tc>
          <w:tcPr>
            <w:tcW w:w="1298" w:type="dxa"/>
          </w:tcPr>
          <w:p w:rsidR="00F50DF2" w:rsidRPr="00F50DF2" w:rsidRDefault="00F50DF2" w:rsidP="00532D5C">
            <w:pPr>
              <w:pStyle w:val="ECCTabletext"/>
              <w:keepNext/>
              <w:keepLines/>
            </w:pPr>
            <w:r w:rsidRPr="00F50DF2">
              <w:t>1537</w:t>
            </w:r>
          </w:p>
        </w:tc>
      </w:tr>
      <w:tr w:rsidR="00B1234C" w:rsidRPr="00F50DF2" w:rsidTr="009D39B7">
        <w:trPr>
          <w:trHeight w:val="300"/>
        </w:trPr>
        <w:tc>
          <w:tcPr>
            <w:tcW w:w="1418" w:type="dxa"/>
            <w:hideMark/>
          </w:tcPr>
          <w:p w:rsidR="00F50DF2" w:rsidRPr="00F50DF2" w:rsidRDefault="00F50DF2" w:rsidP="00532D5C">
            <w:pPr>
              <w:pStyle w:val="ECCTabletext"/>
              <w:keepNext/>
              <w:keepLines/>
            </w:pPr>
            <w:r w:rsidRPr="00F50DF2">
              <w:t>Inmarsat</w:t>
            </w:r>
            <w:r w:rsidR="005050EC" w:rsidRPr="005050EC">
              <w:t> </w:t>
            </w:r>
            <w:r w:rsidRPr="00F50DF2">
              <w:t>C Model</w:t>
            </w:r>
            <w:r w:rsidR="00837D4F">
              <w:t xml:space="preserve"> </w:t>
            </w:r>
            <w:r w:rsidRPr="00F50DF2">
              <w:t>2</w:t>
            </w:r>
          </w:p>
        </w:tc>
        <w:tc>
          <w:tcPr>
            <w:tcW w:w="1574" w:type="dxa"/>
            <w:hideMark/>
          </w:tcPr>
          <w:p w:rsidR="00F50DF2" w:rsidRPr="00F50DF2" w:rsidRDefault="00F50DF2" w:rsidP="00532D5C">
            <w:pPr>
              <w:pStyle w:val="ECCTabletext"/>
              <w:keepNext/>
              <w:keepLines/>
            </w:pPr>
            <w:r w:rsidRPr="00F50DF2">
              <w:t>-63 to -57</w:t>
            </w:r>
          </w:p>
        </w:tc>
        <w:tc>
          <w:tcPr>
            <w:tcW w:w="2034" w:type="dxa"/>
            <w:hideMark/>
          </w:tcPr>
          <w:p w:rsidR="00F50DF2" w:rsidRPr="00F50DF2" w:rsidRDefault="00F50DF2" w:rsidP="00532D5C">
            <w:pPr>
              <w:pStyle w:val="ECCTabletext"/>
              <w:keepNext/>
              <w:keepLines/>
            </w:pPr>
            <w:r w:rsidRPr="00F50DF2">
              <w:t>24000</w:t>
            </w:r>
          </w:p>
        </w:tc>
        <w:tc>
          <w:tcPr>
            <w:tcW w:w="1612" w:type="dxa"/>
            <w:hideMark/>
          </w:tcPr>
          <w:p w:rsidR="00F50DF2" w:rsidRPr="00F50DF2" w:rsidRDefault="00F50DF2" w:rsidP="00532D5C">
            <w:pPr>
              <w:pStyle w:val="ECCTabletext"/>
              <w:keepNext/>
              <w:keepLines/>
            </w:pPr>
            <w:r w:rsidRPr="00F50DF2">
              <w:t>15%</w:t>
            </w:r>
          </w:p>
        </w:tc>
        <w:tc>
          <w:tcPr>
            <w:tcW w:w="1527" w:type="dxa"/>
            <w:hideMark/>
          </w:tcPr>
          <w:p w:rsidR="00F50DF2" w:rsidRPr="00F50DF2" w:rsidRDefault="009B0F2A" w:rsidP="00532D5C">
            <w:pPr>
              <w:pStyle w:val="ECCTabletext"/>
              <w:keepNext/>
              <w:keepLines/>
            </w:pPr>
            <w:r>
              <w:t>1992–</w:t>
            </w:r>
            <w:r w:rsidR="00F50DF2" w:rsidRPr="00F50DF2">
              <w:t>1995</w:t>
            </w:r>
          </w:p>
        </w:tc>
        <w:tc>
          <w:tcPr>
            <w:tcW w:w="1298" w:type="dxa"/>
          </w:tcPr>
          <w:p w:rsidR="00F50DF2" w:rsidRPr="00F50DF2" w:rsidRDefault="00F50DF2" w:rsidP="00532D5C">
            <w:pPr>
              <w:pStyle w:val="ECCTabletext"/>
              <w:keepNext/>
              <w:keepLines/>
            </w:pPr>
            <w:r w:rsidRPr="00F50DF2">
              <w:t>1537</w:t>
            </w:r>
          </w:p>
        </w:tc>
      </w:tr>
      <w:tr w:rsidR="00B1234C" w:rsidRPr="00F50DF2" w:rsidTr="009D39B7">
        <w:trPr>
          <w:trHeight w:val="288"/>
        </w:trPr>
        <w:tc>
          <w:tcPr>
            <w:tcW w:w="1418" w:type="dxa"/>
            <w:hideMark/>
          </w:tcPr>
          <w:p w:rsidR="00F50DF2" w:rsidRPr="00F50DF2" w:rsidRDefault="00F50DF2" w:rsidP="00532D5C">
            <w:pPr>
              <w:pStyle w:val="ECCTabletext"/>
              <w:keepNext/>
              <w:keepLines/>
            </w:pPr>
            <w:r w:rsidRPr="00F50DF2">
              <w:t>Inmarsat</w:t>
            </w:r>
            <w:r w:rsidR="005050EC" w:rsidRPr="005050EC">
              <w:t> </w:t>
            </w:r>
            <w:r w:rsidRPr="00F50DF2">
              <w:t>C Model</w:t>
            </w:r>
            <w:r w:rsidR="00837D4F">
              <w:t xml:space="preserve"> </w:t>
            </w:r>
            <w:r w:rsidRPr="00F50DF2">
              <w:t>3</w:t>
            </w:r>
          </w:p>
        </w:tc>
        <w:tc>
          <w:tcPr>
            <w:tcW w:w="1574" w:type="dxa"/>
            <w:hideMark/>
          </w:tcPr>
          <w:p w:rsidR="00F50DF2" w:rsidRPr="00F50DF2" w:rsidRDefault="00F50DF2" w:rsidP="00532D5C">
            <w:pPr>
              <w:pStyle w:val="ECCTabletext"/>
              <w:keepNext/>
              <w:keepLines/>
            </w:pPr>
            <w:r w:rsidRPr="00F50DF2">
              <w:t>-34 to -30</w:t>
            </w:r>
          </w:p>
        </w:tc>
        <w:tc>
          <w:tcPr>
            <w:tcW w:w="2034" w:type="dxa"/>
            <w:hideMark/>
          </w:tcPr>
          <w:p w:rsidR="00F50DF2" w:rsidRPr="00F50DF2" w:rsidRDefault="00F50DF2" w:rsidP="00532D5C">
            <w:pPr>
              <w:pStyle w:val="ECCTabletext"/>
              <w:keepNext/>
              <w:keepLines/>
            </w:pPr>
            <w:r w:rsidRPr="00F50DF2">
              <w:t>77000</w:t>
            </w:r>
          </w:p>
        </w:tc>
        <w:tc>
          <w:tcPr>
            <w:tcW w:w="1612" w:type="dxa"/>
            <w:hideMark/>
          </w:tcPr>
          <w:p w:rsidR="00F50DF2" w:rsidRPr="00F50DF2" w:rsidRDefault="00F50DF2" w:rsidP="00532D5C">
            <w:pPr>
              <w:pStyle w:val="ECCTabletext"/>
              <w:keepNext/>
              <w:keepLines/>
            </w:pPr>
            <w:r w:rsidRPr="00F50DF2">
              <w:t>48%</w:t>
            </w:r>
          </w:p>
        </w:tc>
        <w:tc>
          <w:tcPr>
            <w:tcW w:w="1527" w:type="dxa"/>
            <w:hideMark/>
          </w:tcPr>
          <w:p w:rsidR="00F50DF2" w:rsidRPr="00F50DF2" w:rsidRDefault="009B0F2A" w:rsidP="00532D5C">
            <w:pPr>
              <w:pStyle w:val="ECCTabletext"/>
              <w:keepNext/>
              <w:keepLines/>
            </w:pPr>
            <w:r>
              <w:t>2005–</w:t>
            </w:r>
            <w:r w:rsidR="00F50DF2" w:rsidRPr="00F50DF2">
              <w:t>2018</w:t>
            </w:r>
          </w:p>
        </w:tc>
        <w:tc>
          <w:tcPr>
            <w:tcW w:w="1298" w:type="dxa"/>
          </w:tcPr>
          <w:p w:rsidR="00F50DF2" w:rsidRPr="00F50DF2" w:rsidRDefault="00F50DF2" w:rsidP="00532D5C">
            <w:pPr>
              <w:pStyle w:val="ECCTabletext"/>
              <w:keepNext/>
              <w:keepLines/>
            </w:pPr>
            <w:r w:rsidRPr="00F50DF2">
              <w:t>1537</w:t>
            </w:r>
          </w:p>
        </w:tc>
      </w:tr>
      <w:tr w:rsidR="00B1234C" w:rsidRPr="00F50DF2" w:rsidTr="009D39B7">
        <w:trPr>
          <w:trHeight w:val="300"/>
        </w:trPr>
        <w:tc>
          <w:tcPr>
            <w:tcW w:w="1418" w:type="dxa"/>
            <w:hideMark/>
          </w:tcPr>
          <w:p w:rsidR="00F50DF2" w:rsidRPr="00F50DF2" w:rsidRDefault="00F50DF2" w:rsidP="00873682">
            <w:pPr>
              <w:pStyle w:val="ECCTabletext"/>
              <w:keepNext/>
              <w:keepLines/>
            </w:pPr>
            <w:r w:rsidRPr="00F50DF2">
              <w:t>FB Model-1</w:t>
            </w:r>
          </w:p>
        </w:tc>
        <w:tc>
          <w:tcPr>
            <w:tcW w:w="1574" w:type="dxa"/>
            <w:hideMark/>
          </w:tcPr>
          <w:p w:rsidR="00F50DF2" w:rsidRPr="00F50DF2" w:rsidRDefault="00F50DF2" w:rsidP="00532D5C">
            <w:pPr>
              <w:pStyle w:val="ECCTabletext"/>
              <w:keepNext/>
              <w:keepLines/>
            </w:pPr>
            <w:r w:rsidRPr="00F50DF2">
              <w:t>-62</w:t>
            </w:r>
          </w:p>
        </w:tc>
        <w:tc>
          <w:tcPr>
            <w:tcW w:w="2034" w:type="dxa"/>
            <w:hideMark/>
          </w:tcPr>
          <w:p w:rsidR="00F50DF2" w:rsidRPr="00F50DF2" w:rsidRDefault="00F50DF2" w:rsidP="00532D5C">
            <w:pPr>
              <w:pStyle w:val="ECCTabletext"/>
              <w:keepNext/>
              <w:keepLines/>
            </w:pPr>
            <w:r w:rsidRPr="00F50DF2">
              <w:t>17000</w:t>
            </w:r>
          </w:p>
        </w:tc>
        <w:tc>
          <w:tcPr>
            <w:tcW w:w="1612" w:type="dxa"/>
            <w:hideMark/>
          </w:tcPr>
          <w:p w:rsidR="00F50DF2" w:rsidRPr="00F50DF2" w:rsidRDefault="00F50DF2" w:rsidP="00532D5C">
            <w:pPr>
              <w:pStyle w:val="ECCTabletext"/>
              <w:keepNext/>
              <w:keepLines/>
            </w:pPr>
            <w:r w:rsidRPr="00F50DF2">
              <w:t>30%</w:t>
            </w:r>
          </w:p>
        </w:tc>
        <w:tc>
          <w:tcPr>
            <w:tcW w:w="1527" w:type="dxa"/>
            <w:hideMark/>
          </w:tcPr>
          <w:p w:rsidR="00F50DF2" w:rsidRPr="00F50DF2" w:rsidRDefault="009B0F2A" w:rsidP="00532D5C">
            <w:pPr>
              <w:pStyle w:val="ECCTabletext"/>
              <w:keepNext/>
              <w:keepLines/>
            </w:pPr>
            <w:r>
              <w:t>2005</w:t>
            </w:r>
            <w:r w:rsidRPr="009B0F2A">
              <w:t>–</w:t>
            </w:r>
            <w:r>
              <w:t>2</w:t>
            </w:r>
            <w:r w:rsidR="00F50DF2" w:rsidRPr="00F50DF2">
              <w:t>013</w:t>
            </w:r>
          </w:p>
        </w:tc>
        <w:tc>
          <w:tcPr>
            <w:tcW w:w="1298" w:type="dxa"/>
          </w:tcPr>
          <w:p w:rsidR="00F50DF2" w:rsidRPr="00F50DF2" w:rsidRDefault="00F50DF2" w:rsidP="00532D5C">
            <w:pPr>
              <w:pStyle w:val="ECCTabletext"/>
              <w:keepNext/>
              <w:keepLines/>
            </w:pPr>
            <w:r w:rsidRPr="00F50DF2">
              <w:t>1525.1</w:t>
            </w:r>
          </w:p>
        </w:tc>
      </w:tr>
      <w:tr w:rsidR="00B1234C" w:rsidRPr="00F50DF2" w:rsidTr="009D39B7">
        <w:trPr>
          <w:trHeight w:val="300"/>
        </w:trPr>
        <w:tc>
          <w:tcPr>
            <w:tcW w:w="1418" w:type="dxa"/>
            <w:hideMark/>
          </w:tcPr>
          <w:p w:rsidR="00F50DF2" w:rsidRPr="00F50DF2" w:rsidRDefault="00F50DF2" w:rsidP="00532D5C">
            <w:pPr>
              <w:pStyle w:val="ECCTabletext"/>
              <w:keepNext/>
              <w:keepLines/>
            </w:pPr>
            <w:r w:rsidRPr="00F50DF2">
              <w:t>FB Model-2</w:t>
            </w:r>
          </w:p>
        </w:tc>
        <w:tc>
          <w:tcPr>
            <w:tcW w:w="1574" w:type="dxa"/>
            <w:hideMark/>
          </w:tcPr>
          <w:p w:rsidR="00F50DF2" w:rsidRPr="00F50DF2" w:rsidRDefault="00F50DF2" w:rsidP="00532D5C">
            <w:pPr>
              <w:pStyle w:val="ECCTabletext"/>
              <w:keepNext/>
              <w:keepLines/>
            </w:pPr>
            <w:r w:rsidRPr="00F50DF2">
              <w:t>-38</w:t>
            </w:r>
          </w:p>
        </w:tc>
        <w:tc>
          <w:tcPr>
            <w:tcW w:w="2034" w:type="dxa"/>
            <w:hideMark/>
          </w:tcPr>
          <w:p w:rsidR="00F50DF2" w:rsidRPr="00F50DF2" w:rsidRDefault="00F50DF2" w:rsidP="00532D5C">
            <w:pPr>
              <w:pStyle w:val="ECCTabletext"/>
              <w:keepNext/>
              <w:keepLines/>
            </w:pPr>
            <w:r w:rsidRPr="00F50DF2">
              <w:t>8000</w:t>
            </w:r>
          </w:p>
        </w:tc>
        <w:tc>
          <w:tcPr>
            <w:tcW w:w="1612" w:type="dxa"/>
            <w:hideMark/>
          </w:tcPr>
          <w:p w:rsidR="00F50DF2" w:rsidRPr="00F50DF2" w:rsidRDefault="00F50DF2" w:rsidP="00532D5C">
            <w:pPr>
              <w:pStyle w:val="ECCTabletext"/>
              <w:keepNext/>
              <w:keepLines/>
            </w:pPr>
            <w:r w:rsidRPr="00F50DF2">
              <w:t>14%</w:t>
            </w:r>
          </w:p>
        </w:tc>
        <w:tc>
          <w:tcPr>
            <w:tcW w:w="1527" w:type="dxa"/>
            <w:hideMark/>
          </w:tcPr>
          <w:p w:rsidR="00F50DF2" w:rsidRPr="00F50DF2" w:rsidRDefault="009B0F2A" w:rsidP="00532D5C">
            <w:pPr>
              <w:pStyle w:val="ECCTabletext"/>
              <w:keepNext/>
              <w:keepLines/>
            </w:pPr>
            <w:r>
              <w:t>2007–</w:t>
            </w:r>
            <w:r w:rsidR="00F50DF2" w:rsidRPr="00F50DF2">
              <w:t>2014</w:t>
            </w:r>
          </w:p>
        </w:tc>
        <w:tc>
          <w:tcPr>
            <w:tcW w:w="1298" w:type="dxa"/>
          </w:tcPr>
          <w:p w:rsidR="00F50DF2" w:rsidRPr="00F50DF2" w:rsidRDefault="00F50DF2" w:rsidP="00532D5C">
            <w:pPr>
              <w:pStyle w:val="ECCTabletext"/>
              <w:keepNext/>
              <w:keepLines/>
            </w:pPr>
            <w:r w:rsidRPr="00F50DF2">
              <w:t>1525.1</w:t>
            </w:r>
          </w:p>
        </w:tc>
      </w:tr>
      <w:tr w:rsidR="00B1234C" w:rsidRPr="00F50DF2" w:rsidTr="009D39B7">
        <w:trPr>
          <w:trHeight w:val="300"/>
        </w:trPr>
        <w:tc>
          <w:tcPr>
            <w:tcW w:w="1418" w:type="dxa"/>
            <w:hideMark/>
          </w:tcPr>
          <w:p w:rsidR="00F50DF2" w:rsidRPr="00F50DF2" w:rsidRDefault="00F50DF2" w:rsidP="00532D5C">
            <w:pPr>
              <w:pStyle w:val="ECCTabletext"/>
              <w:keepNext/>
              <w:keepLines/>
            </w:pPr>
            <w:r w:rsidRPr="00F50DF2">
              <w:t>FB Model-3</w:t>
            </w:r>
          </w:p>
        </w:tc>
        <w:tc>
          <w:tcPr>
            <w:tcW w:w="1574" w:type="dxa"/>
            <w:hideMark/>
          </w:tcPr>
          <w:p w:rsidR="00F50DF2" w:rsidRPr="00F50DF2" w:rsidRDefault="00F50DF2" w:rsidP="00532D5C">
            <w:pPr>
              <w:pStyle w:val="ECCTabletext"/>
              <w:keepNext/>
              <w:keepLines/>
            </w:pPr>
            <w:r w:rsidRPr="00F50DF2">
              <w:t>-30</w:t>
            </w:r>
          </w:p>
        </w:tc>
        <w:tc>
          <w:tcPr>
            <w:tcW w:w="2034" w:type="dxa"/>
            <w:hideMark/>
          </w:tcPr>
          <w:p w:rsidR="00F50DF2" w:rsidRPr="00F50DF2" w:rsidRDefault="00F50DF2" w:rsidP="00532D5C">
            <w:pPr>
              <w:pStyle w:val="ECCTabletext"/>
              <w:keepNext/>
              <w:keepLines/>
            </w:pPr>
            <w:r w:rsidRPr="00F50DF2">
              <w:t>31000</w:t>
            </w:r>
          </w:p>
        </w:tc>
        <w:tc>
          <w:tcPr>
            <w:tcW w:w="1612" w:type="dxa"/>
            <w:hideMark/>
          </w:tcPr>
          <w:p w:rsidR="00F50DF2" w:rsidRPr="00F50DF2" w:rsidRDefault="00F50DF2" w:rsidP="00532D5C">
            <w:pPr>
              <w:pStyle w:val="ECCTabletext"/>
              <w:keepNext/>
              <w:keepLines/>
            </w:pPr>
            <w:r w:rsidRPr="00F50DF2">
              <w:t>55%</w:t>
            </w:r>
          </w:p>
        </w:tc>
        <w:tc>
          <w:tcPr>
            <w:tcW w:w="1527" w:type="dxa"/>
            <w:hideMark/>
          </w:tcPr>
          <w:p w:rsidR="00F50DF2" w:rsidRPr="00F50DF2" w:rsidRDefault="009B0F2A" w:rsidP="00532D5C">
            <w:pPr>
              <w:pStyle w:val="ECCTabletext"/>
              <w:keepNext/>
              <w:keepLines/>
            </w:pPr>
            <w:r>
              <w:t>2012–</w:t>
            </w:r>
            <w:r w:rsidR="00F50DF2" w:rsidRPr="00F50DF2">
              <w:t>2018</w:t>
            </w:r>
          </w:p>
        </w:tc>
        <w:tc>
          <w:tcPr>
            <w:tcW w:w="1298" w:type="dxa"/>
          </w:tcPr>
          <w:p w:rsidR="00F50DF2" w:rsidRPr="00F50DF2" w:rsidRDefault="00F50DF2" w:rsidP="00532D5C">
            <w:pPr>
              <w:pStyle w:val="ECCTabletext"/>
              <w:keepNext/>
              <w:keepLines/>
            </w:pPr>
            <w:r w:rsidRPr="00F50DF2">
              <w:t>1525.1</w:t>
            </w:r>
          </w:p>
        </w:tc>
      </w:tr>
    </w:tbl>
    <w:p w:rsidR="0020609E" w:rsidRPr="00F613FB" w:rsidRDefault="008B096B" w:rsidP="002E2408">
      <w:r>
        <w:fldChar w:fldCharType="begin"/>
      </w:r>
      <w:r>
        <w:instrText xml:space="preserve"> REF _Ref867167 \h </w:instrText>
      </w:r>
      <w:r>
        <w:fldChar w:fldCharType="separate"/>
      </w:r>
      <w:r w:rsidR="00E9777B" w:rsidRPr="00CF05D2">
        <w:t xml:space="preserve">Table </w:t>
      </w:r>
      <w:r w:rsidR="00E9777B">
        <w:rPr>
          <w:noProof/>
          <w:lang w:val="en-US"/>
        </w:rPr>
        <w:t>7</w:t>
      </w:r>
      <w:r>
        <w:fldChar w:fldCharType="end"/>
      </w:r>
      <w:r>
        <w:t xml:space="preserve"> and </w:t>
      </w:r>
      <w:r>
        <w:fldChar w:fldCharType="begin"/>
      </w:r>
      <w:r>
        <w:instrText xml:space="preserve"> REF _Ref867175 \h </w:instrText>
      </w:r>
      <w:r>
        <w:fldChar w:fldCharType="separate"/>
      </w:r>
      <w:r w:rsidR="00E9777B" w:rsidRPr="00CF05D2">
        <w:t xml:space="preserve">Table </w:t>
      </w:r>
      <w:r w:rsidR="00E9777B">
        <w:rPr>
          <w:noProof/>
          <w:lang w:val="en-US"/>
        </w:rPr>
        <w:t>8</w:t>
      </w:r>
      <w:r>
        <w:fldChar w:fldCharType="end"/>
      </w:r>
      <w:r w:rsidR="0020609E">
        <w:t xml:space="preserve"> show the impact of interference from additional (lower frequency) LTE channels below 1517 MHz to Inmarsat</w:t>
      </w:r>
      <w:r w:rsidR="005050EC" w:rsidRPr="005050EC">
        <w:t> </w:t>
      </w:r>
      <w:r w:rsidR="0020609E">
        <w:t>C Model</w:t>
      </w:r>
      <w:r w:rsidR="00532D5C">
        <w:t xml:space="preserve"> </w:t>
      </w:r>
      <w:r w:rsidR="0020609E">
        <w:t>1 and Model</w:t>
      </w:r>
      <w:r w:rsidR="00532D5C">
        <w:t xml:space="preserve"> </w:t>
      </w:r>
      <w:r w:rsidR="0020609E">
        <w:t>2 respectively.</w:t>
      </w:r>
    </w:p>
    <w:p w:rsidR="00971507" w:rsidRPr="00CF05D2" w:rsidRDefault="00971507" w:rsidP="00971507">
      <w:pPr>
        <w:pStyle w:val="Caption"/>
        <w:keepNext/>
        <w:rPr>
          <w:lang w:val="en-GB"/>
        </w:rPr>
      </w:pPr>
      <w:bookmarkStart w:id="72" w:name="_Ref867167"/>
      <w:r w:rsidRPr="00CF05D2">
        <w:rPr>
          <w:lang w:val="en-GB"/>
        </w:rPr>
        <w:t xml:space="preserve">Table </w:t>
      </w:r>
      <w:r w:rsidRPr="00CF05D2">
        <w:rPr>
          <w:lang w:val="en-GB"/>
        </w:rPr>
        <w:fldChar w:fldCharType="begin"/>
      </w:r>
      <w:r w:rsidRPr="00971507">
        <w:rPr>
          <w:lang w:val="en-US"/>
        </w:rPr>
        <w:instrText xml:space="preserve"> SEQ Table \* ARABIC </w:instrText>
      </w:r>
      <w:r w:rsidRPr="00CF05D2">
        <w:rPr>
          <w:lang w:val="en-GB"/>
        </w:rPr>
        <w:fldChar w:fldCharType="separate"/>
      </w:r>
      <w:r w:rsidR="00E9777B">
        <w:rPr>
          <w:noProof/>
          <w:lang w:val="en-US"/>
        </w:rPr>
        <w:t>7</w:t>
      </w:r>
      <w:r w:rsidRPr="00CF05D2">
        <w:rPr>
          <w:lang w:val="en-GB"/>
        </w:rPr>
        <w:fldChar w:fldCharType="end"/>
      </w:r>
      <w:bookmarkEnd w:id="72"/>
      <w:r w:rsidR="00D51582" w:rsidRPr="00D51582">
        <w:rPr>
          <w:lang w:val="en-GB"/>
        </w:rPr>
        <w:t>:</w:t>
      </w:r>
      <w:r w:rsidRPr="00CF05D2">
        <w:rPr>
          <w:lang w:val="en-GB"/>
        </w:rPr>
        <w:t xml:space="preserve"> Measured Inmarsat</w:t>
      </w:r>
      <w:r w:rsidR="005050EC" w:rsidRPr="00937847">
        <w:rPr>
          <w:lang w:val="en-US"/>
        </w:rPr>
        <w:t> </w:t>
      </w:r>
      <w:r w:rsidRPr="00CF05D2">
        <w:rPr>
          <w:lang w:val="en-GB"/>
        </w:rPr>
        <w:t>C (</w:t>
      </w:r>
      <w:r w:rsidR="00A4093C">
        <w:t>M</w:t>
      </w:r>
      <w:r w:rsidRPr="00CF05D2">
        <w:rPr>
          <w:lang w:val="en-GB"/>
        </w:rPr>
        <w:t xml:space="preserve">odel 1) </w:t>
      </w:r>
      <w:r w:rsidR="005A509E">
        <w:rPr>
          <w:lang w:val="en-GB"/>
        </w:rPr>
        <w:t>blocking performance</w:t>
      </w:r>
      <w:r w:rsidRPr="009D39B7">
        <w:rPr>
          <w:lang w:val="en-GB"/>
        </w:rPr>
        <w:t xml:space="preserve"> </w:t>
      </w:r>
      <w:r w:rsidRPr="00CF05D2">
        <w:rPr>
          <w:lang w:val="en-GB"/>
        </w:rPr>
        <w:t>resulting from a single LTE channel at three different frequencies</w:t>
      </w:r>
    </w:p>
    <w:tbl>
      <w:tblPr>
        <w:tblStyle w:val="ECCTable-redheader"/>
        <w:tblW w:w="0" w:type="auto"/>
        <w:tblInd w:w="0" w:type="dxa"/>
        <w:tblLook w:val="04A0" w:firstRow="1" w:lastRow="0" w:firstColumn="1" w:lastColumn="0" w:noHBand="0" w:noVBand="1"/>
      </w:tblPr>
      <w:tblGrid>
        <w:gridCol w:w="1050"/>
        <w:gridCol w:w="2652"/>
        <w:gridCol w:w="2410"/>
        <w:gridCol w:w="2693"/>
      </w:tblGrid>
      <w:tr w:rsidR="00B1234C" w:rsidRPr="00F50DF2" w:rsidTr="009D39B7">
        <w:trPr>
          <w:cnfStyle w:val="100000000000" w:firstRow="1" w:lastRow="0" w:firstColumn="0" w:lastColumn="0" w:oddVBand="0" w:evenVBand="0" w:oddHBand="0" w:evenHBand="0" w:firstRowFirstColumn="0" w:firstRowLastColumn="0" w:lastRowFirstColumn="0" w:lastRowLastColumn="0"/>
          <w:trHeight w:val="1166"/>
        </w:trPr>
        <w:tc>
          <w:tcPr>
            <w:tcW w:w="0" w:type="auto"/>
          </w:tcPr>
          <w:p w:rsidR="00F50DF2" w:rsidRPr="00F50DF2" w:rsidRDefault="00F50DF2" w:rsidP="006D3170">
            <w:pPr>
              <w:pStyle w:val="ECCTableHeaderwhitefont"/>
            </w:pPr>
            <w:r w:rsidRPr="00F50DF2">
              <w:t>Terminal</w:t>
            </w:r>
          </w:p>
        </w:tc>
        <w:tc>
          <w:tcPr>
            <w:tcW w:w="2652" w:type="dxa"/>
            <w:hideMark/>
          </w:tcPr>
          <w:p w:rsidR="00F50DF2" w:rsidRPr="00F50DF2" w:rsidRDefault="00F50DF2" w:rsidP="006D3170">
            <w:pPr>
              <w:pStyle w:val="ECCTableHeaderwhitefont"/>
            </w:pPr>
            <w:r w:rsidRPr="00F50DF2">
              <w:t xml:space="preserve">Measured </w:t>
            </w:r>
            <w:r w:rsidR="005A509E">
              <w:t>blocking performance</w:t>
            </w:r>
            <w:r w:rsidR="009E728F">
              <w:t xml:space="preserve"> levels</w:t>
            </w:r>
            <w:r w:rsidRPr="00F50DF2">
              <w:t xml:space="preserve"> from LTE channel at 1492</w:t>
            </w:r>
            <w:r w:rsidRPr="00D51582">
              <w:t>-</w:t>
            </w:r>
            <w:r w:rsidRPr="00F50DF2">
              <w:t>1502 MHz (dBm)</w:t>
            </w:r>
          </w:p>
        </w:tc>
        <w:tc>
          <w:tcPr>
            <w:tcW w:w="2410" w:type="dxa"/>
            <w:hideMark/>
          </w:tcPr>
          <w:p w:rsidR="00F50DF2" w:rsidRPr="00F50DF2" w:rsidRDefault="00F50DF2" w:rsidP="006D3170">
            <w:pPr>
              <w:pStyle w:val="ECCTableHeaderwhitefont"/>
            </w:pPr>
            <w:r w:rsidRPr="00F50DF2">
              <w:t xml:space="preserve">Measured </w:t>
            </w:r>
            <w:r w:rsidR="005A509E">
              <w:t>blocking performance</w:t>
            </w:r>
            <w:r w:rsidR="009E728F">
              <w:t xml:space="preserve"> levels</w:t>
            </w:r>
            <w:r w:rsidRPr="00F50DF2">
              <w:t xml:space="preserve"> from LTE channel at 1502</w:t>
            </w:r>
            <w:r w:rsidR="00122725">
              <w:t>-</w:t>
            </w:r>
            <w:r w:rsidRPr="00F50DF2">
              <w:t>1512 MHz (dBm)</w:t>
            </w:r>
          </w:p>
        </w:tc>
        <w:tc>
          <w:tcPr>
            <w:tcW w:w="2693" w:type="dxa"/>
            <w:hideMark/>
          </w:tcPr>
          <w:p w:rsidR="00F50DF2" w:rsidRPr="00F50DF2" w:rsidRDefault="00C00276" w:rsidP="006D3170">
            <w:pPr>
              <w:pStyle w:val="ECCTableHeaderwhitefont"/>
            </w:pPr>
            <w:r>
              <w:t xml:space="preserve">Measured </w:t>
            </w:r>
            <w:r w:rsidR="005A509E">
              <w:t>blocking performance</w:t>
            </w:r>
            <w:r w:rsidR="009E728F">
              <w:t xml:space="preserve"> levels</w:t>
            </w:r>
            <w:r w:rsidR="00F50DF2" w:rsidRPr="00F50DF2">
              <w:t xml:space="preserve"> from LTE channel at 1512</w:t>
            </w:r>
            <w:r w:rsidR="00122725">
              <w:t>-</w:t>
            </w:r>
            <w:r w:rsidR="00F50DF2" w:rsidRPr="00F50DF2">
              <w:t>1517 MHz (dBm)</w:t>
            </w:r>
          </w:p>
        </w:tc>
      </w:tr>
      <w:tr w:rsidR="00043396" w:rsidRPr="00F50DF2" w:rsidTr="009D39B7">
        <w:trPr>
          <w:trHeight w:val="178"/>
        </w:trPr>
        <w:tc>
          <w:tcPr>
            <w:tcW w:w="0" w:type="auto"/>
          </w:tcPr>
          <w:p w:rsidR="00F50DF2" w:rsidRPr="00F50DF2" w:rsidRDefault="00F50DF2" w:rsidP="00A4093C">
            <w:pPr>
              <w:pStyle w:val="ECCTabletext"/>
            </w:pPr>
            <w:r w:rsidRPr="00F50DF2">
              <w:t>Model</w:t>
            </w:r>
            <w:r w:rsidR="00A4093C">
              <w:t xml:space="preserve"> </w:t>
            </w:r>
            <w:r w:rsidRPr="00F50DF2">
              <w:t>1</w:t>
            </w:r>
          </w:p>
        </w:tc>
        <w:tc>
          <w:tcPr>
            <w:tcW w:w="2652" w:type="dxa"/>
          </w:tcPr>
          <w:p w:rsidR="00F50DF2" w:rsidRPr="00F50DF2" w:rsidRDefault="00F50DF2" w:rsidP="00CF05D2">
            <w:pPr>
              <w:pStyle w:val="ECCTabletext"/>
            </w:pPr>
            <w:r w:rsidRPr="00F50DF2">
              <w:t>-53</w:t>
            </w:r>
          </w:p>
        </w:tc>
        <w:tc>
          <w:tcPr>
            <w:tcW w:w="2410" w:type="dxa"/>
          </w:tcPr>
          <w:p w:rsidR="00F50DF2" w:rsidRPr="00F50DF2" w:rsidRDefault="00F50DF2" w:rsidP="00CF05D2">
            <w:pPr>
              <w:pStyle w:val="ECCTabletext"/>
            </w:pPr>
            <w:r w:rsidRPr="00F50DF2">
              <w:t>-68</w:t>
            </w:r>
          </w:p>
        </w:tc>
        <w:tc>
          <w:tcPr>
            <w:tcW w:w="2693" w:type="dxa"/>
          </w:tcPr>
          <w:p w:rsidR="00F50DF2" w:rsidRPr="00F50DF2" w:rsidRDefault="00F50DF2" w:rsidP="00CF05D2">
            <w:pPr>
              <w:pStyle w:val="ECCTabletext"/>
            </w:pPr>
            <w:r w:rsidRPr="00F50DF2">
              <w:t>-76</w:t>
            </w:r>
          </w:p>
        </w:tc>
      </w:tr>
    </w:tbl>
    <w:p w:rsidR="00940F04" w:rsidRDefault="00940F04" w:rsidP="00F57030">
      <w:pPr>
        <w:pStyle w:val="Caption"/>
        <w:keepNext/>
        <w:rPr>
          <w:lang w:val="en-GB"/>
        </w:rPr>
      </w:pPr>
    </w:p>
    <w:p w:rsidR="00F57030" w:rsidRPr="00CF05D2" w:rsidRDefault="00F57030" w:rsidP="00F57030">
      <w:pPr>
        <w:pStyle w:val="Caption"/>
        <w:keepNext/>
        <w:rPr>
          <w:lang w:val="en-GB"/>
        </w:rPr>
      </w:pPr>
      <w:bookmarkStart w:id="73" w:name="_Ref867175"/>
      <w:r w:rsidRPr="00CF05D2">
        <w:rPr>
          <w:lang w:val="en-GB"/>
        </w:rPr>
        <w:t xml:space="preserve">Table </w:t>
      </w:r>
      <w:r w:rsidRPr="00CF05D2">
        <w:rPr>
          <w:lang w:val="en-GB"/>
        </w:rPr>
        <w:fldChar w:fldCharType="begin"/>
      </w:r>
      <w:r w:rsidRPr="001336CB">
        <w:rPr>
          <w:lang w:val="en-US"/>
        </w:rPr>
        <w:instrText xml:space="preserve"> SEQ Table \* ARABIC </w:instrText>
      </w:r>
      <w:r w:rsidRPr="00CF05D2">
        <w:rPr>
          <w:lang w:val="en-GB"/>
        </w:rPr>
        <w:fldChar w:fldCharType="separate"/>
      </w:r>
      <w:r w:rsidR="00E9777B">
        <w:rPr>
          <w:noProof/>
          <w:lang w:val="en-US"/>
        </w:rPr>
        <w:t>8</w:t>
      </w:r>
      <w:r w:rsidRPr="00CF05D2">
        <w:rPr>
          <w:lang w:val="en-GB"/>
        </w:rPr>
        <w:fldChar w:fldCharType="end"/>
      </w:r>
      <w:bookmarkEnd w:id="73"/>
      <w:r w:rsidR="00D51582" w:rsidRPr="00D51582">
        <w:rPr>
          <w:lang w:val="en-GB"/>
        </w:rPr>
        <w:t>:</w:t>
      </w:r>
      <w:r w:rsidRPr="00CF05D2">
        <w:rPr>
          <w:lang w:val="en-GB"/>
        </w:rPr>
        <w:t xml:space="preserve"> Measured blocking </w:t>
      </w:r>
      <w:r w:rsidR="00562700" w:rsidRPr="005E0DF9">
        <w:rPr>
          <w:lang w:val="en-GB"/>
        </w:rPr>
        <w:t>performance</w:t>
      </w:r>
      <w:r w:rsidR="00C038FA" w:rsidRPr="005E0DF9">
        <w:rPr>
          <w:lang w:val="en-GB"/>
        </w:rPr>
        <w:t xml:space="preserve"> </w:t>
      </w:r>
      <w:r w:rsidR="00C038FA" w:rsidRPr="00212A05">
        <w:rPr>
          <w:lang w:val="en-US"/>
        </w:rPr>
        <w:t>levels for</w:t>
      </w:r>
      <w:r w:rsidRPr="005E0DF9">
        <w:rPr>
          <w:lang w:val="en-GB"/>
        </w:rPr>
        <w:t xml:space="preserve"> </w:t>
      </w:r>
      <w:r w:rsidRPr="00CF05D2">
        <w:rPr>
          <w:lang w:val="en-GB"/>
        </w:rPr>
        <w:t>Inmarsat</w:t>
      </w:r>
      <w:r w:rsidR="005050EC" w:rsidRPr="00212A05">
        <w:rPr>
          <w:lang w:val="en-US"/>
        </w:rPr>
        <w:t> </w:t>
      </w:r>
      <w:r w:rsidRPr="00CF05D2">
        <w:rPr>
          <w:lang w:val="en-GB"/>
        </w:rPr>
        <w:t>C model-2 from a single 5 MHz LTE channel at different frequency centres</w:t>
      </w:r>
    </w:p>
    <w:tbl>
      <w:tblPr>
        <w:tblStyle w:val="ECCTable-redheader"/>
        <w:tblW w:w="0" w:type="auto"/>
        <w:tblInd w:w="0" w:type="dxa"/>
        <w:tblLook w:val="04A0" w:firstRow="1" w:lastRow="0" w:firstColumn="1" w:lastColumn="0" w:noHBand="0" w:noVBand="1"/>
      </w:tblPr>
      <w:tblGrid>
        <w:gridCol w:w="2127"/>
        <w:gridCol w:w="3395"/>
        <w:gridCol w:w="2835"/>
      </w:tblGrid>
      <w:tr w:rsidR="00CC2AF4" w:rsidRPr="00F50DF2" w:rsidTr="00C01EBA">
        <w:trPr>
          <w:cnfStyle w:val="100000000000" w:firstRow="1" w:lastRow="0" w:firstColumn="0" w:lastColumn="0" w:oddVBand="0" w:evenVBand="0" w:oddHBand="0" w:evenHBand="0" w:firstRowFirstColumn="0" w:firstRowLastColumn="0" w:lastRowFirstColumn="0" w:lastRowLastColumn="0"/>
        </w:trPr>
        <w:tc>
          <w:tcPr>
            <w:tcW w:w="2127" w:type="dxa"/>
          </w:tcPr>
          <w:p w:rsidR="00F50DF2" w:rsidRPr="00CF05D2" w:rsidRDefault="00685F81" w:rsidP="00CF05D2">
            <w:pPr>
              <w:pStyle w:val="ECCTableHeaderwhitefont"/>
            </w:pPr>
            <w:r w:rsidRPr="00CF05D2">
              <w:t>LTE Centre frequency</w:t>
            </w:r>
            <w:r w:rsidR="00F50DF2" w:rsidRPr="00CF05D2">
              <w:t xml:space="preserve"> (MHz)</w:t>
            </w:r>
          </w:p>
        </w:tc>
        <w:tc>
          <w:tcPr>
            <w:tcW w:w="3395" w:type="dxa"/>
          </w:tcPr>
          <w:p w:rsidR="00F50DF2" w:rsidRPr="00CF05D2" w:rsidRDefault="0083260A">
            <w:pPr>
              <w:pStyle w:val="ECCTableHeaderwhitefont"/>
            </w:pPr>
            <w:r w:rsidRPr="001066A9">
              <w:t xml:space="preserve">Measured blocking </w:t>
            </w:r>
            <w:r w:rsidR="00562700">
              <w:t>performance</w:t>
            </w:r>
            <w:r w:rsidRPr="001066A9">
              <w:t xml:space="preserve"> from LTE channel</w:t>
            </w:r>
            <w:r w:rsidR="00F50DF2" w:rsidRPr="00CF05D2">
              <w:t xml:space="preserve"> (dBm)</w:t>
            </w:r>
          </w:p>
        </w:tc>
        <w:tc>
          <w:tcPr>
            <w:tcW w:w="2835" w:type="dxa"/>
          </w:tcPr>
          <w:p w:rsidR="00F50DF2" w:rsidRPr="00CF05D2" w:rsidRDefault="00F50DF2" w:rsidP="00CF05D2">
            <w:pPr>
              <w:pStyle w:val="ECCTableHeaderwhitefont"/>
            </w:pPr>
            <w:r w:rsidRPr="00CF05D2">
              <w:t xml:space="preserve">Test </w:t>
            </w:r>
            <w:r w:rsidR="00122725">
              <w:t>f</w:t>
            </w:r>
            <w:r w:rsidRPr="00D51582">
              <w:t>requency</w:t>
            </w:r>
            <w:r w:rsidRPr="00CF05D2">
              <w:t xml:space="preserve"> (MHz)</w:t>
            </w:r>
          </w:p>
        </w:tc>
      </w:tr>
      <w:tr w:rsidR="00F50DF2" w:rsidRPr="00F50DF2" w:rsidTr="00C01EBA">
        <w:tc>
          <w:tcPr>
            <w:tcW w:w="2127" w:type="dxa"/>
          </w:tcPr>
          <w:p w:rsidR="00F50DF2" w:rsidRPr="00CF05D2" w:rsidRDefault="00F50DF2" w:rsidP="00532D5C">
            <w:pPr>
              <w:pStyle w:val="ECCTabletext"/>
            </w:pPr>
            <w:r w:rsidRPr="00CF05D2">
              <w:t>1509.5</w:t>
            </w:r>
          </w:p>
        </w:tc>
        <w:tc>
          <w:tcPr>
            <w:tcW w:w="3395" w:type="dxa"/>
          </w:tcPr>
          <w:p w:rsidR="00F50DF2" w:rsidRPr="00CF05D2" w:rsidRDefault="00F50DF2" w:rsidP="00532D5C">
            <w:pPr>
              <w:pStyle w:val="ECCTabletext"/>
            </w:pPr>
            <w:r w:rsidRPr="00CF05D2">
              <w:t>-50</w:t>
            </w:r>
          </w:p>
        </w:tc>
        <w:tc>
          <w:tcPr>
            <w:tcW w:w="2835" w:type="dxa"/>
          </w:tcPr>
          <w:p w:rsidR="00F50DF2" w:rsidRPr="00CF05D2" w:rsidRDefault="00A523EE" w:rsidP="00532D5C">
            <w:pPr>
              <w:pStyle w:val="ECCTabletext"/>
            </w:pPr>
            <w:r>
              <w:t>1</w:t>
            </w:r>
            <w:r w:rsidR="00F50DF2" w:rsidRPr="00CF05D2">
              <w:t>537</w:t>
            </w:r>
          </w:p>
        </w:tc>
      </w:tr>
      <w:tr w:rsidR="00F50DF2" w:rsidRPr="00F50DF2" w:rsidTr="00C01EBA">
        <w:tc>
          <w:tcPr>
            <w:tcW w:w="2127" w:type="dxa"/>
          </w:tcPr>
          <w:p w:rsidR="00F50DF2" w:rsidRPr="00F50DF2" w:rsidRDefault="00F50DF2" w:rsidP="00532D5C">
            <w:pPr>
              <w:pStyle w:val="ECCTabletext"/>
            </w:pPr>
            <w:r w:rsidRPr="00CF05D2">
              <w:t>1504.5</w:t>
            </w:r>
          </w:p>
        </w:tc>
        <w:tc>
          <w:tcPr>
            <w:tcW w:w="3395" w:type="dxa"/>
          </w:tcPr>
          <w:p w:rsidR="00F50DF2" w:rsidRPr="00F50DF2" w:rsidRDefault="00F50DF2" w:rsidP="00532D5C">
            <w:pPr>
              <w:pStyle w:val="ECCTabletext"/>
            </w:pPr>
            <w:r w:rsidRPr="00CF05D2">
              <w:t>-41</w:t>
            </w:r>
          </w:p>
        </w:tc>
        <w:tc>
          <w:tcPr>
            <w:tcW w:w="2835" w:type="dxa"/>
          </w:tcPr>
          <w:p w:rsidR="00F50DF2" w:rsidRPr="00CF05D2" w:rsidRDefault="00F50DF2" w:rsidP="00532D5C">
            <w:pPr>
              <w:pStyle w:val="ECCTabletext"/>
            </w:pPr>
            <w:r w:rsidRPr="00CF05D2">
              <w:t>1537</w:t>
            </w:r>
          </w:p>
        </w:tc>
      </w:tr>
      <w:tr w:rsidR="00F50DF2" w:rsidRPr="00F50DF2" w:rsidTr="00C01EBA">
        <w:tc>
          <w:tcPr>
            <w:tcW w:w="2127" w:type="dxa"/>
          </w:tcPr>
          <w:p w:rsidR="00F50DF2" w:rsidRPr="00F50DF2" w:rsidRDefault="00F50DF2" w:rsidP="00532D5C">
            <w:pPr>
              <w:pStyle w:val="ECCTabletext"/>
            </w:pPr>
            <w:r w:rsidRPr="00CF05D2">
              <w:t>1499.5</w:t>
            </w:r>
          </w:p>
        </w:tc>
        <w:tc>
          <w:tcPr>
            <w:tcW w:w="3395" w:type="dxa"/>
          </w:tcPr>
          <w:p w:rsidR="00F50DF2" w:rsidRPr="00F50DF2" w:rsidRDefault="00F50DF2" w:rsidP="00532D5C">
            <w:pPr>
              <w:pStyle w:val="ECCTabletext"/>
            </w:pPr>
            <w:r w:rsidRPr="00CF05D2">
              <w:t>-36</w:t>
            </w:r>
          </w:p>
        </w:tc>
        <w:tc>
          <w:tcPr>
            <w:tcW w:w="2835" w:type="dxa"/>
          </w:tcPr>
          <w:p w:rsidR="00F50DF2" w:rsidRPr="00CF05D2" w:rsidRDefault="00F50DF2" w:rsidP="00532D5C">
            <w:pPr>
              <w:pStyle w:val="ECCTabletext"/>
            </w:pPr>
            <w:r w:rsidRPr="00CF05D2">
              <w:t>1537</w:t>
            </w:r>
          </w:p>
        </w:tc>
      </w:tr>
      <w:tr w:rsidR="00F50DF2" w:rsidRPr="00F50DF2" w:rsidTr="00C01EBA">
        <w:tc>
          <w:tcPr>
            <w:tcW w:w="2127" w:type="dxa"/>
          </w:tcPr>
          <w:p w:rsidR="00F50DF2" w:rsidRPr="00F50DF2" w:rsidRDefault="00F50DF2" w:rsidP="00532D5C">
            <w:pPr>
              <w:pStyle w:val="ECCTabletext"/>
            </w:pPr>
            <w:r w:rsidRPr="00CF05D2">
              <w:t>1494.5</w:t>
            </w:r>
          </w:p>
        </w:tc>
        <w:tc>
          <w:tcPr>
            <w:tcW w:w="3395" w:type="dxa"/>
          </w:tcPr>
          <w:p w:rsidR="00F50DF2" w:rsidRPr="00F50DF2" w:rsidRDefault="00F50DF2" w:rsidP="00532D5C">
            <w:pPr>
              <w:pStyle w:val="ECCTabletext"/>
            </w:pPr>
            <w:r w:rsidRPr="00CF05D2">
              <w:t>-32</w:t>
            </w:r>
          </w:p>
        </w:tc>
        <w:tc>
          <w:tcPr>
            <w:tcW w:w="2835" w:type="dxa"/>
          </w:tcPr>
          <w:p w:rsidR="00F50DF2" w:rsidRPr="00CF05D2" w:rsidRDefault="00F50DF2" w:rsidP="00532D5C">
            <w:pPr>
              <w:pStyle w:val="ECCTabletext"/>
            </w:pPr>
            <w:r w:rsidRPr="00CF05D2">
              <w:t>1537</w:t>
            </w:r>
          </w:p>
        </w:tc>
      </w:tr>
      <w:tr w:rsidR="00F50DF2" w:rsidRPr="00F50DF2" w:rsidTr="00C01EBA">
        <w:tc>
          <w:tcPr>
            <w:tcW w:w="2127" w:type="dxa"/>
          </w:tcPr>
          <w:p w:rsidR="00F50DF2" w:rsidRPr="00F50DF2" w:rsidRDefault="00F50DF2" w:rsidP="00532D5C">
            <w:pPr>
              <w:pStyle w:val="ECCTabletext"/>
            </w:pPr>
            <w:r w:rsidRPr="00CF05D2">
              <w:t>1489.5</w:t>
            </w:r>
          </w:p>
        </w:tc>
        <w:tc>
          <w:tcPr>
            <w:tcW w:w="3395" w:type="dxa"/>
          </w:tcPr>
          <w:p w:rsidR="00F50DF2" w:rsidRPr="00F50DF2" w:rsidRDefault="00F50DF2" w:rsidP="00532D5C">
            <w:pPr>
              <w:pStyle w:val="ECCTabletext"/>
            </w:pPr>
            <w:r w:rsidRPr="00CF05D2">
              <w:t>-24</w:t>
            </w:r>
          </w:p>
        </w:tc>
        <w:tc>
          <w:tcPr>
            <w:tcW w:w="2835" w:type="dxa"/>
          </w:tcPr>
          <w:p w:rsidR="00F50DF2" w:rsidRPr="00CF05D2" w:rsidRDefault="00F50DF2" w:rsidP="00532D5C">
            <w:pPr>
              <w:pStyle w:val="ECCTabletext"/>
            </w:pPr>
            <w:r w:rsidRPr="00CF05D2">
              <w:t>1537</w:t>
            </w:r>
          </w:p>
        </w:tc>
      </w:tr>
      <w:tr w:rsidR="00F50DF2" w:rsidRPr="00F50DF2" w:rsidTr="00C01EBA">
        <w:tc>
          <w:tcPr>
            <w:tcW w:w="2127" w:type="dxa"/>
          </w:tcPr>
          <w:p w:rsidR="00F50DF2" w:rsidRPr="00F50DF2" w:rsidRDefault="00F50DF2" w:rsidP="00532D5C">
            <w:pPr>
              <w:pStyle w:val="ECCTabletext"/>
            </w:pPr>
            <w:r w:rsidRPr="00CF05D2">
              <w:t>1484.5</w:t>
            </w:r>
          </w:p>
        </w:tc>
        <w:tc>
          <w:tcPr>
            <w:tcW w:w="3395" w:type="dxa"/>
          </w:tcPr>
          <w:p w:rsidR="00F50DF2" w:rsidRPr="00F50DF2" w:rsidRDefault="00F50DF2" w:rsidP="00532D5C">
            <w:pPr>
              <w:pStyle w:val="ECCTabletext"/>
            </w:pPr>
            <w:r w:rsidRPr="00CF05D2">
              <w:t>-20</w:t>
            </w:r>
          </w:p>
        </w:tc>
        <w:tc>
          <w:tcPr>
            <w:tcW w:w="2835" w:type="dxa"/>
          </w:tcPr>
          <w:p w:rsidR="00F50DF2" w:rsidRPr="00CF05D2" w:rsidRDefault="00F50DF2" w:rsidP="00532D5C">
            <w:pPr>
              <w:pStyle w:val="ECCTabletext"/>
            </w:pPr>
            <w:r w:rsidRPr="00CF05D2">
              <w:t>1537</w:t>
            </w:r>
          </w:p>
        </w:tc>
      </w:tr>
    </w:tbl>
    <w:p w:rsidR="00F50DF2" w:rsidRPr="00CF05D2" w:rsidRDefault="005A509E" w:rsidP="007C27E7">
      <w:pPr>
        <w:pStyle w:val="Heading3"/>
        <w:rPr>
          <w:rFonts w:eastAsia="Calibri"/>
          <w:lang w:val="en-GB"/>
        </w:rPr>
      </w:pPr>
      <w:bookmarkStart w:id="74" w:name="_Toc525544410"/>
      <w:bookmarkStart w:id="75" w:name="_Toc528659172"/>
      <w:bookmarkStart w:id="76" w:name="_Toc3285881"/>
      <w:r>
        <w:rPr>
          <w:rFonts w:eastAsia="Calibri"/>
          <w:lang w:val="en-GB"/>
        </w:rPr>
        <w:t>Blocking performance</w:t>
      </w:r>
      <w:r w:rsidR="00C038FA" w:rsidRPr="00212A05">
        <w:rPr>
          <w:rFonts w:eastAsia="Calibri"/>
          <w:lang w:val="en-US"/>
        </w:rPr>
        <w:t xml:space="preserve"> </w:t>
      </w:r>
      <w:r w:rsidR="00F50DF2" w:rsidRPr="00CF05D2">
        <w:rPr>
          <w:rFonts w:eastAsia="Calibri"/>
          <w:lang w:val="en-GB"/>
        </w:rPr>
        <w:t>results from multiple LTE channel transmissions</w:t>
      </w:r>
      <w:bookmarkEnd w:id="74"/>
      <w:bookmarkEnd w:id="75"/>
      <w:bookmarkEnd w:id="76"/>
    </w:p>
    <w:p w:rsidR="00F50DF2" w:rsidRPr="004070BC" w:rsidRDefault="00F50DF2" w:rsidP="00F50DF2">
      <w:pPr>
        <w:rPr>
          <w:rStyle w:val="ECCParagraph"/>
        </w:rPr>
      </w:pPr>
      <w:r w:rsidRPr="004070BC">
        <w:rPr>
          <w:rStyle w:val="ECCParagraph"/>
        </w:rPr>
        <w:t xml:space="preserve">The blocking </w:t>
      </w:r>
      <w:r w:rsidR="00562700">
        <w:rPr>
          <w:rStyle w:val="ECCParagraph"/>
        </w:rPr>
        <w:t>performance</w:t>
      </w:r>
      <w:r w:rsidR="00C038FA">
        <w:rPr>
          <w:rStyle w:val="ECCParagraph"/>
        </w:rPr>
        <w:t xml:space="preserve"> levels for</w:t>
      </w:r>
      <w:r w:rsidRPr="004070BC">
        <w:rPr>
          <w:rStyle w:val="ECCParagraph"/>
        </w:rPr>
        <w:t xml:space="preserve"> the most susceptible models, Inmarsat</w:t>
      </w:r>
      <w:r w:rsidR="005050EC" w:rsidRPr="005050EC">
        <w:t> </w:t>
      </w:r>
      <w:r w:rsidRPr="004070BC">
        <w:rPr>
          <w:rStyle w:val="ECCParagraph"/>
        </w:rPr>
        <w:t xml:space="preserve">C </w:t>
      </w:r>
      <w:r w:rsidR="00924650">
        <w:rPr>
          <w:rStyle w:val="ECCParagraph"/>
        </w:rPr>
        <w:t>M</w:t>
      </w:r>
      <w:r w:rsidRPr="004070BC">
        <w:rPr>
          <w:rStyle w:val="ECCParagraph"/>
        </w:rPr>
        <w:t xml:space="preserve">odel 1, </w:t>
      </w:r>
      <w:r w:rsidR="00924650">
        <w:rPr>
          <w:rStyle w:val="ECCParagraph"/>
        </w:rPr>
        <w:t>M</w:t>
      </w:r>
      <w:r w:rsidRPr="004070BC">
        <w:rPr>
          <w:rStyle w:val="ECCParagraph"/>
        </w:rPr>
        <w:t xml:space="preserve">odel 2 and FB </w:t>
      </w:r>
      <w:r w:rsidR="00C92D78">
        <w:rPr>
          <w:rStyle w:val="ECCParagraph"/>
        </w:rPr>
        <w:t>M</w:t>
      </w:r>
      <w:r w:rsidRPr="004070BC">
        <w:rPr>
          <w:rStyle w:val="ECCParagraph"/>
        </w:rPr>
        <w:t>odel</w:t>
      </w:r>
      <w:r w:rsidR="00233CB4">
        <w:rPr>
          <w:rStyle w:val="ECCParagraph"/>
        </w:rPr>
        <w:t xml:space="preserve"> </w:t>
      </w:r>
      <w:r w:rsidRPr="004070BC">
        <w:rPr>
          <w:rStyle w:val="ECCParagraph"/>
        </w:rPr>
        <w:t xml:space="preserve">1, have also been measured against multiple LTE channels transmitting simultaneously from one </w:t>
      </w:r>
      <w:r w:rsidR="00D74F12" w:rsidRPr="004070BC">
        <w:rPr>
          <w:rStyle w:val="ECCParagraph"/>
        </w:rPr>
        <w:t>MFCN</w:t>
      </w:r>
      <w:r w:rsidRPr="004070BC">
        <w:rPr>
          <w:rStyle w:val="ECCParagraph"/>
        </w:rPr>
        <w:t xml:space="preserve"> BS </w:t>
      </w:r>
      <w:r w:rsidR="00042218" w:rsidRPr="002E2408">
        <w:t>for two cases: (1) the three uppermost LTE channels in use; and (2) the two uppermost LTE channels in use,</w:t>
      </w:r>
      <w:r w:rsidRPr="002E2408">
        <w:t xml:space="preserve"> </w:t>
      </w:r>
      <w:r w:rsidRPr="00C01EBA">
        <w:t>a</w:t>
      </w:r>
      <w:r w:rsidR="00486F3E">
        <w:rPr>
          <w:rStyle w:val="ECCParagraph"/>
        </w:rPr>
        <w:t xml:space="preserve">nd the results are presented in </w:t>
      </w:r>
      <w:r w:rsidR="0019781A">
        <w:rPr>
          <w:rStyle w:val="ECCParagraph"/>
        </w:rPr>
        <w:fldChar w:fldCharType="begin"/>
      </w:r>
      <w:r w:rsidR="0019781A">
        <w:rPr>
          <w:rStyle w:val="ECCParagraph"/>
        </w:rPr>
        <w:instrText xml:space="preserve"> REF _Ref534386716 \h </w:instrText>
      </w:r>
      <w:r w:rsidR="0019781A">
        <w:rPr>
          <w:rStyle w:val="ECCParagraph"/>
        </w:rPr>
      </w:r>
      <w:r w:rsidR="0019781A">
        <w:rPr>
          <w:rStyle w:val="ECCParagraph"/>
        </w:rPr>
        <w:fldChar w:fldCharType="separate"/>
      </w:r>
      <w:r w:rsidR="00E9777B" w:rsidRPr="00CF05D2">
        <w:t xml:space="preserve">Table </w:t>
      </w:r>
      <w:r w:rsidR="00E9777B">
        <w:rPr>
          <w:noProof/>
          <w:lang w:val="en-US"/>
        </w:rPr>
        <w:t>9</w:t>
      </w:r>
      <w:r w:rsidR="0019781A">
        <w:rPr>
          <w:rStyle w:val="ECCParagraph"/>
        </w:rPr>
        <w:fldChar w:fldCharType="end"/>
      </w:r>
      <w:r w:rsidRPr="004070BC">
        <w:rPr>
          <w:rStyle w:val="ECCParagraph"/>
        </w:rPr>
        <w:t xml:space="preserve"> below.</w:t>
      </w:r>
      <w:r w:rsidR="002B4949" w:rsidRPr="004070BC">
        <w:rPr>
          <w:rStyle w:val="ECCParagraph"/>
        </w:rPr>
        <w:t xml:space="preserve"> </w:t>
      </w:r>
    </w:p>
    <w:p w:rsidR="00486F3E" w:rsidRPr="000A6437" w:rsidRDefault="00486F3E" w:rsidP="001336CB">
      <w:pPr>
        <w:pStyle w:val="Caption"/>
        <w:keepNext/>
        <w:rPr>
          <w:lang w:val="en-US"/>
        </w:rPr>
      </w:pPr>
      <w:bookmarkStart w:id="77" w:name="_Ref519844174"/>
    </w:p>
    <w:p w:rsidR="001336CB" w:rsidRPr="00B1234C" w:rsidRDefault="001336CB" w:rsidP="001336CB">
      <w:pPr>
        <w:pStyle w:val="Caption"/>
        <w:keepNext/>
        <w:rPr>
          <w:lang w:val="en-GB"/>
        </w:rPr>
      </w:pPr>
      <w:bookmarkStart w:id="78" w:name="_Ref534386716"/>
      <w:r w:rsidRPr="00CF05D2">
        <w:rPr>
          <w:lang w:val="en-GB"/>
        </w:rPr>
        <w:t xml:space="preserve">Table </w:t>
      </w:r>
      <w:r w:rsidRPr="00CF05D2">
        <w:rPr>
          <w:lang w:val="en-GB"/>
        </w:rPr>
        <w:fldChar w:fldCharType="begin"/>
      </w:r>
      <w:r w:rsidRPr="001336CB">
        <w:rPr>
          <w:lang w:val="en-US"/>
        </w:rPr>
        <w:instrText xml:space="preserve"> SEQ Table \* ARABIC </w:instrText>
      </w:r>
      <w:r w:rsidRPr="00CF05D2">
        <w:rPr>
          <w:lang w:val="en-GB"/>
        </w:rPr>
        <w:fldChar w:fldCharType="separate"/>
      </w:r>
      <w:r w:rsidR="00E9777B">
        <w:rPr>
          <w:noProof/>
          <w:lang w:val="en-US"/>
        </w:rPr>
        <w:t>9</w:t>
      </w:r>
      <w:r w:rsidRPr="00CF05D2">
        <w:rPr>
          <w:lang w:val="en-GB"/>
        </w:rPr>
        <w:fldChar w:fldCharType="end"/>
      </w:r>
      <w:bookmarkEnd w:id="77"/>
      <w:bookmarkEnd w:id="78"/>
      <w:r w:rsidR="00D51582" w:rsidRPr="00D51582">
        <w:rPr>
          <w:lang w:val="en-GB"/>
        </w:rPr>
        <w:t>:</w:t>
      </w:r>
      <w:r w:rsidRPr="00CF05D2">
        <w:rPr>
          <w:lang w:val="en-GB"/>
        </w:rPr>
        <w:t xml:space="preserve"> Mea</w:t>
      </w:r>
      <w:r w:rsidR="00BD73C6" w:rsidRPr="00CF05D2">
        <w:rPr>
          <w:lang w:val="en-GB"/>
        </w:rPr>
        <w:t>s</w:t>
      </w:r>
      <w:r w:rsidRPr="00CF05D2">
        <w:rPr>
          <w:lang w:val="en-GB"/>
        </w:rPr>
        <w:t xml:space="preserve">ured </w:t>
      </w:r>
      <w:r w:rsidR="005A509E">
        <w:rPr>
          <w:lang w:val="en-GB"/>
        </w:rPr>
        <w:t>blocking performance</w:t>
      </w:r>
      <w:r w:rsidR="00723D53" w:rsidRPr="005E0DF9">
        <w:rPr>
          <w:lang w:val="en-GB"/>
        </w:rPr>
        <w:t xml:space="preserve"> </w:t>
      </w:r>
      <w:r w:rsidR="00723D53" w:rsidRPr="000A6437">
        <w:rPr>
          <w:lang w:val="en-US"/>
        </w:rPr>
        <w:t>levels for</w:t>
      </w:r>
      <w:r w:rsidRPr="005E0DF9">
        <w:rPr>
          <w:lang w:val="en-GB"/>
        </w:rPr>
        <w:t xml:space="preserve"> </w:t>
      </w:r>
      <w:r w:rsidRPr="00CF05D2">
        <w:rPr>
          <w:lang w:val="en-GB"/>
        </w:rPr>
        <w:t>Inmarsat</w:t>
      </w:r>
      <w:r w:rsidR="005050EC" w:rsidRPr="000A6437">
        <w:rPr>
          <w:lang w:val="en-US"/>
        </w:rPr>
        <w:t> </w:t>
      </w:r>
      <w:r w:rsidRPr="00CF05D2">
        <w:rPr>
          <w:lang w:val="en-GB"/>
        </w:rPr>
        <w:t xml:space="preserve">C </w:t>
      </w:r>
      <w:r w:rsidR="00270FC3" w:rsidRPr="000A6437">
        <w:rPr>
          <w:lang w:val="en-US"/>
        </w:rPr>
        <w:t>M</w:t>
      </w:r>
      <w:r w:rsidR="00270FC3" w:rsidRPr="00CF05D2">
        <w:rPr>
          <w:lang w:val="en-GB"/>
        </w:rPr>
        <w:t>odel</w:t>
      </w:r>
      <w:r w:rsidRPr="00CF05D2">
        <w:rPr>
          <w:lang w:val="en-GB"/>
        </w:rPr>
        <w:t xml:space="preserve">-1, </w:t>
      </w:r>
      <w:r w:rsidR="00270FC3" w:rsidRPr="000A6437">
        <w:rPr>
          <w:lang w:val="en-US"/>
        </w:rPr>
        <w:t>M</w:t>
      </w:r>
      <w:r w:rsidR="00270FC3" w:rsidRPr="00CF05D2">
        <w:rPr>
          <w:lang w:val="en-GB"/>
        </w:rPr>
        <w:t>odel</w:t>
      </w:r>
      <w:r w:rsidRPr="00CF05D2">
        <w:rPr>
          <w:lang w:val="en-GB"/>
        </w:rPr>
        <w:t xml:space="preserve">-2 and FB </w:t>
      </w:r>
      <w:r w:rsidR="00270FC3" w:rsidRPr="000A6437">
        <w:rPr>
          <w:lang w:val="en-US"/>
        </w:rPr>
        <w:t>M</w:t>
      </w:r>
      <w:r w:rsidR="00270FC3" w:rsidRPr="00CF05D2">
        <w:rPr>
          <w:lang w:val="en-GB"/>
        </w:rPr>
        <w:t>odel</w:t>
      </w:r>
      <w:r w:rsidRPr="00CF05D2">
        <w:rPr>
          <w:lang w:val="en-GB"/>
        </w:rPr>
        <w:t>-1 from multiple LTE channels</w:t>
      </w:r>
    </w:p>
    <w:tbl>
      <w:tblPr>
        <w:tblStyle w:val="ECCTable-redheader"/>
        <w:tblW w:w="9493" w:type="dxa"/>
        <w:tblInd w:w="0" w:type="dxa"/>
        <w:tblLook w:val="04A0" w:firstRow="1" w:lastRow="0" w:firstColumn="1" w:lastColumn="0" w:noHBand="0" w:noVBand="1"/>
      </w:tblPr>
      <w:tblGrid>
        <w:gridCol w:w="704"/>
        <w:gridCol w:w="1317"/>
        <w:gridCol w:w="2693"/>
        <w:gridCol w:w="2410"/>
        <w:gridCol w:w="2369"/>
      </w:tblGrid>
      <w:tr w:rsidR="00B1234C" w:rsidRPr="00C01EBA" w:rsidTr="00C01EBA">
        <w:trPr>
          <w:cnfStyle w:val="100000000000" w:firstRow="1" w:lastRow="0" w:firstColumn="0" w:lastColumn="0" w:oddVBand="0" w:evenVBand="0" w:oddHBand="0" w:evenHBand="0" w:firstRowFirstColumn="0" w:firstRowLastColumn="0" w:lastRowFirstColumn="0" w:lastRowLastColumn="0"/>
          <w:trHeight w:val="1035"/>
        </w:trPr>
        <w:tc>
          <w:tcPr>
            <w:tcW w:w="704" w:type="dxa"/>
          </w:tcPr>
          <w:p w:rsidR="00D473FD" w:rsidRPr="00C01EBA" w:rsidRDefault="00D473FD" w:rsidP="00C01EBA">
            <w:pPr>
              <w:pStyle w:val="ECCTableHeaderwhitefont"/>
            </w:pPr>
            <w:r w:rsidRPr="00C01EBA">
              <w:t>Case</w:t>
            </w:r>
          </w:p>
        </w:tc>
        <w:tc>
          <w:tcPr>
            <w:tcW w:w="1317" w:type="dxa"/>
          </w:tcPr>
          <w:p w:rsidR="00F50DF2" w:rsidRPr="00C01EBA" w:rsidRDefault="00F50DF2" w:rsidP="00C01EBA">
            <w:pPr>
              <w:pStyle w:val="ECCTableHeaderwhitefont"/>
            </w:pPr>
            <w:r w:rsidRPr="00C01EBA">
              <w:t>Terminal Type/Model</w:t>
            </w:r>
          </w:p>
        </w:tc>
        <w:tc>
          <w:tcPr>
            <w:tcW w:w="2693" w:type="dxa"/>
            <w:hideMark/>
          </w:tcPr>
          <w:p w:rsidR="00F50DF2" w:rsidRPr="00C01EBA" w:rsidRDefault="00F50DF2" w:rsidP="00C01EBA">
            <w:pPr>
              <w:pStyle w:val="ECCTableHeaderwhitefont"/>
            </w:pPr>
            <w:r w:rsidRPr="00C01EBA">
              <w:t xml:space="preserve">Measured blocking </w:t>
            </w:r>
            <w:r w:rsidR="00562700" w:rsidRPr="00C01EBA">
              <w:t xml:space="preserve">performance </w:t>
            </w:r>
            <w:r w:rsidRPr="00C01EBA">
              <w:t>from LTE channel at 1492</w:t>
            </w:r>
            <w:r w:rsidR="00496087" w:rsidRPr="00C01EBA">
              <w:t>-</w:t>
            </w:r>
            <w:r w:rsidRPr="00C01EBA">
              <w:t>1502 MHz (dBm)</w:t>
            </w:r>
          </w:p>
        </w:tc>
        <w:tc>
          <w:tcPr>
            <w:tcW w:w="2410" w:type="dxa"/>
            <w:hideMark/>
          </w:tcPr>
          <w:p w:rsidR="00F50DF2" w:rsidRPr="00C01EBA" w:rsidRDefault="00F50DF2" w:rsidP="00C01EBA">
            <w:pPr>
              <w:pStyle w:val="ECCTableHeaderwhitefont"/>
            </w:pPr>
            <w:r w:rsidRPr="00C01EBA">
              <w:t xml:space="preserve">Measured blocking </w:t>
            </w:r>
            <w:r w:rsidR="00562700" w:rsidRPr="00C01EBA">
              <w:t xml:space="preserve">performance </w:t>
            </w:r>
            <w:r w:rsidRPr="00C01EBA">
              <w:t>from LTE channel at 1502</w:t>
            </w:r>
            <w:r w:rsidR="00496087" w:rsidRPr="00C01EBA">
              <w:t>-</w:t>
            </w:r>
            <w:r w:rsidRPr="00C01EBA">
              <w:t>1512 MHz (dBm)</w:t>
            </w:r>
          </w:p>
        </w:tc>
        <w:tc>
          <w:tcPr>
            <w:tcW w:w="2369" w:type="dxa"/>
            <w:hideMark/>
          </w:tcPr>
          <w:p w:rsidR="00F50DF2" w:rsidRPr="00C01EBA" w:rsidRDefault="00F50DF2" w:rsidP="00C01EBA">
            <w:pPr>
              <w:pStyle w:val="ECCTableHeaderwhitefont"/>
            </w:pPr>
            <w:r w:rsidRPr="00C01EBA">
              <w:t xml:space="preserve">Measured blocking </w:t>
            </w:r>
            <w:r w:rsidR="00562700" w:rsidRPr="00C01EBA">
              <w:t xml:space="preserve">performance </w:t>
            </w:r>
            <w:r w:rsidRPr="00C01EBA">
              <w:t>from LTE channel at 1512</w:t>
            </w:r>
            <w:r w:rsidR="00496087" w:rsidRPr="00C01EBA">
              <w:t>-</w:t>
            </w:r>
            <w:r w:rsidRPr="00C01EBA">
              <w:t>1517 MHz (dBm)</w:t>
            </w:r>
          </w:p>
        </w:tc>
      </w:tr>
      <w:tr w:rsidR="00E9777B" w:rsidRPr="00F50DF2" w:rsidTr="00C01EBA">
        <w:trPr>
          <w:trHeight w:val="57"/>
        </w:trPr>
        <w:tc>
          <w:tcPr>
            <w:tcW w:w="704" w:type="dxa"/>
          </w:tcPr>
          <w:p w:rsidR="00E9777B" w:rsidRDefault="00E9777B" w:rsidP="00873682">
            <w:pPr>
              <w:pStyle w:val="ECCTabletext"/>
            </w:pPr>
            <w:r>
              <w:t>(1)</w:t>
            </w:r>
          </w:p>
        </w:tc>
        <w:tc>
          <w:tcPr>
            <w:tcW w:w="1317" w:type="dxa"/>
            <w:vMerge w:val="restart"/>
          </w:tcPr>
          <w:p w:rsidR="00E9777B" w:rsidRPr="00F50DF2" w:rsidRDefault="00E9777B" w:rsidP="00873682">
            <w:pPr>
              <w:pStyle w:val="ECCTabletext"/>
            </w:pPr>
            <w:r w:rsidRPr="00F50DF2">
              <w:t>FB Model-1</w:t>
            </w:r>
          </w:p>
        </w:tc>
        <w:tc>
          <w:tcPr>
            <w:tcW w:w="2693" w:type="dxa"/>
            <w:noWrap/>
            <w:hideMark/>
          </w:tcPr>
          <w:p w:rsidR="00E9777B" w:rsidRPr="00F50DF2" w:rsidRDefault="00E9777B" w:rsidP="00873682">
            <w:pPr>
              <w:pStyle w:val="ECCTabletext"/>
            </w:pPr>
            <w:r w:rsidRPr="00F50DF2">
              <w:t xml:space="preserve">-57 </w:t>
            </w:r>
          </w:p>
        </w:tc>
        <w:tc>
          <w:tcPr>
            <w:tcW w:w="2410" w:type="dxa"/>
            <w:noWrap/>
            <w:hideMark/>
          </w:tcPr>
          <w:p w:rsidR="00E9777B" w:rsidRPr="00C01EBA" w:rsidRDefault="00E9777B" w:rsidP="00873682">
            <w:pPr>
              <w:pStyle w:val="ECCTabletext"/>
              <w:rPr>
                <w:rStyle w:val="ECCParagraph"/>
                <w:b/>
                <w:bCs/>
                <w:color w:val="FFFFFF" w:themeColor="background1"/>
                <w:szCs w:val="20"/>
              </w:rPr>
            </w:pPr>
            <w:r w:rsidRPr="00C01EBA">
              <w:rPr>
                <w:rStyle w:val="ECCParagraph"/>
              </w:rPr>
              <w:t xml:space="preserve">-57 </w:t>
            </w:r>
          </w:p>
        </w:tc>
        <w:tc>
          <w:tcPr>
            <w:tcW w:w="2369" w:type="dxa"/>
            <w:noWrap/>
            <w:hideMark/>
          </w:tcPr>
          <w:p w:rsidR="00E9777B" w:rsidRPr="00C01EBA" w:rsidRDefault="00E9777B" w:rsidP="00873682">
            <w:pPr>
              <w:pStyle w:val="ECCTabletext"/>
              <w:rPr>
                <w:rStyle w:val="ECCParagraph"/>
                <w:b/>
                <w:bCs/>
                <w:color w:val="FFFFFF" w:themeColor="background1"/>
                <w:szCs w:val="20"/>
              </w:rPr>
            </w:pPr>
            <w:r w:rsidRPr="00C01EBA">
              <w:rPr>
                <w:rStyle w:val="ECCParagraph"/>
              </w:rPr>
              <w:t xml:space="preserve">-64 </w:t>
            </w:r>
          </w:p>
        </w:tc>
      </w:tr>
      <w:tr w:rsidR="00E9777B" w:rsidRPr="00F50DF2" w:rsidTr="00C01EBA">
        <w:trPr>
          <w:trHeight w:val="57"/>
        </w:trPr>
        <w:tc>
          <w:tcPr>
            <w:tcW w:w="704" w:type="dxa"/>
          </w:tcPr>
          <w:p w:rsidR="00E9777B" w:rsidRPr="00F50DF2" w:rsidRDefault="00E9777B" w:rsidP="00873682">
            <w:pPr>
              <w:pStyle w:val="ECCTabletext"/>
            </w:pPr>
            <w:r>
              <w:t>(2)</w:t>
            </w:r>
          </w:p>
        </w:tc>
        <w:tc>
          <w:tcPr>
            <w:tcW w:w="1317" w:type="dxa"/>
            <w:vMerge/>
          </w:tcPr>
          <w:p w:rsidR="00E9777B" w:rsidRPr="00F50DF2" w:rsidRDefault="00E9777B" w:rsidP="00873682">
            <w:pPr>
              <w:pStyle w:val="ECCTabletext"/>
            </w:pPr>
          </w:p>
        </w:tc>
        <w:tc>
          <w:tcPr>
            <w:tcW w:w="2693" w:type="dxa"/>
            <w:noWrap/>
            <w:hideMark/>
          </w:tcPr>
          <w:p w:rsidR="00E9777B" w:rsidRPr="00F50DF2" w:rsidRDefault="00E9777B" w:rsidP="00873682">
            <w:pPr>
              <w:pStyle w:val="ECCTabletext"/>
            </w:pPr>
            <w:r w:rsidRPr="00CB301E">
              <w:t>Not tested</w:t>
            </w:r>
            <w:r>
              <w:t>*</w:t>
            </w:r>
          </w:p>
        </w:tc>
        <w:tc>
          <w:tcPr>
            <w:tcW w:w="2410" w:type="dxa"/>
            <w:noWrap/>
            <w:hideMark/>
          </w:tcPr>
          <w:p w:rsidR="00E9777B" w:rsidRPr="00C01EBA" w:rsidRDefault="00E9777B" w:rsidP="00873682">
            <w:pPr>
              <w:pStyle w:val="ECCTabletext"/>
              <w:rPr>
                <w:rStyle w:val="ECCParagraph"/>
              </w:rPr>
            </w:pPr>
            <w:r w:rsidRPr="00C01EBA">
              <w:rPr>
                <w:rStyle w:val="ECCParagraph"/>
              </w:rPr>
              <w:t>-55</w:t>
            </w:r>
          </w:p>
        </w:tc>
        <w:tc>
          <w:tcPr>
            <w:tcW w:w="2369" w:type="dxa"/>
            <w:noWrap/>
            <w:hideMark/>
          </w:tcPr>
          <w:p w:rsidR="00E9777B" w:rsidRPr="00C01EBA" w:rsidRDefault="00E9777B" w:rsidP="00873682">
            <w:pPr>
              <w:pStyle w:val="ECCTabletext"/>
              <w:rPr>
                <w:rStyle w:val="ECCParagraph"/>
              </w:rPr>
            </w:pPr>
            <w:r w:rsidRPr="00C01EBA">
              <w:rPr>
                <w:rStyle w:val="ECCParagraph"/>
              </w:rPr>
              <w:t>-65</w:t>
            </w:r>
          </w:p>
        </w:tc>
      </w:tr>
      <w:tr w:rsidR="00CC2AF4" w:rsidRPr="00F50DF2" w:rsidTr="00C01EBA">
        <w:trPr>
          <w:trHeight w:val="57"/>
        </w:trPr>
        <w:tc>
          <w:tcPr>
            <w:tcW w:w="704" w:type="dxa"/>
          </w:tcPr>
          <w:p w:rsidR="00D473FD" w:rsidRDefault="00D473FD" w:rsidP="00873682">
            <w:pPr>
              <w:pStyle w:val="ECCTabletext"/>
            </w:pPr>
            <w:r>
              <w:t>(1)</w:t>
            </w:r>
          </w:p>
        </w:tc>
        <w:tc>
          <w:tcPr>
            <w:tcW w:w="1317" w:type="dxa"/>
            <w:vMerge w:val="restart"/>
          </w:tcPr>
          <w:p w:rsidR="00F50DF2" w:rsidRPr="00F50DF2" w:rsidRDefault="00F50DF2" w:rsidP="00873682">
            <w:pPr>
              <w:pStyle w:val="ECCTabletext"/>
            </w:pPr>
            <w:r w:rsidRPr="00F50DF2">
              <w:t>Inmarsat</w:t>
            </w:r>
            <w:r w:rsidR="005050EC" w:rsidRPr="005050EC">
              <w:t> </w:t>
            </w:r>
            <w:r w:rsidRPr="00F50DF2">
              <w:t xml:space="preserve">C </w:t>
            </w:r>
            <w:r w:rsidR="005D4C9B">
              <w:t>M</w:t>
            </w:r>
            <w:r w:rsidR="005D4C9B" w:rsidRPr="00F50DF2">
              <w:t xml:space="preserve">odel </w:t>
            </w:r>
            <w:r w:rsidRPr="00F50DF2">
              <w:t>1</w:t>
            </w:r>
          </w:p>
        </w:tc>
        <w:tc>
          <w:tcPr>
            <w:tcW w:w="2693" w:type="dxa"/>
            <w:noWrap/>
          </w:tcPr>
          <w:p w:rsidR="00F50DF2" w:rsidRPr="00F50DF2" w:rsidRDefault="00F50DF2" w:rsidP="00873682">
            <w:pPr>
              <w:pStyle w:val="ECCTabletext"/>
            </w:pPr>
            <w:r w:rsidRPr="00F50DF2">
              <w:t>-70</w:t>
            </w:r>
          </w:p>
        </w:tc>
        <w:tc>
          <w:tcPr>
            <w:tcW w:w="2410" w:type="dxa"/>
            <w:noWrap/>
          </w:tcPr>
          <w:p w:rsidR="00F50DF2" w:rsidRPr="00C01EBA" w:rsidRDefault="00F50DF2" w:rsidP="00873682">
            <w:pPr>
              <w:pStyle w:val="ECCTabletext"/>
              <w:rPr>
                <w:rStyle w:val="ECCParagraph"/>
              </w:rPr>
            </w:pPr>
            <w:r w:rsidRPr="00C01EBA">
              <w:rPr>
                <w:rStyle w:val="ECCParagraph"/>
              </w:rPr>
              <w:t>-70</w:t>
            </w:r>
          </w:p>
        </w:tc>
        <w:tc>
          <w:tcPr>
            <w:tcW w:w="2369" w:type="dxa"/>
            <w:noWrap/>
          </w:tcPr>
          <w:p w:rsidR="00F50DF2" w:rsidRPr="00C01EBA" w:rsidRDefault="00F50DF2" w:rsidP="00873682">
            <w:pPr>
              <w:pStyle w:val="ECCTabletext"/>
              <w:rPr>
                <w:rStyle w:val="ECCParagraph"/>
              </w:rPr>
            </w:pPr>
            <w:r w:rsidRPr="00C01EBA">
              <w:rPr>
                <w:rStyle w:val="ECCParagraph"/>
              </w:rPr>
              <w:t>-77</w:t>
            </w:r>
          </w:p>
        </w:tc>
      </w:tr>
      <w:tr w:rsidR="00B1234C" w:rsidRPr="00F50DF2" w:rsidTr="00C01EBA">
        <w:trPr>
          <w:trHeight w:val="57"/>
        </w:trPr>
        <w:tc>
          <w:tcPr>
            <w:tcW w:w="704" w:type="dxa"/>
          </w:tcPr>
          <w:p w:rsidR="00F50DF2" w:rsidRPr="00F50DF2" w:rsidRDefault="00D473FD" w:rsidP="00873682">
            <w:pPr>
              <w:pStyle w:val="ECCTabletext"/>
            </w:pPr>
            <w:r>
              <w:t>(2)</w:t>
            </w:r>
          </w:p>
        </w:tc>
        <w:tc>
          <w:tcPr>
            <w:tcW w:w="1317" w:type="dxa"/>
            <w:vMerge/>
          </w:tcPr>
          <w:p w:rsidR="00D473FD" w:rsidRPr="00F50DF2" w:rsidRDefault="00D473FD" w:rsidP="00873682">
            <w:pPr>
              <w:pStyle w:val="ECCTabletext"/>
            </w:pPr>
          </w:p>
        </w:tc>
        <w:tc>
          <w:tcPr>
            <w:tcW w:w="2693" w:type="dxa"/>
            <w:noWrap/>
          </w:tcPr>
          <w:p w:rsidR="00F50DF2" w:rsidRPr="00F50DF2" w:rsidRDefault="00CB301E" w:rsidP="00873682">
            <w:pPr>
              <w:pStyle w:val="ECCTabletext"/>
            </w:pPr>
            <w:r w:rsidRPr="00CB301E">
              <w:t>Not tested</w:t>
            </w:r>
            <w:r w:rsidR="008B5F63">
              <w:t>*</w:t>
            </w:r>
          </w:p>
        </w:tc>
        <w:tc>
          <w:tcPr>
            <w:tcW w:w="2410" w:type="dxa"/>
            <w:noWrap/>
          </w:tcPr>
          <w:p w:rsidR="00F50DF2" w:rsidRPr="00C01EBA" w:rsidRDefault="00F50DF2" w:rsidP="00873682">
            <w:pPr>
              <w:pStyle w:val="ECCTabletext"/>
              <w:rPr>
                <w:rStyle w:val="ECCParagraph"/>
              </w:rPr>
            </w:pPr>
            <w:r w:rsidRPr="00C01EBA">
              <w:rPr>
                <w:rStyle w:val="ECCParagraph"/>
              </w:rPr>
              <w:t>-67</w:t>
            </w:r>
          </w:p>
        </w:tc>
        <w:tc>
          <w:tcPr>
            <w:tcW w:w="2369" w:type="dxa"/>
            <w:noWrap/>
          </w:tcPr>
          <w:p w:rsidR="00F50DF2" w:rsidRPr="00C01EBA" w:rsidRDefault="00F50DF2" w:rsidP="00873682">
            <w:pPr>
              <w:pStyle w:val="ECCTabletext"/>
              <w:rPr>
                <w:rStyle w:val="ECCParagraph"/>
              </w:rPr>
            </w:pPr>
            <w:r w:rsidRPr="00C01EBA">
              <w:rPr>
                <w:rStyle w:val="ECCParagraph"/>
              </w:rPr>
              <w:t>-78</w:t>
            </w:r>
          </w:p>
        </w:tc>
      </w:tr>
      <w:tr w:rsidR="00CC2AF4" w:rsidRPr="00F50DF2" w:rsidTr="00C01EBA">
        <w:trPr>
          <w:trHeight w:val="57"/>
        </w:trPr>
        <w:tc>
          <w:tcPr>
            <w:tcW w:w="704" w:type="dxa"/>
          </w:tcPr>
          <w:p w:rsidR="00D473FD" w:rsidRDefault="00D473FD" w:rsidP="00873682">
            <w:pPr>
              <w:pStyle w:val="ECCTabletext"/>
            </w:pPr>
            <w:r>
              <w:t>(1)</w:t>
            </w:r>
          </w:p>
        </w:tc>
        <w:tc>
          <w:tcPr>
            <w:tcW w:w="1317" w:type="dxa"/>
            <w:vMerge w:val="restart"/>
          </w:tcPr>
          <w:p w:rsidR="00F50DF2" w:rsidRPr="00F50DF2" w:rsidRDefault="00F50DF2" w:rsidP="00873682">
            <w:pPr>
              <w:pStyle w:val="ECCTabletext"/>
            </w:pPr>
            <w:r w:rsidRPr="00F50DF2">
              <w:t>Inmarsat</w:t>
            </w:r>
            <w:r w:rsidR="005050EC" w:rsidRPr="005050EC">
              <w:t> </w:t>
            </w:r>
            <w:r w:rsidRPr="00F50DF2">
              <w:t xml:space="preserve">C </w:t>
            </w:r>
            <w:r w:rsidR="005D4C9B">
              <w:t>M</w:t>
            </w:r>
            <w:r w:rsidR="005D4C9B" w:rsidRPr="00F50DF2">
              <w:t xml:space="preserve">odel </w:t>
            </w:r>
            <w:r w:rsidRPr="00F50DF2">
              <w:t>2</w:t>
            </w:r>
          </w:p>
        </w:tc>
        <w:tc>
          <w:tcPr>
            <w:tcW w:w="2693" w:type="dxa"/>
            <w:noWrap/>
          </w:tcPr>
          <w:p w:rsidR="00F50DF2" w:rsidRPr="00F50DF2" w:rsidRDefault="00F50DF2" w:rsidP="00873682">
            <w:pPr>
              <w:pStyle w:val="ECCTabletext"/>
            </w:pPr>
            <w:r w:rsidRPr="00F50DF2">
              <w:t>-55</w:t>
            </w:r>
          </w:p>
        </w:tc>
        <w:tc>
          <w:tcPr>
            <w:tcW w:w="2410" w:type="dxa"/>
            <w:noWrap/>
          </w:tcPr>
          <w:p w:rsidR="00F50DF2" w:rsidRPr="00C01EBA" w:rsidRDefault="00F50DF2" w:rsidP="00873682">
            <w:pPr>
              <w:pStyle w:val="ECCTabletext"/>
              <w:rPr>
                <w:rStyle w:val="ECCParagraph"/>
              </w:rPr>
            </w:pPr>
            <w:r w:rsidRPr="00C01EBA">
              <w:rPr>
                <w:rStyle w:val="ECCParagraph"/>
              </w:rPr>
              <w:t>-55</w:t>
            </w:r>
          </w:p>
        </w:tc>
        <w:tc>
          <w:tcPr>
            <w:tcW w:w="2369" w:type="dxa"/>
            <w:noWrap/>
          </w:tcPr>
          <w:p w:rsidR="00F50DF2" w:rsidRPr="00C01EBA" w:rsidRDefault="00F50DF2" w:rsidP="00873682">
            <w:pPr>
              <w:pStyle w:val="ECCTabletext"/>
              <w:rPr>
                <w:rStyle w:val="ECCParagraph"/>
              </w:rPr>
            </w:pPr>
            <w:r w:rsidRPr="00C01EBA">
              <w:rPr>
                <w:rStyle w:val="ECCParagraph"/>
              </w:rPr>
              <w:t>-63</w:t>
            </w:r>
          </w:p>
        </w:tc>
      </w:tr>
      <w:tr w:rsidR="00B1234C" w:rsidRPr="00F50DF2" w:rsidTr="00C01EBA">
        <w:trPr>
          <w:trHeight w:val="57"/>
        </w:trPr>
        <w:tc>
          <w:tcPr>
            <w:tcW w:w="704" w:type="dxa"/>
          </w:tcPr>
          <w:p w:rsidR="00F50DF2" w:rsidRPr="00F50DF2" w:rsidRDefault="00D473FD" w:rsidP="00873682">
            <w:pPr>
              <w:pStyle w:val="ECCTabletext"/>
            </w:pPr>
            <w:r>
              <w:t>(2)</w:t>
            </w:r>
          </w:p>
        </w:tc>
        <w:tc>
          <w:tcPr>
            <w:tcW w:w="1317" w:type="dxa"/>
            <w:vMerge/>
          </w:tcPr>
          <w:p w:rsidR="00D473FD" w:rsidRPr="00F50DF2" w:rsidRDefault="00D473FD" w:rsidP="00873682">
            <w:pPr>
              <w:pStyle w:val="ECCTabletext"/>
            </w:pPr>
          </w:p>
        </w:tc>
        <w:tc>
          <w:tcPr>
            <w:tcW w:w="2693" w:type="dxa"/>
            <w:noWrap/>
          </w:tcPr>
          <w:p w:rsidR="00F50DF2" w:rsidRPr="00F50DF2" w:rsidRDefault="00CB301E" w:rsidP="00873682">
            <w:pPr>
              <w:pStyle w:val="ECCTabletext"/>
            </w:pPr>
            <w:r w:rsidRPr="00CB301E">
              <w:t>Not tested</w:t>
            </w:r>
            <w:r w:rsidR="008B5F63">
              <w:t>*</w:t>
            </w:r>
          </w:p>
        </w:tc>
        <w:tc>
          <w:tcPr>
            <w:tcW w:w="2410" w:type="dxa"/>
            <w:noWrap/>
          </w:tcPr>
          <w:p w:rsidR="00F50DF2" w:rsidRPr="00C01EBA" w:rsidRDefault="00F50DF2" w:rsidP="00873682">
            <w:pPr>
              <w:pStyle w:val="ECCTabletext"/>
              <w:rPr>
                <w:rStyle w:val="ECCParagraph"/>
              </w:rPr>
            </w:pPr>
            <w:r w:rsidRPr="00C01EBA">
              <w:rPr>
                <w:rStyle w:val="ECCParagraph"/>
              </w:rPr>
              <w:t>-52</w:t>
            </w:r>
          </w:p>
        </w:tc>
        <w:tc>
          <w:tcPr>
            <w:tcW w:w="2369" w:type="dxa"/>
            <w:noWrap/>
          </w:tcPr>
          <w:p w:rsidR="00F50DF2" w:rsidRPr="00C01EBA" w:rsidRDefault="00F50DF2" w:rsidP="00873682">
            <w:pPr>
              <w:pStyle w:val="ECCTabletext"/>
              <w:rPr>
                <w:rStyle w:val="ECCParagraph"/>
              </w:rPr>
            </w:pPr>
            <w:r w:rsidRPr="00C01EBA">
              <w:rPr>
                <w:rStyle w:val="ECCParagraph"/>
              </w:rPr>
              <w:t>-63</w:t>
            </w:r>
          </w:p>
        </w:tc>
      </w:tr>
      <w:tr w:rsidR="008B5F63" w:rsidRPr="00F50DF2" w:rsidTr="008B5F63">
        <w:trPr>
          <w:trHeight w:val="57"/>
        </w:trPr>
        <w:tc>
          <w:tcPr>
            <w:tcW w:w="9493" w:type="dxa"/>
            <w:gridSpan w:val="5"/>
          </w:tcPr>
          <w:p w:rsidR="008B5F63" w:rsidRPr="00DD36C7" w:rsidRDefault="008B5F63" w:rsidP="006C7C62">
            <w:pPr>
              <w:pStyle w:val="ECCTablenote"/>
              <w:rPr>
                <w:rStyle w:val="ECCParagraph"/>
              </w:rPr>
            </w:pPr>
            <w:r>
              <w:t xml:space="preserve">* </w:t>
            </w:r>
            <w:r w:rsidRPr="00E25286">
              <w:t>For case (2), there was no signal generated in the channel 1492-1502 MHz</w:t>
            </w:r>
          </w:p>
        </w:tc>
      </w:tr>
    </w:tbl>
    <w:p w:rsidR="00F50DF2" w:rsidRPr="00CF05D2" w:rsidRDefault="00F50DF2" w:rsidP="00F50DF2"/>
    <w:p w:rsidR="00DA41FD" w:rsidRPr="00CF05D2" w:rsidRDefault="00DA41FD" w:rsidP="00DA41FD">
      <w:pPr>
        <w:pStyle w:val="Heading1"/>
        <w:rPr>
          <w:lang w:val="en-GB"/>
        </w:rPr>
      </w:pPr>
      <w:bookmarkStart w:id="79" w:name="_Toc525544411"/>
      <w:bookmarkStart w:id="80" w:name="_Toc528659173"/>
      <w:bookmarkStart w:id="81" w:name="_Toc3285882"/>
      <w:r w:rsidRPr="00CF05D2">
        <w:rPr>
          <w:lang w:val="en-GB"/>
        </w:rPr>
        <w:lastRenderedPageBreak/>
        <w:t>O</w:t>
      </w:r>
      <w:r w:rsidR="005930F1" w:rsidRPr="00CF05D2">
        <w:rPr>
          <w:lang w:val="en-GB"/>
        </w:rPr>
        <w:t>perational requirements</w:t>
      </w:r>
      <w:bookmarkEnd w:id="79"/>
      <w:bookmarkEnd w:id="80"/>
      <w:bookmarkEnd w:id="81"/>
    </w:p>
    <w:p w:rsidR="00DA41FD" w:rsidRPr="00CF05D2" w:rsidRDefault="005930F1" w:rsidP="00DA41FD">
      <w:pPr>
        <w:pStyle w:val="Heading2"/>
        <w:rPr>
          <w:lang w:val="en-GB"/>
        </w:rPr>
      </w:pPr>
      <w:bookmarkStart w:id="82" w:name="_Toc524082710"/>
      <w:bookmarkStart w:id="83" w:name="_Toc524356720"/>
      <w:bookmarkStart w:id="84" w:name="_Toc524360621"/>
      <w:bookmarkStart w:id="85" w:name="_Toc524361083"/>
      <w:bookmarkStart w:id="86" w:name="_Toc524361175"/>
      <w:bookmarkStart w:id="87" w:name="_Toc525544412"/>
      <w:bookmarkStart w:id="88" w:name="_Ref534369337"/>
      <w:bookmarkStart w:id="89" w:name="_Toc528659174"/>
      <w:bookmarkStart w:id="90" w:name="_Toc3285883"/>
      <w:bookmarkEnd w:id="82"/>
      <w:bookmarkEnd w:id="83"/>
      <w:bookmarkEnd w:id="84"/>
      <w:bookmarkEnd w:id="85"/>
      <w:bookmarkEnd w:id="86"/>
      <w:r w:rsidRPr="00CF05D2">
        <w:rPr>
          <w:lang w:val="en-GB"/>
        </w:rPr>
        <w:t>Aeronautical</w:t>
      </w:r>
      <w:bookmarkEnd w:id="87"/>
      <w:bookmarkEnd w:id="88"/>
      <w:bookmarkEnd w:id="89"/>
      <w:bookmarkEnd w:id="90"/>
    </w:p>
    <w:p w:rsidR="000256F1" w:rsidRPr="004070BC" w:rsidRDefault="000256F1" w:rsidP="000256F1">
      <w:pPr>
        <w:rPr>
          <w:rStyle w:val="ECCParagraph"/>
        </w:rPr>
      </w:pPr>
      <w:r w:rsidRPr="004070BC">
        <w:rPr>
          <w:rStyle w:val="ECCParagraph"/>
        </w:rPr>
        <w:t>Since the early 1990s, aeronautical L-band (1525</w:t>
      </w:r>
      <w:r w:rsidR="00574FD3">
        <w:rPr>
          <w:rStyle w:val="ECCParagraph"/>
        </w:rPr>
        <w:t>-</w:t>
      </w:r>
      <w:r w:rsidRPr="004070BC">
        <w:rPr>
          <w:rStyle w:val="ECCParagraph"/>
        </w:rPr>
        <w:t xml:space="preserve">1559 MHz) </w:t>
      </w:r>
      <w:r w:rsidR="00C1325C" w:rsidRPr="004070BC">
        <w:rPr>
          <w:rStyle w:val="ECCParagraph"/>
        </w:rPr>
        <w:t>MSS</w:t>
      </w:r>
      <w:r w:rsidR="008A3169" w:rsidRPr="004070BC">
        <w:rPr>
          <w:rStyle w:val="ECCParagraph"/>
        </w:rPr>
        <w:t xml:space="preserve"> </w:t>
      </w:r>
      <w:r w:rsidRPr="004070BC">
        <w:rPr>
          <w:rStyle w:val="ECCParagraph"/>
        </w:rPr>
        <w:t xml:space="preserve">have been incorporated into the Future Air Navigation System (FANS 1/A) to provide direct data link communications between the aircraft and Air Traffic Control, which together with satellite voice communications allow for the safe separation of aircraft in oceanic and remote airspace when out of range of terrestrial surveillance (civil aviation radar and/or ADS-B) and terrestrial data and voice communications. </w:t>
      </w:r>
    </w:p>
    <w:p w:rsidR="000256F1" w:rsidRPr="004070BC" w:rsidRDefault="000256F1" w:rsidP="000256F1">
      <w:pPr>
        <w:rPr>
          <w:rStyle w:val="ECCParagraph"/>
        </w:rPr>
      </w:pPr>
      <w:r w:rsidRPr="004070BC">
        <w:rPr>
          <w:rStyle w:val="ECCParagraph"/>
        </w:rPr>
        <w:t>FANS 1/A services are provided via ADS-C (Automatic Dependent Surveillance-Contract) and for data link communications via CPDLC (Controller Pilot Data Link Communications), for which globally harmonised guidance and information is provided by the International Civil Aviation Organization (ICAO) via the Global Operational Data Link Document (GOLD).</w:t>
      </w:r>
    </w:p>
    <w:p w:rsidR="00780501" w:rsidRPr="004070BC" w:rsidRDefault="00780501" w:rsidP="00780501">
      <w:pPr>
        <w:rPr>
          <w:rStyle w:val="ECCParagraph"/>
        </w:rPr>
      </w:pPr>
      <w:r w:rsidRPr="004070BC">
        <w:rPr>
          <w:rStyle w:val="ECCParagraph"/>
        </w:rPr>
        <w:t xml:space="preserve">EASA (European Aviation Safety Agency) regulations govern the operations of </w:t>
      </w:r>
      <w:r w:rsidR="001A7236">
        <w:rPr>
          <w:rStyle w:val="ECCParagraph"/>
        </w:rPr>
        <w:t>a</w:t>
      </w:r>
      <w:r w:rsidRPr="004070BC">
        <w:rPr>
          <w:rStyle w:val="ECCParagraph"/>
        </w:rPr>
        <w:t xml:space="preserve">irlines based in the European Union. Specifically EASA regulation CAT.IDE.A.105 </w:t>
      </w:r>
      <w:r w:rsidR="007745DC">
        <w:rPr>
          <w:rStyle w:val="ECCParagraph"/>
        </w:rPr>
        <w:fldChar w:fldCharType="begin"/>
      </w:r>
      <w:r w:rsidR="007745DC">
        <w:rPr>
          <w:rStyle w:val="ECCParagraph"/>
        </w:rPr>
        <w:instrText xml:space="preserve"> REF _Ref534366853 \r \h </w:instrText>
      </w:r>
      <w:r w:rsidR="007745DC">
        <w:rPr>
          <w:rStyle w:val="ECCParagraph"/>
        </w:rPr>
      </w:r>
      <w:r w:rsidR="007745DC">
        <w:rPr>
          <w:rStyle w:val="ECCParagraph"/>
        </w:rPr>
        <w:fldChar w:fldCharType="separate"/>
      </w:r>
      <w:r w:rsidR="00F070A1">
        <w:rPr>
          <w:rStyle w:val="ECCParagraph"/>
        </w:rPr>
        <w:t>[5]</w:t>
      </w:r>
      <w:r w:rsidR="007745DC">
        <w:rPr>
          <w:rStyle w:val="ECCParagraph"/>
        </w:rPr>
        <w:fldChar w:fldCharType="end"/>
      </w:r>
      <w:r w:rsidR="007745DC">
        <w:rPr>
          <w:rStyle w:val="ECCParagraph"/>
        </w:rPr>
        <w:t xml:space="preserve"> </w:t>
      </w:r>
      <w:r w:rsidRPr="004070BC">
        <w:rPr>
          <w:rStyle w:val="ECCParagraph"/>
        </w:rPr>
        <w:t>states:</w:t>
      </w:r>
    </w:p>
    <w:p w:rsidR="00780501" w:rsidRPr="00780501" w:rsidRDefault="00780501" w:rsidP="004070BC">
      <w:pPr>
        <w:pStyle w:val="ECCBulletsLv1"/>
        <w:rPr>
          <w:rStyle w:val="ECCParagraph"/>
        </w:rPr>
      </w:pPr>
      <w:r w:rsidRPr="00780501">
        <w:rPr>
          <w:rStyle w:val="ECCParagraph"/>
        </w:rPr>
        <w:t>CAT.IDE.A.105 Minimum Equipment for Flight</w:t>
      </w:r>
      <w:r w:rsidR="007213DC">
        <w:rPr>
          <w:rStyle w:val="ECCParagraph"/>
        </w:rPr>
        <w:t>;</w:t>
      </w:r>
    </w:p>
    <w:p w:rsidR="00780501" w:rsidRPr="00780501" w:rsidRDefault="00780501" w:rsidP="00780501">
      <w:pPr>
        <w:pStyle w:val="ECCBulletsLv1"/>
        <w:rPr>
          <w:rStyle w:val="ECCParagraph"/>
        </w:rPr>
      </w:pPr>
      <w:r w:rsidRPr="00780501">
        <w:rPr>
          <w:rStyle w:val="ECCParagraph"/>
        </w:rPr>
        <w:t>A flight shall not be commenced when any of the aeroplane’s instruments, items of equipment or functions required for the intended flight are inoperative or missing, unless</w:t>
      </w:r>
      <w:r w:rsidR="007213DC">
        <w:rPr>
          <w:rStyle w:val="ECCParagraph"/>
        </w:rPr>
        <w:t>;</w:t>
      </w:r>
    </w:p>
    <w:p w:rsidR="00780501" w:rsidRPr="00780501" w:rsidRDefault="00780501" w:rsidP="00A4093C">
      <w:pPr>
        <w:pStyle w:val="ECCLetteredList"/>
        <w:rPr>
          <w:rStyle w:val="ECCParagraph"/>
        </w:rPr>
      </w:pPr>
      <w:r w:rsidRPr="00780501">
        <w:rPr>
          <w:rStyle w:val="ECCParagraph"/>
        </w:rPr>
        <w:t xml:space="preserve">the aeroplane is operated in accordance with the operator’s MEL </w:t>
      </w:r>
      <w:r w:rsidR="00CE64D9">
        <w:rPr>
          <w:rStyle w:val="ECCParagraph"/>
        </w:rPr>
        <w:t>(</w:t>
      </w:r>
      <w:r w:rsidRPr="00780501">
        <w:rPr>
          <w:rStyle w:val="ECCParagraph"/>
        </w:rPr>
        <w:t>Minimum Equipment List); or</w:t>
      </w:r>
    </w:p>
    <w:p w:rsidR="00D30B5D" w:rsidRPr="000256F1" w:rsidRDefault="00780501" w:rsidP="00A4093C">
      <w:pPr>
        <w:pStyle w:val="ECCLetteredList"/>
      </w:pPr>
      <w:r w:rsidRPr="00780501">
        <w:rPr>
          <w:rStyle w:val="ECCParagraph"/>
        </w:rPr>
        <w:t>the operator is approved by the competent authority to operate the aeroplane within the constraints of the master minimum equipment list (MMEL).</w:t>
      </w:r>
    </w:p>
    <w:p w:rsidR="000256F1" w:rsidRPr="004070BC" w:rsidRDefault="000256F1" w:rsidP="000256F1">
      <w:pPr>
        <w:rPr>
          <w:rStyle w:val="ECCParagraph"/>
        </w:rPr>
      </w:pPr>
      <w:r w:rsidRPr="004070BC">
        <w:rPr>
          <w:rStyle w:val="ECCParagraph"/>
        </w:rPr>
        <w:t xml:space="preserve">The MMEL (Master Minimum Equipment List) as approved by EASA at the time of aircraft type certification defines what the aircraft is allowed to do or not do if a piece of equipment is not functioning in relation to the safety and regularity of flight operations. This can range from not flying, landing immediately, etc. to carrying more fuel. </w:t>
      </w:r>
    </w:p>
    <w:p w:rsidR="004F7183" w:rsidRPr="00316F7A" w:rsidRDefault="000256F1" w:rsidP="004F7183">
      <w:pPr>
        <w:rPr>
          <w:rStyle w:val="ECCHLmagenta"/>
        </w:rPr>
      </w:pPr>
      <w:r w:rsidRPr="004070BC">
        <w:rPr>
          <w:rStyle w:val="ECCParagraph"/>
        </w:rPr>
        <w:t>FANS equipment is typically included in the MMEL for aircraft which will operate on FANS routes and in the MEL for the airline. In order to comply with regulations, including those above, it is standard and necessary procedure to verify that all required equipment and systems for the flight are serviceable during the normal dispatch and pre-departure procedures.</w:t>
      </w:r>
      <w:r w:rsidR="00CF4202">
        <w:rPr>
          <w:rStyle w:val="ECCParagraph"/>
        </w:rPr>
        <w:t xml:space="preserve"> </w:t>
      </w:r>
      <w:r w:rsidR="00CF4202" w:rsidRPr="00CF4202">
        <w:t xml:space="preserve">During the pre-flight check, typically at the departure gate, the MSS </w:t>
      </w:r>
      <w:r w:rsidR="00CA26C2">
        <w:t>S</w:t>
      </w:r>
      <w:r w:rsidR="00CF4202" w:rsidRPr="00CF4202">
        <w:t>atcom system will initiate self-checks once power becomes available from the aircraft power busses, following which it will complete the log-on sequence to the Inmarsat network.</w:t>
      </w:r>
      <w:r w:rsidR="00CF4202">
        <w:t xml:space="preserve"> </w:t>
      </w:r>
    </w:p>
    <w:p w:rsidR="000256F1" w:rsidRPr="004070BC" w:rsidRDefault="000256F1" w:rsidP="000256F1">
      <w:pPr>
        <w:rPr>
          <w:rStyle w:val="ECCParagraph"/>
        </w:rPr>
      </w:pPr>
      <w:r w:rsidRPr="004070BC">
        <w:rPr>
          <w:rStyle w:val="ECCParagraph"/>
        </w:rPr>
        <w:t xml:space="preserve">As well as being fitted to commercial air transport aircraft, Inmarsat </w:t>
      </w:r>
      <w:r w:rsidR="00C663EF" w:rsidRPr="004070BC">
        <w:rPr>
          <w:rStyle w:val="ECCParagraph"/>
        </w:rPr>
        <w:t>S</w:t>
      </w:r>
      <w:r w:rsidRPr="004070BC">
        <w:rPr>
          <w:rStyle w:val="ECCParagraph"/>
        </w:rPr>
        <w:t xml:space="preserve">atcom is also fitted to business jets and to government aircraft. Government aircraft fitted with Inmarsat </w:t>
      </w:r>
      <w:r w:rsidR="00C663EF" w:rsidRPr="004070BC">
        <w:rPr>
          <w:rStyle w:val="ECCParagraph"/>
        </w:rPr>
        <w:t>S</w:t>
      </w:r>
      <w:r w:rsidRPr="004070BC">
        <w:rPr>
          <w:rStyle w:val="ECCParagraph"/>
        </w:rPr>
        <w:t>atcom include both military transport aircraft (e</w:t>
      </w:r>
      <w:r w:rsidR="00496087" w:rsidRPr="004070BC">
        <w:rPr>
          <w:rStyle w:val="ECCParagraph"/>
        </w:rPr>
        <w:t>.</w:t>
      </w:r>
      <w:r w:rsidRPr="004070BC">
        <w:rPr>
          <w:rStyle w:val="ECCParagraph"/>
        </w:rPr>
        <w:t>g</w:t>
      </w:r>
      <w:r w:rsidR="00496087" w:rsidRPr="004070BC">
        <w:rPr>
          <w:rStyle w:val="ECCParagraph"/>
        </w:rPr>
        <w:t>.</w:t>
      </w:r>
      <w:r w:rsidRPr="004070BC">
        <w:rPr>
          <w:rStyle w:val="ECCParagraph"/>
        </w:rPr>
        <w:t xml:space="preserve"> C130, C17 and A400M) as well as aircraft used for transporting government officials. Both these groups of users typically use airports that are different to those used for international civil aviation transport flights. Consequently</w:t>
      </w:r>
      <w:r w:rsidR="00325B09" w:rsidRPr="004070BC">
        <w:rPr>
          <w:rStyle w:val="ECCParagraph"/>
        </w:rPr>
        <w:t>,</w:t>
      </w:r>
      <w:r w:rsidRPr="004070BC">
        <w:rPr>
          <w:rStyle w:val="ECCParagraph"/>
        </w:rPr>
        <w:t xml:space="preserve"> this has a bearing on the list of airports that may require protection.</w:t>
      </w:r>
    </w:p>
    <w:p w:rsidR="00D569E2" w:rsidRPr="005E0DF9" w:rsidRDefault="00D27E20" w:rsidP="00D569E2">
      <w:r w:rsidRPr="004070BC">
        <w:rPr>
          <w:rStyle w:val="ECCParagraph"/>
        </w:rPr>
        <w:t xml:space="preserve">The </w:t>
      </w:r>
      <w:r w:rsidR="00034C38">
        <w:rPr>
          <w:rStyle w:val="ECCParagraph"/>
        </w:rPr>
        <w:t>Iris</w:t>
      </w:r>
      <w:r w:rsidRPr="004070BC">
        <w:rPr>
          <w:rStyle w:val="ECCParagraph"/>
        </w:rPr>
        <w:t xml:space="preserve"> programme was initiated by the European Space Agency (ESA) with the aim of making aviation safer by developing new satellite based air-ground communication system for air traffic management (ATM). </w:t>
      </w:r>
      <w:r w:rsidR="00034C38">
        <w:rPr>
          <w:rStyle w:val="ECCParagraph"/>
        </w:rPr>
        <w:t>Iris</w:t>
      </w:r>
      <w:r w:rsidRPr="004070BC">
        <w:rPr>
          <w:rStyle w:val="ECCParagraph"/>
        </w:rPr>
        <w:t xml:space="preserve"> requires enhancements to be made to the provision of the Inmarsat </w:t>
      </w:r>
      <w:r w:rsidR="00D473FD">
        <w:rPr>
          <w:rStyle w:val="ECCParagraph"/>
        </w:rPr>
        <w:t>SB</w:t>
      </w:r>
      <w:r w:rsidRPr="004070BC">
        <w:rPr>
          <w:rStyle w:val="ECCParagraph"/>
        </w:rPr>
        <w:t xml:space="preserve"> system, so that it can meet the safety, performance and cost requirements for ATM communication in the crowded European airspace. </w:t>
      </w:r>
      <w:r w:rsidR="00034C38">
        <w:rPr>
          <w:rStyle w:val="ECCParagraph"/>
        </w:rPr>
        <w:t>Iris</w:t>
      </w:r>
      <w:r w:rsidRPr="004070BC">
        <w:rPr>
          <w:rStyle w:val="ECCParagraph"/>
        </w:rPr>
        <w:t xml:space="preserve"> is a part of a much broader push to modernise how air traffic control is managed in collaboration </w:t>
      </w:r>
      <w:r w:rsidRPr="005E0DF9">
        <w:t xml:space="preserve">with the </w:t>
      </w:r>
      <w:r w:rsidR="007745DC">
        <w:rPr>
          <w:rStyle w:val="ECCParagraph"/>
        </w:rPr>
        <w:t>S</w:t>
      </w:r>
      <w:r w:rsidR="007745DC" w:rsidRPr="004070BC">
        <w:rPr>
          <w:rStyle w:val="ECCParagraph"/>
        </w:rPr>
        <w:t>ingle</w:t>
      </w:r>
      <w:r w:rsidR="007745DC" w:rsidRPr="005E0DF9">
        <w:t xml:space="preserve"> </w:t>
      </w:r>
      <w:r w:rsidRPr="005E0DF9">
        <w:t xml:space="preserve">European </w:t>
      </w:r>
      <w:r w:rsidR="007745DC">
        <w:rPr>
          <w:rStyle w:val="ECCParagraph"/>
        </w:rPr>
        <w:t>S</w:t>
      </w:r>
      <w:r w:rsidR="007745DC" w:rsidRPr="004070BC">
        <w:rPr>
          <w:rStyle w:val="ECCParagraph"/>
        </w:rPr>
        <w:t>ky</w:t>
      </w:r>
      <w:r w:rsidR="007745DC" w:rsidRPr="005E0DF9">
        <w:t xml:space="preserve"> </w:t>
      </w:r>
      <w:r w:rsidRPr="005E0DF9">
        <w:t xml:space="preserve">ATM </w:t>
      </w:r>
      <w:r w:rsidR="007745DC">
        <w:rPr>
          <w:rStyle w:val="ECCParagraph"/>
        </w:rPr>
        <w:t>R</w:t>
      </w:r>
      <w:r w:rsidR="007745DC" w:rsidRPr="004070BC">
        <w:rPr>
          <w:rStyle w:val="ECCParagraph"/>
        </w:rPr>
        <w:t>esearch</w:t>
      </w:r>
      <w:r w:rsidR="007745DC" w:rsidRPr="005E0DF9">
        <w:t xml:space="preserve"> </w:t>
      </w:r>
      <w:r w:rsidRPr="005E0DF9">
        <w:t xml:space="preserve">(SESAR) joint undertaking launched in 2006 by Eurocontrol and the European Union. Following the completion of the </w:t>
      </w:r>
      <w:r w:rsidR="00034C38">
        <w:rPr>
          <w:rStyle w:val="ECCParagraph"/>
        </w:rPr>
        <w:t>Iris</w:t>
      </w:r>
      <w:r w:rsidRPr="005E0DF9">
        <w:t xml:space="preserve"> precursor evaluation stage that ran from October 2016 until June 2018, </w:t>
      </w:r>
      <w:r w:rsidR="00034C38">
        <w:rPr>
          <w:rStyle w:val="ECCParagraph"/>
        </w:rPr>
        <w:t>Iris</w:t>
      </w:r>
      <w:r w:rsidRPr="005E0DF9">
        <w:t xml:space="preserve"> is planned to commence the initial operational capability (IOC) stage shortly. </w:t>
      </w:r>
      <w:r w:rsidR="00034C38">
        <w:rPr>
          <w:rStyle w:val="ECCParagraph"/>
        </w:rPr>
        <w:t>Iris</w:t>
      </w:r>
      <w:r w:rsidRPr="005E0DF9">
        <w:t xml:space="preserve"> IOC comprises of upgrades to ground infrastructure serving the Inmarsat-4 and Alphasat satellites as well as the installation of </w:t>
      </w:r>
      <w:r w:rsidR="00034C38">
        <w:rPr>
          <w:rStyle w:val="ECCParagraph"/>
        </w:rPr>
        <w:t>Iris</w:t>
      </w:r>
      <w:r w:rsidRPr="005E0DF9">
        <w:t xml:space="preserve"> capable Satcom equipment on commercial flights operating within the Europe</w:t>
      </w:r>
      <w:r w:rsidR="00622D0C" w:rsidRPr="005E0DF9">
        <w:t>an airspace and supporting air</w:t>
      </w:r>
      <w:r w:rsidRPr="005E0DF9">
        <w:t xml:space="preserve"> traffic control communication from late 2019</w:t>
      </w:r>
      <w:r w:rsidR="007D3C68" w:rsidRPr="005E0DF9">
        <w:t xml:space="preserve">. The primary concern for the existing installed base is the potential impact of interference on aircraft using MSS services for Automatic Dependent Surveillance – </w:t>
      </w:r>
      <w:r w:rsidR="007D3C68" w:rsidRPr="005E0DF9">
        <w:lastRenderedPageBreak/>
        <w:t>Contract (ADS-C), Controller-Pilot Data Link Communications (CPDLC), as well critical operational data link services via the Aircraft Communications Addressing and Reporting System (ACARS) using MSS communications. This could potentially lead</w:t>
      </w:r>
      <w:r w:rsidR="007D3C68" w:rsidRPr="007D3C68">
        <w:t xml:space="preserve"> to</w:t>
      </w:r>
      <w:r w:rsidR="007D3C68" w:rsidRPr="005E0DF9">
        <w:t xml:space="preserve"> disruption of departure/dispatch procedures and normal FANS operational procedures at the airport. Because these operations of primary concern generally include flight segments over oceanic or remote airspace with origin or destination points outside of the EU, the vast majority of such operations are conducted into and out of airports with port of entry facilities.</w:t>
      </w:r>
    </w:p>
    <w:p w:rsidR="008C0CC9" w:rsidRPr="004070BC" w:rsidRDefault="00D569E2" w:rsidP="008C0CC9">
      <w:pPr>
        <w:rPr>
          <w:rStyle w:val="ECCParagraph"/>
        </w:rPr>
      </w:pPr>
      <w:r w:rsidRPr="004070BC">
        <w:rPr>
          <w:rStyle w:val="ECCParagraph"/>
        </w:rPr>
        <w:t>In</w:t>
      </w:r>
      <w:r w:rsidR="008C0CC9" w:rsidRPr="004070BC">
        <w:rPr>
          <w:rStyle w:val="ECCParagraph"/>
        </w:rPr>
        <w:t xml:space="preserve"> the North Atlantic region (used for flights from Europe to/from North America), aircraft are required by ICAO from 29</w:t>
      </w:r>
      <w:r w:rsidR="008C0CC9" w:rsidRPr="005E0DF9">
        <w:rPr>
          <w:rStyle w:val="ECCHLsuperscript"/>
        </w:rPr>
        <w:t>th</w:t>
      </w:r>
      <w:r w:rsidR="008C0CC9" w:rsidRPr="004070BC">
        <w:rPr>
          <w:rStyle w:val="ECCParagraph"/>
        </w:rPr>
        <w:t xml:space="preserve"> of March 2018 to have FANS 1/A capability if they wish to use the preferred aircraft tracks and altitudes between 35,000ft and 39,000ft (see ICAO EUR NAT Doc 007). From 2020, this </w:t>
      </w:r>
      <w:r w:rsidR="00C663EF" w:rsidRPr="004070BC">
        <w:rPr>
          <w:rStyle w:val="ECCParagraph"/>
        </w:rPr>
        <w:t>S</w:t>
      </w:r>
      <w:r w:rsidR="008C0CC9" w:rsidRPr="004070BC">
        <w:rPr>
          <w:rStyle w:val="ECCParagraph"/>
        </w:rPr>
        <w:t>atcom mandate will be expanded to all airspace above 29,000ft in the North Atlantic Region. According to these procedures, “If a flight experiences an equipment failure prior to departure which renders the aircraft non-DL</w:t>
      </w:r>
      <w:r w:rsidR="0003600E" w:rsidRPr="004070BC">
        <w:rPr>
          <w:rStyle w:val="ECCParagraph"/>
        </w:rPr>
        <w:t xml:space="preserve">M (Data Link Mandate) compliant, </w:t>
      </w:r>
      <w:r w:rsidR="008C0CC9" w:rsidRPr="004070BC">
        <w:rPr>
          <w:rStyle w:val="ECCParagraph"/>
        </w:rPr>
        <w:t>the flight should re-submit a flight plan so as to remain clear of the NAT DLM airspace</w:t>
      </w:r>
      <w:r w:rsidR="00371229">
        <w:rPr>
          <w:rStyle w:val="ECCParagraph"/>
        </w:rPr>
        <w:t>"</w:t>
      </w:r>
      <w:r w:rsidR="008C0CC9" w:rsidRPr="004070BC">
        <w:rPr>
          <w:rStyle w:val="ECCParagraph"/>
        </w:rPr>
        <w:t>. Aircraft without FANS 1/A capability would have to use tracks and altitudes, which might require additional fuel burn.</w:t>
      </w:r>
    </w:p>
    <w:p w:rsidR="00DC539B" w:rsidRPr="004070BC" w:rsidRDefault="00DC539B" w:rsidP="00DC539B">
      <w:pPr>
        <w:rPr>
          <w:rStyle w:val="ECCParagraph"/>
        </w:rPr>
      </w:pPr>
      <w:r w:rsidRPr="004070BC">
        <w:rPr>
          <w:rStyle w:val="ECCParagraph"/>
        </w:rPr>
        <w:t xml:space="preserve">The MEL for one of Europe’s largest airlines states that loss of </w:t>
      </w:r>
      <w:r w:rsidR="00C663EF" w:rsidRPr="004070BC">
        <w:rPr>
          <w:rStyle w:val="ECCParagraph"/>
        </w:rPr>
        <w:t>S</w:t>
      </w:r>
      <w:r w:rsidRPr="004070BC">
        <w:rPr>
          <w:rStyle w:val="ECCParagraph"/>
        </w:rPr>
        <w:t>atcom means that ADS-C and CPDLC (used for safety of flight communications (1525 to 1559 MHz) in regards to safe separation of aircraft) cannot be used which would not comply with the ICAO EUR NAT Doc 007</w:t>
      </w:r>
      <w:r w:rsidR="007745DC">
        <w:rPr>
          <w:rStyle w:val="ECCParagraph"/>
        </w:rPr>
        <w:t xml:space="preserve"> </w:t>
      </w:r>
      <w:r w:rsidR="007745DC">
        <w:rPr>
          <w:rStyle w:val="ECCParagraph"/>
        </w:rPr>
        <w:fldChar w:fldCharType="begin"/>
      </w:r>
      <w:r w:rsidR="007745DC">
        <w:rPr>
          <w:rStyle w:val="ECCParagraph"/>
        </w:rPr>
        <w:instrText xml:space="preserve"> REF _Ref534366982 \r \h </w:instrText>
      </w:r>
      <w:r w:rsidR="007745DC">
        <w:rPr>
          <w:rStyle w:val="ECCParagraph"/>
        </w:rPr>
      </w:r>
      <w:r w:rsidR="007745DC">
        <w:rPr>
          <w:rStyle w:val="ECCParagraph"/>
        </w:rPr>
        <w:fldChar w:fldCharType="separate"/>
      </w:r>
      <w:r w:rsidR="00E9777B">
        <w:rPr>
          <w:rStyle w:val="ECCParagraph"/>
        </w:rPr>
        <w:t>[6]</w:t>
      </w:r>
      <w:r w:rsidR="007745DC">
        <w:rPr>
          <w:rStyle w:val="ECCParagraph"/>
        </w:rPr>
        <w:fldChar w:fldCharType="end"/>
      </w:r>
      <w:r w:rsidRPr="004070BC">
        <w:rPr>
          <w:rStyle w:val="ECCParagraph"/>
        </w:rPr>
        <w:t>, meaning that aircraft flying the North Atlantic at a minimum would need to carry more fuel (or less cargo/passengers) since such an aircraft is not allowed to enter the airspace defined under the NAT data link mandate.</w:t>
      </w:r>
    </w:p>
    <w:p w:rsidR="00C86523" w:rsidRPr="004070BC" w:rsidRDefault="0037606B" w:rsidP="004314CC">
      <w:pPr>
        <w:rPr>
          <w:rStyle w:val="ECCParagraph"/>
        </w:rPr>
      </w:pPr>
      <w:r w:rsidRPr="004070BC">
        <w:rPr>
          <w:rStyle w:val="ECCParagraph"/>
        </w:rPr>
        <w:t xml:space="preserve">Thus, </w:t>
      </w:r>
      <w:r w:rsidR="00C86523" w:rsidRPr="004070BC">
        <w:rPr>
          <w:rStyle w:val="ECCParagraph"/>
        </w:rPr>
        <w:t xml:space="preserve">while the potential blocking of MSS </w:t>
      </w:r>
      <w:r w:rsidR="00A52B6C" w:rsidRPr="004070BC">
        <w:rPr>
          <w:rStyle w:val="ECCParagraph"/>
        </w:rPr>
        <w:t xml:space="preserve">is classified as a minor </w:t>
      </w:r>
      <w:r w:rsidR="004264F5" w:rsidRPr="004070BC">
        <w:rPr>
          <w:rStyle w:val="ECCParagraph"/>
        </w:rPr>
        <w:t>failure condition</w:t>
      </w:r>
      <w:r w:rsidR="004224BC">
        <w:t xml:space="preserve"> </w:t>
      </w:r>
      <w:r w:rsidR="007745DC">
        <w:rPr>
          <w:rStyle w:val="ECCParagraph"/>
        </w:rPr>
        <w:fldChar w:fldCharType="begin"/>
      </w:r>
      <w:r w:rsidR="007745DC">
        <w:rPr>
          <w:rStyle w:val="ECCParagraph"/>
        </w:rPr>
        <w:instrText xml:space="preserve"> REF _Ref532202242 \r \h </w:instrText>
      </w:r>
      <w:r w:rsidR="007745DC">
        <w:rPr>
          <w:rStyle w:val="ECCParagraph"/>
        </w:rPr>
      </w:r>
      <w:r w:rsidR="007745DC">
        <w:rPr>
          <w:rStyle w:val="ECCParagraph"/>
        </w:rPr>
        <w:fldChar w:fldCharType="separate"/>
      </w:r>
      <w:r w:rsidR="00E9777B">
        <w:rPr>
          <w:rStyle w:val="ECCParagraph"/>
        </w:rPr>
        <w:t>[7]</w:t>
      </w:r>
      <w:r w:rsidR="007745DC">
        <w:rPr>
          <w:rStyle w:val="ECCParagraph"/>
        </w:rPr>
        <w:fldChar w:fldCharType="end"/>
      </w:r>
      <w:r w:rsidR="004224BC">
        <w:rPr>
          <w:rStyle w:val="ECCParagraph"/>
        </w:rPr>
        <w:t xml:space="preserve">, </w:t>
      </w:r>
      <w:r w:rsidR="00A05CDA" w:rsidRPr="004070BC">
        <w:rPr>
          <w:rStyle w:val="ECCParagraph"/>
        </w:rPr>
        <w:t>and does not pose</w:t>
      </w:r>
      <w:r w:rsidR="00A52B6C" w:rsidRPr="004070BC">
        <w:rPr>
          <w:rStyle w:val="ECCParagraph"/>
        </w:rPr>
        <w:t xml:space="preserve"> </w:t>
      </w:r>
      <w:r w:rsidR="00A05CDA" w:rsidRPr="004070BC">
        <w:rPr>
          <w:rStyle w:val="ECCParagraph"/>
        </w:rPr>
        <w:t xml:space="preserve">a </w:t>
      </w:r>
      <w:r w:rsidR="00C86523" w:rsidRPr="004070BC">
        <w:rPr>
          <w:rStyle w:val="ECCParagraph"/>
        </w:rPr>
        <w:t xml:space="preserve">direct threat to safety </w:t>
      </w:r>
      <w:r w:rsidR="00685F81" w:rsidRPr="004070BC">
        <w:rPr>
          <w:rStyle w:val="ECCParagraph"/>
        </w:rPr>
        <w:t>of flight</w:t>
      </w:r>
      <w:r w:rsidR="00610BF8">
        <w:rPr>
          <w:rStyle w:val="ECCParagraph"/>
        </w:rPr>
        <w:t xml:space="preserve"> in the vicinity of airports</w:t>
      </w:r>
      <w:r w:rsidR="00C86523" w:rsidRPr="004070BC">
        <w:rPr>
          <w:rStyle w:val="ECCParagraph"/>
        </w:rPr>
        <w:t xml:space="preserve">, it </w:t>
      </w:r>
      <w:r w:rsidR="007F360C" w:rsidRPr="004070BC">
        <w:rPr>
          <w:rStyle w:val="ECCParagraph"/>
        </w:rPr>
        <w:t xml:space="preserve">may </w:t>
      </w:r>
      <w:r w:rsidR="00C86523" w:rsidRPr="004070BC">
        <w:rPr>
          <w:rStyle w:val="ECCParagraph"/>
        </w:rPr>
        <w:t>result in the disruption of departures, delays and cost overruns for airlines.</w:t>
      </w:r>
    </w:p>
    <w:p w:rsidR="00037997" w:rsidRPr="004070BC" w:rsidRDefault="00136C16" w:rsidP="004314CC">
      <w:pPr>
        <w:rPr>
          <w:rStyle w:val="ECCParagraph"/>
        </w:rPr>
      </w:pPr>
      <w:bookmarkStart w:id="91" w:name="_Toc525544413"/>
      <w:bookmarkStart w:id="92" w:name="_Ref534369341"/>
      <w:r w:rsidRPr="00CC2AF4">
        <w:t>Thus, there is an urgent need to take into due consideration the future introduction of mobile SDL below 1517</w:t>
      </w:r>
      <w:r w:rsidR="00681A1A">
        <w:t> </w:t>
      </w:r>
      <w:r w:rsidRPr="00CC2AF4">
        <w:t xml:space="preserve">MHz and the need for suitable blocking characteristics. </w:t>
      </w:r>
      <w:r w:rsidRPr="00212A05">
        <w:t xml:space="preserve">The minimum in-band blocking characteristic for </w:t>
      </w:r>
      <w:r w:rsidRPr="002E2408">
        <w:t xml:space="preserve">future </w:t>
      </w:r>
      <w:r w:rsidRPr="00212A05">
        <w:t xml:space="preserve">mobile earth stations receivers from a 5 MHz broadband signal interferer (LTE) operating below </w:t>
      </w:r>
      <w:r w:rsidR="00681A1A" w:rsidRPr="00212A05">
        <w:t>1518</w:t>
      </w:r>
      <w:r w:rsidRPr="00212A05">
        <w:t xml:space="preserve"> MHz shall be −30dBm </w:t>
      </w:r>
      <w:r w:rsidRPr="00C83B74">
        <w:t>above 1520 MHz</w:t>
      </w:r>
      <w:r w:rsidR="008C2C7F">
        <w:t>, noting that the IMT block ends at 1517 MHz.</w:t>
      </w:r>
    </w:p>
    <w:p w:rsidR="00DA41FD" w:rsidRPr="00CF05D2" w:rsidRDefault="005F2F12" w:rsidP="00DA41FD">
      <w:pPr>
        <w:pStyle w:val="Heading2"/>
        <w:rPr>
          <w:lang w:val="en-GB"/>
        </w:rPr>
      </w:pPr>
      <w:bookmarkStart w:id="93" w:name="_Toc528659175"/>
      <w:bookmarkStart w:id="94" w:name="_Ref1124443"/>
      <w:bookmarkStart w:id="95" w:name="_Toc3285884"/>
      <w:r w:rsidRPr="00CF05D2">
        <w:rPr>
          <w:lang w:val="en-GB"/>
        </w:rPr>
        <w:t>Maritime</w:t>
      </w:r>
      <w:bookmarkEnd w:id="91"/>
      <w:bookmarkEnd w:id="92"/>
      <w:bookmarkEnd w:id="93"/>
      <w:bookmarkEnd w:id="94"/>
      <w:bookmarkEnd w:id="95"/>
    </w:p>
    <w:p w:rsidR="00536925" w:rsidRPr="005E0DF9" w:rsidRDefault="00536925" w:rsidP="00536925">
      <w:bookmarkStart w:id="96" w:name="_Toc524360624"/>
      <w:bookmarkStart w:id="97" w:name="_Toc524361086"/>
      <w:bookmarkStart w:id="98" w:name="_Toc524361178"/>
      <w:bookmarkStart w:id="99" w:name="_Toc524082713"/>
      <w:bookmarkStart w:id="100" w:name="_Toc524356723"/>
      <w:bookmarkStart w:id="101" w:name="_Toc524360625"/>
      <w:bookmarkStart w:id="102" w:name="_Toc524361087"/>
      <w:bookmarkStart w:id="103" w:name="_Toc524361179"/>
      <w:bookmarkEnd w:id="96"/>
      <w:bookmarkEnd w:id="97"/>
      <w:bookmarkEnd w:id="98"/>
      <w:bookmarkEnd w:id="99"/>
      <w:bookmarkEnd w:id="100"/>
      <w:bookmarkEnd w:id="101"/>
      <w:bookmarkEnd w:id="102"/>
      <w:bookmarkEnd w:id="103"/>
      <w:r w:rsidRPr="004070BC">
        <w:rPr>
          <w:rStyle w:val="ECCParagraph"/>
        </w:rPr>
        <w:t>Safety of life at sea is regulated prominently by the International Maritime Organisation (IMO) through the International Convention for the Safety of Life at Sea (SOLAS), 1974</w:t>
      </w:r>
      <w:r w:rsidR="007745DC">
        <w:rPr>
          <w:rStyle w:val="ECCParagraph"/>
        </w:rPr>
        <w:t xml:space="preserve"> </w:t>
      </w:r>
      <w:r w:rsidR="007745DC">
        <w:rPr>
          <w:rStyle w:val="ECCParagraph"/>
        </w:rPr>
        <w:fldChar w:fldCharType="begin"/>
      </w:r>
      <w:r w:rsidR="007745DC">
        <w:rPr>
          <w:rStyle w:val="ECCParagraph"/>
        </w:rPr>
        <w:instrText xml:space="preserve"> REF _Ref534367072 \r \h </w:instrText>
      </w:r>
      <w:r w:rsidR="007745DC">
        <w:rPr>
          <w:rStyle w:val="ECCParagraph"/>
        </w:rPr>
      </w:r>
      <w:r w:rsidR="007745DC">
        <w:rPr>
          <w:rStyle w:val="ECCParagraph"/>
        </w:rPr>
        <w:fldChar w:fldCharType="separate"/>
      </w:r>
      <w:r w:rsidR="00E9777B">
        <w:rPr>
          <w:rStyle w:val="ECCParagraph"/>
        </w:rPr>
        <w:t>[8]</w:t>
      </w:r>
      <w:r w:rsidR="007745DC">
        <w:rPr>
          <w:rStyle w:val="ECCParagraph"/>
        </w:rPr>
        <w:fldChar w:fldCharType="end"/>
      </w:r>
      <w:r w:rsidRPr="004070BC">
        <w:rPr>
          <w:rStyle w:val="ECCParagraph"/>
        </w:rPr>
        <w:t xml:space="preserve">. SOLAS Chapter IV </w:t>
      </w:r>
      <w:r w:rsidR="00F86F81">
        <w:rPr>
          <w:rStyle w:val="ECCParagraph"/>
        </w:rPr>
        <w:t>define</w:t>
      </w:r>
      <w:r w:rsidR="00C43F3C">
        <w:rPr>
          <w:rStyle w:val="ECCParagraph"/>
        </w:rPr>
        <w:t>s</w:t>
      </w:r>
      <w:r w:rsidRPr="004070BC">
        <w:rPr>
          <w:rStyle w:val="ECCParagraph"/>
        </w:rPr>
        <w:t xml:space="preserve"> the regulations for the Global Maritime Distress and Safety System (GMDSS)</w:t>
      </w:r>
      <w:r w:rsidR="00C43F3C">
        <w:rPr>
          <w:rStyle w:val="ECCParagraph"/>
        </w:rPr>
        <w:t>. All</w:t>
      </w:r>
      <w:r w:rsidR="00FB6810">
        <w:rPr>
          <w:rStyle w:val="ECCParagraph"/>
        </w:rPr>
        <w:t xml:space="preserve"> </w:t>
      </w:r>
      <w:r w:rsidRPr="004070BC">
        <w:rPr>
          <w:rStyle w:val="ECCParagraph"/>
        </w:rPr>
        <w:t xml:space="preserve">passenger ships engaged in international voyages and cargo ships above 300 GT engaged on international voyages have to comply with </w:t>
      </w:r>
      <w:r w:rsidR="00D473FD">
        <w:rPr>
          <w:rStyle w:val="ECCParagraph"/>
        </w:rPr>
        <w:t>the</w:t>
      </w:r>
      <w:r w:rsidR="00D473FD" w:rsidRPr="00A81BB3">
        <w:rPr>
          <w:rStyle w:val="ECCParagraph"/>
        </w:rPr>
        <w:t xml:space="preserve"> </w:t>
      </w:r>
      <w:r w:rsidRPr="00A81BB3">
        <w:rPr>
          <w:rStyle w:val="ECCParagraph"/>
        </w:rPr>
        <w:t>GMDSS</w:t>
      </w:r>
      <w:r w:rsidRPr="005E0DF9">
        <w:rPr>
          <w:rStyle w:val="ECCHLsuperscript"/>
        </w:rPr>
        <w:footnoteReference w:id="2"/>
      </w:r>
      <w:r w:rsidR="00A505D3" w:rsidRPr="00A81BB3">
        <w:rPr>
          <w:rStyle w:val="ECCParagraph"/>
        </w:rPr>
        <w:t>.</w:t>
      </w:r>
      <w:r w:rsidRPr="00A81BB3">
        <w:rPr>
          <w:rStyle w:val="ECCParagraph"/>
        </w:rPr>
        <w:t xml:space="preserve"> Non-convention vessels participate in</w:t>
      </w:r>
      <w:r w:rsidR="00A81BB3" w:rsidRPr="00A81BB3">
        <w:rPr>
          <w:rStyle w:val="ECCParagraph"/>
        </w:rPr>
        <w:t xml:space="preserve"> the GMDSS</w:t>
      </w:r>
      <w:r w:rsidRPr="00A81BB3">
        <w:rPr>
          <w:rStyle w:val="ECCParagraph"/>
        </w:rPr>
        <w:t xml:space="preserve"> </w:t>
      </w:r>
      <w:r w:rsidRPr="00212A05">
        <w:rPr>
          <w:rStyle w:val="ECCParagraph"/>
        </w:rPr>
        <w:t>on a voluntary basis or under a national regulation.</w:t>
      </w:r>
      <w:r w:rsidR="007B6698">
        <w:rPr>
          <w:rStyle w:val="ECCParagraph"/>
        </w:rPr>
        <w:t xml:space="preserve">  </w:t>
      </w:r>
    </w:p>
    <w:p w:rsidR="00536925" w:rsidRPr="004070BC" w:rsidRDefault="00536925" w:rsidP="00536925">
      <w:pPr>
        <w:rPr>
          <w:rStyle w:val="ECCParagraph"/>
        </w:rPr>
      </w:pPr>
      <w:r w:rsidRPr="004070BC">
        <w:rPr>
          <w:rStyle w:val="ECCParagraph"/>
        </w:rPr>
        <w:t>In addition</w:t>
      </w:r>
      <w:r w:rsidR="00F96A04" w:rsidRPr="004070BC">
        <w:rPr>
          <w:rStyle w:val="ECCParagraph"/>
        </w:rPr>
        <w:t xml:space="preserve"> to GMDSS</w:t>
      </w:r>
      <w:r w:rsidR="000228BB">
        <w:rPr>
          <w:rStyle w:val="ECCParagraph"/>
        </w:rPr>
        <w:t xml:space="preserve"> use</w:t>
      </w:r>
      <w:r w:rsidRPr="004070BC">
        <w:rPr>
          <w:rStyle w:val="ECCParagraph"/>
        </w:rPr>
        <w:t xml:space="preserve">, </w:t>
      </w:r>
      <w:r w:rsidR="00A45160" w:rsidRPr="004070BC">
        <w:rPr>
          <w:rStyle w:val="ECCParagraph"/>
        </w:rPr>
        <w:t xml:space="preserve">in accordance with </w:t>
      </w:r>
      <w:r w:rsidR="00677073">
        <w:rPr>
          <w:rStyle w:val="ECCParagraph"/>
        </w:rPr>
        <w:t>other</w:t>
      </w:r>
      <w:r w:rsidR="00A45160" w:rsidRPr="004070BC">
        <w:rPr>
          <w:rStyle w:val="ECCParagraph"/>
        </w:rPr>
        <w:t xml:space="preserve"> international conventions covering maritime issues, and for reasons of </w:t>
      </w:r>
      <w:r w:rsidR="003D61D5" w:rsidRPr="004070BC">
        <w:rPr>
          <w:rStyle w:val="ECCParagraph"/>
        </w:rPr>
        <w:t xml:space="preserve">geographic coverage, availability and privacy, </w:t>
      </w:r>
      <w:r w:rsidRPr="004070BC">
        <w:rPr>
          <w:rStyle w:val="ECCParagraph"/>
        </w:rPr>
        <w:t xml:space="preserve">vessels </w:t>
      </w:r>
      <w:r w:rsidR="003D61D5" w:rsidRPr="004070BC">
        <w:rPr>
          <w:rStyle w:val="ECCParagraph"/>
        </w:rPr>
        <w:t xml:space="preserve">make use of </w:t>
      </w:r>
      <w:r w:rsidRPr="004070BC">
        <w:rPr>
          <w:rStyle w:val="ECCParagraph"/>
        </w:rPr>
        <w:t xml:space="preserve">satellite services </w:t>
      </w:r>
      <w:r w:rsidR="00A45160" w:rsidRPr="004070BC">
        <w:rPr>
          <w:rStyle w:val="ECCParagraph"/>
        </w:rPr>
        <w:t>covering maritime issues including, security, pollution, environmental protection and monitoring, control and surveillance of fishing vessels</w:t>
      </w:r>
      <w:r w:rsidRPr="004070BC">
        <w:rPr>
          <w:rStyle w:val="ECCParagraph"/>
        </w:rPr>
        <w:t>.</w:t>
      </w:r>
      <w:r w:rsidR="00F96A04" w:rsidRPr="004070BC">
        <w:rPr>
          <w:rStyle w:val="ECCParagraph"/>
        </w:rPr>
        <w:t xml:space="preserve"> </w:t>
      </w:r>
      <w:r w:rsidR="00A45160" w:rsidRPr="004070BC">
        <w:rPr>
          <w:rStyle w:val="ECCParagraph"/>
        </w:rPr>
        <w:t xml:space="preserve">These applications are </w:t>
      </w:r>
      <w:r w:rsidR="00F96A04" w:rsidRPr="004070BC">
        <w:rPr>
          <w:rStyle w:val="ECCParagraph"/>
        </w:rPr>
        <w:t xml:space="preserve">related </w:t>
      </w:r>
      <w:r w:rsidRPr="004070BC">
        <w:rPr>
          <w:rStyle w:val="ECCParagraph"/>
        </w:rPr>
        <w:t>to safety, security and communication in and near ports which are commonly carried by Satcom equipment that operates in the frequency band 1518</w:t>
      </w:r>
      <w:r w:rsidR="00652553">
        <w:rPr>
          <w:rStyle w:val="ECCParagraph"/>
        </w:rPr>
        <w:t>-</w:t>
      </w:r>
      <w:r w:rsidRPr="004070BC">
        <w:rPr>
          <w:rStyle w:val="ECCParagraph"/>
        </w:rPr>
        <w:t>1559 MHz</w:t>
      </w:r>
      <w:r w:rsidR="009B4358" w:rsidRPr="004070BC">
        <w:rPr>
          <w:rStyle w:val="ECCParagraph"/>
        </w:rPr>
        <w:t>.</w:t>
      </w:r>
    </w:p>
    <w:p w:rsidR="007F360C" w:rsidRPr="005E0DF9" w:rsidRDefault="007F360C" w:rsidP="007253C6">
      <w:pPr>
        <w:pStyle w:val="Heading3"/>
        <w:rPr>
          <w:rStyle w:val="ECCParagraph"/>
        </w:rPr>
      </w:pPr>
      <w:bookmarkStart w:id="104" w:name="_Toc525544414"/>
      <w:bookmarkStart w:id="105" w:name="_Toc528659176"/>
      <w:bookmarkStart w:id="106" w:name="_Toc3285885"/>
      <w:r w:rsidRPr="005E0DF9">
        <w:rPr>
          <w:rStyle w:val="ECCParagraph"/>
        </w:rPr>
        <w:t>Situation at sea</w:t>
      </w:r>
      <w:bookmarkEnd w:id="104"/>
      <w:bookmarkEnd w:id="105"/>
      <w:bookmarkEnd w:id="106"/>
    </w:p>
    <w:p w:rsidR="000A549F" w:rsidRPr="005E0DF9" w:rsidRDefault="00506B23" w:rsidP="007F360C">
      <w:pPr>
        <w:rPr>
          <w:rStyle w:val="ECCParagraph"/>
        </w:rPr>
      </w:pPr>
      <w:r w:rsidRPr="002B6E82">
        <w:rPr>
          <w:rStyle w:val="ECCParagraph"/>
        </w:rPr>
        <w:t>T</w:t>
      </w:r>
      <w:r w:rsidR="007F360C" w:rsidRPr="002B6E82">
        <w:rPr>
          <w:rStyle w:val="ECCParagraph"/>
        </w:rPr>
        <w:t>he</w:t>
      </w:r>
      <w:r w:rsidR="005804B5" w:rsidRPr="005E0DF9">
        <w:rPr>
          <w:rStyle w:val="ECCParagraph"/>
        </w:rPr>
        <w:t xml:space="preserve"> </w:t>
      </w:r>
      <w:r w:rsidR="007F360C" w:rsidRPr="005E0DF9">
        <w:rPr>
          <w:rStyle w:val="ECCParagraph"/>
        </w:rPr>
        <w:t xml:space="preserve">SOLAS </w:t>
      </w:r>
      <w:r w:rsidR="002427F8" w:rsidRPr="005E0DF9">
        <w:rPr>
          <w:rStyle w:val="ECCParagraph"/>
        </w:rPr>
        <w:t>c</w:t>
      </w:r>
      <w:r w:rsidR="007F360C" w:rsidRPr="005E0DF9">
        <w:rPr>
          <w:rStyle w:val="ECCParagraph"/>
        </w:rPr>
        <w:t xml:space="preserve">onvention </w:t>
      </w:r>
      <w:r w:rsidR="007745DC" w:rsidRPr="002B6E82">
        <w:rPr>
          <w:rStyle w:val="ECCParagraph"/>
        </w:rPr>
        <w:fldChar w:fldCharType="begin"/>
      </w:r>
      <w:r w:rsidR="007745DC" w:rsidRPr="002B6E82">
        <w:rPr>
          <w:rStyle w:val="ECCParagraph"/>
        </w:rPr>
        <w:instrText xml:space="preserve"> REF _Ref534367072 \r \h </w:instrText>
      </w:r>
      <w:r w:rsidR="00CF357B" w:rsidRPr="002B6E82">
        <w:rPr>
          <w:rStyle w:val="ECCParagraph"/>
        </w:rPr>
        <w:instrText xml:space="preserve"> \* MERGEFORMAT </w:instrText>
      </w:r>
      <w:r w:rsidR="007745DC" w:rsidRPr="002B6E82">
        <w:rPr>
          <w:rStyle w:val="ECCParagraph"/>
        </w:rPr>
      </w:r>
      <w:r w:rsidR="007745DC" w:rsidRPr="002B6E82">
        <w:rPr>
          <w:rStyle w:val="ECCParagraph"/>
        </w:rPr>
        <w:fldChar w:fldCharType="separate"/>
      </w:r>
      <w:r w:rsidR="00E9777B">
        <w:rPr>
          <w:rStyle w:val="ECCParagraph"/>
        </w:rPr>
        <w:t>[8]</w:t>
      </w:r>
      <w:r w:rsidR="007745DC" w:rsidRPr="002B6E82">
        <w:rPr>
          <w:rStyle w:val="ECCParagraph"/>
        </w:rPr>
        <w:fldChar w:fldCharType="end"/>
      </w:r>
      <w:r w:rsidR="007745DC" w:rsidRPr="002B6E82">
        <w:rPr>
          <w:rStyle w:val="ECCParagraph"/>
        </w:rPr>
        <w:t xml:space="preserve"> </w:t>
      </w:r>
      <w:r w:rsidR="007F360C" w:rsidRPr="005E0DF9">
        <w:rPr>
          <w:rStyle w:val="ECCParagraph"/>
        </w:rPr>
        <w:t>divides the sea into areas A1, A2, A3 and A4</w:t>
      </w:r>
      <w:r w:rsidR="005F730E" w:rsidRPr="002B6E82">
        <w:rPr>
          <w:rStyle w:val="ECCParagraph"/>
        </w:rPr>
        <w:t>,</w:t>
      </w:r>
      <w:r w:rsidR="007F360C" w:rsidRPr="002B6E82">
        <w:rPr>
          <w:rStyle w:val="ECCParagraph"/>
        </w:rPr>
        <w:t xml:space="preserve"> for </w:t>
      </w:r>
      <w:r w:rsidR="00B53085" w:rsidRPr="002B6E82">
        <w:rPr>
          <w:rStyle w:val="ECCParagraph"/>
        </w:rPr>
        <w:t>GMDSS communications</w:t>
      </w:r>
      <w:r w:rsidR="002B6E82" w:rsidRPr="005E0DF9">
        <w:rPr>
          <w:rStyle w:val="ECCParagraph"/>
        </w:rPr>
        <w:t xml:space="preserve"> for</w:t>
      </w:r>
      <w:r w:rsidR="00B53085" w:rsidRPr="005E0DF9">
        <w:rPr>
          <w:rStyle w:val="ECCParagraph"/>
        </w:rPr>
        <w:t xml:space="preserve"> </w:t>
      </w:r>
      <w:r w:rsidR="007F360C" w:rsidRPr="005E0DF9">
        <w:rPr>
          <w:rStyle w:val="ECCParagraph"/>
        </w:rPr>
        <w:t xml:space="preserve">which there are </w:t>
      </w:r>
      <w:r w:rsidRPr="002B6E82">
        <w:rPr>
          <w:rStyle w:val="ECCParagraph"/>
        </w:rPr>
        <w:t>particular</w:t>
      </w:r>
      <w:r w:rsidR="007F360C" w:rsidRPr="005E0DF9">
        <w:rPr>
          <w:rStyle w:val="ECCParagraph"/>
        </w:rPr>
        <w:t xml:space="preserve"> requirements on the installation of radio equipment </w:t>
      </w:r>
      <w:r w:rsidRPr="002B6E82">
        <w:rPr>
          <w:rStyle w:val="ECCParagraph"/>
        </w:rPr>
        <w:t xml:space="preserve">such that </w:t>
      </w:r>
      <w:r w:rsidR="00987802" w:rsidRPr="002B6E82">
        <w:rPr>
          <w:rStyle w:val="ECCParagraph"/>
        </w:rPr>
        <w:t xml:space="preserve">ships are capable of complying with the </w:t>
      </w:r>
      <w:r w:rsidR="007F360C" w:rsidRPr="002B6E82">
        <w:rPr>
          <w:rStyle w:val="ECCParagraph"/>
        </w:rPr>
        <w:t xml:space="preserve">GMDSS </w:t>
      </w:r>
      <w:r w:rsidR="007F360C" w:rsidRPr="005E0DF9">
        <w:rPr>
          <w:rStyle w:val="ECCParagraph"/>
        </w:rPr>
        <w:t xml:space="preserve">functional requirements of SOLAS Chapter IV, </w:t>
      </w:r>
      <w:r w:rsidR="00987802" w:rsidRPr="002B6E82">
        <w:rPr>
          <w:rStyle w:val="ECCParagraph"/>
        </w:rPr>
        <w:t>regulation</w:t>
      </w:r>
      <w:r w:rsidR="007F360C" w:rsidRPr="005E0DF9">
        <w:rPr>
          <w:rStyle w:val="ECCParagraph"/>
        </w:rPr>
        <w:t xml:space="preserve"> 4</w:t>
      </w:r>
      <w:r w:rsidR="005F730E" w:rsidRPr="002B6E82">
        <w:rPr>
          <w:rStyle w:val="ECCParagraph"/>
        </w:rPr>
        <w:t>,</w:t>
      </w:r>
      <w:r w:rsidR="00987802" w:rsidRPr="002B6E82">
        <w:rPr>
          <w:rStyle w:val="ECCParagraph"/>
        </w:rPr>
        <w:t xml:space="preserve"> throughout all the </w:t>
      </w:r>
      <w:r w:rsidR="00987802" w:rsidRPr="002B6E82">
        <w:rPr>
          <w:rStyle w:val="ECCParagraph"/>
        </w:rPr>
        <w:lastRenderedPageBreak/>
        <w:t xml:space="preserve">areas in which they </w:t>
      </w:r>
      <w:r w:rsidR="005F730E" w:rsidRPr="002B6E82">
        <w:rPr>
          <w:rStyle w:val="ECCParagraph"/>
        </w:rPr>
        <w:t>will</w:t>
      </w:r>
      <w:r w:rsidR="007F360C" w:rsidRPr="002B6E82">
        <w:rPr>
          <w:rStyle w:val="ECCParagraph"/>
        </w:rPr>
        <w:t xml:space="preserve"> be </w:t>
      </w:r>
      <w:r w:rsidR="005F730E" w:rsidRPr="002B6E82">
        <w:rPr>
          <w:rStyle w:val="ECCParagraph"/>
        </w:rPr>
        <w:t>sailing.</w:t>
      </w:r>
      <w:r w:rsidR="000A549F" w:rsidRPr="002B6E82">
        <w:rPr>
          <w:rStyle w:val="ECCParagraph"/>
        </w:rPr>
        <w:t xml:space="preserve"> </w:t>
      </w:r>
      <w:r w:rsidR="005F730E" w:rsidRPr="00212A05">
        <w:rPr>
          <w:rStyle w:val="ECCParagraph"/>
        </w:rPr>
        <w:t>The SOLAS compulsory carriage requirements ensure that ships are capable of:</w:t>
      </w:r>
    </w:p>
    <w:p w:rsidR="000A549F" w:rsidRPr="005E0DF9" w:rsidRDefault="000A549F" w:rsidP="007253C6">
      <w:pPr>
        <w:pStyle w:val="ECCBulletsLv1"/>
        <w:rPr>
          <w:rStyle w:val="ECCParagraph"/>
        </w:rPr>
      </w:pPr>
      <w:r w:rsidRPr="005E0DF9">
        <w:rPr>
          <w:rStyle w:val="ECCParagraph"/>
        </w:rPr>
        <w:t xml:space="preserve">transmitting/receiving </w:t>
      </w:r>
      <w:r w:rsidR="007F360C" w:rsidRPr="005E0DF9">
        <w:rPr>
          <w:rStyle w:val="ECCParagraph"/>
        </w:rPr>
        <w:t>distress/alert/safety signals: performed by VHF, HF, MF, COSPAS/SARSAT EPIRB</w:t>
      </w:r>
      <w:r w:rsidR="0027043A" w:rsidRPr="00BF6580">
        <w:rPr>
          <w:rStyle w:val="ECCParagraph"/>
        </w:rPr>
        <w:t xml:space="preserve"> and</w:t>
      </w:r>
      <w:r w:rsidR="007F360C" w:rsidRPr="005E0DF9">
        <w:rPr>
          <w:rStyle w:val="ECCParagraph"/>
        </w:rPr>
        <w:t xml:space="preserve"> Inmarsat terminals, noting that </w:t>
      </w:r>
      <w:r w:rsidR="005F730E" w:rsidRPr="00BF6580">
        <w:rPr>
          <w:rStyle w:val="ECCParagraph"/>
        </w:rPr>
        <w:t xml:space="preserve">a minimum of </w:t>
      </w:r>
      <w:r w:rsidR="007F360C" w:rsidRPr="005E0DF9">
        <w:rPr>
          <w:rStyle w:val="ECCParagraph"/>
        </w:rPr>
        <w:t xml:space="preserve">two </w:t>
      </w:r>
      <w:r w:rsidR="005F730E" w:rsidRPr="00BF6580">
        <w:rPr>
          <w:rStyle w:val="ECCParagraph"/>
        </w:rPr>
        <w:t xml:space="preserve">separate and independent means of communication </w:t>
      </w:r>
      <w:r w:rsidR="00B02A03" w:rsidRPr="00BF6580">
        <w:rPr>
          <w:rStyle w:val="ECCParagraph"/>
        </w:rPr>
        <w:t>(bot</w:t>
      </w:r>
      <w:r w:rsidR="00B536F3" w:rsidRPr="00BF6580">
        <w:rPr>
          <w:rStyle w:val="ECCParagraph"/>
        </w:rPr>
        <w:t>h</w:t>
      </w:r>
      <w:r w:rsidR="00B02A03" w:rsidRPr="005E0DF9">
        <w:rPr>
          <w:rStyle w:val="ECCParagraph"/>
        </w:rPr>
        <w:t xml:space="preserve"> installed and </w:t>
      </w:r>
      <w:r w:rsidR="00B02A03" w:rsidRPr="00BF6580">
        <w:rPr>
          <w:rStyle w:val="ECCParagraph"/>
        </w:rPr>
        <w:t>operational</w:t>
      </w:r>
      <w:r w:rsidR="00B02A03" w:rsidRPr="005E0DF9">
        <w:rPr>
          <w:rStyle w:val="ECCParagraph"/>
        </w:rPr>
        <w:t>) are re</w:t>
      </w:r>
      <w:r w:rsidR="00BF6580" w:rsidRPr="005E0DF9">
        <w:rPr>
          <w:rStyle w:val="ECCParagraph"/>
        </w:rPr>
        <w:t>q</w:t>
      </w:r>
      <w:r w:rsidR="00B02A03" w:rsidRPr="005E0DF9">
        <w:rPr>
          <w:rStyle w:val="ECCParagraph"/>
        </w:rPr>
        <w:t>uired</w:t>
      </w:r>
      <w:r w:rsidR="00B02A03" w:rsidRPr="00BF6580">
        <w:rPr>
          <w:rStyle w:val="ECCParagraph"/>
        </w:rPr>
        <w:t xml:space="preserve"> for any </w:t>
      </w:r>
      <w:r w:rsidR="007F360C" w:rsidRPr="00BF6580">
        <w:rPr>
          <w:rStyle w:val="ECCParagraph"/>
        </w:rPr>
        <w:t xml:space="preserve">area </w:t>
      </w:r>
      <w:r w:rsidR="00B02A03" w:rsidRPr="00BF6580">
        <w:rPr>
          <w:rStyle w:val="ECCParagraph"/>
        </w:rPr>
        <w:t>in</w:t>
      </w:r>
      <w:r w:rsidR="007F360C" w:rsidRPr="00BF6580">
        <w:rPr>
          <w:rStyle w:val="ECCParagraph"/>
        </w:rPr>
        <w:t xml:space="preserve"> which the vessel </w:t>
      </w:r>
      <w:r w:rsidR="00B02A03" w:rsidRPr="00BF6580">
        <w:rPr>
          <w:rStyle w:val="ECCParagraph"/>
        </w:rPr>
        <w:t>will</w:t>
      </w:r>
      <w:r w:rsidR="007F360C" w:rsidRPr="00BF6580">
        <w:rPr>
          <w:rStyle w:val="ECCParagraph"/>
        </w:rPr>
        <w:t xml:space="preserve"> be </w:t>
      </w:r>
      <w:r w:rsidR="00B02A03" w:rsidRPr="00BF6580">
        <w:rPr>
          <w:rStyle w:val="ECCParagraph"/>
        </w:rPr>
        <w:t>sailing</w:t>
      </w:r>
      <w:r w:rsidR="005307C4" w:rsidRPr="005E0DF9">
        <w:rPr>
          <w:rStyle w:val="ECCParagraph"/>
        </w:rPr>
        <w:t>;</w:t>
      </w:r>
    </w:p>
    <w:p w:rsidR="007F360C" w:rsidRPr="005E0DF9" w:rsidRDefault="007F360C" w:rsidP="007253C6">
      <w:pPr>
        <w:pStyle w:val="ECCBulletsLv1"/>
        <w:rPr>
          <w:rStyle w:val="ECCParagraph"/>
        </w:rPr>
      </w:pPr>
      <w:r w:rsidRPr="005E0DF9">
        <w:rPr>
          <w:rStyle w:val="ECCParagraph"/>
        </w:rPr>
        <w:t>transmitting</w:t>
      </w:r>
      <w:r w:rsidRPr="00BF6580">
        <w:rPr>
          <w:rStyle w:val="FootnoteReference"/>
        </w:rPr>
        <w:footnoteReference w:id="3"/>
      </w:r>
      <w:r w:rsidRPr="005E0DF9">
        <w:rPr>
          <w:rStyle w:val="ECCParagraph"/>
        </w:rPr>
        <w:t xml:space="preserve">/receiving Maritime Safety Information (MSI): performed by HF, NAVTEX stations or </w:t>
      </w:r>
      <w:r w:rsidR="00B02A03" w:rsidRPr="00BF6580">
        <w:rPr>
          <w:rStyle w:val="ECCParagraph"/>
        </w:rPr>
        <w:t xml:space="preserve">through </w:t>
      </w:r>
      <w:r w:rsidRPr="005E0DF9">
        <w:rPr>
          <w:rStyle w:val="ECCParagraph"/>
        </w:rPr>
        <w:t xml:space="preserve">Inmarsat </w:t>
      </w:r>
      <w:r w:rsidR="00B02A03" w:rsidRPr="00BF6580">
        <w:rPr>
          <w:rStyle w:val="ECCParagraph"/>
        </w:rPr>
        <w:t>services according to availability in the areas in which a vessel will be sailing</w:t>
      </w:r>
      <w:r w:rsidR="005307C4" w:rsidRPr="005E0DF9">
        <w:rPr>
          <w:rStyle w:val="ECCParagraph"/>
        </w:rPr>
        <w:t>.</w:t>
      </w:r>
    </w:p>
    <w:p w:rsidR="007F360C" w:rsidRPr="005E0DF9" w:rsidRDefault="007F360C" w:rsidP="007F360C">
      <w:pPr>
        <w:rPr>
          <w:rStyle w:val="ECCParagraph"/>
        </w:rPr>
      </w:pPr>
      <w:r w:rsidRPr="005E0DF9">
        <w:rPr>
          <w:rStyle w:val="ECCParagraph"/>
        </w:rPr>
        <w:t>SOLAS Chapter IV</w:t>
      </w:r>
      <w:r w:rsidR="00B02A03" w:rsidRPr="00CA12B3">
        <w:rPr>
          <w:rStyle w:val="ECCParagraph"/>
        </w:rPr>
        <w:t>,</w:t>
      </w:r>
      <w:r w:rsidRPr="00CA12B3">
        <w:rPr>
          <w:rStyle w:val="ECCParagraph"/>
        </w:rPr>
        <w:t xml:space="preserve"> </w:t>
      </w:r>
      <w:r w:rsidR="00B02A03" w:rsidRPr="00CA12B3">
        <w:rPr>
          <w:rStyle w:val="ECCParagraph"/>
        </w:rPr>
        <w:t>regulation</w:t>
      </w:r>
      <w:r w:rsidRPr="005E0DF9">
        <w:rPr>
          <w:rStyle w:val="ECCParagraph"/>
        </w:rPr>
        <w:t xml:space="preserve"> 7</w:t>
      </w:r>
      <w:r w:rsidR="00B02A03" w:rsidRPr="00CA12B3">
        <w:rPr>
          <w:rStyle w:val="ECCParagraph"/>
        </w:rPr>
        <w:t xml:space="preserve">, defines the basic equipment </w:t>
      </w:r>
      <w:r w:rsidR="00CA12B3">
        <w:rPr>
          <w:rStyle w:val="ECCParagraph"/>
        </w:rPr>
        <w:t>to be installed on</w:t>
      </w:r>
      <w:r w:rsidR="00B02A03" w:rsidRPr="00CA12B3">
        <w:rPr>
          <w:rStyle w:val="ECCParagraph"/>
        </w:rPr>
        <w:t xml:space="preserve"> any ship subject to the Convention thus</w:t>
      </w:r>
      <w:r w:rsidRPr="00CA12B3">
        <w:rPr>
          <w:rStyle w:val="ECCParagraph"/>
        </w:rPr>
        <w:t>:</w:t>
      </w:r>
    </w:p>
    <w:p w:rsidR="007F360C" w:rsidRPr="005E0DF9" w:rsidRDefault="007F360C" w:rsidP="007253C6">
      <w:pPr>
        <w:pStyle w:val="ECCBulletsLv1"/>
        <w:rPr>
          <w:rStyle w:val="ECCParagraph"/>
        </w:rPr>
      </w:pPr>
      <w:r w:rsidRPr="005E0DF9">
        <w:rPr>
          <w:rStyle w:val="ECCParagraph"/>
        </w:rPr>
        <w:t>VHF equipment for transmitting/receiving distress/alert/safety signals</w:t>
      </w:r>
      <w:r w:rsidR="005307C4" w:rsidRPr="005E0DF9">
        <w:rPr>
          <w:rStyle w:val="ECCParagraph"/>
        </w:rPr>
        <w:t>;</w:t>
      </w:r>
    </w:p>
    <w:p w:rsidR="007F360C" w:rsidRPr="005E0DF9" w:rsidRDefault="007F360C" w:rsidP="007253C6">
      <w:pPr>
        <w:pStyle w:val="ECCBulletsLv1"/>
        <w:rPr>
          <w:rStyle w:val="ECCParagraph"/>
        </w:rPr>
      </w:pPr>
      <w:r w:rsidRPr="005E0DF9">
        <w:rPr>
          <w:rStyle w:val="ECCParagraph"/>
        </w:rPr>
        <w:t xml:space="preserve">Receiver of MSI from NAVTEX broadcast services (if </w:t>
      </w:r>
      <w:r w:rsidR="009B3501" w:rsidRPr="00CA12B3">
        <w:rPr>
          <w:rStyle w:val="ECCParagraph"/>
        </w:rPr>
        <w:t xml:space="preserve">a defined </w:t>
      </w:r>
      <w:r w:rsidRPr="005E0DF9">
        <w:rPr>
          <w:rStyle w:val="ECCParagraph"/>
        </w:rPr>
        <w:t xml:space="preserve">NAVTEX </w:t>
      </w:r>
      <w:r w:rsidRPr="00CA12B3">
        <w:rPr>
          <w:rStyle w:val="ECCParagraph"/>
        </w:rPr>
        <w:t>station</w:t>
      </w:r>
      <w:r w:rsidR="009B3501" w:rsidRPr="00CA12B3">
        <w:rPr>
          <w:rStyle w:val="ECCParagraph"/>
        </w:rPr>
        <w:t xml:space="preserve"> service area</w:t>
      </w:r>
      <w:r w:rsidRPr="00CA12B3">
        <w:rPr>
          <w:rStyle w:val="ECCParagraph"/>
        </w:rPr>
        <w:t xml:space="preserve"> cover</w:t>
      </w:r>
      <w:r w:rsidR="009B3501" w:rsidRPr="00CA12B3">
        <w:rPr>
          <w:rStyle w:val="ECCParagraph"/>
        </w:rPr>
        <w:t>s</w:t>
      </w:r>
      <w:r w:rsidRPr="005E0DF9">
        <w:rPr>
          <w:rStyle w:val="ECCParagraph"/>
        </w:rPr>
        <w:t xml:space="preserve"> a part or the whole path of the vessel)</w:t>
      </w:r>
      <w:r w:rsidR="005307C4" w:rsidRPr="005E0DF9">
        <w:rPr>
          <w:rStyle w:val="ECCParagraph"/>
        </w:rPr>
        <w:t>;</w:t>
      </w:r>
    </w:p>
    <w:p w:rsidR="007F360C" w:rsidRPr="005E0DF9" w:rsidRDefault="007F360C" w:rsidP="007253C6">
      <w:pPr>
        <w:pStyle w:val="ECCBulletsLv1"/>
        <w:rPr>
          <w:rStyle w:val="ECCParagraph"/>
        </w:rPr>
      </w:pPr>
      <w:r w:rsidRPr="005E0DF9" w:rsidDel="00F655CC">
        <w:rPr>
          <w:rStyle w:val="ECCParagraph"/>
        </w:rPr>
        <w:t>EPIRB satellite emergency position-indicating beacon</w:t>
      </w:r>
      <w:r w:rsidR="00B02A03" w:rsidRPr="00CA12B3">
        <w:rPr>
          <w:rStyle w:val="ECCParagraph"/>
        </w:rPr>
        <w:t xml:space="preserve"> operating through the COSPAS-SARSAT system</w:t>
      </w:r>
      <w:r w:rsidR="005307C4" w:rsidRPr="005E0DF9">
        <w:rPr>
          <w:rStyle w:val="ECCParagraph"/>
        </w:rPr>
        <w:t>.</w:t>
      </w:r>
    </w:p>
    <w:p w:rsidR="00C6414C" w:rsidRPr="005E0DF9" w:rsidRDefault="00C6414C" w:rsidP="00C6414C">
      <w:pPr>
        <w:rPr>
          <w:rStyle w:val="ECCParagraph"/>
        </w:rPr>
      </w:pPr>
      <w:r w:rsidRPr="005E0DF9">
        <w:rPr>
          <w:rStyle w:val="ECCParagraph"/>
        </w:rPr>
        <w:t>Concerning the MSI, SOLAS IV, 7.5 stated that NAVTEX should be the prime source of MSI.</w:t>
      </w:r>
      <w:r w:rsidR="00CA12B3" w:rsidRPr="005E0DF9">
        <w:rPr>
          <w:rStyle w:val="ECCParagraph"/>
        </w:rPr>
        <w:t xml:space="preserve"> </w:t>
      </w:r>
      <w:r w:rsidR="00CA12B3">
        <w:rPr>
          <w:rStyle w:val="ECCParagraph"/>
        </w:rPr>
        <w:t>Outside the</w:t>
      </w:r>
      <w:r w:rsidR="00CA12B3" w:rsidRPr="005E0DF9">
        <w:rPr>
          <w:rStyle w:val="ECCParagraph"/>
        </w:rPr>
        <w:t xml:space="preserve"> NAVTEX </w:t>
      </w:r>
      <w:r w:rsidR="00CA12B3">
        <w:rPr>
          <w:rStyle w:val="ECCParagraph"/>
        </w:rPr>
        <w:t>service area</w:t>
      </w:r>
      <w:r w:rsidRPr="00CA12B3">
        <w:rPr>
          <w:rStyle w:val="ECCParagraph"/>
        </w:rPr>
        <w:t xml:space="preserve"> </w:t>
      </w:r>
      <w:r w:rsidRPr="005E0DF9">
        <w:rPr>
          <w:rStyle w:val="ECCParagraph"/>
        </w:rPr>
        <w:t>Inmarsat Enhanced Group Calling System (EGC) should be used</w:t>
      </w:r>
      <w:r w:rsidR="00CA12B3">
        <w:rPr>
          <w:rStyle w:val="ECCParagraph"/>
        </w:rPr>
        <w:t xml:space="preserve">. </w:t>
      </w:r>
      <w:r w:rsidR="00886FA8" w:rsidRPr="00CA12B3">
        <w:rPr>
          <w:rStyle w:val="ECCParagraph"/>
        </w:rPr>
        <w:t>Moreover</w:t>
      </w:r>
      <w:r w:rsidRPr="00CA12B3">
        <w:rPr>
          <w:rStyle w:val="ECCParagraph"/>
        </w:rPr>
        <w:t>,</w:t>
      </w:r>
      <w:r w:rsidRPr="005E0DF9">
        <w:rPr>
          <w:rStyle w:val="ECCParagraph"/>
        </w:rPr>
        <w:t xml:space="preserve"> only in </w:t>
      </w:r>
      <w:r w:rsidR="00886FA8" w:rsidRPr="00CA12B3">
        <w:rPr>
          <w:rStyle w:val="ECCParagraph"/>
        </w:rPr>
        <w:t xml:space="preserve">those </w:t>
      </w:r>
      <w:r w:rsidRPr="005E0DF9">
        <w:rPr>
          <w:rStyle w:val="ECCParagraph"/>
        </w:rPr>
        <w:t xml:space="preserve">cases where </w:t>
      </w:r>
      <w:r w:rsidR="00886FA8" w:rsidRPr="00CA12B3">
        <w:rPr>
          <w:rStyle w:val="ECCParagraph"/>
        </w:rPr>
        <w:t xml:space="preserve">an </w:t>
      </w:r>
      <w:r w:rsidRPr="005E0DF9">
        <w:rPr>
          <w:rStyle w:val="ECCParagraph"/>
        </w:rPr>
        <w:t xml:space="preserve">EGC </w:t>
      </w:r>
      <w:r w:rsidR="00886FA8" w:rsidRPr="00CA12B3">
        <w:rPr>
          <w:rStyle w:val="ECCParagraph"/>
        </w:rPr>
        <w:t xml:space="preserve">service </w:t>
      </w:r>
      <w:r w:rsidRPr="005E0DF9">
        <w:rPr>
          <w:rStyle w:val="ECCParagraph"/>
        </w:rPr>
        <w:t>is</w:t>
      </w:r>
      <w:r w:rsidRPr="00CA12B3">
        <w:rPr>
          <w:rStyle w:val="ECCParagraph"/>
        </w:rPr>
        <w:t xml:space="preserve"> </w:t>
      </w:r>
      <w:r w:rsidR="00886FA8" w:rsidRPr="00CA12B3">
        <w:rPr>
          <w:rStyle w:val="ECCParagraph"/>
        </w:rPr>
        <w:t>also</w:t>
      </w:r>
      <w:r w:rsidR="00886FA8" w:rsidRPr="005E0DF9">
        <w:rPr>
          <w:rStyle w:val="ECCParagraph"/>
        </w:rPr>
        <w:t xml:space="preserve"> </w:t>
      </w:r>
      <w:r w:rsidRPr="005E0DF9">
        <w:rPr>
          <w:rStyle w:val="ECCParagraph"/>
        </w:rPr>
        <w:t xml:space="preserve">not available may </w:t>
      </w:r>
      <w:r w:rsidR="00886FA8" w:rsidRPr="00CA12B3">
        <w:rPr>
          <w:rStyle w:val="ECCParagraph"/>
        </w:rPr>
        <w:t>a</w:t>
      </w:r>
      <w:r w:rsidRPr="005E0DF9">
        <w:rPr>
          <w:rStyle w:val="ECCParagraph"/>
        </w:rPr>
        <w:t xml:space="preserve"> ship be granted an exemption to use HF direct-printing telegraphy </w:t>
      </w:r>
      <w:r w:rsidR="00CA12B3" w:rsidRPr="00CA12B3">
        <w:t xml:space="preserve">instead </w:t>
      </w:r>
      <w:r w:rsidR="00886FA8" w:rsidRPr="00CA12B3">
        <w:rPr>
          <w:rStyle w:val="ECCParagraph"/>
        </w:rPr>
        <w:t>for the reception of MSI</w:t>
      </w:r>
      <w:r w:rsidRPr="005E0DF9">
        <w:rPr>
          <w:rStyle w:val="ECCParagraph"/>
        </w:rPr>
        <w:t>.</w:t>
      </w:r>
    </w:p>
    <w:p w:rsidR="007F360C" w:rsidRPr="005E0DF9" w:rsidRDefault="007F360C" w:rsidP="007F360C">
      <w:pPr>
        <w:rPr>
          <w:rStyle w:val="ECCParagraph"/>
        </w:rPr>
      </w:pPr>
      <w:r w:rsidRPr="005E0DF9">
        <w:rPr>
          <w:rStyle w:val="ECCParagraph"/>
        </w:rPr>
        <w:t xml:space="preserve">Concerning the capability to </w:t>
      </w:r>
      <w:r w:rsidRPr="005714AF">
        <w:rPr>
          <w:rStyle w:val="ECCParagraph"/>
        </w:rPr>
        <w:t>transmit</w:t>
      </w:r>
      <w:r w:rsidR="00B165C2" w:rsidRPr="005714AF">
        <w:rPr>
          <w:rStyle w:val="ECCParagraph"/>
        </w:rPr>
        <w:t xml:space="preserve"> or </w:t>
      </w:r>
      <w:r w:rsidRPr="005714AF">
        <w:rPr>
          <w:rStyle w:val="ECCParagraph"/>
        </w:rPr>
        <w:t>receiv</w:t>
      </w:r>
      <w:r w:rsidR="00B165C2" w:rsidRPr="005714AF">
        <w:rPr>
          <w:rStyle w:val="ECCParagraph"/>
        </w:rPr>
        <w:t>e</w:t>
      </w:r>
      <w:r w:rsidRPr="005E0DF9">
        <w:rPr>
          <w:rStyle w:val="ECCParagraph"/>
        </w:rPr>
        <w:t xml:space="preserve"> distress/a</w:t>
      </w:r>
      <w:r w:rsidR="00CD23BC" w:rsidRPr="005E0DF9">
        <w:rPr>
          <w:rStyle w:val="ECCParagraph"/>
        </w:rPr>
        <w:t>l</w:t>
      </w:r>
      <w:r w:rsidRPr="005E0DF9">
        <w:rPr>
          <w:rStyle w:val="ECCParagraph"/>
        </w:rPr>
        <w:t>er</w:t>
      </w:r>
      <w:r w:rsidR="00CD23BC" w:rsidRPr="005E0DF9">
        <w:rPr>
          <w:rStyle w:val="ECCParagraph"/>
        </w:rPr>
        <w:t>t</w:t>
      </w:r>
      <w:r w:rsidRPr="005E0DF9">
        <w:rPr>
          <w:rStyle w:val="ECCParagraph"/>
        </w:rPr>
        <w:t xml:space="preserve">/safety signals, </w:t>
      </w:r>
      <w:r w:rsidR="005714AF">
        <w:rPr>
          <w:rStyle w:val="ECCParagraph"/>
        </w:rPr>
        <w:t xml:space="preserve">SOLAS Chapter IV </w:t>
      </w:r>
      <w:r w:rsidRPr="005E0DF9">
        <w:rPr>
          <w:rStyle w:val="ECCParagraph"/>
        </w:rPr>
        <w:t xml:space="preserve">Regulations 8, 9, 10, 11 </w:t>
      </w:r>
      <w:r w:rsidR="00B165C2" w:rsidRPr="005714AF">
        <w:rPr>
          <w:rStyle w:val="ECCParagraph"/>
        </w:rPr>
        <w:t xml:space="preserve">go on to </w:t>
      </w:r>
      <w:r w:rsidRPr="005E0DF9">
        <w:rPr>
          <w:rStyle w:val="ECCParagraph"/>
        </w:rPr>
        <w:t xml:space="preserve">provide the </w:t>
      </w:r>
      <w:r w:rsidR="00B165C2" w:rsidRPr="005714AF">
        <w:rPr>
          <w:rStyle w:val="ECCParagraph"/>
        </w:rPr>
        <w:t xml:space="preserve">specific </w:t>
      </w:r>
      <w:r w:rsidRPr="005714AF">
        <w:rPr>
          <w:rStyle w:val="ECCParagraph"/>
        </w:rPr>
        <w:t>requirement</w:t>
      </w:r>
      <w:r w:rsidR="00B165C2" w:rsidRPr="005714AF">
        <w:rPr>
          <w:rStyle w:val="ECCParagraph"/>
        </w:rPr>
        <w:t>s</w:t>
      </w:r>
      <w:r w:rsidRPr="005E0DF9">
        <w:rPr>
          <w:rStyle w:val="ECCParagraph"/>
        </w:rPr>
        <w:t xml:space="preserve"> for radio equipment on </w:t>
      </w:r>
      <w:r w:rsidRPr="005714AF">
        <w:rPr>
          <w:rStyle w:val="ECCParagraph"/>
        </w:rPr>
        <w:t>vessel</w:t>
      </w:r>
      <w:r w:rsidR="00B165C2" w:rsidRPr="005714AF">
        <w:rPr>
          <w:rStyle w:val="ECCParagraph"/>
        </w:rPr>
        <w:t>s</w:t>
      </w:r>
      <w:r w:rsidRPr="005E0DF9">
        <w:rPr>
          <w:rStyle w:val="ECCParagraph"/>
        </w:rPr>
        <w:t xml:space="preserve"> when </w:t>
      </w:r>
      <w:r w:rsidR="00B165C2" w:rsidRPr="005714AF">
        <w:rPr>
          <w:rStyle w:val="ECCParagraph"/>
        </w:rPr>
        <w:t>sailing through</w:t>
      </w:r>
      <w:r w:rsidR="00B165C2" w:rsidRPr="005E0DF9">
        <w:rPr>
          <w:rStyle w:val="ECCParagraph"/>
        </w:rPr>
        <w:t xml:space="preserve"> </w:t>
      </w:r>
      <w:r w:rsidRPr="005E0DF9">
        <w:rPr>
          <w:rStyle w:val="ECCParagraph"/>
        </w:rPr>
        <w:t xml:space="preserve">a given </w:t>
      </w:r>
      <w:r w:rsidR="00B165C2" w:rsidRPr="005714AF">
        <w:rPr>
          <w:rStyle w:val="ECCParagraph"/>
        </w:rPr>
        <w:t>combination</w:t>
      </w:r>
      <w:r w:rsidRPr="005E0DF9">
        <w:rPr>
          <w:rStyle w:val="ECCParagraph"/>
        </w:rPr>
        <w:t xml:space="preserve"> of</w:t>
      </w:r>
      <w:r w:rsidR="00B165C2" w:rsidRPr="005714AF">
        <w:rPr>
          <w:rStyle w:val="ECCParagraph"/>
        </w:rPr>
        <w:t xml:space="preserve"> Sea</w:t>
      </w:r>
      <w:r w:rsidRPr="005E0DF9">
        <w:rPr>
          <w:rStyle w:val="ECCParagraph"/>
        </w:rPr>
        <w:t xml:space="preserve"> Area(s) A1</w:t>
      </w:r>
      <w:r w:rsidR="002C2426" w:rsidRPr="005714AF">
        <w:rPr>
          <w:rStyle w:val="FootnoteReference"/>
        </w:rPr>
        <w:footnoteReference w:id="4"/>
      </w:r>
      <w:r w:rsidRPr="005E0DF9">
        <w:rPr>
          <w:rStyle w:val="ECCParagraph"/>
        </w:rPr>
        <w:t>, A2</w:t>
      </w:r>
      <w:r w:rsidR="002C2426" w:rsidRPr="005714AF">
        <w:rPr>
          <w:rStyle w:val="FootnoteReference"/>
        </w:rPr>
        <w:footnoteReference w:id="5"/>
      </w:r>
      <w:r w:rsidRPr="005E0DF9">
        <w:rPr>
          <w:rStyle w:val="ECCParagraph"/>
        </w:rPr>
        <w:t>, A3</w:t>
      </w:r>
      <w:r w:rsidR="00353611" w:rsidRPr="005714AF">
        <w:rPr>
          <w:rStyle w:val="FootnoteReference"/>
        </w:rPr>
        <w:footnoteReference w:id="6"/>
      </w:r>
      <w:r w:rsidRPr="005E0DF9">
        <w:rPr>
          <w:rStyle w:val="ECCParagraph"/>
        </w:rPr>
        <w:t xml:space="preserve"> and A4</w:t>
      </w:r>
      <w:r w:rsidR="00353611" w:rsidRPr="005714AF">
        <w:rPr>
          <w:rStyle w:val="FootnoteReference"/>
        </w:rPr>
        <w:footnoteReference w:id="7"/>
      </w:r>
      <w:r w:rsidRPr="005714AF">
        <w:rPr>
          <w:rStyle w:val="ECCParagraph"/>
        </w:rPr>
        <w:t>.</w:t>
      </w:r>
      <w:r w:rsidRPr="005E0DF9">
        <w:rPr>
          <w:rStyle w:val="ECCParagraph"/>
        </w:rPr>
        <w:t xml:space="preserve"> For example, in area A1, SOLAS Chapter IV</w:t>
      </w:r>
      <w:r w:rsidR="005714AF" w:rsidRPr="005E0DF9">
        <w:rPr>
          <w:rStyle w:val="ECCParagraph"/>
        </w:rPr>
        <w:t xml:space="preserve"> </w:t>
      </w:r>
      <w:r w:rsidR="005714AF">
        <w:rPr>
          <w:rStyle w:val="ECCParagraph"/>
        </w:rPr>
        <w:t>R</w:t>
      </w:r>
      <w:r w:rsidR="00B165C2" w:rsidRPr="005714AF">
        <w:rPr>
          <w:rStyle w:val="ECCParagraph"/>
        </w:rPr>
        <w:t>egulation</w:t>
      </w:r>
      <w:r w:rsidRPr="005E0DF9">
        <w:rPr>
          <w:rStyle w:val="ECCParagraph"/>
        </w:rPr>
        <w:t xml:space="preserve"> 8</w:t>
      </w:r>
      <w:r w:rsidR="005714AF" w:rsidRPr="005E0DF9">
        <w:rPr>
          <w:rStyle w:val="ECCParagraph"/>
        </w:rPr>
        <w:t xml:space="preserve"> </w:t>
      </w:r>
      <w:r w:rsidR="005714AF" w:rsidRPr="005714AF">
        <w:t>applies</w:t>
      </w:r>
      <w:r w:rsidR="00B165C2" w:rsidRPr="005714AF">
        <w:rPr>
          <w:rStyle w:val="ECCParagraph"/>
        </w:rPr>
        <w:t>,</w:t>
      </w:r>
      <w:r w:rsidRPr="005E0DF9">
        <w:rPr>
          <w:rStyle w:val="ECCParagraph"/>
        </w:rPr>
        <w:t xml:space="preserve"> with its </w:t>
      </w:r>
      <w:r w:rsidR="0062753C" w:rsidRPr="005E0DF9">
        <w:rPr>
          <w:rStyle w:val="ECCParagraph"/>
        </w:rPr>
        <w:t>five</w:t>
      </w:r>
      <w:r w:rsidRPr="005E0DF9">
        <w:rPr>
          <w:rStyle w:val="ECCParagraph"/>
        </w:rPr>
        <w:t xml:space="preserve"> </w:t>
      </w:r>
      <w:r w:rsidRPr="005714AF">
        <w:rPr>
          <w:rStyle w:val="ECCParagraph"/>
        </w:rPr>
        <w:t>subsection</w:t>
      </w:r>
      <w:r w:rsidRPr="005E0DF9">
        <w:rPr>
          <w:rStyle w:val="ECCParagraph"/>
        </w:rPr>
        <w:t xml:space="preserve"> requirements</w:t>
      </w:r>
      <w:r w:rsidR="00B165C2" w:rsidRPr="005714AF">
        <w:rPr>
          <w:rStyle w:val="ECCParagraph"/>
        </w:rPr>
        <w:t>,</w:t>
      </w:r>
      <w:r w:rsidRPr="005E0DF9">
        <w:rPr>
          <w:rStyle w:val="ECCParagraph"/>
        </w:rPr>
        <w:t xml:space="preserve"> in addition to those </w:t>
      </w:r>
      <w:r w:rsidR="00B165C2" w:rsidRPr="005714AF">
        <w:rPr>
          <w:rStyle w:val="ECCParagraph"/>
        </w:rPr>
        <w:t>of</w:t>
      </w:r>
      <w:r w:rsidRPr="005714AF">
        <w:rPr>
          <w:rStyle w:val="ECCParagraph"/>
        </w:rPr>
        <w:t xml:space="preserve"> </w:t>
      </w:r>
      <w:r w:rsidR="005714AF">
        <w:rPr>
          <w:rStyle w:val="ECCParagraph"/>
        </w:rPr>
        <w:t>R</w:t>
      </w:r>
      <w:r w:rsidRPr="005714AF">
        <w:rPr>
          <w:rStyle w:val="ECCParagraph"/>
        </w:rPr>
        <w:t>egulation</w:t>
      </w:r>
      <w:r w:rsidRPr="005E0DF9">
        <w:rPr>
          <w:rStyle w:val="ECCParagraph"/>
        </w:rPr>
        <w:t xml:space="preserve"> 7. It should be noted that</w:t>
      </w:r>
      <w:r w:rsidR="00F93AC1" w:rsidRPr="005E0DF9">
        <w:rPr>
          <w:rStyle w:val="ECCParagraph"/>
        </w:rPr>
        <w:t>:</w:t>
      </w:r>
    </w:p>
    <w:p w:rsidR="007F360C" w:rsidRPr="005E0DF9" w:rsidRDefault="007F360C" w:rsidP="007253C6">
      <w:pPr>
        <w:pStyle w:val="ECCBulletsLv1"/>
        <w:rPr>
          <w:rStyle w:val="ECCParagraph"/>
        </w:rPr>
      </w:pPr>
      <w:r w:rsidRPr="005E0DF9">
        <w:rPr>
          <w:rStyle w:val="ECCParagraph"/>
        </w:rPr>
        <w:t xml:space="preserve">these subsections are coupled by an “or” which means that there are </w:t>
      </w:r>
      <w:r w:rsidR="00607139" w:rsidRPr="005E0DF9">
        <w:rPr>
          <w:rStyle w:val="ECCParagraph"/>
        </w:rPr>
        <w:t>five</w:t>
      </w:r>
      <w:r w:rsidRPr="005E0DF9">
        <w:rPr>
          <w:rStyle w:val="ECCParagraph"/>
        </w:rPr>
        <w:t xml:space="preserve"> solutions of radio-equipment to initiate a distress alert</w:t>
      </w:r>
      <w:r w:rsidR="009B3501" w:rsidRPr="005714AF">
        <w:rPr>
          <w:rStyle w:val="ECCParagraph"/>
        </w:rPr>
        <w:t>, including by use of Inmarsat terminals</w:t>
      </w:r>
      <w:r w:rsidR="005714AF">
        <w:rPr>
          <w:rStyle w:val="ECCParagraph"/>
        </w:rPr>
        <w:t>.</w:t>
      </w:r>
      <w:r w:rsidR="000A1D5C" w:rsidRPr="005714AF">
        <w:rPr>
          <w:rStyle w:val="ECCParagraph"/>
        </w:rPr>
        <w:t xml:space="preserve"> </w:t>
      </w:r>
      <w:r w:rsidR="005714AF">
        <w:rPr>
          <w:rStyle w:val="ECCParagraph"/>
        </w:rPr>
        <w:t>T</w:t>
      </w:r>
      <w:r w:rsidR="000A1D5C" w:rsidRPr="005714AF">
        <w:rPr>
          <w:rStyle w:val="ECCParagraph"/>
        </w:rPr>
        <w:t>he</w:t>
      </w:r>
      <w:r w:rsidR="000A1D5C" w:rsidRPr="005E0DF9">
        <w:rPr>
          <w:rStyle w:val="ECCParagraph"/>
        </w:rPr>
        <w:t xml:space="preserve"> selection </w:t>
      </w:r>
      <w:r w:rsidR="005714AF">
        <w:rPr>
          <w:rStyle w:val="ECCParagraph"/>
        </w:rPr>
        <w:t>amongst those five solutions</w:t>
      </w:r>
      <w:r w:rsidR="005714AF" w:rsidRPr="005E0DF9">
        <w:rPr>
          <w:rStyle w:val="ECCParagraph"/>
        </w:rPr>
        <w:t xml:space="preserve"> </w:t>
      </w:r>
      <w:r w:rsidR="000A1D5C" w:rsidRPr="005E0DF9">
        <w:rPr>
          <w:rStyle w:val="ECCParagraph"/>
        </w:rPr>
        <w:t>is up to the ship</w:t>
      </w:r>
      <w:r w:rsidR="009B3501" w:rsidRPr="005714AF">
        <w:rPr>
          <w:rStyle w:val="ECCParagraph"/>
        </w:rPr>
        <w:t xml:space="preserve"> or flag</w:t>
      </w:r>
      <w:r w:rsidR="000C5807" w:rsidRPr="005714AF">
        <w:rPr>
          <w:rStyle w:val="ECCParagraph"/>
        </w:rPr>
        <w:t xml:space="preserve"> </w:t>
      </w:r>
      <w:r w:rsidR="009B3501" w:rsidRPr="005714AF">
        <w:rPr>
          <w:rStyle w:val="ECCParagraph"/>
        </w:rPr>
        <w:t>-state</w:t>
      </w:r>
      <w:r w:rsidR="000C5807" w:rsidRPr="005714AF">
        <w:rPr>
          <w:rStyle w:val="ECCParagraph"/>
        </w:rPr>
        <w:t xml:space="preserve"> to determine</w:t>
      </w:r>
      <w:r w:rsidR="0062753C" w:rsidRPr="005E0DF9">
        <w:rPr>
          <w:rStyle w:val="ECCParagraph"/>
        </w:rPr>
        <w:t>,</w:t>
      </w:r>
      <w:r w:rsidR="000A1D5C" w:rsidRPr="005E0DF9">
        <w:rPr>
          <w:rStyle w:val="ECCParagraph"/>
        </w:rPr>
        <w:t xml:space="preserve"> not the coast</w:t>
      </w:r>
      <w:r w:rsidR="005402BF" w:rsidRPr="005714AF">
        <w:rPr>
          <w:rStyle w:val="ECCParagraph"/>
        </w:rPr>
        <w:t>-</w:t>
      </w:r>
      <w:r w:rsidR="000A1D5C" w:rsidRPr="005714AF">
        <w:rPr>
          <w:rStyle w:val="ECCParagraph"/>
        </w:rPr>
        <w:t xml:space="preserve"> o</w:t>
      </w:r>
      <w:r w:rsidR="005402BF" w:rsidRPr="005714AF">
        <w:rPr>
          <w:rStyle w:val="ECCParagraph"/>
        </w:rPr>
        <w:t>r</w:t>
      </w:r>
      <w:r w:rsidR="000A1D5C" w:rsidRPr="005E0DF9">
        <w:rPr>
          <w:rStyle w:val="ECCParagraph"/>
        </w:rPr>
        <w:t xml:space="preserve"> port-state</w:t>
      </w:r>
      <w:r w:rsidR="0080653C" w:rsidRPr="005E0DF9">
        <w:rPr>
          <w:rStyle w:val="ECCParagraph"/>
        </w:rPr>
        <w:t>,</w:t>
      </w:r>
    </w:p>
    <w:p w:rsidR="009E3C28" w:rsidRPr="005E0DF9" w:rsidRDefault="007F360C" w:rsidP="007253C6">
      <w:pPr>
        <w:pStyle w:val="ECCBulletsLv1"/>
        <w:rPr>
          <w:rStyle w:val="ECCParagraph"/>
        </w:rPr>
      </w:pPr>
      <w:r w:rsidRPr="005E0DF9">
        <w:rPr>
          <w:rStyle w:val="ECCParagraph"/>
        </w:rPr>
        <w:t xml:space="preserve">two of these </w:t>
      </w:r>
      <w:r w:rsidR="00EE053C" w:rsidRPr="005E0DF9">
        <w:rPr>
          <w:rStyle w:val="ECCParagraph"/>
        </w:rPr>
        <w:t>five</w:t>
      </w:r>
      <w:r w:rsidRPr="005E0DF9">
        <w:rPr>
          <w:rStyle w:val="ECCParagraph"/>
        </w:rPr>
        <w:t xml:space="preserve"> possibilities are already listed</w:t>
      </w:r>
      <w:r w:rsidR="00EE053C" w:rsidRPr="005E0DF9">
        <w:rPr>
          <w:rStyle w:val="ECCParagraph"/>
        </w:rPr>
        <w:t xml:space="preserve"> under</w:t>
      </w:r>
      <w:r w:rsidRPr="005E0DF9">
        <w:rPr>
          <w:rStyle w:val="ECCParagraph"/>
        </w:rPr>
        <w:t xml:space="preserve"> </w:t>
      </w:r>
      <w:r w:rsidR="003C6BF4">
        <w:rPr>
          <w:rStyle w:val="ECCParagraph"/>
        </w:rPr>
        <w:t xml:space="preserve">SOLAS Chapter IV </w:t>
      </w:r>
      <w:r w:rsidRPr="005E0DF9">
        <w:rPr>
          <w:rStyle w:val="ECCParagraph"/>
        </w:rPr>
        <w:t xml:space="preserve">Regulation 7 (mandatory for installation): 406 MHz </w:t>
      </w:r>
      <w:r w:rsidR="000C5807" w:rsidRPr="003C6BF4">
        <w:rPr>
          <w:rStyle w:val="ECCParagraph"/>
        </w:rPr>
        <w:t xml:space="preserve">COSPAS-SARSAT </w:t>
      </w:r>
      <w:r w:rsidRPr="005E0DF9">
        <w:rPr>
          <w:rStyle w:val="ECCParagraph"/>
        </w:rPr>
        <w:t xml:space="preserve">EPIRB </w:t>
      </w:r>
      <w:r w:rsidR="000A1D5C" w:rsidRPr="005E0DF9">
        <w:rPr>
          <w:rStyle w:val="ECCParagraph"/>
        </w:rPr>
        <w:t>and</w:t>
      </w:r>
      <w:r w:rsidRPr="005E0DF9">
        <w:rPr>
          <w:rStyle w:val="ECCParagraph"/>
        </w:rPr>
        <w:t xml:space="preserve"> VHF radio</w:t>
      </w:r>
      <w:r w:rsidR="000A1D5C" w:rsidRPr="005E0DF9">
        <w:rPr>
          <w:rStyle w:val="ECCParagraph"/>
        </w:rPr>
        <w:t xml:space="preserve"> using DSC</w:t>
      </w:r>
      <w:r w:rsidR="00EE053C" w:rsidRPr="003C6BF4">
        <w:rPr>
          <w:rStyle w:val="FootnoteReference"/>
        </w:rPr>
        <w:footnoteReference w:id="8"/>
      </w:r>
      <w:r w:rsidR="003015E8" w:rsidRPr="005E0DF9">
        <w:rPr>
          <w:rStyle w:val="ECCParagraph"/>
        </w:rPr>
        <w:t>;</w:t>
      </w:r>
    </w:p>
    <w:p w:rsidR="00585AE4" w:rsidRPr="002B6E82" w:rsidRDefault="00585AE4" w:rsidP="005E0DF9">
      <w:pPr>
        <w:pStyle w:val="ECCBulletsLv1"/>
        <w:rPr>
          <w:rStyle w:val="ECCParagraph"/>
        </w:rPr>
      </w:pPr>
      <w:r w:rsidRPr="002B6E82">
        <w:rPr>
          <w:rStyle w:val="ECCParagraph"/>
        </w:rPr>
        <w:t xml:space="preserve">the </w:t>
      </w:r>
      <w:r w:rsidR="000C5807" w:rsidRPr="002B6E82">
        <w:rPr>
          <w:rStyle w:val="ECCParagraph"/>
        </w:rPr>
        <w:t>declaration of</w:t>
      </w:r>
      <w:r w:rsidR="00C6414C" w:rsidRPr="002B6E82">
        <w:rPr>
          <w:rStyle w:val="ECCParagraph"/>
        </w:rPr>
        <w:t xml:space="preserve"> </w:t>
      </w:r>
      <w:r w:rsidRPr="00BF6580">
        <w:rPr>
          <w:rStyle w:val="ECCParagraph"/>
        </w:rPr>
        <w:t xml:space="preserve">Sea Areas A1 and A2 </w:t>
      </w:r>
      <w:r w:rsidR="000C5807" w:rsidRPr="00CA12B3">
        <w:rPr>
          <w:rStyle w:val="ECCParagraph"/>
        </w:rPr>
        <w:t>is a matter for those</w:t>
      </w:r>
      <w:r w:rsidRPr="00CA12B3">
        <w:rPr>
          <w:rStyle w:val="ECCParagraph"/>
        </w:rPr>
        <w:t xml:space="preserve"> coast </w:t>
      </w:r>
      <w:r w:rsidR="000C5807" w:rsidRPr="005714AF">
        <w:rPr>
          <w:rStyle w:val="ECCParagraph"/>
        </w:rPr>
        <w:t>states</w:t>
      </w:r>
      <w:r w:rsidRPr="005714AF">
        <w:rPr>
          <w:rStyle w:val="ECCParagraph"/>
        </w:rPr>
        <w:t xml:space="preserve"> </w:t>
      </w:r>
      <w:r w:rsidR="003C6BF4">
        <w:rPr>
          <w:rStyle w:val="ECCParagraph"/>
        </w:rPr>
        <w:t xml:space="preserve">responsible for their </w:t>
      </w:r>
      <w:r w:rsidRPr="005714AF">
        <w:rPr>
          <w:rStyle w:val="ECCParagraph"/>
        </w:rPr>
        <w:t>obligations under SOLAS</w:t>
      </w:r>
      <w:r w:rsidR="00667B50" w:rsidRPr="005714AF">
        <w:rPr>
          <w:rStyle w:val="ECCParagraph"/>
        </w:rPr>
        <w:t xml:space="preserve">; alternatively, coast states </w:t>
      </w:r>
      <w:r w:rsidR="003C6BF4">
        <w:rPr>
          <w:rStyle w:val="ECCParagraph"/>
        </w:rPr>
        <w:t xml:space="preserve">may </w:t>
      </w:r>
      <w:r w:rsidR="00667B50" w:rsidRPr="003C6BF4">
        <w:rPr>
          <w:rStyle w:val="ECCParagraph"/>
        </w:rPr>
        <w:t>declare their coastal areas to be part of Sea Area A3, in which case rescue authority support will primarily be through satellite communications</w:t>
      </w:r>
      <w:r w:rsidR="003C6BF4">
        <w:rPr>
          <w:rStyle w:val="ECCParagraph"/>
        </w:rPr>
        <w:t>. T</w:t>
      </w:r>
      <w:r w:rsidR="000C5807" w:rsidRPr="003C6BF4">
        <w:rPr>
          <w:rStyle w:val="ECCParagraph"/>
        </w:rPr>
        <w:t xml:space="preserve">he </w:t>
      </w:r>
      <w:r w:rsidR="00667B50" w:rsidRPr="003C6BF4">
        <w:rPr>
          <w:rStyle w:val="ECCParagraph"/>
        </w:rPr>
        <w:t>declared</w:t>
      </w:r>
      <w:r w:rsidRPr="003C6BF4">
        <w:rPr>
          <w:rStyle w:val="ECCParagraph"/>
        </w:rPr>
        <w:t xml:space="preserve"> </w:t>
      </w:r>
      <w:r w:rsidR="003C6BF4" w:rsidRPr="003C6BF4">
        <w:rPr>
          <w:rStyle w:val="ECCParagraph"/>
        </w:rPr>
        <w:t>se</w:t>
      </w:r>
      <w:r w:rsidR="003C6BF4">
        <w:rPr>
          <w:rStyle w:val="ECCParagraph"/>
        </w:rPr>
        <w:t>a</w:t>
      </w:r>
      <w:r w:rsidR="003C6BF4" w:rsidRPr="003C6BF4">
        <w:rPr>
          <w:rStyle w:val="ECCParagraph"/>
        </w:rPr>
        <w:t xml:space="preserve"> </w:t>
      </w:r>
      <w:r w:rsidRPr="003C6BF4">
        <w:rPr>
          <w:rStyle w:val="ECCParagraph"/>
        </w:rPr>
        <w:t xml:space="preserve">areas </w:t>
      </w:r>
      <w:r w:rsidR="00C6414C" w:rsidRPr="003C6BF4">
        <w:rPr>
          <w:rStyle w:val="ECCParagraph"/>
        </w:rPr>
        <w:t xml:space="preserve">are available </w:t>
      </w:r>
      <w:r w:rsidR="00905DEB" w:rsidRPr="003C6BF4">
        <w:rPr>
          <w:rStyle w:val="ECCParagraph"/>
        </w:rPr>
        <w:t>in the GMDSS Master</w:t>
      </w:r>
      <w:r w:rsidR="003C6BF4">
        <w:rPr>
          <w:rStyle w:val="ECCParagraph"/>
        </w:rPr>
        <w:t xml:space="preserve"> </w:t>
      </w:r>
      <w:r w:rsidR="00B33D0A" w:rsidRPr="003C6BF4">
        <w:rPr>
          <w:rStyle w:val="ECCParagraph"/>
        </w:rPr>
        <w:t>Plan</w:t>
      </w:r>
      <w:r w:rsidR="003015E8" w:rsidRPr="002B6E82">
        <w:rPr>
          <w:rStyle w:val="ECCParagraph"/>
        </w:rPr>
        <w:t>;</w:t>
      </w:r>
    </w:p>
    <w:p w:rsidR="00E27257" w:rsidRPr="0010633C" w:rsidRDefault="0010633C" w:rsidP="00212A05">
      <w:pPr>
        <w:pStyle w:val="ECCBulletsLv1"/>
        <w:rPr>
          <w:rStyle w:val="ECCParagraph"/>
        </w:rPr>
      </w:pPr>
      <w:r w:rsidRPr="0010633C">
        <w:rPr>
          <w:rStyle w:val="ECCParagraph"/>
        </w:rPr>
        <w:t>w</w:t>
      </w:r>
      <w:r w:rsidR="006A5AF1" w:rsidRPr="0010633C">
        <w:rPr>
          <w:rStyle w:val="ECCParagraph"/>
        </w:rPr>
        <w:t>ithin the framework of SOLAS it is assumed that the L-Band Resources as well as HF are fully available within their defined service area</w:t>
      </w:r>
      <w:r w:rsidR="00C403AE" w:rsidRPr="00E33DB7">
        <w:rPr>
          <w:rStyle w:val="ECCParagraph"/>
        </w:rPr>
        <w:t>.</w:t>
      </w:r>
      <w:r w:rsidR="006A5AF1" w:rsidRPr="0010633C">
        <w:rPr>
          <w:rStyle w:val="ECCParagraph"/>
        </w:rPr>
        <w:t xml:space="preserve"> </w:t>
      </w:r>
      <w:r w:rsidR="00E27257" w:rsidRPr="0010633C">
        <w:rPr>
          <w:rStyle w:val="ECCParagraph"/>
        </w:rPr>
        <w:t xml:space="preserve">Appropriate means </w:t>
      </w:r>
      <w:r w:rsidRPr="0010633C">
        <w:rPr>
          <w:rStyle w:val="ECCParagraph"/>
        </w:rPr>
        <w:t>would need</w:t>
      </w:r>
      <w:r w:rsidR="00E27257" w:rsidRPr="0010633C">
        <w:rPr>
          <w:rStyle w:val="ECCParagraph"/>
        </w:rPr>
        <w:t xml:space="preserve"> to be identified</w:t>
      </w:r>
      <w:r w:rsidRPr="0010633C">
        <w:rPr>
          <w:rStyle w:val="ECCParagraph"/>
        </w:rPr>
        <w:t xml:space="preserve"> regarding</w:t>
      </w:r>
      <w:r w:rsidR="00E27257" w:rsidRPr="0010633C">
        <w:rPr>
          <w:rStyle w:val="ECCParagraph"/>
        </w:rPr>
        <w:t xml:space="preserve"> how to inform member states and mariners </w:t>
      </w:r>
      <w:r w:rsidRPr="0010633C">
        <w:rPr>
          <w:rStyle w:val="ECCParagraph"/>
        </w:rPr>
        <w:t xml:space="preserve">if </w:t>
      </w:r>
      <w:r w:rsidR="00E27257" w:rsidRPr="0010633C">
        <w:rPr>
          <w:rStyle w:val="ECCParagraph"/>
        </w:rPr>
        <w:t>within</w:t>
      </w:r>
      <w:r w:rsidRPr="0010633C">
        <w:t xml:space="preserve"> a certain area</w:t>
      </w:r>
      <w:r w:rsidR="00E27257" w:rsidRPr="0010633C">
        <w:rPr>
          <w:rStyle w:val="ECCParagraph"/>
        </w:rPr>
        <w:t xml:space="preserve"> the GMDSS L-Band </w:t>
      </w:r>
      <w:r w:rsidRPr="0010633C">
        <w:rPr>
          <w:rStyle w:val="ECCParagraph"/>
        </w:rPr>
        <w:t>service</w:t>
      </w:r>
      <w:r w:rsidR="00E27257" w:rsidRPr="0010633C">
        <w:rPr>
          <w:rStyle w:val="ECCParagraph"/>
        </w:rPr>
        <w:t xml:space="preserve"> </w:t>
      </w:r>
      <w:r w:rsidR="00917DBB" w:rsidRPr="0010633C">
        <w:rPr>
          <w:rStyle w:val="ECCParagraph"/>
        </w:rPr>
        <w:t>may</w:t>
      </w:r>
      <w:r w:rsidR="00E27257" w:rsidRPr="0010633C">
        <w:rPr>
          <w:rStyle w:val="ECCParagraph"/>
        </w:rPr>
        <w:t xml:space="preserve"> not</w:t>
      </w:r>
      <w:r w:rsidR="00917DBB" w:rsidRPr="0010633C">
        <w:rPr>
          <w:rStyle w:val="ECCParagraph"/>
        </w:rPr>
        <w:t xml:space="preserve"> be</w:t>
      </w:r>
      <w:r w:rsidR="00E27257" w:rsidRPr="0010633C">
        <w:rPr>
          <w:rStyle w:val="ECCParagraph"/>
        </w:rPr>
        <w:t xml:space="preserve"> available due to interference</w:t>
      </w:r>
      <w:r>
        <w:rPr>
          <w:rStyle w:val="ECCParagraph"/>
        </w:rPr>
        <w:t>;</w:t>
      </w:r>
    </w:p>
    <w:p w:rsidR="00585AE4" w:rsidRPr="002B6E82" w:rsidRDefault="00905DEB" w:rsidP="00585AE4">
      <w:pPr>
        <w:pStyle w:val="ECCBulletsLv1"/>
        <w:rPr>
          <w:rStyle w:val="ECCParagraph"/>
        </w:rPr>
      </w:pPr>
      <w:r w:rsidRPr="00BF6580">
        <w:rPr>
          <w:rStyle w:val="ECCParagraph"/>
        </w:rPr>
        <w:t>t</w:t>
      </w:r>
      <w:r w:rsidR="00646309" w:rsidRPr="00BF6580">
        <w:rPr>
          <w:rStyle w:val="ECCParagraph"/>
        </w:rPr>
        <w:t xml:space="preserve">here </w:t>
      </w:r>
      <w:r w:rsidR="008044FB">
        <w:rPr>
          <w:rStyle w:val="ECCParagraph"/>
        </w:rPr>
        <w:t>may be</w:t>
      </w:r>
      <w:r w:rsidR="009B3501" w:rsidRPr="00CA12B3">
        <w:rPr>
          <w:rStyle w:val="ECCParagraph"/>
        </w:rPr>
        <w:t xml:space="preserve"> </w:t>
      </w:r>
      <w:r w:rsidR="00255279" w:rsidRPr="00CA12B3">
        <w:rPr>
          <w:rStyle w:val="ECCParagraph"/>
        </w:rPr>
        <w:t xml:space="preserve">areas along </w:t>
      </w:r>
      <w:r w:rsidR="00646309" w:rsidRPr="00CA12B3">
        <w:rPr>
          <w:rStyle w:val="ECCParagraph"/>
        </w:rPr>
        <w:t xml:space="preserve">the </w:t>
      </w:r>
      <w:r w:rsidR="00667B50" w:rsidRPr="00CA12B3">
        <w:rPr>
          <w:rStyle w:val="ECCParagraph"/>
        </w:rPr>
        <w:t xml:space="preserve">coastlines of </w:t>
      </w:r>
      <w:r w:rsidR="00646309" w:rsidRPr="00CA12B3">
        <w:rPr>
          <w:rStyle w:val="ECCParagraph"/>
        </w:rPr>
        <w:t xml:space="preserve">CEPT </w:t>
      </w:r>
      <w:r w:rsidR="00667B50" w:rsidRPr="00CA12B3">
        <w:rPr>
          <w:rStyle w:val="ECCParagraph"/>
        </w:rPr>
        <w:t>countries</w:t>
      </w:r>
      <w:r w:rsidR="00646309" w:rsidRPr="00CA12B3">
        <w:rPr>
          <w:rStyle w:val="ECCParagraph"/>
        </w:rPr>
        <w:t xml:space="preserve"> where </w:t>
      </w:r>
      <w:r w:rsidR="00585AE4" w:rsidRPr="005714AF">
        <w:rPr>
          <w:rStyle w:val="ECCParagraph"/>
        </w:rPr>
        <w:t xml:space="preserve">MSI </w:t>
      </w:r>
      <w:r w:rsidR="00646309" w:rsidRPr="005714AF">
        <w:rPr>
          <w:rStyle w:val="ECCParagraph"/>
        </w:rPr>
        <w:t xml:space="preserve">through </w:t>
      </w:r>
      <w:r w:rsidR="00262613" w:rsidRPr="005714AF">
        <w:rPr>
          <w:rStyle w:val="ECCParagraph"/>
        </w:rPr>
        <w:t xml:space="preserve">NAVTEX </w:t>
      </w:r>
      <w:r w:rsidR="00646309" w:rsidRPr="005714AF">
        <w:rPr>
          <w:rStyle w:val="ECCParagraph"/>
        </w:rPr>
        <w:t xml:space="preserve">stations is </w:t>
      </w:r>
      <w:r w:rsidR="00667B50" w:rsidRPr="005714AF">
        <w:rPr>
          <w:rStyle w:val="ECCParagraph"/>
        </w:rPr>
        <w:t xml:space="preserve">either </w:t>
      </w:r>
      <w:r w:rsidR="00585AE4" w:rsidRPr="005714AF">
        <w:rPr>
          <w:rStyle w:val="ECCParagraph"/>
        </w:rPr>
        <w:t xml:space="preserve">not </w:t>
      </w:r>
      <w:r w:rsidR="00667B50" w:rsidRPr="005714AF">
        <w:rPr>
          <w:rStyle w:val="ECCParagraph"/>
        </w:rPr>
        <w:t xml:space="preserve">available or </w:t>
      </w:r>
      <w:r w:rsidR="00585AE4" w:rsidRPr="005714AF">
        <w:rPr>
          <w:rStyle w:val="ECCParagraph"/>
        </w:rPr>
        <w:t>not guaranteed</w:t>
      </w:r>
      <w:r w:rsidR="00585AE4" w:rsidRPr="002B6E82">
        <w:rPr>
          <w:rStyle w:val="ECCParagraph"/>
        </w:rPr>
        <w:t>.</w:t>
      </w:r>
    </w:p>
    <w:p w:rsidR="006641AB" w:rsidRPr="005E0DF9" w:rsidRDefault="008B4822" w:rsidP="005E0DF9">
      <w:pPr>
        <w:rPr>
          <w:rStyle w:val="ECCParagraph"/>
        </w:rPr>
      </w:pPr>
      <w:r w:rsidRPr="002B6E82">
        <w:rPr>
          <w:rStyle w:val="ECCParagraph"/>
        </w:rPr>
        <w:lastRenderedPageBreak/>
        <w:t>Other issues related to this section are covered in Annex 1.</w:t>
      </w:r>
      <w:bookmarkStart w:id="107" w:name="_Toc525544416"/>
      <w:bookmarkStart w:id="108" w:name="_Toc528659177"/>
    </w:p>
    <w:p w:rsidR="007F360C" w:rsidRPr="005E0DF9" w:rsidRDefault="007F360C" w:rsidP="002664ED">
      <w:pPr>
        <w:pStyle w:val="Heading3"/>
        <w:rPr>
          <w:lang w:val="en-GB"/>
        </w:rPr>
      </w:pPr>
      <w:bookmarkStart w:id="109" w:name="_Toc3285886"/>
      <w:r w:rsidRPr="005E0DF9">
        <w:rPr>
          <w:lang w:val="en-GB"/>
        </w:rPr>
        <w:t>Situation for inland waterways</w:t>
      </w:r>
      <w:bookmarkEnd w:id="107"/>
      <w:bookmarkEnd w:id="108"/>
      <w:bookmarkEnd w:id="109"/>
    </w:p>
    <w:p w:rsidR="007F360C" w:rsidRPr="005E0DF9" w:rsidRDefault="00574572" w:rsidP="007F360C">
      <w:pPr>
        <w:rPr>
          <w:rStyle w:val="ECCParagraph"/>
        </w:rPr>
      </w:pPr>
      <w:r w:rsidRPr="005E0DF9">
        <w:rPr>
          <w:rStyle w:val="ECCParagraph"/>
        </w:rPr>
        <w:t>In the CEPT countries, t</w:t>
      </w:r>
      <w:r w:rsidR="007F360C" w:rsidRPr="005E0DF9">
        <w:rPr>
          <w:rStyle w:val="ECCParagraph"/>
        </w:rPr>
        <w:t>he regulation within inland waterways indicates that for the Inland locations there is</w:t>
      </w:r>
      <w:r w:rsidR="007213DC" w:rsidRPr="005E0DF9">
        <w:rPr>
          <w:rStyle w:val="ECCParagraph"/>
        </w:rPr>
        <w:t>:</w:t>
      </w:r>
    </w:p>
    <w:p w:rsidR="007F360C" w:rsidRPr="005E0DF9" w:rsidRDefault="00CA117F" w:rsidP="00531852">
      <w:pPr>
        <w:pStyle w:val="ECCBulletsLv1"/>
        <w:rPr>
          <w:rStyle w:val="ECCHLyellow"/>
        </w:rPr>
      </w:pPr>
      <w:r w:rsidRPr="005E0DF9">
        <w:rPr>
          <w:rStyle w:val="ECCParagraph"/>
        </w:rPr>
        <w:t>a</w:t>
      </w:r>
      <w:r w:rsidR="007F360C" w:rsidRPr="005E0DF9">
        <w:rPr>
          <w:rStyle w:val="ECCParagraph"/>
        </w:rPr>
        <w:t xml:space="preserve"> required usage of VHF communications for countries having signed the Arrangement RAINWAT </w:t>
      </w:r>
      <w:r w:rsidR="00266B92">
        <w:rPr>
          <w:rStyle w:val="ECCParagraph"/>
        </w:rPr>
        <w:fldChar w:fldCharType="begin"/>
      </w:r>
      <w:r w:rsidR="00266B92">
        <w:rPr>
          <w:rStyle w:val="ECCParagraph"/>
        </w:rPr>
        <w:instrText xml:space="preserve"> REF _Ref866076 \r \h </w:instrText>
      </w:r>
      <w:r w:rsidR="00266B92">
        <w:rPr>
          <w:rStyle w:val="ECCParagraph"/>
        </w:rPr>
      </w:r>
      <w:r w:rsidR="00266B92">
        <w:rPr>
          <w:rStyle w:val="ECCParagraph"/>
        </w:rPr>
        <w:fldChar w:fldCharType="separate"/>
      </w:r>
      <w:r w:rsidR="00E9777B">
        <w:rPr>
          <w:rStyle w:val="ECCParagraph"/>
        </w:rPr>
        <w:t>[10]</w:t>
      </w:r>
      <w:r w:rsidR="00266B92">
        <w:rPr>
          <w:rStyle w:val="ECCParagraph"/>
        </w:rPr>
        <w:fldChar w:fldCharType="end"/>
      </w:r>
      <w:r w:rsidR="005307C4" w:rsidRPr="00736E1D">
        <w:rPr>
          <w:rStyle w:val="ECCParagraph"/>
        </w:rPr>
        <w:t>;</w:t>
      </w:r>
      <w:r w:rsidR="00B3024C" w:rsidRPr="005E0DF9">
        <w:rPr>
          <w:rStyle w:val="ECCHLyellow"/>
        </w:rPr>
        <w:t xml:space="preserve"> </w:t>
      </w:r>
    </w:p>
    <w:p w:rsidR="007F360C" w:rsidRPr="00531852" w:rsidRDefault="00CA117F" w:rsidP="00531852">
      <w:pPr>
        <w:pStyle w:val="ECCBulletsLv1"/>
      </w:pPr>
      <w:r w:rsidRPr="00531852">
        <w:t>a</w:t>
      </w:r>
      <w:r w:rsidR="007F360C" w:rsidRPr="00531852">
        <w:t xml:space="preserve"> required usage of radio communications compliant with AIS system for countries in the European Union based on the Directive 2005/44/EC</w:t>
      </w:r>
      <w:r w:rsidR="00652553">
        <w:t xml:space="preserve"> </w:t>
      </w:r>
      <w:r w:rsidR="00652553">
        <w:fldChar w:fldCharType="begin"/>
      </w:r>
      <w:r w:rsidR="00652553">
        <w:instrText xml:space="preserve"> REF _Ref865576 \r \h </w:instrText>
      </w:r>
      <w:r w:rsidR="00652553">
        <w:fldChar w:fldCharType="separate"/>
      </w:r>
      <w:r w:rsidR="00E9777B">
        <w:t>[11]</w:t>
      </w:r>
      <w:r w:rsidR="00652553">
        <w:fldChar w:fldCharType="end"/>
      </w:r>
      <w:r w:rsidR="007F360C" w:rsidRPr="00531852">
        <w:t>, noting that AIS system protocol is only compatible with VHF maritime mobile band, as indicated in RAINWAT arrangement (Chapter 1, Article 1, Section C)</w:t>
      </w:r>
      <w:r w:rsidR="009E13DC" w:rsidRPr="00531852">
        <w:t>.</w:t>
      </w:r>
    </w:p>
    <w:p w:rsidR="005567FD" w:rsidRPr="00531852" w:rsidRDefault="007F360C">
      <w:pPr>
        <w:rPr>
          <w:rStyle w:val="ECCParagraph"/>
        </w:rPr>
      </w:pPr>
      <w:r w:rsidRPr="00531852">
        <w:rPr>
          <w:rStyle w:val="ECCParagraph"/>
        </w:rPr>
        <w:t xml:space="preserve">This means that for </w:t>
      </w:r>
      <w:r w:rsidR="005B66C0" w:rsidRPr="00531852">
        <w:rPr>
          <w:rStyle w:val="ECCParagraph"/>
        </w:rPr>
        <w:t xml:space="preserve">some </w:t>
      </w:r>
      <w:r w:rsidRPr="00531852">
        <w:rPr>
          <w:rStyle w:val="ECCParagraph"/>
        </w:rPr>
        <w:t>countries in EU</w:t>
      </w:r>
      <w:r w:rsidR="00154DF8" w:rsidRPr="00531852">
        <w:rPr>
          <w:rStyle w:val="ECCParagraph"/>
        </w:rPr>
        <w:t xml:space="preserve"> and</w:t>
      </w:r>
      <w:r w:rsidRPr="00531852">
        <w:rPr>
          <w:rStyle w:val="ECCParagraph"/>
        </w:rPr>
        <w:t xml:space="preserve"> for countries having signed the RAINWAT arrangement, VHF must </w:t>
      </w:r>
      <w:r w:rsidRPr="000F4EA1">
        <w:rPr>
          <w:rStyle w:val="ECCParagraph"/>
        </w:rPr>
        <w:t>be used</w:t>
      </w:r>
      <w:r w:rsidRPr="00531852">
        <w:rPr>
          <w:rStyle w:val="ECCParagraph"/>
        </w:rPr>
        <w:t xml:space="preserve"> for inland</w:t>
      </w:r>
      <w:r w:rsidR="00D94E12" w:rsidRPr="00531852">
        <w:rPr>
          <w:rStyle w:val="ECCParagraph"/>
        </w:rPr>
        <w:t xml:space="preserve"> </w:t>
      </w:r>
      <w:r w:rsidRPr="00531852">
        <w:rPr>
          <w:rStyle w:val="ECCParagraph"/>
        </w:rPr>
        <w:t xml:space="preserve">locations where the SOLAS convention </w:t>
      </w:r>
      <w:r w:rsidR="00D94E12" w:rsidRPr="00531852">
        <w:rPr>
          <w:rStyle w:val="ECCParagraph"/>
        </w:rPr>
        <w:t xml:space="preserve">is not defined. </w:t>
      </w:r>
      <w:r w:rsidR="000A549F" w:rsidRPr="00531852">
        <w:rPr>
          <w:rStyle w:val="ECCParagraph"/>
        </w:rPr>
        <w:t>H</w:t>
      </w:r>
      <w:r w:rsidRPr="00531852">
        <w:rPr>
          <w:rStyle w:val="ECCParagraph"/>
        </w:rPr>
        <w:t xml:space="preserve">ence </w:t>
      </w:r>
      <w:r w:rsidR="00D94E12" w:rsidRPr="00531852">
        <w:rPr>
          <w:rStyle w:val="ECCParagraph"/>
        </w:rPr>
        <w:t xml:space="preserve">administrations will need to consider whether or not </w:t>
      </w:r>
      <w:r w:rsidRPr="00531852">
        <w:rPr>
          <w:rStyle w:val="ECCParagraph"/>
        </w:rPr>
        <w:t xml:space="preserve">there is </w:t>
      </w:r>
      <w:r w:rsidR="00D94E12" w:rsidRPr="00531852">
        <w:rPr>
          <w:rStyle w:val="ECCParagraph"/>
        </w:rPr>
        <w:t xml:space="preserve">a </w:t>
      </w:r>
      <w:r w:rsidRPr="00531852">
        <w:rPr>
          <w:rStyle w:val="ECCParagraph"/>
        </w:rPr>
        <w:t>need to provide additional protection to MSS</w:t>
      </w:r>
      <w:r w:rsidRPr="005E0DF9">
        <w:t xml:space="preserve"> terminals </w:t>
      </w:r>
      <w:r w:rsidRPr="00531852">
        <w:rPr>
          <w:rStyle w:val="ECCParagraph"/>
        </w:rPr>
        <w:t>in inland waterways</w:t>
      </w:r>
      <w:r w:rsidR="002B7989" w:rsidRPr="00531852">
        <w:rPr>
          <w:rStyle w:val="ECCParagraph"/>
        </w:rPr>
        <w:t xml:space="preserve"> i</w:t>
      </w:r>
      <w:r w:rsidR="005567FD" w:rsidRPr="00531852">
        <w:rPr>
          <w:rStyle w:val="ECCParagraph"/>
        </w:rPr>
        <w:t>n those countries.</w:t>
      </w:r>
    </w:p>
    <w:p w:rsidR="00DF0077" w:rsidRPr="005E0DF9" w:rsidRDefault="005A130D">
      <w:pPr>
        <w:rPr>
          <w:rStyle w:val="ECCHLmagenta"/>
        </w:rPr>
      </w:pPr>
      <w:r w:rsidRPr="00531852">
        <w:rPr>
          <w:b/>
        </w:rPr>
        <w:t xml:space="preserve">Other arrangements may apply for other countries that are not party to the RAINWAT Arrangement </w:t>
      </w:r>
      <w:r w:rsidR="008E766D" w:rsidRPr="00531852">
        <w:t xml:space="preserve">or in the EU </w:t>
      </w:r>
      <w:r w:rsidRPr="00531852">
        <w:t>and individual administrations could decide at national level to provide protection to L-band MSS at locations that include some inland waterways</w:t>
      </w:r>
      <w:r w:rsidR="00FD7E35" w:rsidRPr="00531852">
        <w:t>.</w:t>
      </w:r>
      <w:r w:rsidR="007A24E4" w:rsidRPr="00212A05">
        <w:rPr>
          <w:rStyle w:val="ECCHLmagenta"/>
        </w:rPr>
        <w:t xml:space="preserve"> </w:t>
      </w:r>
    </w:p>
    <w:p w:rsidR="007F360C" w:rsidRPr="00CF05D2" w:rsidRDefault="007F360C" w:rsidP="00EE4A56">
      <w:pPr>
        <w:pStyle w:val="Heading3"/>
        <w:rPr>
          <w:lang w:val="en-GB"/>
        </w:rPr>
      </w:pPr>
      <w:bookmarkStart w:id="110" w:name="_Toc524082716"/>
      <w:bookmarkStart w:id="111" w:name="_Toc524356726"/>
      <w:bookmarkStart w:id="112" w:name="_Toc524360628"/>
      <w:bookmarkStart w:id="113" w:name="_Toc524361090"/>
      <w:bookmarkStart w:id="114" w:name="_Toc524361182"/>
      <w:bookmarkStart w:id="115" w:name="_Toc524082717"/>
      <w:bookmarkStart w:id="116" w:name="_Toc524356727"/>
      <w:bookmarkStart w:id="117" w:name="_Toc524360629"/>
      <w:bookmarkStart w:id="118" w:name="_Toc524361091"/>
      <w:bookmarkStart w:id="119" w:name="_Toc524361183"/>
      <w:bookmarkStart w:id="120" w:name="_Toc524082718"/>
      <w:bookmarkStart w:id="121" w:name="_Toc524356728"/>
      <w:bookmarkStart w:id="122" w:name="_Toc524360630"/>
      <w:bookmarkStart w:id="123" w:name="_Toc524361092"/>
      <w:bookmarkStart w:id="124" w:name="_Toc524361184"/>
      <w:bookmarkStart w:id="125" w:name="_Toc524082719"/>
      <w:bookmarkStart w:id="126" w:name="_Toc524356729"/>
      <w:bookmarkStart w:id="127" w:name="_Toc524360631"/>
      <w:bookmarkStart w:id="128" w:name="_Toc524361093"/>
      <w:bookmarkStart w:id="129" w:name="_Toc524361185"/>
      <w:bookmarkStart w:id="130" w:name="_Toc524082720"/>
      <w:bookmarkStart w:id="131" w:name="_Toc524356730"/>
      <w:bookmarkStart w:id="132" w:name="_Toc524360632"/>
      <w:bookmarkStart w:id="133" w:name="_Toc524361094"/>
      <w:bookmarkStart w:id="134" w:name="_Toc524361186"/>
      <w:bookmarkStart w:id="135" w:name="_Toc524082721"/>
      <w:bookmarkStart w:id="136" w:name="_Toc524356731"/>
      <w:bookmarkStart w:id="137" w:name="_Toc524360633"/>
      <w:bookmarkStart w:id="138" w:name="_Toc524361095"/>
      <w:bookmarkStart w:id="139" w:name="_Toc524361187"/>
      <w:bookmarkStart w:id="140" w:name="_Toc524082722"/>
      <w:bookmarkStart w:id="141" w:name="_Toc524356732"/>
      <w:bookmarkStart w:id="142" w:name="_Toc524360634"/>
      <w:bookmarkStart w:id="143" w:name="_Toc524361096"/>
      <w:bookmarkStart w:id="144" w:name="_Toc524361188"/>
      <w:bookmarkStart w:id="145" w:name="_Toc524082723"/>
      <w:bookmarkStart w:id="146" w:name="_Toc524356733"/>
      <w:bookmarkStart w:id="147" w:name="_Toc524360635"/>
      <w:bookmarkStart w:id="148" w:name="_Toc524361097"/>
      <w:bookmarkStart w:id="149" w:name="_Toc524361189"/>
      <w:bookmarkStart w:id="150" w:name="_Toc524082724"/>
      <w:bookmarkStart w:id="151" w:name="_Toc524356734"/>
      <w:bookmarkStart w:id="152" w:name="_Toc524360636"/>
      <w:bookmarkStart w:id="153" w:name="_Toc524361098"/>
      <w:bookmarkStart w:id="154" w:name="_Toc524361190"/>
      <w:bookmarkStart w:id="155" w:name="_Toc524082725"/>
      <w:bookmarkStart w:id="156" w:name="_Toc524356735"/>
      <w:bookmarkStart w:id="157" w:name="_Toc524360637"/>
      <w:bookmarkStart w:id="158" w:name="_Toc524361099"/>
      <w:bookmarkStart w:id="159" w:name="_Toc524361191"/>
      <w:bookmarkStart w:id="160" w:name="_Toc524082726"/>
      <w:bookmarkStart w:id="161" w:name="_Toc524356736"/>
      <w:bookmarkStart w:id="162" w:name="_Toc524360638"/>
      <w:bookmarkStart w:id="163" w:name="_Toc524361100"/>
      <w:bookmarkStart w:id="164" w:name="_Toc524361192"/>
      <w:bookmarkStart w:id="165" w:name="_Toc524082727"/>
      <w:bookmarkStart w:id="166" w:name="_Toc524356737"/>
      <w:bookmarkStart w:id="167" w:name="_Toc524360639"/>
      <w:bookmarkStart w:id="168" w:name="_Toc524361101"/>
      <w:bookmarkStart w:id="169" w:name="_Toc524361193"/>
      <w:bookmarkStart w:id="170" w:name="_Toc524082728"/>
      <w:bookmarkStart w:id="171" w:name="_Toc524356738"/>
      <w:bookmarkStart w:id="172" w:name="_Toc524360640"/>
      <w:bookmarkStart w:id="173" w:name="_Toc524361102"/>
      <w:bookmarkStart w:id="174" w:name="_Toc524361194"/>
      <w:bookmarkStart w:id="175" w:name="_Toc524082729"/>
      <w:bookmarkStart w:id="176" w:name="_Toc524356739"/>
      <w:bookmarkStart w:id="177" w:name="_Toc524360641"/>
      <w:bookmarkStart w:id="178" w:name="_Toc524361103"/>
      <w:bookmarkStart w:id="179" w:name="_Toc524361195"/>
      <w:bookmarkStart w:id="180" w:name="_Toc524082730"/>
      <w:bookmarkStart w:id="181" w:name="_Toc524356740"/>
      <w:bookmarkStart w:id="182" w:name="_Toc524360642"/>
      <w:bookmarkStart w:id="183" w:name="_Toc524361104"/>
      <w:bookmarkStart w:id="184" w:name="_Toc524361196"/>
      <w:bookmarkStart w:id="185" w:name="_Toc524082731"/>
      <w:bookmarkStart w:id="186" w:name="_Toc524356741"/>
      <w:bookmarkStart w:id="187" w:name="_Toc524360643"/>
      <w:bookmarkStart w:id="188" w:name="_Toc524361105"/>
      <w:bookmarkStart w:id="189" w:name="_Toc524361197"/>
      <w:bookmarkStart w:id="190" w:name="_Toc524082732"/>
      <w:bookmarkStart w:id="191" w:name="_Toc524356742"/>
      <w:bookmarkStart w:id="192" w:name="_Toc524360644"/>
      <w:bookmarkStart w:id="193" w:name="_Toc524361106"/>
      <w:bookmarkStart w:id="194" w:name="_Toc524361198"/>
      <w:bookmarkStart w:id="195" w:name="_Toc524082733"/>
      <w:bookmarkStart w:id="196" w:name="_Toc524356743"/>
      <w:bookmarkStart w:id="197" w:name="_Toc524360645"/>
      <w:bookmarkStart w:id="198" w:name="_Toc524361107"/>
      <w:bookmarkStart w:id="199" w:name="_Toc524361199"/>
      <w:bookmarkStart w:id="200" w:name="_Toc524082734"/>
      <w:bookmarkStart w:id="201" w:name="_Toc524356744"/>
      <w:bookmarkStart w:id="202" w:name="_Toc524360646"/>
      <w:bookmarkStart w:id="203" w:name="_Toc524361108"/>
      <w:bookmarkStart w:id="204" w:name="_Toc524361200"/>
      <w:bookmarkStart w:id="205" w:name="_Toc524082735"/>
      <w:bookmarkStart w:id="206" w:name="_Toc524356745"/>
      <w:bookmarkStart w:id="207" w:name="_Toc524360647"/>
      <w:bookmarkStart w:id="208" w:name="_Toc524361109"/>
      <w:bookmarkStart w:id="209" w:name="_Toc524361201"/>
      <w:bookmarkStart w:id="210" w:name="_Toc524082736"/>
      <w:bookmarkStart w:id="211" w:name="_Toc524356746"/>
      <w:bookmarkStart w:id="212" w:name="_Toc524360648"/>
      <w:bookmarkStart w:id="213" w:name="_Toc524361110"/>
      <w:bookmarkStart w:id="214" w:name="_Toc524361202"/>
      <w:bookmarkStart w:id="215" w:name="_Toc524082737"/>
      <w:bookmarkStart w:id="216" w:name="_Toc524356747"/>
      <w:bookmarkStart w:id="217" w:name="_Toc524360649"/>
      <w:bookmarkStart w:id="218" w:name="_Toc524361111"/>
      <w:bookmarkStart w:id="219" w:name="_Toc524361203"/>
      <w:bookmarkStart w:id="220" w:name="_Toc524082738"/>
      <w:bookmarkStart w:id="221" w:name="_Toc524356748"/>
      <w:bookmarkStart w:id="222" w:name="_Toc524360650"/>
      <w:bookmarkStart w:id="223" w:name="_Toc524361112"/>
      <w:bookmarkStart w:id="224" w:name="_Toc524361204"/>
      <w:bookmarkStart w:id="225" w:name="_Toc524082739"/>
      <w:bookmarkStart w:id="226" w:name="_Toc524356749"/>
      <w:bookmarkStart w:id="227" w:name="_Toc524360651"/>
      <w:bookmarkStart w:id="228" w:name="_Toc524361113"/>
      <w:bookmarkStart w:id="229" w:name="_Toc524361205"/>
      <w:bookmarkStart w:id="230" w:name="_Toc524082740"/>
      <w:bookmarkStart w:id="231" w:name="_Toc524356750"/>
      <w:bookmarkStart w:id="232" w:name="_Toc524360652"/>
      <w:bookmarkStart w:id="233" w:name="_Toc524361114"/>
      <w:bookmarkStart w:id="234" w:name="_Toc524361206"/>
      <w:bookmarkStart w:id="235" w:name="_Toc524082741"/>
      <w:bookmarkStart w:id="236" w:name="_Toc524356751"/>
      <w:bookmarkStart w:id="237" w:name="_Toc524360653"/>
      <w:bookmarkStart w:id="238" w:name="_Toc524361115"/>
      <w:bookmarkStart w:id="239" w:name="_Toc524361207"/>
      <w:bookmarkStart w:id="240" w:name="_Toc524082742"/>
      <w:bookmarkStart w:id="241" w:name="_Toc524356752"/>
      <w:bookmarkStart w:id="242" w:name="_Toc524360654"/>
      <w:bookmarkStart w:id="243" w:name="_Toc524361116"/>
      <w:bookmarkStart w:id="244" w:name="_Toc524361208"/>
      <w:bookmarkStart w:id="245" w:name="_Toc524082743"/>
      <w:bookmarkStart w:id="246" w:name="_Toc524356753"/>
      <w:bookmarkStart w:id="247" w:name="_Toc524360655"/>
      <w:bookmarkStart w:id="248" w:name="_Toc524361117"/>
      <w:bookmarkStart w:id="249" w:name="_Toc524361209"/>
      <w:bookmarkStart w:id="250" w:name="_Toc524082744"/>
      <w:bookmarkStart w:id="251" w:name="_Toc524356754"/>
      <w:bookmarkStart w:id="252" w:name="_Toc524360656"/>
      <w:bookmarkStart w:id="253" w:name="_Toc524361118"/>
      <w:bookmarkStart w:id="254" w:name="_Toc524361210"/>
      <w:bookmarkStart w:id="255" w:name="_Toc524082745"/>
      <w:bookmarkStart w:id="256" w:name="_Toc524356755"/>
      <w:bookmarkStart w:id="257" w:name="_Toc524360657"/>
      <w:bookmarkStart w:id="258" w:name="_Toc524361119"/>
      <w:bookmarkStart w:id="259" w:name="_Toc524361211"/>
      <w:bookmarkStart w:id="260" w:name="_Toc525544417"/>
      <w:bookmarkStart w:id="261" w:name="_Toc528659178"/>
      <w:bookmarkStart w:id="262" w:name="_Toc3285887"/>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CF05D2">
        <w:rPr>
          <w:lang w:val="en-GB"/>
        </w:rPr>
        <w:t xml:space="preserve">Testing at </w:t>
      </w:r>
      <w:bookmarkEnd w:id="260"/>
      <w:bookmarkEnd w:id="261"/>
      <w:r w:rsidRPr="00CF05D2">
        <w:rPr>
          <w:lang w:val="en-GB"/>
        </w:rPr>
        <w:t>seaport</w:t>
      </w:r>
      <w:r w:rsidR="00A642A6">
        <w:t>s</w:t>
      </w:r>
      <w:bookmarkEnd w:id="262"/>
    </w:p>
    <w:p w:rsidR="005447BF" w:rsidRPr="00A54FD4" w:rsidRDefault="009B3501" w:rsidP="007F656A">
      <w:pPr>
        <w:rPr>
          <w:rStyle w:val="ECCParagraph"/>
        </w:rPr>
      </w:pPr>
      <w:r>
        <w:rPr>
          <w:rStyle w:val="ECCParagraph"/>
        </w:rPr>
        <w:t>For SOLAS vessels, d</w:t>
      </w:r>
      <w:r w:rsidR="007F656A" w:rsidRPr="00A54FD4">
        <w:rPr>
          <w:rStyle w:val="ECCParagraph"/>
        </w:rPr>
        <w:t>emonstration of the funct</w:t>
      </w:r>
      <w:r w:rsidR="00A54FD4" w:rsidRPr="00A54FD4">
        <w:rPr>
          <w:rStyle w:val="ECCParagraph"/>
        </w:rPr>
        <w:t>ioning of the S</w:t>
      </w:r>
      <w:r w:rsidR="007F656A" w:rsidRPr="00A54FD4">
        <w:rPr>
          <w:rStyle w:val="ECCParagraph"/>
        </w:rPr>
        <w:t xml:space="preserve">atcom equipment </w:t>
      </w:r>
      <w:r w:rsidR="007F360C" w:rsidRPr="00A54FD4">
        <w:rPr>
          <w:rStyle w:val="ECCParagraph"/>
        </w:rPr>
        <w:t>happen</w:t>
      </w:r>
      <w:r w:rsidR="007F656A" w:rsidRPr="00A54FD4">
        <w:rPr>
          <w:rStyle w:val="ECCParagraph"/>
        </w:rPr>
        <w:t>s</w:t>
      </w:r>
      <w:r w:rsidR="00A54FD4">
        <w:rPr>
          <w:rStyle w:val="ECCParagraph"/>
        </w:rPr>
        <w:t xml:space="preserve"> during </w:t>
      </w:r>
      <w:r w:rsidR="007F360C" w:rsidRPr="00A54FD4">
        <w:rPr>
          <w:rStyle w:val="ECCParagraph"/>
        </w:rPr>
        <w:t>Port State Control (PSC) inspection</w:t>
      </w:r>
      <w:r w:rsidR="00A54FD4">
        <w:rPr>
          <w:rStyle w:val="ECCParagraph"/>
        </w:rPr>
        <w:t>s</w:t>
      </w:r>
      <w:r w:rsidR="007F360C" w:rsidRPr="00A54FD4">
        <w:rPr>
          <w:rStyle w:val="ECCParagraph"/>
        </w:rPr>
        <w:t xml:space="preserve"> of GMDSS </w:t>
      </w:r>
      <w:r w:rsidR="006B367E">
        <w:rPr>
          <w:rStyle w:val="ECCParagraph"/>
        </w:rPr>
        <w:t>and</w:t>
      </w:r>
      <w:r w:rsidR="007F360C" w:rsidRPr="00A54FD4">
        <w:rPr>
          <w:rStyle w:val="ECCParagraph"/>
        </w:rPr>
        <w:t xml:space="preserve"> before leaving the harbour (</w:t>
      </w:r>
      <w:r w:rsidR="00AB40E9" w:rsidRPr="00A54FD4">
        <w:rPr>
          <w:rStyle w:val="ECCParagraph"/>
        </w:rPr>
        <w:t xml:space="preserve">by </w:t>
      </w:r>
      <w:r w:rsidR="00A54FD4" w:rsidRPr="00A54FD4">
        <w:rPr>
          <w:rStyle w:val="ECCParagraph"/>
        </w:rPr>
        <w:t>the crew)</w:t>
      </w:r>
      <w:r w:rsidR="007F360C" w:rsidRPr="00A54FD4">
        <w:rPr>
          <w:rStyle w:val="ECCParagraph"/>
        </w:rPr>
        <w:t xml:space="preserve">. </w:t>
      </w:r>
      <w:r w:rsidR="005447BF" w:rsidRPr="00A54FD4">
        <w:rPr>
          <w:rStyle w:val="ECCParagraph"/>
        </w:rPr>
        <w:t>IMO Resolution A.1</w:t>
      </w:r>
      <w:r w:rsidR="00E87D7F">
        <w:rPr>
          <w:rStyle w:val="ECCParagraph"/>
        </w:rPr>
        <w:t>104</w:t>
      </w:r>
      <w:r w:rsidR="005447BF" w:rsidRPr="00A54FD4">
        <w:rPr>
          <w:rStyle w:val="ECCParagraph"/>
        </w:rPr>
        <w:t>(2</w:t>
      </w:r>
      <w:r w:rsidR="00F844B2">
        <w:rPr>
          <w:rStyle w:val="ECCParagraph"/>
        </w:rPr>
        <w:t>9</w:t>
      </w:r>
      <w:r w:rsidR="005447BF" w:rsidRPr="00A54FD4">
        <w:rPr>
          <w:rStyle w:val="ECCParagraph"/>
        </w:rPr>
        <w:t>)</w:t>
      </w:r>
      <w:r w:rsidR="00B75662">
        <w:rPr>
          <w:rStyle w:val="ECCParagraph"/>
        </w:rPr>
        <w:t xml:space="preserve"> </w:t>
      </w:r>
      <w:r w:rsidR="00B75662">
        <w:rPr>
          <w:rStyle w:val="ECCParagraph"/>
        </w:rPr>
        <w:fldChar w:fldCharType="begin"/>
      </w:r>
      <w:r w:rsidR="00B75662">
        <w:rPr>
          <w:rStyle w:val="ECCParagraph"/>
        </w:rPr>
        <w:instrText xml:space="preserve"> REF _Ref1122088 \r \h </w:instrText>
      </w:r>
      <w:r w:rsidR="00B75662">
        <w:rPr>
          <w:rStyle w:val="ECCParagraph"/>
        </w:rPr>
      </w:r>
      <w:r w:rsidR="00B75662">
        <w:rPr>
          <w:rStyle w:val="ECCParagraph"/>
        </w:rPr>
        <w:fldChar w:fldCharType="separate"/>
      </w:r>
      <w:r w:rsidR="00E9777B">
        <w:rPr>
          <w:rStyle w:val="ECCParagraph"/>
        </w:rPr>
        <w:t>[12]</w:t>
      </w:r>
      <w:r w:rsidR="00B75662">
        <w:rPr>
          <w:rStyle w:val="ECCParagraph"/>
        </w:rPr>
        <w:fldChar w:fldCharType="end"/>
      </w:r>
      <w:r w:rsidR="005447BF" w:rsidRPr="00A54FD4">
        <w:rPr>
          <w:rStyle w:val="ECCParagraph"/>
        </w:rPr>
        <w:t xml:space="preserve"> provides guidance on how to check the correct functioning of maritime radio equipment </w:t>
      </w:r>
      <w:r w:rsidR="006B367E">
        <w:rPr>
          <w:rStyle w:val="ECCParagraph"/>
        </w:rPr>
        <w:t>during a survey</w:t>
      </w:r>
      <w:r w:rsidR="005447BF" w:rsidRPr="00A54FD4">
        <w:rPr>
          <w:rStyle w:val="ECCParagraph"/>
        </w:rPr>
        <w:t xml:space="preserve">. It is stated that it can be done by “checking for correct operation by inspection of recent hard copy or by test call”. </w:t>
      </w:r>
      <w:r w:rsidR="000A549F" w:rsidRPr="00A54FD4">
        <w:rPr>
          <w:rStyle w:val="ECCParagraph"/>
        </w:rPr>
        <w:t>However, it is recogni</w:t>
      </w:r>
      <w:r w:rsidR="009855B4">
        <w:rPr>
          <w:rStyle w:val="ECCParagraph"/>
        </w:rPr>
        <w:t>s</w:t>
      </w:r>
      <w:r w:rsidR="000A549F" w:rsidRPr="00A54FD4">
        <w:rPr>
          <w:rStyle w:val="ECCParagraph"/>
        </w:rPr>
        <w:t xml:space="preserve">ed that testing </w:t>
      </w:r>
      <w:r w:rsidR="00AB40E9" w:rsidRPr="00A54FD4">
        <w:rPr>
          <w:rStyle w:val="ECCParagraph"/>
        </w:rPr>
        <w:t xml:space="preserve">of terminal operation in port </w:t>
      </w:r>
      <w:r w:rsidR="000A549F" w:rsidRPr="00A54FD4">
        <w:rPr>
          <w:rStyle w:val="ECCParagraph"/>
        </w:rPr>
        <w:t>is often carried out for the sake of simplicity</w:t>
      </w:r>
      <w:r w:rsidR="008B4383">
        <w:rPr>
          <w:rStyle w:val="ECCParagraph"/>
        </w:rPr>
        <w:t>,</w:t>
      </w:r>
      <w:r w:rsidR="000A549F" w:rsidRPr="00A54FD4">
        <w:rPr>
          <w:rStyle w:val="ECCParagraph"/>
        </w:rPr>
        <w:t xml:space="preserve"> </w:t>
      </w:r>
      <w:r w:rsidRPr="009B3501">
        <w:rPr>
          <w:rStyle w:val="ECCParagraph"/>
        </w:rPr>
        <w:t xml:space="preserve">and may be essential where a vessel has been several days in port or </w:t>
      </w:r>
      <w:r w:rsidR="008B4383">
        <w:rPr>
          <w:rStyle w:val="ECCParagraph"/>
        </w:rPr>
        <w:t xml:space="preserve">under </w:t>
      </w:r>
      <w:r w:rsidRPr="009B3501">
        <w:rPr>
          <w:rStyle w:val="ECCParagraph"/>
        </w:rPr>
        <w:t>required maintenance</w:t>
      </w:r>
      <w:r w:rsidR="000A549F" w:rsidRPr="00A54FD4">
        <w:rPr>
          <w:rStyle w:val="ECCParagraph"/>
        </w:rPr>
        <w:t xml:space="preserve">. </w:t>
      </w:r>
    </w:p>
    <w:p w:rsidR="00AB6CDD" w:rsidRPr="002F4B98" w:rsidRDefault="005447BF" w:rsidP="00AB6CDD">
      <w:pPr>
        <w:rPr>
          <w:rStyle w:val="ECCParagraph"/>
        </w:rPr>
      </w:pPr>
      <w:r>
        <w:t>I</w:t>
      </w:r>
      <w:r w:rsidRPr="005447BF">
        <w:t xml:space="preserve">n case of interference, </w:t>
      </w:r>
      <w:r w:rsidR="00E701F4" w:rsidRPr="00E701F4">
        <w:t>for a survey</w:t>
      </w:r>
      <w:r w:rsidRPr="005447BF">
        <w:t xml:space="preserve"> demonstrating that the equipment has been able to work properly “by inspection of recent hard copy” is sufficient to consider the proper working. If a recent hard copy is not available, “a test call” is the only method of showing compliance. </w:t>
      </w:r>
    </w:p>
    <w:p w:rsidR="004B6E46" w:rsidRPr="00736E1D" w:rsidRDefault="005447BF" w:rsidP="002F4B98">
      <w:pPr>
        <w:rPr>
          <w:rStyle w:val="ECCParagraph"/>
        </w:rPr>
      </w:pPr>
      <w:r w:rsidRPr="00AB6CDD">
        <w:rPr>
          <w:rStyle w:val="ECCParagraph"/>
        </w:rPr>
        <w:t>According to SOLAS/IV, 15.8, “While all reasonable steps shall be taken to maintain the equipment in</w:t>
      </w:r>
      <w:r w:rsidR="00A54FD4">
        <w:rPr>
          <w:rStyle w:val="ECCParagraph"/>
        </w:rPr>
        <w:t xml:space="preserve"> </w:t>
      </w:r>
      <w:r w:rsidRPr="00AB6CDD">
        <w:rPr>
          <w:rStyle w:val="ECCParagraph"/>
        </w:rPr>
        <w:t>efficient working order to ensure compliance with all the functional requirements specified in regulation 4, malfunction of the equipment for providing the</w:t>
      </w:r>
      <w:r w:rsidR="00B34CBF" w:rsidRPr="00AB6CDD">
        <w:rPr>
          <w:rStyle w:val="ECCParagraph"/>
        </w:rPr>
        <w:t xml:space="preserve"> </w:t>
      </w:r>
      <w:r w:rsidRPr="00AB6CDD">
        <w:rPr>
          <w:rStyle w:val="ECCParagraph"/>
        </w:rPr>
        <w:t>general radiocommunications required by regulation 4.8 shall not be considered</w:t>
      </w:r>
      <w:r w:rsidR="00B34CBF" w:rsidRPr="00AB6CDD">
        <w:rPr>
          <w:rStyle w:val="ECCParagraph"/>
        </w:rPr>
        <w:t xml:space="preserve"> </w:t>
      </w:r>
      <w:r w:rsidRPr="00AB6CDD">
        <w:rPr>
          <w:rStyle w:val="ECCParagraph"/>
        </w:rPr>
        <w:t>as making a ship unseaworthy or as a reason for delaying the ship in</w:t>
      </w:r>
      <w:r w:rsidR="00B34CBF" w:rsidRPr="00AB6CDD">
        <w:rPr>
          <w:rStyle w:val="ECCParagraph"/>
        </w:rPr>
        <w:t xml:space="preserve"> </w:t>
      </w:r>
      <w:r w:rsidRPr="00AB6CDD">
        <w:rPr>
          <w:rStyle w:val="ECCParagraph"/>
        </w:rPr>
        <w:t xml:space="preserve">ports where repair facilities </w:t>
      </w:r>
      <w:r w:rsidRPr="00736E1D">
        <w:rPr>
          <w:rStyle w:val="ECCParagraph"/>
        </w:rPr>
        <w:t>are not readily available, provided the ship is</w:t>
      </w:r>
      <w:r w:rsidR="00C663EF" w:rsidRPr="00736E1D">
        <w:rPr>
          <w:rStyle w:val="ECCParagraph"/>
        </w:rPr>
        <w:t xml:space="preserve"> </w:t>
      </w:r>
      <w:r w:rsidRPr="00736E1D">
        <w:rPr>
          <w:rStyle w:val="ECCParagraph"/>
        </w:rPr>
        <w:t>capable of performing all distress and safety functions</w:t>
      </w:r>
      <w:r w:rsidRPr="00AB6CDD">
        <w:rPr>
          <w:rStyle w:val="ECCParagraph"/>
        </w:rPr>
        <w:t>”</w:t>
      </w:r>
      <w:r w:rsidR="005F5E6B" w:rsidRPr="00736E1D">
        <w:rPr>
          <w:rStyle w:val="ECCParagraph"/>
        </w:rPr>
        <w:t xml:space="preserve"> </w:t>
      </w:r>
      <w:r w:rsidR="005F5E6B" w:rsidRPr="00736E1D">
        <w:rPr>
          <w:rStyle w:val="ECCParagraph"/>
        </w:rPr>
        <w:fldChar w:fldCharType="begin"/>
      </w:r>
      <w:r w:rsidR="005F5E6B" w:rsidRPr="00736E1D">
        <w:rPr>
          <w:rStyle w:val="ECCParagraph"/>
        </w:rPr>
        <w:instrText xml:space="preserve"> REF _Ref534367072 \r \h </w:instrText>
      </w:r>
      <w:r w:rsidR="00736E1D">
        <w:rPr>
          <w:rStyle w:val="ECCParagraph"/>
        </w:rPr>
        <w:instrText xml:space="preserve"> \* MERGEFORMAT </w:instrText>
      </w:r>
      <w:r w:rsidR="005F5E6B" w:rsidRPr="00736E1D">
        <w:rPr>
          <w:rStyle w:val="ECCParagraph"/>
        </w:rPr>
      </w:r>
      <w:r w:rsidR="005F5E6B" w:rsidRPr="00736E1D">
        <w:rPr>
          <w:rStyle w:val="ECCParagraph"/>
        </w:rPr>
        <w:fldChar w:fldCharType="separate"/>
      </w:r>
      <w:r w:rsidR="00E9777B">
        <w:rPr>
          <w:rStyle w:val="ECCParagraph"/>
        </w:rPr>
        <w:t>[8]</w:t>
      </w:r>
      <w:r w:rsidR="005F5E6B" w:rsidRPr="00736E1D">
        <w:rPr>
          <w:rStyle w:val="ECCParagraph"/>
        </w:rPr>
        <w:fldChar w:fldCharType="end"/>
      </w:r>
      <w:r w:rsidR="005F5E6B" w:rsidRPr="00736E1D">
        <w:rPr>
          <w:rStyle w:val="ECCParagraph"/>
        </w:rPr>
        <w:t>.</w:t>
      </w:r>
      <w:r w:rsidRPr="00736E1D">
        <w:rPr>
          <w:rStyle w:val="ECCParagraph"/>
        </w:rPr>
        <w:t xml:space="preserve"> Hence failure of a test of general communications should be followed by a test of distress and </w:t>
      </w:r>
      <w:r w:rsidR="00B34CBF" w:rsidRPr="00736E1D">
        <w:rPr>
          <w:rStyle w:val="ECCParagraph"/>
        </w:rPr>
        <w:t>s</w:t>
      </w:r>
      <w:r w:rsidRPr="00736E1D">
        <w:rPr>
          <w:rStyle w:val="ECCParagraph"/>
        </w:rPr>
        <w:t>afety functions.</w:t>
      </w:r>
      <w:r w:rsidR="00E701F4" w:rsidRPr="00736E1D">
        <w:rPr>
          <w:rStyle w:val="ECCParagraph"/>
        </w:rPr>
        <w:t xml:space="preserve"> The failure of GMDSS equipment on the other hand </w:t>
      </w:r>
      <w:r w:rsidR="00F0559E" w:rsidRPr="00736E1D">
        <w:rPr>
          <w:rStyle w:val="ECCParagraph"/>
        </w:rPr>
        <w:t>c</w:t>
      </w:r>
      <w:r w:rsidR="00E701F4" w:rsidRPr="00736E1D">
        <w:rPr>
          <w:rStyle w:val="ECCParagraph"/>
        </w:rPr>
        <w:t>ould make a ship unseaworthy.</w:t>
      </w:r>
    </w:p>
    <w:p w:rsidR="009B3501" w:rsidRPr="00651923" w:rsidRDefault="009B3501" w:rsidP="009B3501">
      <w:pPr>
        <w:rPr>
          <w:rStyle w:val="ECCParagraph"/>
        </w:rPr>
      </w:pPr>
      <w:r w:rsidRPr="00736E1D">
        <w:rPr>
          <w:rStyle w:val="ECCParagraph"/>
        </w:rPr>
        <w:t xml:space="preserve">For non-convention vessels, </w:t>
      </w:r>
      <w:r w:rsidR="00651923" w:rsidRPr="00212A05">
        <w:rPr>
          <w:rStyle w:val="ECCParagraph"/>
        </w:rPr>
        <w:t>t</w:t>
      </w:r>
      <w:r w:rsidR="00F57DE2" w:rsidRPr="00212A05">
        <w:rPr>
          <w:rStyle w:val="ECCParagraph"/>
        </w:rPr>
        <w:t>est before departure requirements are in accordance with flag-state regulation.</w:t>
      </w:r>
    </w:p>
    <w:p w:rsidR="00967470" w:rsidRPr="00967470" w:rsidRDefault="00967470" w:rsidP="00967470">
      <w:pPr>
        <w:rPr>
          <w:rStyle w:val="ECCParagraph"/>
        </w:rPr>
      </w:pPr>
      <w:r w:rsidRPr="00967470">
        <w:rPr>
          <w:rStyle w:val="ECCParagraph"/>
        </w:rPr>
        <w:t>The survey, maintenance and repair requirements related to GMDSS and other communications, for example LRIT and SSAS, are also carried out while in port.</w:t>
      </w:r>
    </w:p>
    <w:p w:rsidR="00967470" w:rsidRPr="005E0DF9" w:rsidRDefault="00967470" w:rsidP="00967470">
      <w:pPr>
        <w:rPr>
          <w:rStyle w:val="ECCParagraph"/>
        </w:rPr>
      </w:pPr>
    </w:p>
    <w:p w:rsidR="00DA41FD" w:rsidRPr="00CF05D2" w:rsidRDefault="00DA41FD">
      <w:pPr>
        <w:pStyle w:val="Heading1"/>
        <w:rPr>
          <w:lang w:val="en-GB"/>
        </w:rPr>
      </w:pPr>
      <w:bookmarkStart w:id="263" w:name="_Toc524082747"/>
      <w:bookmarkStart w:id="264" w:name="_Toc524356757"/>
      <w:bookmarkStart w:id="265" w:name="_Toc524360660"/>
      <w:bookmarkStart w:id="266" w:name="_Toc524361122"/>
      <w:bookmarkStart w:id="267" w:name="_Toc524361214"/>
      <w:bookmarkStart w:id="268" w:name="_Toc524082748"/>
      <w:bookmarkStart w:id="269" w:name="_Toc524356758"/>
      <w:bookmarkStart w:id="270" w:name="_Toc524360661"/>
      <w:bookmarkStart w:id="271" w:name="_Toc524361123"/>
      <w:bookmarkStart w:id="272" w:name="_Toc524361215"/>
      <w:bookmarkStart w:id="273" w:name="_Toc525544419"/>
      <w:bookmarkStart w:id="274" w:name="_Toc528659179"/>
      <w:bookmarkStart w:id="275" w:name="_Toc3285888"/>
      <w:bookmarkEnd w:id="263"/>
      <w:bookmarkEnd w:id="264"/>
      <w:bookmarkEnd w:id="265"/>
      <w:bookmarkEnd w:id="266"/>
      <w:bookmarkEnd w:id="267"/>
      <w:bookmarkEnd w:id="268"/>
      <w:bookmarkEnd w:id="269"/>
      <w:bookmarkEnd w:id="270"/>
      <w:bookmarkEnd w:id="271"/>
      <w:bookmarkEnd w:id="272"/>
      <w:r w:rsidRPr="00CF05D2">
        <w:rPr>
          <w:lang w:val="en-GB"/>
        </w:rPr>
        <w:lastRenderedPageBreak/>
        <w:t>T</w:t>
      </w:r>
      <w:r w:rsidR="00CF22E2" w:rsidRPr="00CF05D2">
        <w:rPr>
          <w:lang w:val="en-GB"/>
        </w:rPr>
        <w:t>iming and steps for the introduction of MFCN in L-Band and protection of MES in adjacent bands</w:t>
      </w:r>
      <w:bookmarkEnd w:id="273"/>
      <w:bookmarkEnd w:id="274"/>
      <w:bookmarkEnd w:id="275"/>
    </w:p>
    <w:p w:rsidR="00DA41FD" w:rsidRPr="00E42FCC" w:rsidRDefault="00DA41FD" w:rsidP="004A2965">
      <w:pPr>
        <w:pStyle w:val="Heading2"/>
        <w:rPr>
          <w:rStyle w:val="ECCHLgreen"/>
          <w:shd w:val="clear" w:color="auto" w:fill="auto"/>
        </w:rPr>
      </w:pPr>
      <w:bookmarkStart w:id="276" w:name="_Toc525544420"/>
      <w:bookmarkStart w:id="277" w:name="_Toc528659180"/>
      <w:bookmarkStart w:id="278" w:name="_Toc3285889"/>
      <w:r w:rsidRPr="00C54CFD">
        <w:rPr>
          <w:rStyle w:val="ECCHLgreen"/>
          <w:shd w:val="clear" w:color="auto" w:fill="auto"/>
        </w:rPr>
        <w:t>T</w:t>
      </w:r>
      <w:r w:rsidR="00621EDC" w:rsidRPr="00C54CFD">
        <w:rPr>
          <w:rStyle w:val="ECCHLgreen"/>
          <w:shd w:val="clear" w:color="auto" w:fill="auto"/>
        </w:rPr>
        <w:t xml:space="preserve">iming of </w:t>
      </w:r>
      <w:r w:rsidR="004A2965" w:rsidRPr="00C54CFD">
        <w:rPr>
          <w:rStyle w:val="ECCHLgreen"/>
          <w:shd w:val="clear" w:color="auto" w:fill="auto"/>
        </w:rPr>
        <w:t xml:space="preserve">availability of spectrum and </w:t>
      </w:r>
      <w:r w:rsidR="00621EDC" w:rsidRPr="00C54CFD">
        <w:rPr>
          <w:rStyle w:val="ECCHLgreen"/>
          <w:shd w:val="clear" w:color="auto" w:fill="auto"/>
        </w:rPr>
        <w:t>authorisation for SDL</w:t>
      </w:r>
      <w:bookmarkEnd w:id="276"/>
      <w:bookmarkEnd w:id="277"/>
      <w:bookmarkEnd w:id="278"/>
    </w:p>
    <w:p w:rsidR="00501C65" w:rsidRPr="00863EEE" w:rsidRDefault="00501C65" w:rsidP="00501C65">
      <w:pPr>
        <w:rPr>
          <w:rStyle w:val="ECCParagraph"/>
        </w:rPr>
      </w:pPr>
      <w:r w:rsidRPr="00863EEE">
        <w:rPr>
          <w:rStyle w:val="ECCParagraph"/>
        </w:rPr>
        <w:t xml:space="preserve">ECC Decision (17)06 </w:t>
      </w:r>
      <w:r w:rsidR="002103D3" w:rsidRPr="00D51582">
        <w:rPr>
          <w:rStyle w:val="ECCParagraph"/>
        </w:rPr>
        <w:fldChar w:fldCharType="begin"/>
      </w:r>
      <w:r w:rsidR="002103D3" w:rsidRPr="00D51582">
        <w:rPr>
          <w:rStyle w:val="ECCParagraph"/>
        </w:rPr>
        <w:instrText xml:space="preserve"> REF _Ref525410935 \r \h </w:instrText>
      </w:r>
      <w:r w:rsidR="002103D3" w:rsidRPr="00D51582">
        <w:rPr>
          <w:rStyle w:val="ECCParagraph"/>
        </w:rPr>
      </w:r>
      <w:r w:rsidR="002103D3" w:rsidRPr="00D51582">
        <w:rPr>
          <w:rStyle w:val="ECCParagraph"/>
        </w:rPr>
        <w:fldChar w:fldCharType="separate"/>
      </w:r>
      <w:r w:rsidR="00E9777B">
        <w:rPr>
          <w:rStyle w:val="ECCParagraph"/>
        </w:rPr>
        <w:t>[2]</w:t>
      </w:r>
      <w:r w:rsidR="002103D3" w:rsidRPr="00D51582">
        <w:rPr>
          <w:rStyle w:val="ECCParagraph"/>
        </w:rPr>
        <w:fldChar w:fldCharType="end"/>
      </w:r>
      <w:r w:rsidRPr="00863EEE">
        <w:rPr>
          <w:rStyle w:val="ECCParagraph"/>
        </w:rPr>
        <w:t xml:space="preserve"> designates the bands 1427-1452 MHz and 1492</w:t>
      </w:r>
      <w:r w:rsidR="00325B09" w:rsidRPr="00D51582">
        <w:rPr>
          <w:rStyle w:val="ECCParagraph"/>
        </w:rPr>
        <w:t>-</w:t>
      </w:r>
      <w:r w:rsidRPr="00863EEE">
        <w:rPr>
          <w:rStyle w:val="ECCParagraph"/>
        </w:rPr>
        <w:t>1518 MHz to MFCN SDL, subject to national requirements and market demand. This Decision entered into force on 17 November 2017.</w:t>
      </w:r>
    </w:p>
    <w:p w:rsidR="00501C65" w:rsidRPr="0041260F" w:rsidRDefault="00501C65" w:rsidP="00501C65">
      <w:pPr>
        <w:rPr>
          <w:rStyle w:val="ECCParagraph"/>
        </w:rPr>
      </w:pPr>
      <w:r w:rsidRPr="0041260F">
        <w:rPr>
          <w:rStyle w:val="ECCParagraph"/>
        </w:rPr>
        <w:t xml:space="preserve">According to the </w:t>
      </w:r>
      <w:r w:rsidR="0041260F" w:rsidRPr="0041260F">
        <w:t>EU Commission Impl</w:t>
      </w:r>
      <w:r w:rsidR="0041260F">
        <w:t>ementing Decision (EU) 2015/750</w:t>
      </w:r>
      <w:r w:rsidRPr="0041260F">
        <w:rPr>
          <w:rStyle w:val="ECCParagraph"/>
        </w:rPr>
        <w:t xml:space="preserve"> </w:t>
      </w:r>
      <w:r w:rsidR="003B72CC">
        <w:rPr>
          <w:rStyle w:val="ECCParagraph"/>
        </w:rPr>
        <w:fldChar w:fldCharType="begin"/>
      </w:r>
      <w:r w:rsidR="003B72CC">
        <w:rPr>
          <w:rStyle w:val="ECCParagraph"/>
        </w:rPr>
        <w:instrText xml:space="preserve"> REF _Ref534374202 \r \h </w:instrText>
      </w:r>
      <w:r w:rsidR="003B72CC">
        <w:rPr>
          <w:rStyle w:val="ECCParagraph"/>
        </w:rPr>
      </w:r>
      <w:r w:rsidR="003B72CC">
        <w:rPr>
          <w:rStyle w:val="ECCParagraph"/>
        </w:rPr>
        <w:fldChar w:fldCharType="separate"/>
      </w:r>
      <w:r w:rsidR="00E9777B">
        <w:rPr>
          <w:rStyle w:val="ECCParagraph"/>
        </w:rPr>
        <w:t>[3]</w:t>
      </w:r>
      <w:r w:rsidR="003B72CC">
        <w:rPr>
          <w:rStyle w:val="ECCParagraph"/>
        </w:rPr>
        <w:fldChar w:fldCharType="end"/>
      </w:r>
      <w:r w:rsidRPr="0041260F">
        <w:rPr>
          <w:rStyle w:val="ECCParagraph"/>
        </w:rPr>
        <w:t>, all or some of the frequencies in the ranges 1427</w:t>
      </w:r>
      <w:r w:rsidR="00CC395C">
        <w:rPr>
          <w:rStyle w:val="ECCParagraph"/>
        </w:rPr>
        <w:t xml:space="preserve">-1452 </w:t>
      </w:r>
      <w:r w:rsidR="00B75662">
        <w:rPr>
          <w:rStyle w:val="ECCParagraph"/>
        </w:rPr>
        <w:t xml:space="preserve">MHz </w:t>
      </w:r>
      <w:r w:rsidR="004A1795" w:rsidRPr="00CC395C">
        <w:rPr>
          <w:rStyle w:val="ECCParagraph"/>
        </w:rPr>
        <w:t>and 1492</w:t>
      </w:r>
      <w:r w:rsidRPr="0041260F">
        <w:rPr>
          <w:rStyle w:val="ECCParagraph"/>
        </w:rPr>
        <w:t xml:space="preserve">-1517 MHz shall be designated and made available for wireless broadband by 1 October 2018. This mandatory framework for EU Member States leaves some flexibility to reorganise the bands 1427-1452 </w:t>
      </w:r>
      <w:r w:rsidR="00496087">
        <w:rPr>
          <w:rStyle w:val="ECCParagraph"/>
        </w:rPr>
        <w:t xml:space="preserve">MHz </w:t>
      </w:r>
      <w:r w:rsidRPr="0041260F">
        <w:rPr>
          <w:rStyle w:val="ECCParagraph"/>
        </w:rPr>
        <w:t xml:space="preserve">and 1492-1517 MHz in order to make them available for mobile SDL (up to 1 January 2023, and longer if no national demand has been identified for wireless broadband electronic communications services). </w:t>
      </w:r>
    </w:p>
    <w:p w:rsidR="00DA41FD" w:rsidRPr="004A2965" w:rsidRDefault="00501C65" w:rsidP="004A2965">
      <w:pPr>
        <w:rPr>
          <w:rStyle w:val="ECCHLgreen"/>
          <w:shd w:val="clear" w:color="auto" w:fill="auto"/>
        </w:rPr>
      </w:pPr>
      <w:r w:rsidRPr="0041260F">
        <w:rPr>
          <w:rStyle w:val="ECCParagraph"/>
        </w:rPr>
        <w:t>Some CEPT administrations are actively engaged in a complex refarming proc</w:t>
      </w:r>
      <w:r w:rsidR="004A2965">
        <w:rPr>
          <w:rStyle w:val="ECCParagraph"/>
        </w:rPr>
        <w:t xml:space="preserve">ess in order to make available </w:t>
      </w:r>
      <w:r w:rsidRPr="0041260F">
        <w:rPr>
          <w:rStyle w:val="ECCParagraph"/>
        </w:rPr>
        <w:t>90 MHz for mobile SDL.</w:t>
      </w:r>
    </w:p>
    <w:p w:rsidR="00DA41FD" w:rsidRPr="00623D60" w:rsidRDefault="00DA41FD" w:rsidP="00DA41FD">
      <w:pPr>
        <w:pStyle w:val="Heading2"/>
        <w:rPr>
          <w:lang w:val="en-GB"/>
        </w:rPr>
      </w:pPr>
      <w:bookmarkStart w:id="279" w:name="_Toc525544421"/>
      <w:bookmarkStart w:id="280" w:name="_Toc528659181"/>
      <w:bookmarkStart w:id="281" w:name="_Toc3285890"/>
      <w:r w:rsidRPr="00623D60">
        <w:rPr>
          <w:lang w:val="en-GB"/>
        </w:rPr>
        <w:t>T</w:t>
      </w:r>
      <w:r w:rsidR="002E0932" w:rsidRPr="00CF05D2">
        <w:rPr>
          <w:lang w:val="en-GB"/>
        </w:rPr>
        <w:t>i</w:t>
      </w:r>
      <w:r w:rsidR="00D504E4" w:rsidRPr="00CF05D2">
        <w:rPr>
          <w:lang w:val="en-GB"/>
        </w:rPr>
        <w:t>ming for</w:t>
      </w:r>
      <w:r w:rsidR="002E0932" w:rsidRPr="00CF05D2">
        <w:rPr>
          <w:lang w:val="en-GB"/>
        </w:rPr>
        <w:t xml:space="preserve"> availability of new MES equipment</w:t>
      </w:r>
      <w:bookmarkEnd w:id="279"/>
      <w:bookmarkEnd w:id="280"/>
      <w:bookmarkEnd w:id="281"/>
    </w:p>
    <w:p w:rsidR="00BC02A4" w:rsidRPr="00BC02A4" w:rsidRDefault="00BC02A4" w:rsidP="00BC02A4">
      <w:pPr>
        <w:rPr>
          <w:rStyle w:val="ECCParagraph"/>
        </w:rPr>
      </w:pPr>
      <w:r w:rsidRPr="00BC02A4">
        <w:rPr>
          <w:rStyle w:val="ECCParagraph"/>
        </w:rPr>
        <w:t>Given</w:t>
      </w:r>
      <w:r w:rsidR="009C6072">
        <w:rPr>
          <w:rStyle w:val="ECCParagraph"/>
        </w:rPr>
        <w:t xml:space="preserve"> </w:t>
      </w:r>
      <w:r w:rsidRPr="00BC02A4">
        <w:rPr>
          <w:rStyle w:val="ECCParagraph"/>
        </w:rPr>
        <w:t xml:space="preserve">the time required to </w:t>
      </w:r>
      <w:r w:rsidR="008B4383">
        <w:rPr>
          <w:rStyle w:val="ECCParagraph"/>
        </w:rPr>
        <w:t xml:space="preserve">set and agree standards, </w:t>
      </w:r>
      <w:r w:rsidRPr="00BC02A4">
        <w:rPr>
          <w:rStyle w:val="ECCParagraph"/>
        </w:rPr>
        <w:t xml:space="preserve">build and deploy new terminals in the maritime and aeronautical markets, it is expected that proportionate measures imposed by administrations required to protect aeronautical terminals </w:t>
      </w:r>
      <w:r w:rsidR="00136C16">
        <w:rPr>
          <w:rStyle w:val="ECCParagraph"/>
        </w:rPr>
        <w:t xml:space="preserve">at </w:t>
      </w:r>
      <w:r w:rsidRPr="00BC02A4">
        <w:rPr>
          <w:rStyle w:val="ECCParagraph"/>
        </w:rPr>
        <w:t xml:space="preserve">airports and maritime terminals at seaports, where and if required, will be on a phased approach; with the initial measures - </w:t>
      </w:r>
      <w:r w:rsidR="00496087">
        <w:rPr>
          <w:rStyle w:val="ECCParagraph"/>
        </w:rPr>
        <w:t>P</w:t>
      </w:r>
      <w:r w:rsidRPr="00D51582">
        <w:rPr>
          <w:rStyle w:val="ECCParagraph"/>
        </w:rPr>
        <w:t>hase</w:t>
      </w:r>
      <w:r w:rsidRPr="00BC02A4">
        <w:rPr>
          <w:rStyle w:val="ECCParagraph"/>
        </w:rPr>
        <w:t xml:space="preserve"> 1, to protect currently operating terminals which are more sensitive to blocking, followed by Phase 2 which would involve more relaxed constraints, where required, on IMT BSs as the protection measures will be based on more resilient terminals. Phase 1 will be time limited and to be replaced by </w:t>
      </w:r>
      <w:r w:rsidR="00496087">
        <w:rPr>
          <w:rStyle w:val="ECCParagraph"/>
        </w:rPr>
        <w:t>P</w:t>
      </w:r>
      <w:r w:rsidRPr="00D51582">
        <w:rPr>
          <w:rStyle w:val="ECCParagraph"/>
        </w:rPr>
        <w:t>hase</w:t>
      </w:r>
      <w:r w:rsidRPr="00BC02A4">
        <w:rPr>
          <w:rStyle w:val="ECCParagraph"/>
        </w:rPr>
        <w:t xml:space="preserve"> 2. Phase 2 will be based on future, more resilient terminals meeting a blocking resilience of -30 dBm at the input of the MES receiver. Future terminals will be designed to meet the relevant standards applicable for aeronautical and maritime terminals.</w:t>
      </w:r>
    </w:p>
    <w:p w:rsidR="00501C65" w:rsidRPr="00EB3F0E" w:rsidRDefault="00501C65" w:rsidP="00501C65">
      <w:pPr>
        <w:rPr>
          <w:rStyle w:val="ECCParagraph"/>
        </w:rPr>
      </w:pPr>
      <w:r w:rsidRPr="00EB3F0E">
        <w:rPr>
          <w:rStyle w:val="ECCParagraph"/>
        </w:rPr>
        <w:t>Development of new equipment that will meet the new blocking requirements will require:</w:t>
      </w:r>
    </w:p>
    <w:p w:rsidR="00501C65" w:rsidRPr="00E67877" w:rsidRDefault="00385222" w:rsidP="00E67877">
      <w:pPr>
        <w:pStyle w:val="ECCBulletsLv1"/>
        <w:rPr>
          <w:rStyle w:val="ECCParagraph"/>
        </w:rPr>
      </w:pPr>
      <w:r w:rsidRPr="004D7743">
        <w:rPr>
          <w:rStyle w:val="ECCParagraph"/>
        </w:rPr>
        <w:t>R</w:t>
      </w:r>
      <w:r w:rsidR="00501C65" w:rsidRPr="004D7743">
        <w:rPr>
          <w:rStyle w:val="ECCParagraph"/>
        </w:rPr>
        <w:t>evision of standards related to aeronautical equipment: The process of updating ARINC characteristics 741</w:t>
      </w:r>
      <w:r w:rsidR="00CB3E52" w:rsidRPr="00CD738E">
        <w:rPr>
          <w:rStyle w:val="ECCParagraph"/>
        </w:rPr>
        <w:t xml:space="preserve"> </w:t>
      </w:r>
      <w:r w:rsidR="00CB3E52" w:rsidRPr="00FF5746">
        <w:rPr>
          <w:rStyle w:val="ECCParagraph"/>
        </w:rPr>
        <w:fldChar w:fldCharType="begin"/>
      </w:r>
      <w:r w:rsidR="00CB3E52" w:rsidRPr="004D7743">
        <w:rPr>
          <w:rStyle w:val="ECCParagraph"/>
        </w:rPr>
        <w:instrText xml:space="preserve"> REF _Ref534368633 \r \h </w:instrText>
      </w:r>
      <w:r w:rsidR="00CB3E52" w:rsidRPr="00212A05">
        <w:rPr>
          <w:rStyle w:val="ECCParagraph"/>
        </w:rPr>
        <w:instrText xml:space="preserve"> \* MERGEFORMAT </w:instrText>
      </w:r>
      <w:r w:rsidR="00CB3E52" w:rsidRPr="00FF5746">
        <w:rPr>
          <w:rStyle w:val="ECCParagraph"/>
        </w:rPr>
      </w:r>
      <w:r w:rsidR="00CB3E52" w:rsidRPr="00FF5746">
        <w:rPr>
          <w:rStyle w:val="ECCParagraph"/>
        </w:rPr>
        <w:fldChar w:fldCharType="separate"/>
      </w:r>
      <w:r w:rsidR="00E9777B">
        <w:rPr>
          <w:rStyle w:val="ECCParagraph"/>
        </w:rPr>
        <w:t>[13]</w:t>
      </w:r>
      <w:r w:rsidR="00CB3E52" w:rsidRPr="00FF5746">
        <w:rPr>
          <w:rStyle w:val="ECCParagraph"/>
        </w:rPr>
        <w:fldChar w:fldCharType="end"/>
      </w:r>
      <w:r w:rsidR="00501C65" w:rsidRPr="00E67877">
        <w:rPr>
          <w:rStyle w:val="ECCParagraph"/>
        </w:rPr>
        <w:t>, 761</w:t>
      </w:r>
      <w:r w:rsidR="00CB3E52" w:rsidRPr="004D7743">
        <w:rPr>
          <w:rStyle w:val="ECCParagraph"/>
        </w:rPr>
        <w:t xml:space="preserve"> </w:t>
      </w:r>
      <w:r w:rsidR="00CB3E52" w:rsidRPr="00FF5746">
        <w:rPr>
          <w:rStyle w:val="ECCParagraph"/>
        </w:rPr>
        <w:fldChar w:fldCharType="begin"/>
      </w:r>
      <w:r w:rsidR="00CB3E52" w:rsidRPr="004D7743">
        <w:rPr>
          <w:rStyle w:val="ECCParagraph"/>
        </w:rPr>
        <w:instrText xml:space="preserve"> REF _Ref534368646 \r \h </w:instrText>
      </w:r>
      <w:r w:rsidR="00CB3E52" w:rsidRPr="00212A05">
        <w:rPr>
          <w:rStyle w:val="ECCParagraph"/>
        </w:rPr>
        <w:instrText xml:space="preserve"> \* MERGEFORMAT </w:instrText>
      </w:r>
      <w:r w:rsidR="00CB3E52" w:rsidRPr="00FF5746">
        <w:rPr>
          <w:rStyle w:val="ECCParagraph"/>
        </w:rPr>
      </w:r>
      <w:r w:rsidR="00CB3E52" w:rsidRPr="00FF5746">
        <w:rPr>
          <w:rStyle w:val="ECCParagraph"/>
        </w:rPr>
        <w:fldChar w:fldCharType="separate"/>
      </w:r>
      <w:r w:rsidR="00E9777B">
        <w:rPr>
          <w:rStyle w:val="ECCParagraph"/>
        </w:rPr>
        <w:t>[14]</w:t>
      </w:r>
      <w:r w:rsidR="00CB3E52" w:rsidRPr="00FF5746">
        <w:rPr>
          <w:rStyle w:val="ECCParagraph"/>
        </w:rPr>
        <w:fldChar w:fldCharType="end"/>
      </w:r>
      <w:r w:rsidR="00501C65" w:rsidRPr="00E67877">
        <w:rPr>
          <w:rStyle w:val="ECCParagraph"/>
        </w:rPr>
        <w:t>, and 781</w:t>
      </w:r>
      <w:r w:rsidR="00CB3E52" w:rsidRPr="004D7743">
        <w:rPr>
          <w:rStyle w:val="ECCParagraph"/>
        </w:rPr>
        <w:t xml:space="preserve"> </w:t>
      </w:r>
      <w:r w:rsidR="00CB3E52" w:rsidRPr="00FF5746">
        <w:rPr>
          <w:rStyle w:val="ECCParagraph"/>
        </w:rPr>
        <w:fldChar w:fldCharType="begin"/>
      </w:r>
      <w:r w:rsidR="00CB3E52" w:rsidRPr="004D7743">
        <w:rPr>
          <w:rStyle w:val="ECCParagraph"/>
        </w:rPr>
        <w:instrText xml:space="preserve"> REF _Ref534368650 \r \h </w:instrText>
      </w:r>
      <w:r w:rsidR="00CB3E52" w:rsidRPr="00212A05">
        <w:rPr>
          <w:rStyle w:val="ECCParagraph"/>
        </w:rPr>
        <w:instrText xml:space="preserve"> \* MERGEFORMAT </w:instrText>
      </w:r>
      <w:r w:rsidR="00CB3E52" w:rsidRPr="00FF5746">
        <w:rPr>
          <w:rStyle w:val="ECCParagraph"/>
        </w:rPr>
      </w:r>
      <w:r w:rsidR="00CB3E52" w:rsidRPr="00FF5746">
        <w:rPr>
          <w:rStyle w:val="ECCParagraph"/>
        </w:rPr>
        <w:fldChar w:fldCharType="separate"/>
      </w:r>
      <w:r w:rsidR="00E9777B">
        <w:rPr>
          <w:rStyle w:val="ECCParagraph"/>
        </w:rPr>
        <w:t>[15]</w:t>
      </w:r>
      <w:r w:rsidR="00CB3E52" w:rsidRPr="00FF5746">
        <w:rPr>
          <w:rStyle w:val="ECCParagraph"/>
        </w:rPr>
        <w:fldChar w:fldCharType="end"/>
      </w:r>
      <w:r w:rsidR="00501C65" w:rsidRPr="004D7743">
        <w:rPr>
          <w:rStyle w:val="ECCParagraph"/>
        </w:rPr>
        <w:t xml:space="preserve"> is under way, with an expected completion date of March 2019. A proposal to update the MOPS (RTCA </w:t>
      </w:r>
      <w:r w:rsidR="00501C65" w:rsidRPr="00E67877">
        <w:rPr>
          <w:rStyle w:val="ECCParagraph"/>
        </w:rPr>
        <w:t>DO</w:t>
      </w:r>
      <w:r w:rsidR="003958FF">
        <w:rPr>
          <w:rStyle w:val="ECCParagraph"/>
        </w:rPr>
        <w:t>-</w:t>
      </w:r>
      <w:r w:rsidR="00501C65" w:rsidRPr="00E67877">
        <w:rPr>
          <w:rStyle w:val="ECCParagraph"/>
        </w:rPr>
        <w:t>210</w:t>
      </w:r>
      <w:r w:rsidR="002664ED">
        <w:rPr>
          <w:rStyle w:val="ECCParagraph"/>
        </w:rPr>
        <w:t>D</w:t>
      </w:r>
      <w:r w:rsidR="002664ED" w:rsidRPr="004D7743">
        <w:rPr>
          <w:rStyle w:val="ECCParagraph"/>
        </w:rPr>
        <w:t xml:space="preserve"> </w:t>
      </w:r>
      <w:r w:rsidR="002664ED" w:rsidRPr="00CF357B">
        <w:rPr>
          <w:rStyle w:val="ECCParagraph"/>
        </w:rPr>
        <w:fldChar w:fldCharType="begin"/>
      </w:r>
      <w:r w:rsidR="002664ED" w:rsidRPr="004D7743">
        <w:rPr>
          <w:rStyle w:val="ECCParagraph"/>
        </w:rPr>
        <w:instrText xml:space="preserve"> REF _Ref534368781 \r \h </w:instrText>
      </w:r>
      <w:r w:rsidR="002664ED" w:rsidRPr="00212A05">
        <w:rPr>
          <w:rStyle w:val="ECCParagraph"/>
        </w:rPr>
        <w:instrText xml:space="preserve"> \* MERGEFORMAT </w:instrText>
      </w:r>
      <w:r w:rsidR="002664ED" w:rsidRPr="00CF357B">
        <w:rPr>
          <w:rStyle w:val="ECCParagraph"/>
        </w:rPr>
      </w:r>
      <w:r w:rsidR="002664ED" w:rsidRPr="00CF357B">
        <w:rPr>
          <w:rStyle w:val="ECCParagraph"/>
        </w:rPr>
        <w:fldChar w:fldCharType="separate"/>
      </w:r>
      <w:r w:rsidR="00E9777B">
        <w:rPr>
          <w:rStyle w:val="ECCParagraph"/>
        </w:rPr>
        <w:t>[16]</w:t>
      </w:r>
      <w:r w:rsidR="002664ED" w:rsidRPr="00CF357B">
        <w:rPr>
          <w:rStyle w:val="ECCParagraph"/>
        </w:rPr>
        <w:fldChar w:fldCharType="end"/>
      </w:r>
      <w:r w:rsidR="003958FF">
        <w:rPr>
          <w:rStyle w:val="ECCParagraph"/>
        </w:rPr>
        <w:t>,</w:t>
      </w:r>
      <w:r w:rsidR="00501C65" w:rsidRPr="00E67877">
        <w:rPr>
          <w:rStyle w:val="ECCParagraph"/>
        </w:rPr>
        <w:t xml:space="preserve"> DO262</w:t>
      </w:r>
      <w:r w:rsidR="002664ED">
        <w:rPr>
          <w:rStyle w:val="ECCParagraph"/>
        </w:rPr>
        <w:t>C</w:t>
      </w:r>
      <w:r w:rsidR="002664ED" w:rsidRPr="00CD738E">
        <w:rPr>
          <w:rStyle w:val="ECCParagraph"/>
        </w:rPr>
        <w:t xml:space="preserve"> </w:t>
      </w:r>
      <w:r w:rsidR="002664ED" w:rsidRPr="00CF357B">
        <w:rPr>
          <w:rStyle w:val="ECCParagraph"/>
        </w:rPr>
        <w:fldChar w:fldCharType="begin"/>
      </w:r>
      <w:r w:rsidR="002664ED" w:rsidRPr="004D7743">
        <w:rPr>
          <w:rStyle w:val="ECCParagraph"/>
        </w:rPr>
        <w:instrText xml:space="preserve"> REF _Ref534368799 \r \h </w:instrText>
      </w:r>
      <w:r w:rsidR="002664ED" w:rsidRPr="00212A05">
        <w:rPr>
          <w:rStyle w:val="ECCParagraph"/>
        </w:rPr>
        <w:instrText xml:space="preserve"> \* MERGEFORMAT </w:instrText>
      </w:r>
      <w:r w:rsidR="002664ED" w:rsidRPr="00CF357B">
        <w:rPr>
          <w:rStyle w:val="ECCParagraph"/>
        </w:rPr>
      </w:r>
      <w:r w:rsidR="002664ED" w:rsidRPr="00CF357B">
        <w:rPr>
          <w:rStyle w:val="ECCParagraph"/>
        </w:rPr>
        <w:fldChar w:fldCharType="separate"/>
      </w:r>
      <w:r w:rsidR="00E9777B">
        <w:rPr>
          <w:rStyle w:val="ECCParagraph"/>
        </w:rPr>
        <w:t>[17]</w:t>
      </w:r>
      <w:r w:rsidR="002664ED" w:rsidRPr="00CF357B">
        <w:rPr>
          <w:rStyle w:val="ECCParagraph"/>
        </w:rPr>
        <w:fldChar w:fldCharType="end"/>
      </w:r>
      <w:r w:rsidR="003958FF">
        <w:rPr>
          <w:rStyle w:val="ECCParagraph"/>
        </w:rPr>
        <w:t xml:space="preserve"> and</w:t>
      </w:r>
      <w:r w:rsidR="00501C65" w:rsidRPr="00E67877">
        <w:rPr>
          <w:rStyle w:val="ECCParagraph"/>
        </w:rPr>
        <w:t xml:space="preserve"> EUROCAE ED</w:t>
      </w:r>
      <w:r w:rsidR="002664ED" w:rsidRPr="004D7743">
        <w:rPr>
          <w:rStyle w:val="ECCParagraph"/>
        </w:rPr>
        <w:t>-</w:t>
      </w:r>
      <w:r w:rsidR="00501C65" w:rsidRPr="00E67877">
        <w:rPr>
          <w:rStyle w:val="ECCParagraph"/>
        </w:rPr>
        <w:t>243</w:t>
      </w:r>
      <w:r w:rsidR="002664ED" w:rsidRPr="004D7743">
        <w:rPr>
          <w:rStyle w:val="ECCParagraph"/>
        </w:rPr>
        <w:t xml:space="preserve"> </w:t>
      </w:r>
      <w:r w:rsidR="002664ED" w:rsidRPr="00FF5746">
        <w:rPr>
          <w:rStyle w:val="ECCParagraph"/>
        </w:rPr>
        <w:fldChar w:fldCharType="begin"/>
      </w:r>
      <w:r w:rsidR="002664ED" w:rsidRPr="004D7743">
        <w:rPr>
          <w:rStyle w:val="ECCParagraph"/>
        </w:rPr>
        <w:instrText xml:space="preserve"> REF _Ref534368910 \r \h </w:instrText>
      </w:r>
      <w:r w:rsidR="002664ED" w:rsidRPr="00212A05">
        <w:rPr>
          <w:rStyle w:val="ECCParagraph"/>
        </w:rPr>
        <w:instrText xml:space="preserve"> \* MERGEFORMAT </w:instrText>
      </w:r>
      <w:r w:rsidR="002664ED" w:rsidRPr="00FF5746">
        <w:rPr>
          <w:rStyle w:val="ECCParagraph"/>
        </w:rPr>
      </w:r>
      <w:r w:rsidR="002664ED" w:rsidRPr="00FF5746">
        <w:rPr>
          <w:rStyle w:val="ECCParagraph"/>
        </w:rPr>
        <w:fldChar w:fldCharType="separate"/>
      </w:r>
      <w:r w:rsidR="00E9777B">
        <w:rPr>
          <w:rStyle w:val="ECCParagraph"/>
        </w:rPr>
        <w:t>[18]</w:t>
      </w:r>
      <w:r w:rsidR="002664ED" w:rsidRPr="00FF5746">
        <w:rPr>
          <w:rStyle w:val="ECCParagraph"/>
        </w:rPr>
        <w:fldChar w:fldCharType="end"/>
      </w:r>
      <w:r w:rsidR="00501C65" w:rsidRPr="00E67877">
        <w:rPr>
          <w:rStyle w:val="ECCParagraph"/>
        </w:rPr>
        <w:t>) and MASPS (RTCA DO</w:t>
      </w:r>
      <w:r w:rsidR="00CB3E52" w:rsidRPr="004D7743">
        <w:rPr>
          <w:rStyle w:val="ECCParagraph"/>
        </w:rPr>
        <w:t>-</w:t>
      </w:r>
      <w:r w:rsidR="00501C65" w:rsidRPr="00E67877">
        <w:rPr>
          <w:rStyle w:val="ECCParagraph"/>
        </w:rPr>
        <w:t>343</w:t>
      </w:r>
      <w:r w:rsidR="00CB3E52" w:rsidRPr="004D7743">
        <w:rPr>
          <w:rStyle w:val="ECCParagraph"/>
        </w:rPr>
        <w:t xml:space="preserve"> </w:t>
      </w:r>
      <w:r w:rsidR="00CB3E52" w:rsidRPr="00FF5746">
        <w:rPr>
          <w:rStyle w:val="ECCParagraph"/>
        </w:rPr>
        <w:fldChar w:fldCharType="begin"/>
      </w:r>
      <w:r w:rsidR="00CB3E52" w:rsidRPr="004D7743">
        <w:rPr>
          <w:rStyle w:val="ECCParagraph"/>
        </w:rPr>
        <w:instrText xml:space="preserve"> REF _Ref534368976 \r \h </w:instrText>
      </w:r>
      <w:r w:rsidR="00CB3E52" w:rsidRPr="00212A05">
        <w:rPr>
          <w:rStyle w:val="ECCParagraph"/>
        </w:rPr>
        <w:instrText xml:space="preserve"> \* MERGEFORMAT </w:instrText>
      </w:r>
      <w:r w:rsidR="00CB3E52" w:rsidRPr="00FF5746">
        <w:rPr>
          <w:rStyle w:val="ECCParagraph"/>
        </w:rPr>
      </w:r>
      <w:r w:rsidR="00CB3E52" w:rsidRPr="00FF5746">
        <w:rPr>
          <w:rStyle w:val="ECCParagraph"/>
        </w:rPr>
        <w:fldChar w:fldCharType="separate"/>
      </w:r>
      <w:r w:rsidR="00E9777B">
        <w:rPr>
          <w:rStyle w:val="ECCParagraph"/>
        </w:rPr>
        <w:t>[19]</w:t>
      </w:r>
      <w:r w:rsidR="00CB3E52" w:rsidRPr="00FF5746">
        <w:rPr>
          <w:rStyle w:val="ECCParagraph"/>
        </w:rPr>
        <w:fldChar w:fldCharType="end"/>
      </w:r>
      <w:r w:rsidR="00501C65" w:rsidRPr="00E67877">
        <w:rPr>
          <w:rStyle w:val="ECCParagraph"/>
        </w:rPr>
        <w:t>, EUROCAE ED</w:t>
      </w:r>
      <w:r w:rsidR="00CB3E52" w:rsidRPr="004D7743">
        <w:rPr>
          <w:rStyle w:val="ECCParagraph"/>
        </w:rPr>
        <w:t>-</w:t>
      </w:r>
      <w:r w:rsidR="00501C65" w:rsidRPr="00E67877">
        <w:rPr>
          <w:rStyle w:val="ECCParagraph"/>
        </w:rPr>
        <w:t>242</w:t>
      </w:r>
      <w:r w:rsidR="00CB3E52" w:rsidRPr="004D7743">
        <w:rPr>
          <w:rStyle w:val="ECCParagraph"/>
        </w:rPr>
        <w:t xml:space="preserve"> </w:t>
      </w:r>
      <w:r w:rsidR="00CB3E52" w:rsidRPr="00FF5746">
        <w:rPr>
          <w:rStyle w:val="ECCParagraph"/>
        </w:rPr>
        <w:fldChar w:fldCharType="begin"/>
      </w:r>
      <w:r w:rsidR="00CB3E52" w:rsidRPr="004D7743">
        <w:rPr>
          <w:rStyle w:val="ECCParagraph"/>
        </w:rPr>
        <w:instrText xml:space="preserve"> REF _Ref534369286 \r \h </w:instrText>
      </w:r>
      <w:r w:rsidR="00CB3E52" w:rsidRPr="00212A05">
        <w:rPr>
          <w:rStyle w:val="ECCParagraph"/>
        </w:rPr>
        <w:instrText xml:space="preserve"> \* MERGEFORMAT </w:instrText>
      </w:r>
      <w:r w:rsidR="00CB3E52" w:rsidRPr="00FF5746">
        <w:rPr>
          <w:rStyle w:val="ECCParagraph"/>
        </w:rPr>
      </w:r>
      <w:r w:rsidR="00CB3E52" w:rsidRPr="00FF5746">
        <w:rPr>
          <w:rStyle w:val="ECCParagraph"/>
        </w:rPr>
        <w:fldChar w:fldCharType="separate"/>
      </w:r>
      <w:r w:rsidR="00E9777B">
        <w:rPr>
          <w:rStyle w:val="ECCParagraph"/>
        </w:rPr>
        <w:t>[20]</w:t>
      </w:r>
      <w:r w:rsidR="00CB3E52" w:rsidRPr="00FF5746">
        <w:rPr>
          <w:rStyle w:val="ECCParagraph"/>
        </w:rPr>
        <w:fldChar w:fldCharType="end"/>
      </w:r>
      <w:r w:rsidR="00501C65" w:rsidRPr="00E67877">
        <w:rPr>
          <w:rStyle w:val="ECCParagraph"/>
        </w:rPr>
        <w:t>) has been submitted and accepted as an agenda item</w:t>
      </w:r>
      <w:r w:rsidR="00F5359C" w:rsidRPr="00E67877">
        <w:rPr>
          <w:rStyle w:val="ECCParagraph"/>
        </w:rPr>
        <w:t xml:space="preserve"> </w:t>
      </w:r>
      <w:r w:rsidR="005C589D" w:rsidRPr="00E67877">
        <w:rPr>
          <w:rStyle w:val="ECCParagraph"/>
        </w:rPr>
        <w:t xml:space="preserve">in </w:t>
      </w:r>
      <w:r w:rsidR="00501C65" w:rsidRPr="00E67877">
        <w:rPr>
          <w:rStyle w:val="ECCParagraph"/>
        </w:rPr>
        <w:t>September 2018. If accepted, the necessary updates to these standards will be performed throughout 2019</w:t>
      </w:r>
      <w:r w:rsidR="00B67A91">
        <w:rPr>
          <w:rStyle w:val="ECCParagraph"/>
        </w:rPr>
        <w:t>;</w:t>
      </w:r>
    </w:p>
    <w:p w:rsidR="00501C65" w:rsidRPr="00EB3F0E" w:rsidRDefault="00501C65" w:rsidP="00E67877">
      <w:pPr>
        <w:pStyle w:val="ECCBulletsLv1"/>
        <w:rPr>
          <w:rStyle w:val="ECCParagraph"/>
        </w:rPr>
      </w:pPr>
      <w:r w:rsidRPr="00E67877">
        <w:rPr>
          <w:rStyle w:val="ECCParagraph"/>
        </w:rPr>
        <w:t xml:space="preserve">Revision of standards related to maritime equipment, noting that this might require the availability of an ITU-R Recommendation as a basis. </w:t>
      </w:r>
      <w:r w:rsidR="00B33D0A">
        <w:rPr>
          <w:rStyle w:val="ECCParagraph"/>
        </w:rPr>
        <w:t>T</w:t>
      </w:r>
      <w:r w:rsidRPr="00E67877">
        <w:rPr>
          <w:rStyle w:val="ECCParagraph"/>
        </w:rPr>
        <w:t xml:space="preserve">he IEC standards for receiver performance </w:t>
      </w:r>
      <w:r w:rsidR="00B33D0A">
        <w:rPr>
          <w:rStyle w:val="ECCParagraph"/>
        </w:rPr>
        <w:t>as well as the ETSI Standards</w:t>
      </w:r>
      <w:r w:rsidRPr="00E67877">
        <w:rPr>
          <w:rStyle w:val="ECCParagraph"/>
        </w:rPr>
        <w:t xml:space="preserve"> refer to the satellite operator's equipment standards</w:t>
      </w:r>
      <w:r w:rsidR="002A1589">
        <w:rPr>
          <w:rStyle w:val="ECCParagraph"/>
        </w:rPr>
        <w:t>. A new mask defined by ITU-R through a recommendation might facilitate the development of a new receiver blocking requirement applicable to new terminals worldwide.</w:t>
      </w:r>
      <w:r w:rsidRPr="00E67877">
        <w:rPr>
          <w:rStyle w:val="ECCParagraph"/>
        </w:rPr>
        <w:t xml:space="preserve"> </w:t>
      </w:r>
    </w:p>
    <w:p w:rsidR="00501C65" w:rsidRPr="00EB3F0E" w:rsidRDefault="00501C65" w:rsidP="00B1234C">
      <w:pPr>
        <w:rPr>
          <w:rStyle w:val="ECCParagraph"/>
        </w:rPr>
      </w:pPr>
      <w:r w:rsidRPr="007C615B">
        <w:rPr>
          <w:rStyle w:val="ECCParagraph"/>
        </w:rPr>
        <w:t>For aeronautical terminals, availability of equipment could be expected</w:t>
      </w:r>
      <w:r w:rsidR="00BA2791">
        <w:rPr>
          <w:rStyle w:val="ECCParagraph"/>
        </w:rPr>
        <w:t xml:space="preserve"> </w:t>
      </w:r>
      <w:r w:rsidR="00F613FB" w:rsidRPr="007C615B">
        <w:rPr>
          <w:rStyle w:val="ECCParagraph"/>
        </w:rPr>
        <w:t xml:space="preserve">within one </w:t>
      </w:r>
      <w:r w:rsidR="00BA2791">
        <w:rPr>
          <w:rStyle w:val="ECCParagraph"/>
        </w:rPr>
        <w:t>or</w:t>
      </w:r>
      <w:r w:rsidR="00F613FB" w:rsidRPr="007C615B">
        <w:rPr>
          <w:rStyle w:val="ECCParagraph"/>
        </w:rPr>
        <w:t xml:space="preserve"> two years</w:t>
      </w:r>
      <w:r w:rsidR="002A1589">
        <w:rPr>
          <w:rStyle w:val="ECCParagraph"/>
        </w:rPr>
        <w:t xml:space="preserve"> </w:t>
      </w:r>
      <w:r w:rsidRPr="00EB3F0E">
        <w:rPr>
          <w:rStyle w:val="ECCParagraph"/>
        </w:rPr>
        <w:t>after publication of the new standards.</w:t>
      </w:r>
    </w:p>
    <w:p w:rsidR="00501C65" w:rsidRPr="00CF05D2" w:rsidRDefault="00501C65" w:rsidP="00501C65">
      <w:pPr>
        <w:rPr>
          <w:rStyle w:val="ECCHLgreen"/>
          <w:shd w:val="clear" w:color="auto" w:fill="auto"/>
        </w:rPr>
      </w:pPr>
      <w:r w:rsidRPr="00EB3F0E">
        <w:rPr>
          <w:rStyle w:val="ECCParagraph"/>
        </w:rPr>
        <w:t>For some maritime services, such as Fleet Safety, new equipment may be expected to be avai</w:t>
      </w:r>
      <w:r w:rsidR="00EB3F0E">
        <w:rPr>
          <w:rStyle w:val="ECCParagraph"/>
        </w:rPr>
        <w:t>lable approximately 2020. S</w:t>
      </w:r>
      <w:r w:rsidRPr="00EB3F0E">
        <w:rPr>
          <w:rStyle w:val="ECCParagraph"/>
        </w:rPr>
        <w:t>ome of the well-established services such as Inmarsat</w:t>
      </w:r>
      <w:r w:rsidR="008B4383">
        <w:rPr>
          <w:rStyle w:val="ECCParagraph"/>
        </w:rPr>
        <w:t xml:space="preserve"> </w:t>
      </w:r>
      <w:r w:rsidRPr="00EB3F0E">
        <w:rPr>
          <w:rStyle w:val="ECCParagraph"/>
        </w:rPr>
        <w:t>C, are popular but new terminal designs are rare. Hence</w:t>
      </w:r>
      <w:r w:rsidR="00E95076">
        <w:rPr>
          <w:rStyle w:val="ECCParagraph"/>
        </w:rPr>
        <w:t>,</w:t>
      </w:r>
      <w:r w:rsidRPr="00EB3F0E">
        <w:rPr>
          <w:rStyle w:val="ECCParagraph"/>
        </w:rPr>
        <w:t xml:space="preserve"> new terminals may not be routinely developed by manufacturers as a consequence of the introduction of new equipment standards </w:t>
      </w:r>
      <w:r w:rsidRPr="00C816EA">
        <w:rPr>
          <w:rStyle w:val="ECCParagraph"/>
        </w:rPr>
        <w:t xml:space="preserve">alone and may </w:t>
      </w:r>
      <w:r w:rsidR="00FB12D3" w:rsidRPr="00C816EA">
        <w:rPr>
          <w:rStyle w:val="ECCParagraph"/>
        </w:rPr>
        <w:t>consider the need</w:t>
      </w:r>
      <w:r w:rsidRPr="00C816EA">
        <w:rPr>
          <w:rStyle w:val="ECCParagraph"/>
        </w:rPr>
        <w:t xml:space="preserve"> to ensure that new terminals that meet the new blocking requirement are developed.</w:t>
      </w:r>
    </w:p>
    <w:p w:rsidR="00792934" w:rsidRPr="00CF05D2" w:rsidRDefault="00C90BC1" w:rsidP="00792934">
      <w:pPr>
        <w:pStyle w:val="Heading2"/>
        <w:rPr>
          <w:lang w:val="en-GB"/>
        </w:rPr>
      </w:pPr>
      <w:bookmarkStart w:id="282" w:name="_Toc525544422"/>
      <w:bookmarkStart w:id="283" w:name="_Toc524360667"/>
      <w:bookmarkStart w:id="284" w:name="_Toc524361129"/>
      <w:bookmarkStart w:id="285" w:name="_Toc524361221"/>
      <w:bookmarkStart w:id="286" w:name="_Toc524360668"/>
      <w:bookmarkStart w:id="287" w:name="_Toc524361130"/>
      <w:bookmarkStart w:id="288" w:name="_Toc524361222"/>
      <w:bookmarkStart w:id="289" w:name="_Toc525544423"/>
      <w:bookmarkStart w:id="290" w:name="_Toc528659182"/>
      <w:bookmarkStart w:id="291" w:name="_Toc3285891"/>
      <w:bookmarkEnd w:id="282"/>
      <w:bookmarkEnd w:id="283"/>
      <w:bookmarkEnd w:id="284"/>
      <w:bookmarkEnd w:id="285"/>
      <w:bookmarkEnd w:id="286"/>
      <w:bookmarkEnd w:id="287"/>
      <w:bookmarkEnd w:id="288"/>
      <w:r w:rsidRPr="00CF05D2">
        <w:rPr>
          <w:lang w:val="en-GB"/>
        </w:rPr>
        <w:lastRenderedPageBreak/>
        <w:t>L</w:t>
      </w:r>
      <w:r w:rsidR="00792934" w:rsidRPr="00E42FCC">
        <w:rPr>
          <w:lang w:val="en-GB"/>
        </w:rPr>
        <w:t>ifetime of equipment on board vessels and aircraft</w:t>
      </w:r>
      <w:bookmarkEnd w:id="289"/>
      <w:bookmarkEnd w:id="290"/>
      <w:bookmarkEnd w:id="291"/>
    </w:p>
    <w:p w:rsidR="00792934" w:rsidRPr="00792934" w:rsidRDefault="00501C65" w:rsidP="00E42FCC">
      <w:pPr>
        <w:pStyle w:val="ECCBulletsLv1"/>
        <w:numPr>
          <w:ilvl w:val="0"/>
          <w:numId w:val="0"/>
        </w:numPr>
        <w:rPr>
          <w:rStyle w:val="ECCParagraph"/>
          <w:rFonts w:cs="Arial"/>
          <w:b/>
          <w:bCs/>
          <w:iCs/>
          <w:caps/>
          <w:szCs w:val="28"/>
        </w:rPr>
      </w:pPr>
      <w:r w:rsidRPr="00792934">
        <w:rPr>
          <w:rStyle w:val="ECCParagraph"/>
        </w:rPr>
        <w:t>The useful economic life of a commercial air transport aircraft is approximately 20-30 years</w:t>
      </w:r>
      <w:r w:rsidR="00792934">
        <w:rPr>
          <w:rStyle w:val="ECCParagraph"/>
        </w:rPr>
        <w:t xml:space="preserve"> </w:t>
      </w:r>
      <w:r w:rsidR="00294DAC" w:rsidRPr="00792934">
        <w:rPr>
          <w:rStyle w:val="ECCParagraph"/>
        </w:rPr>
        <w:t>(</w:t>
      </w:r>
      <w:r w:rsidR="00294DAC" w:rsidRPr="00E42FCC">
        <w:rPr>
          <w:rStyle w:val="ECCParagraph"/>
        </w:rPr>
        <w:t>a</w:t>
      </w:r>
      <w:r w:rsidRPr="00E42FCC">
        <w:rPr>
          <w:rStyle w:val="ECCParagraph"/>
        </w:rPr>
        <w:t>ircraft are normally retired from service with most of the same equipment and systems they were delivered with</w:t>
      </w:r>
      <w:r w:rsidR="00294DAC" w:rsidRPr="00E42FCC">
        <w:rPr>
          <w:rStyle w:val="ECCParagraph"/>
        </w:rPr>
        <w:t>)</w:t>
      </w:r>
      <w:r w:rsidRPr="00E42FCC">
        <w:rPr>
          <w:rStyle w:val="ECCParagraph"/>
        </w:rPr>
        <w:t xml:space="preserve">. </w:t>
      </w:r>
      <w:r w:rsidRPr="00792934">
        <w:rPr>
          <w:rStyle w:val="ECCParagraph"/>
        </w:rPr>
        <w:t xml:space="preserve">Aircraft retrofits including satellite </w:t>
      </w:r>
      <w:r w:rsidR="00294DAC" w:rsidRPr="00792934">
        <w:rPr>
          <w:rStyle w:val="ECCParagraph"/>
        </w:rPr>
        <w:t xml:space="preserve">mobile </w:t>
      </w:r>
      <w:r w:rsidRPr="00792934">
        <w:rPr>
          <w:rStyle w:val="ECCParagraph"/>
        </w:rPr>
        <w:t>communications terminals are</w:t>
      </w:r>
      <w:r w:rsidR="00294DAC" w:rsidRPr="00792934">
        <w:rPr>
          <w:rStyle w:val="ECCParagraph"/>
        </w:rPr>
        <w:t xml:space="preserve"> possible but</w:t>
      </w:r>
      <w:r w:rsidRPr="00792934">
        <w:rPr>
          <w:rStyle w:val="ECCParagraph"/>
        </w:rPr>
        <w:t xml:space="preserve"> rare</w:t>
      </w:r>
      <w:r w:rsidR="00294DAC" w:rsidRPr="00792934">
        <w:rPr>
          <w:rStyle w:val="ECCParagraph"/>
        </w:rPr>
        <w:t xml:space="preserve"> due to economic reasons</w:t>
      </w:r>
      <w:r w:rsidRPr="00792934">
        <w:rPr>
          <w:rStyle w:val="ECCParagraph"/>
        </w:rPr>
        <w:t xml:space="preserve">. </w:t>
      </w:r>
    </w:p>
    <w:p w:rsidR="00501C65" w:rsidRPr="00D85A55" w:rsidRDefault="00D85A55" w:rsidP="00501C65">
      <w:pPr>
        <w:rPr>
          <w:rStyle w:val="ECCParagraph"/>
        </w:rPr>
      </w:pPr>
      <w:r>
        <w:rPr>
          <w:rStyle w:val="ECCParagraph"/>
        </w:rPr>
        <w:t>Any changes to aeronautical S</w:t>
      </w:r>
      <w:r w:rsidR="00501C65" w:rsidRPr="00D85A55">
        <w:rPr>
          <w:rStyle w:val="ECCParagraph"/>
        </w:rPr>
        <w:t>atcom requires updates to the performance standards</w:t>
      </w:r>
      <w:r w:rsidR="00294DAC">
        <w:rPr>
          <w:rStyle w:val="ECCParagraph"/>
        </w:rPr>
        <w:t xml:space="preserve"> (see section 4.2)</w:t>
      </w:r>
      <w:r w:rsidR="00501C65" w:rsidRPr="00D85A55">
        <w:rPr>
          <w:rStyle w:val="ECCParagraph"/>
        </w:rPr>
        <w:t xml:space="preserve">, procedures, regulations and guidelines which govern air transport. </w:t>
      </w:r>
    </w:p>
    <w:p w:rsidR="00501C65" w:rsidRPr="00D85A55" w:rsidRDefault="00501C65" w:rsidP="00501C65">
      <w:pPr>
        <w:rPr>
          <w:rStyle w:val="ECCParagraph"/>
        </w:rPr>
      </w:pPr>
      <w:r w:rsidRPr="00D85A55">
        <w:rPr>
          <w:rStyle w:val="ECCParagraph"/>
        </w:rPr>
        <w:t>New equipment must be developed to the new standards and certified as safe for use by a competent authority. Once equipment has been certified, it has to be incorporated into the production of new aircraft for line-fit delivery, mandated for installation and made available to the aftermarket. For retrofit installations, a supplementary type certificate (STC) must be obtained from EASA/FAA for each type and variant of aircraft.</w:t>
      </w:r>
    </w:p>
    <w:p w:rsidR="00501C65" w:rsidRDefault="00501C65" w:rsidP="00501C65">
      <w:pPr>
        <w:rPr>
          <w:rStyle w:val="ECCParagraph"/>
        </w:rPr>
      </w:pPr>
      <w:r w:rsidRPr="005E0DF9">
        <w:t>Th</w:t>
      </w:r>
      <w:r w:rsidR="00D85A55" w:rsidRPr="005E0DF9">
        <w:t>ere are currently no certified</w:t>
      </w:r>
      <w:r w:rsidR="00D85A55" w:rsidRPr="00B1234C">
        <w:t xml:space="preserve"> </w:t>
      </w:r>
      <w:r w:rsidR="004A1795" w:rsidRPr="00B1234C">
        <w:t>aeronautical</w:t>
      </w:r>
      <w:r w:rsidR="004A1795" w:rsidRPr="005E0DF9">
        <w:t xml:space="preserve"> </w:t>
      </w:r>
      <w:r w:rsidR="00D85A55" w:rsidRPr="005E0DF9">
        <w:t>S</w:t>
      </w:r>
      <w:r w:rsidRPr="005E0DF9">
        <w:t xml:space="preserve">atcom terminals that meet the blocking requirement of </w:t>
      </w:r>
      <w:r w:rsidR="00325B09" w:rsidRPr="00D51582">
        <w:t>−</w:t>
      </w:r>
      <w:r w:rsidRPr="005E0DF9">
        <w:t>30</w:t>
      </w:r>
      <w:r w:rsidR="00325B09" w:rsidRPr="005E0DF9">
        <w:t> </w:t>
      </w:r>
      <w:r w:rsidRPr="005E0DF9">
        <w:t>dBm</w:t>
      </w:r>
      <w:r w:rsidR="006162A2">
        <w:rPr>
          <w:rStyle w:val="ECCParagraph"/>
        </w:rPr>
        <w:t xml:space="preserve"> for MFCN at 1512-1517 </w:t>
      </w:r>
      <w:r w:rsidRPr="00D85A55">
        <w:rPr>
          <w:rStyle w:val="ECCParagraph"/>
        </w:rPr>
        <w:t>MHz.</w:t>
      </w:r>
    </w:p>
    <w:p w:rsidR="00501C65" w:rsidRPr="00D85A55" w:rsidRDefault="00501C65">
      <w:pPr>
        <w:rPr>
          <w:rStyle w:val="ECCParagraph"/>
        </w:rPr>
      </w:pPr>
      <w:r w:rsidRPr="00D85A55">
        <w:rPr>
          <w:rStyle w:val="ECCParagraph"/>
        </w:rPr>
        <w:t>For maritime terminals, the useful economic life of a commercial vessel is approximately 20-30 years, where vessels are scrapped from service with most of the initial equipment they were delivered with</w:t>
      </w:r>
      <w:r w:rsidR="00193054" w:rsidRPr="00D85A55">
        <w:rPr>
          <w:rStyle w:val="ECCParagraph"/>
        </w:rPr>
        <w:t>.</w:t>
      </w:r>
      <w:r w:rsidR="005C2EA8" w:rsidRPr="00D85A55">
        <w:rPr>
          <w:rStyle w:val="ECCParagraph"/>
        </w:rPr>
        <w:t xml:space="preserve"> </w:t>
      </w:r>
      <w:r w:rsidR="004314CC" w:rsidRPr="00D85A55">
        <w:rPr>
          <w:rStyle w:val="ECCParagraph"/>
        </w:rPr>
        <w:t>As shown in Table 7, as of 2018, 15% vessels equipped with Inmarsat</w:t>
      </w:r>
      <w:r w:rsidR="001C2B85">
        <w:rPr>
          <w:rStyle w:val="ECCParagraph"/>
        </w:rPr>
        <w:t xml:space="preserve"> </w:t>
      </w:r>
      <w:r w:rsidR="004314CC" w:rsidRPr="00D85A55">
        <w:rPr>
          <w:rStyle w:val="ECCParagraph"/>
        </w:rPr>
        <w:t>C use terminals older than 20 years.</w:t>
      </w:r>
      <w:r w:rsidRPr="00D85A55">
        <w:rPr>
          <w:rStyle w:val="ECCParagraph"/>
        </w:rPr>
        <w:t xml:space="preserve"> The procedure for replacement of terminals requires new standards</w:t>
      </w:r>
      <w:r w:rsidR="004314CC" w:rsidRPr="00D85A55">
        <w:rPr>
          <w:rStyle w:val="ECCParagraph"/>
        </w:rPr>
        <w:t xml:space="preserve">. </w:t>
      </w:r>
      <w:r w:rsidR="004A1795">
        <w:rPr>
          <w:rStyle w:val="ECCParagraph"/>
        </w:rPr>
        <w:t>Any</w:t>
      </w:r>
      <w:r w:rsidR="004A1795" w:rsidRPr="00D85A55">
        <w:rPr>
          <w:rStyle w:val="ECCParagraph"/>
        </w:rPr>
        <w:t xml:space="preserve"> </w:t>
      </w:r>
      <w:r w:rsidR="004314CC" w:rsidRPr="00D85A55">
        <w:rPr>
          <w:rStyle w:val="ECCParagraph"/>
        </w:rPr>
        <w:t>requirement for replacement</w:t>
      </w:r>
      <w:r w:rsidRPr="00D85A55">
        <w:rPr>
          <w:rStyle w:val="ECCParagraph"/>
        </w:rPr>
        <w:t xml:space="preserve"> </w:t>
      </w:r>
      <w:r w:rsidR="004314CC" w:rsidRPr="00D85A55">
        <w:rPr>
          <w:rStyle w:val="ECCParagraph"/>
        </w:rPr>
        <w:t xml:space="preserve">is the responsibility of </w:t>
      </w:r>
      <w:r w:rsidRPr="00D85A55">
        <w:rPr>
          <w:rStyle w:val="ECCParagraph"/>
        </w:rPr>
        <w:t>the IMO</w:t>
      </w:r>
      <w:r w:rsidR="004314CC" w:rsidRPr="00D85A55">
        <w:rPr>
          <w:rStyle w:val="ECCParagraph"/>
        </w:rPr>
        <w:t xml:space="preserve"> (via the member states), and in addition the EU </w:t>
      </w:r>
      <w:r w:rsidR="00873745" w:rsidRPr="00D85A55">
        <w:rPr>
          <w:rStyle w:val="ECCParagraph"/>
        </w:rPr>
        <w:t xml:space="preserve">for those services </w:t>
      </w:r>
      <w:r w:rsidR="003E0642" w:rsidRPr="00D51582">
        <w:rPr>
          <w:rStyle w:val="ECCParagraph"/>
        </w:rPr>
        <w:t>required</w:t>
      </w:r>
      <w:r w:rsidR="00CF05D2">
        <w:rPr>
          <w:rStyle w:val="ECCParagraph"/>
        </w:rPr>
        <w:t xml:space="preserve"> </w:t>
      </w:r>
      <w:r w:rsidR="00873745" w:rsidRPr="00D85A55">
        <w:rPr>
          <w:rStyle w:val="ECCParagraph"/>
        </w:rPr>
        <w:t>by them</w:t>
      </w:r>
      <w:r w:rsidRPr="00D85A55">
        <w:rPr>
          <w:rStyle w:val="ECCParagraph"/>
        </w:rPr>
        <w:t>.</w:t>
      </w:r>
      <w:r w:rsidR="00975EB6">
        <w:rPr>
          <w:rStyle w:val="ECCParagraph"/>
        </w:rPr>
        <w:t xml:space="preserve"> </w:t>
      </w:r>
      <w:r w:rsidR="00975EB6" w:rsidRPr="00975EB6">
        <w:t>There is currently no mechanism to enforce the upgrade/replacement of Marine equipment which met the technical standards in force when originally fitted and it would take a number of years to put this mechanism in place.</w:t>
      </w:r>
      <w:r w:rsidR="00975EB6">
        <w:rPr>
          <w:rStyle w:val="ECCParagraph"/>
        </w:rPr>
        <w:t xml:space="preserve"> </w:t>
      </w:r>
    </w:p>
    <w:p w:rsidR="00501C65" w:rsidRPr="00D51582" w:rsidRDefault="00501C65" w:rsidP="00D51582">
      <w:pPr>
        <w:pStyle w:val="Heading2"/>
        <w:rPr>
          <w:rStyle w:val="ECCParagraph"/>
          <w:rFonts w:eastAsia="Calibri" w:cs="Times New Roman"/>
          <w:b w:val="0"/>
          <w:bCs w:val="0"/>
          <w:szCs w:val="22"/>
        </w:rPr>
      </w:pPr>
      <w:bookmarkStart w:id="292" w:name="_Toc525544424"/>
      <w:bookmarkStart w:id="293" w:name="_Toc528659183"/>
      <w:bookmarkStart w:id="294" w:name="_Toc3285892"/>
      <w:r w:rsidRPr="00D85A55">
        <w:rPr>
          <w:rStyle w:val="ECCParagraph"/>
        </w:rPr>
        <w:t>Potential to accelerate retrofit</w:t>
      </w:r>
      <w:bookmarkEnd w:id="292"/>
      <w:bookmarkEnd w:id="293"/>
      <w:bookmarkEnd w:id="294"/>
    </w:p>
    <w:p w:rsidR="00287D7B" w:rsidRDefault="005B66C0" w:rsidP="00C54CFD">
      <w:pPr>
        <w:rPr>
          <w:rStyle w:val="ECCParagraph"/>
        </w:rPr>
      </w:pPr>
      <w:r>
        <w:rPr>
          <w:rStyle w:val="ECCParagraph"/>
        </w:rPr>
        <w:t>I</w:t>
      </w:r>
      <w:r w:rsidR="00C54CFD" w:rsidRPr="00C54CFD">
        <w:rPr>
          <w:rStyle w:val="ECCParagraph"/>
        </w:rPr>
        <w:t xml:space="preserve">t has been concluded that blocking of MES due to MFCN below 1518 MHz may cause disruption </w:t>
      </w:r>
      <w:r w:rsidR="002156B8">
        <w:rPr>
          <w:rStyle w:val="ECCParagraph"/>
        </w:rPr>
        <w:t xml:space="preserve">of services, as well </w:t>
      </w:r>
      <w:r w:rsidR="002156B8" w:rsidRPr="00D51582">
        <w:rPr>
          <w:rStyle w:val="ECCParagraph"/>
        </w:rPr>
        <w:t>as</w:t>
      </w:r>
      <w:r w:rsidR="00C54CFD" w:rsidRPr="00C54CFD">
        <w:rPr>
          <w:rStyle w:val="ECCParagraph"/>
        </w:rPr>
        <w:t xml:space="preserve"> departures, delays and cost overruns for shipping companies and airlines</w:t>
      </w:r>
      <w:r w:rsidR="002156B8">
        <w:rPr>
          <w:rStyle w:val="ECCParagraph"/>
        </w:rPr>
        <w:t xml:space="preserve"> (see </w:t>
      </w:r>
      <w:r w:rsidR="00443B27">
        <w:rPr>
          <w:rStyle w:val="ECCParagraph"/>
        </w:rPr>
        <w:t>s</w:t>
      </w:r>
      <w:r w:rsidR="002156B8">
        <w:rPr>
          <w:rStyle w:val="ECCParagraph"/>
        </w:rPr>
        <w:t xml:space="preserve">ection </w:t>
      </w:r>
      <w:r w:rsidR="005F5E6B">
        <w:rPr>
          <w:rStyle w:val="ECCParagraph"/>
        </w:rPr>
        <w:fldChar w:fldCharType="begin"/>
      </w:r>
      <w:r w:rsidR="005F5E6B">
        <w:rPr>
          <w:rStyle w:val="ECCParagraph"/>
        </w:rPr>
        <w:instrText xml:space="preserve"> REF _Ref534369337 \r \h </w:instrText>
      </w:r>
      <w:r w:rsidR="005F5E6B">
        <w:rPr>
          <w:rStyle w:val="ECCParagraph"/>
        </w:rPr>
      </w:r>
      <w:r w:rsidR="005F5E6B">
        <w:rPr>
          <w:rStyle w:val="ECCParagraph"/>
        </w:rPr>
        <w:fldChar w:fldCharType="separate"/>
      </w:r>
      <w:r w:rsidR="00E9777B">
        <w:rPr>
          <w:rStyle w:val="ECCParagraph"/>
        </w:rPr>
        <w:t>3.1</w:t>
      </w:r>
      <w:r w:rsidR="005F5E6B">
        <w:rPr>
          <w:rStyle w:val="ECCParagraph"/>
        </w:rPr>
        <w:fldChar w:fldCharType="end"/>
      </w:r>
      <w:r w:rsidR="00287D7B">
        <w:rPr>
          <w:rStyle w:val="ECCParagraph"/>
        </w:rPr>
        <w:t xml:space="preserve"> </w:t>
      </w:r>
      <w:r w:rsidR="002156B8">
        <w:rPr>
          <w:rStyle w:val="ECCParagraph"/>
        </w:rPr>
        <w:t xml:space="preserve">and </w:t>
      </w:r>
      <w:r w:rsidR="00CA18B5">
        <w:rPr>
          <w:rStyle w:val="ECCParagraph"/>
        </w:rPr>
        <w:fldChar w:fldCharType="begin"/>
      </w:r>
      <w:r w:rsidR="00CA18B5">
        <w:rPr>
          <w:rStyle w:val="ECCParagraph"/>
        </w:rPr>
        <w:instrText xml:space="preserve"> REF _Ref1124443 \r \h </w:instrText>
      </w:r>
      <w:r w:rsidR="00CA18B5">
        <w:rPr>
          <w:rStyle w:val="ECCParagraph"/>
        </w:rPr>
      </w:r>
      <w:r w:rsidR="00CA18B5">
        <w:rPr>
          <w:rStyle w:val="ECCParagraph"/>
        </w:rPr>
        <w:fldChar w:fldCharType="separate"/>
      </w:r>
      <w:r w:rsidR="00CA18B5">
        <w:rPr>
          <w:rStyle w:val="ECCParagraph"/>
        </w:rPr>
        <w:t>3.2</w:t>
      </w:r>
      <w:r w:rsidR="00CA18B5">
        <w:rPr>
          <w:rStyle w:val="ECCParagraph"/>
        </w:rPr>
        <w:fldChar w:fldCharType="end"/>
      </w:r>
      <w:r w:rsidR="002156B8">
        <w:rPr>
          <w:rStyle w:val="ECCParagraph"/>
        </w:rPr>
        <w:t>)</w:t>
      </w:r>
      <w:r w:rsidR="00C54CFD" w:rsidRPr="00C54CFD">
        <w:rPr>
          <w:rStyle w:val="ECCParagraph"/>
        </w:rPr>
        <w:t>. To this end it is important that resilient equipment, based on updated standards, is available on the market in order to enable shipping companies or airlines to avoid any potential interruption of their business due to MFCN below 1518 MHz, by retrofitting their vessels or aircrafts with new equipment.</w:t>
      </w:r>
    </w:p>
    <w:p w:rsidR="00736E1D" w:rsidRPr="00C54CFD" w:rsidRDefault="00736E1D" w:rsidP="00736E1D">
      <w:pPr>
        <w:rPr>
          <w:rStyle w:val="ECCParagraph"/>
        </w:rPr>
      </w:pPr>
      <w:r w:rsidRPr="00C54CFD">
        <w:rPr>
          <w:rStyle w:val="ECCParagraph"/>
        </w:rPr>
        <w:t>At the same time the service providers also have business incentives in ensuring that the service may continue with the same service level as currently, when MFCN is brought into use below 1518 MHz - thus they may consider either to aid affected customers amongst airlines and shipping companies in the retrofit of upgraded MES equipment or to trigger migration to usage of compatible MES equipment.</w:t>
      </w:r>
    </w:p>
    <w:p w:rsidR="00736E1D" w:rsidRPr="00D85A55" w:rsidRDefault="00736E1D" w:rsidP="00736E1D">
      <w:pPr>
        <w:rPr>
          <w:rStyle w:val="ECCParagraph"/>
        </w:rPr>
      </w:pPr>
      <w:r w:rsidRPr="00C54CFD">
        <w:rPr>
          <w:rStyle w:val="ECCParagraph"/>
        </w:rPr>
        <w:t>An example of an implementation pipeline for the retrofit of equipment on aircraft is</w:t>
      </w:r>
      <w:r>
        <w:rPr>
          <w:rStyle w:val="ECCParagraph"/>
        </w:rPr>
        <w:t xml:space="preserve"> </w:t>
      </w:r>
      <w:r w:rsidRPr="00D85A55">
        <w:rPr>
          <w:rStyle w:val="ECCParagraph"/>
        </w:rPr>
        <w:t xml:space="preserve">Iris (as a part of the SESAR project) </w:t>
      </w:r>
      <w:r>
        <w:rPr>
          <w:rStyle w:val="ECCParagraph"/>
        </w:rPr>
        <w:t xml:space="preserve">which </w:t>
      </w:r>
      <w:r w:rsidRPr="00D85A55">
        <w:rPr>
          <w:rStyle w:val="ECCParagraph"/>
        </w:rPr>
        <w:t>is designed to improve air traffic management over continental and transoceanic airspace. In the context of Iris, new terminals for aircraft should meet the new standards and new blocking requirements. There is currently no requirement for Iris equipage. A requirement for installation of Iris compatible and resilient satellite communication terminals on aircraft would potentially solve several problems, one being the need to address capacity constraints with VHF data link (VDLm2), and the other being to minimise the constraints on deployment of SDL or redu</w:t>
      </w:r>
      <w:r>
        <w:rPr>
          <w:rStyle w:val="ECCParagraph"/>
        </w:rPr>
        <w:t>ce the risk of interference to S</w:t>
      </w:r>
      <w:r w:rsidRPr="00D85A55">
        <w:rPr>
          <w:rStyle w:val="ECCParagraph"/>
        </w:rPr>
        <w:t>atcom.</w:t>
      </w:r>
    </w:p>
    <w:p w:rsidR="00736E1D" w:rsidRPr="005E0DF9" w:rsidRDefault="00736E1D" w:rsidP="00736E1D">
      <w:pPr>
        <w:rPr>
          <w:rStyle w:val="ECCParagraph"/>
        </w:rPr>
      </w:pPr>
      <w:r w:rsidRPr="00C54CFD">
        <w:rPr>
          <w:rStyle w:val="ECCParagraph"/>
        </w:rPr>
        <w:t>If a requirement for Iris equipage is put forward,</w:t>
      </w:r>
      <w:r w:rsidRPr="00D85A55">
        <w:rPr>
          <w:rStyle w:val="ECCParagraph"/>
        </w:rPr>
        <w:t xml:space="preserve"> the implementation ti</w:t>
      </w:r>
      <w:r>
        <w:rPr>
          <w:rStyle w:val="ECCParagraph"/>
        </w:rPr>
        <w:t xml:space="preserve">meline would look </w:t>
      </w:r>
      <w:r w:rsidRPr="00D51582">
        <w:rPr>
          <w:rStyle w:val="ECCParagraph"/>
        </w:rPr>
        <w:t>like</w:t>
      </w:r>
      <w:r>
        <w:rPr>
          <w:rStyle w:val="ECCParagraph"/>
        </w:rPr>
        <w:t xml:space="preserve"> illustrated in </w:t>
      </w:r>
      <w:r>
        <w:rPr>
          <w:rStyle w:val="ECCParagraph"/>
        </w:rPr>
        <w:fldChar w:fldCharType="begin"/>
      </w:r>
      <w:r>
        <w:rPr>
          <w:rStyle w:val="ECCParagraph"/>
        </w:rPr>
        <w:instrText xml:space="preserve"> REF _Ref525118991 \h </w:instrText>
      </w:r>
      <w:r>
        <w:rPr>
          <w:rStyle w:val="ECCParagraph"/>
        </w:rPr>
      </w:r>
      <w:r>
        <w:rPr>
          <w:rStyle w:val="ECCParagraph"/>
        </w:rPr>
        <w:fldChar w:fldCharType="separate"/>
      </w:r>
      <w:r w:rsidR="00E9777B" w:rsidRPr="00CF05D2">
        <w:t xml:space="preserve">Figure </w:t>
      </w:r>
      <w:r w:rsidR="00E9777B" w:rsidRPr="005E0DF9">
        <w:t>2</w:t>
      </w:r>
      <w:r>
        <w:rPr>
          <w:rStyle w:val="ECCParagraph"/>
        </w:rPr>
        <w:fldChar w:fldCharType="end"/>
      </w:r>
      <w:r>
        <w:rPr>
          <w:rStyle w:val="ECCParagraph"/>
        </w:rPr>
        <w:t xml:space="preserve"> </w:t>
      </w:r>
      <w:r w:rsidRPr="00D85A55">
        <w:rPr>
          <w:rStyle w:val="ECCParagraph"/>
        </w:rPr>
        <w:t>below.</w:t>
      </w:r>
    </w:p>
    <w:p w:rsidR="00E9777B" w:rsidRPr="00CA18B5" w:rsidRDefault="00AD2D9F" w:rsidP="00CA18B5">
      <w:r>
        <w:rPr>
          <w:rStyle w:val="Heading9Char"/>
          <w:noProof/>
          <w:lang w:val="da-DK" w:eastAsia="da-DK"/>
        </w:rPr>
        <w:lastRenderedPageBreak/>
        <w:drawing>
          <wp:inline distT="0" distB="0" distL="0" distR="0" wp14:anchorId="21F3224F" wp14:editId="0777F33D">
            <wp:extent cx="6113145" cy="1980565"/>
            <wp:effectExtent l="0" t="0" r="1905" b="635"/>
            <wp:docPr id="24" name="Picture 2" descr="figure2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2 2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3145" cy="1980565"/>
                    </a:xfrm>
                    <a:prstGeom prst="rect">
                      <a:avLst/>
                    </a:prstGeom>
                    <a:noFill/>
                    <a:ln>
                      <a:noFill/>
                    </a:ln>
                  </pic:spPr>
                </pic:pic>
              </a:graphicData>
            </a:graphic>
          </wp:inline>
        </w:drawing>
      </w:r>
    </w:p>
    <w:p w:rsidR="00AF6185" w:rsidRPr="005E0DF9" w:rsidRDefault="004A705C" w:rsidP="00736E1D">
      <w:pPr>
        <w:pStyle w:val="Caption"/>
        <w:rPr>
          <w:rStyle w:val="ECCHLgreen"/>
          <w:rFonts w:eastAsia="Calibri"/>
          <w:b w:val="0"/>
          <w:bCs w:val="0"/>
          <w:color w:val="auto"/>
          <w:szCs w:val="22"/>
          <w:shd w:val="clear" w:color="auto" w:fill="auto"/>
        </w:rPr>
      </w:pPr>
      <w:bookmarkStart w:id="295" w:name="_Ref525118991"/>
      <w:r w:rsidRPr="00CF05D2">
        <w:rPr>
          <w:lang w:val="en-GB"/>
        </w:rPr>
        <w:t xml:space="preserve">Figure </w:t>
      </w:r>
      <w:r w:rsidRPr="00CF05D2">
        <w:rPr>
          <w:lang w:val="en-GB"/>
        </w:rPr>
        <w:fldChar w:fldCharType="begin"/>
      </w:r>
      <w:r w:rsidRPr="004A705C">
        <w:rPr>
          <w:lang w:val="en-US"/>
        </w:rPr>
        <w:instrText xml:space="preserve"> SEQ Figure \* ARABIC </w:instrText>
      </w:r>
      <w:r w:rsidRPr="00CF05D2">
        <w:rPr>
          <w:lang w:val="en-GB"/>
        </w:rPr>
        <w:fldChar w:fldCharType="separate"/>
      </w:r>
      <w:r w:rsidR="00E9777B">
        <w:rPr>
          <w:noProof/>
          <w:lang w:val="en-US"/>
        </w:rPr>
        <w:t>2</w:t>
      </w:r>
      <w:r w:rsidRPr="00CF05D2">
        <w:rPr>
          <w:lang w:val="en-GB"/>
        </w:rPr>
        <w:fldChar w:fldCharType="end"/>
      </w:r>
      <w:bookmarkEnd w:id="295"/>
      <w:r w:rsidR="009B4358" w:rsidRPr="00CF05D2">
        <w:rPr>
          <w:lang w:val="en-GB"/>
        </w:rPr>
        <w:t>:</w:t>
      </w:r>
      <w:r w:rsidRPr="00CF05D2">
        <w:rPr>
          <w:lang w:val="en-GB"/>
        </w:rPr>
        <w:t xml:space="preserve"> Implementation pipeline in the context of Iris</w:t>
      </w:r>
    </w:p>
    <w:p w:rsidR="00DA41FD" w:rsidRDefault="00DA41FD" w:rsidP="003D3F39">
      <w:pPr>
        <w:pStyle w:val="Heading2"/>
        <w:rPr>
          <w:rStyle w:val="ECCParagraph"/>
        </w:rPr>
      </w:pPr>
      <w:bookmarkStart w:id="296" w:name="_Toc524356765"/>
      <w:bookmarkStart w:id="297" w:name="_Toc524360670"/>
      <w:bookmarkStart w:id="298" w:name="_Toc524361132"/>
      <w:bookmarkStart w:id="299" w:name="_Toc524361224"/>
      <w:bookmarkStart w:id="300" w:name="_Toc525544425"/>
      <w:bookmarkStart w:id="301" w:name="_Ref534391617"/>
      <w:bookmarkStart w:id="302" w:name="_Toc528659184"/>
      <w:bookmarkStart w:id="303" w:name="_Toc3285893"/>
      <w:bookmarkEnd w:id="296"/>
      <w:bookmarkEnd w:id="297"/>
      <w:bookmarkEnd w:id="298"/>
      <w:bookmarkEnd w:id="299"/>
      <w:r w:rsidRPr="002C563C">
        <w:rPr>
          <w:rStyle w:val="ECCParagraph"/>
        </w:rPr>
        <w:t>T</w:t>
      </w:r>
      <w:r w:rsidR="005F188E">
        <w:rPr>
          <w:rStyle w:val="ECCParagraph"/>
        </w:rPr>
        <w:t>iming for protection of MES terminals</w:t>
      </w:r>
      <w:bookmarkEnd w:id="300"/>
      <w:bookmarkEnd w:id="301"/>
      <w:bookmarkEnd w:id="302"/>
      <w:bookmarkEnd w:id="303"/>
    </w:p>
    <w:p w:rsidR="00032BA5" w:rsidRDefault="00032BA5" w:rsidP="00032BA5">
      <w:pPr>
        <w:rPr>
          <w:rStyle w:val="ECCParagraph"/>
        </w:rPr>
      </w:pPr>
      <w:r w:rsidRPr="00E67877">
        <w:rPr>
          <w:rStyle w:val="ECCParagraph"/>
        </w:rPr>
        <w:t xml:space="preserve">To protect maritime and aeronautical communications, two phases are proposed with a transition period. For phase 1, the </w:t>
      </w:r>
      <w:r w:rsidR="00BC5629">
        <w:rPr>
          <w:rStyle w:val="ECCParagraph"/>
        </w:rPr>
        <w:t>PFD</w:t>
      </w:r>
      <w:r w:rsidR="00BC5629" w:rsidRPr="00E67877">
        <w:rPr>
          <w:rStyle w:val="ECCParagraph"/>
        </w:rPr>
        <w:t xml:space="preserve"> </w:t>
      </w:r>
      <w:r w:rsidRPr="00E67877">
        <w:rPr>
          <w:rStyle w:val="ECCParagraph"/>
        </w:rPr>
        <w:t xml:space="preserve">limits are based </w:t>
      </w:r>
      <w:r w:rsidR="005C05C3" w:rsidRPr="00E67877">
        <w:rPr>
          <w:rStyle w:val="ECCParagraph"/>
        </w:rPr>
        <w:t xml:space="preserve">on </w:t>
      </w:r>
      <w:r w:rsidRPr="00E67877">
        <w:rPr>
          <w:rStyle w:val="ECCParagraph"/>
        </w:rPr>
        <w:t>either existing regulation outside CEPT or</w:t>
      </w:r>
      <w:r w:rsidR="00CB3E52">
        <w:rPr>
          <w:rStyle w:val="ECCParagraph"/>
        </w:rPr>
        <w:t xml:space="preserve"> </w:t>
      </w:r>
      <w:r w:rsidRPr="00E67877">
        <w:rPr>
          <w:rStyle w:val="ECCParagraph"/>
        </w:rPr>
        <w:t>the measured blocking performance of the maritime and aeronautical terminals. Phase 2 may p</w:t>
      </w:r>
      <w:r w:rsidRPr="00736E1D">
        <w:rPr>
          <w:rStyle w:val="ECCParagraph"/>
        </w:rPr>
        <w:t xml:space="preserve">rovide a permanent </w:t>
      </w:r>
      <w:r w:rsidR="00BC5629" w:rsidRPr="00736E1D">
        <w:rPr>
          <w:rStyle w:val="ECCParagraph"/>
        </w:rPr>
        <w:t xml:space="preserve">PFD </w:t>
      </w:r>
      <w:r w:rsidRPr="00736E1D">
        <w:rPr>
          <w:rStyle w:val="ECCParagraph"/>
        </w:rPr>
        <w:t xml:space="preserve">limit for IMT coverage in the same locations as phase 1, based on </w:t>
      </w:r>
      <w:r w:rsidR="00BC5629" w:rsidRPr="00736E1D">
        <w:rPr>
          <w:rStyle w:val="ECCParagraph"/>
        </w:rPr>
        <w:t xml:space="preserve">the </w:t>
      </w:r>
      <w:r w:rsidR="00325B09" w:rsidRPr="00736E1D">
        <w:rPr>
          <w:rStyle w:val="ECCParagraph"/>
        </w:rPr>
        <w:t>−</w:t>
      </w:r>
      <w:r w:rsidRPr="00736E1D">
        <w:rPr>
          <w:rStyle w:val="ECCParagraph"/>
        </w:rPr>
        <w:t>30</w:t>
      </w:r>
      <w:r w:rsidR="00325B09" w:rsidRPr="00736E1D">
        <w:rPr>
          <w:rStyle w:val="ECCParagraph"/>
        </w:rPr>
        <w:t> </w:t>
      </w:r>
      <w:r w:rsidRPr="00736E1D">
        <w:rPr>
          <w:rStyle w:val="ECCParagraph"/>
        </w:rPr>
        <w:t xml:space="preserve">dBm blocking requirement (requested by CEPT </w:t>
      </w:r>
      <w:r w:rsidR="004A1795" w:rsidRPr="00212A05">
        <w:rPr>
          <w:rStyle w:val="ECCParagraph"/>
        </w:rPr>
        <w:t>for land</w:t>
      </w:r>
      <w:r w:rsidR="00C722D5" w:rsidRPr="00212A05">
        <w:rPr>
          <w:rStyle w:val="ECCParagraph"/>
        </w:rPr>
        <w:t xml:space="preserve"> </w:t>
      </w:r>
      <w:r w:rsidR="00CD738E" w:rsidRPr="00212A05">
        <w:rPr>
          <w:rStyle w:val="ECCParagraph"/>
        </w:rPr>
        <w:t xml:space="preserve">mobile earth stations </w:t>
      </w:r>
      <w:r w:rsidR="004A1795" w:rsidRPr="00736E1D">
        <w:rPr>
          <w:rStyle w:val="ECCParagraph"/>
        </w:rPr>
        <w:t>in</w:t>
      </w:r>
      <w:r w:rsidRPr="00736E1D">
        <w:rPr>
          <w:rStyle w:val="ECCParagraph"/>
        </w:rPr>
        <w:t xml:space="preserve"> 2017) for </w:t>
      </w:r>
      <w:r w:rsidR="004A1795" w:rsidRPr="00736E1D">
        <w:rPr>
          <w:rStyle w:val="ECCParagraph"/>
        </w:rPr>
        <w:t>the</w:t>
      </w:r>
      <w:r w:rsidRPr="00736E1D">
        <w:rPr>
          <w:rStyle w:val="ECCParagraph"/>
        </w:rPr>
        <w:t xml:space="preserve"> block 1512-1517</w:t>
      </w:r>
      <w:r w:rsidR="00122725" w:rsidRPr="00736E1D">
        <w:rPr>
          <w:rStyle w:val="ECCParagraph"/>
        </w:rPr>
        <w:t> </w:t>
      </w:r>
      <w:r w:rsidRPr="00736E1D">
        <w:rPr>
          <w:rStyle w:val="ECCParagraph"/>
        </w:rPr>
        <w:t>MHz.</w:t>
      </w:r>
    </w:p>
    <w:p w:rsidR="00736E1D" w:rsidRPr="00E67877" w:rsidRDefault="00736E1D" w:rsidP="00736E1D">
      <w:pPr>
        <w:rPr>
          <w:rStyle w:val="ECCParagraph"/>
        </w:rPr>
      </w:pPr>
      <w:bookmarkStart w:id="304" w:name="_Ref525216906"/>
      <w:bookmarkStart w:id="305" w:name="_Ref525216917"/>
      <w:bookmarkStart w:id="306" w:name="_Toc525544426"/>
      <w:r w:rsidRPr="00E67877">
        <w:rPr>
          <w:rStyle w:val="ECCParagraph"/>
        </w:rPr>
        <w:t>Recommending timing for the transition from phase 1 to phase 2 will facilitate satellite operators preparing retrofit operations for terminals/users requiring protection. Timing for closure of services is based on Inmarsat's public service obligations, which is typically 5</w:t>
      </w:r>
      <w:r>
        <w:rPr>
          <w:rStyle w:val="ECCParagraph"/>
        </w:rPr>
        <w:t>-7</w:t>
      </w:r>
      <w:r w:rsidRPr="00E67877">
        <w:rPr>
          <w:rStyle w:val="ECCParagraph"/>
        </w:rPr>
        <w:t xml:space="preserve"> years</w:t>
      </w:r>
      <w:r w:rsidRPr="003015E8">
        <w:rPr>
          <w:rStyle w:val="ECCHLsuperscript"/>
        </w:rPr>
        <w:footnoteReference w:id="9"/>
      </w:r>
      <w:r w:rsidRPr="00E67877">
        <w:rPr>
          <w:rStyle w:val="ECCParagraph"/>
        </w:rPr>
        <w:t>. Timing for the replacement of Satcom equipment is expected to be in a similar range</w:t>
      </w:r>
      <w:r>
        <w:rPr>
          <w:rStyle w:val="ECCParagraph"/>
        </w:rPr>
        <w:t xml:space="preserve"> but</w:t>
      </w:r>
      <w:r w:rsidRPr="00E67877">
        <w:rPr>
          <w:rStyle w:val="ECCParagraph"/>
        </w:rPr>
        <w:t xml:space="preserve"> </w:t>
      </w:r>
      <w:r>
        <w:rPr>
          <w:rStyle w:val="ECCParagraph"/>
        </w:rPr>
        <w:t>it</w:t>
      </w:r>
      <w:r w:rsidRPr="00E67877">
        <w:rPr>
          <w:rStyle w:val="ECCParagraph"/>
        </w:rPr>
        <w:t xml:space="preserve"> should be noted that the ending of the transition period</w:t>
      </w:r>
      <w:r>
        <w:rPr>
          <w:rStyle w:val="ECCParagraph"/>
        </w:rPr>
        <w:t xml:space="preserve"> relies on the availability of suitable terminals which allow their widespread deployment noting that</w:t>
      </w:r>
      <w:r w:rsidRPr="00E67877">
        <w:rPr>
          <w:rStyle w:val="ECCParagraph"/>
        </w:rPr>
        <w:t xml:space="preserve"> some equipment already meets the blocking requirements (See </w:t>
      </w:r>
      <w:r w:rsidR="00B67A91">
        <w:rPr>
          <w:rStyle w:val="ECCParagraph"/>
        </w:rPr>
        <w:fldChar w:fldCharType="begin"/>
      </w:r>
      <w:r w:rsidR="00B67A91">
        <w:rPr>
          <w:rStyle w:val="ECCParagraph"/>
        </w:rPr>
        <w:instrText xml:space="preserve"> REF _Ref519844113 \h </w:instrText>
      </w:r>
      <w:r w:rsidR="00B67A91">
        <w:rPr>
          <w:rStyle w:val="ECCParagraph"/>
        </w:rPr>
      </w:r>
      <w:r w:rsidR="00B67A91">
        <w:rPr>
          <w:rStyle w:val="ECCParagraph"/>
        </w:rPr>
        <w:fldChar w:fldCharType="separate"/>
      </w:r>
      <w:r w:rsidR="00B67A91" w:rsidRPr="00CF05D2">
        <w:t xml:space="preserve">Table </w:t>
      </w:r>
      <w:r w:rsidR="00B67A91">
        <w:rPr>
          <w:noProof/>
          <w:lang w:val="en-US"/>
        </w:rPr>
        <w:t>6</w:t>
      </w:r>
      <w:r w:rsidR="00B67A91">
        <w:rPr>
          <w:rStyle w:val="ECCParagraph"/>
        </w:rPr>
        <w:fldChar w:fldCharType="end"/>
      </w:r>
      <w:r w:rsidRPr="00E67877">
        <w:rPr>
          <w:rStyle w:val="ECCParagraph"/>
        </w:rPr>
        <w:t>).</w:t>
      </w:r>
    </w:p>
    <w:p w:rsidR="00736E1D" w:rsidRDefault="00736E1D" w:rsidP="00736E1D">
      <w:pPr>
        <w:rPr>
          <w:rStyle w:val="ECCParagraph"/>
        </w:rPr>
      </w:pPr>
      <w:r w:rsidRPr="00E67877">
        <w:rPr>
          <w:rStyle w:val="ECCParagraph"/>
        </w:rPr>
        <w:t>CEPT will recommend timing for the transition from phase 1 to phase 2 which may differ for maritime, aeronautical MES terminals. CEPT is making the assumption that MES Terminals operating under IRIS project are not subject to phase 1.</w:t>
      </w:r>
    </w:p>
    <w:p w:rsidR="00975EB6" w:rsidRPr="00A42CDD" w:rsidRDefault="00736E1D" w:rsidP="00A42CDD">
      <w:pPr>
        <w:rPr>
          <w:rStyle w:val="ECCParagraph"/>
        </w:rPr>
      </w:pPr>
      <w:r w:rsidRPr="00A42CDD">
        <w:rPr>
          <w:rStyle w:val="ECCParagraph"/>
        </w:rPr>
        <w:t>CEPT will inform ICAO/IATA and IMO so that they can take the appropriate steps with no delay in order to reduce the duration of the phase one to an acceptable/reasonable timeframe; and with the airlines and their trade bodies (e.g. Airlines for Europe ("A4E")) to establish a realistic time schedule for the adoption of new aeronautical terminals.</w:t>
      </w:r>
    </w:p>
    <w:p w:rsidR="00693DE4" w:rsidRPr="00CC2AF4" w:rsidRDefault="00693DE4" w:rsidP="00693DE4"/>
    <w:p w:rsidR="00DA41FD" w:rsidRPr="00623D60" w:rsidRDefault="00DA41FD" w:rsidP="00DA41FD">
      <w:pPr>
        <w:pStyle w:val="Heading1"/>
        <w:rPr>
          <w:lang w:val="en-GB"/>
        </w:rPr>
      </w:pPr>
      <w:bookmarkStart w:id="307" w:name="_Ref534369779"/>
      <w:bookmarkStart w:id="308" w:name="_Toc528659185"/>
      <w:bookmarkStart w:id="309" w:name="_Toc3285894"/>
      <w:r w:rsidRPr="00623D60">
        <w:rPr>
          <w:lang w:val="en-GB"/>
        </w:rPr>
        <w:lastRenderedPageBreak/>
        <w:t>P</w:t>
      </w:r>
      <w:r w:rsidR="00E179EE" w:rsidRPr="00CF05D2">
        <w:rPr>
          <w:lang w:val="en-GB"/>
        </w:rPr>
        <w:t>roportionate measures to address</w:t>
      </w:r>
      <w:r w:rsidR="00632AF2" w:rsidRPr="00CF05D2">
        <w:rPr>
          <w:lang w:val="en-GB"/>
        </w:rPr>
        <w:t xml:space="preserve"> the potential blocking of MES </w:t>
      </w:r>
      <w:r w:rsidR="00E179EE" w:rsidRPr="00CF05D2">
        <w:rPr>
          <w:lang w:val="en-GB"/>
        </w:rPr>
        <w:t>terminals</w:t>
      </w:r>
      <w:bookmarkEnd w:id="304"/>
      <w:bookmarkEnd w:id="305"/>
      <w:bookmarkEnd w:id="306"/>
      <w:bookmarkEnd w:id="307"/>
      <w:bookmarkEnd w:id="308"/>
      <w:bookmarkEnd w:id="309"/>
    </w:p>
    <w:p w:rsidR="00947D1E" w:rsidRPr="005E0DF9" w:rsidRDefault="00947D1E" w:rsidP="00DA41FD">
      <w:pPr>
        <w:rPr>
          <w:rStyle w:val="ECCParagraph"/>
        </w:rPr>
      </w:pPr>
      <w:r w:rsidRPr="005E0DF9">
        <w:rPr>
          <w:rStyle w:val="ECCParagraph"/>
        </w:rPr>
        <w:t>This section presents proportionate solutions that CEPT members could implement to address potential blocking of L-band MSS receivers in specific areas or locations. Each national administration will decide which areas or locations require protection</w:t>
      </w:r>
      <w:r w:rsidR="00392218" w:rsidRPr="005E0DF9">
        <w:rPr>
          <w:rStyle w:val="ECCParagraph"/>
        </w:rPr>
        <w:t>,</w:t>
      </w:r>
      <w:r w:rsidRPr="005E0DF9">
        <w:rPr>
          <w:rStyle w:val="ECCParagraph"/>
        </w:rPr>
        <w:t xml:space="preserve"> how to do so, e.g. by using options outlined in this section if suitable to their national circumstances</w:t>
      </w:r>
      <w:r w:rsidR="006509B2" w:rsidRPr="005E0DF9">
        <w:rPr>
          <w:rStyle w:val="ECCParagraph"/>
        </w:rPr>
        <w:t xml:space="preserve">, and the timing related to the application of the </w:t>
      </w:r>
      <w:r w:rsidR="00392218" w:rsidRPr="005E0DF9">
        <w:rPr>
          <w:rStyle w:val="ECCParagraph"/>
        </w:rPr>
        <w:t xml:space="preserve">different </w:t>
      </w:r>
      <w:r w:rsidR="006509B2" w:rsidRPr="005E0DF9">
        <w:rPr>
          <w:rStyle w:val="ECCParagraph"/>
        </w:rPr>
        <w:t>protection measures</w:t>
      </w:r>
      <w:r w:rsidRPr="005E0DF9">
        <w:rPr>
          <w:rStyle w:val="ECCParagraph"/>
        </w:rPr>
        <w:t>.</w:t>
      </w:r>
    </w:p>
    <w:p w:rsidR="00DD7ED5" w:rsidRPr="00CF05D2" w:rsidRDefault="00947D1E" w:rsidP="00DD7ED5">
      <w:pPr>
        <w:pStyle w:val="Heading2"/>
        <w:rPr>
          <w:lang w:val="en-GB"/>
        </w:rPr>
      </w:pPr>
      <w:bookmarkStart w:id="310" w:name="_Toc524356768"/>
      <w:bookmarkStart w:id="311" w:name="_Toc524360673"/>
      <w:bookmarkStart w:id="312" w:name="_Toc524361135"/>
      <w:bookmarkStart w:id="313" w:name="_Toc524361227"/>
      <w:bookmarkStart w:id="314" w:name="_Toc525544427"/>
      <w:bookmarkStart w:id="315" w:name="_Toc528659186"/>
      <w:bookmarkStart w:id="316" w:name="_Ref1123589"/>
      <w:bookmarkStart w:id="317" w:name="_Toc3285895"/>
      <w:bookmarkEnd w:id="310"/>
      <w:bookmarkEnd w:id="311"/>
      <w:bookmarkEnd w:id="312"/>
      <w:bookmarkEnd w:id="313"/>
      <w:r w:rsidRPr="00CF05D2">
        <w:rPr>
          <w:lang w:val="en-GB"/>
        </w:rPr>
        <w:t>PFD limits for MFCN base stations</w:t>
      </w:r>
      <w:bookmarkEnd w:id="314"/>
      <w:bookmarkEnd w:id="315"/>
      <w:bookmarkEnd w:id="316"/>
      <w:bookmarkEnd w:id="317"/>
    </w:p>
    <w:p w:rsidR="00F11732" w:rsidRPr="005E0DF9" w:rsidRDefault="00DD7ED5" w:rsidP="00DD7ED5">
      <w:pPr>
        <w:rPr>
          <w:rStyle w:val="ECCParagraph"/>
        </w:rPr>
      </w:pPr>
      <w:r w:rsidRPr="005E0DF9">
        <w:rPr>
          <w:rStyle w:val="ECCParagraph"/>
        </w:rPr>
        <w:t xml:space="preserve">In order to ensure protection of maritime and aeronautical terminals at </w:t>
      </w:r>
      <w:r w:rsidR="001D6EBF" w:rsidRPr="005E0DF9">
        <w:rPr>
          <w:rStyle w:val="ECCParagraph"/>
        </w:rPr>
        <w:t>selected</w:t>
      </w:r>
      <w:r w:rsidR="006D231A" w:rsidRPr="005E0DF9">
        <w:rPr>
          <w:rStyle w:val="ECCParagraph"/>
        </w:rPr>
        <w:t xml:space="preserve"> </w:t>
      </w:r>
      <w:r w:rsidRPr="005E0DF9">
        <w:rPr>
          <w:rStyle w:val="ECCParagraph"/>
        </w:rPr>
        <w:t xml:space="preserve">seaports and airports respectively, one option is to apply a protection measure based on </w:t>
      </w:r>
      <w:r w:rsidR="001D6EBF" w:rsidRPr="005E0DF9">
        <w:rPr>
          <w:rStyle w:val="ECCParagraph"/>
        </w:rPr>
        <w:t>PFD</w:t>
      </w:r>
      <w:r w:rsidRPr="005E0DF9">
        <w:rPr>
          <w:rStyle w:val="ECCParagraph"/>
        </w:rPr>
        <w:t xml:space="preserve"> limits for </w:t>
      </w:r>
      <w:r w:rsidR="00D74F12" w:rsidRPr="005E0DF9">
        <w:rPr>
          <w:rStyle w:val="ECCParagraph"/>
        </w:rPr>
        <w:t>MFCN</w:t>
      </w:r>
      <w:r w:rsidRPr="005E0DF9">
        <w:rPr>
          <w:rStyle w:val="ECCParagraph"/>
        </w:rPr>
        <w:t xml:space="preserve"> BS and this methodology is described in this section. Two phases are proposed with a transition period as described </w:t>
      </w:r>
      <w:r w:rsidR="006509B2" w:rsidRPr="005E0DF9">
        <w:rPr>
          <w:rStyle w:val="ECCParagraph"/>
        </w:rPr>
        <w:t xml:space="preserve">in section 4.5 </w:t>
      </w:r>
    </w:p>
    <w:p w:rsidR="00891A90" w:rsidRPr="005E0DF9" w:rsidRDefault="00766B2B" w:rsidP="00891A90">
      <w:pPr>
        <w:rPr>
          <w:rStyle w:val="ECCParagraph"/>
        </w:rPr>
      </w:pPr>
      <w:r w:rsidRPr="005E0DF9">
        <w:rPr>
          <w:rStyle w:val="ECCParagraph"/>
        </w:rPr>
        <w:t xml:space="preserve">To minimise any potential blocking of next generation MES receivers, CEPT concluded in ECC Report 263 that the minimum out of-band blocking characteristic for land mobile earth stations receivers from a 5 MHz broadband signal interferer (LTE) operating below </w:t>
      </w:r>
      <w:r w:rsidR="00C05632" w:rsidRPr="005E0DF9">
        <w:rPr>
          <w:rStyle w:val="ECCParagraph"/>
        </w:rPr>
        <w:t>1518</w:t>
      </w:r>
      <w:r w:rsidRPr="005E0DF9">
        <w:rPr>
          <w:rStyle w:val="ECCParagraph"/>
        </w:rPr>
        <w:t xml:space="preserve"> MHz shall be −30 dBm for the band above 1520 MHz</w:t>
      </w:r>
      <w:r w:rsidR="008C2484" w:rsidRPr="005E0DF9">
        <w:rPr>
          <w:rStyle w:val="ECCParagraph"/>
        </w:rPr>
        <w:t>, noting that the IMT block ends at 1517 MHz</w:t>
      </w:r>
      <w:r w:rsidRPr="005E0DF9">
        <w:rPr>
          <w:rStyle w:val="ECCParagraph"/>
        </w:rPr>
        <w:t xml:space="preserve">. </w:t>
      </w:r>
      <w:r w:rsidR="0007146F" w:rsidRPr="005E0DF9">
        <w:rPr>
          <w:rStyle w:val="ECCParagraph"/>
        </w:rPr>
        <w:t xml:space="preserve">The same blocking level value will be used for next generation maritime and aeronautical MESs. </w:t>
      </w:r>
      <w:r w:rsidR="00891A90" w:rsidRPr="005E0DF9">
        <w:rPr>
          <w:rStyle w:val="ECCParagraph"/>
        </w:rPr>
        <w:t>The value of th</w:t>
      </w:r>
      <w:r w:rsidR="001D6EBF" w:rsidRPr="005E0DF9">
        <w:rPr>
          <w:rStyle w:val="ECCParagraph"/>
        </w:rPr>
        <w:t>e</w:t>
      </w:r>
      <w:r w:rsidR="00891A90" w:rsidRPr="005E0DF9">
        <w:rPr>
          <w:rStyle w:val="ECCParagraph"/>
        </w:rPr>
        <w:t xml:space="preserve"> </w:t>
      </w:r>
      <w:r w:rsidR="001D6EBF" w:rsidRPr="005E0DF9">
        <w:rPr>
          <w:rStyle w:val="ECCParagraph"/>
        </w:rPr>
        <w:t>PFD</w:t>
      </w:r>
      <w:r w:rsidR="00891A90" w:rsidRPr="005E0DF9">
        <w:rPr>
          <w:rStyle w:val="ECCParagraph"/>
        </w:rPr>
        <w:t xml:space="preserve"> limit for </w:t>
      </w:r>
      <w:r w:rsidR="001D6EBF" w:rsidRPr="005E0DF9">
        <w:rPr>
          <w:rStyle w:val="ECCParagraph"/>
        </w:rPr>
        <w:t>Phase</w:t>
      </w:r>
      <w:r w:rsidR="00891A90" w:rsidRPr="005E0DF9">
        <w:rPr>
          <w:rStyle w:val="ECCParagraph"/>
        </w:rPr>
        <w:t xml:space="preserve"> 2 could be derived based on </w:t>
      </w:r>
      <w:r w:rsidR="001D6EBF" w:rsidRPr="005E0DF9">
        <w:rPr>
          <w:rStyle w:val="ECCParagraph"/>
        </w:rPr>
        <w:t xml:space="preserve">the </w:t>
      </w:r>
      <w:r w:rsidR="009B4358" w:rsidRPr="005E0DF9">
        <w:rPr>
          <w:rStyle w:val="ECCParagraph"/>
        </w:rPr>
        <w:t>−</w:t>
      </w:r>
      <w:r w:rsidR="00891A90" w:rsidRPr="005E0DF9">
        <w:rPr>
          <w:rStyle w:val="ECCParagraph"/>
        </w:rPr>
        <w:t>30</w:t>
      </w:r>
      <w:r w:rsidR="009B4358" w:rsidRPr="005E0DF9">
        <w:rPr>
          <w:rStyle w:val="ECCParagraph"/>
        </w:rPr>
        <w:t> </w:t>
      </w:r>
      <w:r w:rsidR="00891A90" w:rsidRPr="005E0DF9">
        <w:rPr>
          <w:rStyle w:val="ECCParagraph"/>
        </w:rPr>
        <w:t>dBm</w:t>
      </w:r>
      <w:r w:rsidR="008C2484" w:rsidRPr="005E0DF9">
        <w:rPr>
          <w:rStyle w:val="ECCParagraph"/>
        </w:rPr>
        <w:t xml:space="preserve"> blocking requirement above 1520 MHz.</w:t>
      </w:r>
      <w:r w:rsidRPr="005E0DF9">
        <w:rPr>
          <w:rStyle w:val="ECCParagraph"/>
        </w:rPr>
        <w:t xml:space="preserve">   </w:t>
      </w:r>
    </w:p>
    <w:p w:rsidR="00891A90" w:rsidRPr="005E0DF9" w:rsidRDefault="00891A90" w:rsidP="00891A90">
      <w:pPr>
        <w:rPr>
          <w:rStyle w:val="ECCParagraph"/>
        </w:rPr>
      </w:pPr>
      <w:r w:rsidRPr="00EC7A39">
        <w:rPr>
          <w:rStyle w:val="ECCParagraph"/>
        </w:rPr>
        <w:t>The value of th</w:t>
      </w:r>
      <w:r w:rsidR="001D6EBF" w:rsidRPr="00EC7A39">
        <w:rPr>
          <w:rStyle w:val="ECCParagraph"/>
        </w:rPr>
        <w:t>e</w:t>
      </w:r>
      <w:r w:rsidRPr="00EC7A39">
        <w:rPr>
          <w:rStyle w:val="ECCParagraph"/>
        </w:rPr>
        <w:t xml:space="preserve"> </w:t>
      </w:r>
      <w:r w:rsidR="001D6EBF" w:rsidRPr="00EC7A39">
        <w:rPr>
          <w:rStyle w:val="ECCParagraph"/>
        </w:rPr>
        <w:t>PFD</w:t>
      </w:r>
      <w:r w:rsidRPr="00EC7A39">
        <w:rPr>
          <w:rStyle w:val="ECCParagraph"/>
        </w:rPr>
        <w:t xml:space="preserve"> limit for </w:t>
      </w:r>
      <w:r w:rsidR="001D6EBF" w:rsidRPr="00EC7A39">
        <w:rPr>
          <w:rStyle w:val="ECCParagraph"/>
        </w:rPr>
        <w:t>Phase</w:t>
      </w:r>
      <w:r w:rsidRPr="00EC7A39">
        <w:rPr>
          <w:rStyle w:val="ECCParagraph"/>
        </w:rPr>
        <w:t xml:space="preserve"> 1 (i.e. </w:t>
      </w:r>
      <w:r w:rsidR="00BB7228">
        <w:rPr>
          <w:rStyle w:val="ECCParagraph"/>
        </w:rPr>
        <w:t>during</w:t>
      </w:r>
      <w:r w:rsidRPr="00EC7A39">
        <w:rPr>
          <w:rStyle w:val="ECCParagraph"/>
        </w:rPr>
        <w:t xml:space="preserve"> the transition period) could be derived by considering a </w:t>
      </w:r>
      <w:r w:rsidRPr="00066D91">
        <w:rPr>
          <w:rStyle w:val="ECCParagraph"/>
        </w:rPr>
        <w:t xml:space="preserve">more stringent (lower) value of blocking than </w:t>
      </w:r>
      <w:r w:rsidR="00325B09" w:rsidRPr="00066D91">
        <w:rPr>
          <w:rStyle w:val="ECCParagraph"/>
        </w:rPr>
        <w:t>−</w:t>
      </w:r>
      <w:r w:rsidRPr="00066D91">
        <w:rPr>
          <w:rStyle w:val="ECCParagraph"/>
        </w:rPr>
        <w:t>30</w:t>
      </w:r>
      <w:r w:rsidR="00325B09" w:rsidRPr="00066D91">
        <w:rPr>
          <w:rStyle w:val="ECCParagraph"/>
        </w:rPr>
        <w:t> </w:t>
      </w:r>
      <w:r w:rsidRPr="00066D91">
        <w:rPr>
          <w:rStyle w:val="ECCParagraph"/>
        </w:rPr>
        <w:t xml:space="preserve">dBm. This value could be </w:t>
      </w:r>
      <w:r w:rsidR="001D6EBF" w:rsidRPr="00066D91">
        <w:rPr>
          <w:rStyle w:val="ECCParagraph"/>
        </w:rPr>
        <w:t>based on</w:t>
      </w:r>
      <w:r w:rsidR="00F856AF">
        <w:rPr>
          <w:rStyle w:val="ECCParagraph"/>
        </w:rPr>
        <w:t xml:space="preserve"> </w:t>
      </w:r>
      <w:r w:rsidR="0017102E" w:rsidRPr="00F856AF">
        <w:rPr>
          <w:rStyle w:val="ECCParagraph"/>
        </w:rPr>
        <w:t>either</w:t>
      </w:r>
      <w:r w:rsidR="001D6EBF" w:rsidRPr="00F856AF">
        <w:rPr>
          <w:rStyle w:val="ECCParagraph"/>
        </w:rPr>
        <w:t>:</w:t>
      </w:r>
    </w:p>
    <w:p w:rsidR="00891A90" w:rsidRPr="00F856AF" w:rsidRDefault="00891A90" w:rsidP="008B169D">
      <w:pPr>
        <w:pStyle w:val="ECCBulletsLv1"/>
        <w:rPr>
          <w:rStyle w:val="ECCParagraph"/>
        </w:rPr>
      </w:pPr>
      <w:r w:rsidRPr="005866FB">
        <w:t>e</w:t>
      </w:r>
      <w:r w:rsidR="00B754C9" w:rsidRPr="005866FB">
        <w:t xml:space="preserve">xisting regulation outside CEPT: </w:t>
      </w:r>
      <w:r w:rsidRPr="005866FB">
        <w:t xml:space="preserve">FCC document </w:t>
      </w:r>
      <w:r w:rsidR="006543AA" w:rsidRPr="005866FB">
        <w:t>FCC 05-30</w:t>
      </w:r>
      <w:r w:rsidR="003B72CC">
        <w:t xml:space="preserve"> </w:t>
      </w:r>
      <w:r w:rsidR="003B72CC">
        <w:fldChar w:fldCharType="begin"/>
      </w:r>
      <w:r w:rsidR="003B72CC">
        <w:instrText xml:space="preserve"> REF _Ref865004 \r \h </w:instrText>
      </w:r>
      <w:r w:rsidR="003B72CC">
        <w:fldChar w:fldCharType="separate"/>
      </w:r>
      <w:r w:rsidR="00E9777B">
        <w:t>[23]</w:t>
      </w:r>
      <w:r w:rsidR="003B72CC">
        <w:fldChar w:fldCharType="end"/>
      </w:r>
      <w:r w:rsidR="00972363" w:rsidRPr="005866FB">
        <w:t>, paragraph 63</w:t>
      </w:r>
      <w:r w:rsidR="006543AA" w:rsidRPr="005866FB">
        <w:t xml:space="preserve"> </w:t>
      </w:r>
      <w:r w:rsidR="005E3166" w:rsidRPr="005866FB">
        <w:t xml:space="preserve">based on CDMA-2000 instead of OFDM </w:t>
      </w:r>
      <w:r w:rsidRPr="005866FB">
        <w:t xml:space="preserve">considered </w:t>
      </w:r>
      <w:r w:rsidR="009B4358" w:rsidRPr="005866FB">
        <w:t>−</w:t>
      </w:r>
      <w:r w:rsidRPr="005866FB">
        <w:t>52</w:t>
      </w:r>
      <w:r w:rsidR="009B4358" w:rsidRPr="005866FB">
        <w:t> </w:t>
      </w:r>
      <w:r w:rsidRPr="005866FB">
        <w:t>dBm</w:t>
      </w:r>
      <w:r w:rsidR="00972363" w:rsidRPr="005866FB">
        <w:t xml:space="preserve"> </w:t>
      </w:r>
      <w:r w:rsidRPr="005866FB">
        <w:t>for 1-2</w:t>
      </w:r>
      <w:r w:rsidR="00972363" w:rsidRPr="005866FB">
        <w:t xml:space="preserve"> </w:t>
      </w:r>
      <w:r w:rsidR="00B754C9" w:rsidRPr="005866FB">
        <w:t>MHz frequency separation</w:t>
      </w:r>
      <w:r w:rsidR="00972363" w:rsidRPr="005866FB">
        <w:t>;</w:t>
      </w:r>
      <w:r w:rsidR="00B754C9" w:rsidRPr="005866FB">
        <w:t xml:space="preserve"> </w:t>
      </w:r>
      <w:r w:rsidR="009B4358" w:rsidRPr="005866FB">
        <w:t>−</w:t>
      </w:r>
      <w:r w:rsidRPr="005866FB">
        <w:t>50</w:t>
      </w:r>
      <w:r w:rsidR="009B4358" w:rsidRPr="005866FB">
        <w:t> </w:t>
      </w:r>
      <w:r w:rsidRPr="005866FB">
        <w:t>dBm would provide better protection for a larger frequency separation for the case of CEPT</w:t>
      </w:r>
      <w:r w:rsidR="0091291F" w:rsidRPr="005866FB">
        <w:t>. It should be noted that Inmarsat</w:t>
      </w:r>
      <w:r w:rsidR="001C2B85">
        <w:t xml:space="preserve"> </w:t>
      </w:r>
      <w:r w:rsidR="0091291F" w:rsidRPr="005866FB">
        <w:t>C and Inmarsat aeronautical terminals are not included in this test</w:t>
      </w:r>
      <w:r w:rsidR="003E332B" w:rsidRPr="005866FB">
        <w:t>;</w:t>
      </w:r>
      <w:r w:rsidR="00B754C9" w:rsidRPr="005866FB">
        <w:rPr>
          <w:rStyle w:val="ECCParagraph"/>
        </w:rPr>
        <w:t xml:space="preserve"> </w:t>
      </w:r>
      <w:r w:rsidR="0017102E" w:rsidRPr="005866FB">
        <w:rPr>
          <w:rStyle w:val="ECCParagraph"/>
        </w:rPr>
        <w:t>or</w:t>
      </w:r>
    </w:p>
    <w:p w:rsidR="003E332B" w:rsidRPr="005E0DF9" w:rsidRDefault="00891A90" w:rsidP="00E42FCC">
      <w:pPr>
        <w:pStyle w:val="ECCBulletsLv1"/>
        <w:rPr>
          <w:rStyle w:val="ECCParagraph"/>
        </w:rPr>
      </w:pPr>
      <w:r w:rsidRPr="00F856AF">
        <w:t>blocking measurement</w:t>
      </w:r>
      <w:r w:rsidR="006543AA" w:rsidRPr="00F856AF">
        <w:t>s</w:t>
      </w:r>
      <w:r w:rsidRPr="00F856AF">
        <w:t xml:space="preserve"> performed by some manufacturers (see Section 2.1 for aeronautical receivers and Section 2.2 for maritime receivers</w:t>
      </w:r>
      <w:r w:rsidRPr="00F856AF">
        <w:rPr>
          <w:rStyle w:val="ECCParagraph"/>
        </w:rPr>
        <w:t>).</w:t>
      </w:r>
    </w:p>
    <w:p w:rsidR="001E4DB6" w:rsidRPr="00EC7A39" w:rsidRDefault="001E4DB6" w:rsidP="001E4DB6">
      <w:pPr>
        <w:rPr>
          <w:rStyle w:val="ECCParagraph"/>
        </w:rPr>
      </w:pPr>
      <w:r w:rsidRPr="00EC7A39">
        <w:rPr>
          <w:rStyle w:val="ECCParagraph"/>
        </w:rPr>
        <w:t xml:space="preserve">When selecting a MES blocking requirement, it is possible to derive the maximum </w:t>
      </w:r>
      <w:r w:rsidR="00BC5629">
        <w:rPr>
          <w:rStyle w:val="ECCParagraph"/>
        </w:rPr>
        <w:t>PFD</w:t>
      </w:r>
      <w:r w:rsidR="00BC5629" w:rsidRPr="00EC7A39">
        <w:rPr>
          <w:rStyle w:val="ECCParagraph"/>
        </w:rPr>
        <w:t xml:space="preserve"> </w:t>
      </w:r>
      <w:r w:rsidRPr="00EC7A39">
        <w:rPr>
          <w:rStyle w:val="ECCParagraph"/>
        </w:rPr>
        <w:t>limit using the following formula:</w:t>
      </w:r>
    </w:p>
    <w:p w:rsidR="001E4DB6" w:rsidRPr="00CF05D2" w:rsidRDefault="002D0E0F" w:rsidP="00E42FCC">
      <w:pPr>
        <w:pStyle w:val="ECCFiguregraphcentered"/>
        <w:rPr>
          <w:lang w:val="en-GB"/>
        </w:rPr>
      </w:pPr>
      <m:oMathPara>
        <m:oMath>
          <m:sSub>
            <m:sSubPr>
              <m:ctrlPr>
                <w:rPr>
                  <w:rFonts w:ascii="Cambria Math" w:hAnsi="Cambria Math"/>
                  <w:lang w:val="en-GB" w:eastAsia="zh-CN"/>
                </w:rPr>
              </m:ctrlPr>
            </m:sSubPr>
            <m:e>
              <m:r>
                <w:rPr>
                  <w:rFonts w:ascii="Cambria Math" w:hAnsi="Cambria Math"/>
                  <w:lang w:val="en-GB"/>
                </w:rPr>
                <m:t>pfd</m:t>
              </m:r>
            </m:e>
            <m:sub>
              <m:r>
                <w:rPr>
                  <w:rFonts w:ascii="Cambria Math" w:hAnsi="Cambria Math"/>
                  <w:lang w:val="en-GB"/>
                </w:rPr>
                <m:t>max</m:t>
              </m:r>
            </m:sub>
          </m:sSub>
          <m:r>
            <m:rPr>
              <m:sty m:val="p"/>
            </m:rPr>
            <w:rPr>
              <w:rFonts w:ascii="Cambria Math" w:hAnsi="Cambria Math"/>
              <w:lang w:val="en-GB"/>
            </w:rPr>
            <m:t>=</m:t>
          </m:r>
          <m:sSub>
            <m:sSubPr>
              <m:ctrlPr>
                <w:rPr>
                  <w:rFonts w:ascii="Cambria Math" w:hAnsi="Cambria Math"/>
                  <w:lang w:val="en-GB" w:eastAsia="zh-CN"/>
                </w:rPr>
              </m:ctrlPr>
            </m:sSubPr>
            <m:e>
              <m:r>
                <w:rPr>
                  <w:rFonts w:ascii="Cambria Math" w:hAnsi="Cambria Math"/>
                  <w:lang w:val="en-GB"/>
                </w:rPr>
                <m:t>I</m:t>
              </m:r>
            </m:e>
            <m:sub>
              <m:r>
                <w:rPr>
                  <w:rFonts w:ascii="Cambria Math" w:hAnsi="Cambria Math"/>
                  <w:lang w:val="en-GB"/>
                </w:rPr>
                <m:t>max</m:t>
              </m:r>
            </m:sub>
          </m:sSub>
          <m:r>
            <m:rPr>
              <m:sty m:val="p"/>
            </m:rPr>
            <w:rPr>
              <w:rFonts w:ascii="Cambria Math" w:hAnsi="Cambria Math"/>
              <w:lang w:val="en-GB"/>
            </w:rPr>
            <m:t>-</m:t>
          </m:r>
          <m:sSub>
            <m:sSubPr>
              <m:ctrlPr>
                <w:rPr>
                  <w:rFonts w:ascii="Cambria Math" w:hAnsi="Cambria Math"/>
                  <w:lang w:val="en-GB" w:eastAsia="zh-CN"/>
                </w:rPr>
              </m:ctrlPr>
            </m:sSubPr>
            <m:e>
              <m:r>
                <w:rPr>
                  <w:rFonts w:ascii="Cambria Math" w:hAnsi="Cambria Math"/>
                  <w:lang w:val="en-GB"/>
                </w:rPr>
                <m:t>Ae</m:t>
              </m:r>
            </m:e>
            <m:sub>
              <m:r>
                <w:rPr>
                  <w:rFonts w:ascii="Cambria Math" w:hAnsi="Cambria Math"/>
                  <w:lang w:val="en-GB"/>
                </w:rPr>
                <m:t>iso</m:t>
              </m:r>
            </m:sub>
          </m:sSub>
          <m:r>
            <m:rPr>
              <m:sty m:val="p"/>
            </m:rPr>
            <w:rPr>
              <w:rFonts w:ascii="Cambria Math" w:hAnsi="Cambria Math"/>
              <w:lang w:val="en-GB"/>
            </w:rPr>
            <m:t>-</m:t>
          </m:r>
          <m:sSub>
            <m:sSubPr>
              <m:ctrlPr>
                <w:rPr>
                  <w:rFonts w:ascii="Cambria Math" w:hAnsi="Cambria Math"/>
                  <w:lang w:val="en-GB" w:eastAsia="zh-CN"/>
                </w:rPr>
              </m:ctrlPr>
            </m:sSubPr>
            <m:e>
              <m:r>
                <w:rPr>
                  <w:rFonts w:ascii="Cambria Math" w:hAnsi="Cambria Math"/>
                  <w:lang w:val="en-GB"/>
                </w:rPr>
                <m:t>G</m:t>
              </m:r>
            </m:e>
            <m:sub>
              <m:r>
                <w:rPr>
                  <w:rFonts w:ascii="Cambria Math" w:hAnsi="Cambria Math"/>
                  <w:lang w:val="en-GB"/>
                </w:rPr>
                <m:t>MES</m:t>
              </m:r>
            </m:sub>
          </m:sSub>
        </m:oMath>
      </m:oMathPara>
    </w:p>
    <w:p w:rsidR="001E4DB6" w:rsidRPr="001E4DB6" w:rsidRDefault="001E4DB6" w:rsidP="001E4DB6">
      <w:r w:rsidRPr="001E4DB6">
        <w:t>Where:</w:t>
      </w:r>
    </w:p>
    <w:p w:rsidR="001E4DB6" w:rsidRPr="009C6072" w:rsidRDefault="002D0E0F" w:rsidP="00EC7A39">
      <w:pPr>
        <w:pStyle w:val="ECCBulletsLv1"/>
      </w:pPr>
      <m:oMath>
        <m:sSub>
          <m:sSubPr>
            <m:ctrlPr>
              <w:rPr>
                <w:rFonts w:ascii="Cambria Math" w:hAnsi="Cambria Math"/>
                <w:lang w:eastAsia="zh-CN"/>
              </w:rPr>
            </m:ctrlPr>
          </m:sSubPr>
          <m:e>
            <m:r>
              <w:rPr>
                <w:rFonts w:ascii="Cambria Math" w:hAnsi="Cambria Math"/>
              </w:rPr>
              <m:t>pfd</m:t>
            </m:r>
          </m:e>
          <m:sub>
            <m:r>
              <w:rPr>
                <w:rFonts w:ascii="Cambria Math" w:hAnsi="Cambria Math"/>
              </w:rPr>
              <m:t>max</m:t>
            </m:r>
          </m:sub>
        </m:sSub>
        <m:r>
          <m:rPr>
            <m:sty m:val="p"/>
          </m:rPr>
          <w:rPr>
            <w:rFonts w:ascii="Cambria Math" w:hAnsi="Cambria Math"/>
          </w:rPr>
          <m:t xml:space="preserve">= </m:t>
        </m:r>
        <m:r>
          <w:rPr>
            <w:rFonts w:ascii="Cambria Math" w:hAnsi="Cambria Math"/>
          </w:rPr>
          <m:t>Maximum</m:t>
        </m:r>
        <m:r>
          <m:rPr>
            <m:sty m:val="p"/>
          </m:rPr>
          <w:rPr>
            <w:rFonts w:ascii="Cambria Math" w:hAnsi="Cambria Math"/>
          </w:rPr>
          <m:t xml:space="preserve"> </m:t>
        </m:r>
        <m:r>
          <w:rPr>
            <w:rFonts w:ascii="Cambria Math" w:hAnsi="Cambria Math"/>
          </w:rPr>
          <m:t>Power</m:t>
        </m:r>
        <m:r>
          <m:rPr>
            <m:sty m:val="p"/>
          </m:rPr>
          <w:rPr>
            <w:rFonts w:ascii="Cambria Math" w:hAnsi="Cambria Math"/>
          </w:rPr>
          <m:t xml:space="preserve"> </m:t>
        </m:r>
        <m:r>
          <w:rPr>
            <w:rFonts w:ascii="Cambria Math" w:hAnsi="Cambria Math"/>
          </w:rPr>
          <m:t>Flux</m:t>
        </m:r>
        <m:r>
          <m:rPr>
            <m:sty m:val="p"/>
          </m:rPr>
          <w:rPr>
            <w:rFonts w:ascii="Cambria Math" w:hAnsi="Cambria Math"/>
          </w:rPr>
          <m:t xml:space="preserve"> </m:t>
        </m:r>
        <m:r>
          <w:rPr>
            <w:rFonts w:ascii="Cambria Math" w:hAnsi="Cambria Math"/>
          </w:rPr>
          <m:t>Density</m:t>
        </m:r>
        <m:r>
          <m:rPr>
            <m:sty m:val="p"/>
          </m:rPr>
          <w:rPr>
            <w:rFonts w:ascii="Cambria Math" w:hAnsi="Cambria Math"/>
          </w:rPr>
          <m:t xml:space="preserve"> </m:t>
        </m:r>
      </m:oMath>
      <w:r w:rsidR="00DD22AB">
        <w:t>;</w:t>
      </w:r>
    </w:p>
    <w:p w:rsidR="001E4DB6" w:rsidRPr="009C6072" w:rsidRDefault="002D0E0F" w:rsidP="00EC7A39">
      <w:pPr>
        <w:pStyle w:val="ECCBulletsLv1"/>
      </w:pPr>
      <m:oMath>
        <m:sSub>
          <m:sSubPr>
            <m:ctrlPr>
              <w:rPr>
                <w:rFonts w:ascii="Cambria Math" w:hAnsi="Cambria Math"/>
                <w:lang w:eastAsia="zh-CN"/>
              </w:rPr>
            </m:ctrlPr>
          </m:sSubPr>
          <m:e>
            <m:r>
              <w:rPr>
                <w:rFonts w:ascii="Cambria Math" w:hAnsi="Cambria Math"/>
              </w:rPr>
              <m:t>I</m:t>
            </m:r>
          </m:e>
          <m:sub>
            <m:r>
              <w:rPr>
                <w:rFonts w:ascii="Cambria Math" w:hAnsi="Cambria Math"/>
              </w:rPr>
              <m:t>max</m:t>
            </m:r>
          </m:sub>
        </m:sSub>
        <m:r>
          <m:rPr>
            <m:sty m:val="p"/>
          </m:rPr>
          <w:rPr>
            <w:rFonts w:ascii="Cambria Math" w:hAnsi="Cambria Math"/>
          </w:rPr>
          <m:t>=</m:t>
        </m:r>
        <m:r>
          <w:rPr>
            <w:rFonts w:ascii="Cambria Math" w:hAnsi="Cambria Math"/>
          </w:rPr>
          <m:t>Maximum</m:t>
        </m:r>
        <m:r>
          <m:rPr>
            <m:sty m:val="p"/>
          </m:rPr>
          <w:rPr>
            <w:rFonts w:ascii="Cambria Math" w:hAnsi="Cambria Math"/>
          </w:rPr>
          <m:t xml:space="preserve"> </m:t>
        </m:r>
        <m:r>
          <w:rPr>
            <w:rFonts w:ascii="Cambria Math" w:hAnsi="Cambria Math"/>
          </w:rPr>
          <m:t>Interferer</m:t>
        </m:r>
        <m:r>
          <m:rPr>
            <m:sty m:val="p"/>
          </m:rPr>
          <w:rPr>
            <w:rFonts w:ascii="Cambria Math" w:hAnsi="Cambria Math"/>
          </w:rPr>
          <m:t xml:space="preserve"> </m:t>
        </m:r>
        <m:r>
          <w:rPr>
            <w:rFonts w:ascii="Cambria Math" w:hAnsi="Cambria Math"/>
          </w:rPr>
          <m:t>level</m:t>
        </m:r>
        <m:r>
          <m:rPr>
            <m:sty m:val="p"/>
          </m:rPr>
          <w:rPr>
            <w:rFonts w:ascii="Cambria Math" w:hAnsi="Cambria Math"/>
          </w:rPr>
          <m:t xml:space="preserve"> </m:t>
        </m:r>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e</m:t>
            </m:r>
            <m:r>
              <m:rPr>
                <m:sty m:val="p"/>
              </m:rPr>
              <w:rPr>
                <w:rFonts w:ascii="Cambria Math" w:hAnsi="Cambria Math"/>
              </w:rPr>
              <m:t xml:space="preserve">. </m:t>
            </m:r>
            <m:r>
              <w:rPr>
                <w:rFonts w:ascii="Cambria Math" w:hAnsi="Cambria Math"/>
              </w:rPr>
              <m:t>blocking</m:t>
            </m:r>
            <m:r>
              <m:rPr>
                <m:sty m:val="p"/>
              </m:rPr>
              <w:rPr>
                <w:rFonts w:ascii="Cambria Math" w:hAnsi="Cambria Math"/>
              </w:rPr>
              <m:t xml:space="preserve"> </m:t>
            </m:r>
            <m:r>
              <w:rPr>
                <w:rFonts w:ascii="Cambria Math" w:hAnsi="Cambria Math"/>
              </w:rPr>
              <m:t>requirement</m:t>
            </m:r>
          </m:e>
        </m:d>
        <m:r>
          <m:rPr>
            <m:sty m:val="p"/>
          </m:rPr>
          <w:rPr>
            <w:rFonts w:ascii="Cambria Math" w:hAnsi="Cambria Math"/>
          </w:rPr>
          <m:t>;</m:t>
        </m:r>
      </m:oMath>
    </w:p>
    <w:p w:rsidR="001E4DB6" w:rsidRPr="009C6072" w:rsidRDefault="002D0E0F" w:rsidP="00EC7A39">
      <w:pPr>
        <w:pStyle w:val="ECCBulletsLv1"/>
      </w:pPr>
      <m:oMath>
        <m:sSub>
          <m:sSubPr>
            <m:ctrlPr>
              <w:rPr>
                <w:rFonts w:ascii="Cambria Math" w:hAnsi="Cambria Math"/>
                <w:lang w:eastAsia="zh-CN"/>
              </w:rPr>
            </m:ctrlPr>
          </m:sSubPr>
          <m:e>
            <m:r>
              <w:rPr>
                <w:rFonts w:ascii="Cambria Math" w:hAnsi="Cambria Math"/>
              </w:rPr>
              <m:t>Ae</m:t>
            </m:r>
          </m:e>
          <m:sub>
            <m:r>
              <w:rPr>
                <w:rFonts w:ascii="Cambria Math" w:hAnsi="Cambria Math"/>
              </w:rPr>
              <m:t>iso</m:t>
            </m:r>
          </m:sub>
        </m:sSub>
        <m:r>
          <m:rPr>
            <m:sty m:val="p"/>
          </m:rPr>
          <w:rPr>
            <w:rFonts w:ascii="Cambria Math" w:hAnsi="Cambria Math"/>
          </w:rPr>
          <m:t>=</m:t>
        </m:r>
        <m:r>
          <w:rPr>
            <w:rFonts w:ascii="Cambria Math" w:hAnsi="Cambria Math"/>
          </w:rPr>
          <m:t>Effective</m:t>
        </m:r>
        <m:r>
          <m:rPr>
            <m:sty m:val="p"/>
          </m:rPr>
          <w:rPr>
            <w:rFonts w:ascii="Cambria Math" w:hAnsi="Cambria Math"/>
          </w:rPr>
          <m:t xml:space="preserve"> </m:t>
        </m:r>
        <m:r>
          <w:rPr>
            <w:rFonts w:ascii="Cambria Math" w:hAnsi="Cambria Math"/>
          </w:rPr>
          <m:t>Apperture</m:t>
        </m:r>
        <m:r>
          <m:rPr>
            <m:sty m:val="p"/>
          </m:rPr>
          <w:rPr>
            <w:rFonts w:ascii="Cambria Math" w:hAnsi="Cambria Math"/>
          </w:rPr>
          <m:t xml:space="preserve"> </m:t>
        </m:r>
        <m:r>
          <w:rPr>
            <w:rFonts w:ascii="Cambria Math" w:hAnsi="Cambria Math"/>
          </w:rPr>
          <m:t>area</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an</m:t>
        </m:r>
        <m:r>
          <m:rPr>
            <m:sty m:val="p"/>
          </m:rPr>
          <w:rPr>
            <w:rFonts w:ascii="Cambria Math" w:hAnsi="Cambria Math"/>
          </w:rPr>
          <m:t xml:space="preserve"> </m:t>
        </m:r>
        <m:r>
          <w:rPr>
            <w:rFonts w:ascii="Cambria Math" w:hAnsi="Cambria Math"/>
          </w:rPr>
          <m:t>Isotropic</m:t>
        </m:r>
        <m:r>
          <m:rPr>
            <m:sty m:val="p"/>
          </m:rPr>
          <w:rPr>
            <w:rFonts w:ascii="Cambria Math" w:hAnsi="Cambria Math"/>
          </w:rPr>
          <m:t xml:space="preserve"> </m:t>
        </m:r>
        <m:r>
          <w:rPr>
            <w:rFonts w:ascii="Cambria Math" w:hAnsi="Cambria Math"/>
          </w:rPr>
          <m:t>Antenna</m:t>
        </m:r>
        <m:r>
          <m:rPr>
            <m:sty m:val="p"/>
          </m:rPr>
          <w:rPr>
            <w:rFonts w:ascii="Cambria Math" w:hAnsi="Cambria Math"/>
          </w:rPr>
          <m:t xml:space="preserve"> </m:t>
        </m:r>
        <m:d>
          <m:dPr>
            <m:ctrlPr>
              <w:rPr>
                <w:rFonts w:ascii="Cambria Math" w:hAnsi="Cambria Math"/>
              </w:rPr>
            </m:ctrlPr>
          </m:dPr>
          <m:e>
            <m:r>
              <m:rPr>
                <m:sty m:val="p"/>
              </m:rPr>
              <w:rPr>
                <w:rFonts w:ascii="Cambria Math" w:hAnsi="Cambria Math"/>
              </w:rPr>
              <m:t>=</m:t>
            </m:r>
            <m:f>
              <m:fPr>
                <m:ctrlPr>
                  <w:rPr>
                    <w:rFonts w:ascii="Cambria Math" w:hAnsi="Cambria Math"/>
                    <w:lang w:eastAsia="zh-CN"/>
                  </w:rPr>
                </m:ctrlPr>
              </m:fPr>
              <m:num>
                <m:sSup>
                  <m:sSupPr>
                    <m:ctrlPr>
                      <w:rPr>
                        <w:rFonts w:ascii="Cambria Math" w:hAnsi="Cambria Math"/>
                        <w:lang w:eastAsia="zh-CN"/>
                      </w:rPr>
                    </m:ctrlPr>
                  </m:sSupPr>
                  <m:e>
                    <m:r>
                      <w:rPr>
                        <w:rFonts w:ascii="Cambria Math" w:hAnsi="Cambria Math"/>
                      </w:rPr>
                      <m:t>λ</m:t>
                    </m:r>
                  </m:e>
                  <m:sup>
                    <m:r>
                      <m:rPr>
                        <m:sty m:val="p"/>
                      </m:rPr>
                      <w:rPr>
                        <w:rFonts w:ascii="Cambria Math" w:hAnsi="Cambria Math"/>
                      </w:rPr>
                      <m:t>2</m:t>
                    </m:r>
                  </m:sup>
                </m:sSup>
              </m:num>
              <m:den>
                <m:r>
                  <m:rPr>
                    <m:sty m:val="p"/>
                  </m:rPr>
                  <w:rPr>
                    <w:rFonts w:ascii="Cambria Math" w:hAnsi="Cambria Math"/>
                  </w:rPr>
                  <m:t>4</m:t>
                </m:r>
                <m:r>
                  <w:rPr>
                    <w:rFonts w:ascii="Cambria Math" w:hAnsi="Cambria Math"/>
                  </w:rPr>
                  <m:t>π</m:t>
                </m:r>
              </m:den>
            </m:f>
          </m:e>
        </m:d>
        <m:r>
          <m:rPr>
            <m:sty m:val="p"/>
          </m:rPr>
          <w:rPr>
            <w:rFonts w:ascii="Cambria Math" w:hAnsi="Cambria Math"/>
          </w:rPr>
          <m:t>;</m:t>
        </m:r>
      </m:oMath>
    </w:p>
    <w:p w:rsidR="001E4DB6" w:rsidRPr="009C6072" w:rsidRDefault="002D0E0F" w:rsidP="00EC7A39">
      <w:pPr>
        <w:pStyle w:val="ECCBulletsLv1"/>
        <w:rPr>
          <w:rStyle w:val="ECCHLgreen"/>
          <w:shd w:val="clear" w:color="auto" w:fill="auto"/>
        </w:rPr>
      </w:pPr>
      <m:oMath>
        <m:sSub>
          <m:sSubPr>
            <m:ctrlPr>
              <w:rPr>
                <w:rFonts w:ascii="Cambria Math" w:hAnsi="Cambria Math"/>
                <w:lang w:eastAsia="zh-CN"/>
              </w:rPr>
            </m:ctrlPr>
          </m:sSubPr>
          <m:e>
            <m:r>
              <w:rPr>
                <w:rFonts w:ascii="Cambria Math" w:hAnsi="Cambria Math"/>
              </w:rPr>
              <m:t>G</m:t>
            </m:r>
          </m:e>
          <m:sub>
            <m:r>
              <w:rPr>
                <w:rFonts w:ascii="Cambria Math" w:hAnsi="Cambria Math"/>
              </w:rPr>
              <m:t>MES</m:t>
            </m:r>
          </m:sub>
        </m:sSub>
        <m:r>
          <m:rPr>
            <m:sty m:val="p"/>
          </m:rPr>
          <w:rPr>
            <w:rFonts w:ascii="Cambria Math" w:hAnsi="Cambria Math"/>
          </w:rPr>
          <m:t>=</m:t>
        </m:r>
        <m:r>
          <w:rPr>
            <w:rFonts w:ascii="Cambria Math" w:hAnsi="Cambria Math"/>
          </w:rPr>
          <m:t>Gain</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MES</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the</m:t>
        </m:r>
        <m:r>
          <m:rPr>
            <m:sty m:val="p"/>
          </m:rPr>
          <w:rPr>
            <w:rFonts w:ascii="Cambria Math" w:hAnsi="Cambria Math"/>
          </w:rPr>
          <m:t xml:space="preserve"> </m:t>
        </m:r>
        <m:r>
          <w:rPr>
            <w:rFonts w:ascii="Cambria Math" w:hAnsi="Cambria Math"/>
          </w:rPr>
          <m:t>direction</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the</m:t>
        </m:r>
        <m:r>
          <m:rPr>
            <m:sty m:val="p"/>
          </m:rPr>
          <w:rPr>
            <w:rFonts w:ascii="Cambria Math" w:hAnsi="Cambria Math"/>
          </w:rPr>
          <m:t xml:space="preserve"> </m:t>
        </m:r>
        <m:r>
          <w:rPr>
            <w:rFonts w:ascii="Cambria Math" w:hAnsi="Cambria Math"/>
          </w:rPr>
          <m:t>BS.</m:t>
        </m:r>
      </m:oMath>
    </w:p>
    <w:p w:rsidR="00713E14" w:rsidRPr="00EC7A39" w:rsidRDefault="00713E14" w:rsidP="00CF05D2">
      <w:pPr>
        <w:rPr>
          <w:rStyle w:val="ECCParagraph"/>
        </w:rPr>
      </w:pPr>
      <w:r w:rsidRPr="00EC7A39">
        <w:rPr>
          <w:rStyle w:val="ECCParagraph"/>
        </w:rPr>
        <w:t xml:space="preserve">Examples of PFD values based on this calculation method are </w:t>
      </w:r>
      <w:r w:rsidR="00376957" w:rsidRPr="00EC7A39">
        <w:rPr>
          <w:rStyle w:val="ECCParagraph"/>
        </w:rPr>
        <w:t>included</w:t>
      </w:r>
      <w:r w:rsidRPr="00EC7A39">
        <w:rPr>
          <w:rStyle w:val="ECCParagraph"/>
        </w:rPr>
        <w:t xml:space="preserve"> in </w:t>
      </w:r>
      <w:r w:rsidRPr="00CA26C2">
        <w:rPr>
          <w:rStyle w:val="ECCParagraph"/>
        </w:rPr>
        <w:fldChar w:fldCharType="begin"/>
      </w:r>
      <w:r w:rsidRPr="00E80433">
        <w:instrText xml:space="preserve"> REF _Ref525217909 \r \h </w:instrText>
      </w:r>
      <w:r w:rsidR="009B4358" w:rsidRPr="00E80433">
        <w:instrText xml:space="preserve"> \* MERGEFORMAT </w:instrText>
      </w:r>
      <w:r w:rsidRPr="00CA26C2">
        <w:rPr>
          <w:rStyle w:val="ECCParagraph"/>
        </w:rPr>
      </w:r>
      <w:r w:rsidRPr="00CA26C2">
        <w:rPr>
          <w:rStyle w:val="ECCParagraph"/>
        </w:rPr>
        <w:fldChar w:fldCharType="separate"/>
      </w:r>
      <w:r w:rsidR="00E9777B" w:rsidRPr="00CA18B5">
        <w:rPr>
          <w:rStyle w:val="ECCParagraph"/>
        </w:rPr>
        <w:t>ANNEX 2</w:t>
      </w:r>
      <w:r w:rsidRPr="00CA26C2">
        <w:rPr>
          <w:rStyle w:val="ECCParagraph"/>
        </w:rPr>
        <w:fldChar w:fldCharType="end"/>
      </w:r>
    </w:p>
    <w:p w:rsidR="007D0385" w:rsidRPr="00CA26C2" w:rsidRDefault="007D0385" w:rsidP="00CF05D2">
      <w:pPr>
        <w:rPr>
          <w:rStyle w:val="ECCParagraph"/>
        </w:rPr>
      </w:pPr>
      <w:r w:rsidRPr="005E0DF9">
        <w:rPr>
          <w:rStyle w:val="ECCParagraph"/>
        </w:rPr>
        <w:t xml:space="preserve">The areas in which maritime earth stations and aeronautical earth stations are protected through the application of these PFD limits, as well as the methods applied to </w:t>
      </w:r>
      <w:r w:rsidR="004F1687" w:rsidRPr="005E0DF9">
        <w:rPr>
          <w:rStyle w:val="ECCParagraph"/>
        </w:rPr>
        <w:t xml:space="preserve">achieve </w:t>
      </w:r>
      <w:r w:rsidRPr="005E0DF9">
        <w:rPr>
          <w:rStyle w:val="ECCParagraph"/>
        </w:rPr>
        <w:t>the</w:t>
      </w:r>
      <w:r w:rsidR="004F1687" w:rsidRPr="005E0DF9">
        <w:rPr>
          <w:rStyle w:val="ECCParagraph"/>
        </w:rPr>
        <w:t>se limits</w:t>
      </w:r>
      <w:r w:rsidRPr="005E0DF9">
        <w:rPr>
          <w:rStyle w:val="ECCParagraph"/>
        </w:rPr>
        <w:t>, will be defined by administrations</w:t>
      </w:r>
      <w:r w:rsidRPr="00CA26C2">
        <w:rPr>
          <w:rStyle w:val="ECCParagraph"/>
        </w:rPr>
        <w:t>.</w:t>
      </w:r>
    </w:p>
    <w:p w:rsidR="009D2CCC" w:rsidRPr="00CF05D2" w:rsidRDefault="009D2CCC" w:rsidP="00764BA2">
      <w:pPr>
        <w:pStyle w:val="Heading2"/>
      </w:pPr>
      <w:bookmarkStart w:id="318" w:name="_Toc525544429"/>
      <w:bookmarkStart w:id="319" w:name="_Toc528659187"/>
      <w:bookmarkStart w:id="320" w:name="_Toc3285896"/>
      <w:r w:rsidRPr="00CF05D2">
        <w:t>Coordination thresholds</w:t>
      </w:r>
      <w:bookmarkEnd w:id="318"/>
      <w:bookmarkEnd w:id="319"/>
      <w:bookmarkEnd w:id="320"/>
    </w:p>
    <w:p w:rsidR="00693DE4" w:rsidRPr="00DD22C6" w:rsidRDefault="00693DE4" w:rsidP="00693DE4">
      <w:r w:rsidRPr="00DD22C6">
        <w:t xml:space="preserve">In order to ensure an efficient usage of the spectrum, and similarly to </w:t>
      </w:r>
      <w:r w:rsidR="006E3677">
        <w:t>application of</w:t>
      </w:r>
      <w:r w:rsidRPr="00DD22C6">
        <w:t xml:space="preserve"> a cross-border coordination procedure, the PFD limits </w:t>
      </w:r>
      <w:r w:rsidR="00121B75" w:rsidRPr="006B7EC4">
        <w:t xml:space="preserve">described in </w:t>
      </w:r>
      <w:r w:rsidR="009A6A72">
        <w:t xml:space="preserve">section </w:t>
      </w:r>
      <w:r w:rsidR="00FA761A">
        <w:fldChar w:fldCharType="begin"/>
      </w:r>
      <w:r w:rsidR="00FA761A">
        <w:instrText xml:space="preserve"> REF _Ref1123589 \r \h </w:instrText>
      </w:r>
      <w:r w:rsidR="00FA761A">
        <w:fldChar w:fldCharType="separate"/>
      </w:r>
      <w:r w:rsidR="00E9777B">
        <w:t>5.1</w:t>
      </w:r>
      <w:r w:rsidR="00FA761A">
        <w:fldChar w:fldCharType="end"/>
      </w:r>
      <w:r w:rsidR="00FA761A">
        <w:t xml:space="preserve"> </w:t>
      </w:r>
      <w:r w:rsidRPr="00DD22C6">
        <w:t xml:space="preserve">could be treated as PFD coordination thresholds for base stations at the boundary where MSS terminals may operate and may need protection. </w:t>
      </w:r>
      <w:r w:rsidRPr="00DD22C6">
        <w:lastRenderedPageBreak/>
        <w:t>Hence indoor installations at the harbour/airport could then be allowed as long as the PFD value outside the building is lower than the coordination threshold.</w:t>
      </w:r>
    </w:p>
    <w:p w:rsidR="00964659" w:rsidRDefault="009D2CCC" w:rsidP="009D2CCC">
      <w:pPr>
        <w:rPr>
          <w:rStyle w:val="ECCParagraph"/>
        </w:rPr>
      </w:pPr>
      <w:r w:rsidRPr="00EC7A39">
        <w:rPr>
          <w:rStyle w:val="ECCParagraph"/>
        </w:rPr>
        <w:t>The reference height for PFD threshold at the "fence" should be calculated having in mind the height of a vessel/plane</w:t>
      </w:r>
      <w:r w:rsidR="00964659">
        <w:rPr>
          <w:rStyle w:val="ECCParagraph"/>
        </w:rPr>
        <w:t xml:space="preserve"> </w:t>
      </w:r>
      <w:r w:rsidR="00FF4FFD" w:rsidRPr="00212A05">
        <w:rPr>
          <w:rStyle w:val="ECCParagraph"/>
        </w:rPr>
        <w:t>above ground level</w:t>
      </w:r>
      <w:r w:rsidRPr="00964659">
        <w:rPr>
          <w:rStyle w:val="ECCParagraph"/>
        </w:rPr>
        <w:t>.</w:t>
      </w:r>
      <w:r w:rsidR="00713B06">
        <w:rPr>
          <w:rStyle w:val="ECCHLyellow"/>
        </w:rPr>
        <w:t xml:space="preserve"> </w:t>
      </w:r>
      <w:r w:rsidR="00964659" w:rsidRPr="00EC7A39" w:rsidDel="00964659">
        <w:rPr>
          <w:rStyle w:val="ECCParagraph"/>
        </w:rPr>
        <w:t xml:space="preserve"> </w:t>
      </w:r>
    </w:p>
    <w:p w:rsidR="009D2CCC" w:rsidRDefault="009D2CCC" w:rsidP="009D2CCC">
      <w:pPr>
        <w:rPr>
          <w:rStyle w:val="ECCParagraph"/>
        </w:rPr>
      </w:pPr>
      <w:r w:rsidRPr="00EC7A39">
        <w:rPr>
          <w:rStyle w:val="ECCParagraph"/>
        </w:rPr>
        <w:t>As long as PFD at the "fence" is kept under the co-ordination threshold, usage of the 1492-1517 MHz should not have any other restrictions.</w:t>
      </w:r>
    </w:p>
    <w:p w:rsidR="00846C19" w:rsidRPr="00CF05D2" w:rsidRDefault="00DA41FD" w:rsidP="00EE4A56">
      <w:pPr>
        <w:pStyle w:val="Heading2"/>
        <w:rPr>
          <w:rStyle w:val="ECCHLbold"/>
          <w:b/>
          <w:lang w:val="en-GB"/>
        </w:rPr>
      </w:pPr>
      <w:bookmarkStart w:id="321" w:name="_Toc525544431"/>
      <w:bookmarkStart w:id="322" w:name="_Toc525544432"/>
      <w:bookmarkStart w:id="323" w:name="_Toc528659188"/>
      <w:bookmarkStart w:id="324" w:name="_Toc3285897"/>
      <w:bookmarkEnd w:id="321"/>
      <w:r w:rsidRPr="00CF05D2">
        <w:rPr>
          <w:rStyle w:val="ECCHLbold"/>
          <w:b/>
          <w:lang w:val="en-GB"/>
        </w:rPr>
        <w:t>Guidance to administrations regarding the locations (airports/seaports) necessary to be protected, possibly in conjunction with national authorities for aviation and maritime</w:t>
      </w:r>
      <w:bookmarkEnd w:id="322"/>
      <w:bookmarkEnd w:id="323"/>
      <w:bookmarkEnd w:id="324"/>
    </w:p>
    <w:p w:rsidR="00163D12" w:rsidRPr="00EC7A39" w:rsidRDefault="00163D12" w:rsidP="00163D12">
      <w:pPr>
        <w:rPr>
          <w:rStyle w:val="ECCParagraph"/>
        </w:rPr>
      </w:pPr>
      <w:r w:rsidRPr="00EC7A39">
        <w:rPr>
          <w:rStyle w:val="ECCParagraph"/>
        </w:rPr>
        <w:t xml:space="preserve">From the maritime Satcom perspective, </w:t>
      </w:r>
      <w:r w:rsidR="00AF6FF7" w:rsidRPr="00DD22C6">
        <w:t xml:space="preserve">proportionate protection measures </w:t>
      </w:r>
      <w:r w:rsidR="00AF6FF7">
        <w:t xml:space="preserve">are </w:t>
      </w:r>
      <w:r w:rsidR="00AF6FF7" w:rsidRPr="00DD22C6">
        <w:t xml:space="preserve">to be provided in </w:t>
      </w:r>
      <w:r w:rsidR="007532D5">
        <w:t xml:space="preserve">some </w:t>
      </w:r>
      <w:r w:rsidR="00AF6FF7" w:rsidRPr="00DD22C6">
        <w:t>ports</w:t>
      </w:r>
      <w:r w:rsidR="00FA4CFA">
        <w:t xml:space="preserve"> and </w:t>
      </w:r>
      <w:r w:rsidR="000B104C">
        <w:t>other</w:t>
      </w:r>
      <w:r w:rsidR="00A96C56">
        <w:t xml:space="preserve"> </w:t>
      </w:r>
      <w:r w:rsidR="00FA4CFA">
        <w:t>areas</w:t>
      </w:r>
      <w:r w:rsidR="000B104C">
        <w:t xml:space="preserve"> where protection might be provided</w:t>
      </w:r>
      <w:r w:rsidR="00AF6FF7" w:rsidRPr="00DD22C6">
        <w:t>, which national administrations may need to identify in consultation with their maritime authorities. N</w:t>
      </w:r>
      <w:r w:rsidRPr="00EC7A39">
        <w:rPr>
          <w:rStyle w:val="ECCParagraph"/>
        </w:rPr>
        <w:t xml:space="preserve">ational maritime authorities </w:t>
      </w:r>
      <w:r w:rsidR="000A1D5C" w:rsidRPr="00EC7A39">
        <w:rPr>
          <w:rStyle w:val="ECCParagraph"/>
        </w:rPr>
        <w:t xml:space="preserve">in which jurisdiction </w:t>
      </w:r>
      <w:r w:rsidR="00857055" w:rsidRPr="00EC7A39">
        <w:rPr>
          <w:rStyle w:val="ECCParagraph"/>
        </w:rPr>
        <w:t>MFCN SDL</w:t>
      </w:r>
      <w:r w:rsidR="000A1D5C" w:rsidRPr="00EC7A39">
        <w:rPr>
          <w:rStyle w:val="ECCParagraph"/>
        </w:rPr>
        <w:t xml:space="preserve"> is or will be implemented are </w:t>
      </w:r>
      <w:r w:rsidRPr="00EC7A39">
        <w:rPr>
          <w:rStyle w:val="ECCParagraph"/>
        </w:rPr>
        <w:t xml:space="preserve">encouraged to inform the concerned parties (i.e. </w:t>
      </w:r>
      <w:r w:rsidR="000A1D5C" w:rsidRPr="00EC7A39">
        <w:rPr>
          <w:rStyle w:val="ECCParagraph"/>
        </w:rPr>
        <w:t xml:space="preserve">IMO, </w:t>
      </w:r>
      <w:r w:rsidRPr="00EC7A39">
        <w:rPr>
          <w:rStyle w:val="ECCParagraph"/>
        </w:rPr>
        <w:t xml:space="preserve">the crew of ships, the Port State Control officers) </w:t>
      </w:r>
      <w:r w:rsidR="00BB7228">
        <w:rPr>
          <w:rStyle w:val="ECCParagraph"/>
        </w:rPr>
        <w:t xml:space="preserve">of any </w:t>
      </w:r>
      <w:r w:rsidRPr="00EC7A39">
        <w:rPr>
          <w:rStyle w:val="ECCParagraph"/>
        </w:rPr>
        <w:t xml:space="preserve">risk of interference of MES terminals due potential blocking at the sea ports </w:t>
      </w:r>
      <w:r w:rsidR="00B862CD" w:rsidRPr="00EC7A39">
        <w:rPr>
          <w:rStyle w:val="ECCParagraph"/>
        </w:rPr>
        <w:t xml:space="preserve">and other areas </w:t>
      </w:r>
      <w:r w:rsidRPr="00EC7A39">
        <w:rPr>
          <w:rStyle w:val="ECCParagraph"/>
        </w:rPr>
        <w:t xml:space="preserve">in order to </w:t>
      </w:r>
      <w:r w:rsidR="00B862CD" w:rsidRPr="00EC7A39">
        <w:rPr>
          <w:rStyle w:val="ECCParagraph"/>
        </w:rPr>
        <w:t xml:space="preserve">provide appropriate advice </w:t>
      </w:r>
      <w:r w:rsidRPr="00EC7A39">
        <w:rPr>
          <w:rStyle w:val="ECCParagraph"/>
        </w:rPr>
        <w:t>which course of actions is appropriate</w:t>
      </w:r>
      <w:r w:rsidR="00A96C56">
        <w:rPr>
          <w:rStyle w:val="ECCParagraph"/>
        </w:rPr>
        <w:t xml:space="preserve"> </w:t>
      </w:r>
      <w:r w:rsidRPr="00A96C56">
        <w:rPr>
          <w:rStyle w:val="ECCParagraph"/>
        </w:rPr>
        <w:t>(e.g. for maritime favouring during inspection recent hard copy in case there is a suspicion of interference).</w:t>
      </w:r>
    </w:p>
    <w:p w:rsidR="00DA41FD" w:rsidRPr="00DA41FD" w:rsidRDefault="00163D12" w:rsidP="00DA41FD">
      <w:r>
        <w:t xml:space="preserve">From the aeronautical perspective, </w:t>
      </w:r>
      <w:r w:rsidR="007532D5" w:rsidRPr="00DD22C6">
        <w:t xml:space="preserve">proportionate </w:t>
      </w:r>
      <w:r w:rsidRPr="00715D9C">
        <w:t xml:space="preserve">protection </w:t>
      </w:r>
      <w:r w:rsidR="007532D5" w:rsidRPr="00DD22C6">
        <w:t xml:space="preserve">measures </w:t>
      </w:r>
      <w:r w:rsidR="007532D5">
        <w:t>are</w:t>
      </w:r>
      <w:r w:rsidRPr="00715D9C">
        <w:t xml:space="preserve"> </w:t>
      </w:r>
      <w:r>
        <w:t>to be provided in a</w:t>
      </w:r>
      <w:r w:rsidRPr="00715D9C">
        <w:t xml:space="preserve">irports with transoceanic flights departures since pilots have to test </w:t>
      </w:r>
      <w:r w:rsidR="009E3C28">
        <w:t>Satcom</w:t>
      </w:r>
      <w:r w:rsidRPr="00715D9C">
        <w:t xml:space="preserve"> before departure. The result of the test is not, strictly speaking, a safety issue, but, in case of interference, flights would not be allowed which would cause significant disruption in flights traffic. Further </w:t>
      </w:r>
      <w:r w:rsidRPr="00A96C56">
        <w:t>consideration</w:t>
      </w:r>
      <w:r w:rsidR="00A96C56">
        <w:t xml:space="preserve"> </w:t>
      </w:r>
      <w:r w:rsidRPr="00715D9C">
        <w:t xml:space="preserve">may be needed in relation with the </w:t>
      </w:r>
      <w:r w:rsidR="00034C38">
        <w:t>Iris</w:t>
      </w:r>
      <w:r w:rsidRPr="00715D9C">
        <w:t xml:space="preserve"> programme </w:t>
      </w:r>
      <w:r>
        <w:t>from</w:t>
      </w:r>
      <w:r w:rsidRPr="00715D9C">
        <w:t xml:space="preserve"> Eurocontrol which would use </w:t>
      </w:r>
      <w:r w:rsidR="00857055">
        <w:t>S</w:t>
      </w:r>
      <w:r w:rsidRPr="00715D9C">
        <w:t>atcom for European flights in order to alleviate VHF congestion</w:t>
      </w:r>
      <w:r w:rsidR="00A96C56">
        <w:t>.</w:t>
      </w:r>
    </w:p>
    <w:p w:rsidR="00A26AC6" w:rsidRDefault="00A26AC6" w:rsidP="004930E1">
      <w:pPr>
        <w:rPr>
          <w:rStyle w:val="ECCParagraph"/>
        </w:rPr>
      </w:pPr>
    </w:p>
    <w:p w:rsidR="008A54FC" w:rsidRDefault="00D3735C" w:rsidP="009465E0">
      <w:pPr>
        <w:pStyle w:val="Heading1"/>
        <w:rPr>
          <w:lang w:val="en-GB"/>
        </w:rPr>
      </w:pPr>
      <w:bookmarkStart w:id="325" w:name="_Toc525544436"/>
      <w:bookmarkStart w:id="326" w:name="_Toc528659192"/>
      <w:bookmarkStart w:id="327" w:name="_Toc3285898"/>
      <w:r w:rsidRPr="00BC03FD">
        <w:rPr>
          <w:lang w:val="en-GB"/>
        </w:rPr>
        <w:lastRenderedPageBreak/>
        <w:t>C</w:t>
      </w:r>
      <w:r w:rsidRPr="00CF05D2">
        <w:rPr>
          <w:lang w:val="en-GB"/>
        </w:rPr>
        <w:t>onclusions</w:t>
      </w:r>
      <w:bookmarkEnd w:id="325"/>
      <w:bookmarkEnd w:id="326"/>
      <w:bookmarkEnd w:id="327"/>
    </w:p>
    <w:p w:rsidR="00CC6CD8" w:rsidRDefault="00A84332" w:rsidP="00264464">
      <w:pPr>
        <w:rPr>
          <w:rStyle w:val="ECCParagraph"/>
        </w:rPr>
      </w:pPr>
      <w:r w:rsidRPr="00EC7A39">
        <w:rPr>
          <w:rStyle w:val="ECCParagraph"/>
        </w:rPr>
        <w:t xml:space="preserve">This ECC Report has considered proportionate solutions that CEPT members could implement to address potential blocking of L-band MSS receivers in specific areas or locations. </w:t>
      </w:r>
      <w:r w:rsidR="00CC6CD8">
        <w:rPr>
          <w:rStyle w:val="ECCParagraph"/>
        </w:rPr>
        <w:t>E</w:t>
      </w:r>
      <w:r w:rsidR="00CC6CD8" w:rsidRPr="00EC7A39">
        <w:rPr>
          <w:rStyle w:val="ECCParagraph"/>
        </w:rPr>
        <w:t xml:space="preserve">ach </w:t>
      </w:r>
      <w:r w:rsidRPr="00EC7A39">
        <w:rPr>
          <w:rStyle w:val="ECCParagraph"/>
        </w:rPr>
        <w:t xml:space="preserve">national administration </w:t>
      </w:r>
      <w:r w:rsidR="00DD0F66" w:rsidRPr="00CC48C4">
        <w:rPr>
          <w:rStyle w:val="ECCParagraph"/>
        </w:rPr>
        <w:t xml:space="preserve">exercising </w:t>
      </w:r>
      <w:r w:rsidR="00DD0F66">
        <w:rPr>
          <w:rStyle w:val="ECCParagraph"/>
        </w:rPr>
        <w:t xml:space="preserve">its sovereign rights </w:t>
      </w:r>
      <w:r w:rsidR="00DD0F66" w:rsidRPr="00CC48C4">
        <w:rPr>
          <w:rStyle w:val="ECCParagraph"/>
        </w:rPr>
        <w:t>in the field of frequency management</w:t>
      </w:r>
      <w:r w:rsidR="00DD0F66" w:rsidRPr="00EC7A39">
        <w:rPr>
          <w:rStyle w:val="ECCParagraph"/>
        </w:rPr>
        <w:t xml:space="preserve"> </w:t>
      </w:r>
      <w:r w:rsidRPr="00EC7A39">
        <w:rPr>
          <w:rStyle w:val="ECCParagraph"/>
        </w:rPr>
        <w:t>will decide which areas or locations require protection and how to do so</w:t>
      </w:r>
      <w:r w:rsidR="00DD0F66" w:rsidRPr="00CC48C4">
        <w:rPr>
          <w:rStyle w:val="ECCParagraph"/>
        </w:rPr>
        <w:t xml:space="preserve">, based on the safety </w:t>
      </w:r>
      <w:r w:rsidR="00FA4CFA">
        <w:rPr>
          <w:rStyle w:val="ECCParagraph"/>
        </w:rPr>
        <w:t>of life</w:t>
      </w:r>
      <w:r w:rsidR="00DD0F66" w:rsidRPr="00CC48C4">
        <w:rPr>
          <w:rStyle w:val="ECCParagraph"/>
        </w:rPr>
        <w:t xml:space="preserve"> and security risks or other specific needs identified</w:t>
      </w:r>
      <w:r w:rsidRPr="00EC7A39">
        <w:rPr>
          <w:rStyle w:val="ECCParagraph"/>
        </w:rPr>
        <w:t xml:space="preserve">, e.g. by using options outlined in </w:t>
      </w:r>
      <w:r w:rsidR="00443B27">
        <w:rPr>
          <w:rStyle w:val="ECCParagraph"/>
        </w:rPr>
        <w:t>s</w:t>
      </w:r>
      <w:r w:rsidR="00BA13E1" w:rsidRPr="00EC7A39">
        <w:rPr>
          <w:rStyle w:val="ECCParagraph"/>
        </w:rPr>
        <w:t xml:space="preserve">ection </w:t>
      </w:r>
      <w:r w:rsidR="00BC5629">
        <w:rPr>
          <w:rStyle w:val="ECCParagraph"/>
        </w:rPr>
        <w:fldChar w:fldCharType="begin"/>
      </w:r>
      <w:r w:rsidR="00BC5629">
        <w:rPr>
          <w:rStyle w:val="ECCParagraph"/>
        </w:rPr>
        <w:instrText xml:space="preserve"> REF _Ref534369779 \r \h </w:instrText>
      </w:r>
      <w:r w:rsidR="00BC5629">
        <w:rPr>
          <w:rStyle w:val="ECCParagraph"/>
        </w:rPr>
      </w:r>
      <w:r w:rsidR="00BC5629">
        <w:rPr>
          <w:rStyle w:val="ECCParagraph"/>
        </w:rPr>
        <w:fldChar w:fldCharType="separate"/>
      </w:r>
      <w:r w:rsidR="00E9777B">
        <w:rPr>
          <w:rStyle w:val="ECCParagraph"/>
        </w:rPr>
        <w:t>5</w:t>
      </w:r>
      <w:r w:rsidR="00BC5629">
        <w:rPr>
          <w:rStyle w:val="ECCParagraph"/>
        </w:rPr>
        <w:fldChar w:fldCharType="end"/>
      </w:r>
      <w:r w:rsidR="00757CA0" w:rsidRPr="00EC7A39">
        <w:rPr>
          <w:rStyle w:val="ECCParagraph"/>
        </w:rPr>
        <w:t xml:space="preserve"> of </w:t>
      </w:r>
      <w:r w:rsidRPr="00EC7A39">
        <w:rPr>
          <w:rStyle w:val="ECCParagraph"/>
        </w:rPr>
        <w:t>this Report if suitable to their national circumstances.</w:t>
      </w:r>
    </w:p>
    <w:p w:rsidR="00CC6CD8" w:rsidRDefault="00CC6CD8" w:rsidP="00264464">
      <w:pPr>
        <w:rPr>
          <w:rStyle w:val="ECCParagraph"/>
        </w:rPr>
      </w:pPr>
      <w:r w:rsidRPr="00EB48A0">
        <w:rPr>
          <w:rStyle w:val="ECCParagraph"/>
        </w:rPr>
        <w:t xml:space="preserve">This </w:t>
      </w:r>
      <w:r w:rsidR="009A6A72">
        <w:rPr>
          <w:rStyle w:val="ECCParagraph"/>
        </w:rPr>
        <w:t>R</w:t>
      </w:r>
      <w:r w:rsidRPr="00EB48A0">
        <w:rPr>
          <w:rStyle w:val="ECCParagraph"/>
        </w:rPr>
        <w:t>eport has identified certain maritime and aeronautical applications that administrations may wish to take into account in determining airports</w:t>
      </w:r>
      <w:r w:rsidRPr="00145E67">
        <w:rPr>
          <w:rStyle w:val="ECCParagraph"/>
        </w:rPr>
        <w:t xml:space="preserve"> and sea</w:t>
      </w:r>
      <w:r w:rsidRPr="00EB48A0">
        <w:rPr>
          <w:rStyle w:val="ECCParagraph"/>
        </w:rPr>
        <w:t>ports for application of the proportionate measures.</w:t>
      </w:r>
      <w:r>
        <w:rPr>
          <w:rStyle w:val="ECCParagraph"/>
        </w:rPr>
        <w:t xml:space="preserve"> </w:t>
      </w:r>
      <w:r w:rsidRPr="00EB48A0">
        <w:rPr>
          <w:rStyle w:val="ECCParagraph"/>
        </w:rPr>
        <w:t xml:space="preserve">Regarding maritime operations, administrations may choose to provide protection based on GMDSS services, which operate in the band 1530-1544 MHz, noting that this may also protect other maritime MSS operations outside this band if used at the same </w:t>
      </w:r>
      <w:r w:rsidRPr="00145E67">
        <w:rPr>
          <w:rStyle w:val="ECCParagraph"/>
        </w:rPr>
        <w:t>sea</w:t>
      </w:r>
      <w:r w:rsidRPr="00EB48A0">
        <w:rPr>
          <w:rStyle w:val="ECCParagraph"/>
        </w:rPr>
        <w:t xml:space="preserve">ports. Regarding aeronautical operations, administrations may choose to provide protection based on </w:t>
      </w:r>
      <w:r>
        <w:rPr>
          <w:rStyle w:val="ECCParagraph"/>
        </w:rPr>
        <w:t>AMS(R)S</w:t>
      </w:r>
      <w:r w:rsidRPr="00EB48A0">
        <w:rPr>
          <w:rStyle w:val="ECCParagraph"/>
        </w:rPr>
        <w:t xml:space="preserve"> services</w:t>
      </w:r>
      <w:r>
        <w:rPr>
          <w:rStyle w:val="ECCParagraph"/>
        </w:rPr>
        <w:t>, which operate in the band 1525</w:t>
      </w:r>
      <w:r w:rsidRPr="00EB48A0">
        <w:rPr>
          <w:rStyle w:val="ECCParagraph"/>
        </w:rPr>
        <w:t>-15</w:t>
      </w:r>
      <w:r>
        <w:rPr>
          <w:rStyle w:val="ECCParagraph"/>
        </w:rPr>
        <w:t>59</w:t>
      </w:r>
      <w:r w:rsidRPr="00EB48A0">
        <w:rPr>
          <w:rStyle w:val="ECCParagraph"/>
        </w:rPr>
        <w:t xml:space="preserve"> MHz, noting that this may also protect other aeronautical MSS operations outside this band if used at the same airports.  If administrations also provide protection of MSS applications which are operating outside the GMDSS</w:t>
      </w:r>
      <w:r>
        <w:rPr>
          <w:rStyle w:val="ECCParagraph"/>
        </w:rPr>
        <w:t>/AMS(R)S</w:t>
      </w:r>
      <w:r w:rsidRPr="00EB48A0">
        <w:rPr>
          <w:rStyle w:val="ECCParagraph"/>
        </w:rPr>
        <w:t xml:space="preserve"> bands, this may require protection measures at additional seaports</w:t>
      </w:r>
      <w:r>
        <w:rPr>
          <w:rStyle w:val="ECCParagraph"/>
        </w:rPr>
        <w:t>/airports</w:t>
      </w:r>
      <w:r w:rsidRPr="00EB48A0">
        <w:rPr>
          <w:rStyle w:val="ECCParagraph"/>
        </w:rPr>
        <w:t>, but the pfd values recommended in this Report remain unchanged.</w:t>
      </w:r>
    </w:p>
    <w:p w:rsidR="007037B0" w:rsidRPr="00EC7A39" w:rsidRDefault="007037B0" w:rsidP="00264464">
      <w:pPr>
        <w:rPr>
          <w:rStyle w:val="ECCParagraph"/>
        </w:rPr>
      </w:pPr>
      <w:bookmarkStart w:id="328" w:name="_Toc169147730"/>
      <w:bookmarkStart w:id="329" w:name="_Toc380059616"/>
      <w:bookmarkStart w:id="330" w:name="_Toc380059758"/>
    </w:p>
    <w:p w:rsidR="008A54FC" w:rsidRPr="00BC03FD" w:rsidRDefault="00623D60" w:rsidP="00E2303A">
      <w:pPr>
        <w:pStyle w:val="ECCAnnexheading1"/>
        <w:rPr>
          <w:lang w:val="en-GB"/>
        </w:rPr>
      </w:pPr>
      <w:bookmarkStart w:id="331" w:name="_Ref523923212"/>
      <w:bookmarkStart w:id="332" w:name="_Ref523923228"/>
      <w:bookmarkStart w:id="333" w:name="_Ref523923235"/>
      <w:bookmarkStart w:id="334" w:name="_Ref523923239"/>
      <w:bookmarkStart w:id="335" w:name="_Ref523923247"/>
      <w:bookmarkStart w:id="336" w:name="_Ref523923251"/>
      <w:bookmarkStart w:id="337" w:name="_Toc525544437"/>
      <w:bookmarkStart w:id="338" w:name="_Toc528659193"/>
      <w:bookmarkStart w:id="339" w:name="_Toc3285899"/>
      <w:bookmarkEnd w:id="328"/>
      <w:bookmarkEnd w:id="329"/>
      <w:bookmarkEnd w:id="330"/>
      <w:r w:rsidRPr="00CF05D2">
        <w:rPr>
          <w:lang w:val="en-GB"/>
        </w:rPr>
        <w:lastRenderedPageBreak/>
        <w:t>O</w:t>
      </w:r>
      <w:bookmarkEnd w:id="331"/>
      <w:bookmarkEnd w:id="332"/>
      <w:bookmarkEnd w:id="333"/>
      <w:bookmarkEnd w:id="334"/>
      <w:bookmarkEnd w:id="335"/>
      <w:bookmarkEnd w:id="336"/>
      <w:r w:rsidR="006D2044" w:rsidRPr="00CF05D2">
        <w:rPr>
          <w:lang w:val="en-GB"/>
        </w:rPr>
        <w:t xml:space="preserve">ther </w:t>
      </w:r>
      <w:r w:rsidR="002D2ECD">
        <w:t>Maritime</w:t>
      </w:r>
      <w:r w:rsidR="002D2ECD" w:rsidRPr="00CC2AF4">
        <w:t xml:space="preserve"> </w:t>
      </w:r>
      <w:r w:rsidR="006D2044" w:rsidRPr="00CF05D2">
        <w:rPr>
          <w:lang w:val="en-GB"/>
        </w:rPr>
        <w:t>issues identified</w:t>
      </w:r>
      <w:bookmarkEnd w:id="337"/>
      <w:bookmarkEnd w:id="338"/>
      <w:bookmarkEnd w:id="339"/>
    </w:p>
    <w:p w:rsidR="0005790E" w:rsidRPr="00EC7A39" w:rsidRDefault="0005790E" w:rsidP="00264464">
      <w:pPr>
        <w:rPr>
          <w:rStyle w:val="ECCParagraph"/>
        </w:rPr>
      </w:pPr>
      <w:r w:rsidRPr="00EC7A39">
        <w:rPr>
          <w:rStyle w:val="ECCParagraph"/>
        </w:rPr>
        <w:t xml:space="preserve">During the drafting of </w:t>
      </w:r>
      <w:r w:rsidR="00B00166">
        <w:rPr>
          <w:rStyle w:val="ECCParagraph"/>
        </w:rPr>
        <w:t>this Report</w:t>
      </w:r>
      <w:r w:rsidRPr="00EC7A39">
        <w:rPr>
          <w:rStyle w:val="ECCParagraph"/>
        </w:rPr>
        <w:t xml:space="preserve">, some issues </w:t>
      </w:r>
      <w:r w:rsidRPr="00971575">
        <w:rPr>
          <w:rStyle w:val="ECCParagraph"/>
        </w:rPr>
        <w:t>which fell</w:t>
      </w:r>
      <w:r w:rsidR="00E618F0" w:rsidRPr="00971575">
        <w:rPr>
          <w:rStyle w:val="ECCParagraph"/>
        </w:rPr>
        <w:t xml:space="preserve"> </w:t>
      </w:r>
      <w:r w:rsidRPr="00971575">
        <w:rPr>
          <w:rStyle w:val="ECCParagraph"/>
        </w:rPr>
        <w:t>outside</w:t>
      </w:r>
      <w:r w:rsidRPr="00EC7A39">
        <w:rPr>
          <w:rStyle w:val="ECCParagraph"/>
        </w:rPr>
        <w:t xml:space="preserve"> the scope of the work item given by ECC were identified</w:t>
      </w:r>
      <w:r w:rsidR="00E618F0" w:rsidRPr="00971575">
        <w:rPr>
          <w:rStyle w:val="ECCParagraph"/>
        </w:rPr>
        <w:t>,</w:t>
      </w:r>
      <w:r w:rsidR="00D076C2" w:rsidRPr="00971575">
        <w:rPr>
          <w:rStyle w:val="ECCParagraph"/>
        </w:rPr>
        <w:t xml:space="preserve"> but may be relevant for the identification of maritime operational </w:t>
      </w:r>
      <w:r w:rsidR="00971575" w:rsidRPr="00212A05">
        <w:rPr>
          <w:rStyle w:val="ECCParagraph"/>
        </w:rPr>
        <w:t>systems</w:t>
      </w:r>
      <w:r w:rsidRPr="00971575">
        <w:rPr>
          <w:rStyle w:val="ECCParagraph"/>
        </w:rPr>
        <w:t>. This</w:t>
      </w:r>
      <w:r w:rsidRPr="00EC7A39">
        <w:rPr>
          <w:rStyle w:val="ECCParagraph"/>
        </w:rPr>
        <w:t xml:space="preserve"> annex provides a short overview of these issues.</w:t>
      </w:r>
    </w:p>
    <w:p w:rsidR="00F07996" w:rsidRPr="00EC7A39" w:rsidRDefault="00F07996" w:rsidP="00E3384A">
      <w:pPr>
        <w:pStyle w:val="ECCBulletsLv1"/>
        <w:rPr>
          <w:rStyle w:val="ECCParagraph"/>
        </w:rPr>
      </w:pPr>
      <w:r w:rsidRPr="00EC7A39">
        <w:rPr>
          <w:rStyle w:val="ECCParagraph"/>
        </w:rPr>
        <w:t>The term “port” is not defined by ITU and it has not been possible to find an internationally agreed definition. In this Report, the term port here is used to describe any location at which a vessel may be moored. A port is generally a place where cargo may be loaded or unloaded</w:t>
      </w:r>
      <w:r w:rsidR="005D69F0">
        <w:rPr>
          <w:rStyle w:val="ECCParagraph"/>
        </w:rPr>
        <w:t>;</w:t>
      </w:r>
      <w:r w:rsidRPr="00EC7A39">
        <w:rPr>
          <w:rStyle w:val="ECCParagraph"/>
        </w:rPr>
        <w:t xml:space="preserve"> </w:t>
      </w:r>
    </w:p>
    <w:p w:rsidR="00BB7228" w:rsidRDefault="00F07996" w:rsidP="00E42FCC">
      <w:pPr>
        <w:pStyle w:val="ECCBulletsLv1"/>
      </w:pPr>
      <w:r w:rsidRPr="00F07996">
        <w:t xml:space="preserve">A seaport in some definitions means a port on the </w:t>
      </w:r>
      <w:r w:rsidR="00DC6884" w:rsidRPr="00F07996">
        <w:t>sea;</w:t>
      </w:r>
      <w:r w:rsidRPr="00F07996">
        <w:t xml:space="preserve"> in other definitions it also includes ports accessible to the sea by inland waters such as rivers, lakes or canals. Many ports are situated on inland </w:t>
      </w:r>
      <w:r w:rsidR="007602C8" w:rsidRPr="00F07996">
        <w:t>waterways;</w:t>
      </w:r>
      <w:r w:rsidRPr="00F07996">
        <w:t xml:space="preserve"> examples include Hamburg, Rotterdam and Antwerp</w:t>
      </w:r>
      <w:r w:rsidR="009A6A72">
        <w:t>;</w:t>
      </w:r>
      <w:bookmarkStart w:id="340" w:name="_Toc380059620"/>
      <w:bookmarkStart w:id="341" w:name="_Toc380059762"/>
    </w:p>
    <w:p w:rsidR="007E7050" w:rsidRPr="007E7050" w:rsidRDefault="007E7050" w:rsidP="00E42FCC">
      <w:pPr>
        <w:pStyle w:val="ECCBulletsLv1"/>
      </w:pPr>
      <w:r w:rsidRPr="007E7050">
        <w:t>Sea areas around CEPT: Several areas of the CEPT coast is Sea Area A3 where satellite services are necessary (The high availability of GMDSS satellite services is necessary because vessels may have a very limited time to send a distress alert)</w:t>
      </w:r>
      <w:r w:rsidR="005D69F0">
        <w:t>;</w:t>
      </w:r>
    </w:p>
    <w:p w:rsidR="007E7050" w:rsidRPr="007E7050" w:rsidRDefault="007E7050" w:rsidP="00E42FCC">
      <w:pPr>
        <w:pStyle w:val="ECCBulletsLv1"/>
      </w:pPr>
      <w:r w:rsidRPr="007E7050">
        <w:t xml:space="preserve">Schedule and coverage of Maritime Safety Information: International warnings and weather forecasts are transmitted according to a published routine at intervals, e.g. 4 hours in the UK, and apply to a specific geographical area. NAVTEX messages apply to </w:t>
      </w:r>
      <w:r w:rsidR="007532D5" w:rsidRPr="00DD22C6">
        <w:t>a</w:t>
      </w:r>
      <w:r w:rsidR="005E4D51">
        <w:t xml:space="preserve"> defined geo</w:t>
      </w:r>
      <w:r w:rsidR="00FD022F">
        <w:t>graphical</w:t>
      </w:r>
      <w:r w:rsidR="007532D5" w:rsidRPr="00DD22C6">
        <w:t xml:space="preserve"> area within </w:t>
      </w:r>
      <w:r w:rsidRPr="007E7050">
        <w:t xml:space="preserve">the propagation area of the associated terrestrial transmitter and adjacent to the coast; </w:t>
      </w:r>
      <w:r w:rsidR="00871B5D">
        <w:t xml:space="preserve">scheduled </w:t>
      </w:r>
      <w:r w:rsidRPr="007E7050">
        <w:t xml:space="preserve">EGC </w:t>
      </w:r>
      <w:r w:rsidR="00871B5D">
        <w:t xml:space="preserve">SafetyNet NAV/MET </w:t>
      </w:r>
      <w:r w:rsidRPr="007E7050">
        <w:t>transmissions cover larger areas than NAVTEX areas and are sent twice a day</w:t>
      </w:r>
      <w:r w:rsidR="00871B5D">
        <w:rPr>
          <w:rStyle w:val="FootnoteReference"/>
        </w:rPr>
        <w:footnoteReference w:id="10"/>
      </w:r>
      <w:r w:rsidRPr="007E7050">
        <w:t xml:space="preserve">. Where EGC is blocked, vessels may quickly transit beyond the limits of the NAVTEX area (a cargo vessel will typically cover 100nm in 6 hours, cruise ships </w:t>
      </w:r>
      <w:r w:rsidR="00FD022F">
        <w:t>typically</w:t>
      </w:r>
      <w:r w:rsidRPr="007E7050">
        <w:t xml:space="preserve"> 140nm</w:t>
      </w:r>
      <w:r w:rsidRPr="00D51582">
        <w:t>)</w:t>
      </w:r>
      <w:r w:rsidR="005D69F0">
        <w:t>;</w:t>
      </w:r>
      <w:r w:rsidRPr="007E7050">
        <w:t xml:space="preserve"> </w:t>
      </w:r>
    </w:p>
    <w:p w:rsidR="00011C4C" w:rsidRDefault="00011C4C" w:rsidP="00011C4C">
      <w:pPr>
        <w:pStyle w:val="ECCBulletsLv1"/>
      </w:pPr>
      <w:r>
        <w:t>The GMDSS Sea Areas defined in SOLAS are for the application of carriage requirements to SOLAS vessels, not for defining usefulness of equipment. LRIT which relies on satellite communications is primarily a security system, but used by Rescue Coordination Centres for situational awareness during incidents</w:t>
      </w:r>
      <w:r w:rsidR="009A6A72">
        <w:t>;</w:t>
      </w:r>
    </w:p>
    <w:p w:rsidR="00011C4C" w:rsidRPr="007E7050" w:rsidRDefault="00011C4C" w:rsidP="00011C4C">
      <w:pPr>
        <w:pStyle w:val="ECCBulletsLv1"/>
      </w:pPr>
      <w:r>
        <w:t>The focus of this report are vessels to which Chapter IV of the SOLAS Convention apply. Other vessels, the great majority, have to comply with their flag-state regulations which may include use of MES for longer range communications (beyond line of sight) because of its simplicity and wider application than terrestrial communication equipment described in SOLAS regulations</w:t>
      </w:r>
      <w:r w:rsidR="009A6A72">
        <w:t>;</w:t>
      </w:r>
    </w:p>
    <w:p w:rsidR="007E7050" w:rsidRPr="007E7050" w:rsidRDefault="007E7050" w:rsidP="00E42FCC">
      <w:pPr>
        <w:pStyle w:val="ECCBulletsLv1"/>
      </w:pPr>
      <w:r w:rsidRPr="007E7050">
        <w:t>Safe Havens: Vessels (including SOLAS convention, regulated and unregulated vessels) may use safe havens for protection from storms, etc</w:t>
      </w:r>
      <w:r w:rsidR="00EC7A39">
        <w:t>.</w:t>
      </w:r>
      <w:r w:rsidRPr="007E7050">
        <w:t xml:space="preserve"> for extended periods of time. These geographical areas could be considered for protection at national </w:t>
      </w:r>
      <w:r w:rsidRPr="005E0DF9">
        <w:rPr>
          <w:rStyle w:val="ECCParagraph"/>
        </w:rPr>
        <w:t>level (within 1530</w:t>
      </w:r>
      <w:r w:rsidR="00122725" w:rsidRPr="005E0DF9">
        <w:rPr>
          <w:rStyle w:val="ECCParagraph"/>
        </w:rPr>
        <w:t>-</w:t>
      </w:r>
      <w:r w:rsidRPr="005E0DF9">
        <w:rPr>
          <w:rStyle w:val="ECCParagraph"/>
        </w:rPr>
        <w:t>1544</w:t>
      </w:r>
      <w:r w:rsidR="00871B5D" w:rsidRPr="005E0DF9">
        <w:rPr>
          <w:rStyle w:val="ECCParagraph"/>
        </w:rPr>
        <w:t xml:space="preserve"> </w:t>
      </w:r>
      <w:r w:rsidRPr="005E0DF9">
        <w:rPr>
          <w:rStyle w:val="ECCParagraph"/>
        </w:rPr>
        <w:t>MHz band</w:t>
      </w:r>
      <w:r w:rsidRPr="00212A05">
        <w:rPr>
          <w:rStyle w:val="ECCParagraph"/>
        </w:rPr>
        <w:t>)</w:t>
      </w:r>
      <w:r w:rsidR="009A6A72">
        <w:rPr>
          <w:rStyle w:val="ECCParagraph"/>
        </w:rPr>
        <w:t>;</w:t>
      </w:r>
    </w:p>
    <w:p w:rsidR="001F067E" w:rsidRPr="005E0DF9" w:rsidRDefault="001F067E" w:rsidP="00E42FCC">
      <w:pPr>
        <w:pStyle w:val="ECCBulletsLv1"/>
        <w:rPr>
          <w:rStyle w:val="ECCHLyellow"/>
        </w:rPr>
      </w:pPr>
      <w:r>
        <w:t>Other non-safety communications outside GMDSS</w:t>
      </w:r>
      <w:r w:rsidR="00E3384A">
        <w:t>;</w:t>
      </w:r>
    </w:p>
    <w:p w:rsidR="007532D5" w:rsidRPr="00482845" w:rsidRDefault="007E7050" w:rsidP="00482845">
      <w:pPr>
        <w:pStyle w:val="ECCBulletsLv2"/>
      </w:pPr>
      <w:r w:rsidRPr="00482845">
        <w:t xml:space="preserve">General communications: </w:t>
      </w:r>
      <w:r w:rsidR="007532D5" w:rsidRPr="00482845">
        <w:t>V</w:t>
      </w:r>
      <w:r w:rsidRPr="00482845">
        <w:t xml:space="preserve">essels </w:t>
      </w:r>
      <w:r w:rsidR="007532D5" w:rsidRPr="00482845">
        <w:t xml:space="preserve">may </w:t>
      </w:r>
      <w:r w:rsidRPr="00482845">
        <w:t>use satellite services for general purpose data communications because terrestrial maritime data services are unreliable, limited in capacity, geographically limited, or complex to operate effectively for an international vessel</w:t>
      </w:r>
      <w:r w:rsidR="005D69F0">
        <w:t>;</w:t>
      </w:r>
      <w:r w:rsidRPr="00482845">
        <w:t xml:space="preserve"> </w:t>
      </w:r>
    </w:p>
    <w:p w:rsidR="007E7050" w:rsidRPr="00482845" w:rsidRDefault="007E7050" w:rsidP="00E3384A">
      <w:pPr>
        <w:pStyle w:val="ECCBulletsLv2"/>
      </w:pPr>
      <w:r w:rsidRPr="00482845">
        <w:t>IMO conventions covering maritime issues including</w:t>
      </w:r>
      <w:r w:rsidR="00305721">
        <w:t>,</w:t>
      </w:r>
      <w:r w:rsidRPr="00482845">
        <w:t xml:space="preserve"> security, pollution and environmental protection, prevention of unnecessary delays in maritime traffic, and co-operation between Governments require communication of information for implementation</w:t>
      </w:r>
      <w:r w:rsidR="005D69F0">
        <w:t>;</w:t>
      </w:r>
    </w:p>
    <w:p w:rsidR="001F067E" w:rsidRPr="00482845" w:rsidRDefault="007E7050" w:rsidP="00E3384A">
      <w:pPr>
        <w:pStyle w:val="ECCBulletsLv2"/>
      </w:pPr>
      <w:r w:rsidRPr="00482845">
        <w:t xml:space="preserve">Future needs: </w:t>
      </w:r>
      <w:r w:rsidR="007532D5" w:rsidRPr="00482845">
        <w:t>Maritime d</w:t>
      </w:r>
      <w:r w:rsidRPr="00482845">
        <w:t>evelopments such as remotely controlled shipping are likely</w:t>
      </w:r>
      <w:r w:rsidR="007532D5" w:rsidRPr="00482845">
        <w:t xml:space="preserve"> to need</w:t>
      </w:r>
      <w:r w:rsidRPr="00482845">
        <w:t xml:space="preserve"> </w:t>
      </w:r>
      <w:r w:rsidR="008B5E2A" w:rsidRPr="00482845">
        <w:t>high</w:t>
      </w:r>
      <w:r w:rsidRPr="00482845">
        <w:t xml:space="preserve"> capacity and high availability communications to achieve greater efficiencies</w:t>
      </w:r>
      <w:r w:rsidR="00ED60C1" w:rsidRPr="00482845">
        <w:t xml:space="preserve"> and may provide the stimulus for installation of new communications equipment</w:t>
      </w:r>
      <w:r w:rsidR="005D69F0">
        <w:t>;</w:t>
      </w:r>
      <w:r w:rsidRPr="00482845">
        <w:t xml:space="preserve"> </w:t>
      </w:r>
    </w:p>
    <w:p w:rsidR="001F067E" w:rsidRPr="000F4EA1" w:rsidRDefault="001F067E" w:rsidP="00E3384A">
      <w:pPr>
        <w:pStyle w:val="ECCBulletsLv2"/>
        <w:rPr>
          <w:rStyle w:val="ECCParagraph"/>
        </w:rPr>
      </w:pPr>
      <w:r w:rsidRPr="000F4EA1">
        <w:rPr>
          <w:rStyle w:val="ECCParagraph"/>
        </w:rPr>
        <w:t xml:space="preserve">Long Range Identification and Tracking (LRIT) is mandatory under SOLAS V/19-1 </w:t>
      </w:r>
      <w:r w:rsidR="00BC5629">
        <w:rPr>
          <w:rStyle w:val="ECCParagraph"/>
        </w:rPr>
        <w:fldChar w:fldCharType="begin"/>
      </w:r>
      <w:r w:rsidR="00BC5629">
        <w:rPr>
          <w:rStyle w:val="ECCParagraph"/>
        </w:rPr>
        <w:instrText xml:space="preserve"> REF _Ref534367072 \r \h </w:instrText>
      </w:r>
      <w:r w:rsidR="00BC5629">
        <w:rPr>
          <w:rStyle w:val="ECCParagraph"/>
        </w:rPr>
      </w:r>
      <w:r w:rsidR="00BC5629">
        <w:rPr>
          <w:rStyle w:val="ECCParagraph"/>
        </w:rPr>
        <w:fldChar w:fldCharType="separate"/>
      </w:r>
      <w:r w:rsidR="00E9777B">
        <w:rPr>
          <w:rStyle w:val="ECCParagraph"/>
        </w:rPr>
        <w:t>[8]</w:t>
      </w:r>
      <w:r w:rsidR="00BC5629">
        <w:rPr>
          <w:rStyle w:val="ECCParagraph"/>
        </w:rPr>
        <w:fldChar w:fldCharType="end"/>
      </w:r>
      <w:r w:rsidR="00BC5629">
        <w:rPr>
          <w:rStyle w:val="ECCParagraph"/>
        </w:rPr>
        <w:t xml:space="preserve"> </w:t>
      </w:r>
      <w:r w:rsidRPr="000F4EA1">
        <w:rPr>
          <w:rStyle w:val="ECCParagraph"/>
        </w:rPr>
        <w:t>and performed by satellite communications. IMO guidance</w:t>
      </w:r>
      <w:r w:rsidR="00BC5629">
        <w:rPr>
          <w:rStyle w:val="ECCParagraph"/>
        </w:rPr>
        <w:t xml:space="preserve"> </w:t>
      </w:r>
      <w:r w:rsidR="00BC5629">
        <w:rPr>
          <w:rStyle w:val="ECCParagraph"/>
        </w:rPr>
        <w:fldChar w:fldCharType="begin"/>
      </w:r>
      <w:r w:rsidR="00BC5629">
        <w:rPr>
          <w:rStyle w:val="ECCParagraph"/>
        </w:rPr>
        <w:instrText xml:space="preserve"> REF _Ref534370121 \r \h </w:instrText>
      </w:r>
      <w:r w:rsidR="00BC5629">
        <w:rPr>
          <w:rStyle w:val="ECCParagraph"/>
        </w:rPr>
      </w:r>
      <w:r w:rsidR="00BC5629">
        <w:rPr>
          <w:rStyle w:val="ECCParagraph"/>
        </w:rPr>
        <w:fldChar w:fldCharType="separate"/>
      </w:r>
      <w:r w:rsidR="00E9777B">
        <w:rPr>
          <w:rStyle w:val="ECCParagraph"/>
        </w:rPr>
        <w:t>[25]</w:t>
      </w:r>
      <w:r w:rsidR="00BC5629">
        <w:rPr>
          <w:rStyle w:val="ECCParagraph"/>
        </w:rPr>
        <w:fldChar w:fldCharType="end"/>
      </w:r>
      <w:r w:rsidRPr="000F4EA1">
        <w:rPr>
          <w:rStyle w:val="ECCParagraph"/>
        </w:rPr>
        <w:t xml:space="preserve"> is that only the vessel flag state can issue instructions for switching off tracking transmissions, normally only when the vessel is out of service for an extended period</w:t>
      </w:r>
      <w:r w:rsidR="005B66C0" w:rsidRPr="005B66C0">
        <w:rPr>
          <w:rStyle w:val="ECCParagraph"/>
        </w:rPr>
        <w:t xml:space="preserve"> and currently uses MSS systems in the</w:t>
      </w:r>
      <w:r w:rsidR="00EF786B">
        <w:rPr>
          <w:rStyle w:val="ECCParagraph"/>
        </w:rPr>
        <w:t xml:space="preserve"> L</w:t>
      </w:r>
      <w:r w:rsidR="00564033">
        <w:rPr>
          <w:rStyle w:val="ECCParagraph"/>
        </w:rPr>
        <w:t>-</w:t>
      </w:r>
      <w:r w:rsidR="005B66C0" w:rsidRPr="005B66C0">
        <w:rPr>
          <w:rStyle w:val="ECCParagraph"/>
        </w:rPr>
        <w:t>band</w:t>
      </w:r>
      <w:r w:rsidR="005D69F0">
        <w:rPr>
          <w:rStyle w:val="ECCParagraph"/>
        </w:rPr>
        <w:t>;</w:t>
      </w:r>
    </w:p>
    <w:p w:rsidR="001F067E" w:rsidRPr="00A51EE5" w:rsidRDefault="001F067E" w:rsidP="00E3384A">
      <w:pPr>
        <w:pStyle w:val="ECCBulletsLv2"/>
        <w:rPr>
          <w:rStyle w:val="ECCParagraph"/>
        </w:rPr>
      </w:pPr>
      <w:r w:rsidRPr="00052A51">
        <w:rPr>
          <w:rStyle w:val="ECCParagraph"/>
        </w:rPr>
        <w:t xml:space="preserve">Ship Security Alerting System (SSAS) is a covert system for reporting to a competent authority that the vessel security has been compromised. It is a mandatory requirement for convention vessels on international voyages and </w:t>
      </w:r>
      <w:r w:rsidR="00A93BF9">
        <w:rPr>
          <w:rStyle w:val="ECCParagraph"/>
        </w:rPr>
        <w:t xml:space="preserve">currently </w:t>
      </w:r>
      <w:r w:rsidRPr="00052A51">
        <w:rPr>
          <w:rStyle w:val="ECCParagraph"/>
        </w:rPr>
        <w:t xml:space="preserve">uses MSS systems in the </w:t>
      </w:r>
      <w:r w:rsidR="00EF786B">
        <w:rPr>
          <w:rStyle w:val="ECCParagraph"/>
        </w:rPr>
        <w:t>L</w:t>
      </w:r>
      <w:r w:rsidR="00564033">
        <w:rPr>
          <w:rStyle w:val="ECCParagraph"/>
        </w:rPr>
        <w:t>-</w:t>
      </w:r>
      <w:r w:rsidRPr="00052A51">
        <w:rPr>
          <w:rStyle w:val="ECCParagraph"/>
        </w:rPr>
        <w:t>band.</w:t>
      </w:r>
      <w:r w:rsidR="009144EE">
        <w:rPr>
          <w:rStyle w:val="ECCParagraph"/>
        </w:rPr>
        <w:t xml:space="preserve"> This application could be provided by other communication means (HF, MF</w:t>
      </w:r>
      <w:r w:rsidR="00564033">
        <w:rPr>
          <w:rStyle w:val="ECCParagraph"/>
        </w:rPr>
        <w:t xml:space="preserve"> and</w:t>
      </w:r>
      <w:r w:rsidR="009144EE">
        <w:rPr>
          <w:rStyle w:val="ECCParagraph"/>
        </w:rPr>
        <w:t xml:space="preserve"> VHF), where available</w:t>
      </w:r>
      <w:r w:rsidR="005D69F0">
        <w:rPr>
          <w:rStyle w:val="ECCParagraph"/>
        </w:rPr>
        <w:t>;</w:t>
      </w:r>
    </w:p>
    <w:p w:rsidR="001F067E" w:rsidRPr="00A51EE5" w:rsidRDefault="001F067E" w:rsidP="00E3384A">
      <w:pPr>
        <w:pStyle w:val="ECCBulletsLv2"/>
        <w:rPr>
          <w:rStyle w:val="ECCParagraph"/>
        </w:rPr>
      </w:pPr>
      <w:r w:rsidRPr="00A51EE5">
        <w:rPr>
          <w:rStyle w:val="ECCParagraph"/>
        </w:rPr>
        <w:lastRenderedPageBreak/>
        <w:t xml:space="preserve">Vessel Monitoring Systems (VMS) equipment is type approved by the flag state and operates via Satcom. The exact reporting requirements are determined by the flag-state rules, from before getting underway when leaving port until tied up again in port on return, and in some cases, continuously while in port. Some national maritime authorities mandate the use of </w:t>
      </w:r>
      <w:r w:rsidR="00305721">
        <w:rPr>
          <w:rStyle w:val="ECCParagraph"/>
        </w:rPr>
        <w:t>satellite-</w:t>
      </w:r>
      <w:r w:rsidRPr="00A51EE5">
        <w:rPr>
          <w:rStyle w:val="ECCParagraph"/>
        </w:rPr>
        <w:t xml:space="preserve">systems operating in the band </w:t>
      </w:r>
      <w:r w:rsidR="00A93BF9">
        <w:rPr>
          <w:rStyle w:val="ECCParagraph"/>
        </w:rPr>
        <w:t>1530-1544</w:t>
      </w:r>
      <w:r>
        <w:rPr>
          <w:rStyle w:val="ECCParagraph"/>
        </w:rPr>
        <w:t xml:space="preserve"> MHz</w:t>
      </w:r>
      <w:r w:rsidRPr="00A51EE5">
        <w:rPr>
          <w:rStyle w:val="ECCParagraph"/>
        </w:rPr>
        <w:t>.</w:t>
      </w:r>
    </w:p>
    <w:p w:rsidR="003E332B" w:rsidRDefault="003E332B" w:rsidP="00CF05D2">
      <w:pPr>
        <w:pStyle w:val="ECCBulletsLv1"/>
      </w:pPr>
      <w:r>
        <w:br w:type="page"/>
      </w:r>
    </w:p>
    <w:p w:rsidR="00863970" w:rsidRPr="00212A05" w:rsidRDefault="00863970" w:rsidP="00CC2728">
      <w:pPr>
        <w:pStyle w:val="ECCAnnexheading1"/>
        <w:rPr>
          <w:rStyle w:val="ECCParagraph"/>
        </w:rPr>
      </w:pPr>
      <w:bookmarkStart w:id="342" w:name="_Ref525217909"/>
      <w:bookmarkStart w:id="343" w:name="_Toc525544438"/>
      <w:bookmarkStart w:id="344" w:name="_Toc528659194"/>
      <w:bookmarkStart w:id="345" w:name="_Toc3285900"/>
      <w:r w:rsidRPr="00CF05D2">
        <w:rPr>
          <w:lang w:val="en-GB"/>
        </w:rPr>
        <w:lastRenderedPageBreak/>
        <w:t xml:space="preserve">Examples of PFD </w:t>
      </w:r>
      <w:r w:rsidR="001E62ED" w:rsidRPr="00CF05D2">
        <w:rPr>
          <w:lang w:val="en-GB"/>
        </w:rPr>
        <w:t>limits</w:t>
      </w:r>
      <w:bookmarkEnd w:id="342"/>
      <w:bookmarkEnd w:id="343"/>
      <w:bookmarkEnd w:id="344"/>
      <w:bookmarkEnd w:id="345"/>
    </w:p>
    <w:p w:rsidR="009B112E" w:rsidRPr="002E2408" w:rsidRDefault="009B112E" w:rsidP="002E2408">
      <w:r w:rsidRPr="007C615B">
        <w:t xml:space="preserve">The </w:t>
      </w:r>
      <w:r w:rsidR="00CA713C">
        <w:t>PFD</w:t>
      </w:r>
      <w:r w:rsidR="00CA713C" w:rsidRPr="007C615B">
        <w:t xml:space="preserve"> </w:t>
      </w:r>
      <w:r w:rsidRPr="007C615B">
        <w:t>limits calculated in this annex are based on an assumed MES antenna gain (</w:t>
      </w:r>
      <m:oMath>
        <m:sSub>
          <m:sSubPr>
            <m:ctrlPr>
              <w:rPr>
                <w:rFonts w:ascii="Cambria Math" w:hAnsi="Cambria Math"/>
              </w:rPr>
            </m:ctrlPr>
          </m:sSubPr>
          <m:e>
            <m:r>
              <w:rPr>
                <w:rFonts w:ascii="Cambria Math" w:hAnsi="Cambria Math"/>
              </w:rPr>
              <m:t>G</m:t>
            </m:r>
          </m:e>
          <m:sub>
            <m:r>
              <w:rPr>
                <w:rFonts w:ascii="Cambria Math" w:hAnsi="Cambria Math"/>
              </w:rPr>
              <m:t>MES</m:t>
            </m:r>
          </m:sub>
        </m:sSub>
      </m:oMath>
      <w:r w:rsidR="00736E1D">
        <w:t>) of 3 dBi.</w:t>
      </w:r>
    </w:p>
    <w:p w:rsidR="00863970" w:rsidRPr="00CF05D2" w:rsidRDefault="00CC2728" w:rsidP="001800CD">
      <w:pPr>
        <w:pStyle w:val="ECCAnnexheading2"/>
        <w:rPr>
          <w:rStyle w:val="ECCParagraph"/>
          <w:rFonts w:eastAsia="Calibri"/>
          <w:b w:val="0"/>
          <w:caps w:val="0"/>
        </w:rPr>
      </w:pPr>
      <w:r>
        <w:rPr>
          <w:rStyle w:val="ECCParagraph"/>
        </w:rPr>
        <w:t xml:space="preserve">Examples of </w:t>
      </w:r>
      <w:r w:rsidR="00863970" w:rsidRPr="00863970">
        <w:rPr>
          <w:rStyle w:val="ECCParagraph"/>
        </w:rPr>
        <w:t>PFD limits based on regulation outside CEPT</w:t>
      </w:r>
    </w:p>
    <w:p w:rsidR="00863970" w:rsidRPr="00E1626F" w:rsidRDefault="00863970" w:rsidP="00863970">
      <w:pPr>
        <w:rPr>
          <w:rStyle w:val="ECCParagraph"/>
          <w:b/>
          <w:caps/>
          <w:szCs w:val="20"/>
        </w:rPr>
      </w:pPr>
      <w:r w:rsidRPr="00EA5FDC">
        <w:rPr>
          <w:rStyle w:val="ECCParagraph"/>
        </w:rPr>
        <w:t>The PFD limits in this section are based on measurements of MSS terminals conducted by FCC.</w:t>
      </w:r>
      <w:r w:rsidR="00750659" w:rsidRPr="00EA5FDC">
        <w:rPr>
          <w:rStyle w:val="ECCParagraph"/>
        </w:rPr>
        <w:t xml:space="preserve"> </w:t>
      </w:r>
      <w:hyperlink r:id="rId11" w:history="1">
        <w:r w:rsidR="00750659" w:rsidRPr="00EA5FDC">
          <w:rPr>
            <w:rStyle w:val="Hyperlink"/>
          </w:rPr>
          <w:t>FCC document</w:t>
        </w:r>
      </w:hyperlink>
      <w:r w:rsidR="00750659" w:rsidRPr="00EA5FDC">
        <w:t xml:space="preserve"> FCC 05-30</w:t>
      </w:r>
      <w:r w:rsidR="00934D8D">
        <w:t xml:space="preserve"> </w:t>
      </w:r>
      <w:r w:rsidR="00934D8D">
        <w:fldChar w:fldCharType="begin"/>
      </w:r>
      <w:r w:rsidR="00934D8D">
        <w:instrText xml:space="preserve"> REF _Ref534369632 \r \h </w:instrText>
      </w:r>
      <w:r w:rsidR="00934D8D">
        <w:fldChar w:fldCharType="separate"/>
      </w:r>
      <w:r w:rsidR="00E9777B">
        <w:t>[23]</w:t>
      </w:r>
      <w:r w:rsidR="00934D8D">
        <w:fldChar w:fldCharType="end"/>
      </w:r>
      <w:r w:rsidR="00750659" w:rsidRPr="00EA5FDC">
        <w:t>, paragraph 63 based on CDMA-2000 instead of OFDM considered −52 dBm for 1-2 MHz frequency separation; −50 dBm would provide better protection for a larger frequency separation for the case of CEPT. It should be noted that Inmarsat</w:t>
      </w:r>
      <w:r w:rsidR="001C2B85">
        <w:t xml:space="preserve"> </w:t>
      </w:r>
      <w:r w:rsidR="00750659" w:rsidRPr="00EA5FDC">
        <w:t>C and Inmarsat aeronautical terminals are not included in this test.</w:t>
      </w:r>
    </w:p>
    <w:p w:rsidR="00863970" w:rsidRPr="00E1626F" w:rsidRDefault="00863970" w:rsidP="00E1626F">
      <w:pPr>
        <w:pStyle w:val="Caption"/>
        <w:keepNext/>
        <w:rPr>
          <w:lang w:val="en-GB"/>
        </w:rPr>
      </w:pPr>
      <w:r w:rsidRPr="00CF05D2">
        <w:rPr>
          <w:lang w:val="en-GB"/>
        </w:rPr>
        <w:t xml:space="preserve">Table </w:t>
      </w:r>
      <w:r w:rsidRPr="00CF05D2">
        <w:rPr>
          <w:lang w:val="en-GB"/>
        </w:rPr>
        <w:fldChar w:fldCharType="begin"/>
      </w:r>
      <w:r w:rsidRPr="00E42FCC">
        <w:rPr>
          <w:lang w:val="en-US"/>
        </w:rPr>
        <w:instrText xml:space="preserve"> SEQ Table \* ARABIC </w:instrText>
      </w:r>
      <w:r w:rsidRPr="00CF05D2">
        <w:rPr>
          <w:lang w:val="en-GB"/>
        </w:rPr>
        <w:fldChar w:fldCharType="separate"/>
      </w:r>
      <w:r w:rsidR="00E9777B">
        <w:rPr>
          <w:noProof/>
          <w:lang w:val="en-US"/>
        </w:rPr>
        <w:t>10</w:t>
      </w:r>
      <w:r w:rsidRPr="00CF05D2">
        <w:rPr>
          <w:lang w:val="en-GB"/>
        </w:rPr>
        <w:fldChar w:fldCharType="end"/>
      </w:r>
      <w:r w:rsidR="00D51582" w:rsidRPr="00D51582">
        <w:rPr>
          <w:lang w:val="en-GB"/>
        </w:rPr>
        <w:t>:</w:t>
      </w:r>
      <w:r w:rsidRPr="00CF05D2">
        <w:rPr>
          <w:lang w:val="en-GB"/>
        </w:rPr>
        <w:t xml:space="preserve"> PFD limits on MFCN BS transmitting a single channel</w:t>
      </w:r>
    </w:p>
    <w:tbl>
      <w:tblPr>
        <w:tblStyle w:val="ECCTable-redheader"/>
        <w:tblW w:w="0" w:type="auto"/>
        <w:tblInd w:w="0" w:type="dxa"/>
        <w:tblLook w:val="04A0" w:firstRow="1" w:lastRow="0" w:firstColumn="1" w:lastColumn="0" w:noHBand="0" w:noVBand="1"/>
      </w:tblPr>
      <w:tblGrid>
        <w:gridCol w:w="1231"/>
        <w:gridCol w:w="1399"/>
        <w:gridCol w:w="1400"/>
        <w:gridCol w:w="1400"/>
        <w:gridCol w:w="1399"/>
        <w:gridCol w:w="1400"/>
        <w:gridCol w:w="1400"/>
      </w:tblGrid>
      <w:tr w:rsidR="00CB3E52" w:rsidRPr="00B467CA" w:rsidTr="00F360FC">
        <w:trPr>
          <w:cnfStyle w:val="100000000000" w:firstRow="1" w:lastRow="0" w:firstColumn="0" w:lastColumn="0" w:oddVBand="0" w:evenVBand="0" w:oddHBand="0" w:evenHBand="0" w:firstRowFirstColumn="0" w:firstRowLastColumn="0" w:lastRowFirstColumn="0" w:lastRowLastColumn="0"/>
        </w:trPr>
        <w:tc>
          <w:tcPr>
            <w:tcW w:w="1231" w:type="dxa"/>
            <w:vAlign w:val="top"/>
          </w:tcPr>
          <w:p w:rsidR="00CB3E52" w:rsidRPr="00CB3E52" w:rsidRDefault="00CB3E52" w:rsidP="00CB3E52">
            <w:pPr>
              <w:pStyle w:val="ECCTableHeaderwhitefont"/>
            </w:pPr>
            <w:r w:rsidRPr="00863970">
              <w:t>Phase</w:t>
            </w:r>
          </w:p>
        </w:tc>
        <w:tc>
          <w:tcPr>
            <w:tcW w:w="4199" w:type="dxa"/>
            <w:gridSpan w:val="3"/>
            <w:vAlign w:val="top"/>
          </w:tcPr>
          <w:p w:rsidR="00CB3E52" w:rsidRPr="00CB3E52" w:rsidRDefault="00CB3E52" w:rsidP="00CB3E52">
            <w:pPr>
              <w:pStyle w:val="ECCTableHeaderwhitefont"/>
            </w:pPr>
            <w:r w:rsidRPr="00863970">
              <w:t>Phase 1</w:t>
            </w:r>
          </w:p>
        </w:tc>
        <w:tc>
          <w:tcPr>
            <w:tcW w:w="4199" w:type="dxa"/>
            <w:gridSpan w:val="3"/>
            <w:vAlign w:val="top"/>
          </w:tcPr>
          <w:p w:rsidR="00CB3E52" w:rsidRPr="00CB3E52" w:rsidRDefault="00CB3E52" w:rsidP="00CB3E52">
            <w:pPr>
              <w:pStyle w:val="ECCTableHeaderwhitefont"/>
            </w:pPr>
            <w:r w:rsidRPr="00863970">
              <w:t>Phase 2</w:t>
            </w:r>
          </w:p>
        </w:tc>
      </w:tr>
      <w:tr w:rsidR="00CB3E52" w:rsidRPr="00B467CA" w:rsidTr="00F360FC">
        <w:tc>
          <w:tcPr>
            <w:tcW w:w="1231" w:type="dxa"/>
            <w:vAlign w:val="top"/>
          </w:tcPr>
          <w:p w:rsidR="00CB3E52" w:rsidRPr="00863970" w:rsidRDefault="00CB3E52" w:rsidP="001C2B85">
            <w:pPr>
              <w:pStyle w:val="ECCTabletext"/>
            </w:pPr>
          </w:p>
        </w:tc>
        <w:tc>
          <w:tcPr>
            <w:tcW w:w="1399" w:type="dxa"/>
            <w:vAlign w:val="top"/>
          </w:tcPr>
          <w:p w:rsidR="00CB3E52" w:rsidRPr="00CB3E52" w:rsidRDefault="00CB3E52" w:rsidP="001C2B85">
            <w:pPr>
              <w:pStyle w:val="ECCTabletext"/>
              <w:jc w:val="left"/>
            </w:pPr>
            <w:r w:rsidRPr="00863970">
              <w:t xml:space="preserve">PFD limit for BS emissions in the band 1492-1502 </w:t>
            </w:r>
            <w:r w:rsidRPr="00CB3E52">
              <w:t>MHz (dBm/m</w:t>
            </w:r>
            <w:r w:rsidRPr="00CB3E52">
              <w:rPr>
                <w:rStyle w:val="ECCHLsuperscript"/>
              </w:rPr>
              <w:t>2</w:t>
            </w:r>
            <w:r w:rsidRPr="00CB3E52">
              <w:t>)</w:t>
            </w:r>
          </w:p>
        </w:tc>
        <w:tc>
          <w:tcPr>
            <w:tcW w:w="1400" w:type="dxa"/>
            <w:vAlign w:val="top"/>
          </w:tcPr>
          <w:p w:rsidR="00CB3E52" w:rsidRPr="00CB3E52" w:rsidRDefault="00CB3E52" w:rsidP="001C2B85">
            <w:pPr>
              <w:pStyle w:val="ECCTabletext"/>
              <w:jc w:val="left"/>
            </w:pPr>
            <w:r w:rsidRPr="00863970">
              <w:t>PFD limit for BS emissions in the band 1502-1512 MHz (dBm/m</w:t>
            </w:r>
            <w:r w:rsidRPr="00CB3E52">
              <w:rPr>
                <w:rStyle w:val="ECCHLsuperscript"/>
              </w:rPr>
              <w:t>2</w:t>
            </w:r>
            <w:r w:rsidRPr="00CB3E52">
              <w:t>)</w:t>
            </w:r>
          </w:p>
        </w:tc>
        <w:tc>
          <w:tcPr>
            <w:tcW w:w="1400" w:type="dxa"/>
            <w:vAlign w:val="top"/>
          </w:tcPr>
          <w:p w:rsidR="00CB3E52" w:rsidRPr="00CB3E52" w:rsidRDefault="00CB3E52" w:rsidP="001C2B85">
            <w:pPr>
              <w:pStyle w:val="ECCTabletext"/>
              <w:jc w:val="left"/>
            </w:pPr>
            <w:r w:rsidRPr="00863970">
              <w:t>PFD limit for BS emissions in the band 1512-1517 MHz (dBm/m</w:t>
            </w:r>
            <w:r w:rsidRPr="00CB3E52">
              <w:rPr>
                <w:rStyle w:val="ECCHLsuperscript"/>
              </w:rPr>
              <w:t>2</w:t>
            </w:r>
            <w:r w:rsidRPr="00CB3E52">
              <w:t xml:space="preserve">) </w:t>
            </w:r>
          </w:p>
        </w:tc>
        <w:tc>
          <w:tcPr>
            <w:tcW w:w="1399" w:type="dxa"/>
            <w:vAlign w:val="top"/>
          </w:tcPr>
          <w:p w:rsidR="00CB3E52" w:rsidRPr="00CB3E52" w:rsidRDefault="00CB3E52" w:rsidP="001C2B85">
            <w:pPr>
              <w:pStyle w:val="ECCTabletext"/>
              <w:jc w:val="left"/>
            </w:pPr>
            <w:r w:rsidRPr="00863970">
              <w:t>PFD limit for BS emissions in the band 1492-1502 MHz (dBm/m</w:t>
            </w:r>
            <w:r w:rsidRPr="00CB3E52">
              <w:rPr>
                <w:rStyle w:val="ECCHLsuperscript"/>
              </w:rPr>
              <w:t>2</w:t>
            </w:r>
            <w:r w:rsidRPr="00CB3E52">
              <w:t>)</w:t>
            </w:r>
          </w:p>
        </w:tc>
        <w:tc>
          <w:tcPr>
            <w:tcW w:w="1400" w:type="dxa"/>
            <w:vAlign w:val="top"/>
          </w:tcPr>
          <w:p w:rsidR="00CB3E52" w:rsidRPr="00CB3E52" w:rsidRDefault="00CB3E52" w:rsidP="001C2B85">
            <w:pPr>
              <w:pStyle w:val="ECCTabletext"/>
              <w:jc w:val="left"/>
            </w:pPr>
            <w:r w:rsidRPr="00863970">
              <w:t>PFD limit for BS emissions in the band 1502-1512 MHz (dBm/m</w:t>
            </w:r>
            <w:r w:rsidRPr="00CB3E52">
              <w:rPr>
                <w:rStyle w:val="ECCHLsuperscript"/>
              </w:rPr>
              <w:t>2</w:t>
            </w:r>
            <w:r w:rsidRPr="00CB3E52">
              <w:t>)</w:t>
            </w:r>
          </w:p>
        </w:tc>
        <w:tc>
          <w:tcPr>
            <w:tcW w:w="1400" w:type="dxa"/>
            <w:vAlign w:val="top"/>
          </w:tcPr>
          <w:p w:rsidR="00CB3E52" w:rsidRPr="00CB3E52" w:rsidRDefault="00CB3E52" w:rsidP="001C2B85">
            <w:pPr>
              <w:pStyle w:val="ECCTabletext"/>
              <w:jc w:val="left"/>
            </w:pPr>
            <w:r w:rsidRPr="00863970">
              <w:t>PFD limit for BS emissions in the band 1512-1517 MHz (dBm/m</w:t>
            </w:r>
            <w:r w:rsidRPr="00CB3E52">
              <w:rPr>
                <w:rStyle w:val="ECCHLsuperscript"/>
              </w:rPr>
              <w:t>2</w:t>
            </w:r>
            <w:r w:rsidRPr="00CB3E52">
              <w:t>)</w:t>
            </w:r>
          </w:p>
        </w:tc>
      </w:tr>
      <w:tr w:rsidR="00CB3E52" w:rsidRPr="00B467CA" w:rsidTr="00F360FC">
        <w:tc>
          <w:tcPr>
            <w:tcW w:w="1231" w:type="dxa"/>
            <w:vAlign w:val="top"/>
          </w:tcPr>
          <w:p w:rsidR="00CB3E52" w:rsidRPr="00CB3E52" w:rsidRDefault="00CB3E52" w:rsidP="001C2B85">
            <w:pPr>
              <w:pStyle w:val="ECCTabletext"/>
            </w:pPr>
            <w:r w:rsidRPr="00863970">
              <w:t xml:space="preserve">Ports and inland waterways </w:t>
            </w:r>
          </w:p>
        </w:tc>
        <w:tc>
          <w:tcPr>
            <w:tcW w:w="1399" w:type="dxa"/>
            <w:vAlign w:val="top"/>
          </w:tcPr>
          <w:p w:rsidR="00CB3E52" w:rsidRPr="00CB3E52" w:rsidRDefault="00B97C20" w:rsidP="001C2B85">
            <w:pPr>
              <w:pStyle w:val="ECCTabletext"/>
            </w:pPr>
            <w:r>
              <w:rPr>
                <w:rFonts w:cs="Arial"/>
              </w:rPr>
              <w:t>−</w:t>
            </w:r>
            <w:r>
              <w:t>12.9</w:t>
            </w:r>
          </w:p>
        </w:tc>
        <w:tc>
          <w:tcPr>
            <w:tcW w:w="1400" w:type="dxa"/>
            <w:vAlign w:val="top"/>
          </w:tcPr>
          <w:p w:rsidR="00CB3E52" w:rsidRPr="00CB3E52" w:rsidRDefault="00B97C20" w:rsidP="001C2B85">
            <w:pPr>
              <w:pStyle w:val="ECCTabletext"/>
            </w:pPr>
            <w:r w:rsidRPr="00B97C20">
              <w:t>−</w:t>
            </w:r>
            <w:r>
              <w:t>12.9</w:t>
            </w:r>
          </w:p>
        </w:tc>
        <w:tc>
          <w:tcPr>
            <w:tcW w:w="1400" w:type="dxa"/>
            <w:vAlign w:val="top"/>
          </w:tcPr>
          <w:p w:rsidR="00CB3E52" w:rsidRPr="00CB3E52" w:rsidRDefault="00B97C20" w:rsidP="001C2B85">
            <w:pPr>
              <w:pStyle w:val="ECCTabletext"/>
            </w:pPr>
            <w:r w:rsidRPr="00B97C20">
              <w:t>−</w:t>
            </w:r>
            <w:r w:rsidR="00CB3E52" w:rsidRPr="00863970">
              <w:t>27.9</w:t>
            </w:r>
          </w:p>
        </w:tc>
        <w:tc>
          <w:tcPr>
            <w:tcW w:w="1399" w:type="dxa"/>
            <w:vAlign w:val="top"/>
          </w:tcPr>
          <w:p w:rsidR="00CB3E52" w:rsidRPr="00B97C20" w:rsidRDefault="00CB3E52" w:rsidP="001C2B85">
            <w:pPr>
              <w:pStyle w:val="ECCTabletext"/>
              <w:spacing w:before="60"/>
              <w:jc w:val="left"/>
            </w:pPr>
            <w:r w:rsidRPr="00B97C20">
              <w:t>No limit required</w:t>
            </w:r>
          </w:p>
        </w:tc>
        <w:tc>
          <w:tcPr>
            <w:tcW w:w="1400" w:type="dxa"/>
            <w:vAlign w:val="top"/>
          </w:tcPr>
          <w:p w:rsidR="00CB3E52" w:rsidRPr="00CB3E52" w:rsidRDefault="00CB3E52" w:rsidP="001C2B85">
            <w:pPr>
              <w:pStyle w:val="ECCTabletext"/>
            </w:pPr>
            <w:r w:rsidRPr="00863970">
              <w:t>2.1</w:t>
            </w:r>
          </w:p>
        </w:tc>
        <w:tc>
          <w:tcPr>
            <w:tcW w:w="1400" w:type="dxa"/>
            <w:vAlign w:val="top"/>
          </w:tcPr>
          <w:p w:rsidR="00CB3E52" w:rsidRPr="00CB3E52" w:rsidRDefault="00CB3E52" w:rsidP="001C2B85">
            <w:pPr>
              <w:pStyle w:val="ECCTabletext"/>
            </w:pPr>
            <w:r w:rsidRPr="00863970">
              <w:t>-7.9</w:t>
            </w:r>
          </w:p>
        </w:tc>
      </w:tr>
      <w:tr w:rsidR="00CB3E52" w:rsidRPr="00B467CA" w:rsidTr="00F360FC">
        <w:tc>
          <w:tcPr>
            <w:tcW w:w="1231" w:type="dxa"/>
            <w:vAlign w:val="top"/>
          </w:tcPr>
          <w:p w:rsidR="00CB3E52" w:rsidRPr="00CB3E52" w:rsidRDefault="00CB3E52" w:rsidP="001C2B85">
            <w:pPr>
              <w:pStyle w:val="ECCTabletext"/>
            </w:pPr>
            <w:r w:rsidRPr="00863970">
              <w:t xml:space="preserve">Airports </w:t>
            </w:r>
          </w:p>
        </w:tc>
        <w:tc>
          <w:tcPr>
            <w:tcW w:w="1399" w:type="dxa"/>
            <w:vAlign w:val="top"/>
          </w:tcPr>
          <w:p w:rsidR="00CB3E52" w:rsidRPr="00CB3E52" w:rsidRDefault="00B97C20" w:rsidP="001C2B85">
            <w:pPr>
              <w:pStyle w:val="ECCTabletext"/>
            </w:pPr>
            <w:r w:rsidRPr="00B97C20">
              <w:t>−</w:t>
            </w:r>
            <w:r>
              <w:t>12.9</w:t>
            </w:r>
          </w:p>
        </w:tc>
        <w:tc>
          <w:tcPr>
            <w:tcW w:w="1400" w:type="dxa"/>
            <w:vAlign w:val="top"/>
          </w:tcPr>
          <w:p w:rsidR="00CB3E52" w:rsidRPr="00CB3E52" w:rsidRDefault="00CB3E52" w:rsidP="001C2B85">
            <w:pPr>
              <w:pStyle w:val="ECCTabletext"/>
            </w:pPr>
            <w:r w:rsidRPr="00863970">
              <w:t>-12.9</w:t>
            </w:r>
          </w:p>
        </w:tc>
        <w:tc>
          <w:tcPr>
            <w:tcW w:w="1400" w:type="dxa"/>
            <w:vAlign w:val="top"/>
          </w:tcPr>
          <w:p w:rsidR="00CB3E52" w:rsidRPr="00CB3E52" w:rsidRDefault="00B97C20" w:rsidP="001C2B85">
            <w:pPr>
              <w:pStyle w:val="ECCTabletext"/>
            </w:pPr>
            <w:r w:rsidRPr="00B97C20">
              <w:t>−</w:t>
            </w:r>
            <w:r>
              <w:t>27.9</w:t>
            </w:r>
          </w:p>
        </w:tc>
        <w:tc>
          <w:tcPr>
            <w:tcW w:w="1399" w:type="dxa"/>
            <w:vAlign w:val="top"/>
          </w:tcPr>
          <w:p w:rsidR="00CB3E52" w:rsidRPr="00B97C20" w:rsidRDefault="00CB3E52" w:rsidP="001C2B85">
            <w:pPr>
              <w:pStyle w:val="ECCTabletext"/>
              <w:spacing w:before="60"/>
              <w:jc w:val="left"/>
            </w:pPr>
            <w:r w:rsidRPr="00B97C20">
              <w:t>No limit required</w:t>
            </w:r>
          </w:p>
        </w:tc>
        <w:tc>
          <w:tcPr>
            <w:tcW w:w="1400" w:type="dxa"/>
            <w:vAlign w:val="top"/>
          </w:tcPr>
          <w:p w:rsidR="00CB3E52" w:rsidRPr="00CB3E52" w:rsidRDefault="00CB3E52" w:rsidP="001C2B85">
            <w:pPr>
              <w:pStyle w:val="ECCTabletext"/>
            </w:pPr>
            <w:r w:rsidRPr="00863970">
              <w:t>2.1</w:t>
            </w:r>
          </w:p>
        </w:tc>
        <w:tc>
          <w:tcPr>
            <w:tcW w:w="1400" w:type="dxa"/>
            <w:vAlign w:val="top"/>
          </w:tcPr>
          <w:p w:rsidR="00CB3E52" w:rsidRPr="00CB3E52" w:rsidRDefault="00CB3E52" w:rsidP="001C2B85">
            <w:pPr>
              <w:pStyle w:val="ECCTabletext"/>
            </w:pPr>
            <w:r w:rsidRPr="00863970">
              <w:t>-7.9</w:t>
            </w:r>
          </w:p>
        </w:tc>
      </w:tr>
    </w:tbl>
    <w:p w:rsidR="00863970" w:rsidRPr="00CF05D2" w:rsidRDefault="00863970" w:rsidP="00863970">
      <w:pPr>
        <w:pStyle w:val="Caption"/>
        <w:rPr>
          <w:lang w:val="en-GB"/>
        </w:rPr>
      </w:pPr>
      <w:r w:rsidRPr="00CF05D2">
        <w:rPr>
          <w:lang w:val="en-GB"/>
        </w:rPr>
        <w:t xml:space="preserve">Table </w:t>
      </w:r>
      <w:r w:rsidRPr="00E1626F">
        <w:fldChar w:fldCharType="begin"/>
      </w:r>
      <w:r w:rsidRPr="00E42FCC">
        <w:rPr>
          <w:lang w:val="en-US"/>
        </w:rPr>
        <w:instrText xml:space="preserve"> SEQ Table \* ARABIC </w:instrText>
      </w:r>
      <w:r w:rsidRPr="00E1626F">
        <w:fldChar w:fldCharType="separate"/>
      </w:r>
      <w:r w:rsidR="00E9777B">
        <w:rPr>
          <w:noProof/>
          <w:lang w:val="en-US"/>
        </w:rPr>
        <w:t>11</w:t>
      </w:r>
      <w:r w:rsidRPr="00E1626F">
        <w:fldChar w:fldCharType="end"/>
      </w:r>
      <w:r w:rsidR="00D51582" w:rsidRPr="00D51582">
        <w:rPr>
          <w:lang w:val="en-GB"/>
        </w:rPr>
        <w:t>:</w:t>
      </w:r>
      <w:r w:rsidRPr="00CF05D2">
        <w:rPr>
          <w:lang w:val="en-GB"/>
        </w:rPr>
        <w:t xml:space="preserve"> PFD limits on MFCN BS transmitting multiple channels</w:t>
      </w:r>
    </w:p>
    <w:tbl>
      <w:tblPr>
        <w:tblStyle w:val="ECCTable-redheader"/>
        <w:tblW w:w="0" w:type="auto"/>
        <w:jc w:val="left"/>
        <w:tblInd w:w="0" w:type="dxa"/>
        <w:tblLook w:val="04A0" w:firstRow="1" w:lastRow="0" w:firstColumn="1" w:lastColumn="0" w:noHBand="0" w:noVBand="1"/>
      </w:tblPr>
      <w:tblGrid>
        <w:gridCol w:w="1231"/>
        <w:gridCol w:w="1399"/>
        <w:gridCol w:w="1400"/>
        <w:gridCol w:w="1400"/>
        <w:gridCol w:w="1399"/>
        <w:gridCol w:w="1400"/>
        <w:gridCol w:w="1400"/>
      </w:tblGrid>
      <w:tr w:rsidR="00863970" w:rsidRPr="00E1626F" w:rsidTr="00E1626F">
        <w:trPr>
          <w:cnfStyle w:val="100000000000" w:firstRow="1" w:lastRow="0" w:firstColumn="0" w:lastColumn="0" w:oddVBand="0" w:evenVBand="0" w:oddHBand="0" w:evenHBand="0" w:firstRowFirstColumn="0" w:firstRowLastColumn="0" w:lastRowFirstColumn="0" w:lastRowLastColumn="0"/>
          <w:jc w:val="left"/>
        </w:trPr>
        <w:tc>
          <w:tcPr>
            <w:tcW w:w="1231" w:type="dxa"/>
            <w:vAlign w:val="top"/>
          </w:tcPr>
          <w:p w:rsidR="00863970" w:rsidRPr="00E1626F" w:rsidRDefault="00863970" w:rsidP="00CF05D2">
            <w:pPr>
              <w:pStyle w:val="ECCTableHeaderwhitefont"/>
              <w:rPr>
                <w:rStyle w:val="ECCParagraph"/>
                <w:color w:val="D2232A"/>
              </w:rPr>
            </w:pPr>
            <w:r w:rsidRPr="00E1626F">
              <w:t>Phase</w:t>
            </w:r>
          </w:p>
        </w:tc>
        <w:tc>
          <w:tcPr>
            <w:tcW w:w="4199" w:type="dxa"/>
            <w:gridSpan w:val="3"/>
            <w:vAlign w:val="top"/>
          </w:tcPr>
          <w:p w:rsidR="00863970" w:rsidRPr="00E1626F" w:rsidRDefault="00863970" w:rsidP="00CF05D2">
            <w:pPr>
              <w:pStyle w:val="ECCTableHeaderwhitefont"/>
              <w:rPr>
                <w:rStyle w:val="ECCParagraph"/>
                <w:color w:val="D2232A"/>
              </w:rPr>
            </w:pPr>
            <w:r w:rsidRPr="00E1626F">
              <w:t>Phase 1</w:t>
            </w:r>
          </w:p>
        </w:tc>
        <w:tc>
          <w:tcPr>
            <w:tcW w:w="4199" w:type="dxa"/>
            <w:gridSpan w:val="3"/>
            <w:vAlign w:val="top"/>
          </w:tcPr>
          <w:p w:rsidR="00863970" w:rsidRPr="00E1626F" w:rsidRDefault="00863970" w:rsidP="00CF05D2">
            <w:pPr>
              <w:pStyle w:val="ECCTableHeaderwhitefont"/>
              <w:rPr>
                <w:rStyle w:val="ECCParagraph"/>
                <w:color w:val="D2232A"/>
              </w:rPr>
            </w:pPr>
            <w:r w:rsidRPr="00E1626F">
              <w:t>Phase 2</w:t>
            </w:r>
          </w:p>
        </w:tc>
      </w:tr>
      <w:tr w:rsidR="00863970" w:rsidRPr="00E1626F" w:rsidTr="00E1626F">
        <w:trPr>
          <w:jc w:val="left"/>
        </w:trPr>
        <w:tc>
          <w:tcPr>
            <w:tcW w:w="1231" w:type="dxa"/>
            <w:vAlign w:val="top"/>
          </w:tcPr>
          <w:p w:rsidR="00863970" w:rsidRPr="00E1626F" w:rsidRDefault="00863970" w:rsidP="001C2B85">
            <w:pPr>
              <w:pStyle w:val="ECCTabletext"/>
              <w:rPr>
                <w:rStyle w:val="ECCParagraph"/>
                <w:b/>
                <w:bCs/>
                <w:color w:val="FFFFFF" w:themeColor="background1"/>
                <w:szCs w:val="20"/>
              </w:rPr>
            </w:pPr>
          </w:p>
        </w:tc>
        <w:tc>
          <w:tcPr>
            <w:tcW w:w="1399" w:type="dxa"/>
            <w:vAlign w:val="top"/>
          </w:tcPr>
          <w:p w:rsidR="00863970" w:rsidRPr="00E1626F" w:rsidRDefault="00863970" w:rsidP="001C2B85">
            <w:pPr>
              <w:pStyle w:val="ECCTabletext"/>
              <w:jc w:val="left"/>
              <w:rPr>
                <w:rStyle w:val="ECCParagraph"/>
                <w:b/>
                <w:bCs/>
                <w:color w:val="FFFFFF" w:themeColor="background1"/>
                <w:szCs w:val="20"/>
                <w:lang w:eastAsia="en-US"/>
              </w:rPr>
            </w:pPr>
            <w:r w:rsidRPr="00E1626F">
              <w:t>PFD limit for BS emissions in the band 1492-1502 MHz (dBm/m</w:t>
            </w:r>
            <w:r w:rsidRPr="00E1626F">
              <w:rPr>
                <w:rStyle w:val="ECCHLsuperscript"/>
              </w:rPr>
              <w:t>2</w:t>
            </w:r>
            <w:r w:rsidRPr="00E1626F">
              <w:t>)</w:t>
            </w:r>
          </w:p>
        </w:tc>
        <w:tc>
          <w:tcPr>
            <w:tcW w:w="1400" w:type="dxa"/>
            <w:vAlign w:val="top"/>
          </w:tcPr>
          <w:p w:rsidR="00863970" w:rsidRPr="00E1626F" w:rsidRDefault="00863970" w:rsidP="001C2B85">
            <w:pPr>
              <w:pStyle w:val="ECCTabletext"/>
              <w:jc w:val="left"/>
              <w:rPr>
                <w:rStyle w:val="ECCParagraph"/>
                <w:b/>
                <w:bCs/>
                <w:color w:val="FFFFFF" w:themeColor="background1"/>
                <w:szCs w:val="20"/>
                <w:lang w:eastAsia="en-US"/>
              </w:rPr>
            </w:pPr>
            <w:r w:rsidRPr="00E1626F">
              <w:t>PFD limit for BS emissions in the band 1502-1512 MHz (dBm/m</w:t>
            </w:r>
            <w:r w:rsidRPr="00E1626F">
              <w:rPr>
                <w:rStyle w:val="ECCHLsuperscript"/>
              </w:rPr>
              <w:t>2</w:t>
            </w:r>
            <w:r w:rsidRPr="00E1626F">
              <w:t>)</w:t>
            </w:r>
          </w:p>
        </w:tc>
        <w:tc>
          <w:tcPr>
            <w:tcW w:w="1400" w:type="dxa"/>
            <w:vAlign w:val="top"/>
          </w:tcPr>
          <w:p w:rsidR="00863970" w:rsidRPr="00E1626F" w:rsidRDefault="00863970" w:rsidP="001C2B85">
            <w:pPr>
              <w:pStyle w:val="ECCTabletext"/>
              <w:jc w:val="left"/>
              <w:rPr>
                <w:rStyle w:val="ECCParagraph"/>
                <w:b/>
                <w:bCs/>
                <w:color w:val="FFFFFF" w:themeColor="background1"/>
                <w:szCs w:val="20"/>
                <w:lang w:eastAsia="en-US"/>
              </w:rPr>
            </w:pPr>
            <w:r w:rsidRPr="00E1626F">
              <w:t>PFD limit for BS emissions in the band 1512-1517 MHz (dBm/m</w:t>
            </w:r>
            <w:r w:rsidRPr="00E1626F">
              <w:rPr>
                <w:rStyle w:val="ECCHLsuperscript"/>
              </w:rPr>
              <w:t>2</w:t>
            </w:r>
            <w:r w:rsidRPr="00E1626F">
              <w:t xml:space="preserve">) </w:t>
            </w:r>
          </w:p>
        </w:tc>
        <w:tc>
          <w:tcPr>
            <w:tcW w:w="1399" w:type="dxa"/>
            <w:vAlign w:val="top"/>
          </w:tcPr>
          <w:p w:rsidR="00863970" w:rsidRPr="00E1626F" w:rsidRDefault="00863970" w:rsidP="001C2B85">
            <w:pPr>
              <w:pStyle w:val="ECCTabletext"/>
              <w:jc w:val="left"/>
              <w:rPr>
                <w:rStyle w:val="ECCParagraph"/>
                <w:b/>
                <w:bCs/>
                <w:color w:val="FFFFFF" w:themeColor="background1"/>
                <w:szCs w:val="20"/>
                <w:lang w:eastAsia="en-US"/>
              </w:rPr>
            </w:pPr>
            <w:r w:rsidRPr="00E1626F">
              <w:t>PFD limit for BS emissions in the band 1492-1502 MHz (dBm/m</w:t>
            </w:r>
            <w:r w:rsidRPr="00E1626F">
              <w:rPr>
                <w:rStyle w:val="ECCHLsuperscript"/>
              </w:rPr>
              <w:t>2</w:t>
            </w:r>
            <w:r w:rsidRPr="00E1626F">
              <w:t>)</w:t>
            </w:r>
          </w:p>
        </w:tc>
        <w:tc>
          <w:tcPr>
            <w:tcW w:w="1400" w:type="dxa"/>
            <w:vAlign w:val="top"/>
          </w:tcPr>
          <w:p w:rsidR="00863970" w:rsidRPr="00E1626F" w:rsidRDefault="00863970" w:rsidP="001C2B85">
            <w:pPr>
              <w:pStyle w:val="ECCTabletext"/>
              <w:jc w:val="left"/>
              <w:rPr>
                <w:rStyle w:val="ECCParagraph"/>
                <w:b/>
                <w:bCs/>
                <w:color w:val="FFFFFF" w:themeColor="background1"/>
                <w:szCs w:val="20"/>
                <w:lang w:eastAsia="en-US"/>
              </w:rPr>
            </w:pPr>
            <w:r w:rsidRPr="00E1626F">
              <w:t>PFD limit for BS emissions in the band 1502-1512 MHz (dBm/m</w:t>
            </w:r>
            <w:r w:rsidRPr="00E1626F">
              <w:rPr>
                <w:rStyle w:val="ECCHLsuperscript"/>
              </w:rPr>
              <w:t>2</w:t>
            </w:r>
            <w:r w:rsidRPr="00E1626F">
              <w:t>)</w:t>
            </w:r>
          </w:p>
        </w:tc>
        <w:tc>
          <w:tcPr>
            <w:tcW w:w="1400" w:type="dxa"/>
            <w:vAlign w:val="top"/>
          </w:tcPr>
          <w:p w:rsidR="00863970" w:rsidRPr="00E1626F" w:rsidRDefault="00863970" w:rsidP="001C2B85">
            <w:pPr>
              <w:pStyle w:val="ECCTabletext"/>
              <w:jc w:val="left"/>
              <w:rPr>
                <w:rStyle w:val="ECCParagraph"/>
                <w:b/>
                <w:bCs/>
                <w:color w:val="FFFFFF" w:themeColor="background1"/>
                <w:szCs w:val="20"/>
                <w:lang w:eastAsia="en-US"/>
              </w:rPr>
            </w:pPr>
            <w:r w:rsidRPr="00E1626F">
              <w:t>PFD limit for BS emissions in the band 1512-1517 MHz (dBm/m</w:t>
            </w:r>
            <w:r w:rsidRPr="00E1626F">
              <w:rPr>
                <w:rStyle w:val="ECCHLsuperscript"/>
              </w:rPr>
              <w:t>2</w:t>
            </w:r>
            <w:r w:rsidRPr="00E1626F">
              <w:t>)</w:t>
            </w:r>
          </w:p>
        </w:tc>
      </w:tr>
      <w:tr w:rsidR="00863970" w:rsidRPr="00E1626F" w:rsidTr="00E1626F">
        <w:trPr>
          <w:jc w:val="left"/>
        </w:trPr>
        <w:tc>
          <w:tcPr>
            <w:tcW w:w="1231" w:type="dxa"/>
            <w:vAlign w:val="top"/>
          </w:tcPr>
          <w:p w:rsidR="00863970" w:rsidRPr="00E1626F" w:rsidRDefault="00863970" w:rsidP="001C2B85">
            <w:pPr>
              <w:pStyle w:val="ECCTabletext"/>
              <w:rPr>
                <w:rStyle w:val="ECCParagraph"/>
              </w:rPr>
            </w:pPr>
            <w:r w:rsidRPr="00E1626F">
              <w:t xml:space="preserve">Ports and inland waterways </w:t>
            </w:r>
          </w:p>
        </w:tc>
        <w:tc>
          <w:tcPr>
            <w:tcW w:w="1399" w:type="dxa"/>
            <w:vAlign w:val="top"/>
          </w:tcPr>
          <w:p w:rsidR="00863970" w:rsidRPr="00E1626F" w:rsidRDefault="00863970" w:rsidP="001C2B85">
            <w:pPr>
              <w:pStyle w:val="ECCTabletext"/>
              <w:jc w:val="left"/>
              <w:rPr>
                <w:rStyle w:val="ECCParagraph"/>
                <w:lang w:eastAsia="en-US"/>
              </w:rPr>
            </w:pPr>
            <w:r w:rsidRPr="00E1626F">
              <w:t>-</w:t>
            </w:r>
            <w:r w:rsidR="00CE78CD" w:rsidRPr="00E1626F">
              <w:t>1</w:t>
            </w:r>
            <w:r w:rsidRPr="00E1626F">
              <w:t>2.9</w:t>
            </w:r>
          </w:p>
        </w:tc>
        <w:tc>
          <w:tcPr>
            <w:tcW w:w="1400" w:type="dxa"/>
            <w:vAlign w:val="top"/>
          </w:tcPr>
          <w:p w:rsidR="00863970" w:rsidRPr="00E1626F" w:rsidRDefault="00863970" w:rsidP="001C2B85">
            <w:pPr>
              <w:pStyle w:val="ECCTabletext"/>
              <w:jc w:val="left"/>
              <w:rPr>
                <w:rStyle w:val="ECCParagraph"/>
                <w:lang w:eastAsia="en-US"/>
              </w:rPr>
            </w:pPr>
            <w:r w:rsidRPr="00E1626F">
              <w:t>-</w:t>
            </w:r>
            <w:r w:rsidR="00CE78CD" w:rsidRPr="00E1626F">
              <w:t>1</w:t>
            </w:r>
            <w:r w:rsidRPr="00E1626F">
              <w:t>2.9</w:t>
            </w:r>
          </w:p>
        </w:tc>
        <w:tc>
          <w:tcPr>
            <w:tcW w:w="1400" w:type="dxa"/>
            <w:vAlign w:val="top"/>
          </w:tcPr>
          <w:p w:rsidR="00863970" w:rsidRPr="00E1626F" w:rsidRDefault="00863970" w:rsidP="001C2B85">
            <w:pPr>
              <w:pStyle w:val="ECCTabletext"/>
              <w:jc w:val="left"/>
              <w:rPr>
                <w:rStyle w:val="ECCParagraph"/>
                <w:lang w:eastAsia="en-US"/>
              </w:rPr>
            </w:pPr>
            <w:r w:rsidRPr="00E1626F">
              <w:t>-27.9</w:t>
            </w:r>
          </w:p>
        </w:tc>
        <w:tc>
          <w:tcPr>
            <w:tcW w:w="1399" w:type="dxa"/>
            <w:vAlign w:val="top"/>
          </w:tcPr>
          <w:p w:rsidR="00863970" w:rsidRPr="00E1626F" w:rsidRDefault="00863970" w:rsidP="001C2B85">
            <w:pPr>
              <w:pStyle w:val="ECCTabletext"/>
              <w:jc w:val="left"/>
              <w:rPr>
                <w:rStyle w:val="ECCParagraph"/>
                <w:lang w:eastAsia="en-US"/>
              </w:rPr>
            </w:pPr>
            <w:r w:rsidRPr="00E1626F">
              <w:t>No limit required</w:t>
            </w:r>
          </w:p>
        </w:tc>
        <w:tc>
          <w:tcPr>
            <w:tcW w:w="1400" w:type="dxa"/>
            <w:vAlign w:val="top"/>
          </w:tcPr>
          <w:p w:rsidR="00863970" w:rsidRPr="00E1626F" w:rsidRDefault="00863970" w:rsidP="001C2B85">
            <w:pPr>
              <w:pStyle w:val="ECCTabletext"/>
              <w:jc w:val="left"/>
              <w:rPr>
                <w:rStyle w:val="ECCParagraph"/>
                <w:lang w:eastAsia="en-US"/>
              </w:rPr>
            </w:pPr>
            <w:r w:rsidRPr="00E1626F">
              <w:t>2.1</w:t>
            </w:r>
          </w:p>
        </w:tc>
        <w:tc>
          <w:tcPr>
            <w:tcW w:w="1400" w:type="dxa"/>
            <w:vAlign w:val="top"/>
          </w:tcPr>
          <w:p w:rsidR="00863970" w:rsidRPr="00E1626F" w:rsidRDefault="00863970" w:rsidP="001C2B85">
            <w:pPr>
              <w:pStyle w:val="ECCTabletext"/>
              <w:jc w:val="left"/>
              <w:rPr>
                <w:rStyle w:val="ECCParagraph"/>
                <w:lang w:eastAsia="en-US"/>
              </w:rPr>
            </w:pPr>
            <w:r w:rsidRPr="00E1626F">
              <w:t>-7.9</w:t>
            </w:r>
          </w:p>
        </w:tc>
      </w:tr>
      <w:tr w:rsidR="00863970" w:rsidRPr="00E1626F" w:rsidTr="00E1626F">
        <w:trPr>
          <w:jc w:val="left"/>
        </w:trPr>
        <w:tc>
          <w:tcPr>
            <w:tcW w:w="1231" w:type="dxa"/>
            <w:vAlign w:val="top"/>
          </w:tcPr>
          <w:p w:rsidR="00863970" w:rsidRPr="00E1626F" w:rsidRDefault="00863970" w:rsidP="001C2B85">
            <w:pPr>
              <w:pStyle w:val="ECCTabletext"/>
              <w:rPr>
                <w:rStyle w:val="ECCParagraph"/>
              </w:rPr>
            </w:pPr>
            <w:r w:rsidRPr="00E1626F">
              <w:t xml:space="preserve">Airports </w:t>
            </w:r>
          </w:p>
        </w:tc>
        <w:tc>
          <w:tcPr>
            <w:tcW w:w="1399" w:type="dxa"/>
            <w:vAlign w:val="top"/>
          </w:tcPr>
          <w:p w:rsidR="00863970" w:rsidRPr="00E1626F" w:rsidRDefault="00CE78CD" w:rsidP="001C2B85">
            <w:pPr>
              <w:pStyle w:val="ECCTabletext"/>
              <w:jc w:val="left"/>
              <w:rPr>
                <w:rStyle w:val="ECCParagraph"/>
                <w:lang w:eastAsia="en-US"/>
              </w:rPr>
            </w:pPr>
            <w:r w:rsidRPr="00E1626F">
              <w:t>-</w:t>
            </w:r>
            <w:r w:rsidR="00863970" w:rsidRPr="00E1626F">
              <w:t>1</w:t>
            </w:r>
            <w:r w:rsidRPr="00E1626F">
              <w:t>2</w:t>
            </w:r>
            <w:r w:rsidR="00863970" w:rsidRPr="00E1626F">
              <w:t>.</w:t>
            </w:r>
            <w:r w:rsidRPr="00E1626F">
              <w:t>9</w:t>
            </w:r>
          </w:p>
        </w:tc>
        <w:tc>
          <w:tcPr>
            <w:tcW w:w="1400" w:type="dxa"/>
            <w:vAlign w:val="top"/>
          </w:tcPr>
          <w:p w:rsidR="00863970" w:rsidRPr="00E1626F" w:rsidRDefault="00863970" w:rsidP="001C2B85">
            <w:pPr>
              <w:pStyle w:val="ECCTabletext"/>
              <w:jc w:val="left"/>
              <w:rPr>
                <w:rStyle w:val="ECCParagraph"/>
                <w:lang w:eastAsia="en-US"/>
              </w:rPr>
            </w:pPr>
            <w:r w:rsidRPr="00E1626F">
              <w:t>-12.9</w:t>
            </w:r>
          </w:p>
        </w:tc>
        <w:tc>
          <w:tcPr>
            <w:tcW w:w="1400" w:type="dxa"/>
            <w:vAlign w:val="top"/>
          </w:tcPr>
          <w:p w:rsidR="00863970" w:rsidRPr="00E1626F" w:rsidRDefault="00863970" w:rsidP="001C2B85">
            <w:pPr>
              <w:pStyle w:val="ECCTabletext"/>
              <w:jc w:val="left"/>
              <w:rPr>
                <w:rStyle w:val="ECCParagraph"/>
                <w:lang w:eastAsia="en-US"/>
              </w:rPr>
            </w:pPr>
            <w:r w:rsidRPr="00E1626F">
              <w:t>-27.</w:t>
            </w:r>
            <w:r w:rsidR="00CE78CD" w:rsidRPr="00E1626F">
              <w:t>9</w:t>
            </w:r>
          </w:p>
        </w:tc>
        <w:tc>
          <w:tcPr>
            <w:tcW w:w="1399" w:type="dxa"/>
            <w:vAlign w:val="top"/>
          </w:tcPr>
          <w:p w:rsidR="00863970" w:rsidRPr="00E1626F" w:rsidRDefault="00863970" w:rsidP="001C2B85">
            <w:pPr>
              <w:pStyle w:val="ECCTabletext"/>
              <w:jc w:val="left"/>
              <w:rPr>
                <w:rStyle w:val="ECCParagraph"/>
                <w:lang w:eastAsia="en-US"/>
              </w:rPr>
            </w:pPr>
            <w:r w:rsidRPr="00E1626F">
              <w:t>No limit required</w:t>
            </w:r>
          </w:p>
        </w:tc>
        <w:tc>
          <w:tcPr>
            <w:tcW w:w="1400" w:type="dxa"/>
            <w:vAlign w:val="top"/>
          </w:tcPr>
          <w:p w:rsidR="00863970" w:rsidRPr="00E1626F" w:rsidRDefault="00863970" w:rsidP="001C2B85">
            <w:pPr>
              <w:pStyle w:val="ECCTabletext"/>
              <w:jc w:val="left"/>
              <w:rPr>
                <w:rStyle w:val="ECCParagraph"/>
                <w:lang w:eastAsia="en-US"/>
              </w:rPr>
            </w:pPr>
            <w:r w:rsidRPr="00E1626F">
              <w:t>2.1</w:t>
            </w:r>
          </w:p>
        </w:tc>
        <w:tc>
          <w:tcPr>
            <w:tcW w:w="1400" w:type="dxa"/>
            <w:vAlign w:val="top"/>
          </w:tcPr>
          <w:p w:rsidR="00863970" w:rsidRPr="00E1626F" w:rsidRDefault="00863970" w:rsidP="001C2B85">
            <w:pPr>
              <w:pStyle w:val="ECCTabletext"/>
              <w:jc w:val="left"/>
              <w:rPr>
                <w:rStyle w:val="ECCParagraph"/>
                <w:lang w:eastAsia="en-US"/>
              </w:rPr>
            </w:pPr>
            <w:r w:rsidRPr="00E1626F">
              <w:t>-7.9</w:t>
            </w:r>
          </w:p>
        </w:tc>
      </w:tr>
    </w:tbl>
    <w:p w:rsidR="00863970" w:rsidRPr="00863970" w:rsidRDefault="00CC2728" w:rsidP="001800CD">
      <w:pPr>
        <w:pStyle w:val="ECCAnnexheading2"/>
        <w:rPr>
          <w:rStyle w:val="ECCParagraph"/>
          <w:rFonts w:eastAsia="Calibri"/>
          <w:b w:val="0"/>
          <w:bCs/>
          <w:caps w:val="0"/>
          <w:szCs w:val="22"/>
          <w:lang w:eastAsia="de-DE"/>
        </w:rPr>
      </w:pPr>
      <w:r>
        <w:rPr>
          <w:rStyle w:val="ECCParagraph"/>
        </w:rPr>
        <w:t>Examples of</w:t>
      </w:r>
      <w:r w:rsidR="00863970" w:rsidRPr="00863970">
        <w:rPr>
          <w:rStyle w:val="ECCParagraph"/>
        </w:rPr>
        <w:t xml:space="preserve"> PFD limits based on blocking measurements performed by some manufacturers</w:t>
      </w:r>
    </w:p>
    <w:p w:rsidR="00863970" w:rsidRPr="00E1626F" w:rsidRDefault="00922D9C" w:rsidP="00863970">
      <w:r w:rsidRPr="00B1234C">
        <w:t>For phase 1, t</w:t>
      </w:r>
      <w:r w:rsidR="00863970" w:rsidRPr="00B1234C">
        <w:t>he</w:t>
      </w:r>
      <w:r w:rsidR="00863970" w:rsidRPr="00E1626F">
        <w:t xml:space="preserve"> PFD limits in this section are based on the blocking measurements </w:t>
      </w:r>
      <w:r w:rsidR="002A6F40" w:rsidRPr="00E1626F">
        <w:t xml:space="preserve">of the most susceptible terminal </w:t>
      </w:r>
      <w:r w:rsidR="00863970" w:rsidRPr="00E1626F">
        <w:t xml:space="preserve">performed by some Satcom manufacturers which were presented in </w:t>
      </w:r>
      <w:r w:rsidR="005D69F0">
        <w:rPr>
          <w:rStyle w:val="ECCParagraph"/>
        </w:rPr>
        <w:t>s</w:t>
      </w:r>
      <w:r w:rsidR="00863970" w:rsidRPr="00CC2AF4">
        <w:t>ections</w:t>
      </w:r>
      <w:r w:rsidR="00863970" w:rsidRPr="00E1626F">
        <w:t xml:space="preserve"> </w:t>
      </w:r>
      <w:r w:rsidR="00863970" w:rsidRPr="00E1626F">
        <w:fldChar w:fldCharType="begin"/>
      </w:r>
      <w:r w:rsidR="00863970" w:rsidRPr="00E1626F">
        <w:instrText xml:space="preserve"> REF _Ref525118785 \r \h </w:instrText>
      </w:r>
      <w:r w:rsidR="008B5E2A" w:rsidRPr="00E1626F">
        <w:instrText xml:space="preserve"> \* MERGEFORMAT </w:instrText>
      </w:r>
      <w:r w:rsidR="00863970" w:rsidRPr="00E1626F">
        <w:fldChar w:fldCharType="separate"/>
      </w:r>
      <w:r w:rsidR="00E9777B" w:rsidRPr="00CA18B5">
        <w:rPr>
          <w:rStyle w:val="ECCParagraph"/>
        </w:rPr>
        <w:t>2.1</w:t>
      </w:r>
      <w:r w:rsidR="00863970" w:rsidRPr="00E1626F">
        <w:fldChar w:fldCharType="end"/>
      </w:r>
      <w:r w:rsidR="00863970" w:rsidRPr="00E1626F">
        <w:t xml:space="preserve"> and </w:t>
      </w:r>
      <w:r w:rsidR="00863970" w:rsidRPr="00E1626F">
        <w:fldChar w:fldCharType="begin"/>
      </w:r>
      <w:r w:rsidR="00863970" w:rsidRPr="00E1626F">
        <w:instrText xml:space="preserve"> REF _Ref525118792 \r \h </w:instrText>
      </w:r>
      <w:r w:rsidR="008B5E2A" w:rsidRPr="00E1626F">
        <w:instrText xml:space="preserve"> \* MERGEFORMAT </w:instrText>
      </w:r>
      <w:r w:rsidR="00863970" w:rsidRPr="00E1626F">
        <w:fldChar w:fldCharType="separate"/>
      </w:r>
      <w:r w:rsidR="00E9777B" w:rsidRPr="00CA18B5">
        <w:rPr>
          <w:rStyle w:val="ECCParagraph"/>
        </w:rPr>
        <w:t>2.2</w:t>
      </w:r>
      <w:r w:rsidR="00863970" w:rsidRPr="00E1626F">
        <w:fldChar w:fldCharType="end"/>
      </w:r>
      <w:r w:rsidR="00863970" w:rsidRPr="00E1626F">
        <w:t>.</w:t>
      </w:r>
      <w:r w:rsidRPr="007C615B">
        <w:t xml:space="preserve"> </w:t>
      </w:r>
      <w:r w:rsidRPr="002E2408">
        <w:t>For phase 2, the PFD limits in table 12 are</w:t>
      </w:r>
      <w:r w:rsidR="00482405" w:rsidRPr="002E2408">
        <w:t xml:space="preserve"> based on </w:t>
      </w:r>
      <w:r w:rsidR="00A023EA" w:rsidRPr="00D51582">
        <w:t>−</w:t>
      </w:r>
      <w:r w:rsidRPr="002E2408">
        <w:t>20</w:t>
      </w:r>
      <w:r w:rsidR="00482405" w:rsidRPr="002E2408">
        <w:t xml:space="preserve"> dBm and </w:t>
      </w:r>
      <w:r w:rsidR="00A023EA" w:rsidRPr="00D51582">
        <w:t>−</w:t>
      </w:r>
      <w:r w:rsidR="00482405" w:rsidRPr="002E2408">
        <w:t xml:space="preserve">30 dBm blocking </w:t>
      </w:r>
      <w:r w:rsidR="00582821" w:rsidRPr="002E2408">
        <w:t xml:space="preserve">levels </w:t>
      </w:r>
      <w:r w:rsidR="00482405" w:rsidRPr="002E2408">
        <w:t xml:space="preserve">resulting from the band </w:t>
      </w:r>
      <w:r w:rsidR="00482405" w:rsidRPr="007C615B">
        <w:lastRenderedPageBreak/>
        <w:t>1502-1512 MHz</w:t>
      </w:r>
      <w:r w:rsidR="00482405" w:rsidRPr="002E2408">
        <w:t xml:space="preserve"> and the band </w:t>
      </w:r>
      <w:r w:rsidR="00482405" w:rsidRPr="007C615B">
        <w:t xml:space="preserve">1512-1517 MHz respectively; and the PFD limits in table 13 </w:t>
      </w:r>
      <w:r w:rsidR="00582821" w:rsidRPr="002E2408">
        <w:t xml:space="preserve">are based on </w:t>
      </w:r>
      <w:r w:rsidR="00A023EA" w:rsidRPr="00D51582">
        <w:t>−</w:t>
      </w:r>
      <w:r w:rsidR="00582821" w:rsidRPr="002E2408">
        <w:t xml:space="preserve">23 dBm and </w:t>
      </w:r>
      <w:r w:rsidR="00A023EA" w:rsidRPr="00D51582">
        <w:t>−</w:t>
      </w:r>
      <w:r w:rsidR="00582821" w:rsidRPr="002E2408">
        <w:t xml:space="preserve">33 dBm blocking levels resulting from the band </w:t>
      </w:r>
      <w:r w:rsidR="00582821" w:rsidRPr="007C615B">
        <w:t>1492-1512 MHz</w:t>
      </w:r>
      <w:r w:rsidR="00582821" w:rsidRPr="002E2408">
        <w:t xml:space="preserve"> and the band </w:t>
      </w:r>
      <w:r w:rsidR="00582821" w:rsidRPr="007C615B">
        <w:t>1512-1517 MHz respectively.</w:t>
      </w:r>
      <w:r w:rsidRPr="002E2408">
        <w:t xml:space="preserve"> </w:t>
      </w:r>
    </w:p>
    <w:p w:rsidR="00863970" w:rsidRPr="00CF05D2" w:rsidRDefault="00863970" w:rsidP="008B5E2A">
      <w:pPr>
        <w:pStyle w:val="Caption"/>
        <w:keepNext/>
        <w:rPr>
          <w:lang w:val="en-GB"/>
        </w:rPr>
      </w:pPr>
      <w:r w:rsidRPr="00CF05D2">
        <w:rPr>
          <w:lang w:val="en-GB"/>
        </w:rPr>
        <w:t xml:space="preserve">Table </w:t>
      </w:r>
      <w:r w:rsidRPr="00CF05D2">
        <w:rPr>
          <w:lang w:val="en-GB"/>
        </w:rPr>
        <w:fldChar w:fldCharType="begin"/>
      </w:r>
      <w:r w:rsidRPr="00E42FCC">
        <w:rPr>
          <w:lang w:val="en-US"/>
        </w:rPr>
        <w:instrText xml:space="preserve"> SEQ Table \* ARABIC </w:instrText>
      </w:r>
      <w:r w:rsidRPr="00CF05D2">
        <w:rPr>
          <w:lang w:val="en-GB"/>
        </w:rPr>
        <w:fldChar w:fldCharType="separate"/>
      </w:r>
      <w:r w:rsidR="00E9777B">
        <w:rPr>
          <w:noProof/>
          <w:lang w:val="en-US"/>
        </w:rPr>
        <w:t>12</w:t>
      </w:r>
      <w:r w:rsidRPr="00CF05D2">
        <w:rPr>
          <w:lang w:val="en-GB"/>
        </w:rPr>
        <w:fldChar w:fldCharType="end"/>
      </w:r>
      <w:r w:rsidR="00D51582" w:rsidRPr="00D51582">
        <w:rPr>
          <w:lang w:val="en-GB"/>
        </w:rPr>
        <w:t>:</w:t>
      </w:r>
      <w:r w:rsidRPr="00CF05D2">
        <w:rPr>
          <w:lang w:val="en-GB"/>
        </w:rPr>
        <w:t xml:space="preserve"> PFD limits on MFCN BS transmitting a single channel</w:t>
      </w:r>
    </w:p>
    <w:tbl>
      <w:tblPr>
        <w:tblStyle w:val="ECCTable-redheader"/>
        <w:tblW w:w="0" w:type="auto"/>
        <w:tblInd w:w="0" w:type="dxa"/>
        <w:tblLook w:val="04A0" w:firstRow="1" w:lastRow="0" w:firstColumn="1" w:lastColumn="0" w:noHBand="0" w:noVBand="1"/>
      </w:tblPr>
      <w:tblGrid>
        <w:gridCol w:w="1229"/>
        <w:gridCol w:w="1400"/>
        <w:gridCol w:w="1400"/>
        <w:gridCol w:w="1400"/>
        <w:gridCol w:w="1400"/>
        <w:gridCol w:w="1400"/>
        <w:gridCol w:w="1400"/>
      </w:tblGrid>
      <w:tr w:rsidR="00863970" w:rsidRPr="00B467CA" w:rsidTr="00CF05D2">
        <w:trPr>
          <w:cnfStyle w:val="100000000000" w:firstRow="1" w:lastRow="0" w:firstColumn="0" w:lastColumn="0" w:oddVBand="0" w:evenVBand="0" w:oddHBand="0" w:evenHBand="0" w:firstRowFirstColumn="0" w:firstRowLastColumn="0" w:lastRowFirstColumn="0" w:lastRowLastColumn="0"/>
        </w:trPr>
        <w:tc>
          <w:tcPr>
            <w:tcW w:w="1229" w:type="dxa"/>
            <w:vAlign w:val="top"/>
          </w:tcPr>
          <w:p w:rsidR="00863970" w:rsidRPr="00CF05D2" w:rsidRDefault="00863970" w:rsidP="008B5E2A">
            <w:pPr>
              <w:pStyle w:val="ECCTableHeaderwhitefont"/>
              <w:keepNext/>
              <w:rPr>
                <w:rStyle w:val="ECCParagraph"/>
                <w:color w:val="D2232A"/>
                <w:lang w:eastAsia="en-US"/>
              </w:rPr>
            </w:pPr>
            <w:r w:rsidRPr="00863970">
              <w:t>Phase</w:t>
            </w:r>
          </w:p>
        </w:tc>
        <w:tc>
          <w:tcPr>
            <w:tcW w:w="4200" w:type="dxa"/>
            <w:gridSpan w:val="3"/>
            <w:vAlign w:val="top"/>
          </w:tcPr>
          <w:p w:rsidR="00863970" w:rsidRPr="00CF05D2" w:rsidRDefault="008B5E2A" w:rsidP="008B5E2A">
            <w:pPr>
              <w:pStyle w:val="ECCTableHeaderwhitefont"/>
              <w:keepNext/>
              <w:tabs>
                <w:tab w:val="left" w:pos="1116"/>
                <w:tab w:val="center" w:pos="1992"/>
              </w:tabs>
              <w:jc w:val="left"/>
              <w:rPr>
                <w:rStyle w:val="ECCParagraph"/>
                <w:color w:val="D2232A"/>
                <w:lang w:eastAsia="en-US"/>
              </w:rPr>
            </w:pPr>
            <w:r>
              <w:tab/>
            </w:r>
            <w:r>
              <w:tab/>
            </w:r>
            <w:r w:rsidR="00863970" w:rsidRPr="00863970">
              <w:t>Phase 1</w:t>
            </w:r>
          </w:p>
        </w:tc>
        <w:tc>
          <w:tcPr>
            <w:tcW w:w="4200" w:type="dxa"/>
            <w:gridSpan w:val="3"/>
            <w:vAlign w:val="top"/>
          </w:tcPr>
          <w:p w:rsidR="00863970" w:rsidRPr="00CF05D2" w:rsidRDefault="00863970" w:rsidP="008B5E2A">
            <w:pPr>
              <w:pStyle w:val="ECCTableHeaderwhitefont"/>
              <w:keepNext/>
              <w:rPr>
                <w:rStyle w:val="ECCParagraph"/>
                <w:color w:val="D2232A"/>
                <w:lang w:eastAsia="en-US"/>
              </w:rPr>
            </w:pPr>
            <w:r w:rsidRPr="00863970">
              <w:t>Phase 2</w:t>
            </w:r>
          </w:p>
        </w:tc>
      </w:tr>
      <w:tr w:rsidR="00863970" w:rsidRPr="00B467CA" w:rsidTr="00CF05D2">
        <w:tc>
          <w:tcPr>
            <w:tcW w:w="1229" w:type="dxa"/>
            <w:vAlign w:val="top"/>
          </w:tcPr>
          <w:p w:rsidR="00863970" w:rsidRPr="00CF05D2" w:rsidRDefault="00863970" w:rsidP="00E1626F">
            <w:pPr>
              <w:pStyle w:val="ECCTabletext"/>
              <w:keepNext/>
              <w:jc w:val="left"/>
              <w:rPr>
                <w:rStyle w:val="ECCParagraph"/>
                <w:b/>
                <w:bCs/>
                <w:color w:val="FFFFFF" w:themeColor="background1"/>
                <w:szCs w:val="20"/>
                <w:lang w:eastAsia="en-US"/>
              </w:rPr>
            </w:pPr>
          </w:p>
        </w:tc>
        <w:tc>
          <w:tcPr>
            <w:tcW w:w="1400" w:type="dxa"/>
            <w:vAlign w:val="top"/>
          </w:tcPr>
          <w:p w:rsidR="00863970" w:rsidRPr="00CF05D2" w:rsidRDefault="00863970" w:rsidP="001C2B85">
            <w:pPr>
              <w:pStyle w:val="ECCTabletext"/>
              <w:keepNext/>
              <w:jc w:val="left"/>
              <w:rPr>
                <w:rStyle w:val="ECCParagraph"/>
                <w:b/>
                <w:bCs/>
                <w:color w:val="FFFFFF" w:themeColor="background1"/>
                <w:szCs w:val="20"/>
                <w:lang w:eastAsia="en-US"/>
              </w:rPr>
            </w:pPr>
            <w:r w:rsidRPr="00CF05D2">
              <w:t>PFD limit for BS emissions in the band 1492-1502 MHz (dBW/m</w:t>
            </w:r>
            <w:r w:rsidRPr="00CF05D2">
              <w:rPr>
                <w:rStyle w:val="ECCHLsuperscript"/>
              </w:rPr>
              <w:t>2</w:t>
            </w:r>
            <w:r w:rsidRPr="00CF05D2">
              <w:t>)</w:t>
            </w:r>
          </w:p>
        </w:tc>
        <w:tc>
          <w:tcPr>
            <w:tcW w:w="1400" w:type="dxa"/>
            <w:vAlign w:val="top"/>
          </w:tcPr>
          <w:p w:rsidR="00863970" w:rsidRPr="00CF05D2" w:rsidRDefault="00863970" w:rsidP="001C2B85">
            <w:pPr>
              <w:pStyle w:val="ECCTabletext"/>
              <w:keepNext/>
              <w:jc w:val="left"/>
              <w:rPr>
                <w:rStyle w:val="ECCParagraph"/>
                <w:b/>
                <w:bCs/>
                <w:color w:val="FFFFFF" w:themeColor="background1"/>
                <w:szCs w:val="20"/>
                <w:lang w:eastAsia="en-US"/>
              </w:rPr>
            </w:pPr>
            <w:r w:rsidRPr="00CF05D2">
              <w:t>PFD limit for BS emissions in the band 1502-1512 MHz (dBW/m</w:t>
            </w:r>
            <w:r w:rsidRPr="00CF05D2">
              <w:rPr>
                <w:rStyle w:val="ECCHLsuperscript"/>
              </w:rPr>
              <w:t>2</w:t>
            </w:r>
            <w:r w:rsidRPr="00CF05D2">
              <w:t>)</w:t>
            </w:r>
          </w:p>
        </w:tc>
        <w:tc>
          <w:tcPr>
            <w:tcW w:w="1400" w:type="dxa"/>
            <w:vAlign w:val="top"/>
          </w:tcPr>
          <w:p w:rsidR="00863970" w:rsidRPr="00CF05D2" w:rsidRDefault="00863970" w:rsidP="001C2B85">
            <w:pPr>
              <w:pStyle w:val="ECCTabletext"/>
              <w:keepNext/>
              <w:jc w:val="left"/>
              <w:rPr>
                <w:rStyle w:val="ECCParagraph"/>
                <w:b/>
                <w:bCs/>
                <w:color w:val="FFFFFF" w:themeColor="background1"/>
                <w:szCs w:val="20"/>
                <w:lang w:eastAsia="en-US"/>
              </w:rPr>
            </w:pPr>
            <w:r w:rsidRPr="00CF05D2">
              <w:t>PFD limit for BS emissions in the band 1512-1517 MHz (dBW/m</w:t>
            </w:r>
            <w:r w:rsidRPr="00CF05D2">
              <w:rPr>
                <w:rStyle w:val="ECCHLsuperscript"/>
              </w:rPr>
              <w:t>2</w:t>
            </w:r>
            <w:r w:rsidRPr="00CF05D2">
              <w:t xml:space="preserve">) </w:t>
            </w:r>
          </w:p>
        </w:tc>
        <w:tc>
          <w:tcPr>
            <w:tcW w:w="1400" w:type="dxa"/>
            <w:vAlign w:val="top"/>
          </w:tcPr>
          <w:p w:rsidR="00863970" w:rsidRPr="00CF05D2" w:rsidRDefault="00863970" w:rsidP="001C2B85">
            <w:pPr>
              <w:pStyle w:val="ECCTabletext"/>
              <w:keepNext/>
              <w:jc w:val="left"/>
              <w:rPr>
                <w:rStyle w:val="ECCParagraph"/>
                <w:b/>
                <w:bCs/>
                <w:color w:val="FFFFFF" w:themeColor="background1"/>
                <w:szCs w:val="20"/>
                <w:lang w:eastAsia="en-US"/>
              </w:rPr>
            </w:pPr>
            <w:r w:rsidRPr="00CF05D2">
              <w:t>PFD limit for BS emissions in the band 1492-1502 MHz (dBW/m</w:t>
            </w:r>
            <w:r w:rsidRPr="00CF05D2">
              <w:rPr>
                <w:rStyle w:val="ECCHLsuperscript"/>
              </w:rPr>
              <w:t>2</w:t>
            </w:r>
            <w:r w:rsidRPr="00CF05D2">
              <w:t>)</w:t>
            </w:r>
          </w:p>
        </w:tc>
        <w:tc>
          <w:tcPr>
            <w:tcW w:w="1400" w:type="dxa"/>
            <w:vAlign w:val="top"/>
          </w:tcPr>
          <w:p w:rsidR="00863970" w:rsidRPr="00CF05D2" w:rsidRDefault="00863970" w:rsidP="001C2B85">
            <w:pPr>
              <w:pStyle w:val="ECCTabletext"/>
              <w:keepNext/>
              <w:jc w:val="left"/>
              <w:rPr>
                <w:rStyle w:val="ECCParagraph"/>
                <w:b/>
                <w:bCs/>
                <w:color w:val="FFFFFF" w:themeColor="background1"/>
                <w:szCs w:val="20"/>
                <w:lang w:eastAsia="en-US"/>
              </w:rPr>
            </w:pPr>
            <w:r w:rsidRPr="00CF05D2">
              <w:t>PFD limit for BS emissions in the band 1502-1512 MHz (dBW/m</w:t>
            </w:r>
            <w:r w:rsidRPr="00CF05D2">
              <w:rPr>
                <w:rStyle w:val="ECCHLsuperscript"/>
              </w:rPr>
              <w:t>2</w:t>
            </w:r>
            <w:r w:rsidRPr="00CF05D2">
              <w:t>)</w:t>
            </w:r>
          </w:p>
        </w:tc>
        <w:tc>
          <w:tcPr>
            <w:tcW w:w="1400" w:type="dxa"/>
            <w:vAlign w:val="top"/>
          </w:tcPr>
          <w:p w:rsidR="00863970" w:rsidRPr="00CF05D2" w:rsidRDefault="00863970" w:rsidP="001C2B85">
            <w:pPr>
              <w:pStyle w:val="ECCTabletext"/>
              <w:keepNext/>
              <w:jc w:val="left"/>
              <w:rPr>
                <w:rStyle w:val="ECCParagraph"/>
                <w:b/>
                <w:bCs/>
                <w:color w:val="FFFFFF" w:themeColor="background1"/>
                <w:szCs w:val="20"/>
                <w:lang w:eastAsia="en-US"/>
              </w:rPr>
            </w:pPr>
            <w:r w:rsidRPr="00CF05D2">
              <w:t>PFD limit for BS emissions in the band 1512-1517 MHz (dBW/m</w:t>
            </w:r>
            <w:r w:rsidRPr="00CF05D2">
              <w:rPr>
                <w:rStyle w:val="ECCHLsuperscript"/>
              </w:rPr>
              <w:t>2</w:t>
            </w:r>
            <w:r w:rsidRPr="00CF05D2">
              <w:t>)</w:t>
            </w:r>
          </w:p>
        </w:tc>
      </w:tr>
      <w:tr w:rsidR="00863970" w:rsidRPr="00B467CA" w:rsidTr="00CF05D2">
        <w:tc>
          <w:tcPr>
            <w:tcW w:w="1229" w:type="dxa"/>
            <w:vAlign w:val="top"/>
          </w:tcPr>
          <w:p w:rsidR="00863970" w:rsidRPr="00E01F87" w:rsidRDefault="00863970" w:rsidP="001C2B85">
            <w:pPr>
              <w:pStyle w:val="ECCTabletext"/>
              <w:jc w:val="left"/>
              <w:rPr>
                <w:rStyle w:val="ECCParagraph"/>
              </w:rPr>
            </w:pPr>
            <w:r w:rsidRPr="00E01F87">
              <w:t xml:space="preserve">Ports and waterways </w:t>
            </w:r>
          </w:p>
        </w:tc>
        <w:tc>
          <w:tcPr>
            <w:tcW w:w="1400" w:type="dxa"/>
            <w:vAlign w:val="top"/>
          </w:tcPr>
          <w:p w:rsidR="00863970" w:rsidRPr="00863970" w:rsidRDefault="00863970" w:rsidP="001C2B85">
            <w:pPr>
              <w:pStyle w:val="ECCTabletext"/>
              <w:keepNext/>
              <w:jc w:val="left"/>
              <w:rPr>
                <w:rStyle w:val="ECCParagraph"/>
                <w:lang w:eastAsia="en-US"/>
              </w:rPr>
            </w:pPr>
            <w:r w:rsidRPr="00CF05D2">
              <w:t>-60.9</w:t>
            </w:r>
          </w:p>
        </w:tc>
        <w:tc>
          <w:tcPr>
            <w:tcW w:w="1400" w:type="dxa"/>
            <w:vAlign w:val="top"/>
          </w:tcPr>
          <w:p w:rsidR="00863970" w:rsidRPr="00863970" w:rsidRDefault="00863970" w:rsidP="001C2B85">
            <w:pPr>
              <w:pStyle w:val="ECCTabletext"/>
              <w:keepNext/>
              <w:jc w:val="left"/>
              <w:rPr>
                <w:rStyle w:val="ECCParagraph"/>
                <w:lang w:eastAsia="en-US"/>
              </w:rPr>
            </w:pPr>
            <w:r w:rsidRPr="00CF05D2">
              <w:t>-75.9</w:t>
            </w:r>
          </w:p>
        </w:tc>
        <w:tc>
          <w:tcPr>
            <w:tcW w:w="1400" w:type="dxa"/>
            <w:vAlign w:val="top"/>
          </w:tcPr>
          <w:p w:rsidR="00863970" w:rsidRPr="00863970" w:rsidRDefault="00863970" w:rsidP="001C2B85">
            <w:pPr>
              <w:pStyle w:val="ECCTabletext"/>
              <w:keepNext/>
              <w:jc w:val="left"/>
              <w:rPr>
                <w:rStyle w:val="ECCParagraph"/>
                <w:lang w:eastAsia="en-US"/>
              </w:rPr>
            </w:pPr>
            <w:r w:rsidRPr="00CF05D2">
              <w:t>-83.9</w:t>
            </w:r>
          </w:p>
        </w:tc>
        <w:tc>
          <w:tcPr>
            <w:tcW w:w="1400" w:type="dxa"/>
            <w:vAlign w:val="top"/>
          </w:tcPr>
          <w:p w:rsidR="00863970" w:rsidRPr="00863970" w:rsidRDefault="00863970" w:rsidP="001C2B85">
            <w:pPr>
              <w:pStyle w:val="ECCTabletext"/>
              <w:keepNext/>
              <w:jc w:val="left"/>
              <w:rPr>
                <w:rStyle w:val="ECCParagraph"/>
                <w:lang w:eastAsia="en-US"/>
              </w:rPr>
            </w:pPr>
            <w:r w:rsidRPr="00CF05D2">
              <w:t>No limit required</w:t>
            </w:r>
          </w:p>
        </w:tc>
        <w:tc>
          <w:tcPr>
            <w:tcW w:w="1400" w:type="dxa"/>
            <w:vAlign w:val="top"/>
          </w:tcPr>
          <w:p w:rsidR="00863970" w:rsidRPr="00863970" w:rsidRDefault="00863970" w:rsidP="001C2B85">
            <w:pPr>
              <w:pStyle w:val="ECCTabletext"/>
              <w:keepNext/>
              <w:jc w:val="left"/>
              <w:rPr>
                <w:rStyle w:val="ECCParagraph"/>
                <w:lang w:eastAsia="en-US"/>
              </w:rPr>
            </w:pPr>
            <w:r w:rsidRPr="00CF05D2">
              <w:t>-27.9</w:t>
            </w:r>
          </w:p>
        </w:tc>
        <w:tc>
          <w:tcPr>
            <w:tcW w:w="1400" w:type="dxa"/>
            <w:vAlign w:val="top"/>
          </w:tcPr>
          <w:p w:rsidR="00863970" w:rsidRPr="00863970" w:rsidRDefault="00863970" w:rsidP="001C2B85">
            <w:pPr>
              <w:pStyle w:val="ECCTabletext"/>
              <w:keepNext/>
              <w:jc w:val="left"/>
              <w:rPr>
                <w:rStyle w:val="ECCParagraph"/>
                <w:lang w:eastAsia="en-US"/>
              </w:rPr>
            </w:pPr>
            <w:r w:rsidRPr="00CF05D2">
              <w:t>-37.9</w:t>
            </w:r>
          </w:p>
        </w:tc>
      </w:tr>
      <w:tr w:rsidR="00863970" w:rsidRPr="00B467CA" w:rsidTr="00CF05D2">
        <w:tc>
          <w:tcPr>
            <w:tcW w:w="1229" w:type="dxa"/>
            <w:vAlign w:val="top"/>
          </w:tcPr>
          <w:p w:rsidR="00863970" w:rsidRPr="00E01F87" w:rsidRDefault="00863970" w:rsidP="001C2B85">
            <w:pPr>
              <w:pStyle w:val="ECCTabletext"/>
              <w:jc w:val="left"/>
              <w:rPr>
                <w:rStyle w:val="ECCParagraph"/>
              </w:rPr>
            </w:pPr>
            <w:r w:rsidRPr="00E01F87">
              <w:t xml:space="preserve">Airports </w:t>
            </w:r>
          </w:p>
        </w:tc>
        <w:tc>
          <w:tcPr>
            <w:tcW w:w="1400" w:type="dxa"/>
            <w:vAlign w:val="top"/>
          </w:tcPr>
          <w:p w:rsidR="00863970" w:rsidRPr="00863970" w:rsidRDefault="00863970" w:rsidP="001C2B85">
            <w:pPr>
              <w:pStyle w:val="ECCTabletext"/>
              <w:keepNext/>
              <w:jc w:val="left"/>
              <w:rPr>
                <w:rStyle w:val="ECCParagraph"/>
                <w:lang w:eastAsia="en-US"/>
              </w:rPr>
            </w:pPr>
            <w:r w:rsidRPr="00CF05D2">
              <w:t>-</w:t>
            </w:r>
            <w:r w:rsidR="00610BF8">
              <w:t>32</w:t>
            </w:r>
            <w:r w:rsidRPr="00CF05D2">
              <w:t>.9</w:t>
            </w:r>
          </w:p>
        </w:tc>
        <w:tc>
          <w:tcPr>
            <w:tcW w:w="1400" w:type="dxa"/>
            <w:vAlign w:val="top"/>
          </w:tcPr>
          <w:p w:rsidR="00863970" w:rsidRPr="00863970" w:rsidRDefault="00863970" w:rsidP="001C2B85">
            <w:pPr>
              <w:pStyle w:val="ECCTabletext"/>
              <w:keepNext/>
              <w:jc w:val="left"/>
              <w:rPr>
                <w:rStyle w:val="ECCParagraph"/>
                <w:lang w:eastAsia="en-US"/>
              </w:rPr>
            </w:pPr>
            <w:r w:rsidRPr="00CF05D2">
              <w:t>-42.9</w:t>
            </w:r>
          </w:p>
        </w:tc>
        <w:tc>
          <w:tcPr>
            <w:tcW w:w="1400" w:type="dxa"/>
            <w:vAlign w:val="top"/>
          </w:tcPr>
          <w:p w:rsidR="00863970" w:rsidRPr="00863970" w:rsidRDefault="00863970" w:rsidP="001C2B85">
            <w:pPr>
              <w:pStyle w:val="ECCTabletext"/>
              <w:keepNext/>
              <w:jc w:val="left"/>
              <w:rPr>
                <w:rStyle w:val="ECCParagraph"/>
                <w:lang w:eastAsia="en-US"/>
              </w:rPr>
            </w:pPr>
            <w:r w:rsidRPr="00CF05D2">
              <w:t>-58.2</w:t>
            </w:r>
          </w:p>
        </w:tc>
        <w:tc>
          <w:tcPr>
            <w:tcW w:w="1400" w:type="dxa"/>
            <w:vAlign w:val="top"/>
          </w:tcPr>
          <w:p w:rsidR="00863970" w:rsidRPr="00863970" w:rsidRDefault="00863970" w:rsidP="001C2B85">
            <w:pPr>
              <w:pStyle w:val="ECCTabletext"/>
              <w:keepNext/>
              <w:jc w:val="left"/>
              <w:rPr>
                <w:rStyle w:val="ECCParagraph"/>
                <w:lang w:eastAsia="en-US"/>
              </w:rPr>
            </w:pPr>
            <w:r w:rsidRPr="00CF05D2">
              <w:t>No limit required</w:t>
            </w:r>
          </w:p>
        </w:tc>
        <w:tc>
          <w:tcPr>
            <w:tcW w:w="1400" w:type="dxa"/>
            <w:vAlign w:val="top"/>
          </w:tcPr>
          <w:p w:rsidR="00863970" w:rsidRPr="00863970" w:rsidRDefault="00863970" w:rsidP="001C2B85">
            <w:pPr>
              <w:pStyle w:val="ECCTabletext"/>
              <w:keepNext/>
              <w:jc w:val="left"/>
              <w:rPr>
                <w:rStyle w:val="ECCParagraph"/>
                <w:lang w:eastAsia="en-US"/>
              </w:rPr>
            </w:pPr>
            <w:r w:rsidRPr="00CF05D2">
              <w:t>-27.9</w:t>
            </w:r>
          </w:p>
        </w:tc>
        <w:tc>
          <w:tcPr>
            <w:tcW w:w="1400" w:type="dxa"/>
            <w:vAlign w:val="top"/>
          </w:tcPr>
          <w:p w:rsidR="00863970" w:rsidRPr="00863970" w:rsidRDefault="00863970" w:rsidP="001C2B85">
            <w:pPr>
              <w:pStyle w:val="ECCTabletext"/>
              <w:keepNext/>
              <w:jc w:val="left"/>
              <w:rPr>
                <w:rStyle w:val="ECCParagraph"/>
                <w:lang w:eastAsia="en-US"/>
              </w:rPr>
            </w:pPr>
            <w:r w:rsidRPr="00CF05D2">
              <w:t>-37.9</w:t>
            </w:r>
          </w:p>
        </w:tc>
      </w:tr>
    </w:tbl>
    <w:p w:rsidR="00863970" w:rsidRPr="00E1626F" w:rsidRDefault="00863970" w:rsidP="00863970">
      <w:pPr>
        <w:pStyle w:val="Caption"/>
        <w:rPr>
          <w:lang w:val="en-GB"/>
        </w:rPr>
      </w:pPr>
      <w:r w:rsidRPr="00CF05D2">
        <w:rPr>
          <w:lang w:val="en-GB"/>
        </w:rPr>
        <w:t xml:space="preserve">Table </w:t>
      </w:r>
      <w:r w:rsidRPr="00CF05D2">
        <w:rPr>
          <w:lang w:val="en-GB"/>
        </w:rPr>
        <w:fldChar w:fldCharType="begin"/>
      </w:r>
      <w:r w:rsidRPr="00E42FCC">
        <w:rPr>
          <w:lang w:val="en-US"/>
        </w:rPr>
        <w:instrText xml:space="preserve"> SEQ Table \* ARABIC </w:instrText>
      </w:r>
      <w:r w:rsidRPr="00CF05D2">
        <w:rPr>
          <w:lang w:val="en-GB"/>
        </w:rPr>
        <w:fldChar w:fldCharType="separate"/>
      </w:r>
      <w:r w:rsidR="00E9777B">
        <w:rPr>
          <w:noProof/>
          <w:lang w:val="en-US"/>
        </w:rPr>
        <w:t>13</w:t>
      </w:r>
      <w:r w:rsidRPr="00CF05D2">
        <w:rPr>
          <w:lang w:val="en-GB"/>
        </w:rPr>
        <w:fldChar w:fldCharType="end"/>
      </w:r>
      <w:r w:rsidR="00D51582" w:rsidRPr="00D51582">
        <w:rPr>
          <w:lang w:val="en-GB"/>
        </w:rPr>
        <w:t>:</w:t>
      </w:r>
      <w:r w:rsidRPr="00CF05D2">
        <w:rPr>
          <w:lang w:val="en-GB"/>
        </w:rPr>
        <w:t xml:space="preserve"> PFD limits on MFCN BS transmitting multiple channels</w:t>
      </w:r>
    </w:p>
    <w:tbl>
      <w:tblPr>
        <w:tblStyle w:val="ECCTable-redheader"/>
        <w:tblW w:w="0" w:type="auto"/>
        <w:tblInd w:w="0" w:type="dxa"/>
        <w:tblLook w:val="04A0" w:firstRow="1" w:lastRow="0" w:firstColumn="1" w:lastColumn="0" w:noHBand="0" w:noVBand="1"/>
      </w:tblPr>
      <w:tblGrid>
        <w:gridCol w:w="1351"/>
        <w:gridCol w:w="2123"/>
        <w:gridCol w:w="2123"/>
        <w:gridCol w:w="2123"/>
        <w:gridCol w:w="2135"/>
      </w:tblGrid>
      <w:tr w:rsidR="00CA18B5" w:rsidRPr="00F20055" w:rsidTr="00741BE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CA18B5" w:rsidRPr="00CF05D2" w:rsidRDefault="00CA18B5" w:rsidP="00CF05D2">
            <w:pPr>
              <w:pStyle w:val="ECCTableHeaderwhitefont"/>
              <w:rPr>
                <w:rStyle w:val="ECCParagraph"/>
                <w:color w:val="D2232A"/>
              </w:rPr>
            </w:pPr>
            <w:r w:rsidRPr="00863970">
              <w:t>Phase</w:t>
            </w:r>
          </w:p>
        </w:tc>
        <w:tc>
          <w:tcPr>
            <w:tcW w:w="0" w:type="auto"/>
            <w:gridSpan w:val="2"/>
            <w:vAlign w:val="top"/>
          </w:tcPr>
          <w:p w:rsidR="00CA18B5" w:rsidRPr="00CF05D2" w:rsidRDefault="00CA18B5" w:rsidP="00CF05D2">
            <w:pPr>
              <w:pStyle w:val="ECCTableHeaderwhitefont"/>
              <w:rPr>
                <w:rStyle w:val="ECCParagraph"/>
                <w:color w:val="D2232A"/>
              </w:rPr>
            </w:pPr>
            <w:r w:rsidRPr="00863970">
              <w:t>Phase 1</w:t>
            </w:r>
          </w:p>
        </w:tc>
        <w:tc>
          <w:tcPr>
            <w:tcW w:w="0" w:type="auto"/>
            <w:gridSpan w:val="2"/>
            <w:tcBorders>
              <w:right w:val="single" w:sz="4" w:space="0" w:color="FFFFFF" w:themeColor="background1"/>
            </w:tcBorders>
            <w:vAlign w:val="top"/>
          </w:tcPr>
          <w:p w:rsidR="00CA18B5" w:rsidRPr="00D51582" w:rsidRDefault="00CA18B5" w:rsidP="00D51582">
            <w:pPr>
              <w:pStyle w:val="ECCTableHeaderwhitefont"/>
            </w:pPr>
            <w:r w:rsidRPr="00863970">
              <w:t>Phase 2</w:t>
            </w:r>
          </w:p>
        </w:tc>
      </w:tr>
      <w:tr w:rsidR="00CA18B5" w:rsidRPr="00F20055" w:rsidTr="00741BEF">
        <w:tc>
          <w:tcPr>
            <w:tcW w:w="0" w:type="auto"/>
            <w:vAlign w:val="top"/>
          </w:tcPr>
          <w:p w:rsidR="00CA18B5" w:rsidRPr="00E1626F" w:rsidRDefault="00CA18B5" w:rsidP="00E1626F">
            <w:pPr>
              <w:pStyle w:val="ECCTabletext"/>
              <w:jc w:val="left"/>
              <w:rPr>
                <w:rStyle w:val="ECCParagraph"/>
                <w:b/>
                <w:color w:val="FFFFFF" w:themeColor="background1"/>
              </w:rPr>
            </w:pPr>
          </w:p>
        </w:tc>
        <w:tc>
          <w:tcPr>
            <w:tcW w:w="0" w:type="auto"/>
            <w:vAlign w:val="top"/>
          </w:tcPr>
          <w:p w:rsidR="00CA18B5" w:rsidRPr="00E1626F" w:rsidRDefault="00CA18B5" w:rsidP="001C2B85">
            <w:pPr>
              <w:pStyle w:val="ECCTabletext"/>
              <w:jc w:val="left"/>
              <w:rPr>
                <w:rStyle w:val="ECCParagraph"/>
                <w:b/>
                <w:bCs/>
                <w:color w:val="FFFFFF" w:themeColor="background1"/>
                <w:szCs w:val="20"/>
              </w:rPr>
            </w:pPr>
            <w:r w:rsidRPr="00CF05D2">
              <w:t>PFD limit for BS emissions in the band 1492-1512 MHz (dBW/m</w:t>
            </w:r>
            <w:r w:rsidRPr="00CF05D2">
              <w:rPr>
                <w:rStyle w:val="ECCHLsuperscript"/>
              </w:rPr>
              <w:t>2</w:t>
            </w:r>
            <w:r w:rsidRPr="00CF05D2">
              <w:t>)</w:t>
            </w:r>
          </w:p>
        </w:tc>
        <w:tc>
          <w:tcPr>
            <w:tcW w:w="0" w:type="auto"/>
            <w:vAlign w:val="top"/>
          </w:tcPr>
          <w:p w:rsidR="00CA18B5" w:rsidRPr="00E1626F" w:rsidRDefault="00CA18B5" w:rsidP="001C2B85">
            <w:pPr>
              <w:pStyle w:val="ECCTabletext"/>
              <w:jc w:val="left"/>
              <w:rPr>
                <w:rStyle w:val="ECCParagraph"/>
                <w:b/>
                <w:bCs/>
                <w:color w:val="FFFFFF" w:themeColor="background1"/>
                <w:szCs w:val="20"/>
              </w:rPr>
            </w:pPr>
            <w:r w:rsidRPr="00CF05D2">
              <w:t>PFD limit for BS emissions in the band 1512-1517 MHz (dBW/m</w:t>
            </w:r>
            <w:r w:rsidRPr="00CF05D2">
              <w:rPr>
                <w:rStyle w:val="ECCHLsuperscript"/>
              </w:rPr>
              <w:t>2</w:t>
            </w:r>
            <w:r w:rsidRPr="00CF05D2">
              <w:t>)</w:t>
            </w:r>
          </w:p>
        </w:tc>
        <w:tc>
          <w:tcPr>
            <w:tcW w:w="0" w:type="auto"/>
            <w:vAlign w:val="top"/>
          </w:tcPr>
          <w:p w:rsidR="00CA18B5" w:rsidRPr="00E1626F" w:rsidRDefault="00CA18B5" w:rsidP="001C2B85">
            <w:pPr>
              <w:pStyle w:val="ECCTabletext"/>
              <w:jc w:val="left"/>
              <w:rPr>
                <w:rStyle w:val="ECCParagraph"/>
                <w:b/>
                <w:bCs/>
                <w:color w:val="FFFFFF" w:themeColor="background1"/>
                <w:szCs w:val="20"/>
              </w:rPr>
            </w:pPr>
            <w:r w:rsidRPr="00CF05D2">
              <w:t xml:space="preserve">PFD limit </w:t>
            </w:r>
            <w:r w:rsidRPr="00D51582">
              <w:t xml:space="preserve">for </w:t>
            </w:r>
            <w:r w:rsidRPr="00CF05D2">
              <w:t>BS emissions in the band 1492-1512 MHz (dBW/m</w:t>
            </w:r>
            <w:r w:rsidRPr="00CF05D2">
              <w:rPr>
                <w:rStyle w:val="ECCHLsuperscript"/>
              </w:rPr>
              <w:t>2</w:t>
            </w:r>
            <w:r w:rsidRPr="00CF05D2">
              <w:t>)</w:t>
            </w:r>
          </w:p>
        </w:tc>
        <w:tc>
          <w:tcPr>
            <w:tcW w:w="0" w:type="auto"/>
            <w:vAlign w:val="top"/>
          </w:tcPr>
          <w:p w:rsidR="00CA18B5" w:rsidRPr="00E1626F" w:rsidRDefault="00CA18B5" w:rsidP="001C2B85">
            <w:pPr>
              <w:pStyle w:val="ECCTabletext"/>
              <w:jc w:val="left"/>
              <w:rPr>
                <w:rStyle w:val="ECCParagraph"/>
                <w:b/>
                <w:bCs/>
                <w:color w:val="FFFFFF" w:themeColor="background1"/>
                <w:szCs w:val="20"/>
              </w:rPr>
            </w:pPr>
            <w:r w:rsidRPr="00CF05D2">
              <w:t>PFD limit for BS emissions in the band 1512-1517 MHz (dBW/</w:t>
            </w:r>
            <w:r w:rsidRPr="00D51582">
              <w:t xml:space="preserve"> </w:t>
            </w:r>
            <w:r w:rsidRPr="00CF05D2">
              <w:t>m</w:t>
            </w:r>
            <w:r w:rsidRPr="00CF05D2">
              <w:rPr>
                <w:rStyle w:val="ECCHLsuperscript"/>
              </w:rPr>
              <w:t>2</w:t>
            </w:r>
            <w:r w:rsidRPr="00CF05D2">
              <w:t>)</w:t>
            </w:r>
          </w:p>
        </w:tc>
      </w:tr>
      <w:tr w:rsidR="00CA18B5" w:rsidRPr="00F20055" w:rsidTr="00741BEF">
        <w:tc>
          <w:tcPr>
            <w:tcW w:w="0" w:type="auto"/>
            <w:vAlign w:val="top"/>
          </w:tcPr>
          <w:p w:rsidR="00CA18B5" w:rsidRPr="00CF05D2" w:rsidRDefault="00CA18B5" w:rsidP="001C2B85">
            <w:pPr>
              <w:pStyle w:val="ECCTabletext"/>
              <w:jc w:val="left"/>
              <w:rPr>
                <w:rStyle w:val="ECCParagraph"/>
                <w:lang w:eastAsia="en-US"/>
              </w:rPr>
            </w:pPr>
            <w:r w:rsidRPr="00863970">
              <w:t xml:space="preserve">Ports and waterways </w:t>
            </w:r>
          </w:p>
        </w:tc>
        <w:tc>
          <w:tcPr>
            <w:tcW w:w="0" w:type="auto"/>
            <w:vAlign w:val="top"/>
          </w:tcPr>
          <w:p w:rsidR="00CA18B5" w:rsidRPr="00863970" w:rsidRDefault="00CA18B5" w:rsidP="001C2B85">
            <w:pPr>
              <w:pStyle w:val="ECCTabletext"/>
              <w:jc w:val="left"/>
              <w:rPr>
                <w:rStyle w:val="ECCParagraph"/>
                <w:lang w:eastAsia="en-US"/>
              </w:rPr>
            </w:pPr>
            <w:r w:rsidRPr="00CF05D2">
              <w:t>-74.9</w:t>
            </w:r>
          </w:p>
        </w:tc>
        <w:tc>
          <w:tcPr>
            <w:tcW w:w="0" w:type="auto"/>
            <w:vAlign w:val="top"/>
          </w:tcPr>
          <w:p w:rsidR="00CA18B5" w:rsidRPr="00863970" w:rsidRDefault="00CA18B5" w:rsidP="001C2B85">
            <w:pPr>
              <w:pStyle w:val="ECCTabletext"/>
              <w:jc w:val="left"/>
              <w:rPr>
                <w:rStyle w:val="ECCParagraph"/>
                <w:lang w:eastAsia="en-US"/>
              </w:rPr>
            </w:pPr>
            <w:r w:rsidRPr="00CF05D2">
              <w:t>-85.9</w:t>
            </w:r>
          </w:p>
        </w:tc>
        <w:tc>
          <w:tcPr>
            <w:tcW w:w="0" w:type="auto"/>
            <w:vAlign w:val="top"/>
          </w:tcPr>
          <w:p w:rsidR="00CA18B5" w:rsidRPr="00863970" w:rsidRDefault="00CA18B5" w:rsidP="001C2B85">
            <w:pPr>
              <w:pStyle w:val="ECCTabletext"/>
              <w:jc w:val="left"/>
              <w:rPr>
                <w:rStyle w:val="ECCParagraph"/>
                <w:lang w:eastAsia="en-US"/>
              </w:rPr>
            </w:pPr>
            <w:r w:rsidRPr="00CF05D2">
              <w:t>-30.9</w:t>
            </w:r>
          </w:p>
        </w:tc>
        <w:tc>
          <w:tcPr>
            <w:tcW w:w="0" w:type="auto"/>
            <w:vAlign w:val="top"/>
          </w:tcPr>
          <w:p w:rsidR="00CA18B5" w:rsidRPr="00863970" w:rsidRDefault="00CA18B5" w:rsidP="001C2B85">
            <w:pPr>
              <w:pStyle w:val="ECCTabletext"/>
              <w:jc w:val="left"/>
              <w:rPr>
                <w:rStyle w:val="ECCParagraph"/>
                <w:lang w:eastAsia="en-US"/>
              </w:rPr>
            </w:pPr>
            <w:r w:rsidRPr="00CF05D2">
              <w:t>-40.9</w:t>
            </w:r>
          </w:p>
        </w:tc>
      </w:tr>
      <w:tr w:rsidR="00CA18B5" w:rsidRPr="00F20055" w:rsidTr="00741BEF">
        <w:tc>
          <w:tcPr>
            <w:tcW w:w="0" w:type="auto"/>
            <w:vAlign w:val="top"/>
          </w:tcPr>
          <w:p w:rsidR="00CA18B5" w:rsidRPr="00CF05D2" w:rsidRDefault="00CA18B5" w:rsidP="001C2B85">
            <w:pPr>
              <w:pStyle w:val="ECCTabletext"/>
              <w:jc w:val="left"/>
              <w:rPr>
                <w:rStyle w:val="ECCParagraph"/>
                <w:lang w:eastAsia="en-US"/>
              </w:rPr>
            </w:pPr>
            <w:r w:rsidRPr="00863970">
              <w:t xml:space="preserve">Airports </w:t>
            </w:r>
          </w:p>
        </w:tc>
        <w:tc>
          <w:tcPr>
            <w:tcW w:w="0" w:type="auto"/>
            <w:vAlign w:val="top"/>
          </w:tcPr>
          <w:p w:rsidR="00CA18B5" w:rsidRPr="00863970" w:rsidRDefault="00CA18B5" w:rsidP="001C2B85">
            <w:pPr>
              <w:pStyle w:val="ECCTabletext"/>
              <w:jc w:val="left"/>
              <w:rPr>
                <w:rStyle w:val="ECCParagraph"/>
                <w:lang w:eastAsia="en-US"/>
              </w:rPr>
            </w:pPr>
            <w:r w:rsidRPr="00CF05D2">
              <w:t>-53.5</w:t>
            </w:r>
          </w:p>
        </w:tc>
        <w:tc>
          <w:tcPr>
            <w:tcW w:w="0" w:type="auto"/>
            <w:vAlign w:val="top"/>
          </w:tcPr>
          <w:p w:rsidR="00CA18B5" w:rsidRPr="00863970" w:rsidRDefault="00CA18B5" w:rsidP="001C2B85">
            <w:pPr>
              <w:pStyle w:val="ECCTabletext"/>
              <w:jc w:val="left"/>
              <w:rPr>
                <w:rStyle w:val="ECCParagraph"/>
                <w:lang w:eastAsia="en-US"/>
              </w:rPr>
            </w:pPr>
            <w:r w:rsidRPr="00CF05D2">
              <w:t>-63.4</w:t>
            </w:r>
          </w:p>
        </w:tc>
        <w:tc>
          <w:tcPr>
            <w:tcW w:w="0" w:type="auto"/>
            <w:vAlign w:val="top"/>
          </w:tcPr>
          <w:p w:rsidR="00CA18B5" w:rsidRPr="00863970" w:rsidRDefault="00CA18B5" w:rsidP="001C2B85">
            <w:pPr>
              <w:pStyle w:val="ECCTabletext"/>
              <w:jc w:val="left"/>
              <w:rPr>
                <w:rStyle w:val="ECCParagraph"/>
                <w:lang w:eastAsia="en-US"/>
              </w:rPr>
            </w:pPr>
            <w:r w:rsidRPr="00CF05D2">
              <w:t>-30.9</w:t>
            </w:r>
          </w:p>
        </w:tc>
        <w:tc>
          <w:tcPr>
            <w:tcW w:w="0" w:type="auto"/>
            <w:vAlign w:val="top"/>
          </w:tcPr>
          <w:p w:rsidR="00CA18B5" w:rsidRPr="00863970" w:rsidRDefault="00CA18B5" w:rsidP="001C2B85">
            <w:pPr>
              <w:pStyle w:val="ECCTabletext"/>
              <w:jc w:val="left"/>
              <w:rPr>
                <w:rStyle w:val="ECCParagraph"/>
                <w:lang w:eastAsia="en-US"/>
              </w:rPr>
            </w:pPr>
            <w:r w:rsidRPr="00CF05D2">
              <w:t>-40.9</w:t>
            </w:r>
          </w:p>
        </w:tc>
      </w:tr>
    </w:tbl>
    <w:p w:rsidR="008A54FC" w:rsidRPr="00BC03FD" w:rsidRDefault="008A54FC" w:rsidP="00E2303A">
      <w:pPr>
        <w:pStyle w:val="ECCAnnexheading1"/>
        <w:rPr>
          <w:lang w:val="en-GB"/>
        </w:rPr>
      </w:pPr>
      <w:bookmarkStart w:id="346" w:name="_Toc396383876"/>
      <w:bookmarkStart w:id="347" w:name="_Toc396917309"/>
      <w:bookmarkStart w:id="348" w:name="_Toc396917420"/>
      <w:bookmarkStart w:id="349" w:name="_Toc396917640"/>
      <w:bookmarkStart w:id="350" w:name="_Toc396917655"/>
      <w:bookmarkStart w:id="351" w:name="_Toc396917760"/>
      <w:bookmarkStart w:id="352" w:name="_Toc525544439"/>
      <w:bookmarkStart w:id="353" w:name="_Toc528659195"/>
      <w:bookmarkStart w:id="354" w:name="_Toc3285901"/>
      <w:r w:rsidRPr="00BC03FD">
        <w:rPr>
          <w:lang w:val="en-GB"/>
        </w:rPr>
        <w:lastRenderedPageBreak/>
        <w:t xml:space="preserve">List of </w:t>
      </w:r>
      <w:r w:rsidR="00C72D9E" w:rsidRPr="00BC03FD">
        <w:rPr>
          <w:lang w:val="en-GB"/>
        </w:rPr>
        <w:t>R</w:t>
      </w:r>
      <w:r w:rsidRPr="00BC03FD">
        <w:rPr>
          <w:lang w:val="en-GB"/>
        </w:rPr>
        <w:t>eference</w:t>
      </w:r>
      <w:bookmarkEnd w:id="340"/>
      <w:bookmarkEnd w:id="341"/>
      <w:bookmarkEnd w:id="346"/>
      <w:bookmarkEnd w:id="347"/>
      <w:bookmarkEnd w:id="348"/>
      <w:bookmarkEnd w:id="349"/>
      <w:bookmarkEnd w:id="350"/>
      <w:bookmarkEnd w:id="351"/>
      <w:bookmarkEnd w:id="352"/>
      <w:r w:rsidR="00CA06A1">
        <w:t>s</w:t>
      </w:r>
      <w:bookmarkEnd w:id="353"/>
      <w:bookmarkEnd w:id="354"/>
    </w:p>
    <w:p w:rsidR="00FE2D5E" w:rsidRPr="00D51582" w:rsidRDefault="000E1FB5" w:rsidP="004930E1">
      <w:pPr>
        <w:pStyle w:val="ECCReference"/>
      </w:pPr>
      <w:bookmarkStart w:id="355" w:name="_Ref531767779"/>
      <w:bookmarkStart w:id="356" w:name="_Ref525409369"/>
      <w:r w:rsidRPr="00D51582">
        <w:t>ECC Report 263</w:t>
      </w:r>
      <w:r w:rsidR="00DC6884">
        <w:t>:</w:t>
      </w:r>
      <w:r w:rsidRPr="00D51582">
        <w:t xml:space="preserve"> "Adjacent band compatibility studies between IMT operating in the frequency band 1492-1518 MHz and the MSS operating in the frequency band 1518-1525 MHz"</w:t>
      </w:r>
      <w:bookmarkEnd w:id="355"/>
    </w:p>
    <w:p w:rsidR="008A54FC" w:rsidRDefault="002103D3" w:rsidP="004930E1">
      <w:pPr>
        <w:pStyle w:val="ECCReference"/>
      </w:pPr>
      <w:bookmarkStart w:id="357" w:name="_Ref525410935"/>
      <w:bookmarkStart w:id="358" w:name="_Ref525410368"/>
      <w:bookmarkEnd w:id="356"/>
      <w:r w:rsidRPr="00D51582">
        <w:t>ECC Decision (17)06</w:t>
      </w:r>
      <w:r w:rsidR="00DC6884">
        <w:t>:</w:t>
      </w:r>
      <w:r w:rsidRPr="00D51582">
        <w:t xml:space="preserve"> "The harmonised use of the frequency bands 1427-1452 MHz and 1492-1518 MHz for Mobile/Fixed Communications Networks Supplemental Downlink (MFCN SDL)"</w:t>
      </w:r>
      <w:bookmarkEnd w:id="357"/>
      <w:r w:rsidR="00F62017">
        <w:t>, November 2017</w:t>
      </w:r>
    </w:p>
    <w:p w:rsidR="00262613" w:rsidRDefault="00262613" w:rsidP="00262613">
      <w:pPr>
        <w:pStyle w:val="ECCReference"/>
      </w:pPr>
      <w:bookmarkStart w:id="359" w:name="_Ref534374202"/>
      <w:r w:rsidRPr="00262613">
        <w:rPr>
          <w:rStyle w:val="ECCParagraph"/>
        </w:rPr>
        <w:t xml:space="preserve">EC Decision (EU) </w:t>
      </w:r>
      <w:r w:rsidRPr="00262613">
        <w:t>2015/750 "on the harmonisation of the 1427-1517 MHz frequency band for terrestrial systems capable of providing electronic communications services in the Union"</w:t>
      </w:r>
      <w:bookmarkEnd w:id="359"/>
    </w:p>
    <w:p w:rsidR="00B97EAC" w:rsidRPr="00262613" w:rsidRDefault="00B97EAC" w:rsidP="00262613">
      <w:pPr>
        <w:pStyle w:val="ECCReference"/>
      </w:pPr>
      <w:bookmarkStart w:id="360" w:name="_Ref534374332"/>
      <w:r w:rsidRPr="00B97EAC">
        <w:t>Directive 2014/53/EU of the European Parliament and of the Council of 16 April 2014 on the harmonisation of the laws of the Member States relating to the making available on the market of radio equipment and repealing Directive 1999/5/EC</w:t>
      </w:r>
      <w:bookmarkEnd w:id="360"/>
    </w:p>
    <w:p w:rsidR="007745DC" w:rsidRDefault="007745DC" w:rsidP="004930E1">
      <w:pPr>
        <w:pStyle w:val="ECCReference"/>
      </w:pPr>
      <w:bookmarkStart w:id="361" w:name="_Ref534366853"/>
      <w:r w:rsidRPr="007745DC">
        <w:t>Commission Regulation (EU) No 965/2012 of 5 October 2012 laying down technical requirements and administrative procedures related to air operations pursuant to Regulation (EC) No 216/2008 of the European Parliament and of the Council</w:t>
      </w:r>
      <w:bookmarkEnd w:id="361"/>
    </w:p>
    <w:p w:rsidR="007745DC" w:rsidRDefault="007745DC" w:rsidP="004930E1">
      <w:pPr>
        <w:pStyle w:val="ECCReference"/>
      </w:pPr>
      <w:bookmarkStart w:id="362" w:name="_Ref534366982"/>
      <w:r w:rsidRPr="007745DC">
        <w:rPr>
          <w:rStyle w:val="ECCParagraph"/>
        </w:rPr>
        <w:t>ICAO EUR NAT Doc 007</w:t>
      </w:r>
      <w:bookmarkEnd w:id="362"/>
      <w:r>
        <w:rPr>
          <w:rStyle w:val="ECCParagraph"/>
        </w:rPr>
        <w:t xml:space="preserve"> V2018-1: "North Atlantic Operations and Airspace Manual"</w:t>
      </w:r>
    </w:p>
    <w:p w:rsidR="007745DC" w:rsidRDefault="007745DC" w:rsidP="007745DC">
      <w:pPr>
        <w:pStyle w:val="ECCReference"/>
      </w:pPr>
      <w:bookmarkStart w:id="363" w:name="_Ref525410374"/>
      <w:bookmarkStart w:id="364" w:name="_Ref532202242"/>
      <w:bookmarkEnd w:id="358"/>
      <w:bookmarkEnd w:id="363"/>
      <w:r>
        <w:t xml:space="preserve">FAA </w:t>
      </w:r>
      <w:r w:rsidRPr="007745DC">
        <w:t>TSO-C132</w:t>
      </w:r>
      <w:r>
        <w:t>:</w:t>
      </w:r>
      <w:r w:rsidRPr="007745DC">
        <w:t xml:space="preserve"> </w:t>
      </w:r>
      <w:r>
        <w:t>"</w:t>
      </w:r>
      <w:r w:rsidRPr="007745DC">
        <w:t>Geosynchronous Orbit Aeronautical Mobile-Satellite Services Aircraft Earth Station Equipment</w:t>
      </w:r>
      <w:bookmarkEnd w:id="364"/>
      <w:r>
        <w:t>", March 2004</w:t>
      </w:r>
    </w:p>
    <w:p w:rsidR="007745DC" w:rsidRDefault="007745DC" w:rsidP="007745DC">
      <w:pPr>
        <w:pStyle w:val="ECCReference"/>
        <w:rPr>
          <w:rStyle w:val="ECCParagraph"/>
        </w:rPr>
      </w:pPr>
      <w:bookmarkStart w:id="365" w:name="_Ref534367072"/>
      <w:r w:rsidRPr="007745DC">
        <w:rPr>
          <w:rStyle w:val="ECCParagraph"/>
        </w:rPr>
        <w:t>International Convention for the Safety of Life at Sea (SOLAS), 1974</w:t>
      </w:r>
      <w:bookmarkEnd w:id="365"/>
    </w:p>
    <w:p w:rsidR="007745DC" w:rsidRDefault="007745DC" w:rsidP="007745DC">
      <w:pPr>
        <w:pStyle w:val="ECCReference"/>
      </w:pPr>
      <w:bookmarkStart w:id="366" w:name="_Ref534367398"/>
      <w:bookmarkStart w:id="367" w:name="_Ref865053"/>
      <w:r>
        <w:t xml:space="preserve">IMO </w:t>
      </w:r>
      <w:r w:rsidRPr="007745DC">
        <w:t>MSC/Circ. 803</w:t>
      </w:r>
      <w:r>
        <w:t>: "</w:t>
      </w:r>
      <w:r w:rsidRPr="007745DC">
        <w:t>P</w:t>
      </w:r>
      <w:r>
        <w:t>articipation</w:t>
      </w:r>
      <w:r w:rsidRPr="007745DC">
        <w:t xml:space="preserve"> </w:t>
      </w:r>
      <w:r>
        <w:t>of non-</w:t>
      </w:r>
      <w:r w:rsidRPr="007745DC">
        <w:t xml:space="preserve">SOLAS </w:t>
      </w:r>
      <w:r>
        <w:t>ships in the</w:t>
      </w:r>
      <w:r w:rsidRPr="007745DC">
        <w:t xml:space="preserve"> </w:t>
      </w:r>
      <w:r w:rsidRPr="007745DC">
        <w:rPr>
          <w:rStyle w:val="ECCParagraph"/>
        </w:rPr>
        <w:t>Global Maritime Distress and Safety System</w:t>
      </w:r>
      <w:r w:rsidRPr="007745DC">
        <w:t xml:space="preserve"> (GMDSS)</w:t>
      </w:r>
      <w:r>
        <w:t>", June 1997</w:t>
      </w:r>
      <w:bookmarkEnd w:id="366"/>
      <w:bookmarkEnd w:id="367"/>
    </w:p>
    <w:p w:rsidR="00262613" w:rsidRDefault="00262613" w:rsidP="007745DC">
      <w:pPr>
        <w:pStyle w:val="ECCReference"/>
        <w:rPr>
          <w:rStyle w:val="ECCParagraph"/>
        </w:rPr>
      </w:pPr>
      <w:bookmarkStart w:id="368" w:name="_Ref534367911"/>
      <w:bookmarkStart w:id="369" w:name="_Ref866076"/>
      <w:r w:rsidRPr="00262613">
        <w:rPr>
          <w:lang w:eastAsia="en-US"/>
        </w:rPr>
        <w:t>Regional Arrangement on the Radiocommunication Service for Inland Waterways</w:t>
      </w:r>
      <w:r>
        <w:t>, revised October 2016</w:t>
      </w:r>
      <w:bookmarkEnd w:id="368"/>
      <w:bookmarkEnd w:id="369"/>
    </w:p>
    <w:p w:rsidR="00AA39B9" w:rsidRDefault="00AA39B9" w:rsidP="00AA39B9">
      <w:pPr>
        <w:pStyle w:val="ECCReference"/>
      </w:pPr>
      <w:bookmarkStart w:id="370" w:name="_Ref532202684"/>
      <w:bookmarkStart w:id="371" w:name="_Ref865576"/>
      <w:r>
        <w:t>DIRECTIVE 2005/44/EC OF THE EUROPEAN PARLIAMENT AND OF THE COUNCIL of 7 September 2005 on harmonised river information services (RIS) on inland waterways in the Community</w:t>
      </w:r>
      <w:bookmarkEnd w:id="370"/>
      <w:bookmarkEnd w:id="371"/>
    </w:p>
    <w:p w:rsidR="00262613" w:rsidRDefault="00262613" w:rsidP="004930E1">
      <w:pPr>
        <w:pStyle w:val="ECCReference"/>
        <w:rPr>
          <w:rStyle w:val="ECCParagraph"/>
        </w:rPr>
      </w:pPr>
      <w:bookmarkStart w:id="372" w:name="_Ref534368021"/>
      <w:bookmarkStart w:id="373" w:name="_Ref1122088"/>
      <w:r w:rsidRPr="00262613">
        <w:rPr>
          <w:rStyle w:val="ECCParagraph"/>
        </w:rPr>
        <w:t>IMO Resolution A.</w:t>
      </w:r>
      <w:r w:rsidR="008B5F63">
        <w:rPr>
          <w:rStyle w:val="ECCParagraph"/>
        </w:rPr>
        <w:t>1104</w:t>
      </w:r>
      <w:r w:rsidRPr="00262613">
        <w:rPr>
          <w:rStyle w:val="ECCParagraph"/>
        </w:rPr>
        <w:t>(2</w:t>
      </w:r>
      <w:r w:rsidR="008B5F63">
        <w:rPr>
          <w:rStyle w:val="ECCParagraph"/>
        </w:rPr>
        <w:t>9</w:t>
      </w:r>
      <w:r w:rsidRPr="00262613">
        <w:rPr>
          <w:rStyle w:val="ECCParagraph"/>
        </w:rPr>
        <w:t>)</w:t>
      </w:r>
      <w:bookmarkEnd w:id="372"/>
      <w:r w:rsidR="005F5E6B">
        <w:rPr>
          <w:rStyle w:val="ECCParagraph"/>
        </w:rPr>
        <w:t>: "</w:t>
      </w:r>
      <w:r w:rsidR="005F5E6B" w:rsidRPr="005F5E6B">
        <w:t>Survey guidelines under the Harmonized System Of Survey And Certification (HSSC</w:t>
      </w:r>
      <w:r w:rsidR="005F5E6B">
        <w:t>)</w:t>
      </w:r>
      <w:r w:rsidR="005F5E6B">
        <w:rPr>
          <w:rStyle w:val="ECCParagraph"/>
        </w:rPr>
        <w:t xml:space="preserve">", </w:t>
      </w:r>
      <w:r w:rsidR="00B75662">
        <w:rPr>
          <w:rStyle w:val="ECCParagraph"/>
        </w:rPr>
        <w:t>December 2015</w:t>
      </w:r>
      <w:bookmarkEnd w:id="373"/>
    </w:p>
    <w:p w:rsidR="005F5E6B" w:rsidRDefault="005F5E6B" w:rsidP="005F5E6B">
      <w:pPr>
        <w:pStyle w:val="ECCReference"/>
        <w:rPr>
          <w:rStyle w:val="ECCParagraph"/>
        </w:rPr>
      </w:pPr>
      <w:bookmarkStart w:id="374" w:name="_Ref534368633"/>
      <w:r>
        <w:rPr>
          <w:rStyle w:val="ECCParagraph"/>
        </w:rPr>
        <w:t>ARINC 741: "</w:t>
      </w:r>
      <w:r w:rsidRPr="005F5E6B">
        <w:rPr>
          <w:rStyle w:val="ECCParagraph"/>
        </w:rPr>
        <w:t>Aviation satellite communications system (Satcom) part: 2 system design and equipment functional description</w:t>
      </w:r>
      <w:r>
        <w:rPr>
          <w:rStyle w:val="ECCParagraph"/>
        </w:rPr>
        <w:t>", June 1994</w:t>
      </w:r>
      <w:bookmarkEnd w:id="374"/>
    </w:p>
    <w:p w:rsidR="005F5E6B" w:rsidRDefault="005F5E6B" w:rsidP="005F5E6B">
      <w:pPr>
        <w:pStyle w:val="ECCReference"/>
      </w:pPr>
      <w:bookmarkStart w:id="375" w:name="_Ref534368646"/>
      <w:r>
        <w:t>ARINC 761: "</w:t>
      </w:r>
      <w:r w:rsidRPr="005F5E6B">
        <w:t>Second generation aviation satellite communication system, aircraft installation provisions</w:t>
      </w:r>
      <w:r>
        <w:t>", June 2012</w:t>
      </w:r>
      <w:bookmarkEnd w:id="375"/>
    </w:p>
    <w:p w:rsidR="005F5E6B" w:rsidRDefault="005F5E6B" w:rsidP="005F5E6B">
      <w:pPr>
        <w:pStyle w:val="ECCReference"/>
      </w:pPr>
      <w:bookmarkStart w:id="376" w:name="_Ref534368650"/>
      <w:r>
        <w:t>ARINC 781: "</w:t>
      </w:r>
      <w:r w:rsidRPr="005F5E6B">
        <w:t>Mark 3 aviation satellite communication systems</w:t>
      </w:r>
      <w:r>
        <w:t>", August 2017</w:t>
      </w:r>
      <w:bookmarkEnd w:id="376"/>
    </w:p>
    <w:p w:rsidR="005F5E6B" w:rsidRDefault="005F5E6B" w:rsidP="005F5E6B">
      <w:pPr>
        <w:pStyle w:val="ECCReference"/>
      </w:pPr>
      <w:bookmarkStart w:id="377" w:name="_Ref534368781"/>
      <w:r w:rsidRPr="005F5E6B">
        <w:t>RTCA DO-210</w:t>
      </w:r>
      <w:r w:rsidR="00CA713C">
        <w:t>D</w:t>
      </w:r>
      <w:r>
        <w:t>:</w:t>
      </w:r>
      <w:r w:rsidRPr="005F5E6B">
        <w:t xml:space="preserve"> </w:t>
      </w:r>
      <w:r>
        <w:t>"</w:t>
      </w:r>
      <w:r w:rsidRPr="005F5E6B">
        <w:t>Minimum Operational Performance Standards for Geosynchronous</w:t>
      </w:r>
      <w:r>
        <w:t xml:space="preserve"> </w:t>
      </w:r>
      <w:r w:rsidRPr="005F5E6B">
        <w:t>orbit Aeronautical Mobile Satellite Services (AMSS) Avionics</w:t>
      </w:r>
      <w:r>
        <w:t>", March 2015</w:t>
      </w:r>
      <w:bookmarkEnd w:id="377"/>
    </w:p>
    <w:p w:rsidR="005F5E6B" w:rsidRDefault="00B24584" w:rsidP="005F5E6B">
      <w:pPr>
        <w:pStyle w:val="ECCReference"/>
        <w:rPr>
          <w:rStyle w:val="ECCParagraph"/>
        </w:rPr>
      </w:pPr>
      <w:bookmarkStart w:id="378" w:name="_Ref534368799"/>
      <w:r>
        <w:rPr>
          <w:rStyle w:val="ECCParagraph"/>
        </w:rPr>
        <w:t xml:space="preserve">RTCA </w:t>
      </w:r>
      <w:r w:rsidR="005F5E6B" w:rsidRPr="005F5E6B">
        <w:rPr>
          <w:rStyle w:val="ECCParagraph"/>
        </w:rPr>
        <w:t>DO-262</w:t>
      </w:r>
      <w:bookmarkEnd w:id="378"/>
      <w:r w:rsidR="005F5E6B">
        <w:rPr>
          <w:rStyle w:val="ECCParagraph"/>
        </w:rPr>
        <w:t>: "</w:t>
      </w:r>
      <w:r w:rsidR="005F5E6B" w:rsidRPr="005F5E6B">
        <w:rPr>
          <w:rStyle w:val="ECCParagraph"/>
        </w:rPr>
        <w:t xml:space="preserve">Minimum Operational Performance Standards for Avionics Supporting Next Generation Satellite Systems (NGSS) </w:t>
      </w:r>
      <w:r w:rsidR="005F5E6B">
        <w:rPr>
          <w:rStyle w:val="ECCParagraph"/>
        </w:rPr>
        <w:t>", May 2017</w:t>
      </w:r>
    </w:p>
    <w:p w:rsidR="005F5E6B" w:rsidRDefault="005F5E6B" w:rsidP="005F5E6B">
      <w:pPr>
        <w:pStyle w:val="ECCReference"/>
      </w:pPr>
      <w:bookmarkStart w:id="379" w:name="_Ref534368910"/>
      <w:r w:rsidRPr="005F5E6B">
        <w:rPr>
          <w:rStyle w:val="ECCParagraph"/>
        </w:rPr>
        <w:t>EUROCAE ED</w:t>
      </w:r>
      <w:r>
        <w:rPr>
          <w:rStyle w:val="ECCParagraph"/>
        </w:rPr>
        <w:t>-</w:t>
      </w:r>
      <w:r w:rsidRPr="005F5E6B">
        <w:rPr>
          <w:rStyle w:val="ECCParagraph"/>
        </w:rPr>
        <w:t>243</w:t>
      </w:r>
      <w:r>
        <w:rPr>
          <w:rStyle w:val="ECCParagraph"/>
        </w:rPr>
        <w:t>: "</w:t>
      </w:r>
      <w:r w:rsidRPr="005F5E6B">
        <w:t>Minimum Operational Performance Standards for Avionics Supporting Next Generation Satellite Systems (NGSS)</w:t>
      </w:r>
      <w:r>
        <w:t>", April 2017</w:t>
      </w:r>
      <w:bookmarkEnd w:id="379"/>
    </w:p>
    <w:p w:rsidR="005F5E6B" w:rsidRDefault="005F5E6B" w:rsidP="005F5E6B">
      <w:pPr>
        <w:pStyle w:val="ECCReference"/>
        <w:rPr>
          <w:rStyle w:val="ECCParagraph"/>
        </w:rPr>
      </w:pPr>
      <w:bookmarkStart w:id="380" w:name="_Ref534368976"/>
      <w:r w:rsidRPr="005F5E6B">
        <w:rPr>
          <w:rStyle w:val="ECCParagraph"/>
        </w:rPr>
        <w:t>RTCA DO-343</w:t>
      </w:r>
      <w:bookmarkEnd w:id="380"/>
      <w:r>
        <w:rPr>
          <w:rStyle w:val="ECCParagraph"/>
        </w:rPr>
        <w:t>: "</w:t>
      </w:r>
      <w:r w:rsidRPr="005F5E6B">
        <w:rPr>
          <w:rStyle w:val="ECCParagraph"/>
        </w:rPr>
        <w:t>Minimum Aviation System Performance Standard For AMS(R)S Data and Voice Communications Supporting Required Communications Performance (RCP) And Required Surveillance Performance (RSP)</w:t>
      </w:r>
      <w:r>
        <w:rPr>
          <w:rStyle w:val="ECCParagraph"/>
        </w:rPr>
        <w:t>", May 2017</w:t>
      </w:r>
    </w:p>
    <w:p w:rsidR="005F5E6B" w:rsidRDefault="005F5E6B" w:rsidP="005F5E6B">
      <w:pPr>
        <w:pStyle w:val="ECCReference"/>
      </w:pPr>
      <w:bookmarkStart w:id="381" w:name="_Ref534369286"/>
      <w:r w:rsidRPr="005F5E6B">
        <w:rPr>
          <w:rStyle w:val="ECCParagraph"/>
        </w:rPr>
        <w:t>EUROCAE ED-242</w:t>
      </w:r>
      <w:r>
        <w:rPr>
          <w:rStyle w:val="ECCParagraph"/>
        </w:rPr>
        <w:t>: "</w:t>
      </w:r>
      <w:r w:rsidRPr="005F5E6B">
        <w:t>MASPS for AMS(R)S Data and Voice Communications Supporting Required Communications Performance (RCP) and Required Surveillance Performance (RSP)</w:t>
      </w:r>
      <w:r>
        <w:t>", April 2017</w:t>
      </w:r>
      <w:bookmarkEnd w:id="381"/>
    </w:p>
    <w:p w:rsidR="00B31A74" w:rsidRDefault="00B31A74" w:rsidP="00CA18B5">
      <w:pPr>
        <w:pStyle w:val="ECCReference"/>
      </w:pPr>
      <w:bookmarkStart w:id="382" w:name="_Ref1123430"/>
      <w:r>
        <w:t xml:space="preserve">IMO </w:t>
      </w:r>
      <w:r w:rsidRPr="00B31A74">
        <w:t>COMSAR 14/INF.6</w:t>
      </w:r>
      <w:r>
        <w:t>: "Satellite Services</w:t>
      </w:r>
      <w:r w:rsidRPr="00B31A74">
        <w:t xml:space="preserve"> (Inmarsat and Cospas-Sarsat)</w:t>
      </w:r>
      <w:r>
        <w:t xml:space="preserve">; </w:t>
      </w:r>
      <w:r w:rsidRPr="00B31A74">
        <w:t>Future cessation of Inmarsat “B” service</w:t>
      </w:r>
      <w:r>
        <w:t xml:space="preserve"> - </w:t>
      </w:r>
      <w:r w:rsidRPr="00B31A74">
        <w:t>Note by the International Mobile Satellite Organization (IMSO)</w:t>
      </w:r>
      <w:r>
        <w:t>", December 2009</w:t>
      </w:r>
      <w:bookmarkEnd w:id="382"/>
    </w:p>
    <w:p w:rsidR="00B31A74" w:rsidRDefault="00B31A74" w:rsidP="00CA18B5">
      <w:pPr>
        <w:pStyle w:val="ECCReference"/>
      </w:pPr>
      <w:bookmarkStart w:id="383" w:name="_Ref1123436"/>
      <w:r>
        <w:t xml:space="preserve">IMO </w:t>
      </w:r>
      <w:r w:rsidRPr="00B31A74">
        <w:rPr>
          <w:lang w:val="da-DK"/>
        </w:rPr>
        <w:t>NCSR 1/18/1</w:t>
      </w:r>
      <w:r>
        <w:t>: "C</w:t>
      </w:r>
      <w:r w:rsidRPr="00B31A74">
        <w:t xml:space="preserve">onsideration of </w:t>
      </w:r>
      <w:r>
        <w:t>D</w:t>
      </w:r>
      <w:r w:rsidRPr="00B31A74">
        <w:t xml:space="preserve">evelopments in </w:t>
      </w:r>
      <w:r>
        <w:t>I</w:t>
      </w:r>
      <w:r w:rsidRPr="00B31A74">
        <w:t>nmarsat and</w:t>
      </w:r>
      <w:r>
        <w:t xml:space="preserve"> Cospas-Sarsat</w:t>
      </w:r>
      <w:r w:rsidR="00FA761A">
        <w:t xml:space="preserve">; Inmarsat B Services - </w:t>
      </w:r>
      <w:r w:rsidR="00FA761A" w:rsidRPr="00FA761A">
        <w:t>Submitted by the International Mobile Satellite Organization (IMSO)</w:t>
      </w:r>
      <w:r w:rsidR="00FA761A">
        <w:t>”, March 2014</w:t>
      </w:r>
      <w:bookmarkEnd w:id="383"/>
    </w:p>
    <w:p w:rsidR="00BC5629" w:rsidRDefault="00BC5629" w:rsidP="005F5E6B">
      <w:pPr>
        <w:pStyle w:val="ECCReference"/>
      </w:pPr>
      <w:bookmarkStart w:id="384" w:name="_Ref534369632"/>
      <w:bookmarkStart w:id="385" w:name="_Ref865004"/>
      <w:r>
        <w:t>FCC 05-30: "</w:t>
      </w:r>
      <w:r w:rsidRPr="00BC5629">
        <w:t>Flexibility for Delivery of Communications by Mobile Satellite Service Providers in the 2 GHz Band, the L-Band, and the 1.6/2.4 GHz Bands</w:t>
      </w:r>
      <w:r>
        <w:t xml:space="preserve"> - </w:t>
      </w:r>
      <w:r w:rsidRPr="00BC5629">
        <w:t>Memorandum Opinion and Order and Second Order on Reconsideration</w:t>
      </w:r>
      <w:r>
        <w:t>", February 2005</w:t>
      </w:r>
      <w:bookmarkEnd w:id="384"/>
      <w:bookmarkEnd w:id="385"/>
    </w:p>
    <w:p w:rsidR="00BC5629" w:rsidRDefault="00BC5629" w:rsidP="005F5E6B">
      <w:pPr>
        <w:pStyle w:val="ECCReference"/>
      </w:pPr>
      <w:bookmarkStart w:id="386" w:name="_Ref534370055"/>
      <w:r>
        <w:t xml:space="preserve">IHO </w:t>
      </w:r>
      <w:r w:rsidRPr="00BC5629">
        <w:t>International SafetyN</w:t>
      </w:r>
      <w:r>
        <w:t>ET</w:t>
      </w:r>
      <w:r w:rsidRPr="00BC5629">
        <w:t xml:space="preserve"> </w:t>
      </w:r>
      <w:r>
        <w:t>Manual 2018 Edition</w:t>
      </w:r>
      <w:bookmarkEnd w:id="386"/>
    </w:p>
    <w:p w:rsidR="00BC5629" w:rsidRDefault="00BC5629" w:rsidP="00BC5629">
      <w:pPr>
        <w:pStyle w:val="ECCReference"/>
      </w:pPr>
      <w:bookmarkStart w:id="387" w:name="_Ref534370121"/>
      <w:r w:rsidRPr="00BC5629">
        <w:t>IMO MSC.1/Circ.1295</w:t>
      </w:r>
      <w:r>
        <w:t>:</w:t>
      </w:r>
      <w:r w:rsidRPr="00BC5629">
        <w:t xml:space="preserve"> </w:t>
      </w:r>
      <w:r>
        <w:t>"</w:t>
      </w:r>
      <w:r w:rsidRPr="00BC5629">
        <w:t>Guidance in relation to Certain Types of Ships which are Required to Transmit LRIT Information on Exemptions and Equivalents and on Certain Operational Matters</w:t>
      </w:r>
      <w:r>
        <w:t>"</w:t>
      </w:r>
      <w:bookmarkEnd w:id="387"/>
      <w:r>
        <w:t>, December 2008</w:t>
      </w:r>
    </w:p>
    <w:p w:rsidR="00266B92" w:rsidRPr="00BC03FD" w:rsidRDefault="008B096B" w:rsidP="008B096B">
      <w:pPr>
        <w:pStyle w:val="ECCReference"/>
      </w:pPr>
      <w:bookmarkStart w:id="388" w:name="_Ref866788"/>
      <w:r w:rsidRPr="008B096B">
        <w:t>ECC Decision (13)03</w:t>
      </w:r>
      <w:r>
        <w:t>: “</w:t>
      </w:r>
      <w:r w:rsidRPr="008B096B">
        <w:t>The harmonised use of the frequency band 1452-1492 MHz for Mobile/Fixed Communications Networks Supplemental Downlink (MFCN SDL)</w:t>
      </w:r>
      <w:r>
        <w:t>”, amended 2018</w:t>
      </w:r>
      <w:bookmarkStart w:id="389" w:name="_GoBack"/>
      <w:bookmarkEnd w:id="388"/>
      <w:bookmarkEnd w:id="389"/>
    </w:p>
    <w:sectPr w:rsidR="00266B92" w:rsidRPr="00BC03FD" w:rsidSect="009B022D">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B85" w:rsidRDefault="001C2B85" w:rsidP="004930E1">
      <w:r>
        <w:separator/>
      </w:r>
    </w:p>
    <w:p w:rsidR="001C2B85" w:rsidRDefault="001C2B85" w:rsidP="004930E1"/>
  </w:endnote>
  <w:endnote w:type="continuationSeparator" w:id="0">
    <w:p w:rsidR="001C2B85" w:rsidRDefault="001C2B85" w:rsidP="004930E1">
      <w:r>
        <w:continuationSeparator/>
      </w:r>
    </w:p>
    <w:p w:rsidR="001C2B85" w:rsidRDefault="001C2B85" w:rsidP="004930E1"/>
  </w:endnote>
  <w:endnote w:type="continuationNotice" w:id="1">
    <w:p w:rsidR="001C2B85" w:rsidRDefault="001C2B8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85" w:rsidRDefault="001C2B85">
    <w:pPr>
      <w:spacing w:before="0"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85" w:rsidRDefault="001C2B85">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85" w:rsidRDefault="001C2B85">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B85" w:rsidRPr="00F7440E" w:rsidRDefault="001C2B85" w:rsidP="004930E1">
      <w:pPr>
        <w:pStyle w:val="FootnoteText"/>
      </w:pPr>
      <w:r>
        <w:separator/>
      </w:r>
    </w:p>
  </w:footnote>
  <w:footnote w:type="continuationSeparator" w:id="0">
    <w:p w:rsidR="001C2B85" w:rsidRPr="00F7440E" w:rsidRDefault="001C2B85" w:rsidP="004930E1">
      <w:r>
        <w:continuationSeparator/>
      </w:r>
    </w:p>
  </w:footnote>
  <w:footnote w:type="continuationNotice" w:id="1">
    <w:p w:rsidR="001C2B85" w:rsidRPr="00CD07E7" w:rsidRDefault="001C2B85" w:rsidP="004930E1"/>
  </w:footnote>
  <w:footnote w:id="2">
    <w:p w:rsidR="001C2B85" w:rsidRPr="00BF3511" w:rsidRDefault="001C2B85" w:rsidP="00536925">
      <w:pPr>
        <w:pStyle w:val="FootnoteText"/>
        <w:rPr>
          <w:lang w:val="en-US"/>
        </w:rPr>
      </w:pPr>
      <w:r w:rsidRPr="00CF05D2">
        <w:rPr>
          <w:rStyle w:val="FootnoteReference"/>
        </w:rPr>
        <w:footnoteRef/>
      </w:r>
      <w:r w:rsidRPr="00BF3511">
        <w:rPr>
          <w:lang w:val="en-US"/>
        </w:rPr>
        <w:t xml:space="preserve"> The guidelines for the participation of non-SOLAS ships in the GMDSS are specified by IMO in MSC/Circ. 803</w:t>
      </w:r>
      <w:r>
        <w:rPr>
          <w:lang w:val="en-US"/>
        </w:rPr>
        <w:t xml:space="preserve"> </w:t>
      </w:r>
      <w:r>
        <w:rPr>
          <w:lang w:val="en-US"/>
        </w:rPr>
        <w:fldChar w:fldCharType="begin"/>
      </w:r>
      <w:r>
        <w:rPr>
          <w:lang w:val="en-US"/>
        </w:rPr>
        <w:instrText xml:space="preserve"> REF _Ref865053 \r \h </w:instrText>
      </w:r>
      <w:r>
        <w:rPr>
          <w:lang w:val="en-US"/>
        </w:rPr>
      </w:r>
      <w:r>
        <w:rPr>
          <w:lang w:val="en-US"/>
        </w:rPr>
        <w:fldChar w:fldCharType="separate"/>
      </w:r>
      <w:r>
        <w:rPr>
          <w:lang w:val="en-US"/>
        </w:rPr>
        <w:t>[9]</w:t>
      </w:r>
      <w:r>
        <w:rPr>
          <w:lang w:val="en-US"/>
        </w:rPr>
        <w:fldChar w:fldCharType="end"/>
      </w:r>
      <w:r w:rsidRPr="00BF3511">
        <w:rPr>
          <w:lang w:val="en-US"/>
        </w:rPr>
        <w:t xml:space="preserve">. </w:t>
      </w:r>
    </w:p>
  </w:footnote>
  <w:footnote w:id="3">
    <w:p w:rsidR="001C2B85" w:rsidRPr="00905DEB" w:rsidRDefault="001C2B85" w:rsidP="00E94734">
      <w:pPr>
        <w:pStyle w:val="FootnoteText"/>
        <w:rPr>
          <w:rStyle w:val="FootnoteReference"/>
          <w:lang w:val="en-US"/>
        </w:rPr>
      </w:pPr>
      <w:r w:rsidRPr="00CF05D2">
        <w:rPr>
          <w:rStyle w:val="FootnoteReference"/>
        </w:rPr>
        <w:footnoteRef/>
      </w:r>
      <w:r w:rsidRPr="00905DEB">
        <w:rPr>
          <w:rStyle w:val="FootnoteReference"/>
          <w:sz w:val="16"/>
          <w:vertAlign w:val="baseline"/>
          <w:lang w:val="en-US"/>
        </w:rPr>
        <w:t xml:space="preserve"> SOLAS Ch.</w:t>
      </w:r>
      <w:r w:rsidRPr="00CF05D2">
        <w:rPr>
          <w:lang w:val="en-US"/>
        </w:rPr>
        <w:t xml:space="preserve"> </w:t>
      </w:r>
      <w:r w:rsidRPr="00905DEB">
        <w:rPr>
          <w:rStyle w:val="FootnoteReference"/>
          <w:sz w:val="16"/>
          <w:vertAlign w:val="baseline"/>
          <w:lang w:val="en-US"/>
        </w:rPr>
        <w:t>IV also mentions: It should be noted that ships may have a need for reception of certain maritime safety information while in port</w:t>
      </w:r>
      <w:r w:rsidRPr="00905DEB">
        <w:rPr>
          <w:lang w:val="en-US"/>
        </w:rPr>
        <w:t>.</w:t>
      </w:r>
    </w:p>
  </w:footnote>
  <w:footnote w:id="4">
    <w:p w:rsidR="001C2B85" w:rsidRPr="007253C6" w:rsidRDefault="001C2B85" w:rsidP="00E94734">
      <w:pPr>
        <w:pStyle w:val="FootnoteText"/>
        <w:rPr>
          <w:rStyle w:val="FootnoteReference"/>
          <w:sz w:val="16"/>
          <w:vertAlign w:val="baseline"/>
        </w:rPr>
      </w:pPr>
      <w:r w:rsidRPr="00CF05D2">
        <w:rPr>
          <w:rStyle w:val="FootnoteReference"/>
        </w:rPr>
        <w:footnoteRef/>
      </w:r>
      <w:r w:rsidRPr="007253C6">
        <w:rPr>
          <w:rStyle w:val="FootnoteReference"/>
          <w:sz w:val="16"/>
          <w:vertAlign w:val="baseline"/>
        </w:rPr>
        <w:t xml:space="preserve"> Sea area A1 means an area within the radiotelephone coverage of at least one VHF coast station in which continuous DSC alerting is available, as may be defined by a Contracting Government. </w:t>
      </w:r>
    </w:p>
  </w:footnote>
  <w:footnote w:id="5">
    <w:p w:rsidR="001C2B85" w:rsidRPr="007253C6" w:rsidRDefault="001C2B85" w:rsidP="00E94734">
      <w:pPr>
        <w:pStyle w:val="FootnoteText"/>
        <w:rPr>
          <w:rStyle w:val="FootnoteReference"/>
          <w:sz w:val="16"/>
          <w:vertAlign w:val="baseline"/>
        </w:rPr>
      </w:pPr>
      <w:r w:rsidRPr="00CF05D2">
        <w:rPr>
          <w:rStyle w:val="FootnoteReference"/>
        </w:rPr>
        <w:footnoteRef/>
      </w:r>
      <w:r w:rsidRPr="007253C6">
        <w:rPr>
          <w:rStyle w:val="FootnoteReference"/>
          <w:sz w:val="16"/>
          <w:vertAlign w:val="baseline"/>
        </w:rPr>
        <w:t xml:space="preserve"> Sea area A2 means an area, excluding sea area A1, within the radiotelephone coverage of at least one MF coast station in which continuous DSC alerting is available, as may be defined by a Contracting Government.</w:t>
      </w:r>
    </w:p>
  </w:footnote>
  <w:footnote w:id="6">
    <w:p w:rsidR="001C2B85" w:rsidRPr="007253C6" w:rsidRDefault="001C2B85" w:rsidP="00E94734">
      <w:pPr>
        <w:pStyle w:val="FootnoteText"/>
        <w:rPr>
          <w:rStyle w:val="FootnoteReference"/>
          <w:sz w:val="16"/>
          <w:vertAlign w:val="baseline"/>
        </w:rPr>
      </w:pPr>
      <w:r w:rsidRPr="00CF05D2">
        <w:rPr>
          <w:rStyle w:val="FootnoteReference"/>
        </w:rPr>
        <w:footnoteRef/>
      </w:r>
      <w:r w:rsidRPr="007253C6">
        <w:rPr>
          <w:rStyle w:val="FootnoteReference"/>
          <w:sz w:val="16"/>
          <w:vertAlign w:val="baseline"/>
        </w:rPr>
        <w:t xml:space="preserve"> Sea area A3 means an area, excluding sea areas A1 and A2, within the coverage of an INMARSAT geostationary satellite in which continuous alerting is available.</w:t>
      </w:r>
    </w:p>
  </w:footnote>
  <w:footnote w:id="7">
    <w:p w:rsidR="001C2B85" w:rsidRPr="00E94734" w:rsidRDefault="001C2B85" w:rsidP="00E94734">
      <w:pPr>
        <w:pStyle w:val="FootnoteText"/>
      </w:pPr>
      <w:r w:rsidRPr="00CF05D2">
        <w:rPr>
          <w:rStyle w:val="FootnoteReference"/>
        </w:rPr>
        <w:footnoteRef/>
      </w:r>
      <w:r w:rsidRPr="007253C6">
        <w:rPr>
          <w:rStyle w:val="FootnoteReference"/>
          <w:sz w:val="16"/>
          <w:vertAlign w:val="baseline"/>
        </w:rPr>
        <w:t xml:space="preserve"> Sea area A4 means an area outside sea areas A1, A2 and A3.</w:t>
      </w:r>
    </w:p>
  </w:footnote>
  <w:footnote w:id="8">
    <w:p w:rsidR="001C2B85" w:rsidRPr="002F4B98" w:rsidRDefault="001C2B85" w:rsidP="00E94734">
      <w:pPr>
        <w:pStyle w:val="FootnoteText"/>
        <w:rPr>
          <w:lang w:val="en-US"/>
        </w:rPr>
      </w:pPr>
      <w:r w:rsidRPr="00CF05D2">
        <w:rPr>
          <w:rStyle w:val="FootnoteReference"/>
        </w:rPr>
        <w:footnoteRef/>
      </w:r>
      <w:r w:rsidRPr="002F4B98">
        <w:rPr>
          <w:lang w:val="en-US"/>
        </w:rPr>
        <w:t xml:space="preserve"> The other three options are MF radio using DSC, HF radio using DSC or an Inmarsat ship earth station.</w:t>
      </w:r>
    </w:p>
  </w:footnote>
  <w:footnote w:id="9">
    <w:p w:rsidR="001C2B85" w:rsidRPr="005E0DF9" w:rsidRDefault="001C2B85">
      <w:pPr>
        <w:pStyle w:val="FootnoteText"/>
        <w:rPr>
          <w:rStyle w:val="ECCHLyellow"/>
          <w:sz w:val="20"/>
        </w:rPr>
      </w:pPr>
      <w:r w:rsidRPr="005E0DF9">
        <w:rPr>
          <w:rStyle w:val="ECCHLsuperscript"/>
        </w:rPr>
        <w:footnoteRef/>
      </w:r>
      <w:r w:rsidRPr="005E0DF9">
        <w:rPr>
          <w:rStyle w:val="ECCHLsuperscript"/>
        </w:rPr>
        <w:t xml:space="preserve"> </w:t>
      </w:r>
      <w:r w:rsidRPr="005E0DF9">
        <w:rPr>
          <w:rStyle w:val="ECCParagraph"/>
          <w:sz w:val="16"/>
          <w:lang w:val="da-DK"/>
        </w:rPr>
        <w:t>See</w:t>
      </w:r>
      <w:r w:rsidRPr="009855B4">
        <w:rPr>
          <w:lang w:val="en-US"/>
        </w:rPr>
        <w:t xml:space="preserve"> documents </w:t>
      </w:r>
      <w:r>
        <w:rPr>
          <w:lang w:val="en-US"/>
        </w:rPr>
        <w:fldChar w:fldCharType="begin"/>
      </w:r>
      <w:r>
        <w:rPr>
          <w:lang w:val="en-US"/>
        </w:rPr>
        <w:instrText xml:space="preserve"> REF _Ref1123430 \r \h </w:instrText>
      </w:r>
      <w:r>
        <w:rPr>
          <w:lang w:val="en-US"/>
        </w:rPr>
      </w:r>
      <w:r>
        <w:rPr>
          <w:lang w:val="en-US"/>
        </w:rPr>
        <w:fldChar w:fldCharType="separate"/>
      </w:r>
      <w:r>
        <w:rPr>
          <w:lang w:val="en-US"/>
        </w:rPr>
        <w:t>[21]</w:t>
      </w:r>
      <w:r>
        <w:rPr>
          <w:lang w:val="en-US"/>
        </w:rPr>
        <w:fldChar w:fldCharType="end"/>
      </w:r>
      <w:r>
        <w:rPr>
          <w:lang w:val="en-US"/>
        </w:rPr>
        <w:t xml:space="preserve"> and </w:t>
      </w:r>
      <w:r>
        <w:rPr>
          <w:lang w:val="en-US"/>
        </w:rPr>
        <w:fldChar w:fldCharType="begin"/>
      </w:r>
      <w:r>
        <w:rPr>
          <w:lang w:val="en-US"/>
        </w:rPr>
        <w:instrText xml:space="preserve"> REF _Ref1123436 \r \h </w:instrText>
      </w:r>
      <w:r>
        <w:rPr>
          <w:lang w:val="en-US"/>
        </w:rPr>
      </w:r>
      <w:r>
        <w:rPr>
          <w:lang w:val="en-US"/>
        </w:rPr>
        <w:fldChar w:fldCharType="separate"/>
      </w:r>
      <w:r>
        <w:rPr>
          <w:lang w:val="en-US"/>
        </w:rPr>
        <w:t>[22]</w:t>
      </w:r>
      <w:r>
        <w:rPr>
          <w:lang w:val="en-US"/>
        </w:rPr>
        <w:fldChar w:fldCharType="end"/>
      </w:r>
      <w:r w:rsidRPr="009855B4">
        <w:rPr>
          <w:lang w:val="en-US"/>
        </w:rPr>
        <w:t xml:space="preserve"> describing phasing-out of Inmarsat A &amp; B in 5 &amp; 7 years respectively</w:t>
      </w:r>
      <w:r w:rsidRPr="00526637">
        <w:rPr>
          <w:rStyle w:val="ECCHLyellow"/>
        </w:rPr>
        <w:t xml:space="preserve"> </w:t>
      </w:r>
    </w:p>
  </w:footnote>
  <w:footnote w:id="10">
    <w:p w:rsidR="001C2B85" w:rsidRPr="009855B4" w:rsidRDefault="001C2B85">
      <w:pPr>
        <w:pStyle w:val="FootnoteText"/>
        <w:rPr>
          <w:lang w:val="en-US"/>
        </w:rPr>
      </w:pPr>
      <w:r>
        <w:rPr>
          <w:rStyle w:val="FootnoteReference"/>
        </w:rPr>
        <w:footnoteRef/>
      </w:r>
      <w:r w:rsidRPr="009855B4">
        <w:rPr>
          <w:lang w:val="en-US"/>
        </w:rPr>
        <w:t xml:space="preserve"> International SafetyN</w:t>
      </w:r>
      <w:r w:rsidRPr="00212A05">
        <w:rPr>
          <w:lang w:val="en-US"/>
        </w:rPr>
        <w:t>ET</w:t>
      </w:r>
      <w:r w:rsidRPr="009855B4">
        <w:rPr>
          <w:lang w:val="en-US"/>
        </w:rPr>
        <w:t xml:space="preserve"> users handbook </w:t>
      </w:r>
      <w:r>
        <w:rPr>
          <w:lang w:val="en-US"/>
        </w:rPr>
        <w:fldChar w:fldCharType="begin"/>
      </w:r>
      <w:r>
        <w:rPr>
          <w:lang w:val="en-US"/>
        </w:rPr>
        <w:instrText xml:space="preserve"> REF _Ref534370055 \r \h </w:instrText>
      </w:r>
      <w:r>
        <w:rPr>
          <w:lang w:val="en-US"/>
        </w:rPr>
      </w:r>
      <w:r>
        <w:rPr>
          <w:lang w:val="en-US"/>
        </w:rPr>
        <w:fldChar w:fldCharType="separate"/>
      </w:r>
      <w:r>
        <w:rPr>
          <w:lang w:val="en-US"/>
        </w:rPr>
        <w:t>[22]</w:t>
      </w:r>
      <w:r>
        <w:rPr>
          <w:lang w:val="en-US"/>
        </w:rPr>
        <w:fldChar w:fldCharType="end"/>
      </w:r>
      <w:r w:rsidRPr="00212A05">
        <w:rPr>
          <w:lang w:val="en-US"/>
        </w:rPr>
        <w:t xml:space="preserve"> </w:t>
      </w:r>
      <w:r w:rsidRPr="009855B4">
        <w:rPr>
          <w:lang w:val="en-US"/>
        </w:rPr>
        <w:t>Table 1 provides SafetyNet transmission timings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85" w:rsidRPr="00AD1BE1" w:rsidRDefault="001C2B85" w:rsidP="00AD1BE1">
    <w:pPr>
      <w:pStyle w:val="ECCpageHeader"/>
    </w:pPr>
    <w:r w:rsidRPr="00AD1BE1">
      <w:t xml:space="preserve">ECC REPORT </w:t>
    </w:r>
    <w:r>
      <w:t>299</w:t>
    </w:r>
    <w:r w:rsidRPr="00AD1BE1">
      <w:t xml:space="preserve"> - Page </w:t>
    </w:r>
    <w:r w:rsidRPr="00AD1BE1">
      <w:fldChar w:fldCharType="begin"/>
    </w:r>
    <w:r w:rsidRPr="00AD1BE1">
      <w:instrText xml:space="preserve"> PAGE  \* Arabic  \* MERGEFORMAT </w:instrText>
    </w:r>
    <w:r w:rsidRPr="00AD1BE1">
      <w:fldChar w:fldCharType="separate"/>
    </w:r>
    <w:r w:rsidR="002D0E0F">
      <w:rPr>
        <w:noProof/>
      </w:rPr>
      <w:t>28</w:t>
    </w:r>
    <w:r w:rsidRPr="00AD1BE1">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85" w:rsidRPr="00966560" w:rsidRDefault="002D0E0F" w:rsidP="001A1A0A">
    <w:pPr>
      <w:pStyle w:val="ECCpageHeader"/>
      <w:jc w:val="right"/>
      <w:rPr>
        <w:lang w:val="en-GB"/>
      </w:rPr>
    </w:pPr>
    <w:sdt>
      <w:sdtPr>
        <w:id w:val="659817559"/>
        <w:docPartObj>
          <w:docPartGallery w:val="Watermarks"/>
        </w:docPartObj>
      </w:sdtPr>
      <w:sdtEndPr/>
      <w:sdtContent/>
    </w:sdt>
    <w:r w:rsidR="001C2B85" w:rsidRPr="00966560">
      <w:rPr>
        <w:lang w:val="en-GB"/>
      </w:rPr>
      <w:tab/>
    </w:r>
    <w:r w:rsidR="001C2B85" w:rsidRPr="00966560">
      <w:rPr>
        <w:lang w:val="en-GB"/>
      </w:rPr>
      <w:tab/>
      <w:t>ECC REPORT</w:t>
    </w:r>
    <w:r w:rsidR="001C2B85">
      <w:rPr>
        <w:lang w:val="en-GB"/>
      </w:rPr>
      <w:t xml:space="preserve"> </w:t>
    </w:r>
    <w:r w:rsidR="001C2B85">
      <w:t>299</w:t>
    </w:r>
    <w:r w:rsidR="001C2B85" w:rsidRPr="00966560">
      <w:rPr>
        <w:lang w:val="en-GB"/>
      </w:rPr>
      <w:t xml:space="preserve"> - Page </w:t>
    </w:r>
    <w:r w:rsidR="001C2B85" w:rsidRPr="00296C44">
      <w:fldChar w:fldCharType="begin"/>
    </w:r>
    <w:r w:rsidR="001C2B85" w:rsidRPr="00966560">
      <w:rPr>
        <w:lang w:val="en-GB"/>
      </w:rPr>
      <w:instrText xml:space="preserve"> PAGE  \* Arabic  \* MERGEFORMAT </w:instrText>
    </w:r>
    <w:r w:rsidR="001C2B85" w:rsidRPr="00296C44">
      <w:fldChar w:fldCharType="separate"/>
    </w:r>
    <w:r>
      <w:rPr>
        <w:noProof/>
        <w:lang w:val="en-GB"/>
      </w:rPr>
      <w:t>27</w:t>
    </w:r>
    <w:r w:rsidR="001C2B85" w:rsidRPr="00296C44">
      <w:fldChar w:fldCharType="end"/>
    </w:r>
  </w:p>
  <w:p w:rsidR="001C2B85" w:rsidRDefault="001C2B85" w:rsidP="004930E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85" w:rsidRPr="005611D0" w:rsidRDefault="001C2B85" w:rsidP="009B022D">
    <w:pPr>
      <w:pStyle w:val="ECCpageHeader"/>
    </w:pPr>
    <w:r w:rsidRPr="00F7440E">
      <w:rPr>
        <w:noProof/>
        <w:lang w:eastAsia="da-DK"/>
      </w:rPr>
      <w:drawing>
        <wp:anchor distT="0" distB="0" distL="114300" distR="114300" simplePos="0" relativeHeight="251658752" behindDoc="0" locked="0" layoutInCell="1" allowOverlap="1" wp14:anchorId="281B954A" wp14:editId="453B10E6">
          <wp:simplePos x="0" y="0"/>
          <wp:positionH relativeFrom="page">
            <wp:posOffset>5717540</wp:posOffset>
          </wp:positionH>
          <wp:positionV relativeFrom="page">
            <wp:posOffset>648335</wp:posOffset>
          </wp:positionV>
          <wp:extent cx="1461770" cy="546100"/>
          <wp:effectExtent l="25400" t="0" r="11430" b="0"/>
          <wp:wrapNone/>
          <wp:docPr id="1"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F7440E">
      <w:rPr>
        <w:noProof/>
        <w:lang w:eastAsia="da-DK"/>
      </w:rPr>
      <w:drawing>
        <wp:anchor distT="0" distB="0" distL="114300" distR="114300" simplePos="0" relativeHeight="251657728" behindDoc="0" locked="0" layoutInCell="1" allowOverlap="1" wp14:anchorId="0604194E" wp14:editId="664B7F54">
          <wp:simplePos x="0" y="0"/>
          <wp:positionH relativeFrom="page">
            <wp:posOffset>572770</wp:posOffset>
          </wp:positionH>
          <wp:positionV relativeFrom="page">
            <wp:posOffset>457200</wp:posOffset>
          </wp:positionV>
          <wp:extent cx="889000" cy="889000"/>
          <wp:effectExtent l="25400" t="0" r="0" b="0"/>
          <wp:wrapNone/>
          <wp:docPr id="2"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p w:rsidR="001C2B85" w:rsidRPr="005611D0" w:rsidRDefault="001C2B85" w:rsidP="000F0A57">
    <w:pPr>
      <w:pStyle w:val="ECCpageHeader"/>
    </w:pPr>
  </w:p>
  <w:p w:rsidR="001C2B85" w:rsidRPr="005611D0" w:rsidRDefault="001C2B85" w:rsidP="000F0A57">
    <w:pPr>
      <w:pStyle w:val="ECCpageHeader"/>
    </w:pPr>
  </w:p>
  <w:p w:rsidR="001C2B85" w:rsidRPr="005611D0" w:rsidRDefault="001C2B85" w:rsidP="000F0A57">
    <w:pPr>
      <w:pStyle w:val="ECCpageHeader"/>
    </w:pPr>
  </w:p>
  <w:p w:rsidR="001C2B85" w:rsidRPr="005611D0" w:rsidRDefault="001C2B85" w:rsidP="000F0A57">
    <w:pPr>
      <w:pStyle w:val="ECCpage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6pt;height:59pt" o:bullet="t">
        <v:imagedata r:id="rId1" o:title="Editor's Note"/>
      </v:shape>
    </w:pict>
  </w:numPicBullet>
  <w:abstractNum w:abstractNumId="0">
    <w:nsid w:val="0EC830A5"/>
    <w:multiLevelType w:val="multilevel"/>
    <w:tmpl w:val="CD7ED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310B4D"/>
    <w:multiLevelType w:val="hybridMultilevel"/>
    <w:tmpl w:val="5740C276"/>
    <w:lvl w:ilvl="0" w:tplc="56C07420">
      <w:numFmt w:val="bullet"/>
      <w:lvlText w:val="-"/>
      <w:lvlJc w:val="left"/>
      <w:pPr>
        <w:ind w:left="1068" w:hanging="360"/>
      </w:pPr>
      <w:rPr>
        <w:rFonts w:ascii="Arial" w:eastAsia="Calibr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0F7B0AA2"/>
    <w:multiLevelType w:val="multilevel"/>
    <w:tmpl w:val="DB689EF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1C74CDA"/>
    <w:multiLevelType w:val="multilevel"/>
    <w:tmpl w:val="1A9E6B54"/>
    <w:lvl w:ilvl="0">
      <w:start w:val="8"/>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31D2CAF"/>
    <w:multiLevelType w:val="multilevel"/>
    <w:tmpl w:val="67C69F3A"/>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8">
    <w:nsid w:val="3B73590F"/>
    <w:multiLevelType w:val="hybridMultilevel"/>
    <w:tmpl w:val="D47C148C"/>
    <w:lvl w:ilvl="0" w:tplc="968E5F56">
      <w:numFmt w:val="bullet"/>
      <w:lvlText w:val="-"/>
      <w:lvlJc w:val="left"/>
      <w:pPr>
        <w:ind w:left="1068" w:hanging="360"/>
      </w:pPr>
      <w:rPr>
        <w:rFonts w:ascii="Arial" w:eastAsia="Calibr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3D163F7A"/>
    <w:multiLevelType w:val="multilevel"/>
    <w:tmpl w:val="EF205B4E"/>
    <w:lvl w:ilvl="0">
      <w:numFmt w:val="decimal"/>
      <w:pStyle w:val="Heading1"/>
      <w:lvlText w:val="%1"/>
      <w:lvlJc w:val="left"/>
      <w:pPr>
        <w:ind w:left="360" w:hanging="360"/>
      </w:pPr>
      <w:rPr>
        <w:rFonts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3EFB5648"/>
    <w:multiLevelType w:val="hybridMultilevel"/>
    <w:tmpl w:val="3B0E085E"/>
    <w:lvl w:ilvl="0" w:tplc="089805DC">
      <w:start w:val="1"/>
      <w:numFmt w:val="decimal"/>
      <w:lvlText w:val="Regulation %1"/>
      <w:lvlJc w:val="left"/>
      <w:pPr>
        <w:ind w:left="720" w:hanging="360"/>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F3C6066">
      <w:start w:val="1"/>
      <w:numFmt w:val="decimal"/>
      <w:lvlText w:val="%2"/>
      <w:lvlJc w:val="left"/>
      <w:pPr>
        <w:ind w:left="1440" w:hanging="360"/>
      </w:pPr>
      <w:rPr>
        <w:rFonts w:hint="default"/>
      </w:rPr>
    </w:lvl>
    <w:lvl w:ilvl="2" w:tplc="900EF810">
      <w:start w:val="1"/>
      <w:numFmt w:val="decimal"/>
      <w:lvlText w:val=".%3"/>
      <w:lvlJc w:val="left"/>
      <w:pPr>
        <w:ind w:left="2160" w:hanging="180"/>
      </w:pPr>
      <w:rPr>
        <w:rFonts w:hint="default"/>
      </w:rPr>
    </w:lvl>
    <w:lvl w:ilvl="3" w:tplc="58FAF1F2">
      <w:start w:val="1"/>
      <w:numFmt w:val="decimal"/>
      <w:lvlText w:val="1.%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8E532EA"/>
    <w:multiLevelType w:val="hybridMultilevel"/>
    <w:tmpl w:val="5810E2A4"/>
    <w:lvl w:ilvl="0" w:tplc="20B4FF9A">
      <w:start w:val="1"/>
      <w:numFmt w:val="bullet"/>
      <w:lvlText w:val=""/>
      <w:lvlPicBulletId w:val="0"/>
      <w:lvlJc w:val="left"/>
      <w:pPr>
        <w:tabs>
          <w:tab w:val="num" w:pos="1559"/>
        </w:tabs>
        <w:ind w:left="1559" w:hanging="1559"/>
      </w:pPr>
      <w:rPr>
        <w:rFonts w:ascii="Symbol" w:hAnsi="Symbol" w:hint="default"/>
        <w:b w:val="0"/>
        <w:bCs w:val="0"/>
        <w:i w:val="0"/>
        <w:iCs w:val="0"/>
        <w:caps w:val="0"/>
        <w:smallCaps w:val="0"/>
        <w:strike w:val="0"/>
        <w:dstrike w:val="0"/>
        <w:vanish w:val="0"/>
        <w:color w:val="auto"/>
        <w:spacing w:val="0"/>
        <w:kern w:val="0"/>
        <w:position w:val="0"/>
        <w:u w:val="none" w:color="FFFF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4">
    <w:nsid w:val="4CF511F5"/>
    <w:multiLevelType w:val="multilevel"/>
    <w:tmpl w:val="DB689EF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FB10149"/>
    <w:multiLevelType w:val="hybridMultilevel"/>
    <w:tmpl w:val="E0B650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50645EF1"/>
    <w:multiLevelType w:val="hybridMultilevel"/>
    <w:tmpl w:val="17C66504"/>
    <w:lvl w:ilvl="0" w:tplc="2760DF5A">
      <w:start w:val="1"/>
      <w:numFmt w:val="bullet"/>
      <w:lvlText w:val="-"/>
      <w:lvlJc w:val="left"/>
      <w:pPr>
        <w:ind w:left="1068" w:hanging="360"/>
      </w:pPr>
      <w:rPr>
        <w:rFonts w:ascii="Garamond" w:eastAsia="Calibri" w:hAnsi="Garamond"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7">
    <w:nsid w:val="5C9D4BBC"/>
    <w:multiLevelType w:val="hybridMultilevel"/>
    <w:tmpl w:val="55AC2F2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695A6243"/>
    <w:multiLevelType w:val="hybridMultilevel"/>
    <w:tmpl w:val="C3EA8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31F3066"/>
    <w:multiLevelType w:val="hybridMultilevel"/>
    <w:tmpl w:val="E9389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3"/>
  </w:num>
  <w:num w:numId="4">
    <w:abstractNumId w:val="7"/>
  </w:num>
  <w:num w:numId="5">
    <w:abstractNumId w:val="11"/>
  </w:num>
  <w:num w:numId="6">
    <w:abstractNumId w:val="9"/>
  </w:num>
  <w:num w:numId="7">
    <w:abstractNumId w:val="12"/>
  </w:num>
  <w:num w:numId="8">
    <w:abstractNumId w:val="5"/>
  </w:num>
  <w:num w:numId="9">
    <w:abstractNumId w:val="5"/>
  </w:num>
  <w:num w:numId="10">
    <w:abstractNumId w:val="15"/>
  </w:num>
  <w:num w:numId="11">
    <w:abstractNumId w:val="0"/>
  </w:num>
  <w:num w:numId="12">
    <w:abstractNumId w:val="17"/>
  </w:num>
  <w:num w:numId="13">
    <w:abstractNumId w:val="2"/>
  </w:num>
  <w:num w:numId="14">
    <w:abstractNumId w:val="14"/>
  </w:num>
  <w:num w:numId="15">
    <w:abstractNumId w:val="19"/>
  </w:num>
  <w:num w:numId="16">
    <w:abstractNumId w:val="6"/>
  </w:num>
  <w:num w:numId="17">
    <w:abstractNumId w:val="1"/>
  </w:num>
  <w:num w:numId="18">
    <w:abstractNumId w:val="8"/>
  </w:num>
  <w:num w:numId="19">
    <w:abstractNumId w:val="16"/>
  </w:num>
  <w:num w:numId="20">
    <w:abstractNumId w:val="10"/>
  </w:num>
  <w:num w:numId="21">
    <w:abstractNumId w:val="1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CC">
    <w15:presenceInfo w15:providerId="None" w15:userId="E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trackRevisions/>
  <w:documentProtection w:formatting="1" w:enforcement="1" w:cryptProviderType="rsaFull" w:cryptAlgorithmClass="hash" w:cryptAlgorithmType="typeAny" w:cryptAlgorithmSid="4" w:cryptSpinCount="100000" w:hash="ASyQR4JMX/yzUbtBU7Tmac0sAqM=" w:salt="CxtGEdzMoLs2qjhBofwLDw=="/>
  <w:styleLockTheme/>
  <w:defaultTabStop w:val="567"/>
  <w:hyphenationZone w:val="425"/>
  <w:evenAndOddHeaders/>
  <w:characterSpacingControl w:val="doNotCompress"/>
  <w:hdrShapeDefaults>
    <o:shapedefaults v:ext="edit" spidmax="2049">
      <o:colormru v:ext="edit" colors="#7b6c58,#887e6e,#b0a696"/>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1FD"/>
    <w:rsid w:val="00000AEA"/>
    <w:rsid w:val="00001A66"/>
    <w:rsid w:val="00004683"/>
    <w:rsid w:val="00010DE0"/>
    <w:rsid w:val="0001112E"/>
    <w:rsid w:val="00011C4C"/>
    <w:rsid w:val="00012E3B"/>
    <w:rsid w:val="000132A0"/>
    <w:rsid w:val="0001625A"/>
    <w:rsid w:val="00016754"/>
    <w:rsid w:val="0001694E"/>
    <w:rsid w:val="00020591"/>
    <w:rsid w:val="000215B6"/>
    <w:rsid w:val="0002217A"/>
    <w:rsid w:val="000228BB"/>
    <w:rsid w:val="000256F1"/>
    <w:rsid w:val="00025E53"/>
    <w:rsid w:val="00026D5A"/>
    <w:rsid w:val="00027C89"/>
    <w:rsid w:val="00032BA5"/>
    <w:rsid w:val="000341A1"/>
    <w:rsid w:val="00034C38"/>
    <w:rsid w:val="0003600E"/>
    <w:rsid w:val="00037997"/>
    <w:rsid w:val="00040716"/>
    <w:rsid w:val="00040CEC"/>
    <w:rsid w:val="00041A18"/>
    <w:rsid w:val="000421A1"/>
    <w:rsid w:val="00042218"/>
    <w:rsid w:val="00043396"/>
    <w:rsid w:val="000475F9"/>
    <w:rsid w:val="00050923"/>
    <w:rsid w:val="00050D00"/>
    <w:rsid w:val="00052A51"/>
    <w:rsid w:val="00052CC3"/>
    <w:rsid w:val="00055F74"/>
    <w:rsid w:val="0005757F"/>
    <w:rsid w:val="0005790E"/>
    <w:rsid w:val="00062668"/>
    <w:rsid w:val="00066647"/>
    <w:rsid w:val="00066D91"/>
    <w:rsid w:val="00067793"/>
    <w:rsid w:val="00067D10"/>
    <w:rsid w:val="0007146F"/>
    <w:rsid w:val="0007526D"/>
    <w:rsid w:val="00076DF1"/>
    <w:rsid w:val="00077A21"/>
    <w:rsid w:val="00080CA8"/>
    <w:rsid w:val="00080D4D"/>
    <w:rsid w:val="00080D86"/>
    <w:rsid w:val="0008235C"/>
    <w:rsid w:val="00082DD7"/>
    <w:rsid w:val="00091435"/>
    <w:rsid w:val="000931C4"/>
    <w:rsid w:val="00095620"/>
    <w:rsid w:val="00096242"/>
    <w:rsid w:val="0009779E"/>
    <w:rsid w:val="00097BE0"/>
    <w:rsid w:val="000A0C46"/>
    <w:rsid w:val="000A14D9"/>
    <w:rsid w:val="000A19D0"/>
    <w:rsid w:val="000A1B02"/>
    <w:rsid w:val="000A1D5C"/>
    <w:rsid w:val="000A3940"/>
    <w:rsid w:val="000A43C1"/>
    <w:rsid w:val="000A549F"/>
    <w:rsid w:val="000A6437"/>
    <w:rsid w:val="000B104C"/>
    <w:rsid w:val="000B1C7A"/>
    <w:rsid w:val="000B33BA"/>
    <w:rsid w:val="000B4708"/>
    <w:rsid w:val="000B5606"/>
    <w:rsid w:val="000B6C64"/>
    <w:rsid w:val="000B6D45"/>
    <w:rsid w:val="000C028F"/>
    <w:rsid w:val="000C2C9D"/>
    <w:rsid w:val="000C5807"/>
    <w:rsid w:val="000C5DEE"/>
    <w:rsid w:val="000C5EA6"/>
    <w:rsid w:val="000C634A"/>
    <w:rsid w:val="000C740F"/>
    <w:rsid w:val="000C7676"/>
    <w:rsid w:val="000D0865"/>
    <w:rsid w:val="000D0A8F"/>
    <w:rsid w:val="000D0A9D"/>
    <w:rsid w:val="000D1710"/>
    <w:rsid w:val="000D282F"/>
    <w:rsid w:val="000D29FF"/>
    <w:rsid w:val="000D2FEF"/>
    <w:rsid w:val="000D3749"/>
    <w:rsid w:val="000D38E3"/>
    <w:rsid w:val="000D3ECB"/>
    <w:rsid w:val="000D409F"/>
    <w:rsid w:val="000D43BB"/>
    <w:rsid w:val="000D5BB4"/>
    <w:rsid w:val="000D7F72"/>
    <w:rsid w:val="000E1FB5"/>
    <w:rsid w:val="000E2406"/>
    <w:rsid w:val="000E3205"/>
    <w:rsid w:val="000E42F5"/>
    <w:rsid w:val="000E5BCA"/>
    <w:rsid w:val="000E5CF4"/>
    <w:rsid w:val="000E62E9"/>
    <w:rsid w:val="000E7248"/>
    <w:rsid w:val="000F0594"/>
    <w:rsid w:val="000F0A57"/>
    <w:rsid w:val="000F0CA8"/>
    <w:rsid w:val="000F0D36"/>
    <w:rsid w:val="000F24F5"/>
    <w:rsid w:val="000F2ED9"/>
    <w:rsid w:val="000F3BC6"/>
    <w:rsid w:val="000F4BEC"/>
    <w:rsid w:val="000F4EA1"/>
    <w:rsid w:val="000F6A80"/>
    <w:rsid w:val="000F7232"/>
    <w:rsid w:val="001006CA"/>
    <w:rsid w:val="00100F8B"/>
    <w:rsid w:val="00101482"/>
    <w:rsid w:val="00101E31"/>
    <w:rsid w:val="00102172"/>
    <w:rsid w:val="00102F2B"/>
    <w:rsid w:val="00105AA6"/>
    <w:rsid w:val="0010633C"/>
    <w:rsid w:val="001066A9"/>
    <w:rsid w:val="0010732A"/>
    <w:rsid w:val="0010744E"/>
    <w:rsid w:val="00107F40"/>
    <w:rsid w:val="00110652"/>
    <w:rsid w:val="001109DE"/>
    <w:rsid w:val="001117F2"/>
    <w:rsid w:val="00111D92"/>
    <w:rsid w:val="00113CB7"/>
    <w:rsid w:val="001153E0"/>
    <w:rsid w:val="00116C0B"/>
    <w:rsid w:val="001206C2"/>
    <w:rsid w:val="00120A17"/>
    <w:rsid w:val="00120A9E"/>
    <w:rsid w:val="00121B75"/>
    <w:rsid w:val="00122725"/>
    <w:rsid w:val="0012396A"/>
    <w:rsid w:val="00131D79"/>
    <w:rsid w:val="001336CB"/>
    <w:rsid w:val="00136BC1"/>
    <w:rsid w:val="00136C16"/>
    <w:rsid w:val="001376C3"/>
    <w:rsid w:val="00137D99"/>
    <w:rsid w:val="001401E8"/>
    <w:rsid w:val="00140A67"/>
    <w:rsid w:val="00141186"/>
    <w:rsid w:val="00142B72"/>
    <w:rsid w:val="00145E67"/>
    <w:rsid w:val="00146F1A"/>
    <w:rsid w:val="00147B3A"/>
    <w:rsid w:val="001507EE"/>
    <w:rsid w:val="0015130D"/>
    <w:rsid w:val="001526A2"/>
    <w:rsid w:val="00152747"/>
    <w:rsid w:val="00152BA2"/>
    <w:rsid w:val="001537AB"/>
    <w:rsid w:val="00154C89"/>
    <w:rsid w:val="00154DF8"/>
    <w:rsid w:val="001555E1"/>
    <w:rsid w:val="00156314"/>
    <w:rsid w:val="001632D1"/>
    <w:rsid w:val="00163D12"/>
    <w:rsid w:val="001669FD"/>
    <w:rsid w:val="00167843"/>
    <w:rsid w:val="0017102E"/>
    <w:rsid w:val="0017258F"/>
    <w:rsid w:val="00172B28"/>
    <w:rsid w:val="0017363C"/>
    <w:rsid w:val="0017387F"/>
    <w:rsid w:val="001800CD"/>
    <w:rsid w:val="001820B3"/>
    <w:rsid w:val="00183FE0"/>
    <w:rsid w:val="0018553F"/>
    <w:rsid w:val="00190126"/>
    <w:rsid w:val="00193054"/>
    <w:rsid w:val="00194A9D"/>
    <w:rsid w:val="00195D42"/>
    <w:rsid w:val="0019611F"/>
    <w:rsid w:val="001965CF"/>
    <w:rsid w:val="0019781A"/>
    <w:rsid w:val="001A03E4"/>
    <w:rsid w:val="001A1A0A"/>
    <w:rsid w:val="001A4160"/>
    <w:rsid w:val="001A7236"/>
    <w:rsid w:val="001A723F"/>
    <w:rsid w:val="001B190A"/>
    <w:rsid w:val="001B4A93"/>
    <w:rsid w:val="001C07F3"/>
    <w:rsid w:val="001C1354"/>
    <w:rsid w:val="001C21BE"/>
    <w:rsid w:val="001C2B85"/>
    <w:rsid w:val="001C30A8"/>
    <w:rsid w:val="001C48C1"/>
    <w:rsid w:val="001C4BCA"/>
    <w:rsid w:val="001C5105"/>
    <w:rsid w:val="001C5839"/>
    <w:rsid w:val="001C649E"/>
    <w:rsid w:val="001D0B5B"/>
    <w:rsid w:val="001D5F82"/>
    <w:rsid w:val="001D6CAE"/>
    <w:rsid w:val="001D6EBF"/>
    <w:rsid w:val="001D7D54"/>
    <w:rsid w:val="001E09F4"/>
    <w:rsid w:val="001E1C22"/>
    <w:rsid w:val="001E2D69"/>
    <w:rsid w:val="001E2D83"/>
    <w:rsid w:val="001E441D"/>
    <w:rsid w:val="001E4DB6"/>
    <w:rsid w:val="001E62ED"/>
    <w:rsid w:val="001E6BD0"/>
    <w:rsid w:val="001E6FAA"/>
    <w:rsid w:val="001E7567"/>
    <w:rsid w:val="001E7AA4"/>
    <w:rsid w:val="001F067E"/>
    <w:rsid w:val="001F0CBC"/>
    <w:rsid w:val="001F1056"/>
    <w:rsid w:val="001F208A"/>
    <w:rsid w:val="001F56F5"/>
    <w:rsid w:val="001F62E9"/>
    <w:rsid w:val="001F6418"/>
    <w:rsid w:val="001F64B8"/>
    <w:rsid w:val="001F69A2"/>
    <w:rsid w:val="0020079A"/>
    <w:rsid w:val="002016AC"/>
    <w:rsid w:val="002040DA"/>
    <w:rsid w:val="0020609E"/>
    <w:rsid w:val="00207D17"/>
    <w:rsid w:val="002103D3"/>
    <w:rsid w:val="0021040E"/>
    <w:rsid w:val="00210414"/>
    <w:rsid w:val="002105EA"/>
    <w:rsid w:val="002118AA"/>
    <w:rsid w:val="00212A05"/>
    <w:rsid w:val="00213A0C"/>
    <w:rsid w:val="002156B8"/>
    <w:rsid w:val="00220299"/>
    <w:rsid w:val="002222AE"/>
    <w:rsid w:val="00222575"/>
    <w:rsid w:val="00222F4D"/>
    <w:rsid w:val="00222F9E"/>
    <w:rsid w:val="002233F3"/>
    <w:rsid w:val="00223E06"/>
    <w:rsid w:val="00224197"/>
    <w:rsid w:val="00225E62"/>
    <w:rsid w:val="002302A9"/>
    <w:rsid w:val="00230445"/>
    <w:rsid w:val="00233114"/>
    <w:rsid w:val="002338EE"/>
    <w:rsid w:val="00233CB4"/>
    <w:rsid w:val="002366E2"/>
    <w:rsid w:val="002378E5"/>
    <w:rsid w:val="00240EC4"/>
    <w:rsid w:val="00241C13"/>
    <w:rsid w:val="00241DDA"/>
    <w:rsid w:val="002427F8"/>
    <w:rsid w:val="0024394F"/>
    <w:rsid w:val="00243D21"/>
    <w:rsid w:val="00247DAD"/>
    <w:rsid w:val="00247E00"/>
    <w:rsid w:val="00251023"/>
    <w:rsid w:val="00251CD0"/>
    <w:rsid w:val="00255279"/>
    <w:rsid w:val="002576AD"/>
    <w:rsid w:val="002578E2"/>
    <w:rsid w:val="00260A63"/>
    <w:rsid w:val="00262010"/>
    <w:rsid w:val="00262613"/>
    <w:rsid w:val="00264464"/>
    <w:rsid w:val="002664ED"/>
    <w:rsid w:val="002668D6"/>
    <w:rsid w:val="00266B92"/>
    <w:rsid w:val="0027043A"/>
    <w:rsid w:val="00270FC3"/>
    <w:rsid w:val="00271619"/>
    <w:rsid w:val="00272CC1"/>
    <w:rsid w:val="00272EF6"/>
    <w:rsid w:val="00273CCC"/>
    <w:rsid w:val="00274F84"/>
    <w:rsid w:val="002763C0"/>
    <w:rsid w:val="0027787F"/>
    <w:rsid w:val="0028060B"/>
    <w:rsid w:val="0028120C"/>
    <w:rsid w:val="00281922"/>
    <w:rsid w:val="00283417"/>
    <w:rsid w:val="00283C93"/>
    <w:rsid w:val="002852EC"/>
    <w:rsid w:val="0028738B"/>
    <w:rsid w:val="00287D7B"/>
    <w:rsid w:val="00290C3D"/>
    <w:rsid w:val="002917F3"/>
    <w:rsid w:val="00291DAF"/>
    <w:rsid w:val="002940D7"/>
    <w:rsid w:val="00294DAC"/>
    <w:rsid w:val="00295827"/>
    <w:rsid w:val="00295F16"/>
    <w:rsid w:val="002960DF"/>
    <w:rsid w:val="00296C44"/>
    <w:rsid w:val="00296C4F"/>
    <w:rsid w:val="002A033F"/>
    <w:rsid w:val="002A077C"/>
    <w:rsid w:val="002A1589"/>
    <w:rsid w:val="002A635F"/>
    <w:rsid w:val="002A6B7A"/>
    <w:rsid w:val="002A6F40"/>
    <w:rsid w:val="002A7BA9"/>
    <w:rsid w:val="002B27D9"/>
    <w:rsid w:val="002B411E"/>
    <w:rsid w:val="002B42A0"/>
    <w:rsid w:val="002B4949"/>
    <w:rsid w:val="002B4B64"/>
    <w:rsid w:val="002B67EE"/>
    <w:rsid w:val="002B6822"/>
    <w:rsid w:val="002B6E82"/>
    <w:rsid w:val="002B7989"/>
    <w:rsid w:val="002B7C91"/>
    <w:rsid w:val="002C1318"/>
    <w:rsid w:val="002C2426"/>
    <w:rsid w:val="002C2CC9"/>
    <w:rsid w:val="002C3A1A"/>
    <w:rsid w:val="002C3AAA"/>
    <w:rsid w:val="002C3B04"/>
    <w:rsid w:val="002C49A4"/>
    <w:rsid w:val="002C563C"/>
    <w:rsid w:val="002C635D"/>
    <w:rsid w:val="002C6515"/>
    <w:rsid w:val="002C6907"/>
    <w:rsid w:val="002C6DC3"/>
    <w:rsid w:val="002C7E54"/>
    <w:rsid w:val="002D0E0F"/>
    <w:rsid w:val="002D195D"/>
    <w:rsid w:val="002D1FA9"/>
    <w:rsid w:val="002D2ECD"/>
    <w:rsid w:val="002D42A3"/>
    <w:rsid w:val="002D45DB"/>
    <w:rsid w:val="002D48C1"/>
    <w:rsid w:val="002D50A3"/>
    <w:rsid w:val="002D5169"/>
    <w:rsid w:val="002D6B52"/>
    <w:rsid w:val="002D75C3"/>
    <w:rsid w:val="002E073E"/>
    <w:rsid w:val="002E0932"/>
    <w:rsid w:val="002E2408"/>
    <w:rsid w:val="002E28E5"/>
    <w:rsid w:val="002E4BEF"/>
    <w:rsid w:val="002F1195"/>
    <w:rsid w:val="002F49EB"/>
    <w:rsid w:val="002F4B98"/>
    <w:rsid w:val="002F50EA"/>
    <w:rsid w:val="002F6346"/>
    <w:rsid w:val="002F73C1"/>
    <w:rsid w:val="0030115D"/>
    <w:rsid w:val="003015E8"/>
    <w:rsid w:val="0030567B"/>
    <w:rsid w:val="00305721"/>
    <w:rsid w:val="00307430"/>
    <w:rsid w:val="0030748C"/>
    <w:rsid w:val="00307A79"/>
    <w:rsid w:val="003129EA"/>
    <w:rsid w:val="00312D77"/>
    <w:rsid w:val="0031444B"/>
    <w:rsid w:val="00314FB6"/>
    <w:rsid w:val="003150C4"/>
    <w:rsid w:val="00315992"/>
    <w:rsid w:val="00315F5F"/>
    <w:rsid w:val="00315FB5"/>
    <w:rsid w:val="00316AAC"/>
    <w:rsid w:val="00316F7A"/>
    <w:rsid w:val="003177E0"/>
    <w:rsid w:val="003204D5"/>
    <w:rsid w:val="00321B67"/>
    <w:rsid w:val="00321E51"/>
    <w:rsid w:val="003226D8"/>
    <w:rsid w:val="00322E6A"/>
    <w:rsid w:val="00325B09"/>
    <w:rsid w:val="003275C3"/>
    <w:rsid w:val="003279E2"/>
    <w:rsid w:val="003305CC"/>
    <w:rsid w:val="003308C6"/>
    <w:rsid w:val="003314A0"/>
    <w:rsid w:val="00333EEB"/>
    <w:rsid w:val="00337AB4"/>
    <w:rsid w:val="00337FBD"/>
    <w:rsid w:val="00340B38"/>
    <w:rsid w:val="00342DDB"/>
    <w:rsid w:val="00342E39"/>
    <w:rsid w:val="00343457"/>
    <w:rsid w:val="00343E1B"/>
    <w:rsid w:val="00344FB9"/>
    <w:rsid w:val="003521D6"/>
    <w:rsid w:val="003526A7"/>
    <w:rsid w:val="00352CB3"/>
    <w:rsid w:val="00353611"/>
    <w:rsid w:val="00353D38"/>
    <w:rsid w:val="00354E1B"/>
    <w:rsid w:val="0035661C"/>
    <w:rsid w:val="003606AA"/>
    <w:rsid w:val="003625E6"/>
    <w:rsid w:val="00363BDD"/>
    <w:rsid w:val="00366187"/>
    <w:rsid w:val="00371229"/>
    <w:rsid w:val="00372290"/>
    <w:rsid w:val="00373783"/>
    <w:rsid w:val="003750A5"/>
    <w:rsid w:val="0037520E"/>
    <w:rsid w:val="0037606B"/>
    <w:rsid w:val="00376957"/>
    <w:rsid w:val="00377A20"/>
    <w:rsid w:val="00377F3A"/>
    <w:rsid w:val="00380239"/>
    <w:rsid w:val="00381169"/>
    <w:rsid w:val="0038358E"/>
    <w:rsid w:val="00384CC7"/>
    <w:rsid w:val="00385222"/>
    <w:rsid w:val="00386B7C"/>
    <w:rsid w:val="00387AB8"/>
    <w:rsid w:val="00387D6F"/>
    <w:rsid w:val="00387DDE"/>
    <w:rsid w:val="00391A01"/>
    <w:rsid w:val="00392218"/>
    <w:rsid w:val="003930F9"/>
    <w:rsid w:val="003958FF"/>
    <w:rsid w:val="00397535"/>
    <w:rsid w:val="003A0EB5"/>
    <w:rsid w:val="003A1E85"/>
    <w:rsid w:val="003A3054"/>
    <w:rsid w:val="003A3198"/>
    <w:rsid w:val="003A5711"/>
    <w:rsid w:val="003B1553"/>
    <w:rsid w:val="003B281E"/>
    <w:rsid w:val="003B51DC"/>
    <w:rsid w:val="003B72CC"/>
    <w:rsid w:val="003B7305"/>
    <w:rsid w:val="003C03FD"/>
    <w:rsid w:val="003C64D9"/>
    <w:rsid w:val="003C666A"/>
    <w:rsid w:val="003C6BF4"/>
    <w:rsid w:val="003D0552"/>
    <w:rsid w:val="003D1FF6"/>
    <w:rsid w:val="003D2AC0"/>
    <w:rsid w:val="003D3F39"/>
    <w:rsid w:val="003D584A"/>
    <w:rsid w:val="003D61D5"/>
    <w:rsid w:val="003E02F1"/>
    <w:rsid w:val="003E0642"/>
    <w:rsid w:val="003E2E42"/>
    <w:rsid w:val="003E2E49"/>
    <w:rsid w:val="003E332B"/>
    <w:rsid w:val="003E4294"/>
    <w:rsid w:val="003E6559"/>
    <w:rsid w:val="003E70E0"/>
    <w:rsid w:val="003E742F"/>
    <w:rsid w:val="003E78C1"/>
    <w:rsid w:val="003F0D7D"/>
    <w:rsid w:val="003F151E"/>
    <w:rsid w:val="003F2917"/>
    <w:rsid w:val="003F2DC6"/>
    <w:rsid w:val="003F326A"/>
    <w:rsid w:val="003F3DBD"/>
    <w:rsid w:val="003F6027"/>
    <w:rsid w:val="003F68F6"/>
    <w:rsid w:val="004036C2"/>
    <w:rsid w:val="00403CE6"/>
    <w:rsid w:val="004068A9"/>
    <w:rsid w:val="004070BC"/>
    <w:rsid w:val="004110CA"/>
    <w:rsid w:val="0041160E"/>
    <w:rsid w:val="00412289"/>
    <w:rsid w:val="0041260F"/>
    <w:rsid w:val="00413235"/>
    <w:rsid w:val="00413B44"/>
    <w:rsid w:val="00417C00"/>
    <w:rsid w:val="00420FB1"/>
    <w:rsid w:val="004224BC"/>
    <w:rsid w:val="0042498F"/>
    <w:rsid w:val="004256E0"/>
    <w:rsid w:val="004264F5"/>
    <w:rsid w:val="004272FF"/>
    <w:rsid w:val="00430B86"/>
    <w:rsid w:val="00431162"/>
    <w:rsid w:val="004314CC"/>
    <w:rsid w:val="004316B5"/>
    <w:rsid w:val="004316BC"/>
    <w:rsid w:val="004329F6"/>
    <w:rsid w:val="00432D9A"/>
    <w:rsid w:val="0043370C"/>
    <w:rsid w:val="0043402D"/>
    <w:rsid w:val="00434BED"/>
    <w:rsid w:val="0043502A"/>
    <w:rsid w:val="00435B79"/>
    <w:rsid w:val="004368A4"/>
    <w:rsid w:val="00437674"/>
    <w:rsid w:val="00442828"/>
    <w:rsid w:val="00443482"/>
    <w:rsid w:val="00443B27"/>
    <w:rsid w:val="0044466C"/>
    <w:rsid w:val="00445E4E"/>
    <w:rsid w:val="00447607"/>
    <w:rsid w:val="00450308"/>
    <w:rsid w:val="004515D8"/>
    <w:rsid w:val="00451BA7"/>
    <w:rsid w:val="0045484D"/>
    <w:rsid w:val="00455EC3"/>
    <w:rsid w:val="00457AD1"/>
    <w:rsid w:val="0046064F"/>
    <w:rsid w:val="004612C4"/>
    <w:rsid w:val="00461339"/>
    <w:rsid w:val="004628A8"/>
    <w:rsid w:val="00462D9D"/>
    <w:rsid w:val="00463802"/>
    <w:rsid w:val="00463F2D"/>
    <w:rsid w:val="0046427F"/>
    <w:rsid w:val="00465F13"/>
    <w:rsid w:val="00466F3B"/>
    <w:rsid w:val="00471B05"/>
    <w:rsid w:val="00471F0A"/>
    <w:rsid w:val="00472CE9"/>
    <w:rsid w:val="004731B4"/>
    <w:rsid w:val="0047387F"/>
    <w:rsid w:val="00474764"/>
    <w:rsid w:val="00474AC8"/>
    <w:rsid w:val="0047784A"/>
    <w:rsid w:val="00477949"/>
    <w:rsid w:val="004806E1"/>
    <w:rsid w:val="00480D2C"/>
    <w:rsid w:val="00482405"/>
    <w:rsid w:val="00482845"/>
    <w:rsid w:val="004839C9"/>
    <w:rsid w:val="00485665"/>
    <w:rsid w:val="00486F3E"/>
    <w:rsid w:val="00486F68"/>
    <w:rsid w:val="00487EFE"/>
    <w:rsid w:val="00491977"/>
    <w:rsid w:val="00491F15"/>
    <w:rsid w:val="0049204A"/>
    <w:rsid w:val="00492F42"/>
    <w:rsid w:val="004930E1"/>
    <w:rsid w:val="00495F92"/>
    <w:rsid w:val="00496087"/>
    <w:rsid w:val="004960C0"/>
    <w:rsid w:val="004A1329"/>
    <w:rsid w:val="004A1795"/>
    <w:rsid w:val="004A1C7D"/>
    <w:rsid w:val="004A2965"/>
    <w:rsid w:val="004A37E8"/>
    <w:rsid w:val="004A705C"/>
    <w:rsid w:val="004A7A76"/>
    <w:rsid w:val="004B07D7"/>
    <w:rsid w:val="004B09E9"/>
    <w:rsid w:val="004B3873"/>
    <w:rsid w:val="004B4317"/>
    <w:rsid w:val="004B6538"/>
    <w:rsid w:val="004B6CEC"/>
    <w:rsid w:val="004B6E46"/>
    <w:rsid w:val="004B6F8D"/>
    <w:rsid w:val="004B7572"/>
    <w:rsid w:val="004B7A2C"/>
    <w:rsid w:val="004B7E03"/>
    <w:rsid w:val="004C05A8"/>
    <w:rsid w:val="004C13D6"/>
    <w:rsid w:val="004C1652"/>
    <w:rsid w:val="004C37FB"/>
    <w:rsid w:val="004C4A2E"/>
    <w:rsid w:val="004D1151"/>
    <w:rsid w:val="004D22FB"/>
    <w:rsid w:val="004D6124"/>
    <w:rsid w:val="004D69DC"/>
    <w:rsid w:val="004D7743"/>
    <w:rsid w:val="004E057E"/>
    <w:rsid w:val="004E06EE"/>
    <w:rsid w:val="004E118E"/>
    <w:rsid w:val="004E2249"/>
    <w:rsid w:val="004E24E8"/>
    <w:rsid w:val="004E2CC0"/>
    <w:rsid w:val="004E2CDA"/>
    <w:rsid w:val="004E303D"/>
    <w:rsid w:val="004E44C8"/>
    <w:rsid w:val="004E53BE"/>
    <w:rsid w:val="004E7F82"/>
    <w:rsid w:val="004F1687"/>
    <w:rsid w:val="004F47D6"/>
    <w:rsid w:val="004F4D00"/>
    <w:rsid w:val="004F5ADF"/>
    <w:rsid w:val="004F65B4"/>
    <w:rsid w:val="004F6BE6"/>
    <w:rsid w:val="004F7183"/>
    <w:rsid w:val="004F77D3"/>
    <w:rsid w:val="004F789E"/>
    <w:rsid w:val="004F7AC9"/>
    <w:rsid w:val="005002DC"/>
    <w:rsid w:val="00500CAC"/>
    <w:rsid w:val="00501992"/>
    <w:rsid w:val="00501C65"/>
    <w:rsid w:val="00501F35"/>
    <w:rsid w:val="00501FCE"/>
    <w:rsid w:val="0050271F"/>
    <w:rsid w:val="00503478"/>
    <w:rsid w:val="005050EC"/>
    <w:rsid w:val="00506B23"/>
    <w:rsid w:val="00506B6B"/>
    <w:rsid w:val="00507106"/>
    <w:rsid w:val="00510ABA"/>
    <w:rsid w:val="00514311"/>
    <w:rsid w:val="0051448C"/>
    <w:rsid w:val="00515024"/>
    <w:rsid w:val="00523616"/>
    <w:rsid w:val="0052434D"/>
    <w:rsid w:val="00526637"/>
    <w:rsid w:val="0052698A"/>
    <w:rsid w:val="00526DC5"/>
    <w:rsid w:val="0053062A"/>
    <w:rsid w:val="005307C4"/>
    <w:rsid w:val="00531852"/>
    <w:rsid w:val="00531976"/>
    <w:rsid w:val="00532D5C"/>
    <w:rsid w:val="00535050"/>
    <w:rsid w:val="00536925"/>
    <w:rsid w:val="00536C3E"/>
    <w:rsid w:val="00536F3C"/>
    <w:rsid w:val="005402BF"/>
    <w:rsid w:val="00540E91"/>
    <w:rsid w:val="0054260E"/>
    <w:rsid w:val="00543874"/>
    <w:rsid w:val="005447BF"/>
    <w:rsid w:val="00550D79"/>
    <w:rsid w:val="0055273F"/>
    <w:rsid w:val="005559AC"/>
    <w:rsid w:val="00555DE3"/>
    <w:rsid w:val="00555FB3"/>
    <w:rsid w:val="005567FD"/>
    <w:rsid w:val="00557B5A"/>
    <w:rsid w:val="0056073F"/>
    <w:rsid w:val="005611D0"/>
    <w:rsid w:val="00562700"/>
    <w:rsid w:val="005634B0"/>
    <w:rsid w:val="00564033"/>
    <w:rsid w:val="00565742"/>
    <w:rsid w:val="0056593C"/>
    <w:rsid w:val="00566BD4"/>
    <w:rsid w:val="005714AF"/>
    <w:rsid w:val="00573943"/>
    <w:rsid w:val="00574572"/>
    <w:rsid w:val="00574E03"/>
    <w:rsid w:val="00574FD3"/>
    <w:rsid w:val="005756CD"/>
    <w:rsid w:val="00577CAF"/>
    <w:rsid w:val="00580223"/>
    <w:rsid w:val="00580397"/>
    <w:rsid w:val="005804B5"/>
    <w:rsid w:val="005812C9"/>
    <w:rsid w:val="00581AD2"/>
    <w:rsid w:val="00582427"/>
    <w:rsid w:val="00582713"/>
    <w:rsid w:val="00582821"/>
    <w:rsid w:val="0058401B"/>
    <w:rsid w:val="00584FB9"/>
    <w:rsid w:val="00585AE4"/>
    <w:rsid w:val="005866FB"/>
    <w:rsid w:val="0058724A"/>
    <w:rsid w:val="00587A84"/>
    <w:rsid w:val="00587FFB"/>
    <w:rsid w:val="00590910"/>
    <w:rsid w:val="00590CB4"/>
    <w:rsid w:val="005929BD"/>
    <w:rsid w:val="005930F1"/>
    <w:rsid w:val="00594186"/>
    <w:rsid w:val="00594E75"/>
    <w:rsid w:val="00595672"/>
    <w:rsid w:val="00595A97"/>
    <w:rsid w:val="005A05D1"/>
    <w:rsid w:val="005A130D"/>
    <w:rsid w:val="005A3FD4"/>
    <w:rsid w:val="005A5056"/>
    <w:rsid w:val="005A509E"/>
    <w:rsid w:val="005A53B8"/>
    <w:rsid w:val="005A73B8"/>
    <w:rsid w:val="005A74EE"/>
    <w:rsid w:val="005B1438"/>
    <w:rsid w:val="005B202B"/>
    <w:rsid w:val="005B2D85"/>
    <w:rsid w:val="005B3974"/>
    <w:rsid w:val="005B531F"/>
    <w:rsid w:val="005B5390"/>
    <w:rsid w:val="005B66C0"/>
    <w:rsid w:val="005B7A44"/>
    <w:rsid w:val="005C05C3"/>
    <w:rsid w:val="005C10EB"/>
    <w:rsid w:val="005C2EA8"/>
    <w:rsid w:val="005C3A4F"/>
    <w:rsid w:val="005C3F3D"/>
    <w:rsid w:val="005C589D"/>
    <w:rsid w:val="005C5A96"/>
    <w:rsid w:val="005C656C"/>
    <w:rsid w:val="005C687C"/>
    <w:rsid w:val="005D0613"/>
    <w:rsid w:val="005D1FE4"/>
    <w:rsid w:val="005D2400"/>
    <w:rsid w:val="005D371D"/>
    <w:rsid w:val="005D3D17"/>
    <w:rsid w:val="005D4859"/>
    <w:rsid w:val="005D4C9B"/>
    <w:rsid w:val="005D69F0"/>
    <w:rsid w:val="005E0280"/>
    <w:rsid w:val="005E0DF9"/>
    <w:rsid w:val="005E1BD3"/>
    <w:rsid w:val="005E3166"/>
    <w:rsid w:val="005E4A6C"/>
    <w:rsid w:val="005E4A7C"/>
    <w:rsid w:val="005E4D51"/>
    <w:rsid w:val="005E71F3"/>
    <w:rsid w:val="005E7495"/>
    <w:rsid w:val="005F0D47"/>
    <w:rsid w:val="005F188E"/>
    <w:rsid w:val="005F2F12"/>
    <w:rsid w:val="005F4FBD"/>
    <w:rsid w:val="005F563F"/>
    <w:rsid w:val="005F5E6B"/>
    <w:rsid w:val="005F6149"/>
    <w:rsid w:val="005F730E"/>
    <w:rsid w:val="00601293"/>
    <w:rsid w:val="00605EC4"/>
    <w:rsid w:val="00607139"/>
    <w:rsid w:val="00607D5A"/>
    <w:rsid w:val="00610BF8"/>
    <w:rsid w:val="00610E93"/>
    <w:rsid w:val="0061231B"/>
    <w:rsid w:val="00615D6D"/>
    <w:rsid w:val="006162A2"/>
    <w:rsid w:val="0061684A"/>
    <w:rsid w:val="00616BD1"/>
    <w:rsid w:val="0062050D"/>
    <w:rsid w:val="00621C12"/>
    <w:rsid w:val="00621EDC"/>
    <w:rsid w:val="00622D0C"/>
    <w:rsid w:val="00623D60"/>
    <w:rsid w:val="00623E18"/>
    <w:rsid w:val="00624D4D"/>
    <w:rsid w:val="00625C5D"/>
    <w:rsid w:val="00625E3D"/>
    <w:rsid w:val="006264C6"/>
    <w:rsid w:val="0062753C"/>
    <w:rsid w:val="00632439"/>
    <w:rsid w:val="00632AF2"/>
    <w:rsid w:val="00633484"/>
    <w:rsid w:val="0063427B"/>
    <w:rsid w:val="00634E59"/>
    <w:rsid w:val="00635A22"/>
    <w:rsid w:val="00635D49"/>
    <w:rsid w:val="006360E6"/>
    <w:rsid w:val="00641AB3"/>
    <w:rsid w:val="00642083"/>
    <w:rsid w:val="00644AB7"/>
    <w:rsid w:val="00644C82"/>
    <w:rsid w:val="00645527"/>
    <w:rsid w:val="00646309"/>
    <w:rsid w:val="00646D9D"/>
    <w:rsid w:val="00647766"/>
    <w:rsid w:val="006509B2"/>
    <w:rsid w:val="00650E47"/>
    <w:rsid w:val="00651923"/>
    <w:rsid w:val="00652553"/>
    <w:rsid w:val="00652A3A"/>
    <w:rsid w:val="0065304A"/>
    <w:rsid w:val="006536B4"/>
    <w:rsid w:val="006543AA"/>
    <w:rsid w:val="0065550D"/>
    <w:rsid w:val="00656B46"/>
    <w:rsid w:val="00656CF5"/>
    <w:rsid w:val="00656E42"/>
    <w:rsid w:val="006603EE"/>
    <w:rsid w:val="0066075C"/>
    <w:rsid w:val="006612E1"/>
    <w:rsid w:val="00661527"/>
    <w:rsid w:val="00662AEB"/>
    <w:rsid w:val="00662B87"/>
    <w:rsid w:val="00662D3F"/>
    <w:rsid w:val="0066344E"/>
    <w:rsid w:val="006641AB"/>
    <w:rsid w:val="00664295"/>
    <w:rsid w:val="00665364"/>
    <w:rsid w:val="00665814"/>
    <w:rsid w:val="006676E7"/>
    <w:rsid w:val="00667B35"/>
    <w:rsid w:val="00667B50"/>
    <w:rsid w:val="00670EA2"/>
    <w:rsid w:val="00671087"/>
    <w:rsid w:val="0067146E"/>
    <w:rsid w:val="00671DA6"/>
    <w:rsid w:val="00673A9B"/>
    <w:rsid w:val="006743B5"/>
    <w:rsid w:val="00677073"/>
    <w:rsid w:val="00680527"/>
    <w:rsid w:val="00680BFC"/>
    <w:rsid w:val="00681518"/>
    <w:rsid w:val="006817B5"/>
    <w:rsid w:val="00681A1A"/>
    <w:rsid w:val="00685790"/>
    <w:rsid w:val="00685E46"/>
    <w:rsid w:val="00685F81"/>
    <w:rsid w:val="006876A8"/>
    <w:rsid w:val="00691479"/>
    <w:rsid w:val="006922D2"/>
    <w:rsid w:val="006928F6"/>
    <w:rsid w:val="00693BE1"/>
    <w:rsid w:val="00693DE4"/>
    <w:rsid w:val="00695EE7"/>
    <w:rsid w:val="006979F2"/>
    <w:rsid w:val="006A04AF"/>
    <w:rsid w:val="006A49E3"/>
    <w:rsid w:val="006A5A04"/>
    <w:rsid w:val="006A5AF1"/>
    <w:rsid w:val="006B120D"/>
    <w:rsid w:val="006B1EFD"/>
    <w:rsid w:val="006B2F17"/>
    <w:rsid w:val="006B367E"/>
    <w:rsid w:val="006B3879"/>
    <w:rsid w:val="006B6643"/>
    <w:rsid w:val="006B7173"/>
    <w:rsid w:val="006C14E4"/>
    <w:rsid w:val="006C1D90"/>
    <w:rsid w:val="006C217C"/>
    <w:rsid w:val="006C2EA3"/>
    <w:rsid w:val="006C3E11"/>
    <w:rsid w:val="006C4C93"/>
    <w:rsid w:val="006C5B96"/>
    <w:rsid w:val="006C6DA8"/>
    <w:rsid w:val="006C7C62"/>
    <w:rsid w:val="006C7F61"/>
    <w:rsid w:val="006D1521"/>
    <w:rsid w:val="006D17AB"/>
    <w:rsid w:val="006D2044"/>
    <w:rsid w:val="006D231A"/>
    <w:rsid w:val="006D3170"/>
    <w:rsid w:val="006D3FD9"/>
    <w:rsid w:val="006D407F"/>
    <w:rsid w:val="006D4A71"/>
    <w:rsid w:val="006D4E10"/>
    <w:rsid w:val="006D6CA1"/>
    <w:rsid w:val="006D7947"/>
    <w:rsid w:val="006E207B"/>
    <w:rsid w:val="006E3677"/>
    <w:rsid w:val="006E70FA"/>
    <w:rsid w:val="006E7C70"/>
    <w:rsid w:val="006F0442"/>
    <w:rsid w:val="006F0F44"/>
    <w:rsid w:val="006F19FD"/>
    <w:rsid w:val="006F1CBD"/>
    <w:rsid w:val="006F3335"/>
    <w:rsid w:val="006F51B0"/>
    <w:rsid w:val="006F55DD"/>
    <w:rsid w:val="0070091F"/>
    <w:rsid w:val="00700F71"/>
    <w:rsid w:val="0070148E"/>
    <w:rsid w:val="00702C33"/>
    <w:rsid w:val="00702F7C"/>
    <w:rsid w:val="00703155"/>
    <w:rsid w:val="007037B0"/>
    <w:rsid w:val="007052C5"/>
    <w:rsid w:val="00710886"/>
    <w:rsid w:val="00710CEF"/>
    <w:rsid w:val="00710F0A"/>
    <w:rsid w:val="007116DE"/>
    <w:rsid w:val="00712C23"/>
    <w:rsid w:val="00712CB4"/>
    <w:rsid w:val="00713B06"/>
    <w:rsid w:val="00713E14"/>
    <w:rsid w:val="00714300"/>
    <w:rsid w:val="00715167"/>
    <w:rsid w:val="00715D9C"/>
    <w:rsid w:val="007160BE"/>
    <w:rsid w:val="007213DC"/>
    <w:rsid w:val="00721F81"/>
    <w:rsid w:val="0072244F"/>
    <w:rsid w:val="007224D6"/>
    <w:rsid w:val="00722F65"/>
    <w:rsid w:val="00723D53"/>
    <w:rsid w:val="00723F45"/>
    <w:rsid w:val="007253C6"/>
    <w:rsid w:val="007257CD"/>
    <w:rsid w:val="00725961"/>
    <w:rsid w:val="007334C3"/>
    <w:rsid w:val="00734207"/>
    <w:rsid w:val="00734A4F"/>
    <w:rsid w:val="00736D1E"/>
    <w:rsid w:val="00736E1D"/>
    <w:rsid w:val="0073740B"/>
    <w:rsid w:val="007414C6"/>
    <w:rsid w:val="00741BEF"/>
    <w:rsid w:val="00742AE5"/>
    <w:rsid w:val="00742B0B"/>
    <w:rsid w:val="00750659"/>
    <w:rsid w:val="007507D7"/>
    <w:rsid w:val="00750965"/>
    <w:rsid w:val="00751D98"/>
    <w:rsid w:val="007532D5"/>
    <w:rsid w:val="007543B9"/>
    <w:rsid w:val="00754D81"/>
    <w:rsid w:val="00755525"/>
    <w:rsid w:val="0075586A"/>
    <w:rsid w:val="00755F87"/>
    <w:rsid w:val="00757CA0"/>
    <w:rsid w:val="00757F24"/>
    <w:rsid w:val="007602C8"/>
    <w:rsid w:val="007613F4"/>
    <w:rsid w:val="00762BCC"/>
    <w:rsid w:val="00763BA3"/>
    <w:rsid w:val="00764BA2"/>
    <w:rsid w:val="00765B66"/>
    <w:rsid w:val="007661C3"/>
    <w:rsid w:val="00766B2B"/>
    <w:rsid w:val="00767BB2"/>
    <w:rsid w:val="007700E3"/>
    <w:rsid w:val="007709D5"/>
    <w:rsid w:val="0077159C"/>
    <w:rsid w:val="007717D9"/>
    <w:rsid w:val="007745DC"/>
    <w:rsid w:val="007763BF"/>
    <w:rsid w:val="00780376"/>
    <w:rsid w:val="00780501"/>
    <w:rsid w:val="00780EE3"/>
    <w:rsid w:val="00781E93"/>
    <w:rsid w:val="00785254"/>
    <w:rsid w:val="00787562"/>
    <w:rsid w:val="00790675"/>
    <w:rsid w:val="00790E87"/>
    <w:rsid w:val="00791AAC"/>
    <w:rsid w:val="00791E83"/>
    <w:rsid w:val="00792934"/>
    <w:rsid w:val="00793C63"/>
    <w:rsid w:val="00794574"/>
    <w:rsid w:val="00794652"/>
    <w:rsid w:val="007952BE"/>
    <w:rsid w:val="00795C06"/>
    <w:rsid w:val="00797328"/>
    <w:rsid w:val="00797D4C"/>
    <w:rsid w:val="007A1250"/>
    <w:rsid w:val="007A24E4"/>
    <w:rsid w:val="007A2CE4"/>
    <w:rsid w:val="007A799A"/>
    <w:rsid w:val="007A7EB9"/>
    <w:rsid w:val="007B11C3"/>
    <w:rsid w:val="007B229F"/>
    <w:rsid w:val="007B4F26"/>
    <w:rsid w:val="007B571D"/>
    <w:rsid w:val="007B624C"/>
    <w:rsid w:val="007B643F"/>
    <w:rsid w:val="007B6698"/>
    <w:rsid w:val="007B6EAD"/>
    <w:rsid w:val="007C0E7E"/>
    <w:rsid w:val="007C23E8"/>
    <w:rsid w:val="007C27E7"/>
    <w:rsid w:val="007C3754"/>
    <w:rsid w:val="007C4098"/>
    <w:rsid w:val="007C4D11"/>
    <w:rsid w:val="007C5087"/>
    <w:rsid w:val="007C5FC4"/>
    <w:rsid w:val="007C615B"/>
    <w:rsid w:val="007D0385"/>
    <w:rsid w:val="007D06C4"/>
    <w:rsid w:val="007D06F4"/>
    <w:rsid w:val="007D17C5"/>
    <w:rsid w:val="007D3C68"/>
    <w:rsid w:val="007D3D9D"/>
    <w:rsid w:val="007D418A"/>
    <w:rsid w:val="007D4BD7"/>
    <w:rsid w:val="007D52EC"/>
    <w:rsid w:val="007D71C6"/>
    <w:rsid w:val="007E50DE"/>
    <w:rsid w:val="007E56B4"/>
    <w:rsid w:val="007E58F2"/>
    <w:rsid w:val="007E607E"/>
    <w:rsid w:val="007E7050"/>
    <w:rsid w:val="007F12DA"/>
    <w:rsid w:val="007F1CEE"/>
    <w:rsid w:val="007F286F"/>
    <w:rsid w:val="007F329D"/>
    <w:rsid w:val="007F360C"/>
    <w:rsid w:val="007F3990"/>
    <w:rsid w:val="007F531B"/>
    <w:rsid w:val="007F5DA4"/>
    <w:rsid w:val="007F656A"/>
    <w:rsid w:val="007F69FE"/>
    <w:rsid w:val="008006E4"/>
    <w:rsid w:val="00800911"/>
    <w:rsid w:val="008009EC"/>
    <w:rsid w:val="00801C1E"/>
    <w:rsid w:val="00802551"/>
    <w:rsid w:val="00802789"/>
    <w:rsid w:val="0080294C"/>
    <w:rsid w:val="00802AE5"/>
    <w:rsid w:val="008044FB"/>
    <w:rsid w:val="0080653C"/>
    <w:rsid w:val="008075C1"/>
    <w:rsid w:val="00807E55"/>
    <w:rsid w:val="00810665"/>
    <w:rsid w:val="00811518"/>
    <w:rsid w:val="00811F91"/>
    <w:rsid w:val="0081322B"/>
    <w:rsid w:val="00814A63"/>
    <w:rsid w:val="00814F0A"/>
    <w:rsid w:val="00817AF0"/>
    <w:rsid w:val="00821201"/>
    <w:rsid w:val="00831C99"/>
    <w:rsid w:val="0083260A"/>
    <w:rsid w:val="00833CA7"/>
    <w:rsid w:val="00835F7D"/>
    <w:rsid w:val="00836335"/>
    <w:rsid w:val="00837023"/>
    <w:rsid w:val="00837537"/>
    <w:rsid w:val="00837606"/>
    <w:rsid w:val="00837D4F"/>
    <w:rsid w:val="00840162"/>
    <w:rsid w:val="00842766"/>
    <w:rsid w:val="00845223"/>
    <w:rsid w:val="0084598D"/>
    <w:rsid w:val="008459D4"/>
    <w:rsid w:val="00846C19"/>
    <w:rsid w:val="00847E38"/>
    <w:rsid w:val="008530C8"/>
    <w:rsid w:val="00854314"/>
    <w:rsid w:val="00855F8D"/>
    <w:rsid w:val="00856704"/>
    <w:rsid w:val="00857055"/>
    <w:rsid w:val="00857630"/>
    <w:rsid w:val="0086094D"/>
    <w:rsid w:val="00861245"/>
    <w:rsid w:val="00862180"/>
    <w:rsid w:val="00862F1E"/>
    <w:rsid w:val="00863970"/>
    <w:rsid w:val="00863E29"/>
    <w:rsid w:val="00863EEE"/>
    <w:rsid w:val="00866EFE"/>
    <w:rsid w:val="00867E07"/>
    <w:rsid w:val="008711EA"/>
    <w:rsid w:val="00871220"/>
    <w:rsid w:val="00871B5D"/>
    <w:rsid w:val="00872382"/>
    <w:rsid w:val="00872460"/>
    <w:rsid w:val="0087303E"/>
    <w:rsid w:val="00873682"/>
    <w:rsid w:val="00873745"/>
    <w:rsid w:val="0087539F"/>
    <w:rsid w:val="00875912"/>
    <w:rsid w:val="00875E18"/>
    <w:rsid w:val="00876ED7"/>
    <w:rsid w:val="00886FA8"/>
    <w:rsid w:val="008874AE"/>
    <w:rsid w:val="00890D1B"/>
    <w:rsid w:val="008912FE"/>
    <w:rsid w:val="00891884"/>
    <w:rsid w:val="00891A90"/>
    <w:rsid w:val="00893857"/>
    <w:rsid w:val="00895738"/>
    <w:rsid w:val="00897080"/>
    <w:rsid w:val="0089753A"/>
    <w:rsid w:val="008A0013"/>
    <w:rsid w:val="008A245D"/>
    <w:rsid w:val="008A3169"/>
    <w:rsid w:val="008A3B60"/>
    <w:rsid w:val="008A3D70"/>
    <w:rsid w:val="008A54FC"/>
    <w:rsid w:val="008A5F47"/>
    <w:rsid w:val="008A77EB"/>
    <w:rsid w:val="008B01A4"/>
    <w:rsid w:val="008B096B"/>
    <w:rsid w:val="008B0D5F"/>
    <w:rsid w:val="008B169D"/>
    <w:rsid w:val="008B1F1D"/>
    <w:rsid w:val="008B2A9B"/>
    <w:rsid w:val="008B4383"/>
    <w:rsid w:val="008B47A8"/>
    <w:rsid w:val="008B4822"/>
    <w:rsid w:val="008B5E2A"/>
    <w:rsid w:val="008B5F63"/>
    <w:rsid w:val="008B66E7"/>
    <w:rsid w:val="008B6B74"/>
    <w:rsid w:val="008B6B7D"/>
    <w:rsid w:val="008B70CD"/>
    <w:rsid w:val="008B7C8E"/>
    <w:rsid w:val="008C023F"/>
    <w:rsid w:val="008C0CC9"/>
    <w:rsid w:val="008C1ABF"/>
    <w:rsid w:val="008C223A"/>
    <w:rsid w:val="008C2484"/>
    <w:rsid w:val="008C2C7F"/>
    <w:rsid w:val="008C340D"/>
    <w:rsid w:val="008C4545"/>
    <w:rsid w:val="008C79DA"/>
    <w:rsid w:val="008D0870"/>
    <w:rsid w:val="008D141C"/>
    <w:rsid w:val="008D1CE8"/>
    <w:rsid w:val="008D1F1E"/>
    <w:rsid w:val="008D2C13"/>
    <w:rsid w:val="008D59E7"/>
    <w:rsid w:val="008E250C"/>
    <w:rsid w:val="008E334D"/>
    <w:rsid w:val="008E365D"/>
    <w:rsid w:val="008E5AFB"/>
    <w:rsid w:val="008E6109"/>
    <w:rsid w:val="008E67AE"/>
    <w:rsid w:val="008E766D"/>
    <w:rsid w:val="008F0182"/>
    <w:rsid w:val="008F47AB"/>
    <w:rsid w:val="008F6FC9"/>
    <w:rsid w:val="008F741E"/>
    <w:rsid w:val="008F7952"/>
    <w:rsid w:val="00901629"/>
    <w:rsid w:val="009046F7"/>
    <w:rsid w:val="0090570C"/>
    <w:rsid w:val="00905DEB"/>
    <w:rsid w:val="00907506"/>
    <w:rsid w:val="009075E9"/>
    <w:rsid w:val="009112BE"/>
    <w:rsid w:val="0091291F"/>
    <w:rsid w:val="00912C6D"/>
    <w:rsid w:val="009132B4"/>
    <w:rsid w:val="009144EE"/>
    <w:rsid w:val="00914BD8"/>
    <w:rsid w:val="009170EA"/>
    <w:rsid w:val="00917A09"/>
    <w:rsid w:val="00917DBB"/>
    <w:rsid w:val="00917FB9"/>
    <w:rsid w:val="0092076F"/>
    <w:rsid w:val="009215F7"/>
    <w:rsid w:val="00922A9E"/>
    <w:rsid w:val="00922D9C"/>
    <w:rsid w:val="00924650"/>
    <w:rsid w:val="00930439"/>
    <w:rsid w:val="00933927"/>
    <w:rsid w:val="00933A6F"/>
    <w:rsid w:val="00934D8D"/>
    <w:rsid w:val="00935D03"/>
    <w:rsid w:val="00936E02"/>
    <w:rsid w:val="00937847"/>
    <w:rsid w:val="00937AEB"/>
    <w:rsid w:val="0094043B"/>
    <w:rsid w:val="00940F04"/>
    <w:rsid w:val="009410BC"/>
    <w:rsid w:val="0094133F"/>
    <w:rsid w:val="00941D3A"/>
    <w:rsid w:val="009436AC"/>
    <w:rsid w:val="00944439"/>
    <w:rsid w:val="009465E0"/>
    <w:rsid w:val="00947A3C"/>
    <w:rsid w:val="00947D1E"/>
    <w:rsid w:val="00952C6E"/>
    <w:rsid w:val="009531C0"/>
    <w:rsid w:val="009576AC"/>
    <w:rsid w:val="0095793E"/>
    <w:rsid w:val="00957C3B"/>
    <w:rsid w:val="009620A2"/>
    <w:rsid w:val="009624F2"/>
    <w:rsid w:val="009631C9"/>
    <w:rsid w:val="00964659"/>
    <w:rsid w:val="00964824"/>
    <w:rsid w:val="00965D2D"/>
    <w:rsid w:val="0096629B"/>
    <w:rsid w:val="009662E3"/>
    <w:rsid w:val="00966560"/>
    <w:rsid w:val="00966DD9"/>
    <w:rsid w:val="0096727A"/>
    <w:rsid w:val="00967470"/>
    <w:rsid w:val="00970334"/>
    <w:rsid w:val="00971507"/>
    <w:rsid w:val="00971575"/>
    <w:rsid w:val="00972363"/>
    <w:rsid w:val="00974D23"/>
    <w:rsid w:val="009758A4"/>
    <w:rsid w:val="00975EB6"/>
    <w:rsid w:val="00976A64"/>
    <w:rsid w:val="00976E9E"/>
    <w:rsid w:val="00980DFC"/>
    <w:rsid w:val="00981314"/>
    <w:rsid w:val="00981AB1"/>
    <w:rsid w:val="00982B3A"/>
    <w:rsid w:val="009855B4"/>
    <w:rsid w:val="00985E72"/>
    <w:rsid w:val="0098620F"/>
    <w:rsid w:val="00986677"/>
    <w:rsid w:val="009870DC"/>
    <w:rsid w:val="00987802"/>
    <w:rsid w:val="009879BB"/>
    <w:rsid w:val="00991B65"/>
    <w:rsid w:val="00992174"/>
    <w:rsid w:val="0099421C"/>
    <w:rsid w:val="0099455C"/>
    <w:rsid w:val="00994E6F"/>
    <w:rsid w:val="00995CDA"/>
    <w:rsid w:val="00997DDF"/>
    <w:rsid w:val="009A0DC1"/>
    <w:rsid w:val="009A1560"/>
    <w:rsid w:val="009A2F3A"/>
    <w:rsid w:val="009A32A8"/>
    <w:rsid w:val="009A6A72"/>
    <w:rsid w:val="009A6F29"/>
    <w:rsid w:val="009A7A45"/>
    <w:rsid w:val="009B022D"/>
    <w:rsid w:val="009B0B00"/>
    <w:rsid w:val="009B0F2A"/>
    <w:rsid w:val="009B112E"/>
    <w:rsid w:val="009B3501"/>
    <w:rsid w:val="009B4358"/>
    <w:rsid w:val="009B4CAB"/>
    <w:rsid w:val="009B51B3"/>
    <w:rsid w:val="009B542B"/>
    <w:rsid w:val="009C0614"/>
    <w:rsid w:val="009C09E0"/>
    <w:rsid w:val="009C0AE4"/>
    <w:rsid w:val="009C2316"/>
    <w:rsid w:val="009C3803"/>
    <w:rsid w:val="009C4900"/>
    <w:rsid w:val="009C4946"/>
    <w:rsid w:val="009C54CA"/>
    <w:rsid w:val="009C6072"/>
    <w:rsid w:val="009C6347"/>
    <w:rsid w:val="009C7797"/>
    <w:rsid w:val="009C7CEA"/>
    <w:rsid w:val="009D2C13"/>
    <w:rsid w:val="009D2CCC"/>
    <w:rsid w:val="009D364B"/>
    <w:rsid w:val="009D39B7"/>
    <w:rsid w:val="009D3BA5"/>
    <w:rsid w:val="009D3CA0"/>
    <w:rsid w:val="009D4131"/>
    <w:rsid w:val="009D460D"/>
    <w:rsid w:val="009D4BA1"/>
    <w:rsid w:val="009D5623"/>
    <w:rsid w:val="009D7293"/>
    <w:rsid w:val="009D7D5A"/>
    <w:rsid w:val="009E12AE"/>
    <w:rsid w:val="009E13DC"/>
    <w:rsid w:val="009E3483"/>
    <w:rsid w:val="009E3A7F"/>
    <w:rsid w:val="009E3C28"/>
    <w:rsid w:val="009E47EB"/>
    <w:rsid w:val="009E561B"/>
    <w:rsid w:val="009E58CE"/>
    <w:rsid w:val="009E6E8F"/>
    <w:rsid w:val="009E6F10"/>
    <w:rsid w:val="009E728F"/>
    <w:rsid w:val="009F1872"/>
    <w:rsid w:val="009F19B3"/>
    <w:rsid w:val="009F300B"/>
    <w:rsid w:val="009F33F7"/>
    <w:rsid w:val="009F3A37"/>
    <w:rsid w:val="009F63DE"/>
    <w:rsid w:val="009F6EA2"/>
    <w:rsid w:val="009F71F9"/>
    <w:rsid w:val="00A005A6"/>
    <w:rsid w:val="00A00619"/>
    <w:rsid w:val="00A010E7"/>
    <w:rsid w:val="00A01A67"/>
    <w:rsid w:val="00A02090"/>
    <w:rsid w:val="00A023EA"/>
    <w:rsid w:val="00A03731"/>
    <w:rsid w:val="00A03A6A"/>
    <w:rsid w:val="00A05CDA"/>
    <w:rsid w:val="00A061CE"/>
    <w:rsid w:val="00A076B5"/>
    <w:rsid w:val="00A11220"/>
    <w:rsid w:val="00A17F69"/>
    <w:rsid w:val="00A21F85"/>
    <w:rsid w:val="00A22958"/>
    <w:rsid w:val="00A23870"/>
    <w:rsid w:val="00A26356"/>
    <w:rsid w:val="00A26AC6"/>
    <w:rsid w:val="00A274DB"/>
    <w:rsid w:val="00A277BC"/>
    <w:rsid w:val="00A309DF"/>
    <w:rsid w:val="00A31F21"/>
    <w:rsid w:val="00A320BC"/>
    <w:rsid w:val="00A33752"/>
    <w:rsid w:val="00A34D36"/>
    <w:rsid w:val="00A35151"/>
    <w:rsid w:val="00A3530C"/>
    <w:rsid w:val="00A36E14"/>
    <w:rsid w:val="00A4093C"/>
    <w:rsid w:val="00A41D08"/>
    <w:rsid w:val="00A42CDD"/>
    <w:rsid w:val="00A44E9E"/>
    <w:rsid w:val="00A45160"/>
    <w:rsid w:val="00A45C07"/>
    <w:rsid w:val="00A46CBB"/>
    <w:rsid w:val="00A505D3"/>
    <w:rsid w:val="00A5141F"/>
    <w:rsid w:val="00A51EE5"/>
    <w:rsid w:val="00A523EE"/>
    <w:rsid w:val="00A52B6C"/>
    <w:rsid w:val="00A52BC2"/>
    <w:rsid w:val="00A54FD4"/>
    <w:rsid w:val="00A54FD6"/>
    <w:rsid w:val="00A567B1"/>
    <w:rsid w:val="00A61348"/>
    <w:rsid w:val="00A62D76"/>
    <w:rsid w:val="00A6389F"/>
    <w:rsid w:val="00A6411D"/>
    <w:rsid w:val="00A642A6"/>
    <w:rsid w:val="00A66354"/>
    <w:rsid w:val="00A667DD"/>
    <w:rsid w:val="00A71774"/>
    <w:rsid w:val="00A73298"/>
    <w:rsid w:val="00A7528A"/>
    <w:rsid w:val="00A754B3"/>
    <w:rsid w:val="00A76305"/>
    <w:rsid w:val="00A81BB3"/>
    <w:rsid w:val="00A84332"/>
    <w:rsid w:val="00A86B8D"/>
    <w:rsid w:val="00A8716D"/>
    <w:rsid w:val="00A900CE"/>
    <w:rsid w:val="00A90997"/>
    <w:rsid w:val="00A91543"/>
    <w:rsid w:val="00A921FB"/>
    <w:rsid w:val="00A92703"/>
    <w:rsid w:val="00A93BF9"/>
    <w:rsid w:val="00A95ACB"/>
    <w:rsid w:val="00A95D7E"/>
    <w:rsid w:val="00A9664E"/>
    <w:rsid w:val="00A96C56"/>
    <w:rsid w:val="00A97942"/>
    <w:rsid w:val="00AA079B"/>
    <w:rsid w:val="00AA086A"/>
    <w:rsid w:val="00AA101C"/>
    <w:rsid w:val="00AA1127"/>
    <w:rsid w:val="00AA35F2"/>
    <w:rsid w:val="00AA3845"/>
    <w:rsid w:val="00AA39B9"/>
    <w:rsid w:val="00AA46B8"/>
    <w:rsid w:val="00AA7870"/>
    <w:rsid w:val="00AB40E9"/>
    <w:rsid w:val="00AB5166"/>
    <w:rsid w:val="00AB6AF1"/>
    <w:rsid w:val="00AB6CDD"/>
    <w:rsid w:val="00AC0CFE"/>
    <w:rsid w:val="00AC0EA5"/>
    <w:rsid w:val="00AC2686"/>
    <w:rsid w:val="00AC29D1"/>
    <w:rsid w:val="00AC68DD"/>
    <w:rsid w:val="00AC782D"/>
    <w:rsid w:val="00AD1045"/>
    <w:rsid w:val="00AD1539"/>
    <w:rsid w:val="00AD1BE1"/>
    <w:rsid w:val="00AD2D9F"/>
    <w:rsid w:val="00AD2F2B"/>
    <w:rsid w:val="00AD5ED1"/>
    <w:rsid w:val="00AD66A6"/>
    <w:rsid w:val="00AD6B68"/>
    <w:rsid w:val="00AD7257"/>
    <w:rsid w:val="00AE0BCB"/>
    <w:rsid w:val="00AE2A31"/>
    <w:rsid w:val="00AE3963"/>
    <w:rsid w:val="00AE469E"/>
    <w:rsid w:val="00AE6002"/>
    <w:rsid w:val="00AE7826"/>
    <w:rsid w:val="00AE7C2B"/>
    <w:rsid w:val="00AF11A8"/>
    <w:rsid w:val="00AF1DE9"/>
    <w:rsid w:val="00AF24E1"/>
    <w:rsid w:val="00AF2569"/>
    <w:rsid w:val="00AF2D0C"/>
    <w:rsid w:val="00AF4C0E"/>
    <w:rsid w:val="00AF6185"/>
    <w:rsid w:val="00AF6FF7"/>
    <w:rsid w:val="00B00166"/>
    <w:rsid w:val="00B00D9B"/>
    <w:rsid w:val="00B02A03"/>
    <w:rsid w:val="00B02D79"/>
    <w:rsid w:val="00B0414C"/>
    <w:rsid w:val="00B04809"/>
    <w:rsid w:val="00B04CD2"/>
    <w:rsid w:val="00B04D23"/>
    <w:rsid w:val="00B0507C"/>
    <w:rsid w:val="00B0534F"/>
    <w:rsid w:val="00B05608"/>
    <w:rsid w:val="00B117F7"/>
    <w:rsid w:val="00B1186B"/>
    <w:rsid w:val="00B11C76"/>
    <w:rsid w:val="00B1234C"/>
    <w:rsid w:val="00B12558"/>
    <w:rsid w:val="00B142DC"/>
    <w:rsid w:val="00B14E5E"/>
    <w:rsid w:val="00B165C2"/>
    <w:rsid w:val="00B21FD2"/>
    <w:rsid w:val="00B221BF"/>
    <w:rsid w:val="00B23325"/>
    <w:rsid w:val="00B23C5E"/>
    <w:rsid w:val="00B24584"/>
    <w:rsid w:val="00B257FA"/>
    <w:rsid w:val="00B25910"/>
    <w:rsid w:val="00B2597B"/>
    <w:rsid w:val="00B26973"/>
    <w:rsid w:val="00B26CB3"/>
    <w:rsid w:val="00B26E57"/>
    <w:rsid w:val="00B3024C"/>
    <w:rsid w:val="00B308B1"/>
    <w:rsid w:val="00B30D3B"/>
    <w:rsid w:val="00B31A74"/>
    <w:rsid w:val="00B31F0A"/>
    <w:rsid w:val="00B32C94"/>
    <w:rsid w:val="00B33D0A"/>
    <w:rsid w:val="00B344C1"/>
    <w:rsid w:val="00B34CBF"/>
    <w:rsid w:val="00B34D80"/>
    <w:rsid w:val="00B356CC"/>
    <w:rsid w:val="00B368AB"/>
    <w:rsid w:val="00B37A90"/>
    <w:rsid w:val="00B424EF"/>
    <w:rsid w:val="00B4298F"/>
    <w:rsid w:val="00B432D4"/>
    <w:rsid w:val="00B43481"/>
    <w:rsid w:val="00B4402F"/>
    <w:rsid w:val="00B44FD5"/>
    <w:rsid w:val="00B467CA"/>
    <w:rsid w:val="00B477E2"/>
    <w:rsid w:val="00B47C4A"/>
    <w:rsid w:val="00B53044"/>
    <w:rsid w:val="00B53085"/>
    <w:rsid w:val="00B5315C"/>
    <w:rsid w:val="00B536F3"/>
    <w:rsid w:val="00B54296"/>
    <w:rsid w:val="00B56032"/>
    <w:rsid w:val="00B576D7"/>
    <w:rsid w:val="00B60752"/>
    <w:rsid w:val="00B60926"/>
    <w:rsid w:val="00B60BA7"/>
    <w:rsid w:val="00B6179C"/>
    <w:rsid w:val="00B61952"/>
    <w:rsid w:val="00B634D3"/>
    <w:rsid w:val="00B63ADD"/>
    <w:rsid w:val="00B67A91"/>
    <w:rsid w:val="00B67D91"/>
    <w:rsid w:val="00B702BE"/>
    <w:rsid w:val="00B70A0B"/>
    <w:rsid w:val="00B70E5F"/>
    <w:rsid w:val="00B72A02"/>
    <w:rsid w:val="00B72BB7"/>
    <w:rsid w:val="00B741D6"/>
    <w:rsid w:val="00B74497"/>
    <w:rsid w:val="00B754C9"/>
    <w:rsid w:val="00B75662"/>
    <w:rsid w:val="00B77391"/>
    <w:rsid w:val="00B80892"/>
    <w:rsid w:val="00B82735"/>
    <w:rsid w:val="00B83919"/>
    <w:rsid w:val="00B862CD"/>
    <w:rsid w:val="00B877A3"/>
    <w:rsid w:val="00B908A8"/>
    <w:rsid w:val="00B913A2"/>
    <w:rsid w:val="00B92306"/>
    <w:rsid w:val="00B9235D"/>
    <w:rsid w:val="00B92861"/>
    <w:rsid w:val="00B92A44"/>
    <w:rsid w:val="00B95263"/>
    <w:rsid w:val="00B95977"/>
    <w:rsid w:val="00B97C20"/>
    <w:rsid w:val="00B97EAC"/>
    <w:rsid w:val="00BA00D9"/>
    <w:rsid w:val="00BA13E1"/>
    <w:rsid w:val="00BA1D3A"/>
    <w:rsid w:val="00BA2791"/>
    <w:rsid w:val="00BA3056"/>
    <w:rsid w:val="00BA4AAF"/>
    <w:rsid w:val="00BA7A69"/>
    <w:rsid w:val="00BB15E2"/>
    <w:rsid w:val="00BB3559"/>
    <w:rsid w:val="00BB3C5F"/>
    <w:rsid w:val="00BB5DF6"/>
    <w:rsid w:val="00BB7228"/>
    <w:rsid w:val="00BB7E8B"/>
    <w:rsid w:val="00BC02A4"/>
    <w:rsid w:val="00BC03FD"/>
    <w:rsid w:val="00BC0BF2"/>
    <w:rsid w:val="00BC1137"/>
    <w:rsid w:val="00BC23E6"/>
    <w:rsid w:val="00BC3424"/>
    <w:rsid w:val="00BC5629"/>
    <w:rsid w:val="00BC58D1"/>
    <w:rsid w:val="00BD181A"/>
    <w:rsid w:val="00BD1A01"/>
    <w:rsid w:val="00BD1DC8"/>
    <w:rsid w:val="00BD28DF"/>
    <w:rsid w:val="00BD5055"/>
    <w:rsid w:val="00BD5A26"/>
    <w:rsid w:val="00BD6876"/>
    <w:rsid w:val="00BD6BA2"/>
    <w:rsid w:val="00BD73C6"/>
    <w:rsid w:val="00BE0182"/>
    <w:rsid w:val="00BE2864"/>
    <w:rsid w:val="00BE4213"/>
    <w:rsid w:val="00BE43A3"/>
    <w:rsid w:val="00BE4765"/>
    <w:rsid w:val="00BE4AB9"/>
    <w:rsid w:val="00BE53BD"/>
    <w:rsid w:val="00BF26C9"/>
    <w:rsid w:val="00BF2E9A"/>
    <w:rsid w:val="00BF4671"/>
    <w:rsid w:val="00BF4B82"/>
    <w:rsid w:val="00BF6580"/>
    <w:rsid w:val="00BF674F"/>
    <w:rsid w:val="00BF7BF1"/>
    <w:rsid w:val="00C00276"/>
    <w:rsid w:val="00C00565"/>
    <w:rsid w:val="00C01483"/>
    <w:rsid w:val="00C01DFE"/>
    <w:rsid w:val="00C01EBA"/>
    <w:rsid w:val="00C038FA"/>
    <w:rsid w:val="00C04665"/>
    <w:rsid w:val="00C05632"/>
    <w:rsid w:val="00C06FA0"/>
    <w:rsid w:val="00C076BF"/>
    <w:rsid w:val="00C11F18"/>
    <w:rsid w:val="00C11FB3"/>
    <w:rsid w:val="00C1325C"/>
    <w:rsid w:val="00C1547E"/>
    <w:rsid w:val="00C157A4"/>
    <w:rsid w:val="00C17E39"/>
    <w:rsid w:val="00C212B5"/>
    <w:rsid w:val="00C21D0E"/>
    <w:rsid w:val="00C2243C"/>
    <w:rsid w:val="00C23B20"/>
    <w:rsid w:val="00C25B06"/>
    <w:rsid w:val="00C25F81"/>
    <w:rsid w:val="00C271D9"/>
    <w:rsid w:val="00C27AF4"/>
    <w:rsid w:val="00C27F02"/>
    <w:rsid w:val="00C344CB"/>
    <w:rsid w:val="00C35B65"/>
    <w:rsid w:val="00C403AE"/>
    <w:rsid w:val="00C40D42"/>
    <w:rsid w:val="00C4175D"/>
    <w:rsid w:val="00C418C5"/>
    <w:rsid w:val="00C42D60"/>
    <w:rsid w:val="00C43DD6"/>
    <w:rsid w:val="00C43ED2"/>
    <w:rsid w:val="00C43F3C"/>
    <w:rsid w:val="00C44908"/>
    <w:rsid w:val="00C45FDE"/>
    <w:rsid w:val="00C504F4"/>
    <w:rsid w:val="00C531A5"/>
    <w:rsid w:val="00C54804"/>
    <w:rsid w:val="00C54CFD"/>
    <w:rsid w:val="00C54D9A"/>
    <w:rsid w:val="00C55910"/>
    <w:rsid w:val="00C57E85"/>
    <w:rsid w:val="00C60436"/>
    <w:rsid w:val="00C608E2"/>
    <w:rsid w:val="00C60AF2"/>
    <w:rsid w:val="00C61F19"/>
    <w:rsid w:val="00C6414C"/>
    <w:rsid w:val="00C65BB4"/>
    <w:rsid w:val="00C663EF"/>
    <w:rsid w:val="00C67BC9"/>
    <w:rsid w:val="00C71414"/>
    <w:rsid w:val="00C722D5"/>
    <w:rsid w:val="00C72D9E"/>
    <w:rsid w:val="00C75187"/>
    <w:rsid w:val="00C766CA"/>
    <w:rsid w:val="00C773C8"/>
    <w:rsid w:val="00C77C03"/>
    <w:rsid w:val="00C8071C"/>
    <w:rsid w:val="00C81483"/>
    <w:rsid w:val="00C816CB"/>
    <w:rsid w:val="00C816EA"/>
    <w:rsid w:val="00C817CB"/>
    <w:rsid w:val="00C82461"/>
    <w:rsid w:val="00C8286C"/>
    <w:rsid w:val="00C83B74"/>
    <w:rsid w:val="00C8439C"/>
    <w:rsid w:val="00C86523"/>
    <w:rsid w:val="00C86A0E"/>
    <w:rsid w:val="00C90BC1"/>
    <w:rsid w:val="00C91E3B"/>
    <w:rsid w:val="00C922C9"/>
    <w:rsid w:val="00C92D78"/>
    <w:rsid w:val="00C92F1A"/>
    <w:rsid w:val="00C956C2"/>
    <w:rsid w:val="00C95D88"/>
    <w:rsid w:val="00C97EB9"/>
    <w:rsid w:val="00CA06A1"/>
    <w:rsid w:val="00CA07CC"/>
    <w:rsid w:val="00CA117F"/>
    <w:rsid w:val="00CA12B3"/>
    <w:rsid w:val="00CA18B5"/>
    <w:rsid w:val="00CA252B"/>
    <w:rsid w:val="00CA25B5"/>
    <w:rsid w:val="00CA26C2"/>
    <w:rsid w:val="00CA42FD"/>
    <w:rsid w:val="00CA4FCE"/>
    <w:rsid w:val="00CA5220"/>
    <w:rsid w:val="00CA5782"/>
    <w:rsid w:val="00CA5F8F"/>
    <w:rsid w:val="00CA684D"/>
    <w:rsid w:val="00CA713C"/>
    <w:rsid w:val="00CA77CB"/>
    <w:rsid w:val="00CA7ACF"/>
    <w:rsid w:val="00CA7B0B"/>
    <w:rsid w:val="00CB05B1"/>
    <w:rsid w:val="00CB2652"/>
    <w:rsid w:val="00CB301E"/>
    <w:rsid w:val="00CB3398"/>
    <w:rsid w:val="00CB3DB5"/>
    <w:rsid w:val="00CB3E52"/>
    <w:rsid w:val="00CB42D5"/>
    <w:rsid w:val="00CB559E"/>
    <w:rsid w:val="00CB6310"/>
    <w:rsid w:val="00CB7ABB"/>
    <w:rsid w:val="00CC2396"/>
    <w:rsid w:val="00CC2728"/>
    <w:rsid w:val="00CC2AF4"/>
    <w:rsid w:val="00CC32E1"/>
    <w:rsid w:val="00CC395C"/>
    <w:rsid w:val="00CC4344"/>
    <w:rsid w:val="00CC4346"/>
    <w:rsid w:val="00CC5A6F"/>
    <w:rsid w:val="00CC66E6"/>
    <w:rsid w:val="00CC6CD8"/>
    <w:rsid w:val="00CC6F19"/>
    <w:rsid w:val="00CC7A8E"/>
    <w:rsid w:val="00CD07E7"/>
    <w:rsid w:val="00CD1F81"/>
    <w:rsid w:val="00CD23BC"/>
    <w:rsid w:val="00CD3468"/>
    <w:rsid w:val="00CD34AE"/>
    <w:rsid w:val="00CD40B2"/>
    <w:rsid w:val="00CD6AC4"/>
    <w:rsid w:val="00CD6C7D"/>
    <w:rsid w:val="00CD72A8"/>
    <w:rsid w:val="00CD738E"/>
    <w:rsid w:val="00CD7547"/>
    <w:rsid w:val="00CD7F7A"/>
    <w:rsid w:val="00CE0C82"/>
    <w:rsid w:val="00CE1E26"/>
    <w:rsid w:val="00CE271A"/>
    <w:rsid w:val="00CE2D90"/>
    <w:rsid w:val="00CE3A66"/>
    <w:rsid w:val="00CE53C0"/>
    <w:rsid w:val="00CE5DB2"/>
    <w:rsid w:val="00CE64D9"/>
    <w:rsid w:val="00CE6FF5"/>
    <w:rsid w:val="00CE78CD"/>
    <w:rsid w:val="00CF042C"/>
    <w:rsid w:val="00CF05D2"/>
    <w:rsid w:val="00CF1861"/>
    <w:rsid w:val="00CF1C4F"/>
    <w:rsid w:val="00CF1D55"/>
    <w:rsid w:val="00CF200D"/>
    <w:rsid w:val="00CF22E2"/>
    <w:rsid w:val="00CF357B"/>
    <w:rsid w:val="00CF3BF4"/>
    <w:rsid w:val="00CF3C3E"/>
    <w:rsid w:val="00CF3E0C"/>
    <w:rsid w:val="00CF4202"/>
    <w:rsid w:val="00CF4621"/>
    <w:rsid w:val="00CF5245"/>
    <w:rsid w:val="00CF5839"/>
    <w:rsid w:val="00D009DE"/>
    <w:rsid w:val="00D0260A"/>
    <w:rsid w:val="00D06683"/>
    <w:rsid w:val="00D06920"/>
    <w:rsid w:val="00D076C2"/>
    <w:rsid w:val="00D07B1A"/>
    <w:rsid w:val="00D10ADE"/>
    <w:rsid w:val="00D10F7F"/>
    <w:rsid w:val="00D11512"/>
    <w:rsid w:val="00D11515"/>
    <w:rsid w:val="00D1167E"/>
    <w:rsid w:val="00D13A95"/>
    <w:rsid w:val="00D17BAF"/>
    <w:rsid w:val="00D20341"/>
    <w:rsid w:val="00D205D3"/>
    <w:rsid w:val="00D234E7"/>
    <w:rsid w:val="00D2610B"/>
    <w:rsid w:val="00D27E03"/>
    <w:rsid w:val="00D27E20"/>
    <w:rsid w:val="00D30006"/>
    <w:rsid w:val="00D30960"/>
    <w:rsid w:val="00D30B5D"/>
    <w:rsid w:val="00D30E46"/>
    <w:rsid w:val="00D317B0"/>
    <w:rsid w:val="00D36013"/>
    <w:rsid w:val="00D37296"/>
    <w:rsid w:val="00D3735C"/>
    <w:rsid w:val="00D43C78"/>
    <w:rsid w:val="00D4436C"/>
    <w:rsid w:val="00D44526"/>
    <w:rsid w:val="00D45050"/>
    <w:rsid w:val="00D4617F"/>
    <w:rsid w:val="00D464D9"/>
    <w:rsid w:val="00D473FD"/>
    <w:rsid w:val="00D47EF6"/>
    <w:rsid w:val="00D501C2"/>
    <w:rsid w:val="00D504A7"/>
    <w:rsid w:val="00D504E4"/>
    <w:rsid w:val="00D50AC8"/>
    <w:rsid w:val="00D51582"/>
    <w:rsid w:val="00D53666"/>
    <w:rsid w:val="00D54CFB"/>
    <w:rsid w:val="00D553DB"/>
    <w:rsid w:val="00D55FCD"/>
    <w:rsid w:val="00D569E2"/>
    <w:rsid w:val="00D60A44"/>
    <w:rsid w:val="00D60BEE"/>
    <w:rsid w:val="00D6166C"/>
    <w:rsid w:val="00D61CA1"/>
    <w:rsid w:val="00D63D0B"/>
    <w:rsid w:val="00D63F57"/>
    <w:rsid w:val="00D64092"/>
    <w:rsid w:val="00D656B1"/>
    <w:rsid w:val="00D67830"/>
    <w:rsid w:val="00D72FDB"/>
    <w:rsid w:val="00D7390F"/>
    <w:rsid w:val="00D74F04"/>
    <w:rsid w:val="00D74F12"/>
    <w:rsid w:val="00D758F2"/>
    <w:rsid w:val="00D80129"/>
    <w:rsid w:val="00D80F68"/>
    <w:rsid w:val="00D81E64"/>
    <w:rsid w:val="00D85A55"/>
    <w:rsid w:val="00D85E58"/>
    <w:rsid w:val="00D9153A"/>
    <w:rsid w:val="00D92BEC"/>
    <w:rsid w:val="00D94E12"/>
    <w:rsid w:val="00D95519"/>
    <w:rsid w:val="00D96BB2"/>
    <w:rsid w:val="00DA0C9E"/>
    <w:rsid w:val="00DA0D28"/>
    <w:rsid w:val="00DA18F2"/>
    <w:rsid w:val="00DA3788"/>
    <w:rsid w:val="00DA3926"/>
    <w:rsid w:val="00DA3B5A"/>
    <w:rsid w:val="00DA3DFA"/>
    <w:rsid w:val="00DA41FD"/>
    <w:rsid w:val="00DB17F9"/>
    <w:rsid w:val="00DB2852"/>
    <w:rsid w:val="00DB3EF7"/>
    <w:rsid w:val="00DB5BA5"/>
    <w:rsid w:val="00DB5C6D"/>
    <w:rsid w:val="00DB6A0B"/>
    <w:rsid w:val="00DB704D"/>
    <w:rsid w:val="00DC0A93"/>
    <w:rsid w:val="00DC18B5"/>
    <w:rsid w:val="00DC207D"/>
    <w:rsid w:val="00DC4DC1"/>
    <w:rsid w:val="00DC539B"/>
    <w:rsid w:val="00DC5661"/>
    <w:rsid w:val="00DC5736"/>
    <w:rsid w:val="00DC5A44"/>
    <w:rsid w:val="00DC6884"/>
    <w:rsid w:val="00DD0969"/>
    <w:rsid w:val="00DD0F66"/>
    <w:rsid w:val="00DD21BD"/>
    <w:rsid w:val="00DD22AB"/>
    <w:rsid w:val="00DD36C7"/>
    <w:rsid w:val="00DD44EE"/>
    <w:rsid w:val="00DD49E0"/>
    <w:rsid w:val="00DD5E14"/>
    <w:rsid w:val="00DD5F9D"/>
    <w:rsid w:val="00DD6973"/>
    <w:rsid w:val="00DD7ED5"/>
    <w:rsid w:val="00DE044E"/>
    <w:rsid w:val="00DE1EC6"/>
    <w:rsid w:val="00DE2337"/>
    <w:rsid w:val="00DE311F"/>
    <w:rsid w:val="00DE3268"/>
    <w:rsid w:val="00DE3A76"/>
    <w:rsid w:val="00DE65A2"/>
    <w:rsid w:val="00DF0077"/>
    <w:rsid w:val="00DF2C67"/>
    <w:rsid w:val="00DF3AE2"/>
    <w:rsid w:val="00DF494F"/>
    <w:rsid w:val="00DF7059"/>
    <w:rsid w:val="00DF7D1E"/>
    <w:rsid w:val="00DF7D21"/>
    <w:rsid w:val="00E00477"/>
    <w:rsid w:val="00E01F87"/>
    <w:rsid w:val="00E04264"/>
    <w:rsid w:val="00E048B0"/>
    <w:rsid w:val="00E05389"/>
    <w:rsid w:val="00E05611"/>
    <w:rsid w:val="00E059C5"/>
    <w:rsid w:val="00E05B3C"/>
    <w:rsid w:val="00E11CA5"/>
    <w:rsid w:val="00E11D7E"/>
    <w:rsid w:val="00E11F85"/>
    <w:rsid w:val="00E125F8"/>
    <w:rsid w:val="00E1287E"/>
    <w:rsid w:val="00E12D9D"/>
    <w:rsid w:val="00E140C2"/>
    <w:rsid w:val="00E14334"/>
    <w:rsid w:val="00E1496F"/>
    <w:rsid w:val="00E1626F"/>
    <w:rsid w:val="00E179EE"/>
    <w:rsid w:val="00E211D5"/>
    <w:rsid w:val="00E224B0"/>
    <w:rsid w:val="00E2303A"/>
    <w:rsid w:val="00E241EE"/>
    <w:rsid w:val="00E24FFF"/>
    <w:rsid w:val="00E25286"/>
    <w:rsid w:val="00E257E0"/>
    <w:rsid w:val="00E25812"/>
    <w:rsid w:val="00E25DE3"/>
    <w:rsid w:val="00E263D3"/>
    <w:rsid w:val="00E27257"/>
    <w:rsid w:val="00E32398"/>
    <w:rsid w:val="00E3384A"/>
    <w:rsid w:val="00E33DB7"/>
    <w:rsid w:val="00E343BD"/>
    <w:rsid w:val="00E34823"/>
    <w:rsid w:val="00E348D9"/>
    <w:rsid w:val="00E35199"/>
    <w:rsid w:val="00E36601"/>
    <w:rsid w:val="00E42FCC"/>
    <w:rsid w:val="00E45336"/>
    <w:rsid w:val="00E47732"/>
    <w:rsid w:val="00E47FC2"/>
    <w:rsid w:val="00E51D98"/>
    <w:rsid w:val="00E5295C"/>
    <w:rsid w:val="00E52F6E"/>
    <w:rsid w:val="00E53993"/>
    <w:rsid w:val="00E55C68"/>
    <w:rsid w:val="00E562E1"/>
    <w:rsid w:val="00E56948"/>
    <w:rsid w:val="00E60351"/>
    <w:rsid w:val="00E60A19"/>
    <w:rsid w:val="00E60A47"/>
    <w:rsid w:val="00E618F0"/>
    <w:rsid w:val="00E62DE7"/>
    <w:rsid w:val="00E668CE"/>
    <w:rsid w:val="00E66E92"/>
    <w:rsid w:val="00E67877"/>
    <w:rsid w:val="00E701F4"/>
    <w:rsid w:val="00E70983"/>
    <w:rsid w:val="00E71AE7"/>
    <w:rsid w:val="00E752E6"/>
    <w:rsid w:val="00E759B4"/>
    <w:rsid w:val="00E75F31"/>
    <w:rsid w:val="00E803BC"/>
    <w:rsid w:val="00E80433"/>
    <w:rsid w:val="00E831AE"/>
    <w:rsid w:val="00E836A4"/>
    <w:rsid w:val="00E872C7"/>
    <w:rsid w:val="00E87D7F"/>
    <w:rsid w:val="00E9027E"/>
    <w:rsid w:val="00E91EA6"/>
    <w:rsid w:val="00E931CA"/>
    <w:rsid w:val="00E93A86"/>
    <w:rsid w:val="00E94734"/>
    <w:rsid w:val="00E94F58"/>
    <w:rsid w:val="00E95076"/>
    <w:rsid w:val="00E96B64"/>
    <w:rsid w:val="00E9777B"/>
    <w:rsid w:val="00EA1D46"/>
    <w:rsid w:val="00EA2C3F"/>
    <w:rsid w:val="00EA2ED5"/>
    <w:rsid w:val="00EA32B6"/>
    <w:rsid w:val="00EA535F"/>
    <w:rsid w:val="00EA5FDC"/>
    <w:rsid w:val="00EA6088"/>
    <w:rsid w:val="00EA6511"/>
    <w:rsid w:val="00EB1CEE"/>
    <w:rsid w:val="00EB2605"/>
    <w:rsid w:val="00EB3787"/>
    <w:rsid w:val="00EB3F0E"/>
    <w:rsid w:val="00EB54AF"/>
    <w:rsid w:val="00EB60FB"/>
    <w:rsid w:val="00EB6E25"/>
    <w:rsid w:val="00EC1A2C"/>
    <w:rsid w:val="00EC6B48"/>
    <w:rsid w:val="00EC6F7C"/>
    <w:rsid w:val="00EC7A39"/>
    <w:rsid w:val="00ED2596"/>
    <w:rsid w:val="00ED2C10"/>
    <w:rsid w:val="00ED60C1"/>
    <w:rsid w:val="00ED66CF"/>
    <w:rsid w:val="00ED70D4"/>
    <w:rsid w:val="00ED7A4C"/>
    <w:rsid w:val="00EE053C"/>
    <w:rsid w:val="00EE0B15"/>
    <w:rsid w:val="00EE3BBA"/>
    <w:rsid w:val="00EE4A56"/>
    <w:rsid w:val="00EE5DCA"/>
    <w:rsid w:val="00EE6BFB"/>
    <w:rsid w:val="00EF24DC"/>
    <w:rsid w:val="00EF3F99"/>
    <w:rsid w:val="00EF786B"/>
    <w:rsid w:val="00F003F6"/>
    <w:rsid w:val="00F01F37"/>
    <w:rsid w:val="00F0302C"/>
    <w:rsid w:val="00F043AC"/>
    <w:rsid w:val="00F0559E"/>
    <w:rsid w:val="00F06D3D"/>
    <w:rsid w:val="00F070A1"/>
    <w:rsid w:val="00F07189"/>
    <w:rsid w:val="00F07996"/>
    <w:rsid w:val="00F10FA9"/>
    <w:rsid w:val="00F112B7"/>
    <w:rsid w:val="00F1135D"/>
    <w:rsid w:val="00F1154D"/>
    <w:rsid w:val="00F11732"/>
    <w:rsid w:val="00F11EF2"/>
    <w:rsid w:val="00F12DA9"/>
    <w:rsid w:val="00F161E5"/>
    <w:rsid w:val="00F16692"/>
    <w:rsid w:val="00F20055"/>
    <w:rsid w:val="00F209B8"/>
    <w:rsid w:val="00F212EB"/>
    <w:rsid w:val="00F226ED"/>
    <w:rsid w:val="00F235F7"/>
    <w:rsid w:val="00F23D13"/>
    <w:rsid w:val="00F242BC"/>
    <w:rsid w:val="00F24805"/>
    <w:rsid w:val="00F25B2E"/>
    <w:rsid w:val="00F25C0C"/>
    <w:rsid w:val="00F25CFF"/>
    <w:rsid w:val="00F26B1E"/>
    <w:rsid w:val="00F312E3"/>
    <w:rsid w:val="00F31E97"/>
    <w:rsid w:val="00F329CE"/>
    <w:rsid w:val="00F3350F"/>
    <w:rsid w:val="00F34444"/>
    <w:rsid w:val="00F34ED0"/>
    <w:rsid w:val="00F34F3C"/>
    <w:rsid w:val="00F356CD"/>
    <w:rsid w:val="00F360FC"/>
    <w:rsid w:val="00F364BE"/>
    <w:rsid w:val="00F40BF1"/>
    <w:rsid w:val="00F41104"/>
    <w:rsid w:val="00F43E24"/>
    <w:rsid w:val="00F465D3"/>
    <w:rsid w:val="00F50138"/>
    <w:rsid w:val="00F50B71"/>
    <w:rsid w:val="00F50DF2"/>
    <w:rsid w:val="00F51BD6"/>
    <w:rsid w:val="00F5359C"/>
    <w:rsid w:val="00F54ABD"/>
    <w:rsid w:val="00F56B2A"/>
    <w:rsid w:val="00F56F06"/>
    <w:rsid w:val="00F56F62"/>
    <w:rsid w:val="00F57030"/>
    <w:rsid w:val="00F57DE2"/>
    <w:rsid w:val="00F60D54"/>
    <w:rsid w:val="00F613FB"/>
    <w:rsid w:val="00F62017"/>
    <w:rsid w:val="00F65F16"/>
    <w:rsid w:val="00F667AA"/>
    <w:rsid w:val="00F67A58"/>
    <w:rsid w:val="00F72887"/>
    <w:rsid w:val="00F73034"/>
    <w:rsid w:val="00F73815"/>
    <w:rsid w:val="00F7440E"/>
    <w:rsid w:val="00F74A70"/>
    <w:rsid w:val="00F7767E"/>
    <w:rsid w:val="00F77680"/>
    <w:rsid w:val="00F7770D"/>
    <w:rsid w:val="00F81D94"/>
    <w:rsid w:val="00F83287"/>
    <w:rsid w:val="00F844B2"/>
    <w:rsid w:val="00F856AF"/>
    <w:rsid w:val="00F86F81"/>
    <w:rsid w:val="00F87ACD"/>
    <w:rsid w:val="00F91934"/>
    <w:rsid w:val="00F92859"/>
    <w:rsid w:val="00F92900"/>
    <w:rsid w:val="00F93115"/>
    <w:rsid w:val="00F93AC1"/>
    <w:rsid w:val="00F96262"/>
    <w:rsid w:val="00F96A04"/>
    <w:rsid w:val="00F96A2D"/>
    <w:rsid w:val="00F9738A"/>
    <w:rsid w:val="00F9749D"/>
    <w:rsid w:val="00FA2346"/>
    <w:rsid w:val="00FA3B08"/>
    <w:rsid w:val="00FA4759"/>
    <w:rsid w:val="00FA4CFA"/>
    <w:rsid w:val="00FA5792"/>
    <w:rsid w:val="00FA761A"/>
    <w:rsid w:val="00FA76A4"/>
    <w:rsid w:val="00FB04BE"/>
    <w:rsid w:val="00FB1158"/>
    <w:rsid w:val="00FB12D3"/>
    <w:rsid w:val="00FB1F49"/>
    <w:rsid w:val="00FB200D"/>
    <w:rsid w:val="00FB3571"/>
    <w:rsid w:val="00FB4F1D"/>
    <w:rsid w:val="00FB65C4"/>
    <w:rsid w:val="00FB6810"/>
    <w:rsid w:val="00FB7BB7"/>
    <w:rsid w:val="00FC307B"/>
    <w:rsid w:val="00FC410D"/>
    <w:rsid w:val="00FC464A"/>
    <w:rsid w:val="00FC49E2"/>
    <w:rsid w:val="00FD022F"/>
    <w:rsid w:val="00FD09BA"/>
    <w:rsid w:val="00FD25FF"/>
    <w:rsid w:val="00FD29A8"/>
    <w:rsid w:val="00FD2DD0"/>
    <w:rsid w:val="00FD30EE"/>
    <w:rsid w:val="00FD4270"/>
    <w:rsid w:val="00FD7E35"/>
    <w:rsid w:val="00FD7FF5"/>
    <w:rsid w:val="00FE094D"/>
    <w:rsid w:val="00FE2AFD"/>
    <w:rsid w:val="00FE2D5E"/>
    <w:rsid w:val="00FE769F"/>
    <w:rsid w:val="00FE7AFE"/>
    <w:rsid w:val="00FE7EEC"/>
    <w:rsid w:val="00FE7F74"/>
    <w:rsid w:val="00FF3075"/>
    <w:rsid w:val="00FF322A"/>
    <w:rsid w:val="00FF4FFD"/>
    <w:rsid w:val="00FF5746"/>
    <w:rsid w:val="00FF5AAE"/>
    <w:rsid w:val="00FF631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b6c58,#887e6e,#b0a696"/>
    </o:shapedefaults>
    <o:shapelayout v:ext="edit">
      <o:idmap v:ext="edit" data="1"/>
    </o:shapelayout>
  </w:shapeDefaults>
  <w:decimalSymbol w:val=","/>
  <w:listSeparator w:val=";"/>
  <w14:docId w14:val="7FB3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qFormat="1"/>
    <w:lsdException w:name="heading 4" w:locked="0"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0"/>
    <w:lsdException w:name="index 2" w:locked="0"/>
    <w:lsdException w:name="index 3" w:locked="0"/>
    <w:lsdException w:name="index 4" w:locked="0"/>
    <w:lsdException w:name="toc 1" w:locked="0" w:uiPriority="39"/>
    <w:lsdException w:name="toc 2" w:locked="0" w:uiPriority="39"/>
    <w:lsdException w:name="toc 3" w:locked="0" w:uiPriority="39"/>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uiPriority="0"/>
    <w:lsdException w:name="caption" w:locked="0" w:uiPriority="0" w:qFormat="1"/>
    <w:lsdException w:name="footnote reference" w:locked="0" w:qFormat="1"/>
    <w:lsdException w:name="macro" w:unhideWhenUsed="0"/>
    <w:lsdException w:name="List Bullet" w:unhideWhenUsed="0"/>
    <w:lsdException w:name="List Number" w:unhideWhenUsed="0"/>
    <w:lsdException w:name="Title" w:semiHidden="0" w:uiPriority="10" w:unhideWhenUsed="0" w:qFormat="1"/>
    <w:lsdException w:name="Default Paragraph Font" w:locked="0" w:uiPriority="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Hyperlink" w:locked="0"/>
    <w:lsdException w:name="Strong" w:semiHidden="0" w:uiPriority="0" w:unhideWhenUsed="0" w:qFormat="1"/>
    <w:lsdException w:name="Emphasis" w:locked="0" w:semiHidden="0" w:uiPriority="1" w:unhideWhenUsed="0" w:qFormat="1"/>
    <w:lsdException w:name="HTML Top of Form" w:locked="0"/>
    <w:lsdException w:name="HTML Bottom of Form" w:locked="0"/>
    <w:lsdException w:name="Normal Table" w:locked="0"/>
    <w:lsdException w:name="No List" w:locked="0"/>
    <w:lsdException w:name="Table Grid"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locked="0" w:semiHidden="0" w:uiPriority="0" w:unhideWhenUsed="0" w:qFormat="1"/>
    <w:lsdException w:name="Book Title" w:semiHidden="0" w:uiPriority="33" w:unhideWhenUsed="0" w:qFormat="1"/>
    <w:lsdException w:name="Bibliography" w:uiPriority="37" w:unhideWhenUsed="0"/>
    <w:lsdException w:name="TOC Heading" w:uiPriority="39" w:qFormat="1"/>
  </w:latentStyles>
  <w:style w:type="paragraph" w:default="1" w:styleId="Normal">
    <w:name w:val="Normal"/>
    <w:aliases w:val="ECC Base"/>
    <w:semiHidden/>
    <w:qFormat/>
    <w:locked/>
    <w:rsid w:val="00CC2AF4"/>
    <w:rPr>
      <w:rFonts w:eastAsia="Calibri"/>
      <w:szCs w:val="22"/>
      <w:lang w:val="en-GB"/>
    </w:rPr>
  </w:style>
  <w:style w:type="paragraph" w:styleId="Heading1">
    <w:name w:val="heading 1"/>
    <w:aliases w:val="ECC Heading 1"/>
    <w:next w:val="Normal"/>
    <w:uiPriority w:val="9"/>
    <w:qFormat/>
    <w:rsid w:val="009465E0"/>
    <w:pPr>
      <w:keepNext/>
      <w:pageBreakBefore/>
      <w:numPr>
        <w:numId w:val="6"/>
      </w:numPr>
      <w:spacing w:before="600"/>
      <w:outlineLvl w:val="0"/>
    </w:pPr>
    <w:rPr>
      <w:rFonts w:cs="Arial"/>
      <w:b/>
      <w:bCs/>
      <w:caps/>
      <w:color w:val="D2232A"/>
      <w:kern w:val="32"/>
      <w:szCs w:val="32"/>
    </w:rPr>
  </w:style>
  <w:style w:type="paragraph" w:styleId="Heading2">
    <w:name w:val="heading 2"/>
    <w:aliases w:val="ECC Heading 2"/>
    <w:next w:val="Normal"/>
    <w:uiPriority w:val="9"/>
    <w:qFormat/>
    <w:rsid w:val="00F51BD6"/>
    <w:pPr>
      <w:keepNext/>
      <w:numPr>
        <w:ilvl w:val="1"/>
        <w:numId w:val="6"/>
      </w:numPr>
      <w:spacing w:before="480"/>
      <w:outlineLvl w:val="1"/>
    </w:pPr>
    <w:rPr>
      <w:rFonts w:cs="Arial"/>
      <w:b/>
      <w:bCs/>
      <w:iCs/>
      <w:caps/>
      <w:szCs w:val="28"/>
    </w:rPr>
  </w:style>
  <w:style w:type="paragraph" w:styleId="Heading3">
    <w:name w:val="heading 3"/>
    <w:aliases w:val="ECC Heading 3"/>
    <w:next w:val="Normal"/>
    <w:uiPriority w:val="9"/>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qFormat/>
    <w:rsid w:val="00F51BD6"/>
    <w:pPr>
      <w:numPr>
        <w:ilvl w:val="3"/>
        <w:numId w:val="6"/>
      </w:numPr>
      <w:spacing w:before="360"/>
      <w:outlineLvl w:val="3"/>
    </w:pPr>
    <w:rPr>
      <w:rFonts w:cs="Arial"/>
      <w:bCs/>
      <w:i/>
      <w:color w:val="D2232A"/>
      <w:szCs w:val="26"/>
    </w:rPr>
  </w:style>
  <w:style w:type="paragraph" w:styleId="Heading5">
    <w:name w:val="heading 5"/>
    <w:basedOn w:val="Normal"/>
    <w:next w:val="Normal"/>
    <w:semiHidden/>
    <w:qFormat/>
    <w:locked/>
    <w:rsid w:val="009E47EB"/>
    <w:pPr>
      <w:outlineLvl w:val="4"/>
    </w:pPr>
    <w:rPr>
      <w:b/>
      <w:bCs/>
      <w:i/>
      <w:iCs/>
      <w:sz w:val="26"/>
      <w:szCs w:val="26"/>
    </w:rPr>
  </w:style>
  <w:style w:type="paragraph" w:styleId="Heading6">
    <w:name w:val="heading 6"/>
    <w:basedOn w:val="Normal"/>
    <w:next w:val="Normal"/>
    <w:semiHidden/>
    <w:qFormat/>
    <w:locked/>
    <w:rsid w:val="009E47EB"/>
    <w:pPr>
      <w:outlineLvl w:val="5"/>
    </w:pPr>
    <w:rPr>
      <w:b/>
      <w:bCs/>
      <w:sz w:val="22"/>
    </w:rPr>
  </w:style>
  <w:style w:type="paragraph" w:styleId="Heading7">
    <w:name w:val="heading 7"/>
    <w:basedOn w:val="Normal"/>
    <w:next w:val="Normal"/>
    <w:semiHidden/>
    <w:qFormat/>
    <w:locked/>
    <w:rsid w:val="009E47EB"/>
    <w:pPr>
      <w:outlineLvl w:val="6"/>
    </w:pPr>
    <w:rPr>
      <w:sz w:val="24"/>
    </w:rPr>
  </w:style>
  <w:style w:type="paragraph" w:styleId="Heading8">
    <w:name w:val="heading 8"/>
    <w:basedOn w:val="Normal"/>
    <w:next w:val="Normal"/>
    <w:semiHidden/>
    <w:qFormat/>
    <w:locked/>
    <w:rsid w:val="009E47EB"/>
    <w:pPr>
      <w:outlineLvl w:val="7"/>
    </w:pPr>
    <w:rPr>
      <w:i/>
      <w:iCs/>
      <w:sz w:val="24"/>
    </w:rPr>
  </w:style>
  <w:style w:type="paragraph" w:styleId="Heading9">
    <w:name w:val="heading 9"/>
    <w:basedOn w:val="Normal"/>
    <w:next w:val="Normal"/>
    <w:link w:val="Heading9Char"/>
    <w:semiHidden/>
    <w:qFormat/>
    <w:locked/>
    <w:rsid w:val="009E47EB"/>
    <w:p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rsid w:val="00BC03FD"/>
    <w:pPr>
      <w:numPr>
        <w:numId w:val="2"/>
      </w:numPr>
      <w:tabs>
        <w:tab w:val="left" w:pos="340"/>
      </w:tabs>
      <w:spacing w:before="60" w:after="0"/>
      <w:ind w:left="340" w:hanging="340"/>
    </w:pPr>
  </w:style>
  <w:style w:type="paragraph" w:styleId="Header">
    <w:name w:val="header"/>
    <w:basedOn w:val="Normal"/>
    <w:semiHidden/>
    <w:locked/>
    <w:rsid w:val="00C95C7C"/>
    <w:pPr>
      <w:tabs>
        <w:tab w:val="center" w:pos="4320"/>
        <w:tab w:val="right" w:pos="8640"/>
      </w:tabs>
    </w:pPr>
    <w:rPr>
      <w:b/>
      <w:sz w:val="16"/>
    </w:rPr>
  </w:style>
  <w:style w:type="paragraph" w:customStyle="1" w:styleId="ECCAnnexheading1">
    <w:name w:val="ECC Annex heading1"/>
    <w:next w:val="Normal"/>
    <w:qFormat/>
    <w:rsid w:val="00E2303A"/>
    <w:pPr>
      <w:keepNext/>
      <w:pageBreakBefore/>
      <w:numPr>
        <w:numId w:val="1"/>
      </w:numPr>
    </w:pPr>
    <w:rPr>
      <w:b/>
      <w:caps/>
      <w:color w:val="D2232A"/>
    </w:rPr>
  </w:style>
  <w:style w:type="paragraph" w:styleId="TOC1">
    <w:name w:val="toc 1"/>
    <w:aliases w:val="ECC Index 1"/>
    <w:basedOn w:val="Normal"/>
    <w:next w:val="Normal"/>
    <w:link w:val="TOC1Char"/>
    <w:uiPriority w:val="39"/>
    <w:rsid w:val="004930E1"/>
    <w:pPr>
      <w:tabs>
        <w:tab w:val="left" w:pos="425"/>
        <w:tab w:val="right" w:leader="dot" w:pos="9629"/>
      </w:tabs>
      <w:spacing w:after="0"/>
      <w:ind w:left="425" w:hanging="425"/>
    </w:pPr>
    <w:rPr>
      <w:b/>
      <w:szCs w:val="20"/>
    </w:rPr>
  </w:style>
  <w:style w:type="paragraph" w:styleId="FootnoteText">
    <w:name w:val="footnote text"/>
    <w:aliases w:val="ECC Footnote"/>
    <w:basedOn w:val="Normal"/>
    <w:link w:val="FootnoteTextChar"/>
    <w:uiPriority w:val="99"/>
    <w:qFormat/>
    <w:rsid w:val="00CA18B5"/>
    <w:pPr>
      <w:widowControl w:val="0"/>
      <w:tabs>
        <w:tab w:val="left" w:pos="284"/>
      </w:tabs>
      <w:spacing w:before="60" w:after="0" w:line="288" w:lineRule="auto"/>
      <w:ind w:left="284" w:hanging="284"/>
    </w:pPr>
    <w:rPr>
      <w:sz w:val="16"/>
      <w:szCs w:val="16"/>
      <w:lang w:val="da-DK"/>
      <w14:cntxtAlts/>
    </w:rPr>
  </w:style>
  <w:style w:type="paragraph" w:styleId="TOC2">
    <w:name w:val="toc 2"/>
    <w:aliases w:val="ECC Index 2"/>
    <w:basedOn w:val="Normal"/>
    <w:next w:val="Normal"/>
    <w:uiPriority w:val="39"/>
    <w:rsid w:val="00210414"/>
    <w:pPr>
      <w:tabs>
        <w:tab w:val="left" w:pos="993"/>
        <w:tab w:val="right" w:leader="dot" w:pos="9629"/>
      </w:tabs>
      <w:spacing w:before="0" w:after="0"/>
      <w:ind w:left="992" w:hanging="567"/>
    </w:pPr>
    <w:rPr>
      <w:rFonts w:cs="Arial"/>
      <w:bCs/>
      <w:noProof/>
      <w:szCs w:val="20"/>
    </w:rPr>
  </w:style>
  <w:style w:type="paragraph" w:styleId="TOC3">
    <w:name w:val="toc 3"/>
    <w:aliases w:val="ECC Index 3"/>
    <w:basedOn w:val="Normal"/>
    <w:next w:val="Normal"/>
    <w:uiPriority w:val="39"/>
    <w:rsid w:val="00210414"/>
    <w:pPr>
      <w:tabs>
        <w:tab w:val="left" w:pos="1701"/>
        <w:tab w:val="right" w:leader="dot" w:pos="9629"/>
      </w:tabs>
      <w:spacing w:before="0" w:after="0"/>
      <w:ind w:left="1701" w:hanging="709"/>
    </w:pPr>
    <w:rPr>
      <w:rFonts w:cs="Arial"/>
      <w:noProof/>
      <w:szCs w:val="20"/>
    </w:rPr>
  </w:style>
  <w:style w:type="paragraph" w:styleId="TOC4">
    <w:name w:val="toc 4"/>
    <w:aliases w:val="ECC Index 4"/>
    <w:basedOn w:val="Normal"/>
    <w:next w:val="Normal"/>
    <w:uiPriority w:val="39"/>
    <w:rsid w:val="00210414"/>
    <w:pPr>
      <w:tabs>
        <w:tab w:val="left" w:pos="2552"/>
        <w:tab w:val="right" w:leader="dot" w:pos="9629"/>
      </w:tabs>
      <w:spacing w:before="0" w:after="0"/>
      <w:ind w:left="2552" w:hanging="851"/>
    </w:pPr>
    <w:rPr>
      <w:rFonts w:cs="Arial"/>
      <w:noProof/>
      <w:szCs w:val="20"/>
    </w:rPr>
  </w:style>
  <w:style w:type="character" w:customStyle="1" w:styleId="ECCHLgreen">
    <w:name w:val="ECC HL green"/>
    <w:basedOn w:val="DefaultParagraphFont"/>
    <w:uiPriority w:val="1"/>
    <w:qFormat/>
    <w:rsid w:val="00CD1F81"/>
    <w:rPr>
      <w:bdr w:val="none" w:sz="0" w:space="0" w:color="auto"/>
      <w:shd w:val="solid" w:color="92D050" w:fill="auto"/>
      <w:lang w:val="en-GB"/>
    </w:rPr>
  </w:style>
  <w:style w:type="character" w:customStyle="1" w:styleId="FootnoteTextChar">
    <w:name w:val="Footnote Text Char"/>
    <w:aliases w:val="ECC Footnote Char"/>
    <w:basedOn w:val="DefaultParagraphFont"/>
    <w:link w:val="FootnoteText"/>
    <w:uiPriority w:val="99"/>
    <w:rsid w:val="00CD1F81"/>
    <w:rPr>
      <w:rFonts w:eastAsia="Calibri"/>
      <w:sz w:val="16"/>
      <w:szCs w:val="16"/>
      <w14:cntxtAlts/>
    </w:rPr>
  </w:style>
  <w:style w:type="character" w:styleId="FootnoteReference">
    <w:name w:val="footnote reference"/>
    <w:aliases w:val="ECC Footnote number,Appel note de bas de p,Footnote Reference/,(Ref. de nota al pie),pie pddes"/>
    <w:basedOn w:val="DefaultParagraphFont"/>
    <w:uiPriority w:val="99"/>
    <w:qFormat/>
    <w:rsid w:val="00DB17F9"/>
    <w:rPr>
      <w:rFonts w:ascii="Arial" w:hAnsi="Arial"/>
      <w:sz w:val="20"/>
      <w:vertAlign w:val="superscript"/>
    </w:rPr>
  </w:style>
  <w:style w:type="paragraph" w:styleId="Caption">
    <w:name w:val="caption"/>
    <w:aliases w:val="ECC Caption,Ca,Figure Lable"/>
    <w:next w:val="Normal"/>
    <w:qFormat/>
    <w:rsid w:val="00F51BD6"/>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A90997"/>
    <w:pPr>
      <w:spacing w:before="0" w:after="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coverpagelastupdatedDDMMYY">
    <w:name w:val="cover page 'last updated DD MM YY'"/>
    <w:next w:val="coverpageapprovedDDMMYY"/>
    <w:rsid w:val="00DB17F9"/>
    <w:pPr>
      <w:spacing w:before="120"/>
      <w:ind w:left="3402"/>
    </w:pPr>
    <w:rPr>
      <w:bCs/>
      <w:sz w:val="18"/>
    </w:rPr>
  </w:style>
  <w:style w:type="paragraph" w:customStyle="1" w:styleId="ECCLetteredList">
    <w:name w:val="ECC Lettered List"/>
    <w:qFormat/>
    <w:rsid w:val="00F51BD6"/>
    <w:pPr>
      <w:numPr>
        <w:ilvl w:val="1"/>
        <w:numId w:val="3"/>
      </w:numPr>
      <w:spacing w:after="0"/>
    </w:pPr>
  </w:style>
  <w:style w:type="paragraph" w:customStyle="1" w:styleId="ECCNumberedList">
    <w:name w:val="ECC Numbered List"/>
    <w:basedOn w:val="Normal"/>
    <w:qFormat/>
    <w:rsid w:val="00210414"/>
    <w:pPr>
      <w:numPr>
        <w:numId w:val="4"/>
      </w:numPr>
      <w:spacing w:after="0"/>
    </w:pPr>
    <w:rPr>
      <w:szCs w:val="20"/>
    </w:rPr>
  </w:style>
  <w:style w:type="paragraph" w:customStyle="1" w:styleId="ECCReference">
    <w:name w:val="ECC Reference"/>
    <w:basedOn w:val="Normal"/>
    <w:rsid w:val="00471F0A"/>
    <w:pPr>
      <w:numPr>
        <w:numId w:val="5"/>
      </w:numPr>
      <w:spacing w:before="0" w:after="0"/>
    </w:pPr>
    <w:rPr>
      <w:lang w:eastAsia="ja-JP"/>
    </w:rPr>
  </w:style>
  <w:style w:type="paragraph" w:styleId="BalloonText">
    <w:name w:val="Balloon Text"/>
    <w:basedOn w:val="Normal"/>
    <w:link w:val="BalloonTextChar"/>
    <w:uiPriority w:val="99"/>
    <w:semiHidden/>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22D"/>
    <w:rPr>
      <w:rFonts w:ascii="Lucida Grande" w:eastAsia="Calibri" w:hAnsi="Lucida Grande" w:cs="Lucida Grande"/>
      <w:sz w:val="18"/>
      <w:szCs w:val="18"/>
      <w:lang w:val="en-GB"/>
    </w:rPr>
  </w:style>
  <w:style w:type="paragraph" w:customStyle="1" w:styleId="coverpageReporttitledescription">
    <w:name w:val="cover page 'Report title/description'"/>
    <w:rsid w:val="00CA18B5"/>
    <w:pPr>
      <w:keepLines/>
      <w:spacing w:before="1800" w:line="288" w:lineRule="auto"/>
      <w:ind w:left="3402"/>
      <w:contextualSpacing/>
      <w:textboxTightWrap w:val="firstLineOnly"/>
    </w:pPr>
    <w:rPr>
      <w:sz w:val="24"/>
    </w:rPr>
  </w:style>
  <w:style w:type="paragraph" w:customStyle="1" w:styleId="ECCEditorsNote">
    <w:name w:val="ECC Editor's Note"/>
    <w:next w:val="Normal"/>
    <w:qFormat/>
    <w:rsid w:val="00A26AC6"/>
    <w:pPr>
      <w:numPr>
        <w:numId w:val="8"/>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qFormat/>
    <w:rsid w:val="00CA18B5"/>
    <w:pPr>
      <w:spacing w:after="240"/>
      <w:jc w:val="center"/>
    </w:pPr>
    <w:rPr>
      <w:noProof/>
      <w:lang w:val="de-DE" w:eastAsia="de-DE"/>
      <w14:cntxtAlts/>
    </w:rPr>
  </w:style>
  <w:style w:type="paragraph" w:customStyle="1" w:styleId="coverpageapprovedDDMMYY">
    <w:name w:val="cover page 'approved DD MM YY'"/>
    <w:next w:val="coverpagelastupdatedDDMMYY"/>
    <w:rsid w:val="00DB17F9"/>
    <w:pPr>
      <w:spacing w:before="600"/>
      <w:ind w:left="3402"/>
    </w:pPr>
    <w:rPr>
      <w:b/>
      <w:sz w:val="18"/>
      <w:szCs w:val="18"/>
    </w:rPr>
  </w:style>
  <w:style w:type="paragraph" w:customStyle="1" w:styleId="coverpageECCReport">
    <w:name w:val="cover page 'ECC Report'"/>
    <w:link w:val="coverpageECCReportZchn"/>
    <w:semiHidden/>
    <w:rsid w:val="00A90997"/>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DefaultParagraphFont"/>
    <w:link w:val="coverpageECCReport"/>
    <w:semiHidden/>
    <w:rsid w:val="00A90997"/>
    <w:rPr>
      <w:rFonts w:eastAsia="Calibri"/>
      <w:color w:val="FFFFFF" w:themeColor="background1"/>
      <w:sz w:val="68"/>
      <w:szCs w:val="68"/>
      <w:shd w:val="clear" w:color="FFFFFF" w:themeColor="background1" w:fill="auto"/>
      <w:lang w:val="en-GB"/>
    </w:rPr>
  </w:style>
  <w:style w:type="character" w:customStyle="1" w:styleId="ECCHLyellow">
    <w:name w:val="ECC HL yellow"/>
    <w:basedOn w:val="DefaultParagraphFont"/>
    <w:uiPriority w:val="1"/>
    <w:qFormat/>
    <w:rsid w:val="00210414"/>
    <w:rPr>
      <w:rFonts w:eastAsia="Calibri"/>
      <w:i w:val="0"/>
      <w:szCs w:val="22"/>
      <w:bdr w:val="none" w:sz="0" w:space="0" w:color="auto"/>
      <w:shd w:val="solid" w:color="FFFF00" w:fill="auto"/>
      <w:lang w:val="en-GB"/>
    </w:rPr>
  </w:style>
  <w:style w:type="paragraph" w:customStyle="1" w:styleId="coverpageTableofContent">
    <w:name w:val="cover page 'Table of Content'"/>
    <w:semiHidden/>
    <w:rsid w:val="00E2303A"/>
    <w:pPr>
      <w:spacing w:after="240"/>
    </w:pPr>
    <w:rPr>
      <w:b/>
      <w:noProof/>
      <w:color w:val="FFFFFF" w:themeColor="background1"/>
      <w:lang w:val="de-DE" w:eastAsia="de-DE"/>
    </w:rPr>
  </w:style>
  <w:style w:type="paragraph" w:customStyle="1" w:styleId="ECCTableHeaderwhitefont">
    <w:name w:val="ECC Table Header white font"/>
    <w:qFormat/>
    <w:rsid w:val="003B1553"/>
    <w:pPr>
      <w:jc w:val="center"/>
    </w:pPr>
    <w:rPr>
      <w:rFonts w:eastAsia="Calibri"/>
      <w:bCs/>
      <w:color w:val="FFFFFF" w:themeColor="background1"/>
      <w:lang w:val="en-GB" w:eastAsia="de-DE"/>
    </w:rPr>
  </w:style>
  <w:style w:type="paragraph" w:customStyle="1" w:styleId="ECCTabletext">
    <w:name w:val="ECC Table text"/>
    <w:basedOn w:val="Normal"/>
    <w:qFormat/>
    <w:rsid w:val="00A90997"/>
    <w:pPr>
      <w:spacing w:before="0"/>
    </w:pPr>
  </w:style>
  <w:style w:type="paragraph" w:styleId="Signature">
    <w:name w:val="Signature"/>
    <w:basedOn w:val="Normal"/>
    <w:link w:val="SignatureChar"/>
    <w:uiPriority w:val="99"/>
    <w:semiHidden/>
    <w:locked/>
    <w:rsid w:val="007D52EC"/>
    <w:pPr>
      <w:spacing w:before="0" w:after="0"/>
      <w:ind w:left="4252"/>
    </w:pPr>
  </w:style>
  <w:style w:type="paragraph" w:customStyle="1" w:styleId="ECCTableHeaderredfont">
    <w:name w:val="ECC Table Header red font"/>
    <w:qFormat/>
    <w:rsid w:val="003B1553"/>
    <w:pPr>
      <w:spacing w:before="120" w:after="120"/>
      <w:jc w:val="left"/>
    </w:pPr>
    <w:rPr>
      <w:rFonts w:eastAsia="Calibri"/>
      <w:bCs/>
      <w:color w:val="D2232A"/>
      <w:lang w:val="en-GB" w:eastAsia="de-DE"/>
    </w:rPr>
  </w:style>
  <w:style w:type="character" w:customStyle="1" w:styleId="SignatureChar">
    <w:name w:val="Signature Char"/>
    <w:basedOn w:val="DefaultParagraphFont"/>
    <w:link w:val="Signature"/>
    <w:uiPriority w:val="99"/>
    <w:semiHidden/>
    <w:rsid w:val="009B022D"/>
    <w:rPr>
      <w:rFonts w:eastAsia="Calibri"/>
      <w:szCs w:val="22"/>
      <w:lang w:val="en-GB"/>
    </w:rPr>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HLbold">
    <w:name w:val="ECC HL bold"/>
    <w:uiPriority w:val="1"/>
    <w:qFormat/>
    <w:rsid w:val="00CA5782"/>
    <w:rPr>
      <w:b/>
      <w:bCs w:val="0"/>
    </w:rPr>
  </w:style>
  <w:style w:type="character" w:styleId="IntenseReference">
    <w:name w:val="Intense Reference"/>
    <w:aliases w:val="cover page 'Report No'"/>
    <w:basedOn w:val="DefaultParagraphFont"/>
    <w:qFormat/>
    <w:rsid w:val="00980DFC"/>
    <w:rPr>
      <w:b/>
      <w:bCs/>
      <w:caps w:val="0"/>
      <w:smallCaps w:val="0"/>
      <w:color w:val="632423" w:themeColor="accent2" w:themeShade="80"/>
      <w:spacing w:val="5"/>
      <w:u w:val="none"/>
      <w:bdr w:val="none" w:sz="0" w:space="0" w:color="auto"/>
      <w:vertAlign w:val="baseline"/>
    </w:rPr>
  </w:style>
  <w:style w:type="character" w:styleId="Emphasis">
    <w:name w:val="Emphasis"/>
    <w:aliases w:val="ECC HL italics"/>
    <w:uiPriority w:val="1"/>
    <w:qFormat/>
    <w:rsid w:val="00C418C5"/>
    <w:rPr>
      <w:i/>
    </w:rPr>
  </w:style>
  <w:style w:type="character" w:customStyle="1" w:styleId="TOC1Char">
    <w:name w:val="TOC 1 Char"/>
    <w:aliases w:val="ECC Index 1 Char"/>
    <w:basedOn w:val="DefaultParagraphFont"/>
    <w:link w:val="TOC1"/>
    <w:uiPriority w:val="39"/>
    <w:semiHidden/>
    <w:rsid w:val="00471F0A"/>
    <w:rPr>
      <w:rFonts w:eastAsia="Calibri"/>
      <w:b/>
      <w:lang w:val="en-GB"/>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CD1F81"/>
    <w:rPr>
      <w:iCs w:val="0"/>
      <w:bdr w:val="none" w:sz="0" w:space="0" w:color="auto"/>
      <w:shd w:val="solid" w:color="00FFFF" w:fill="auto"/>
      <w:lang w:val="en-GB"/>
    </w:rPr>
  </w:style>
  <w:style w:type="character" w:customStyle="1" w:styleId="ECCHLorange">
    <w:name w:val="ECC HL orange"/>
    <w:basedOn w:val="DefaultParagraphFont"/>
    <w:uiPriority w:val="1"/>
    <w:qFormat/>
    <w:rsid w:val="00CD1F81"/>
    <w:rPr>
      <w:bdr w:val="none" w:sz="0" w:space="0" w:color="auto"/>
      <w:shd w:val="solid" w:color="FFC000" w:fill="auto"/>
    </w:rPr>
  </w:style>
  <w:style w:type="character" w:customStyle="1" w:styleId="ECCHLblue">
    <w:name w:val="ECC HL blue"/>
    <w:basedOn w:val="DefaultParagraphFont"/>
    <w:uiPriority w:val="1"/>
    <w:qFormat/>
    <w:rsid w:val="00210414"/>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CD1F81"/>
    <w:rPr>
      <w:iCs w:val="0"/>
      <w:color w:val="FFFFFF" w:themeColor="background1"/>
      <w:bdr w:val="none" w:sz="0" w:space="0" w:color="auto"/>
      <w:shd w:val="solid" w:color="008080" w:fill="auto"/>
    </w:rPr>
  </w:style>
  <w:style w:type="paragraph" w:styleId="ListParagraph">
    <w:name w:val="List Paragraph"/>
    <w:basedOn w:val="Normal"/>
    <w:uiPriority w:val="34"/>
    <w:semiHidden/>
    <w:qFormat/>
    <w:locked/>
    <w:rsid w:val="005C5A96"/>
    <w:pPr>
      <w:ind w:left="720"/>
      <w:contextualSpacing/>
    </w:pPr>
  </w:style>
  <w:style w:type="character" w:customStyle="1" w:styleId="ECCHLsubscript">
    <w:name w:val="ECC HL subscript"/>
    <w:uiPriority w:val="1"/>
    <w:rsid w:val="00C418C5"/>
    <w:rPr>
      <w:vertAlign w:val="subscript"/>
    </w:rPr>
  </w:style>
  <w:style w:type="character" w:customStyle="1" w:styleId="ECCHLsuperscript">
    <w:name w:val="ECC HL superscript"/>
    <w:uiPriority w:val="1"/>
    <w:rsid w:val="00C418C5"/>
    <w:rPr>
      <w:vertAlign w:val="superscript"/>
    </w:rPr>
  </w:style>
  <w:style w:type="character" w:customStyle="1" w:styleId="ECCHLmagenta">
    <w:name w:val="ECC HL magenta"/>
    <w:basedOn w:val="DefaultParagraphFont"/>
    <w:uiPriority w:val="1"/>
    <w:qFormat/>
    <w:rsid w:val="00CD1F81"/>
    <w:rPr>
      <w:color w:val="auto"/>
      <w:bdr w:val="none" w:sz="0" w:space="0" w:color="auto"/>
      <w:shd w:val="solid" w:color="FF3399" w:fill="auto"/>
      <w:lang w:val="en-GB"/>
    </w:rPr>
  </w:style>
  <w:style w:type="character" w:customStyle="1" w:styleId="ECCHLbrown">
    <w:name w:val="ECC HL brown"/>
    <w:basedOn w:val="DefaultParagraphFont"/>
    <w:uiPriority w:val="1"/>
    <w:qFormat/>
    <w:rsid w:val="00CD1F81"/>
    <w:rPr>
      <w:color w:val="D9D9D9" w:themeColor="background1" w:themeShade="D9"/>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rsid w:val="007F3990"/>
    <w:pPr>
      <w:tabs>
        <w:tab w:val="left" w:pos="0"/>
        <w:tab w:val="center" w:pos="4820"/>
        <w:tab w:val="right" w:pos="9639"/>
      </w:tabs>
    </w:pPr>
    <w:rPr>
      <w:rFonts w:cs="Arial"/>
      <w:b/>
      <w:bCs/>
      <w:caps/>
      <w:color w:val="D2232A"/>
      <w:kern w:val="32"/>
      <w:szCs w:val="32"/>
    </w:rPr>
  </w:style>
  <w:style w:type="character" w:customStyle="1" w:styleId="ECCParagraph">
    <w:name w:val="ECC Paragraph"/>
    <w:basedOn w:val="DefaultParagraphFont"/>
    <w:uiPriority w:val="1"/>
    <w:qFormat/>
    <w:rsid w:val="00BF7BF1"/>
    <w:rPr>
      <w:rFonts w:ascii="Arial" w:hAnsi="Arial"/>
      <w:noProof w:val="0"/>
      <w:sz w:val="20"/>
      <w:bdr w:val="none" w:sz="0" w:space="0" w:color="auto"/>
      <w:lang w:val="en-GB"/>
    </w:rPr>
  </w:style>
  <w:style w:type="character" w:customStyle="1" w:styleId="ECCHLunderlined">
    <w:name w:val="ECC HL underlined"/>
    <w:uiPriority w:val="1"/>
    <w:qFormat/>
    <w:rsid w:val="00C418C5"/>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442828"/>
    <w:pPr>
      <w:jc w:val="left"/>
    </w:pPr>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442828"/>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clean">
    <w:name w:val="ECC Table - clean"/>
    <w:uiPriority w:val="99"/>
    <w:rsid w:val="001555E1"/>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grey">
    <w:name w:val="ECC HL grey"/>
    <w:uiPriority w:val="1"/>
    <w:qFormat/>
    <w:rsid w:val="00CD1F81"/>
    <w:rPr>
      <w:bdr w:val="none" w:sz="0" w:space="0" w:color="auto"/>
      <w:shd w:val="solid" w:color="BFBFBF" w:themeColor="background1" w:themeShade="BF" w:fill="auto"/>
    </w:rPr>
  </w:style>
  <w:style w:type="table" w:styleId="TableGrid">
    <w:name w:val="Table Grid"/>
    <w:basedOn w:val="TableNormal"/>
    <w:locked/>
    <w:rsid w:val="001B19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locked/>
    <w:rsid w:val="00B61952"/>
    <w:pPr>
      <w:spacing w:before="0" w:after="0"/>
      <w:ind w:left="600"/>
    </w:pPr>
    <w:rPr>
      <w:rFonts w:asciiTheme="minorHAnsi" w:hAnsiTheme="minorHAnsi"/>
      <w:szCs w:val="20"/>
    </w:rPr>
  </w:style>
  <w:style w:type="paragraph" w:styleId="TOC6">
    <w:name w:val="toc 6"/>
    <w:basedOn w:val="Normal"/>
    <w:next w:val="Normal"/>
    <w:autoRedefine/>
    <w:uiPriority w:val="39"/>
    <w:semiHidden/>
    <w:locked/>
    <w:rsid w:val="00B61952"/>
    <w:pPr>
      <w:spacing w:before="0" w:after="0"/>
      <w:ind w:left="800"/>
    </w:pPr>
    <w:rPr>
      <w:rFonts w:asciiTheme="minorHAnsi" w:hAnsiTheme="minorHAnsi"/>
      <w:szCs w:val="20"/>
    </w:rPr>
  </w:style>
  <w:style w:type="paragraph" w:styleId="TOC7">
    <w:name w:val="toc 7"/>
    <w:basedOn w:val="Normal"/>
    <w:next w:val="Normal"/>
    <w:autoRedefine/>
    <w:uiPriority w:val="39"/>
    <w:semiHidden/>
    <w:locked/>
    <w:rsid w:val="00B61952"/>
    <w:pPr>
      <w:spacing w:before="0" w:after="0"/>
      <w:ind w:left="1000"/>
    </w:pPr>
    <w:rPr>
      <w:rFonts w:asciiTheme="minorHAnsi" w:hAnsiTheme="minorHAnsi"/>
      <w:szCs w:val="20"/>
    </w:rPr>
  </w:style>
  <w:style w:type="paragraph" w:styleId="TOC8">
    <w:name w:val="toc 8"/>
    <w:basedOn w:val="Normal"/>
    <w:next w:val="Normal"/>
    <w:autoRedefine/>
    <w:uiPriority w:val="39"/>
    <w:semiHidden/>
    <w:locked/>
    <w:rsid w:val="00B61952"/>
    <w:pPr>
      <w:spacing w:before="0" w:after="0"/>
      <w:ind w:left="1200"/>
    </w:pPr>
    <w:rPr>
      <w:rFonts w:asciiTheme="minorHAnsi" w:hAnsiTheme="minorHAnsi"/>
      <w:szCs w:val="20"/>
    </w:rPr>
  </w:style>
  <w:style w:type="paragraph" w:styleId="TOC9">
    <w:name w:val="toc 9"/>
    <w:basedOn w:val="Normal"/>
    <w:next w:val="Normal"/>
    <w:autoRedefine/>
    <w:uiPriority w:val="39"/>
    <w:semiHidden/>
    <w:locked/>
    <w:rsid w:val="00B61952"/>
    <w:pPr>
      <w:spacing w:before="0" w:after="0"/>
      <w:ind w:left="1400"/>
    </w:pPr>
    <w:rPr>
      <w:rFonts w:asciiTheme="minorHAnsi" w:hAnsiTheme="minorHAnsi"/>
      <w:szCs w:val="20"/>
    </w:rPr>
  </w:style>
  <w:style w:type="paragraph" w:styleId="Footer">
    <w:name w:val="footer"/>
    <w:basedOn w:val="Normal"/>
    <w:link w:val="FooterChar"/>
    <w:uiPriority w:val="99"/>
    <w:semiHidden/>
    <w:locked/>
    <w:rsid w:val="000F0A57"/>
    <w:pPr>
      <w:tabs>
        <w:tab w:val="center" w:pos="4536"/>
        <w:tab w:val="right" w:pos="9072"/>
      </w:tabs>
      <w:spacing w:before="0" w:after="0"/>
    </w:pPr>
  </w:style>
  <w:style w:type="character" w:customStyle="1" w:styleId="FooterChar">
    <w:name w:val="Footer Char"/>
    <w:basedOn w:val="DefaultParagraphFont"/>
    <w:link w:val="Footer"/>
    <w:uiPriority w:val="99"/>
    <w:semiHidden/>
    <w:rsid w:val="009B022D"/>
    <w:rPr>
      <w:rFonts w:eastAsia="Calibri"/>
      <w:szCs w:val="22"/>
      <w:lang w:val="en-GB"/>
    </w:rPr>
  </w:style>
  <w:style w:type="character" w:styleId="Strong">
    <w:name w:val="Strong"/>
    <w:basedOn w:val="DefaultParagraphFont"/>
    <w:semiHidden/>
    <w:qFormat/>
    <w:locked/>
    <w:rsid w:val="005E71F3"/>
    <w:rPr>
      <w:b/>
      <w:bCs/>
    </w:rPr>
  </w:style>
  <w:style w:type="character" w:styleId="CommentReference">
    <w:name w:val="annotation reference"/>
    <w:basedOn w:val="DefaultParagraphFont"/>
    <w:uiPriority w:val="99"/>
    <w:semiHidden/>
    <w:locked/>
    <w:rsid w:val="0083260A"/>
    <w:rPr>
      <w:sz w:val="16"/>
      <w:szCs w:val="16"/>
    </w:rPr>
  </w:style>
  <w:style w:type="paragraph" w:styleId="CommentText">
    <w:name w:val="annotation text"/>
    <w:basedOn w:val="Normal"/>
    <w:link w:val="CommentTextChar"/>
    <w:uiPriority w:val="99"/>
    <w:semiHidden/>
    <w:locked/>
    <w:rsid w:val="0083260A"/>
    <w:rPr>
      <w:szCs w:val="20"/>
    </w:rPr>
  </w:style>
  <w:style w:type="character" w:customStyle="1" w:styleId="CommentTextChar">
    <w:name w:val="Comment Text Char"/>
    <w:basedOn w:val="DefaultParagraphFont"/>
    <w:link w:val="CommentText"/>
    <w:uiPriority w:val="99"/>
    <w:semiHidden/>
    <w:rsid w:val="0083260A"/>
    <w:rPr>
      <w:rFonts w:eastAsia="Calibri"/>
      <w:lang w:val="en-GB"/>
    </w:rPr>
  </w:style>
  <w:style w:type="paragraph" w:styleId="CommentSubject">
    <w:name w:val="annotation subject"/>
    <w:basedOn w:val="CommentText"/>
    <w:next w:val="CommentText"/>
    <w:link w:val="CommentSubjectChar"/>
    <w:uiPriority w:val="99"/>
    <w:semiHidden/>
    <w:locked/>
    <w:rsid w:val="0083260A"/>
    <w:rPr>
      <w:b/>
      <w:bCs/>
    </w:rPr>
  </w:style>
  <w:style w:type="character" w:customStyle="1" w:styleId="CommentSubjectChar">
    <w:name w:val="Comment Subject Char"/>
    <w:basedOn w:val="CommentTextChar"/>
    <w:link w:val="CommentSubject"/>
    <w:uiPriority w:val="99"/>
    <w:semiHidden/>
    <w:rsid w:val="0083260A"/>
    <w:rPr>
      <w:rFonts w:eastAsia="Calibri"/>
      <w:b/>
      <w:bCs/>
      <w:lang w:val="en-GB"/>
    </w:rPr>
  </w:style>
  <w:style w:type="paragraph" w:styleId="Revision">
    <w:name w:val="Revision"/>
    <w:hidden/>
    <w:uiPriority w:val="99"/>
    <w:semiHidden/>
    <w:rsid w:val="00B862CD"/>
    <w:pPr>
      <w:spacing w:before="0" w:after="0"/>
      <w:jc w:val="left"/>
    </w:pPr>
    <w:rPr>
      <w:rFonts w:eastAsia="Calibri"/>
      <w:szCs w:val="22"/>
      <w:lang w:val="en-GB"/>
    </w:rPr>
  </w:style>
  <w:style w:type="character" w:styleId="FollowedHyperlink">
    <w:name w:val="FollowedHyperlink"/>
    <w:basedOn w:val="DefaultParagraphFont"/>
    <w:uiPriority w:val="99"/>
    <w:semiHidden/>
    <w:unhideWhenUsed/>
    <w:locked/>
    <w:rsid w:val="006543AA"/>
    <w:rPr>
      <w:color w:val="800080" w:themeColor="followedHyperlink"/>
      <w:u w:val="single"/>
    </w:rPr>
  </w:style>
  <w:style w:type="paragraph" w:styleId="NormalWeb">
    <w:name w:val="Normal (Web)"/>
    <w:basedOn w:val="Normal"/>
    <w:uiPriority w:val="99"/>
    <w:semiHidden/>
    <w:unhideWhenUsed/>
    <w:locked/>
    <w:rsid w:val="00633484"/>
    <w:rPr>
      <w:rFonts w:ascii="Times New Roman" w:hAnsi="Times New Roman"/>
      <w:sz w:val="24"/>
      <w:szCs w:val="24"/>
    </w:rPr>
  </w:style>
  <w:style w:type="character" w:customStyle="1" w:styleId="Heading9Char">
    <w:name w:val="Heading 9 Char"/>
    <w:basedOn w:val="DefaultParagraphFont"/>
    <w:link w:val="Heading9"/>
    <w:semiHidden/>
    <w:rsid w:val="00E9777B"/>
    <w:rPr>
      <w:rFonts w:eastAsia="Calibri" w:cs="Arial"/>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qFormat="1"/>
    <w:lsdException w:name="heading 4" w:locked="0"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0"/>
    <w:lsdException w:name="index 2" w:locked="0"/>
    <w:lsdException w:name="index 3" w:locked="0"/>
    <w:lsdException w:name="index 4" w:locked="0"/>
    <w:lsdException w:name="toc 1" w:locked="0" w:uiPriority="39"/>
    <w:lsdException w:name="toc 2" w:locked="0" w:uiPriority="39"/>
    <w:lsdException w:name="toc 3" w:locked="0" w:uiPriority="39"/>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uiPriority="0"/>
    <w:lsdException w:name="caption" w:locked="0" w:uiPriority="0" w:qFormat="1"/>
    <w:lsdException w:name="footnote reference" w:locked="0" w:qFormat="1"/>
    <w:lsdException w:name="macro" w:unhideWhenUsed="0"/>
    <w:lsdException w:name="List Bullet" w:unhideWhenUsed="0"/>
    <w:lsdException w:name="List Number" w:unhideWhenUsed="0"/>
    <w:lsdException w:name="Title" w:semiHidden="0" w:uiPriority="10" w:unhideWhenUsed="0" w:qFormat="1"/>
    <w:lsdException w:name="Default Paragraph Font" w:locked="0" w:uiPriority="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Hyperlink" w:locked="0"/>
    <w:lsdException w:name="Strong" w:semiHidden="0" w:uiPriority="0" w:unhideWhenUsed="0" w:qFormat="1"/>
    <w:lsdException w:name="Emphasis" w:locked="0" w:semiHidden="0" w:uiPriority="1" w:unhideWhenUsed="0" w:qFormat="1"/>
    <w:lsdException w:name="HTML Top of Form" w:locked="0"/>
    <w:lsdException w:name="HTML Bottom of Form" w:locked="0"/>
    <w:lsdException w:name="Normal Table" w:locked="0"/>
    <w:lsdException w:name="No List" w:locked="0"/>
    <w:lsdException w:name="Table Grid"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locked="0" w:semiHidden="0" w:uiPriority="0" w:unhideWhenUsed="0" w:qFormat="1"/>
    <w:lsdException w:name="Book Title" w:semiHidden="0" w:uiPriority="33" w:unhideWhenUsed="0" w:qFormat="1"/>
    <w:lsdException w:name="Bibliography" w:uiPriority="37" w:unhideWhenUsed="0"/>
    <w:lsdException w:name="TOC Heading" w:uiPriority="39" w:qFormat="1"/>
  </w:latentStyles>
  <w:style w:type="paragraph" w:default="1" w:styleId="Normal">
    <w:name w:val="Normal"/>
    <w:aliases w:val="ECC Base"/>
    <w:semiHidden/>
    <w:qFormat/>
    <w:locked/>
    <w:rsid w:val="00CC2AF4"/>
    <w:rPr>
      <w:rFonts w:eastAsia="Calibri"/>
      <w:szCs w:val="22"/>
      <w:lang w:val="en-GB"/>
    </w:rPr>
  </w:style>
  <w:style w:type="paragraph" w:styleId="Heading1">
    <w:name w:val="heading 1"/>
    <w:aliases w:val="ECC Heading 1"/>
    <w:next w:val="Normal"/>
    <w:uiPriority w:val="9"/>
    <w:qFormat/>
    <w:rsid w:val="009465E0"/>
    <w:pPr>
      <w:keepNext/>
      <w:pageBreakBefore/>
      <w:numPr>
        <w:numId w:val="6"/>
      </w:numPr>
      <w:spacing w:before="600"/>
      <w:outlineLvl w:val="0"/>
    </w:pPr>
    <w:rPr>
      <w:rFonts w:cs="Arial"/>
      <w:b/>
      <w:bCs/>
      <w:caps/>
      <w:color w:val="D2232A"/>
      <w:kern w:val="32"/>
      <w:szCs w:val="32"/>
    </w:rPr>
  </w:style>
  <w:style w:type="paragraph" w:styleId="Heading2">
    <w:name w:val="heading 2"/>
    <w:aliases w:val="ECC Heading 2"/>
    <w:next w:val="Normal"/>
    <w:uiPriority w:val="9"/>
    <w:qFormat/>
    <w:rsid w:val="00F51BD6"/>
    <w:pPr>
      <w:keepNext/>
      <w:numPr>
        <w:ilvl w:val="1"/>
        <w:numId w:val="6"/>
      </w:numPr>
      <w:spacing w:before="480"/>
      <w:outlineLvl w:val="1"/>
    </w:pPr>
    <w:rPr>
      <w:rFonts w:cs="Arial"/>
      <w:b/>
      <w:bCs/>
      <w:iCs/>
      <w:caps/>
      <w:szCs w:val="28"/>
    </w:rPr>
  </w:style>
  <w:style w:type="paragraph" w:styleId="Heading3">
    <w:name w:val="heading 3"/>
    <w:aliases w:val="ECC Heading 3"/>
    <w:next w:val="Normal"/>
    <w:uiPriority w:val="9"/>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qFormat/>
    <w:rsid w:val="00F51BD6"/>
    <w:pPr>
      <w:numPr>
        <w:ilvl w:val="3"/>
        <w:numId w:val="6"/>
      </w:numPr>
      <w:spacing w:before="360"/>
      <w:outlineLvl w:val="3"/>
    </w:pPr>
    <w:rPr>
      <w:rFonts w:cs="Arial"/>
      <w:bCs/>
      <w:i/>
      <w:color w:val="D2232A"/>
      <w:szCs w:val="26"/>
    </w:rPr>
  </w:style>
  <w:style w:type="paragraph" w:styleId="Heading5">
    <w:name w:val="heading 5"/>
    <w:basedOn w:val="Normal"/>
    <w:next w:val="Normal"/>
    <w:semiHidden/>
    <w:qFormat/>
    <w:locked/>
    <w:rsid w:val="009E47EB"/>
    <w:pPr>
      <w:outlineLvl w:val="4"/>
    </w:pPr>
    <w:rPr>
      <w:b/>
      <w:bCs/>
      <w:i/>
      <w:iCs/>
      <w:sz w:val="26"/>
      <w:szCs w:val="26"/>
    </w:rPr>
  </w:style>
  <w:style w:type="paragraph" w:styleId="Heading6">
    <w:name w:val="heading 6"/>
    <w:basedOn w:val="Normal"/>
    <w:next w:val="Normal"/>
    <w:semiHidden/>
    <w:qFormat/>
    <w:locked/>
    <w:rsid w:val="009E47EB"/>
    <w:pPr>
      <w:outlineLvl w:val="5"/>
    </w:pPr>
    <w:rPr>
      <w:b/>
      <w:bCs/>
      <w:sz w:val="22"/>
    </w:rPr>
  </w:style>
  <w:style w:type="paragraph" w:styleId="Heading7">
    <w:name w:val="heading 7"/>
    <w:basedOn w:val="Normal"/>
    <w:next w:val="Normal"/>
    <w:semiHidden/>
    <w:qFormat/>
    <w:locked/>
    <w:rsid w:val="009E47EB"/>
    <w:pPr>
      <w:outlineLvl w:val="6"/>
    </w:pPr>
    <w:rPr>
      <w:sz w:val="24"/>
    </w:rPr>
  </w:style>
  <w:style w:type="paragraph" w:styleId="Heading8">
    <w:name w:val="heading 8"/>
    <w:basedOn w:val="Normal"/>
    <w:next w:val="Normal"/>
    <w:semiHidden/>
    <w:qFormat/>
    <w:locked/>
    <w:rsid w:val="009E47EB"/>
    <w:pPr>
      <w:outlineLvl w:val="7"/>
    </w:pPr>
    <w:rPr>
      <w:i/>
      <w:iCs/>
      <w:sz w:val="24"/>
    </w:rPr>
  </w:style>
  <w:style w:type="paragraph" w:styleId="Heading9">
    <w:name w:val="heading 9"/>
    <w:basedOn w:val="Normal"/>
    <w:next w:val="Normal"/>
    <w:link w:val="Heading9Char"/>
    <w:semiHidden/>
    <w:qFormat/>
    <w:locked/>
    <w:rsid w:val="009E47EB"/>
    <w:p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rsid w:val="00BC03FD"/>
    <w:pPr>
      <w:numPr>
        <w:numId w:val="2"/>
      </w:numPr>
      <w:tabs>
        <w:tab w:val="left" w:pos="340"/>
      </w:tabs>
      <w:spacing w:before="60" w:after="0"/>
      <w:ind w:left="340" w:hanging="340"/>
    </w:pPr>
  </w:style>
  <w:style w:type="paragraph" w:styleId="Header">
    <w:name w:val="header"/>
    <w:basedOn w:val="Normal"/>
    <w:semiHidden/>
    <w:locked/>
    <w:rsid w:val="00C95C7C"/>
    <w:pPr>
      <w:tabs>
        <w:tab w:val="center" w:pos="4320"/>
        <w:tab w:val="right" w:pos="8640"/>
      </w:tabs>
    </w:pPr>
    <w:rPr>
      <w:b/>
      <w:sz w:val="16"/>
    </w:rPr>
  </w:style>
  <w:style w:type="paragraph" w:customStyle="1" w:styleId="ECCAnnexheading1">
    <w:name w:val="ECC Annex heading1"/>
    <w:next w:val="Normal"/>
    <w:qFormat/>
    <w:rsid w:val="00E2303A"/>
    <w:pPr>
      <w:keepNext/>
      <w:pageBreakBefore/>
      <w:numPr>
        <w:numId w:val="1"/>
      </w:numPr>
    </w:pPr>
    <w:rPr>
      <w:b/>
      <w:caps/>
      <w:color w:val="D2232A"/>
    </w:rPr>
  </w:style>
  <w:style w:type="paragraph" w:styleId="TOC1">
    <w:name w:val="toc 1"/>
    <w:aliases w:val="ECC Index 1"/>
    <w:basedOn w:val="Normal"/>
    <w:next w:val="Normal"/>
    <w:link w:val="TOC1Char"/>
    <w:uiPriority w:val="39"/>
    <w:rsid w:val="004930E1"/>
    <w:pPr>
      <w:tabs>
        <w:tab w:val="left" w:pos="425"/>
        <w:tab w:val="right" w:leader="dot" w:pos="9629"/>
      </w:tabs>
      <w:spacing w:after="0"/>
      <w:ind w:left="425" w:hanging="425"/>
    </w:pPr>
    <w:rPr>
      <w:b/>
      <w:szCs w:val="20"/>
    </w:rPr>
  </w:style>
  <w:style w:type="paragraph" w:styleId="FootnoteText">
    <w:name w:val="footnote text"/>
    <w:aliases w:val="ECC Footnote"/>
    <w:basedOn w:val="Normal"/>
    <w:link w:val="FootnoteTextChar"/>
    <w:uiPriority w:val="99"/>
    <w:qFormat/>
    <w:rsid w:val="00CA18B5"/>
    <w:pPr>
      <w:widowControl w:val="0"/>
      <w:tabs>
        <w:tab w:val="left" w:pos="284"/>
      </w:tabs>
      <w:spacing w:before="60" w:after="0" w:line="288" w:lineRule="auto"/>
      <w:ind w:left="284" w:hanging="284"/>
    </w:pPr>
    <w:rPr>
      <w:sz w:val="16"/>
      <w:szCs w:val="16"/>
      <w:lang w:val="da-DK"/>
      <w14:cntxtAlts/>
    </w:rPr>
  </w:style>
  <w:style w:type="paragraph" w:styleId="TOC2">
    <w:name w:val="toc 2"/>
    <w:aliases w:val="ECC Index 2"/>
    <w:basedOn w:val="Normal"/>
    <w:next w:val="Normal"/>
    <w:uiPriority w:val="39"/>
    <w:rsid w:val="00210414"/>
    <w:pPr>
      <w:tabs>
        <w:tab w:val="left" w:pos="993"/>
        <w:tab w:val="right" w:leader="dot" w:pos="9629"/>
      </w:tabs>
      <w:spacing w:before="0" w:after="0"/>
      <w:ind w:left="992" w:hanging="567"/>
    </w:pPr>
    <w:rPr>
      <w:rFonts w:cs="Arial"/>
      <w:bCs/>
      <w:noProof/>
      <w:szCs w:val="20"/>
    </w:rPr>
  </w:style>
  <w:style w:type="paragraph" w:styleId="TOC3">
    <w:name w:val="toc 3"/>
    <w:aliases w:val="ECC Index 3"/>
    <w:basedOn w:val="Normal"/>
    <w:next w:val="Normal"/>
    <w:uiPriority w:val="39"/>
    <w:rsid w:val="00210414"/>
    <w:pPr>
      <w:tabs>
        <w:tab w:val="left" w:pos="1701"/>
        <w:tab w:val="right" w:leader="dot" w:pos="9629"/>
      </w:tabs>
      <w:spacing w:before="0" w:after="0"/>
      <w:ind w:left="1701" w:hanging="709"/>
    </w:pPr>
    <w:rPr>
      <w:rFonts w:cs="Arial"/>
      <w:noProof/>
      <w:szCs w:val="20"/>
    </w:rPr>
  </w:style>
  <w:style w:type="paragraph" w:styleId="TOC4">
    <w:name w:val="toc 4"/>
    <w:aliases w:val="ECC Index 4"/>
    <w:basedOn w:val="Normal"/>
    <w:next w:val="Normal"/>
    <w:uiPriority w:val="39"/>
    <w:rsid w:val="00210414"/>
    <w:pPr>
      <w:tabs>
        <w:tab w:val="left" w:pos="2552"/>
        <w:tab w:val="right" w:leader="dot" w:pos="9629"/>
      </w:tabs>
      <w:spacing w:before="0" w:after="0"/>
      <w:ind w:left="2552" w:hanging="851"/>
    </w:pPr>
    <w:rPr>
      <w:rFonts w:cs="Arial"/>
      <w:noProof/>
      <w:szCs w:val="20"/>
    </w:rPr>
  </w:style>
  <w:style w:type="character" w:customStyle="1" w:styleId="ECCHLgreen">
    <w:name w:val="ECC HL green"/>
    <w:basedOn w:val="DefaultParagraphFont"/>
    <w:uiPriority w:val="1"/>
    <w:qFormat/>
    <w:rsid w:val="00CD1F81"/>
    <w:rPr>
      <w:bdr w:val="none" w:sz="0" w:space="0" w:color="auto"/>
      <w:shd w:val="solid" w:color="92D050" w:fill="auto"/>
      <w:lang w:val="en-GB"/>
    </w:rPr>
  </w:style>
  <w:style w:type="character" w:customStyle="1" w:styleId="FootnoteTextChar">
    <w:name w:val="Footnote Text Char"/>
    <w:aliases w:val="ECC Footnote Char"/>
    <w:basedOn w:val="DefaultParagraphFont"/>
    <w:link w:val="FootnoteText"/>
    <w:uiPriority w:val="99"/>
    <w:rsid w:val="00CD1F81"/>
    <w:rPr>
      <w:rFonts w:eastAsia="Calibri"/>
      <w:sz w:val="16"/>
      <w:szCs w:val="16"/>
      <w14:cntxtAlts/>
    </w:rPr>
  </w:style>
  <w:style w:type="character" w:styleId="FootnoteReference">
    <w:name w:val="footnote reference"/>
    <w:aliases w:val="ECC Footnote number,Appel note de bas de p,Footnote Reference/,(Ref. de nota al pie),pie pddes"/>
    <w:basedOn w:val="DefaultParagraphFont"/>
    <w:uiPriority w:val="99"/>
    <w:qFormat/>
    <w:rsid w:val="00DB17F9"/>
    <w:rPr>
      <w:rFonts w:ascii="Arial" w:hAnsi="Arial"/>
      <w:sz w:val="20"/>
      <w:vertAlign w:val="superscript"/>
    </w:rPr>
  </w:style>
  <w:style w:type="paragraph" w:styleId="Caption">
    <w:name w:val="caption"/>
    <w:aliases w:val="ECC Caption,Ca,Figure Lable"/>
    <w:next w:val="Normal"/>
    <w:qFormat/>
    <w:rsid w:val="00F51BD6"/>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A90997"/>
    <w:pPr>
      <w:spacing w:before="0" w:after="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coverpagelastupdatedDDMMYY">
    <w:name w:val="cover page 'last updated DD MM YY'"/>
    <w:next w:val="coverpageapprovedDDMMYY"/>
    <w:rsid w:val="00DB17F9"/>
    <w:pPr>
      <w:spacing w:before="120"/>
      <w:ind w:left="3402"/>
    </w:pPr>
    <w:rPr>
      <w:bCs/>
      <w:sz w:val="18"/>
    </w:rPr>
  </w:style>
  <w:style w:type="paragraph" w:customStyle="1" w:styleId="ECCLetteredList">
    <w:name w:val="ECC Lettered List"/>
    <w:qFormat/>
    <w:rsid w:val="00F51BD6"/>
    <w:pPr>
      <w:numPr>
        <w:ilvl w:val="1"/>
        <w:numId w:val="3"/>
      </w:numPr>
      <w:spacing w:after="0"/>
    </w:pPr>
  </w:style>
  <w:style w:type="paragraph" w:customStyle="1" w:styleId="ECCNumberedList">
    <w:name w:val="ECC Numbered List"/>
    <w:basedOn w:val="Normal"/>
    <w:qFormat/>
    <w:rsid w:val="00210414"/>
    <w:pPr>
      <w:numPr>
        <w:numId w:val="4"/>
      </w:numPr>
      <w:spacing w:after="0"/>
    </w:pPr>
    <w:rPr>
      <w:szCs w:val="20"/>
    </w:rPr>
  </w:style>
  <w:style w:type="paragraph" w:customStyle="1" w:styleId="ECCReference">
    <w:name w:val="ECC Reference"/>
    <w:basedOn w:val="Normal"/>
    <w:rsid w:val="00471F0A"/>
    <w:pPr>
      <w:numPr>
        <w:numId w:val="5"/>
      </w:numPr>
      <w:spacing w:before="0" w:after="0"/>
    </w:pPr>
    <w:rPr>
      <w:lang w:eastAsia="ja-JP"/>
    </w:rPr>
  </w:style>
  <w:style w:type="paragraph" w:styleId="BalloonText">
    <w:name w:val="Balloon Text"/>
    <w:basedOn w:val="Normal"/>
    <w:link w:val="BalloonTextChar"/>
    <w:uiPriority w:val="99"/>
    <w:semiHidden/>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22D"/>
    <w:rPr>
      <w:rFonts w:ascii="Lucida Grande" w:eastAsia="Calibri" w:hAnsi="Lucida Grande" w:cs="Lucida Grande"/>
      <w:sz w:val="18"/>
      <w:szCs w:val="18"/>
      <w:lang w:val="en-GB"/>
    </w:rPr>
  </w:style>
  <w:style w:type="paragraph" w:customStyle="1" w:styleId="coverpageReporttitledescription">
    <w:name w:val="cover page 'Report title/description'"/>
    <w:rsid w:val="00CA18B5"/>
    <w:pPr>
      <w:keepLines/>
      <w:spacing w:before="1800" w:line="288" w:lineRule="auto"/>
      <w:ind w:left="3402"/>
      <w:contextualSpacing/>
      <w:textboxTightWrap w:val="firstLineOnly"/>
    </w:pPr>
    <w:rPr>
      <w:sz w:val="24"/>
    </w:rPr>
  </w:style>
  <w:style w:type="paragraph" w:customStyle="1" w:styleId="ECCEditorsNote">
    <w:name w:val="ECC Editor's Note"/>
    <w:next w:val="Normal"/>
    <w:qFormat/>
    <w:rsid w:val="00A26AC6"/>
    <w:pPr>
      <w:numPr>
        <w:numId w:val="8"/>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qFormat/>
    <w:rsid w:val="00CA18B5"/>
    <w:pPr>
      <w:spacing w:after="240"/>
      <w:jc w:val="center"/>
    </w:pPr>
    <w:rPr>
      <w:noProof/>
      <w:lang w:val="de-DE" w:eastAsia="de-DE"/>
      <w14:cntxtAlts/>
    </w:rPr>
  </w:style>
  <w:style w:type="paragraph" w:customStyle="1" w:styleId="coverpageapprovedDDMMYY">
    <w:name w:val="cover page 'approved DD MM YY'"/>
    <w:next w:val="coverpagelastupdatedDDMMYY"/>
    <w:rsid w:val="00DB17F9"/>
    <w:pPr>
      <w:spacing w:before="600"/>
      <w:ind w:left="3402"/>
    </w:pPr>
    <w:rPr>
      <w:b/>
      <w:sz w:val="18"/>
      <w:szCs w:val="18"/>
    </w:rPr>
  </w:style>
  <w:style w:type="paragraph" w:customStyle="1" w:styleId="coverpageECCReport">
    <w:name w:val="cover page 'ECC Report'"/>
    <w:link w:val="coverpageECCReportZchn"/>
    <w:semiHidden/>
    <w:rsid w:val="00A90997"/>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DefaultParagraphFont"/>
    <w:link w:val="coverpageECCReport"/>
    <w:semiHidden/>
    <w:rsid w:val="00A90997"/>
    <w:rPr>
      <w:rFonts w:eastAsia="Calibri"/>
      <w:color w:val="FFFFFF" w:themeColor="background1"/>
      <w:sz w:val="68"/>
      <w:szCs w:val="68"/>
      <w:shd w:val="clear" w:color="FFFFFF" w:themeColor="background1" w:fill="auto"/>
      <w:lang w:val="en-GB"/>
    </w:rPr>
  </w:style>
  <w:style w:type="character" w:customStyle="1" w:styleId="ECCHLyellow">
    <w:name w:val="ECC HL yellow"/>
    <w:basedOn w:val="DefaultParagraphFont"/>
    <w:uiPriority w:val="1"/>
    <w:qFormat/>
    <w:rsid w:val="00210414"/>
    <w:rPr>
      <w:rFonts w:eastAsia="Calibri"/>
      <w:i w:val="0"/>
      <w:szCs w:val="22"/>
      <w:bdr w:val="none" w:sz="0" w:space="0" w:color="auto"/>
      <w:shd w:val="solid" w:color="FFFF00" w:fill="auto"/>
      <w:lang w:val="en-GB"/>
    </w:rPr>
  </w:style>
  <w:style w:type="paragraph" w:customStyle="1" w:styleId="coverpageTableofContent">
    <w:name w:val="cover page 'Table of Content'"/>
    <w:semiHidden/>
    <w:rsid w:val="00E2303A"/>
    <w:pPr>
      <w:spacing w:after="240"/>
    </w:pPr>
    <w:rPr>
      <w:b/>
      <w:noProof/>
      <w:color w:val="FFFFFF" w:themeColor="background1"/>
      <w:lang w:val="de-DE" w:eastAsia="de-DE"/>
    </w:rPr>
  </w:style>
  <w:style w:type="paragraph" w:customStyle="1" w:styleId="ECCTableHeaderwhitefont">
    <w:name w:val="ECC Table Header white font"/>
    <w:qFormat/>
    <w:rsid w:val="003B1553"/>
    <w:pPr>
      <w:jc w:val="center"/>
    </w:pPr>
    <w:rPr>
      <w:rFonts w:eastAsia="Calibri"/>
      <w:bCs/>
      <w:color w:val="FFFFFF" w:themeColor="background1"/>
      <w:lang w:val="en-GB" w:eastAsia="de-DE"/>
    </w:rPr>
  </w:style>
  <w:style w:type="paragraph" w:customStyle="1" w:styleId="ECCTabletext">
    <w:name w:val="ECC Table text"/>
    <w:basedOn w:val="Normal"/>
    <w:qFormat/>
    <w:rsid w:val="00A90997"/>
    <w:pPr>
      <w:spacing w:before="0"/>
    </w:pPr>
  </w:style>
  <w:style w:type="paragraph" w:styleId="Signature">
    <w:name w:val="Signature"/>
    <w:basedOn w:val="Normal"/>
    <w:link w:val="SignatureChar"/>
    <w:uiPriority w:val="99"/>
    <w:semiHidden/>
    <w:locked/>
    <w:rsid w:val="007D52EC"/>
    <w:pPr>
      <w:spacing w:before="0" w:after="0"/>
      <w:ind w:left="4252"/>
    </w:pPr>
  </w:style>
  <w:style w:type="paragraph" w:customStyle="1" w:styleId="ECCTableHeaderredfont">
    <w:name w:val="ECC Table Header red font"/>
    <w:qFormat/>
    <w:rsid w:val="003B1553"/>
    <w:pPr>
      <w:spacing w:before="120" w:after="120"/>
      <w:jc w:val="left"/>
    </w:pPr>
    <w:rPr>
      <w:rFonts w:eastAsia="Calibri"/>
      <w:bCs/>
      <w:color w:val="D2232A"/>
      <w:lang w:val="en-GB" w:eastAsia="de-DE"/>
    </w:rPr>
  </w:style>
  <w:style w:type="character" w:customStyle="1" w:styleId="SignatureChar">
    <w:name w:val="Signature Char"/>
    <w:basedOn w:val="DefaultParagraphFont"/>
    <w:link w:val="Signature"/>
    <w:uiPriority w:val="99"/>
    <w:semiHidden/>
    <w:rsid w:val="009B022D"/>
    <w:rPr>
      <w:rFonts w:eastAsia="Calibri"/>
      <w:szCs w:val="22"/>
      <w:lang w:val="en-GB"/>
    </w:rPr>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HLbold">
    <w:name w:val="ECC HL bold"/>
    <w:uiPriority w:val="1"/>
    <w:qFormat/>
    <w:rsid w:val="00CA5782"/>
    <w:rPr>
      <w:b/>
      <w:bCs w:val="0"/>
    </w:rPr>
  </w:style>
  <w:style w:type="character" w:styleId="IntenseReference">
    <w:name w:val="Intense Reference"/>
    <w:aliases w:val="cover page 'Report No'"/>
    <w:basedOn w:val="DefaultParagraphFont"/>
    <w:qFormat/>
    <w:rsid w:val="00980DFC"/>
    <w:rPr>
      <w:b/>
      <w:bCs/>
      <w:caps w:val="0"/>
      <w:smallCaps w:val="0"/>
      <w:color w:val="632423" w:themeColor="accent2" w:themeShade="80"/>
      <w:spacing w:val="5"/>
      <w:u w:val="none"/>
      <w:bdr w:val="none" w:sz="0" w:space="0" w:color="auto"/>
      <w:vertAlign w:val="baseline"/>
    </w:rPr>
  </w:style>
  <w:style w:type="character" w:styleId="Emphasis">
    <w:name w:val="Emphasis"/>
    <w:aliases w:val="ECC HL italics"/>
    <w:uiPriority w:val="1"/>
    <w:qFormat/>
    <w:rsid w:val="00C418C5"/>
    <w:rPr>
      <w:i/>
    </w:rPr>
  </w:style>
  <w:style w:type="character" w:customStyle="1" w:styleId="TOC1Char">
    <w:name w:val="TOC 1 Char"/>
    <w:aliases w:val="ECC Index 1 Char"/>
    <w:basedOn w:val="DefaultParagraphFont"/>
    <w:link w:val="TOC1"/>
    <w:uiPriority w:val="39"/>
    <w:semiHidden/>
    <w:rsid w:val="00471F0A"/>
    <w:rPr>
      <w:rFonts w:eastAsia="Calibri"/>
      <w:b/>
      <w:lang w:val="en-GB"/>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CD1F81"/>
    <w:rPr>
      <w:iCs w:val="0"/>
      <w:bdr w:val="none" w:sz="0" w:space="0" w:color="auto"/>
      <w:shd w:val="solid" w:color="00FFFF" w:fill="auto"/>
      <w:lang w:val="en-GB"/>
    </w:rPr>
  </w:style>
  <w:style w:type="character" w:customStyle="1" w:styleId="ECCHLorange">
    <w:name w:val="ECC HL orange"/>
    <w:basedOn w:val="DefaultParagraphFont"/>
    <w:uiPriority w:val="1"/>
    <w:qFormat/>
    <w:rsid w:val="00CD1F81"/>
    <w:rPr>
      <w:bdr w:val="none" w:sz="0" w:space="0" w:color="auto"/>
      <w:shd w:val="solid" w:color="FFC000" w:fill="auto"/>
    </w:rPr>
  </w:style>
  <w:style w:type="character" w:customStyle="1" w:styleId="ECCHLblue">
    <w:name w:val="ECC HL blue"/>
    <w:basedOn w:val="DefaultParagraphFont"/>
    <w:uiPriority w:val="1"/>
    <w:qFormat/>
    <w:rsid w:val="00210414"/>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CD1F81"/>
    <w:rPr>
      <w:iCs w:val="0"/>
      <w:color w:val="FFFFFF" w:themeColor="background1"/>
      <w:bdr w:val="none" w:sz="0" w:space="0" w:color="auto"/>
      <w:shd w:val="solid" w:color="008080" w:fill="auto"/>
    </w:rPr>
  </w:style>
  <w:style w:type="paragraph" w:styleId="ListParagraph">
    <w:name w:val="List Paragraph"/>
    <w:basedOn w:val="Normal"/>
    <w:uiPriority w:val="34"/>
    <w:semiHidden/>
    <w:qFormat/>
    <w:locked/>
    <w:rsid w:val="005C5A96"/>
    <w:pPr>
      <w:ind w:left="720"/>
      <w:contextualSpacing/>
    </w:pPr>
  </w:style>
  <w:style w:type="character" w:customStyle="1" w:styleId="ECCHLsubscript">
    <w:name w:val="ECC HL subscript"/>
    <w:uiPriority w:val="1"/>
    <w:rsid w:val="00C418C5"/>
    <w:rPr>
      <w:vertAlign w:val="subscript"/>
    </w:rPr>
  </w:style>
  <w:style w:type="character" w:customStyle="1" w:styleId="ECCHLsuperscript">
    <w:name w:val="ECC HL superscript"/>
    <w:uiPriority w:val="1"/>
    <w:rsid w:val="00C418C5"/>
    <w:rPr>
      <w:vertAlign w:val="superscript"/>
    </w:rPr>
  </w:style>
  <w:style w:type="character" w:customStyle="1" w:styleId="ECCHLmagenta">
    <w:name w:val="ECC HL magenta"/>
    <w:basedOn w:val="DefaultParagraphFont"/>
    <w:uiPriority w:val="1"/>
    <w:qFormat/>
    <w:rsid w:val="00CD1F81"/>
    <w:rPr>
      <w:color w:val="auto"/>
      <w:bdr w:val="none" w:sz="0" w:space="0" w:color="auto"/>
      <w:shd w:val="solid" w:color="FF3399" w:fill="auto"/>
      <w:lang w:val="en-GB"/>
    </w:rPr>
  </w:style>
  <w:style w:type="character" w:customStyle="1" w:styleId="ECCHLbrown">
    <w:name w:val="ECC HL brown"/>
    <w:basedOn w:val="DefaultParagraphFont"/>
    <w:uiPriority w:val="1"/>
    <w:qFormat/>
    <w:rsid w:val="00CD1F81"/>
    <w:rPr>
      <w:color w:val="D9D9D9" w:themeColor="background1" w:themeShade="D9"/>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rsid w:val="007F3990"/>
    <w:pPr>
      <w:tabs>
        <w:tab w:val="left" w:pos="0"/>
        <w:tab w:val="center" w:pos="4820"/>
        <w:tab w:val="right" w:pos="9639"/>
      </w:tabs>
    </w:pPr>
    <w:rPr>
      <w:rFonts w:cs="Arial"/>
      <w:b/>
      <w:bCs/>
      <w:caps/>
      <w:color w:val="D2232A"/>
      <w:kern w:val="32"/>
      <w:szCs w:val="32"/>
    </w:rPr>
  </w:style>
  <w:style w:type="character" w:customStyle="1" w:styleId="ECCParagraph">
    <w:name w:val="ECC Paragraph"/>
    <w:basedOn w:val="DefaultParagraphFont"/>
    <w:uiPriority w:val="1"/>
    <w:qFormat/>
    <w:rsid w:val="00BF7BF1"/>
    <w:rPr>
      <w:rFonts w:ascii="Arial" w:hAnsi="Arial"/>
      <w:noProof w:val="0"/>
      <w:sz w:val="20"/>
      <w:bdr w:val="none" w:sz="0" w:space="0" w:color="auto"/>
      <w:lang w:val="en-GB"/>
    </w:rPr>
  </w:style>
  <w:style w:type="character" w:customStyle="1" w:styleId="ECCHLunderlined">
    <w:name w:val="ECC HL underlined"/>
    <w:uiPriority w:val="1"/>
    <w:qFormat/>
    <w:rsid w:val="00C418C5"/>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442828"/>
    <w:pPr>
      <w:jc w:val="left"/>
    </w:pPr>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442828"/>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clean">
    <w:name w:val="ECC Table - clean"/>
    <w:uiPriority w:val="99"/>
    <w:rsid w:val="001555E1"/>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grey">
    <w:name w:val="ECC HL grey"/>
    <w:uiPriority w:val="1"/>
    <w:qFormat/>
    <w:rsid w:val="00CD1F81"/>
    <w:rPr>
      <w:bdr w:val="none" w:sz="0" w:space="0" w:color="auto"/>
      <w:shd w:val="solid" w:color="BFBFBF" w:themeColor="background1" w:themeShade="BF" w:fill="auto"/>
    </w:rPr>
  </w:style>
  <w:style w:type="table" w:styleId="TableGrid">
    <w:name w:val="Table Grid"/>
    <w:basedOn w:val="TableNormal"/>
    <w:locked/>
    <w:rsid w:val="001B19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locked/>
    <w:rsid w:val="00B61952"/>
    <w:pPr>
      <w:spacing w:before="0" w:after="0"/>
      <w:ind w:left="600"/>
    </w:pPr>
    <w:rPr>
      <w:rFonts w:asciiTheme="minorHAnsi" w:hAnsiTheme="minorHAnsi"/>
      <w:szCs w:val="20"/>
    </w:rPr>
  </w:style>
  <w:style w:type="paragraph" w:styleId="TOC6">
    <w:name w:val="toc 6"/>
    <w:basedOn w:val="Normal"/>
    <w:next w:val="Normal"/>
    <w:autoRedefine/>
    <w:uiPriority w:val="39"/>
    <w:semiHidden/>
    <w:locked/>
    <w:rsid w:val="00B61952"/>
    <w:pPr>
      <w:spacing w:before="0" w:after="0"/>
      <w:ind w:left="800"/>
    </w:pPr>
    <w:rPr>
      <w:rFonts w:asciiTheme="minorHAnsi" w:hAnsiTheme="minorHAnsi"/>
      <w:szCs w:val="20"/>
    </w:rPr>
  </w:style>
  <w:style w:type="paragraph" w:styleId="TOC7">
    <w:name w:val="toc 7"/>
    <w:basedOn w:val="Normal"/>
    <w:next w:val="Normal"/>
    <w:autoRedefine/>
    <w:uiPriority w:val="39"/>
    <w:semiHidden/>
    <w:locked/>
    <w:rsid w:val="00B61952"/>
    <w:pPr>
      <w:spacing w:before="0" w:after="0"/>
      <w:ind w:left="1000"/>
    </w:pPr>
    <w:rPr>
      <w:rFonts w:asciiTheme="minorHAnsi" w:hAnsiTheme="minorHAnsi"/>
      <w:szCs w:val="20"/>
    </w:rPr>
  </w:style>
  <w:style w:type="paragraph" w:styleId="TOC8">
    <w:name w:val="toc 8"/>
    <w:basedOn w:val="Normal"/>
    <w:next w:val="Normal"/>
    <w:autoRedefine/>
    <w:uiPriority w:val="39"/>
    <w:semiHidden/>
    <w:locked/>
    <w:rsid w:val="00B61952"/>
    <w:pPr>
      <w:spacing w:before="0" w:after="0"/>
      <w:ind w:left="1200"/>
    </w:pPr>
    <w:rPr>
      <w:rFonts w:asciiTheme="minorHAnsi" w:hAnsiTheme="minorHAnsi"/>
      <w:szCs w:val="20"/>
    </w:rPr>
  </w:style>
  <w:style w:type="paragraph" w:styleId="TOC9">
    <w:name w:val="toc 9"/>
    <w:basedOn w:val="Normal"/>
    <w:next w:val="Normal"/>
    <w:autoRedefine/>
    <w:uiPriority w:val="39"/>
    <w:semiHidden/>
    <w:locked/>
    <w:rsid w:val="00B61952"/>
    <w:pPr>
      <w:spacing w:before="0" w:after="0"/>
      <w:ind w:left="1400"/>
    </w:pPr>
    <w:rPr>
      <w:rFonts w:asciiTheme="minorHAnsi" w:hAnsiTheme="minorHAnsi"/>
      <w:szCs w:val="20"/>
    </w:rPr>
  </w:style>
  <w:style w:type="paragraph" w:styleId="Footer">
    <w:name w:val="footer"/>
    <w:basedOn w:val="Normal"/>
    <w:link w:val="FooterChar"/>
    <w:uiPriority w:val="99"/>
    <w:semiHidden/>
    <w:locked/>
    <w:rsid w:val="000F0A57"/>
    <w:pPr>
      <w:tabs>
        <w:tab w:val="center" w:pos="4536"/>
        <w:tab w:val="right" w:pos="9072"/>
      </w:tabs>
      <w:spacing w:before="0" w:after="0"/>
    </w:pPr>
  </w:style>
  <w:style w:type="character" w:customStyle="1" w:styleId="FooterChar">
    <w:name w:val="Footer Char"/>
    <w:basedOn w:val="DefaultParagraphFont"/>
    <w:link w:val="Footer"/>
    <w:uiPriority w:val="99"/>
    <w:semiHidden/>
    <w:rsid w:val="009B022D"/>
    <w:rPr>
      <w:rFonts w:eastAsia="Calibri"/>
      <w:szCs w:val="22"/>
      <w:lang w:val="en-GB"/>
    </w:rPr>
  </w:style>
  <w:style w:type="character" w:styleId="Strong">
    <w:name w:val="Strong"/>
    <w:basedOn w:val="DefaultParagraphFont"/>
    <w:semiHidden/>
    <w:qFormat/>
    <w:locked/>
    <w:rsid w:val="005E71F3"/>
    <w:rPr>
      <w:b/>
      <w:bCs/>
    </w:rPr>
  </w:style>
  <w:style w:type="character" w:styleId="CommentReference">
    <w:name w:val="annotation reference"/>
    <w:basedOn w:val="DefaultParagraphFont"/>
    <w:uiPriority w:val="99"/>
    <w:semiHidden/>
    <w:locked/>
    <w:rsid w:val="0083260A"/>
    <w:rPr>
      <w:sz w:val="16"/>
      <w:szCs w:val="16"/>
    </w:rPr>
  </w:style>
  <w:style w:type="paragraph" w:styleId="CommentText">
    <w:name w:val="annotation text"/>
    <w:basedOn w:val="Normal"/>
    <w:link w:val="CommentTextChar"/>
    <w:uiPriority w:val="99"/>
    <w:semiHidden/>
    <w:locked/>
    <w:rsid w:val="0083260A"/>
    <w:rPr>
      <w:szCs w:val="20"/>
    </w:rPr>
  </w:style>
  <w:style w:type="character" w:customStyle="1" w:styleId="CommentTextChar">
    <w:name w:val="Comment Text Char"/>
    <w:basedOn w:val="DefaultParagraphFont"/>
    <w:link w:val="CommentText"/>
    <w:uiPriority w:val="99"/>
    <w:semiHidden/>
    <w:rsid w:val="0083260A"/>
    <w:rPr>
      <w:rFonts w:eastAsia="Calibri"/>
      <w:lang w:val="en-GB"/>
    </w:rPr>
  </w:style>
  <w:style w:type="paragraph" w:styleId="CommentSubject">
    <w:name w:val="annotation subject"/>
    <w:basedOn w:val="CommentText"/>
    <w:next w:val="CommentText"/>
    <w:link w:val="CommentSubjectChar"/>
    <w:uiPriority w:val="99"/>
    <w:semiHidden/>
    <w:locked/>
    <w:rsid w:val="0083260A"/>
    <w:rPr>
      <w:b/>
      <w:bCs/>
    </w:rPr>
  </w:style>
  <w:style w:type="character" w:customStyle="1" w:styleId="CommentSubjectChar">
    <w:name w:val="Comment Subject Char"/>
    <w:basedOn w:val="CommentTextChar"/>
    <w:link w:val="CommentSubject"/>
    <w:uiPriority w:val="99"/>
    <w:semiHidden/>
    <w:rsid w:val="0083260A"/>
    <w:rPr>
      <w:rFonts w:eastAsia="Calibri"/>
      <w:b/>
      <w:bCs/>
      <w:lang w:val="en-GB"/>
    </w:rPr>
  </w:style>
  <w:style w:type="paragraph" w:styleId="Revision">
    <w:name w:val="Revision"/>
    <w:hidden/>
    <w:uiPriority w:val="99"/>
    <w:semiHidden/>
    <w:rsid w:val="00B862CD"/>
    <w:pPr>
      <w:spacing w:before="0" w:after="0"/>
      <w:jc w:val="left"/>
    </w:pPr>
    <w:rPr>
      <w:rFonts w:eastAsia="Calibri"/>
      <w:szCs w:val="22"/>
      <w:lang w:val="en-GB"/>
    </w:rPr>
  </w:style>
  <w:style w:type="character" w:styleId="FollowedHyperlink">
    <w:name w:val="FollowedHyperlink"/>
    <w:basedOn w:val="DefaultParagraphFont"/>
    <w:uiPriority w:val="99"/>
    <w:semiHidden/>
    <w:unhideWhenUsed/>
    <w:locked/>
    <w:rsid w:val="006543AA"/>
    <w:rPr>
      <w:color w:val="800080" w:themeColor="followedHyperlink"/>
      <w:u w:val="single"/>
    </w:rPr>
  </w:style>
  <w:style w:type="paragraph" w:styleId="NormalWeb">
    <w:name w:val="Normal (Web)"/>
    <w:basedOn w:val="Normal"/>
    <w:uiPriority w:val="99"/>
    <w:semiHidden/>
    <w:unhideWhenUsed/>
    <w:locked/>
    <w:rsid w:val="00633484"/>
    <w:rPr>
      <w:rFonts w:ascii="Times New Roman" w:hAnsi="Times New Roman"/>
      <w:sz w:val="24"/>
      <w:szCs w:val="24"/>
    </w:rPr>
  </w:style>
  <w:style w:type="character" w:customStyle="1" w:styleId="Heading9Char">
    <w:name w:val="Heading 9 Char"/>
    <w:basedOn w:val="DefaultParagraphFont"/>
    <w:link w:val="Heading9"/>
    <w:semiHidden/>
    <w:rsid w:val="00E9777B"/>
    <w:rPr>
      <w:rFonts w:eastAsia="Calibri"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1483">
      <w:bodyDiv w:val="1"/>
      <w:marLeft w:val="0"/>
      <w:marRight w:val="0"/>
      <w:marTop w:val="0"/>
      <w:marBottom w:val="0"/>
      <w:divBdr>
        <w:top w:val="none" w:sz="0" w:space="0" w:color="auto"/>
        <w:left w:val="none" w:sz="0" w:space="0" w:color="auto"/>
        <w:bottom w:val="none" w:sz="0" w:space="0" w:color="auto"/>
        <w:right w:val="none" w:sz="0" w:space="0" w:color="auto"/>
      </w:divBdr>
    </w:div>
    <w:div w:id="15547473">
      <w:bodyDiv w:val="1"/>
      <w:marLeft w:val="0"/>
      <w:marRight w:val="0"/>
      <w:marTop w:val="0"/>
      <w:marBottom w:val="0"/>
      <w:divBdr>
        <w:top w:val="none" w:sz="0" w:space="0" w:color="auto"/>
        <w:left w:val="none" w:sz="0" w:space="0" w:color="auto"/>
        <w:bottom w:val="none" w:sz="0" w:space="0" w:color="auto"/>
        <w:right w:val="none" w:sz="0" w:space="0" w:color="auto"/>
      </w:divBdr>
    </w:div>
    <w:div w:id="84687454">
      <w:bodyDiv w:val="1"/>
      <w:marLeft w:val="0"/>
      <w:marRight w:val="0"/>
      <w:marTop w:val="0"/>
      <w:marBottom w:val="0"/>
      <w:divBdr>
        <w:top w:val="none" w:sz="0" w:space="0" w:color="auto"/>
        <w:left w:val="none" w:sz="0" w:space="0" w:color="auto"/>
        <w:bottom w:val="none" w:sz="0" w:space="0" w:color="auto"/>
        <w:right w:val="none" w:sz="0" w:space="0" w:color="auto"/>
      </w:divBdr>
    </w:div>
    <w:div w:id="148668278">
      <w:bodyDiv w:val="1"/>
      <w:marLeft w:val="0"/>
      <w:marRight w:val="0"/>
      <w:marTop w:val="0"/>
      <w:marBottom w:val="0"/>
      <w:divBdr>
        <w:top w:val="none" w:sz="0" w:space="0" w:color="auto"/>
        <w:left w:val="none" w:sz="0" w:space="0" w:color="auto"/>
        <w:bottom w:val="none" w:sz="0" w:space="0" w:color="auto"/>
        <w:right w:val="none" w:sz="0" w:space="0" w:color="auto"/>
      </w:divBdr>
    </w:div>
    <w:div w:id="177038533">
      <w:bodyDiv w:val="1"/>
      <w:marLeft w:val="0"/>
      <w:marRight w:val="0"/>
      <w:marTop w:val="0"/>
      <w:marBottom w:val="0"/>
      <w:divBdr>
        <w:top w:val="none" w:sz="0" w:space="0" w:color="auto"/>
        <w:left w:val="none" w:sz="0" w:space="0" w:color="auto"/>
        <w:bottom w:val="none" w:sz="0" w:space="0" w:color="auto"/>
        <w:right w:val="none" w:sz="0" w:space="0" w:color="auto"/>
      </w:divBdr>
    </w:div>
    <w:div w:id="271713414">
      <w:bodyDiv w:val="1"/>
      <w:marLeft w:val="0"/>
      <w:marRight w:val="0"/>
      <w:marTop w:val="0"/>
      <w:marBottom w:val="0"/>
      <w:divBdr>
        <w:top w:val="none" w:sz="0" w:space="0" w:color="auto"/>
        <w:left w:val="none" w:sz="0" w:space="0" w:color="auto"/>
        <w:bottom w:val="none" w:sz="0" w:space="0" w:color="auto"/>
        <w:right w:val="none" w:sz="0" w:space="0" w:color="auto"/>
      </w:divBdr>
    </w:div>
    <w:div w:id="316374946">
      <w:bodyDiv w:val="1"/>
      <w:marLeft w:val="0"/>
      <w:marRight w:val="0"/>
      <w:marTop w:val="0"/>
      <w:marBottom w:val="0"/>
      <w:divBdr>
        <w:top w:val="none" w:sz="0" w:space="0" w:color="auto"/>
        <w:left w:val="none" w:sz="0" w:space="0" w:color="auto"/>
        <w:bottom w:val="none" w:sz="0" w:space="0" w:color="auto"/>
        <w:right w:val="none" w:sz="0" w:space="0" w:color="auto"/>
      </w:divBdr>
    </w:div>
    <w:div w:id="378818161">
      <w:bodyDiv w:val="1"/>
      <w:marLeft w:val="0"/>
      <w:marRight w:val="0"/>
      <w:marTop w:val="0"/>
      <w:marBottom w:val="0"/>
      <w:divBdr>
        <w:top w:val="none" w:sz="0" w:space="0" w:color="auto"/>
        <w:left w:val="none" w:sz="0" w:space="0" w:color="auto"/>
        <w:bottom w:val="none" w:sz="0" w:space="0" w:color="auto"/>
        <w:right w:val="none" w:sz="0" w:space="0" w:color="auto"/>
      </w:divBdr>
    </w:div>
    <w:div w:id="425688121">
      <w:bodyDiv w:val="1"/>
      <w:marLeft w:val="0"/>
      <w:marRight w:val="0"/>
      <w:marTop w:val="0"/>
      <w:marBottom w:val="0"/>
      <w:divBdr>
        <w:top w:val="none" w:sz="0" w:space="0" w:color="auto"/>
        <w:left w:val="none" w:sz="0" w:space="0" w:color="auto"/>
        <w:bottom w:val="none" w:sz="0" w:space="0" w:color="auto"/>
        <w:right w:val="none" w:sz="0" w:space="0" w:color="auto"/>
      </w:divBdr>
    </w:div>
    <w:div w:id="497885892">
      <w:bodyDiv w:val="1"/>
      <w:marLeft w:val="0"/>
      <w:marRight w:val="0"/>
      <w:marTop w:val="0"/>
      <w:marBottom w:val="0"/>
      <w:divBdr>
        <w:top w:val="none" w:sz="0" w:space="0" w:color="auto"/>
        <w:left w:val="none" w:sz="0" w:space="0" w:color="auto"/>
        <w:bottom w:val="none" w:sz="0" w:space="0" w:color="auto"/>
        <w:right w:val="none" w:sz="0" w:space="0" w:color="auto"/>
      </w:divBdr>
    </w:div>
    <w:div w:id="521633736">
      <w:bodyDiv w:val="1"/>
      <w:marLeft w:val="0"/>
      <w:marRight w:val="0"/>
      <w:marTop w:val="0"/>
      <w:marBottom w:val="0"/>
      <w:divBdr>
        <w:top w:val="none" w:sz="0" w:space="0" w:color="auto"/>
        <w:left w:val="none" w:sz="0" w:space="0" w:color="auto"/>
        <w:bottom w:val="none" w:sz="0" w:space="0" w:color="auto"/>
        <w:right w:val="none" w:sz="0" w:space="0" w:color="auto"/>
      </w:divBdr>
    </w:div>
    <w:div w:id="534973894">
      <w:bodyDiv w:val="1"/>
      <w:marLeft w:val="0"/>
      <w:marRight w:val="0"/>
      <w:marTop w:val="0"/>
      <w:marBottom w:val="0"/>
      <w:divBdr>
        <w:top w:val="none" w:sz="0" w:space="0" w:color="auto"/>
        <w:left w:val="none" w:sz="0" w:space="0" w:color="auto"/>
        <w:bottom w:val="none" w:sz="0" w:space="0" w:color="auto"/>
        <w:right w:val="none" w:sz="0" w:space="0" w:color="auto"/>
      </w:divBdr>
    </w:div>
    <w:div w:id="579296507">
      <w:bodyDiv w:val="1"/>
      <w:marLeft w:val="0"/>
      <w:marRight w:val="0"/>
      <w:marTop w:val="0"/>
      <w:marBottom w:val="0"/>
      <w:divBdr>
        <w:top w:val="none" w:sz="0" w:space="0" w:color="auto"/>
        <w:left w:val="none" w:sz="0" w:space="0" w:color="auto"/>
        <w:bottom w:val="none" w:sz="0" w:space="0" w:color="auto"/>
        <w:right w:val="none" w:sz="0" w:space="0" w:color="auto"/>
      </w:divBdr>
    </w:div>
    <w:div w:id="604970622">
      <w:bodyDiv w:val="1"/>
      <w:marLeft w:val="0"/>
      <w:marRight w:val="0"/>
      <w:marTop w:val="0"/>
      <w:marBottom w:val="0"/>
      <w:divBdr>
        <w:top w:val="none" w:sz="0" w:space="0" w:color="auto"/>
        <w:left w:val="none" w:sz="0" w:space="0" w:color="auto"/>
        <w:bottom w:val="none" w:sz="0" w:space="0" w:color="auto"/>
        <w:right w:val="none" w:sz="0" w:space="0" w:color="auto"/>
      </w:divBdr>
    </w:div>
    <w:div w:id="616377027">
      <w:bodyDiv w:val="1"/>
      <w:marLeft w:val="0"/>
      <w:marRight w:val="0"/>
      <w:marTop w:val="0"/>
      <w:marBottom w:val="0"/>
      <w:divBdr>
        <w:top w:val="none" w:sz="0" w:space="0" w:color="auto"/>
        <w:left w:val="none" w:sz="0" w:space="0" w:color="auto"/>
        <w:bottom w:val="none" w:sz="0" w:space="0" w:color="auto"/>
        <w:right w:val="none" w:sz="0" w:space="0" w:color="auto"/>
      </w:divBdr>
    </w:div>
    <w:div w:id="658387392">
      <w:bodyDiv w:val="1"/>
      <w:marLeft w:val="0"/>
      <w:marRight w:val="0"/>
      <w:marTop w:val="0"/>
      <w:marBottom w:val="0"/>
      <w:divBdr>
        <w:top w:val="none" w:sz="0" w:space="0" w:color="auto"/>
        <w:left w:val="none" w:sz="0" w:space="0" w:color="auto"/>
        <w:bottom w:val="none" w:sz="0" w:space="0" w:color="auto"/>
        <w:right w:val="none" w:sz="0" w:space="0" w:color="auto"/>
      </w:divBdr>
    </w:div>
    <w:div w:id="664822313">
      <w:bodyDiv w:val="1"/>
      <w:marLeft w:val="0"/>
      <w:marRight w:val="0"/>
      <w:marTop w:val="0"/>
      <w:marBottom w:val="0"/>
      <w:divBdr>
        <w:top w:val="none" w:sz="0" w:space="0" w:color="auto"/>
        <w:left w:val="none" w:sz="0" w:space="0" w:color="auto"/>
        <w:bottom w:val="none" w:sz="0" w:space="0" w:color="auto"/>
        <w:right w:val="none" w:sz="0" w:space="0" w:color="auto"/>
      </w:divBdr>
    </w:div>
    <w:div w:id="671103397">
      <w:bodyDiv w:val="1"/>
      <w:marLeft w:val="0"/>
      <w:marRight w:val="0"/>
      <w:marTop w:val="0"/>
      <w:marBottom w:val="0"/>
      <w:divBdr>
        <w:top w:val="none" w:sz="0" w:space="0" w:color="auto"/>
        <w:left w:val="none" w:sz="0" w:space="0" w:color="auto"/>
        <w:bottom w:val="none" w:sz="0" w:space="0" w:color="auto"/>
        <w:right w:val="none" w:sz="0" w:space="0" w:color="auto"/>
      </w:divBdr>
    </w:div>
    <w:div w:id="678431308">
      <w:bodyDiv w:val="1"/>
      <w:marLeft w:val="0"/>
      <w:marRight w:val="0"/>
      <w:marTop w:val="0"/>
      <w:marBottom w:val="0"/>
      <w:divBdr>
        <w:top w:val="none" w:sz="0" w:space="0" w:color="auto"/>
        <w:left w:val="none" w:sz="0" w:space="0" w:color="auto"/>
        <w:bottom w:val="none" w:sz="0" w:space="0" w:color="auto"/>
        <w:right w:val="none" w:sz="0" w:space="0" w:color="auto"/>
      </w:divBdr>
    </w:div>
    <w:div w:id="682635011">
      <w:bodyDiv w:val="1"/>
      <w:marLeft w:val="0"/>
      <w:marRight w:val="0"/>
      <w:marTop w:val="0"/>
      <w:marBottom w:val="0"/>
      <w:divBdr>
        <w:top w:val="none" w:sz="0" w:space="0" w:color="auto"/>
        <w:left w:val="none" w:sz="0" w:space="0" w:color="auto"/>
        <w:bottom w:val="none" w:sz="0" w:space="0" w:color="auto"/>
        <w:right w:val="none" w:sz="0" w:space="0" w:color="auto"/>
      </w:divBdr>
    </w:div>
    <w:div w:id="763187467">
      <w:bodyDiv w:val="1"/>
      <w:marLeft w:val="0"/>
      <w:marRight w:val="0"/>
      <w:marTop w:val="0"/>
      <w:marBottom w:val="0"/>
      <w:divBdr>
        <w:top w:val="none" w:sz="0" w:space="0" w:color="auto"/>
        <w:left w:val="none" w:sz="0" w:space="0" w:color="auto"/>
        <w:bottom w:val="none" w:sz="0" w:space="0" w:color="auto"/>
        <w:right w:val="none" w:sz="0" w:space="0" w:color="auto"/>
      </w:divBdr>
    </w:div>
    <w:div w:id="783036959">
      <w:bodyDiv w:val="1"/>
      <w:marLeft w:val="0"/>
      <w:marRight w:val="0"/>
      <w:marTop w:val="0"/>
      <w:marBottom w:val="0"/>
      <w:divBdr>
        <w:top w:val="none" w:sz="0" w:space="0" w:color="auto"/>
        <w:left w:val="none" w:sz="0" w:space="0" w:color="auto"/>
        <w:bottom w:val="none" w:sz="0" w:space="0" w:color="auto"/>
        <w:right w:val="none" w:sz="0" w:space="0" w:color="auto"/>
      </w:divBdr>
    </w:div>
    <w:div w:id="789320967">
      <w:bodyDiv w:val="1"/>
      <w:marLeft w:val="0"/>
      <w:marRight w:val="0"/>
      <w:marTop w:val="0"/>
      <w:marBottom w:val="0"/>
      <w:divBdr>
        <w:top w:val="none" w:sz="0" w:space="0" w:color="auto"/>
        <w:left w:val="none" w:sz="0" w:space="0" w:color="auto"/>
        <w:bottom w:val="none" w:sz="0" w:space="0" w:color="auto"/>
        <w:right w:val="none" w:sz="0" w:space="0" w:color="auto"/>
      </w:divBdr>
    </w:div>
    <w:div w:id="879898805">
      <w:bodyDiv w:val="1"/>
      <w:marLeft w:val="0"/>
      <w:marRight w:val="0"/>
      <w:marTop w:val="0"/>
      <w:marBottom w:val="0"/>
      <w:divBdr>
        <w:top w:val="none" w:sz="0" w:space="0" w:color="auto"/>
        <w:left w:val="none" w:sz="0" w:space="0" w:color="auto"/>
        <w:bottom w:val="none" w:sz="0" w:space="0" w:color="auto"/>
        <w:right w:val="none" w:sz="0" w:space="0" w:color="auto"/>
      </w:divBdr>
      <w:divsChild>
        <w:div w:id="1563516479">
          <w:marLeft w:val="0"/>
          <w:marRight w:val="0"/>
          <w:marTop w:val="0"/>
          <w:marBottom w:val="0"/>
          <w:divBdr>
            <w:top w:val="none" w:sz="0" w:space="0" w:color="auto"/>
            <w:left w:val="none" w:sz="0" w:space="0" w:color="auto"/>
            <w:bottom w:val="none" w:sz="0" w:space="0" w:color="auto"/>
            <w:right w:val="none" w:sz="0" w:space="0" w:color="auto"/>
          </w:divBdr>
        </w:div>
      </w:divsChild>
    </w:div>
    <w:div w:id="907879763">
      <w:bodyDiv w:val="1"/>
      <w:marLeft w:val="0"/>
      <w:marRight w:val="0"/>
      <w:marTop w:val="0"/>
      <w:marBottom w:val="0"/>
      <w:divBdr>
        <w:top w:val="none" w:sz="0" w:space="0" w:color="auto"/>
        <w:left w:val="none" w:sz="0" w:space="0" w:color="auto"/>
        <w:bottom w:val="none" w:sz="0" w:space="0" w:color="auto"/>
        <w:right w:val="none" w:sz="0" w:space="0" w:color="auto"/>
      </w:divBdr>
    </w:div>
    <w:div w:id="940528645">
      <w:bodyDiv w:val="1"/>
      <w:marLeft w:val="0"/>
      <w:marRight w:val="0"/>
      <w:marTop w:val="0"/>
      <w:marBottom w:val="0"/>
      <w:divBdr>
        <w:top w:val="none" w:sz="0" w:space="0" w:color="auto"/>
        <w:left w:val="none" w:sz="0" w:space="0" w:color="auto"/>
        <w:bottom w:val="none" w:sz="0" w:space="0" w:color="auto"/>
        <w:right w:val="none" w:sz="0" w:space="0" w:color="auto"/>
      </w:divBdr>
    </w:div>
    <w:div w:id="975254859">
      <w:bodyDiv w:val="1"/>
      <w:marLeft w:val="0"/>
      <w:marRight w:val="0"/>
      <w:marTop w:val="0"/>
      <w:marBottom w:val="0"/>
      <w:divBdr>
        <w:top w:val="none" w:sz="0" w:space="0" w:color="auto"/>
        <w:left w:val="none" w:sz="0" w:space="0" w:color="auto"/>
        <w:bottom w:val="none" w:sz="0" w:space="0" w:color="auto"/>
        <w:right w:val="none" w:sz="0" w:space="0" w:color="auto"/>
      </w:divBdr>
    </w:div>
    <w:div w:id="1015309436">
      <w:bodyDiv w:val="1"/>
      <w:marLeft w:val="0"/>
      <w:marRight w:val="0"/>
      <w:marTop w:val="0"/>
      <w:marBottom w:val="0"/>
      <w:divBdr>
        <w:top w:val="none" w:sz="0" w:space="0" w:color="auto"/>
        <w:left w:val="none" w:sz="0" w:space="0" w:color="auto"/>
        <w:bottom w:val="none" w:sz="0" w:space="0" w:color="auto"/>
        <w:right w:val="none" w:sz="0" w:space="0" w:color="auto"/>
      </w:divBdr>
    </w:div>
    <w:div w:id="1041442475">
      <w:bodyDiv w:val="1"/>
      <w:marLeft w:val="0"/>
      <w:marRight w:val="0"/>
      <w:marTop w:val="0"/>
      <w:marBottom w:val="0"/>
      <w:divBdr>
        <w:top w:val="none" w:sz="0" w:space="0" w:color="auto"/>
        <w:left w:val="none" w:sz="0" w:space="0" w:color="auto"/>
        <w:bottom w:val="none" w:sz="0" w:space="0" w:color="auto"/>
        <w:right w:val="none" w:sz="0" w:space="0" w:color="auto"/>
      </w:divBdr>
    </w:div>
    <w:div w:id="1045326663">
      <w:bodyDiv w:val="1"/>
      <w:marLeft w:val="0"/>
      <w:marRight w:val="0"/>
      <w:marTop w:val="0"/>
      <w:marBottom w:val="0"/>
      <w:divBdr>
        <w:top w:val="none" w:sz="0" w:space="0" w:color="auto"/>
        <w:left w:val="none" w:sz="0" w:space="0" w:color="auto"/>
        <w:bottom w:val="none" w:sz="0" w:space="0" w:color="auto"/>
        <w:right w:val="none" w:sz="0" w:space="0" w:color="auto"/>
      </w:divBdr>
    </w:div>
    <w:div w:id="1053306371">
      <w:bodyDiv w:val="1"/>
      <w:marLeft w:val="0"/>
      <w:marRight w:val="0"/>
      <w:marTop w:val="0"/>
      <w:marBottom w:val="0"/>
      <w:divBdr>
        <w:top w:val="none" w:sz="0" w:space="0" w:color="auto"/>
        <w:left w:val="none" w:sz="0" w:space="0" w:color="auto"/>
        <w:bottom w:val="none" w:sz="0" w:space="0" w:color="auto"/>
        <w:right w:val="none" w:sz="0" w:space="0" w:color="auto"/>
      </w:divBdr>
    </w:div>
    <w:div w:id="1081637345">
      <w:bodyDiv w:val="1"/>
      <w:marLeft w:val="0"/>
      <w:marRight w:val="0"/>
      <w:marTop w:val="0"/>
      <w:marBottom w:val="0"/>
      <w:divBdr>
        <w:top w:val="none" w:sz="0" w:space="0" w:color="auto"/>
        <w:left w:val="none" w:sz="0" w:space="0" w:color="auto"/>
        <w:bottom w:val="none" w:sz="0" w:space="0" w:color="auto"/>
        <w:right w:val="none" w:sz="0" w:space="0" w:color="auto"/>
      </w:divBdr>
    </w:div>
    <w:div w:id="1135178426">
      <w:bodyDiv w:val="1"/>
      <w:marLeft w:val="0"/>
      <w:marRight w:val="0"/>
      <w:marTop w:val="0"/>
      <w:marBottom w:val="0"/>
      <w:divBdr>
        <w:top w:val="none" w:sz="0" w:space="0" w:color="auto"/>
        <w:left w:val="none" w:sz="0" w:space="0" w:color="auto"/>
        <w:bottom w:val="none" w:sz="0" w:space="0" w:color="auto"/>
        <w:right w:val="none" w:sz="0" w:space="0" w:color="auto"/>
      </w:divBdr>
      <w:divsChild>
        <w:div w:id="926882009">
          <w:marLeft w:val="0"/>
          <w:marRight w:val="0"/>
          <w:marTop w:val="0"/>
          <w:marBottom w:val="0"/>
          <w:divBdr>
            <w:top w:val="none" w:sz="0" w:space="0" w:color="auto"/>
            <w:left w:val="none" w:sz="0" w:space="0" w:color="auto"/>
            <w:bottom w:val="none" w:sz="0" w:space="0" w:color="auto"/>
            <w:right w:val="none" w:sz="0" w:space="0" w:color="auto"/>
          </w:divBdr>
        </w:div>
        <w:div w:id="962541957">
          <w:marLeft w:val="0"/>
          <w:marRight w:val="0"/>
          <w:marTop w:val="0"/>
          <w:marBottom w:val="0"/>
          <w:divBdr>
            <w:top w:val="none" w:sz="0" w:space="0" w:color="auto"/>
            <w:left w:val="none" w:sz="0" w:space="0" w:color="auto"/>
            <w:bottom w:val="none" w:sz="0" w:space="0" w:color="auto"/>
            <w:right w:val="none" w:sz="0" w:space="0" w:color="auto"/>
          </w:divBdr>
        </w:div>
        <w:div w:id="1264845652">
          <w:marLeft w:val="0"/>
          <w:marRight w:val="0"/>
          <w:marTop w:val="0"/>
          <w:marBottom w:val="0"/>
          <w:divBdr>
            <w:top w:val="none" w:sz="0" w:space="0" w:color="auto"/>
            <w:left w:val="none" w:sz="0" w:space="0" w:color="auto"/>
            <w:bottom w:val="none" w:sz="0" w:space="0" w:color="auto"/>
            <w:right w:val="none" w:sz="0" w:space="0" w:color="auto"/>
          </w:divBdr>
        </w:div>
        <w:div w:id="2077044310">
          <w:marLeft w:val="0"/>
          <w:marRight w:val="0"/>
          <w:marTop w:val="0"/>
          <w:marBottom w:val="0"/>
          <w:divBdr>
            <w:top w:val="none" w:sz="0" w:space="0" w:color="auto"/>
            <w:left w:val="none" w:sz="0" w:space="0" w:color="auto"/>
            <w:bottom w:val="none" w:sz="0" w:space="0" w:color="auto"/>
            <w:right w:val="none" w:sz="0" w:space="0" w:color="auto"/>
          </w:divBdr>
        </w:div>
      </w:divsChild>
    </w:div>
    <w:div w:id="1150562696">
      <w:bodyDiv w:val="1"/>
      <w:marLeft w:val="0"/>
      <w:marRight w:val="0"/>
      <w:marTop w:val="0"/>
      <w:marBottom w:val="0"/>
      <w:divBdr>
        <w:top w:val="none" w:sz="0" w:space="0" w:color="auto"/>
        <w:left w:val="none" w:sz="0" w:space="0" w:color="auto"/>
        <w:bottom w:val="none" w:sz="0" w:space="0" w:color="auto"/>
        <w:right w:val="none" w:sz="0" w:space="0" w:color="auto"/>
      </w:divBdr>
    </w:div>
    <w:div w:id="1298072697">
      <w:bodyDiv w:val="1"/>
      <w:marLeft w:val="0"/>
      <w:marRight w:val="0"/>
      <w:marTop w:val="0"/>
      <w:marBottom w:val="0"/>
      <w:divBdr>
        <w:top w:val="none" w:sz="0" w:space="0" w:color="auto"/>
        <w:left w:val="none" w:sz="0" w:space="0" w:color="auto"/>
        <w:bottom w:val="none" w:sz="0" w:space="0" w:color="auto"/>
        <w:right w:val="none" w:sz="0" w:space="0" w:color="auto"/>
      </w:divBdr>
    </w:div>
    <w:div w:id="1318538522">
      <w:bodyDiv w:val="1"/>
      <w:marLeft w:val="0"/>
      <w:marRight w:val="0"/>
      <w:marTop w:val="0"/>
      <w:marBottom w:val="0"/>
      <w:divBdr>
        <w:top w:val="none" w:sz="0" w:space="0" w:color="auto"/>
        <w:left w:val="none" w:sz="0" w:space="0" w:color="auto"/>
        <w:bottom w:val="none" w:sz="0" w:space="0" w:color="auto"/>
        <w:right w:val="none" w:sz="0" w:space="0" w:color="auto"/>
      </w:divBdr>
    </w:div>
    <w:div w:id="1345668282">
      <w:bodyDiv w:val="1"/>
      <w:marLeft w:val="0"/>
      <w:marRight w:val="0"/>
      <w:marTop w:val="0"/>
      <w:marBottom w:val="0"/>
      <w:divBdr>
        <w:top w:val="none" w:sz="0" w:space="0" w:color="auto"/>
        <w:left w:val="none" w:sz="0" w:space="0" w:color="auto"/>
        <w:bottom w:val="none" w:sz="0" w:space="0" w:color="auto"/>
        <w:right w:val="none" w:sz="0" w:space="0" w:color="auto"/>
      </w:divBdr>
    </w:div>
    <w:div w:id="1358694369">
      <w:bodyDiv w:val="1"/>
      <w:marLeft w:val="0"/>
      <w:marRight w:val="0"/>
      <w:marTop w:val="0"/>
      <w:marBottom w:val="0"/>
      <w:divBdr>
        <w:top w:val="none" w:sz="0" w:space="0" w:color="auto"/>
        <w:left w:val="none" w:sz="0" w:space="0" w:color="auto"/>
        <w:bottom w:val="none" w:sz="0" w:space="0" w:color="auto"/>
        <w:right w:val="none" w:sz="0" w:space="0" w:color="auto"/>
      </w:divBdr>
    </w:div>
    <w:div w:id="1376928947">
      <w:bodyDiv w:val="1"/>
      <w:marLeft w:val="0"/>
      <w:marRight w:val="0"/>
      <w:marTop w:val="0"/>
      <w:marBottom w:val="0"/>
      <w:divBdr>
        <w:top w:val="none" w:sz="0" w:space="0" w:color="auto"/>
        <w:left w:val="none" w:sz="0" w:space="0" w:color="auto"/>
        <w:bottom w:val="none" w:sz="0" w:space="0" w:color="auto"/>
        <w:right w:val="none" w:sz="0" w:space="0" w:color="auto"/>
      </w:divBdr>
    </w:div>
    <w:div w:id="1377780420">
      <w:bodyDiv w:val="1"/>
      <w:marLeft w:val="0"/>
      <w:marRight w:val="0"/>
      <w:marTop w:val="0"/>
      <w:marBottom w:val="0"/>
      <w:divBdr>
        <w:top w:val="none" w:sz="0" w:space="0" w:color="auto"/>
        <w:left w:val="none" w:sz="0" w:space="0" w:color="auto"/>
        <w:bottom w:val="none" w:sz="0" w:space="0" w:color="auto"/>
        <w:right w:val="none" w:sz="0" w:space="0" w:color="auto"/>
      </w:divBdr>
    </w:div>
    <w:div w:id="1496144428">
      <w:bodyDiv w:val="1"/>
      <w:marLeft w:val="0"/>
      <w:marRight w:val="0"/>
      <w:marTop w:val="0"/>
      <w:marBottom w:val="0"/>
      <w:divBdr>
        <w:top w:val="none" w:sz="0" w:space="0" w:color="auto"/>
        <w:left w:val="none" w:sz="0" w:space="0" w:color="auto"/>
        <w:bottom w:val="none" w:sz="0" w:space="0" w:color="auto"/>
        <w:right w:val="none" w:sz="0" w:space="0" w:color="auto"/>
      </w:divBdr>
    </w:div>
    <w:div w:id="1496460089">
      <w:bodyDiv w:val="1"/>
      <w:marLeft w:val="0"/>
      <w:marRight w:val="0"/>
      <w:marTop w:val="0"/>
      <w:marBottom w:val="0"/>
      <w:divBdr>
        <w:top w:val="none" w:sz="0" w:space="0" w:color="auto"/>
        <w:left w:val="none" w:sz="0" w:space="0" w:color="auto"/>
        <w:bottom w:val="none" w:sz="0" w:space="0" w:color="auto"/>
        <w:right w:val="none" w:sz="0" w:space="0" w:color="auto"/>
      </w:divBdr>
    </w:div>
    <w:div w:id="1538738782">
      <w:bodyDiv w:val="1"/>
      <w:marLeft w:val="0"/>
      <w:marRight w:val="0"/>
      <w:marTop w:val="0"/>
      <w:marBottom w:val="0"/>
      <w:divBdr>
        <w:top w:val="none" w:sz="0" w:space="0" w:color="auto"/>
        <w:left w:val="none" w:sz="0" w:space="0" w:color="auto"/>
        <w:bottom w:val="none" w:sz="0" w:space="0" w:color="auto"/>
        <w:right w:val="none" w:sz="0" w:space="0" w:color="auto"/>
      </w:divBdr>
    </w:div>
    <w:div w:id="1540317212">
      <w:bodyDiv w:val="1"/>
      <w:marLeft w:val="0"/>
      <w:marRight w:val="0"/>
      <w:marTop w:val="0"/>
      <w:marBottom w:val="0"/>
      <w:divBdr>
        <w:top w:val="none" w:sz="0" w:space="0" w:color="auto"/>
        <w:left w:val="none" w:sz="0" w:space="0" w:color="auto"/>
        <w:bottom w:val="none" w:sz="0" w:space="0" w:color="auto"/>
        <w:right w:val="none" w:sz="0" w:space="0" w:color="auto"/>
      </w:divBdr>
    </w:div>
    <w:div w:id="1649285065">
      <w:bodyDiv w:val="1"/>
      <w:marLeft w:val="0"/>
      <w:marRight w:val="0"/>
      <w:marTop w:val="0"/>
      <w:marBottom w:val="0"/>
      <w:divBdr>
        <w:top w:val="none" w:sz="0" w:space="0" w:color="auto"/>
        <w:left w:val="none" w:sz="0" w:space="0" w:color="auto"/>
        <w:bottom w:val="none" w:sz="0" w:space="0" w:color="auto"/>
        <w:right w:val="none" w:sz="0" w:space="0" w:color="auto"/>
      </w:divBdr>
    </w:div>
    <w:div w:id="1665280211">
      <w:bodyDiv w:val="1"/>
      <w:marLeft w:val="0"/>
      <w:marRight w:val="0"/>
      <w:marTop w:val="0"/>
      <w:marBottom w:val="0"/>
      <w:divBdr>
        <w:top w:val="none" w:sz="0" w:space="0" w:color="auto"/>
        <w:left w:val="none" w:sz="0" w:space="0" w:color="auto"/>
        <w:bottom w:val="none" w:sz="0" w:space="0" w:color="auto"/>
        <w:right w:val="none" w:sz="0" w:space="0" w:color="auto"/>
      </w:divBdr>
    </w:div>
    <w:div w:id="1692952283">
      <w:bodyDiv w:val="1"/>
      <w:marLeft w:val="0"/>
      <w:marRight w:val="0"/>
      <w:marTop w:val="0"/>
      <w:marBottom w:val="0"/>
      <w:divBdr>
        <w:top w:val="none" w:sz="0" w:space="0" w:color="auto"/>
        <w:left w:val="none" w:sz="0" w:space="0" w:color="auto"/>
        <w:bottom w:val="none" w:sz="0" w:space="0" w:color="auto"/>
        <w:right w:val="none" w:sz="0" w:space="0" w:color="auto"/>
      </w:divBdr>
    </w:div>
    <w:div w:id="1697923483">
      <w:bodyDiv w:val="1"/>
      <w:marLeft w:val="0"/>
      <w:marRight w:val="0"/>
      <w:marTop w:val="0"/>
      <w:marBottom w:val="0"/>
      <w:divBdr>
        <w:top w:val="none" w:sz="0" w:space="0" w:color="auto"/>
        <w:left w:val="none" w:sz="0" w:space="0" w:color="auto"/>
        <w:bottom w:val="none" w:sz="0" w:space="0" w:color="auto"/>
        <w:right w:val="none" w:sz="0" w:space="0" w:color="auto"/>
      </w:divBdr>
    </w:div>
    <w:div w:id="1801073387">
      <w:bodyDiv w:val="1"/>
      <w:marLeft w:val="0"/>
      <w:marRight w:val="0"/>
      <w:marTop w:val="0"/>
      <w:marBottom w:val="0"/>
      <w:divBdr>
        <w:top w:val="none" w:sz="0" w:space="0" w:color="auto"/>
        <w:left w:val="none" w:sz="0" w:space="0" w:color="auto"/>
        <w:bottom w:val="none" w:sz="0" w:space="0" w:color="auto"/>
        <w:right w:val="none" w:sz="0" w:space="0" w:color="auto"/>
      </w:divBdr>
    </w:div>
    <w:div w:id="1812399106">
      <w:bodyDiv w:val="1"/>
      <w:marLeft w:val="0"/>
      <w:marRight w:val="0"/>
      <w:marTop w:val="0"/>
      <w:marBottom w:val="0"/>
      <w:divBdr>
        <w:top w:val="none" w:sz="0" w:space="0" w:color="auto"/>
        <w:left w:val="none" w:sz="0" w:space="0" w:color="auto"/>
        <w:bottom w:val="none" w:sz="0" w:space="0" w:color="auto"/>
        <w:right w:val="none" w:sz="0" w:space="0" w:color="auto"/>
      </w:divBdr>
    </w:div>
    <w:div w:id="1825118943">
      <w:bodyDiv w:val="1"/>
      <w:marLeft w:val="0"/>
      <w:marRight w:val="0"/>
      <w:marTop w:val="0"/>
      <w:marBottom w:val="0"/>
      <w:divBdr>
        <w:top w:val="none" w:sz="0" w:space="0" w:color="auto"/>
        <w:left w:val="none" w:sz="0" w:space="0" w:color="auto"/>
        <w:bottom w:val="none" w:sz="0" w:space="0" w:color="auto"/>
        <w:right w:val="none" w:sz="0" w:space="0" w:color="auto"/>
      </w:divBdr>
    </w:div>
    <w:div w:id="1840120313">
      <w:bodyDiv w:val="1"/>
      <w:marLeft w:val="0"/>
      <w:marRight w:val="0"/>
      <w:marTop w:val="0"/>
      <w:marBottom w:val="0"/>
      <w:divBdr>
        <w:top w:val="none" w:sz="0" w:space="0" w:color="auto"/>
        <w:left w:val="none" w:sz="0" w:space="0" w:color="auto"/>
        <w:bottom w:val="none" w:sz="0" w:space="0" w:color="auto"/>
        <w:right w:val="none" w:sz="0" w:space="0" w:color="auto"/>
      </w:divBdr>
    </w:div>
    <w:div w:id="1847817617">
      <w:bodyDiv w:val="1"/>
      <w:marLeft w:val="0"/>
      <w:marRight w:val="0"/>
      <w:marTop w:val="0"/>
      <w:marBottom w:val="0"/>
      <w:divBdr>
        <w:top w:val="none" w:sz="0" w:space="0" w:color="auto"/>
        <w:left w:val="none" w:sz="0" w:space="0" w:color="auto"/>
        <w:bottom w:val="none" w:sz="0" w:space="0" w:color="auto"/>
        <w:right w:val="none" w:sz="0" w:space="0" w:color="auto"/>
      </w:divBdr>
    </w:div>
    <w:div w:id="1850829483">
      <w:bodyDiv w:val="1"/>
      <w:marLeft w:val="0"/>
      <w:marRight w:val="0"/>
      <w:marTop w:val="0"/>
      <w:marBottom w:val="0"/>
      <w:divBdr>
        <w:top w:val="none" w:sz="0" w:space="0" w:color="auto"/>
        <w:left w:val="none" w:sz="0" w:space="0" w:color="auto"/>
        <w:bottom w:val="none" w:sz="0" w:space="0" w:color="auto"/>
        <w:right w:val="none" w:sz="0" w:space="0" w:color="auto"/>
      </w:divBdr>
    </w:div>
    <w:div w:id="1874926647">
      <w:bodyDiv w:val="1"/>
      <w:marLeft w:val="0"/>
      <w:marRight w:val="0"/>
      <w:marTop w:val="0"/>
      <w:marBottom w:val="0"/>
      <w:divBdr>
        <w:top w:val="none" w:sz="0" w:space="0" w:color="auto"/>
        <w:left w:val="none" w:sz="0" w:space="0" w:color="auto"/>
        <w:bottom w:val="none" w:sz="0" w:space="0" w:color="auto"/>
        <w:right w:val="none" w:sz="0" w:space="0" w:color="auto"/>
      </w:divBdr>
    </w:div>
    <w:div w:id="1891920159">
      <w:bodyDiv w:val="1"/>
      <w:marLeft w:val="0"/>
      <w:marRight w:val="0"/>
      <w:marTop w:val="0"/>
      <w:marBottom w:val="0"/>
      <w:divBdr>
        <w:top w:val="none" w:sz="0" w:space="0" w:color="auto"/>
        <w:left w:val="none" w:sz="0" w:space="0" w:color="auto"/>
        <w:bottom w:val="none" w:sz="0" w:space="0" w:color="auto"/>
        <w:right w:val="none" w:sz="0" w:space="0" w:color="auto"/>
      </w:divBdr>
    </w:div>
    <w:div w:id="1892182419">
      <w:bodyDiv w:val="1"/>
      <w:marLeft w:val="0"/>
      <w:marRight w:val="0"/>
      <w:marTop w:val="0"/>
      <w:marBottom w:val="0"/>
      <w:divBdr>
        <w:top w:val="none" w:sz="0" w:space="0" w:color="auto"/>
        <w:left w:val="none" w:sz="0" w:space="0" w:color="auto"/>
        <w:bottom w:val="none" w:sz="0" w:space="0" w:color="auto"/>
        <w:right w:val="none" w:sz="0" w:space="0" w:color="auto"/>
      </w:divBdr>
    </w:div>
    <w:div w:id="1940671506">
      <w:bodyDiv w:val="1"/>
      <w:marLeft w:val="0"/>
      <w:marRight w:val="0"/>
      <w:marTop w:val="0"/>
      <w:marBottom w:val="0"/>
      <w:divBdr>
        <w:top w:val="none" w:sz="0" w:space="0" w:color="auto"/>
        <w:left w:val="none" w:sz="0" w:space="0" w:color="auto"/>
        <w:bottom w:val="none" w:sz="0" w:space="0" w:color="auto"/>
        <w:right w:val="none" w:sz="0" w:space="0" w:color="auto"/>
      </w:divBdr>
    </w:div>
    <w:div w:id="1959413916">
      <w:bodyDiv w:val="1"/>
      <w:marLeft w:val="0"/>
      <w:marRight w:val="0"/>
      <w:marTop w:val="0"/>
      <w:marBottom w:val="0"/>
      <w:divBdr>
        <w:top w:val="none" w:sz="0" w:space="0" w:color="auto"/>
        <w:left w:val="none" w:sz="0" w:space="0" w:color="auto"/>
        <w:bottom w:val="none" w:sz="0" w:space="0" w:color="auto"/>
        <w:right w:val="none" w:sz="0" w:space="0" w:color="auto"/>
      </w:divBdr>
    </w:div>
    <w:div w:id="2040466553">
      <w:bodyDiv w:val="1"/>
      <w:marLeft w:val="0"/>
      <w:marRight w:val="0"/>
      <w:marTop w:val="0"/>
      <w:marBottom w:val="0"/>
      <w:divBdr>
        <w:top w:val="none" w:sz="0" w:space="0" w:color="auto"/>
        <w:left w:val="none" w:sz="0" w:space="0" w:color="auto"/>
        <w:bottom w:val="none" w:sz="0" w:space="0" w:color="auto"/>
        <w:right w:val="none" w:sz="0" w:space="0" w:color="auto"/>
      </w:divBdr>
    </w:div>
    <w:div w:id="2059548702">
      <w:bodyDiv w:val="1"/>
      <w:marLeft w:val="0"/>
      <w:marRight w:val="0"/>
      <w:marTop w:val="0"/>
      <w:marBottom w:val="0"/>
      <w:divBdr>
        <w:top w:val="none" w:sz="0" w:space="0" w:color="auto"/>
        <w:left w:val="none" w:sz="0" w:space="0" w:color="auto"/>
        <w:bottom w:val="none" w:sz="0" w:space="0" w:color="auto"/>
        <w:right w:val="none" w:sz="0" w:space="0" w:color="auto"/>
      </w:divBdr>
    </w:div>
    <w:div w:id="2088570152">
      <w:bodyDiv w:val="1"/>
      <w:marLeft w:val="0"/>
      <w:marRight w:val="0"/>
      <w:marTop w:val="0"/>
      <w:marBottom w:val="0"/>
      <w:divBdr>
        <w:top w:val="none" w:sz="0" w:space="0" w:color="auto"/>
        <w:left w:val="none" w:sz="0" w:space="0" w:color="auto"/>
        <w:bottom w:val="none" w:sz="0" w:space="0" w:color="auto"/>
        <w:right w:val="none" w:sz="0" w:space="0" w:color="auto"/>
      </w:divBdr>
    </w:div>
    <w:div w:id="21348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s.fcc.gov/edocs_public/attachmatch/FCC-05-30A1.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tiff"/><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Template%20ECC%20Report%20-%2031.08.2015.dotx" TargetMode="External"/></Relationships>
</file>

<file path=word/theme/theme1.xml><?xml version="1.0" encoding="utf-8"?>
<a:theme xmlns:a="http://schemas.openxmlformats.org/drawingml/2006/main" name="Office Theme">
  <a:themeElements>
    <a:clrScheme name="ECC  Style Gui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5AF86-9CF8-44B3-B969-93A4D6499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ECC Report - 31.08.2015</Template>
  <TotalTime>0</TotalTime>
  <Pages>28</Pages>
  <Words>9523</Words>
  <Characters>58093</Characters>
  <Application>Microsoft Office Word</Application>
  <DocSecurity>0</DocSecurity>
  <Lines>484</Lines>
  <Paragraphs>134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Draft ECC Report XX</vt:lpstr>
      <vt:lpstr>Draft ECC Report XX</vt:lpstr>
      <vt:lpstr>Draft ECC Report XX</vt:lpstr>
    </vt:vector>
  </TitlesOfParts>
  <Manager>stella.lyubchenko@eco.cept.org</Manager>
  <Company>ECO</Company>
  <LinksUpToDate>false</LinksUpToDate>
  <CharactersWithSpaces>67482</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ECC Report XX</dc:title>
  <dc:creator>DG 5G MFCN</dc:creator>
  <cp:lastModifiedBy>ECO</cp:lastModifiedBy>
  <cp:revision>2</cp:revision>
  <cp:lastPrinted>2019-01-16T09:27:00Z</cp:lastPrinted>
  <dcterms:created xsi:type="dcterms:W3CDTF">2019-03-15T09:23:00Z</dcterms:created>
  <dcterms:modified xsi:type="dcterms:W3CDTF">2019-03-15T09:23:00Z</dcterms:modified>
  <cp:category>protected templates</cp:category>
  <cp:contentStatus>Revision 24.10.2014</cp:contentStatus>
</cp:coreProperties>
</file>