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7D774B" w14:textId="77777777" w:rsidR="00C12AB8" w:rsidRDefault="00C12AB8">
      <w:pPr>
        <w:rPr>
          <w:lang w:val="en-GB"/>
        </w:rPr>
      </w:pPr>
      <w:bookmarkStart w:id="0" w:name="_GoBack"/>
      <w:bookmarkEnd w:id="0"/>
    </w:p>
    <w:p w14:paraId="0A7D774C" w14:textId="77777777" w:rsidR="00C12AB8" w:rsidRDefault="00155EB5">
      <w:pPr>
        <w:jc w:val="center"/>
        <w:rPr>
          <w:lang w:val="en-GB"/>
        </w:rPr>
      </w:pPr>
      <w:r>
        <w:rPr>
          <w:b/>
          <w:noProof/>
          <w:sz w:val="24"/>
          <w:szCs w:val="20"/>
          <w:lang w:val="da-DK" w:eastAsia="da-DK"/>
        </w:rPr>
        <mc:AlternateContent>
          <mc:Choice Requires="wpg">
            <w:drawing>
              <wp:anchor distT="0" distB="0" distL="114300" distR="114300" simplePos="0" relativeHeight="251661312" behindDoc="0" locked="0" layoutInCell="1" allowOverlap="1" wp14:anchorId="0A7D7D42" wp14:editId="0A7D7D43">
                <wp:simplePos x="0" y="0"/>
                <wp:positionH relativeFrom="column">
                  <wp:posOffset>-749300</wp:posOffset>
                </wp:positionH>
                <wp:positionV relativeFrom="paragraph">
                  <wp:posOffset>203200</wp:posOffset>
                </wp:positionV>
                <wp:extent cx="7564120" cy="8268970"/>
                <wp:effectExtent l="0" t="0" r="0" b="0"/>
                <wp:wrapNone/>
                <wp:docPr id="3" name="Group 37"/>
                <wp:cNvGraphicFramePr/>
                <a:graphic xmlns:a="http://schemas.openxmlformats.org/drawingml/2006/main">
                  <a:graphicData uri="http://schemas.microsoft.com/office/word/2010/wordprocessingGroup">
                    <wpg:wgp>
                      <wpg:cNvGrpSpPr/>
                      <wpg:grpSpPr>
                        <a:xfrm>
                          <a:off x="0" y="0"/>
                          <a:ext cx="7564120" cy="8268970"/>
                          <a:chOff x="0" y="2700"/>
                          <a:chExt cx="11912" cy="13022"/>
                        </a:xfrm>
                      </wpg:grpSpPr>
                      <wps:wsp>
                        <wps:cNvPr id="5" name="Rectangle 24"/>
                        <wps:cNvSpPr>
                          <a:spLocks noChangeArrowheads="1"/>
                        </wps:cNvSpPr>
                        <wps:spPr bwMode="auto">
                          <a:xfrm>
                            <a:off x="6" y="15439"/>
                            <a:ext cx="11906" cy="283"/>
                          </a:xfrm>
                          <a:prstGeom prst="rect">
                            <a:avLst/>
                          </a:prstGeom>
                          <a:solidFill>
                            <a:srgbClr val="828282"/>
                          </a:solidFill>
                          <a:ln>
                            <a:noFill/>
                          </a:ln>
                        </wps:spPr>
                        <wps:bodyPr rot="0" vert="horz" wrap="square" lIns="91440" tIns="540000" rIns="72000" bIns="45720" anchor="t" anchorCtr="0" upright="1">
                          <a:noAutofit/>
                        </wps:bodyPr>
                      </wps:wsp>
                      <wps:wsp>
                        <wps:cNvPr id="16" name="Text Box 25"/>
                        <wps:cNvSpPr txBox="1">
                          <a:spLocks noChangeArrowheads="1"/>
                        </wps:cNvSpPr>
                        <wps:spPr bwMode="auto">
                          <a:xfrm>
                            <a:off x="0" y="2700"/>
                            <a:ext cx="11906" cy="2564"/>
                          </a:xfrm>
                          <a:prstGeom prst="rect">
                            <a:avLst/>
                          </a:prstGeom>
                          <a:solidFill>
                            <a:srgbClr val="828282"/>
                          </a:solidFill>
                          <a:ln>
                            <a:noFill/>
                          </a:ln>
                        </wps:spPr>
                        <wps:txbx>
                          <w:txbxContent>
                            <w:p w14:paraId="0A7D7D95" w14:textId="77777777" w:rsidR="00296B1B" w:rsidRDefault="00296B1B">
                              <w:pPr>
                                <w:rPr>
                                  <w:color w:val="57433E"/>
                                  <w:sz w:val="68"/>
                                </w:rPr>
                              </w:pPr>
                              <w:r>
                                <w:rPr>
                                  <w:color w:val="FFFFFF"/>
                                  <w:sz w:val="68"/>
                                </w:rPr>
                                <w:t xml:space="preserve">CEPT Report </w:t>
                              </w:r>
                              <w:r>
                                <w:rPr>
                                  <w:color w:val="D2232A"/>
                                  <w:sz w:val="68"/>
                                </w:rPr>
                                <w:t>71</w:t>
                              </w:r>
                            </w:p>
                          </w:txbxContent>
                        </wps:txbx>
                        <wps:bodyPr rot="0" vert="horz" wrap="square" lIns="2880000" tIns="540000" rIns="72000" bIns="45720" anchor="t" anchorCtr="0" upright="1">
                          <a:noAutofit/>
                        </wps:bodyPr>
                      </wps:wsp>
                      <wpg:grpSp>
                        <wpg:cNvPr id="17" name="Group 36"/>
                        <wpg:cNvGrpSpPr/>
                        <wpg:grpSpPr>
                          <a:xfrm>
                            <a:off x="1304" y="2744"/>
                            <a:ext cx="2683" cy="2464"/>
                            <a:chOff x="1304" y="2744"/>
                            <a:chExt cx="2683" cy="2464"/>
                          </a:xfrm>
                        </wpg:grpSpPr>
                        <wps:wsp>
                          <wps:cNvPr id="18" name="Line 30"/>
                          <wps:cNvCnPr/>
                          <wps:spPr bwMode="auto">
                            <a:xfrm rot="2700000">
                              <a:off x="2138" y="2646"/>
                              <a:ext cx="14" cy="1682"/>
                            </a:xfrm>
                            <a:prstGeom prst="line">
                              <a:avLst/>
                            </a:prstGeom>
                            <a:noFill/>
                            <a:ln w="190500">
                              <a:solidFill>
                                <a:srgbClr val="D2232A"/>
                              </a:solidFill>
                              <a:round/>
                            </a:ln>
                          </wps:spPr>
                          <wps:bodyPr/>
                        </wps:wsp>
                        <wps:wsp>
                          <wps:cNvPr id="19" name="Line 31"/>
                          <wps:cNvCnPr/>
                          <wps:spPr bwMode="auto">
                            <a:xfrm rot="2700000" flipH="1">
                              <a:off x="1447" y="4478"/>
                              <a:ext cx="1431" cy="0"/>
                            </a:xfrm>
                            <a:prstGeom prst="line">
                              <a:avLst/>
                            </a:prstGeom>
                            <a:noFill/>
                            <a:ln w="190500">
                              <a:solidFill>
                                <a:srgbClr val="D2232A"/>
                              </a:solidFill>
                              <a:round/>
                            </a:ln>
                          </wps:spPr>
                          <wps:bodyPr/>
                        </wps:wsp>
                        <wps:wsp>
                          <wps:cNvPr id="20" name="Line 32"/>
                          <wps:cNvCnPr/>
                          <wps:spPr bwMode="auto">
                            <a:xfrm rot="2700000" flipH="1">
                              <a:off x="3225" y="3653"/>
                              <a:ext cx="1" cy="1555"/>
                            </a:xfrm>
                            <a:prstGeom prst="line">
                              <a:avLst/>
                            </a:prstGeom>
                            <a:noFill/>
                            <a:ln w="190500">
                              <a:solidFill>
                                <a:srgbClr val="FFFFFF"/>
                              </a:solidFill>
                              <a:round/>
                            </a:ln>
                          </wps:spPr>
                          <wps:bodyPr/>
                        </wps:wsp>
                        <wps:wsp>
                          <wps:cNvPr id="21" name="Line 33"/>
                          <wps:cNvCnPr/>
                          <wps:spPr bwMode="auto">
                            <a:xfrm rot="2700000" flipH="1">
                              <a:off x="2439" y="3520"/>
                              <a:ext cx="1548" cy="1"/>
                            </a:xfrm>
                            <a:prstGeom prst="line">
                              <a:avLst/>
                            </a:prstGeom>
                            <a:noFill/>
                            <a:ln w="190500">
                              <a:solidFill>
                                <a:srgbClr val="FFFFFF"/>
                              </a:solidFill>
                              <a:round/>
                            </a:ln>
                          </wps:spPr>
                          <wps:bodyPr/>
                        </wps:wsp>
                        <wps:wsp>
                          <wps:cNvPr id="22" name="Line 34"/>
                          <wps:cNvCnPr/>
                          <wps:spPr bwMode="auto">
                            <a:xfrm>
                              <a:off x="2670" y="2744"/>
                              <a:ext cx="1" cy="2340"/>
                            </a:xfrm>
                            <a:prstGeom prst="line">
                              <a:avLst/>
                            </a:prstGeom>
                            <a:noFill/>
                            <a:ln w="196850">
                              <a:solidFill>
                                <a:srgbClr val="828282"/>
                              </a:solidFill>
                              <a:round/>
                            </a:ln>
                          </wps:spPr>
                          <wps:bodyPr/>
                        </wps:wsp>
                      </wpg:grpSp>
                    </wpg:wgp>
                  </a:graphicData>
                </a:graphic>
              </wp:anchor>
            </w:drawing>
          </mc:Choice>
          <mc:Fallback>
            <w:pict>
              <v:group id="Group 37" o:spid="_x0000_s1026" style="position:absolute;left:0;text-align:left;margin-left:-59pt;margin-top:16pt;width:595.6pt;height:651.1pt;z-index:251661312"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d+BAQAAJwQAAAOAAAAZHJzL2Uyb0RvYy54bWzsWNtu4zYQfS/QfyD43kiiLpaFOIs0adIC&#10;abvobj+AlqgLKpEqKUfOfn2HF8lykt02aTbbBWoDsiiSo+E5M2dIn77Zdy26ZVI1gm9wcOJjxHgu&#10;ioZXG/z7+6vvUozUQHlBW8HZBt8xhd+cffvN6dhnjIhatAWTCIxwlY39BtfD0Geep/KadVSdiJ5x&#10;6CyF7OgATVl5haQjWO9aj/h+4o1CFr0UOVMKnl7aTnxm7Jcly4dfy1KxAbUbDL4N5irNdauv3tkp&#10;zSpJ+7rJnRv0GV50tOHw0tnUJR0o2snmgamuyaVQohxOctF5oiybnJk1wGoC/95qrqXY9WYtVTZW&#10;/QwTQHsPp2ebzX+5fStRU2xwiBGnHVBk3orClcZm7KsMhlzL/l3/VroHlW3p5e5L2elfWAjaG1Tv&#10;ZlTZfkA5PFzFSRQQAD+HvpQk6XrlcM9rIOcwj6z8ueMHNzkI1gGxU4PQJ0Q75U3v9bR7szdjDyGk&#10;Diipf4fSu5r2zICvNAQOpXhC6TcILcqrliESWaTMMA2TBkT1NyL/QyEuLmoYxs6lFGPNaAFeBWYR&#10;2l2wayfohoKpaDv+LAogge4GYQLqHsIJRoBiEEfhWluh2YQyAOVDp8aYpOERTDTrpRqumeiQvtlg&#10;Cb4b4/T2Rg0W0WmIcV60TXHVtK1pyGp70Up0SyGFUqK/zrpaDmu5HsyFnmYt6ifAkF2YDiWVbUVx&#10;B4uUwuYh6Abc1EJ+wGiEHNxg9eeOSoZR+xMHoNZBFOmkNY048uGDkTStFSQ/NLamEcXQxIjyHGxt&#10;8DDdXgw203e9bKoaXhWYVXNxDuiWjVn5wS3nLYSQdfazx1IAfNmUe69Z/F7sEYk1ttonFxpo2MPz&#10;yfPPFVUAno6bOf8eCyrI4v9oVA377d6h9sQAI2lqg+qLhJjTrlllncQEqyksnBInNiaepMQglpEj&#10;NTK8HZQCFBi03ghFZDml2azEj8zL60mMH878klIcwNbCps9NwxkKTe1wqXPBXbX6lKxaHdJRr7VE&#10;y5crYyQIwbbOiCQy4B/ACwBVDV2QzDI4KfSkoE5kW3DqUyI7SyXNWo5GMLn2Y+fHkbKqpQBfEhKS&#10;88cEGPYKvPgb5dXdGqFX1Lj1MUmm9j2fJFS2Tf/jJIeOLqgSkDJACvymGpolXWFgCTPRMYfrg5L4&#10;P1t6D6ir6DKlTKV/YbZCAkVOsxUmsdmnLNhyuRXHpgy+NltX5vP15BaB0F6yZdB8YbaI3mgatmII&#10;juPciiNQSSOGDrNXVcKvji04xizZWp4a/lG5WhaoBI5QpkCt7ld3J3ckhJ2zrQYvx0qSxrZOfrw+&#10;ffyA8OT6dDjdmapljsBwd3TGXrbNqMOfCmd/AQAA//8DAFBLAwQUAAYACAAAACEA5++7SeMAAAAN&#10;AQAADwAAAGRycy9kb3ducmV2LnhtbEyPzWrDMBCE74W+g9hCb4ksqz/BtRxCaHsKhSaFkJtibWwT&#10;SzKWYjtv382pPe0uM8x+ky8n27IB+9B4p0DME2DoSm8aVyn42X3MFsBC1M7o1jtUcMUAy+L+LteZ&#10;8aP7xmEbK0YhLmRaQR1jl3EeyhqtDnPfoSPt5HurI519xU2vRwq3LU+T5IVb3Tj6UOsO1zWW5+3F&#10;Kvgc9biS4n3YnE/r62H3/LXfCFTq8WFavQGLOMU/M9zwCR0KYjr6izOBtQpmQiyoTFQgU5o3R/Iq&#10;U2BH2qR8SoEXOf/fovgFAAD//wMAUEsBAi0AFAAGAAgAAAAhALaDOJL+AAAA4QEAABMAAAAAAAAA&#10;AAAAAAAAAAAAAFtDb250ZW50X1R5cGVzXS54bWxQSwECLQAUAAYACAAAACEAOP0h/9YAAACUAQAA&#10;CwAAAAAAAAAAAAAAAAAvAQAAX3JlbHMvLnJlbHNQSwECLQAUAAYACAAAACEAJan3fgQEAACcEAAA&#10;DgAAAAAAAAAAAAAAAAAuAgAAZHJzL2Uyb0RvYy54bWxQSwECLQAUAAYACAAAACEA5++7SeMAAAAN&#10;AQAADwAAAAAAAAAAAAAAAABeBgAAZHJzL2Rvd25yZXYueG1sUEsFBgAAAAAEAAQA8wAAAG4HAAAA&#10;AA==&#10;">
                <v:rect id="Rectangle 24" o:spid="_x0000_s1027" style="position:absolute;left:6;top:15439;width:1190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ZosEA&#10;AADaAAAADwAAAGRycy9kb3ducmV2LnhtbESPW4vCMBSE3xf8D+EIviyarqwXqlFkRdg319v7MTm2&#10;xeakNLHWf28EYR+HmfmGmS9bW4qGal84VvA1SEAQa2cKzhQcD5v+FIQPyAZLx6TgQR6Wi87HHFPj&#10;7ryjZh8yESHsU1SQh1ClUnqdk0U/cBVx9C6uthiirDNparxHuC3lMEnG0mLBcSHHin5y0tf9zSoY&#10;jraff5OHvq31iZpvEw50btdK9brtagYiUBv+w+/2r1EwgteVe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A2aLBAAAA2gAAAA8AAAAAAAAAAAAAAAAAmAIAAGRycy9kb3du&#10;cmV2LnhtbFBLBQYAAAAABAAEAPUAAACGAwAAAAA=&#10;" fillcolor="#828282" stroked="f">
                  <v:textbox inset=",15mm,2mm"/>
                </v:rect>
                <v:shapetype id="_x0000_t202" coordsize="21600,21600" o:spt="202" path="m,l,21600r21600,l21600,xe">
                  <v:stroke joinstyle="miter"/>
                  <v:path gradientshapeok="t" o:connecttype="rect"/>
                </v:shapetype>
                <v:shape id="Text Box 25" o:spid="_x0000_s1028" type="#_x0000_t202" style="position:absolute;top:2700;width:11906;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OzsEA&#10;AADbAAAADwAAAGRycy9kb3ducmV2LnhtbERPTWvCQBC9C/0PyxR6001zCJK6ShQKPRRao3gestNs&#10;NDsbstsk7a93BcHbPN7nrDaTbcVAvW8cK3hdJCCIK6cbrhUcD+/zJQgfkDW2jknBH3nYrJ9mK8y1&#10;G3lPQxlqEUPY56jAhNDlUvrKkEW/cB1x5H5cbzFE2NdS9zjGcNvKNEkyabHh2GCwo52h6lL+WgVn&#10;5OxoD1/DidJPu81c0br/b6VenqfiDUSgKTzEd/eHjvMzuP0SD5D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rTs7BAAAA2wAAAA8AAAAAAAAAAAAAAAAAmAIAAGRycy9kb3du&#10;cmV2LnhtbFBLBQYAAAAABAAEAPUAAACGAwAAAAA=&#10;" fillcolor="#828282" stroked="f">
                  <v:textbox inset="80mm,15mm,2mm">
                    <w:txbxContent>
                      <w:p w14:paraId="0A7D7D95" w14:textId="77777777" w:rsidR="00296B1B" w:rsidRDefault="00296B1B">
                        <w:pPr>
                          <w:rPr>
                            <w:color w:val="57433E"/>
                            <w:sz w:val="68"/>
                          </w:rPr>
                        </w:pPr>
                        <w:r>
                          <w:rPr>
                            <w:color w:val="FFFFFF"/>
                            <w:sz w:val="68"/>
                          </w:rPr>
                          <w:t xml:space="preserve">CEPT Report </w:t>
                        </w:r>
                        <w:r>
                          <w:rPr>
                            <w:color w:val="D2232A"/>
                            <w:sz w:val="68"/>
                          </w:rPr>
                          <w:t>71</w:t>
                        </w:r>
                      </w:p>
                    </w:txbxContent>
                  </v:textbox>
                </v:shape>
                <v:group id="Group 36" o:spid="_x0000_s1029" style="position:absolute;left:1304;top:2744;width:2683;height:2464" coordorigin="1304,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Line 30" o:spid="_x0000_s1030" style="position:absolute;rotation:45;visibility:visible;mso-wrap-style:square" from="2138,2646" to="2152,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NucUAAADbAAAADwAAAGRycy9kb3ducmV2LnhtbESPQWvCQBCF74X+h2UK3urGSkMaXaWU&#10;ilZ6qVW8DtkxCWZnw+6q6b/vHAq9zfDevPfNfDm4Tl0pxNazgck4A0VcedtybWD/vXosQMWEbLHz&#10;TAZ+KMJycX83x9L6G3/RdZdqJSEcSzTQpNSXWseqIYdx7Hti0U4+OEyyhlrbgDcJd51+yrJcO2xZ&#10;Ghrs6a2h6ry7OAPr4vM9P1Yv7RZDXhxWl4/jdvpszOhheJ2BSjSkf/Pf9cYKvsDKLzKA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wNucUAAADbAAAADwAAAAAAAAAA&#10;AAAAAAChAgAAZHJzL2Rvd25yZXYueG1sUEsFBgAAAAAEAAQA+QAAAJMDAAAAAA==&#10;" strokecolor="#d2232a" strokeweight="15pt"/>
                  <v:line id="Line 31" o:spid="_x0000_s1031" style="position:absolute;rotation:-45;flip:x;visibility:visible;mso-wrap-style:square" from="1447,4478" to="287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JkMEAAADbAAAADwAAAGRycy9kb3ducmV2LnhtbERPyWrDMBC9F/IPYgK91XICDo1j2YRA&#10;oD21WXrobWKNl9YaGUuNnb+PCoXe5vHWyYrJdOJKg2stK1hEMQji0uqWawXn0/7pGYTzyBo7y6Tg&#10;Rg6KfPaQYartyAe6Hn0tQgi7FBU03veplK5syKCLbE8cuMoOBn2AQy31gGMIN51cxvFKGmw5NDTY&#10;066h8vv4YxTQhT6+KiJ8T1afialv8nXv3pR6nE/bDQhPk/8X/7lfdJi/ht9fwgEy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8mQwQAAANsAAAAPAAAAAAAAAAAAAAAA&#10;AKECAABkcnMvZG93bnJldi54bWxQSwUGAAAAAAQABAD5AAAAjwMAAAAA&#10;" strokecolor="#d2232a" strokeweight="15pt"/>
                  <v:line id="Line 32" o:spid="_x0000_s1032" style="position:absolute;rotation:-45;flip:x;visibility:visible;mso-wrap-style:square" from="3225,3653" to="3226,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3Q0MIAAADbAAAADwAAAGRycy9kb3ducmV2LnhtbERPz2vCMBS+D/wfwhN2GTOdA5HaVFRQ&#10;tsPA1iEeH81bW9a8dEms3X+/HAYeP77f2Xo0nRjI+daygpdZAoK4srrlWsHnaf+8BOEDssbOMin4&#10;JQ/rfPKQYartjQsaylCLGMI+RQVNCH0qpa8aMuhntieO3Jd1BkOErpba4S2Gm07Ok2QhDbYcGxrs&#10;addQ9V1ejYKr+0F3eNri+XjehO7yWrwPH4VSj9NxswIRaAx38b/7TSuYx/XxS/wBM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3Q0MIAAADbAAAADwAAAAAAAAAAAAAA&#10;AAChAgAAZHJzL2Rvd25yZXYueG1sUEsFBgAAAAAEAAQA+QAAAJADAAAAAA==&#10;" strokecolor="white" strokeweight="15pt"/>
                  <v:line id="Line 33" o:spid="_x0000_s1033" style="position:absolute;rotation:-45;flip:x;visibility:visible;mso-wrap-style:square" from="2439,3520" to="3987,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F1S8QAAADbAAAADwAAAGRycy9kb3ducmV2LnhtbESPQWvCQBSE7wX/w/IEL6VuVBBJXUWF&#10;SnsQGi3S4yP7TILZt+nuGuO/dwuCx2FmvmHmy87UoiXnK8sKRsMEBHFudcWFgp/Dx9sMhA/IGmvL&#10;pOBGHpaL3sscU22vnFG7D4WIEPYpKihDaFIpfV6SQT+0DXH0TtYZDFG6QmqH1wg3tRwnyVQarDgu&#10;lNjQpqT8vL8YBRf3h277usbj93EV6t9J9tXuMqUG/W71DiJQF57hR/tTKxiP4P9L/AF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8XVLxAAAANsAAAAPAAAAAAAAAAAA&#10;AAAAAKECAABkcnMvZG93bnJldi54bWxQSwUGAAAAAAQABAD5AAAAkgMAAAAA&#10;" strokecolor="white" strokeweight="15pt"/>
                  <v:line id="Line 34" o:spid="_x0000_s1034" style="position:absolute;visibility:visible;mso-wrap-style:square" from="2670,2744" to="267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rsOMQAAADbAAAADwAAAGRycy9kb3ducmV2LnhtbESPQWvCQBSE74L/YXmF3nRjSouNriKC&#10;0oI9RKXnR/aZDc2+jdk1pv/eFQSPw8x8w8yXva1FR62vHCuYjBMQxIXTFZcKjofNaArCB2SNtWNS&#10;8E8elovhYI6ZdlfOqduHUkQI+wwVmBCaTEpfGLLox64hjt7JtRZDlG0pdYvXCLe1TJPkQ1qsOC4Y&#10;bGhtqPjbX6yC789Lfvgxb+/nye+26fIEN7v8rNTrS7+agQjUh2f40f7SCtIU7l/iD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Guw4xAAAANsAAAAPAAAAAAAAAAAA&#10;AAAAAKECAABkcnMvZG93bnJldi54bWxQSwUGAAAAAAQABAD5AAAAkgMAAAAA&#10;" strokecolor="#828282" strokeweight="15.5pt"/>
                </v:group>
              </v:group>
            </w:pict>
          </mc:Fallback>
        </mc:AlternateContent>
      </w:r>
    </w:p>
    <w:p w14:paraId="0A7D774D" w14:textId="77777777" w:rsidR="00C12AB8" w:rsidRDefault="00C12AB8">
      <w:pPr>
        <w:rPr>
          <w:lang w:val="en-GB"/>
        </w:rPr>
      </w:pPr>
    </w:p>
    <w:p w14:paraId="0A7D774E" w14:textId="77777777" w:rsidR="00C12AB8" w:rsidRDefault="00C12AB8">
      <w:pPr>
        <w:rPr>
          <w:lang w:val="en-GB"/>
        </w:rPr>
      </w:pPr>
    </w:p>
    <w:p w14:paraId="0A7D774F" w14:textId="77777777" w:rsidR="00C12AB8" w:rsidRDefault="00155EB5">
      <w:pPr>
        <w:jc w:val="center"/>
        <w:rPr>
          <w:b/>
          <w:sz w:val="24"/>
          <w:lang w:val="en-GB"/>
        </w:rPr>
      </w:pPr>
      <w:r>
        <w:rPr>
          <w:b/>
          <w:noProof/>
          <w:sz w:val="24"/>
          <w:szCs w:val="20"/>
          <w:lang w:val="da-DK" w:eastAsia="da-DK"/>
        </w:rPr>
        <mc:AlternateContent>
          <mc:Choice Requires="wpg">
            <w:drawing>
              <wp:anchor distT="0" distB="0" distL="114300" distR="114300" simplePos="0" relativeHeight="251657216" behindDoc="0" locked="0" layoutInCell="1" allowOverlap="1" wp14:anchorId="0A7D7D44" wp14:editId="0A7D7D45">
                <wp:simplePos x="0" y="0"/>
                <wp:positionH relativeFrom="page">
                  <wp:posOffset>1560195</wp:posOffset>
                </wp:positionH>
                <wp:positionV relativeFrom="paragraph">
                  <wp:posOffset>102870</wp:posOffset>
                </wp:positionV>
                <wp:extent cx="987425" cy="1069340"/>
                <wp:effectExtent l="0" t="0" r="0" b="416560"/>
                <wp:wrapNone/>
                <wp:docPr id="8" name="Group 18"/>
                <wp:cNvGraphicFramePr/>
                <a:graphic xmlns:a="http://schemas.openxmlformats.org/drawingml/2006/main">
                  <a:graphicData uri="http://schemas.microsoft.com/office/word/2010/wordprocessingGroup">
                    <wpg:wgp>
                      <wpg:cNvGrpSpPr/>
                      <wpg:grpSpPr>
                        <a:xfrm>
                          <a:off x="0" y="0"/>
                          <a:ext cx="987425" cy="1069340"/>
                          <a:chOff x="1575" y="2747"/>
                          <a:chExt cx="1555" cy="1684"/>
                        </a:xfrm>
                      </wpg:grpSpPr>
                      <wps:wsp>
                        <wps:cNvPr id="11" name="Line 13"/>
                        <wps:cNvCnPr/>
                        <wps:spPr bwMode="auto">
                          <a:xfrm rot="2700000" flipH="1">
                            <a:off x="2352" y="3653"/>
                            <a:ext cx="1" cy="1555"/>
                          </a:xfrm>
                          <a:prstGeom prst="line">
                            <a:avLst/>
                          </a:prstGeom>
                          <a:noFill/>
                          <a:ln w="190500">
                            <a:solidFill>
                              <a:srgbClr val="FFFFFF"/>
                            </a:solidFill>
                            <a:round/>
                          </a:ln>
                        </wps:spPr>
                        <wps:bodyPr/>
                      </wps:wsp>
                      <wps:wsp>
                        <wps:cNvPr id="12" name="Line 14"/>
                        <wps:cNvCnPr/>
                        <wps:spPr bwMode="auto">
                          <a:xfrm rot="2700000" flipH="1">
                            <a:off x="1566" y="3520"/>
                            <a:ext cx="1548" cy="1"/>
                          </a:xfrm>
                          <a:prstGeom prst="line">
                            <a:avLst/>
                          </a:prstGeom>
                          <a:noFill/>
                          <a:ln w="190500">
                            <a:solidFill>
                              <a:srgbClr val="FFFFFF"/>
                            </a:solidFill>
                            <a:round/>
                          </a:ln>
                        </wps:spPr>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D27CF8" id="Group 18" o:spid="_x0000_s1026" style="position:absolute;margin-left:122.85pt;margin-top:8.1pt;width:77.75pt;height:84.2pt;z-index:251657216;mso-position-horizontal-relative:page" coordorigin="1575,2747" coordsize="1555,1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UFTQIAABwGAAAOAAAAZHJzL2Uyb0RvYy54bWzUlM1y2yAQx++d6Tsw3Gt92JJtjeUckto9&#10;pE1m0j4ARuhjBgED2HLevstKdtL0lraH6oDNLuwuv//C5ubcS3IS1nValTSZxZQIxXXVqaakP77v&#10;Pq0ocZ6pikmtREmfhaM3248fNoMpRKpbLSthCQRRrhhMSVvvTRFFjreiZ26mjVDgrLXtmYepbaLK&#10;sgGi9zJK4ziPBm0rYzUXzoH1bnTSLcava8H9Q1074YksKdTmcbQ4HsIYbTesaCwzbcenMtg7quhZ&#10;pyDpNdQd84wcbfdbqL7jVjtd+xnXfaTruuMCzwCnSeI3p9lbfTR4lqYYGnPFBGjfcHp3WP7t9GhJ&#10;V5UUhFKsB4kwK0lWgc1gmgKW7K15Mo92MjTjLBz3XNs+/MJByBmpPl+pirMnHIzr1XKRZpRwcCVx&#10;vp4vJuy8BW3CtiRbgh/c6XKxHCXh7edpe5Jll835ahG80SVvFMq7VjMYaCH3Qsn9GaWnlhmB8F1A&#10;MFFKkgum+04JksxHSrjkVk2IXOGAFjkMX3UFQNnRa2yOQItYDU2YLuPwUVLLznwBAuifKKbzLEUc&#10;8zzD+Ky4sITsiDEweU2CFcY6vxe6J+FPSSVUhzHZ6d75cellSRBM6V0nJdhZIRUZoIJ1nEFBweC0&#10;7KrgxoltDrfSkhODG7TDb8r8yzLoVFWNaaQCiYIYAUJoIVccdPWMbNAOIo3mf68WcBybelQL2ycU&#10;BIL+LbWSLM9HtbJ0auyrWtkCbhUK9p+rhTcNniC8fNNzGd6413NU/eVR3/4EAAD//wMAUEsDBBQA&#10;BgAIAAAAIQCdWcpV4AAAAAoBAAAPAAAAZHJzL2Rvd25yZXYueG1sTI9BS8NAEIXvgv9hGcGb3SSm&#10;scRsSinqqQi2gnjbZqdJaHY2ZLdJ+u8dT3qbmfd4871iPdtOjDj41pGCeBGBQKqcaalW8Hl4fViB&#10;8EGT0Z0jVHBFD+vy9qbQuXETfeC4D7XgEPK5VtCE0OdS+qpBq/3C9UisndxgdeB1qKUZ9MThtpNJ&#10;FGXS6pb4Q6N73DZYnfcXq+Bt0tPmMX4Zd+fT9vp9WL5/7WJU6v5u3jyDCDiHPzP84jM6lMx0dBcy&#10;XnQKknT5xFYWsgQEG9Io5uHIh1WagSwL+b9C+QMAAP//AwBQSwECLQAUAAYACAAAACEAtoM4kv4A&#10;AADhAQAAEwAAAAAAAAAAAAAAAAAAAAAAW0NvbnRlbnRfVHlwZXNdLnhtbFBLAQItABQABgAIAAAA&#10;IQA4/SH/1gAAAJQBAAALAAAAAAAAAAAAAAAAAC8BAABfcmVscy8ucmVsc1BLAQItABQABgAIAAAA&#10;IQDLkCUFTQIAABwGAAAOAAAAAAAAAAAAAAAAAC4CAABkcnMvZTJvRG9jLnhtbFBLAQItABQABgAI&#10;AAAAIQCdWcpV4AAAAAoBAAAPAAAAAAAAAAAAAAAAAKcEAABkcnMvZG93bnJldi54bWxQSwUGAAAA&#10;AAQABADzAAAAtAUAAAAA&#10;">
                <v:line id="Line 13" o:spid="_x0000_s1027"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28"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w10:wrap anchorx="page"/>
              </v:group>
            </w:pict>
          </mc:Fallback>
        </mc:AlternateContent>
      </w:r>
    </w:p>
    <w:p w14:paraId="0A7D7750" w14:textId="77777777" w:rsidR="00C12AB8" w:rsidRDefault="00C12AB8">
      <w:pPr>
        <w:jc w:val="center"/>
        <w:rPr>
          <w:b/>
          <w:sz w:val="24"/>
          <w:lang w:val="en-GB"/>
        </w:rPr>
      </w:pPr>
    </w:p>
    <w:p w14:paraId="0A7D7751" w14:textId="77777777" w:rsidR="00C12AB8" w:rsidRDefault="00C12AB8">
      <w:pPr>
        <w:jc w:val="center"/>
        <w:rPr>
          <w:b/>
          <w:sz w:val="24"/>
          <w:lang w:val="en-GB"/>
        </w:rPr>
      </w:pPr>
    </w:p>
    <w:p w14:paraId="0A7D7752" w14:textId="77777777" w:rsidR="00C12AB8" w:rsidRDefault="00C12AB8">
      <w:pPr>
        <w:jc w:val="center"/>
        <w:rPr>
          <w:b/>
          <w:sz w:val="24"/>
          <w:lang w:val="en-GB"/>
        </w:rPr>
      </w:pPr>
    </w:p>
    <w:p w14:paraId="0A7D7753" w14:textId="77777777" w:rsidR="00C12AB8" w:rsidRDefault="00C12AB8">
      <w:pPr>
        <w:jc w:val="center"/>
        <w:rPr>
          <w:b/>
          <w:sz w:val="24"/>
          <w:lang w:val="en-GB"/>
        </w:rPr>
      </w:pPr>
    </w:p>
    <w:p w14:paraId="0A7D7754" w14:textId="77777777" w:rsidR="00C12AB8" w:rsidRDefault="00155EB5">
      <w:pPr>
        <w:pStyle w:val="Reporttitledescription"/>
        <w:rPr>
          <w:lang w:val="en-GB"/>
        </w:rPr>
      </w:pPr>
      <w:r>
        <w:rPr>
          <w:lang w:val="en-GB"/>
        </w:rPr>
        <w:fldChar w:fldCharType="begin">
          <w:ffData>
            <w:name w:val="Text7"/>
            <w:enabled/>
            <w:calcOnExit w:val="0"/>
            <w:textInput>
              <w:default w:val="Report from CEPT to the European Commission in response to the Mandate "/>
            </w:textInput>
          </w:ffData>
        </w:fldChar>
      </w:r>
      <w:r>
        <w:rPr>
          <w:lang w:val="en-GB"/>
        </w:rPr>
        <w:instrText xml:space="preserve"> </w:instrText>
      </w:r>
      <w:bookmarkStart w:id="1" w:name="Text7"/>
      <w:r>
        <w:rPr>
          <w:lang w:val="en-GB"/>
        </w:rPr>
        <w:instrText xml:space="preserve">FORMTEXT </w:instrText>
      </w:r>
      <w:r>
        <w:rPr>
          <w:lang w:val="en-GB"/>
        </w:rPr>
      </w:r>
      <w:r>
        <w:rPr>
          <w:lang w:val="en-GB"/>
        </w:rPr>
        <w:fldChar w:fldCharType="separate"/>
      </w:r>
      <w:r>
        <w:rPr>
          <w:noProof/>
          <w:lang w:val="en-GB"/>
        </w:rPr>
        <w:t xml:space="preserve">Report from CEPT to the European Commission in response to the Mandate </w:t>
      </w:r>
      <w:r>
        <w:rPr>
          <w:lang w:val="en-GB"/>
        </w:rPr>
        <w:fldChar w:fldCharType="end"/>
      </w:r>
      <w:bookmarkEnd w:id="1"/>
    </w:p>
    <w:p w14:paraId="0A7D7755" w14:textId="77777777" w:rsidR="00C12AB8" w:rsidRDefault="00155EB5">
      <w:pPr>
        <w:pStyle w:val="Reporttitledescription"/>
        <w:rPr>
          <w:lang w:val="en-GB"/>
        </w:rPr>
      </w:pPr>
      <w:proofErr w:type="gramStart"/>
      <w:r>
        <w:rPr>
          <w:lang w:val="en-GB"/>
        </w:rPr>
        <w:t>to</w:t>
      </w:r>
      <w:proofErr w:type="gramEnd"/>
      <w:r>
        <w:rPr>
          <w:lang w:val="en-GB"/>
        </w:rPr>
        <w:t xml:space="preserve"> study the extension of the Intelligent Transport Systems (ITS) safety-related band at 5.9 GHz</w:t>
      </w:r>
    </w:p>
    <w:bookmarkStart w:id="2" w:name="Text8"/>
    <w:p w14:paraId="0A7D7756" w14:textId="4B6B0A01" w:rsidR="008E7112" w:rsidRPr="005A00E5" w:rsidRDefault="00DB3762" w:rsidP="008E7112">
      <w:pPr>
        <w:pStyle w:val="Reporttitledescription"/>
        <w:rPr>
          <w:b/>
          <w:sz w:val="18"/>
        </w:rPr>
      </w:pPr>
      <w:r>
        <w:rPr>
          <w:b/>
          <w:sz w:val="18"/>
        </w:rPr>
        <w:fldChar w:fldCharType="begin">
          <w:ffData>
            <w:name w:val=""/>
            <w:enabled/>
            <w:calcOnExit w:val="0"/>
            <w:textInput>
              <w:default w:val="Report approved on 8 March 2019 by the ECC"/>
            </w:textInput>
          </w:ffData>
        </w:fldChar>
      </w:r>
      <w:r>
        <w:rPr>
          <w:b/>
          <w:sz w:val="18"/>
        </w:rPr>
        <w:instrText xml:space="preserve"> FORMTEXT </w:instrText>
      </w:r>
      <w:r>
        <w:rPr>
          <w:b/>
          <w:sz w:val="18"/>
        </w:rPr>
      </w:r>
      <w:r>
        <w:rPr>
          <w:b/>
          <w:sz w:val="18"/>
        </w:rPr>
        <w:fldChar w:fldCharType="separate"/>
      </w:r>
      <w:r>
        <w:rPr>
          <w:b/>
          <w:noProof/>
          <w:sz w:val="18"/>
        </w:rPr>
        <w:t>Report approved on 8 March 2019 by the ECC</w:t>
      </w:r>
      <w:r>
        <w:rPr>
          <w:b/>
          <w:sz w:val="18"/>
        </w:rPr>
        <w:fldChar w:fldCharType="end"/>
      </w:r>
    </w:p>
    <w:p w14:paraId="0A7D7757" w14:textId="77777777" w:rsidR="008E7112" w:rsidRPr="0025393F" w:rsidRDefault="008E7112" w:rsidP="008E7112">
      <w:pPr>
        <w:pStyle w:val="Lastupdated"/>
        <w:rPr>
          <w:b/>
          <w:lang w:val="en-GB"/>
        </w:rPr>
      </w:pPr>
      <w:r>
        <w:rPr>
          <w:b/>
        </w:rPr>
        <w:fldChar w:fldCharType="begin">
          <w:ffData>
            <w:name w:val="Text3"/>
            <w:enabled/>
            <w:calcOnExit w:val="0"/>
            <w:textInput/>
          </w:ffData>
        </w:fldChar>
      </w:r>
      <w:bookmarkStart w:id="3" w:name="Text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
    </w:p>
    <w:bookmarkEnd w:id="2"/>
    <w:p w14:paraId="0A7D775C" w14:textId="77777777" w:rsidR="00C12AB8" w:rsidRDefault="00C12AB8">
      <w:pPr>
        <w:pStyle w:val="Lastupdated"/>
        <w:rPr>
          <w:b/>
          <w:lang w:val="en-GB"/>
        </w:rPr>
      </w:pPr>
    </w:p>
    <w:p w14:paraId="0A7D775D" w14:textId="77777777" w:rsidR="00C12AB8" w:rsidRDefault="00C12AB8">
      <w:pPr>
        <w:pStyle w:val="Lastupdated"/>
        <w:rPr>
          <w:b/>
          <w:lang w:val="en-GB"/>
        </w:rPr>
      </w:pPr>
    </w:p>
    <w:p w14:paraId="0A7D775E" w14:textId="77777777" w:rsidR="00C12AB8" w:rsidRDefault="00C12AB8">
      <w:pPr>
        <w:rPr>
          <w:lang w:val="en-GB"/>
        </w:rPr>
        <w:sectPr w:rsidR="00C12AB8">
          <w:headerReference w:type="even" r:id="rId10"/>
          <w:headerReference w:type="default" r:id="rId11"/>
          <w:headerReference w:type="first" r:id="rId12"/>
          <w:pgSz w:w="11907" w:h="16840"/>
          <w:pgMar w:top="1440" w:right="1134" w:bottom="1440" w:left="1134" w:header="709" w:footer="709" w:gutter="0"/>
          <w:cols w:space="708"/>
          <w:titlePg/>
          <w:docGrid w:linePitch="360"/>
        </w:sectPr>
      </w:pPr>
    </w:p>
    <w:p w14:paraId="0A7D775F" w14:textId="77777777" w:rsidR="00C12AB8" w:rsidRDefault="00155EB5">
      <w:pPr>
        <w:pStyle w:val="Heading1"/>
      </w:pPr>
      <w:bookmarkStart w:id="4" w:name="_Toc856018"/>
      <w:r>
        <w:lastRenderedPageBreak/>
        <w:t>Executive summary</w:t>
      </w:r>
      <w:bookmarkEnd w:id="4"/>
    </w:p>
    <w:p w14:paraId="0A7D7760" w14:textId="2E95FD60" w:rsidR="00C12AB8" w:rsidRPr="00950ED4" w:rsidRDefault="00155EB5" w:rsidP="00306CBE">
      <w:pPr>
        <w:pStyle w:val="ECCParagraph"/>
        <w:spacing w:line="240" w:lineRule="auto"/>
      </w:pPr>
      <w:r w:rsidRPr="00950ED4">
        <w:t xml:space="preserve">This Report describes the possibilities for the extension of the Intelligent Transport Systems (ITS) safety-related band at 5.9 GHz. It has been developed in the 2017-2019 timeframe by the European Conference of Postal and Telecommunications Administrations (CEPT) in response to the mandate </w:t>
      </w:r>
      <w:r w:rsidR="0024132D">
        <w:t>from the European Commission (EC)</w:t>
      </w:r>
      <w:r w:rsidRPr="00950ED4">
        <w:t xml:space="preserve"> to study the extension of the Intelligent Transport Systems (ITS) safety-related band at 5.9 GHz.</w:t>
      </w:r>
    </w:p>
    <w:p w14:paraId="0A7D7761" w14:textId="77777777" w:rsidR="00C12AB8" w:rsidRPr="00950ED4" w:rsidRDefault="00155EB5" w:rsidP="00306CBE">
      <w:pPr>
        <w:pStyle w:val="ECCParagraph"/>
        <w:spacing w:line="240" w:lineRule="auto"/>
      </w:pPr>
      <w:r w:rsidRPr="00950ED4">
        <w:t>In particular, the purpose of this mandate is to study the possibility of:</w:t>
      </w:r>
    </w:p>
    <w:p w14:paraId="0A7D7762" w14:textId="4B261621" w:rsidR="00C12AB8" w:rsidRDefault="00155EB5">
      <w:pPr>
        <w:pStyle w:val="ECCParBulleted"/>
      </w:pPr>
      <w:r>
        <w:t>extending the upper edge of the EC harmonised safety-related ITS band (5875-5905 MHz) by 20 MHz up to 5925 MHz</w:t>
      </w:r>
      <w:r w:rsidR="009F08CA">
        <w:t>;</w:t>
      </w:r>
    </w:p>
    <w:p w14:paraId="0A7D7763" w14:textId="77777777" w:rsidR="00C12AB8" w:rsidRDefault="00155EB5">
      <w:pPr>
        <w:pStyle w:val="ECCParBulleted"/>
      </w:pPr>
      <w:proofErr w:type="gramStart"/>
      <w:r>
        <w:t>allowing</w:t>
      </w:r>
      <w:proofErr w:type="gramEnd"/>
      <w:r>
        <w:t>, in addition to road transport, other means of transport such as Urban Rail</w:t>
      </w:r>
      <w:r>
        <w:rPr>
          <w:rStyle w:val="FootnoteReference"/>
        </w:rPr>
        <w:footnoteReference w:id="1"/>
      </w:r>
      <w:r>
        <w:t>,</w:t>
      </w:r>
      <w:r w:rsidR="00C05C04">
        <w:t xml:space="preserve"> </w:t>
      </w:r>
      <w:r>
        <w:t>using Communication Based Train Control (CBTC), in the EC harmonised safety-related ITS band.</w:t>
      </w:r>
    </w:p>
    <w:p w14:paraId="0A7D7764" w14:textId="77777777" w:rsidR="00CD3711" w:rsidRDefault="00CD3711" w:rsidP="00306CBE">
      <w:pPr>
        <w:pStyle w:val="ECCParagraph"/>
        <w:spacing w:line="240" w:lineRule="auto"/>
      </w:pPr>
    </w:p>
    <w:p w14:paraId="0A7D7766" w14:textId="66DC793F" w:rsidR="00435962" w:rsidRDefault="00435962" w:rsidP="00306CBE">
      <w:pPr>
        <w:pStyle w:val="ECCParagraph"/>
        <w:spacing w:line="240" w:lineRule="auto"/>
      </w:pPr>
      <w:r w:rsidRPr="00435962">
        <w:rPr>
          <w:lang w:val="en-US"/>
        </w:rPr>
        <w:t xml:space="preserve">Road ITS does not exclude any kind of ground-based transportation systems, </w:t>
      </w:r>
      <w:r w:rsidR="009A0AE5">
        <w:rPr>
          <w:lang w:val="en-US"/>
        </w:rPr>
        <w:t>e.g.</w:t>
      </w:r>
      <w:r w:rsidRPr="00435962">
        <w:rPr>
          <w:lang w:val="en-US"/>
        </w:rPr>
        <w:t xml:space="preserve"> cars, trucks, bicycles, motor bicycles, tramways, pedestrians, constructions equipment, agricultural equipment, etc.</w:t>
      </w:r>
    </w:p>
    <w:p w14:paraId="0A7D7767" w14:textId="15BB1A0C" w:rsidR="00C12AB8" w:rsidRDefault="00155EB5" w:rsidP="00306CBE">
      <w:pPr>
        <w:pStyle w:val="ECCParagraph"/>
        <w:spacing w:line="240" w:lineRule="auto"/>
      </w:pPr>
      <w:r>
        <w:t xml:space="preserve">Additional information with focus on the Urban Rail ITS and Road ITS spectrum sharing solutions is provided in ECC Report 290 </w:t>
      </w:r>
      <w:r>
        <w:fldChar w:fldCharType="begin"/>
      </w:r>
      <w:r>
        <w:instrText xml:space="preserve"> REF _Ref524887904 \r \h </w:instrText>
      </w:r>
      <w:r>
        <w:fldChar w:fldCharType="separate"/>
      </w:r>
      <w:r w:rsidR="00BB544A">
        <w:t>[1]</w:t>
      </w:r>
      <w:r>
        <w:fldChar w:fldCharType="end"/>
      </w:r>
      <w:r>
        <w:t xml:space="preserve">. Considerations for </w:t>
      </w:r>
      <w:r w:rsidR="0024132D">
        <w:t xml:space="preserve">non-safety </w:t>
      </w:r>
      <w:r>
        <w:t xml:space="preserve">ITS applications operating in 5855-5875 MHz are outside of the scope of this Report and handled in CEPT Report 70 </w:t>
      </w:r>
      <w:r>
        <w:fldChar w:fldCharType="begin"/>
      </w:r>
      <w:r>
        <w:instrText xml:space="preserve"> REF _Ref524888028 \r \h </w:instrText>
      </w:r>
      <w:r>
        <w:fldChar w:fldCharType="separate"/>
      </w:r>
      <w:r w:rsidR="00BB544A">
        <w:t>[2]</w:t>
      </w:r>
      <w:r>
        <w:fldChar w:fldCharType="end"/>
      </w:r>
      <w:r>
        <w:t xml:space="preserve"> in response to the permanent mandate to CEPT on SRD (7</w:t>
      </w:r>
      <w:r>
        <w:rPr>
          <w:vertAlign w:val="superscript"/>
        </w:rPr>
        <w:t>th</w:t>
      </w:r>
      <w:r>
        <w:t xml:space="preserve"> Update).</w:t>
      </w:r>
    </w:p>
    <w:p w14:paraId="0A7D7768" w14:textId="77777777" w:rsidR="00C12AB8" w:rsidRDefault="00155EB5" w:rsidP="00306CBE">
      <w:pPr>
        <w:spacing w:after="240" w:line="240" w:lineRule="auto"/>
        <w:rPr>
          <w:b/>
          <w:lang w:val="en-GB"/>
        </w:rPr>
      </w:pPr>
      <w:r>
        <w:rPr>
          <w:b/>
          <w:lang w:val="en-GB"/>
        </w:rPr>
        <w:t xml:space="preserve">This Report is intended as a basis for the amendment of the Commission Decision 2008/671/EC </w:t>
      </w:r>
      <w:r w:rsidR="0078303C">
        <w:fldChar w:fldCharType="begin"/>
      </w:r>
      <w:r w:rsidR="0078303C">
        <w:instrText xml:space="preserve"> REF _Ref528312467 \r \h </w:instrText>
      </w:r>
      <w:r w:rsidR="0078303C">
        <w:fldChar w:fldCharType="separate"/>
      </w:r>
      <w:r w:rsidR="005759B6">
        <w:t>[27]</w:t>
      </w:r>
      <w:r w:rsidR="0078303C">
        <w:fldChar w:fldCharType="end"/>
      </w:r>
      <w:r>
        <w:rPr>
          <w:b/>
          <w:lang w:val="en-GB"/>
        </w:rPr>
        <w:t xml:space="preserve"> on ITS. </w:t>
      </w:r>
    </w:p>
    <w:p w14:paraId="0A7D7769" w14:textId="77777777" w:rsidR="00C12AB8" w:rsidRDefault="00155EB5" w:rsidP="00306CBE">
      <w:pPr>
        <w:pStyle w:val="ECCParBulleted"/>
        <w:numPr>
          <w:ilvl w:val="0"/>
          <w:numId w:val="0"/>
        </w:numPr>
        <w:spacing w:after="240" w:line="240" w:lineRule="auto"/>
        <w:ind w:left="340" w:hanging="340"/>
      </w:pPr>
      <w:r>
        <w:t xml:space="preserve">The European Commission is </w:t>
      </w:r>
      <w:r w:rsidR="002F608A">
        <w:t xml:space="preserve">invited </w:t>
      </w:r>
      <w:r>
        <w:t>to consider the following:</w:t>
      </w:r>
    </w:p>
    <w:p w14:paraId="0A7D776A" w14:textId="77777777" w:rsidR="00C12AB8" w:rsidRDefault="00155EB5" w:rsidP="0005124A">
      <w:pPr>
        <w:pStyle w:val="ECCBulletsLv1"/>
        <w:ind w:left="357" w:hanging="357"/>
      </w:pPr>
      <w:r>
        <w:t xml:space="preserve">Road ITS and Urban Rail ITS applications should be part of the same </w:t>
      </w:r>
      <w:r w:rsidR="0024132D">
        <w:t xml:space="preserve">spectrum </w:t>
      </w:r>
      <w:r>
        <w:t>regulatory framework;</w:t>
      </w:r>
    </w:p>
    <w:p w14:paraId="0A7D776B" w14:textId="77777777" w:rsidR="00C12AB8" w:rsidRDefault="00155EB5" w:rsidP="00142E87">
      <w:pPr>
        <w:pStyle w:val="ECCBulletsLv1"/>
        <w:ind w:left="357" w:hanging="357"/>
      </w:pPr>
      <w:r>
        <w:t xml:space="preserve">Urban Rail ITS (such as CBTC) applications </w:t>
      </w:r>
      <w:r w:rsidR="00023631" w:rsidRPr="00023631">
        <w:t xml:space="preserve">in some CEPT countries </w:t>
      </w:r>
      <w:r>
        <w:t xml:space="preserve">are currently using frequencies in 5905-5935 MHz and conversely Road ITS applications </w:t>
      </w:r>
      <w:r w:rsidR="009A0AE5">
        <w:t xml:space="preserve">in some CEPT countries </w:t>
      </w:r>
      <w:r>
        <w:t>are currently using frequencies in 5875-5905 MHz;</w:t>
      </w:r>
    </w:p>
    <w:p w14:paraId="0A7D776C" w14:textId="321EC57B" w:rsidR="00C12AB8" w:rsidRDefault="00155EB5" w:rsidP="00142E87">
      <w:pPr>
        <w:pStyle w:val="ECCBulletsLv1"/>
        <w:ind w:left="357" w:hanging="357"/>
      </w:pPr>
      <w:r>
        <w:t>Technical conditions to be defined by CEPT for RLAN operating above</w:t>
      </w:r>
      <w:r w:rsidR="00C05C04">
        <w:t xml:space="preserve"> </w:t>
      </w:r>
      <w:r>
        <w:t xml:space="preserve">5935 MHz </w:t>
      </w:r>
      <w:r w:rsidR="00023631" w:rsidRPr="00023631">
        <w:t>need to address</w:t>
      </w:r>
      <w:r>
        <w:t xml:space="preserve"> coexistence with Urban Rail ITS applications below 5935 MHz and Road ITS below 5925 MHz (e.g. out-of-band emission limit requirements and blocking scenario);</w:t>
      </w:r>
    </w:p>
    <w:p w14:paraId="0A7D776D" w14:textId="77777777" w:rsidR="00C12AB8" w:rsidRDefault="00155EB5" w:rsidP="0005124A">
      <w:pPr>
        <w:pStyle w:val="ECCBulletsLv1"/>
        <w:ind w:left="357" w:hanging="357"/>
      </w:pPr>
      <w:r>
        <w:t xml:space="preserve">FS applications are widespread above 5925 MHz, and therefore Road ITS applications are not considered </w:t>
      </w:r>
      <w:r w:rsidR="001378BA">
        <w:t xml:space="preserve">in this Report </w:t>
      </w:r>
      <w:r>
        <w:t>above 5925 MHz unless a proper study is performed;</w:t>
      </w:r>
    </w:p>
    <w:p w14:paraId="0A7D776E" w14:textId="77777777" w:rsidR="00C12AB8" w:rsidRDefault="00155EB5" w:rsidP="0005124A">
      <w:pPr>
        <w:pStyle w:val="ECCBulletsLv1"/>
        <w:ind w:left="357" w:hanging="357"/>
      </w:pPr>
      <w:r>
        <w:t>Technical solutions already deployed should stay available for maintenance and evolution and the continued rollout of these systems should not be unduly hindered by a change of the spectrum regulatory environment;</w:t>
      </w:r>
    </w:p>
    <w:p w14:paraId="0A7D776F" w14:textId="77777777" w:rsidR="00C12AB8" w:rsidRDefault="00155EB5" w:rsidP="0005124A">
      <w:pPr>
        <w:pStyle w:val="ECCBulletsLv1"/>
        <w:ind w:left="357" w:hanging="357"/>
      </w:pPr>
      <w:proofErr w:type="gramStart"/>
      <w:r>
        <w:t>The ITS</w:t>
      </w:r>
      <w:proofErr w:type="gramEnd"/>
      <w:r>
        <w:t xml:space="preserve">-G5 control channel is located in 5895-5905 MHz. This does not imply exclusive access to this specific channel for ITS-G5. Other technologies such as LTE V2X should be able to access 5895-5905 MHz </w:t>
      </w:r>
      <w:r w:rsidR="00FD636B" w:rsidRPr="00FD636B">
        <w:rPr>
          <w:lang w:val="en-US"/>
        </w:rPr>
        <w:t xml:space="preserve">on a basis of fair and equal spectrum access </w:t>
      </w:r>
      <w:r>
        <w:t>and solutions should be found in ETSI;</w:t>
      </w:r>
    </w:p>
    <w:p w14:paraId="0A7D7770" w14:textId="22E5281A" w:rsidR="00C12AB8" w:rsidRDefault="00155EB5" w:rsidP="0005124A">
      <w:pPr>
        <w:pStyle w:val="ECCBulletsLv1"/>
        <w:ind w:left="357" w:hanging="357"/>
      </w:pPr>
      <w:r>
        <w:t>The frequency regulation should target technology neutrality, enable early launch of Road ITS products, yet take special care to avoid one technology pre</w:t>
      </w:r>
      <w:r w:rsidR="00C05C04">
        <w:t>-</w:t>
      </w:r>
      <w:r>
        <w:t>empt all the spectrum or interfere other technologies ;</w:t>
      </w:r>
    </w:p>
    <w:p w14:paraId="0A7D7771" w14:textId="2E91B96D" w:rsidR="00C12AB8" w:rsidRDefault="00155EB5" w:rsidP="0005124A">
      <w:pPr>
        <w:pStyle w:val="ECCBulletsLv1"/>
        <w:ind w:left="357" w:hanging="357"/>
      </w:pPr>
      <w:r>
        <w:t xml:space="preserve">Defining </w:t>
      </w:r>
      <w:r w:rsidR="00BC0BFE">
        <w:t xml:space="preserve">sharing </w:t>
      </w:r>
      <w:r>
        <w:t xml:space="preserve">priority between different ITS applications is not against the principle of technology neutrality, </w:t>
      </w:r>
      <w:r w:rsidR="0024132D">
        <w:t>prevents segmentation and</w:t>
      </w:r>
      <w:r>
        <w:t xml:space="preserve"> would provide </w:t>
      </w:r>
      <w:r w:rsidR="0024132D">
        <w:t xml:space="preserve">certainty and </w:t>
      </w:r>
      <w:r>
        <w:t>a clear frequency regulatory framework</w:t>
      </w:r>
      <w:r w:rsidR="008D7B0A">
        <w:t xml:space="preserve"> </w:t>
      </w:r>
      <w:r w:rsidR="008D7B0A" w:rsidRPr="008D7B0A">
        <w:rPr>
          <w:lang w:val="en-US"/>
        </w:rPr>
        <w:t>to all ITS applications, consistently with the objectives of the EC Mandate on ITS</w:t>
      </w:r>
      <w:r>
        <w:t xml:space="preserve">. Road ITS </w:t>
      </w:r>
      <w:r>
        <w:lastRenderedPageBreak/>
        <w:t xml:space="preserve">and Urban Rail ITS should remain confined to their respective prioritised frequency range </w:t>
      </w:r>
      <w:r w:rsidR="008F4347">
        <w:t xml:space="preserve">only </w:t>
      </w:r>
      <w:r>
        <w:t>until they implement</w:t>
      </w:r>
      <w:r w:rsidR="00381CD4">
        <w:t xml:space="preserve"> polite protocols and/or</w:t>
      </w:r>
      <w:r>
        <w:t xml:space="preserve"> a proper co-channel sharing mechanism</w:t>
      </w:r>
      <w:r w:rsidR="00381CD4">
        <w:t>s</w:t>
      </w:r>
      <w:r w:rsidR="006A1F3B">
        <w:t xml:space="preserve"> </w:t>
      </w:r>
      <w:r w:rsidR="00381CD4">
        <w:t xml:space="preserve">to be </w:t>
      </w:r>
      <w:r>
        <w:t xml:space="preserve">defined by ETSI; </w:t>
      </w:r>
    </w:p>
    <w:p w14:paraId="0A7D7772" w14:textId="77777777" w:rsidR="00105A85" w:rsidRDefault="00155EB5" w:rsidP="00105A85">
      <w:pPr>
        <w:pStyle w:val="ECCBulletsLv1"/>
        <w:ind w:left="357" w:hanging="357"/>
      </w:pPr>
      <w:r>
        <w:t>Solutions for the coexistence between Road ITS and Urban Rail ITS applications should not impose the use of a specific Road ITS or Urban Rail ITS technology.</w:t>
      </w:r>
    </w:p>
    <w:p w14:paraId="0A7D7773" w14:textId="77777777" w:rsidR="00C12AB8" w:rsidRDefault="00C12AB8" w:rsidP="0005124A">
      <w:pPr>
        <w:pStyle w:val="ECCParBulleted"/>
        <w:numPr>
          <w:ilvl w:val="0"/>
          <w:numId w:val="0"/>
        </w:numPr>
        <w:ind w:left="357" w:hanging="357"/>
      </w:pPr>
    </w:p>
    <w:p w14:paraId="0A7D7774" w14:textId="77777777" w:rsidR="00C12AB8" w:rsidRDefault="00155EB5" w:rsidP="00587BD9">
      <w:pPr>
        <w:pStyle w:val="ECCParBulleted"/>
        <w:numPr>
          <w:ilvl w:val="0"/>
          <w:numId w:val="0"/>
        </w:numPr>
      </w:pPr>
      <w:r w:rsidRPr="00587BD9">
        <w:t>Furthermore, CEPT invites the European Commission</w:t>
      </w:r>
      <w:r>
        <w:t xml:space="preserve"> to take into due consideration the following proposed</w:t>
      </w:r>
      <w:r w:rsidR="00ED05C7">
        <w:t xml:space="preserve"> </w:t>
      </w:r>
      <w:r>
        <w:t>improvement of the regulatory framework:</w:t>
      </w:r>
    </w:p>
    <w:p w14:paraId="0A7D7775" w14:textId="7944A800" w:rsidR="00C12AB8" w:rsidRDefault="00155EB5" w:rsidP="0005124A">
      <w:pPr>
        <w:pStyle w:val="ECCBulletsLv1"/>
        <w:ind w:left="357" w:hanging="357"/>
      </w:pPr>
      <w:r>
        <w:t xml:space="preserve">The restriction to road transportation system should be withdrawn and should encompass all ground-based land transportation systems including Urban Rail (see </w:t>
      </w:r>
      <w:r w:rsidR="003C7163">
        <w:t>section</w:t>
      </w:r>
      <w:r>
        <w:t xml:space="preserve"> 6.1). In addition, it is proposed that a recital in the amended EC Decision 2008/6671/EC for ITS clarifies that UAS/drones communications </w:t>
      </w:r>
      <w:r w:rsidR="008E7E60">
        <w:t xml:space="preserve">should be </w:t>
      </w:r>
      <w:r>
        <w:t xml:space="preserve">outside </w:t>
      </w:r>
      <w:r w:rsidR="008E7E60">
        <w:t>the scope of any</w:t>
      </w:r>
      <w:r w:rsidR="008E7E60" w:rsidRPr="008E7E60">
        <w:rPr>
          <w:rFonts w:eastAsia="Times New Roman"/>
          <w:szCs w:val="24"/>
          <w:lang w:val="en-US"/>
        </w:rPr>
        <w:t xml:space="preserve"> </w:t>
      </w:r>
      <w:r w:rsidR="008E7E60" w:rsidRPr="008E7E60">
        <w:rPr>
          <w:lang w:val="en-US"/>
        </w:rPr>
        <w:t xml:space="preserve">EC or ECC </w:t>
      </w:r>
      <w:r w:rsidR="00344CAF">
        <w:rPr>
          <w:lang w:val="en-US"/>
        </w:rPr>
        <w:t>r</w:t>
      </w:r>
      <w:r w:rsidR="008E7E60" w:rsidRPr="008E7E60">
        <w:rPr>
          <w:lang w:val="en-US"/>
        </w:rPr>
        <w:t>egulatory deliverables enabling ITS</w:t>
      </w:r>
      <w:r>
        <w:t>;</w:t>
      </w:r>
    </w:p>
    <w:p w14:paraId="0A7D7776" w14:textId="05A8F055" w:rsidR="00C12AB8" w:rsidRDefault="00155EB5" w:rsidP="0005124A">
      <w:pPr>
        <w:pStyle w:val="ECCBulletsLv1"/>
        <w:ind w:left="357" w:hanging="357"/>
      </w:pPr>
      <w:r>
        <w:t xml:space="preserve">For the purpose of </w:t>
      </w:r>
      <w:r w:rsidR="008E7E60">
        <w:t>EC and ECC</w:t>
      </w:r>
      <w:r>
        <w:t xml:space="preserve"> regulatory </w:t>
      </w:r>
      <w:r w:rsidR="008E7E60">
        <w:t>deliverables enabling ITS</w:t>
      </w:r>
      <w:r>
        <w:t xml:space="preserve">, Urban Rail ITS means </w:t>
      </w:r>
      <w:r w:rsidR="008D7B0A">
        <w:t xml:space="preserve">urban or suburban </w:t>
      </w:r>
      <w:r>
        <w:t>railway lines segregated from road and pedestrian traffic;</w:t>
      </w:r>
    </w:p>
    <w:p w14:paraId="0A7D7777" w14:textId="658DE6C1" w:rsidR="00C12AB8" w:rsidRDefault="0057236A" w:rsidP="0005124A">
      <w:pPr>
        <w:pStyle w:val="ECCBulletsLv1"/>
        <w:ind w:left="357" w:hanging="357"/>
      </w:pPr>
      <w:r>
        <w:t xml:space="preserve">To harmonise </w:t>
      </w:r>
      <w:r w:rsidR="008E7E60">
        <w:t>t</w:t>
      </w:r>
      <w:r w:rsidR="00155EB5">
        <w:t xml:space="preserve">he frequency band 5875-5925 MHz </w:t>
      </w:r>
      <w:r w:rsidR="00745BEB">
        <w:t>for</w:t>
      </w:r>
      <w:r w:rsidR="00155EB5">
        <w:t xml:space="preserve"> safety-related ITS applications. In addition, </w:t>
      </w:r>
      <w:r>
        <w:t xml:space="preserve">to harmonise </w:t>
      </w:r>
      <w:r w:rsidR="00155EB5">
        <w:t>the frequency band 5925-5935 MHz for safety-related Urban Rail ITS applications</w:t>
      </w:r>
      <w:r w:rsidR="001E072F">
        <w:t xml:space="preserve">, subject to national coordination </w:t>
      </w:r>
      <w:r w:rsidR="008E7E60" w:rsidRPr="008E7E60">
        <w:rPr>
          <w:lang w:val="en-US"/>
        </w:rPr>
        <w:t>with existing FS Networks</w:t>
      </w:r>
      <w:r w:rsidRPr="0057236A">
        <w:rPr>
          <w:lang w:val="fr-FR"/>
        </w:rPr>
        <w:t xml:space="preserve"> </w:t>
      </w:r>
      <w:r>
        <w:rPr>
          <w:lang w:val="fr-FR"/>
        </w:rPr>
        <w:t>and/</w:t>
      </w:r>
      <w:r>
        <w:t xml:space="preserve">or </w:t>
      </w:r>
      <w:r>
        <w:rPr>
          <w:lang w:val="fr-FR"/>
        </w:rPr>
        <w:t xml:space="preserve">national </w:t>
      </w:r>
      <w:r>
        <w:t>studies to determine the sharing conditions</w:t>
      </w:r>
      <w:r w:rsidR="00155EB5">
        <w:t>;</w:t>
      </w:r>
    </w:p>
    <w:p w14:paraId="0A7D7778" w14:textId="4B989B94" w:rsidR="00C12AB8" w:rsidRDefault="00155EB5" w:rsidP="00745BEB">
      <w:pPr>
        <w:pStyle w:val="ECCBulletsLv1"/>
        <w:ind w:left="357" w:hanging="357"/>
      </w:pPr>
      <w:r>
        <w:t xml:space="preserve">The regulatory framework </w:t>
      </w:r>
      <w:r w:rsidR="008E7E60">
        <w:t>should</w:t>
      </w:r>
      <w:r>
        <w:t xml:space="preserve"> define priority to Road ITS applications </w:t>
      </w:r>
      <w:r w:rsidR="00745BEB">
        <w:t xml:space="preserve">below </w:t>
      </w:r>
      <w:r>
        <w:t xml:space="preserve">5915 MHz and to Urban Rail ITS applications above 5915 MHz, so that </w:t>
      </w:r>
      <w:r w:rsidR="00603117">
        <w:t>protection is afforded</w:t>
      </w:r>
      <w:r w:rsidR="005F6AA0">
        <w:t xml:space="preserve"> </w:t>
      </w:r>
      <w:r>
        <w:t>to the application having priority;</w:t>
      </w:r>
    </w:p>
    <w:p w14:paraId="0A7D7779" w14:textId="2EEFD51A" w:rsidR="008F4347" w:rsidRDefault="00155EB5" w:rsidP="00485E41">
      <w:pPr>
        <w:pStyle w:val="ECCBulletsLv1"/>
        <w:ind w:left="426" w:hanging="426"/>
      </w:pPr>
      <w:r>
        <w:t>In absence of solutions allow</w:t>
      </w:r>
      <w:r w:rsidR="000255C7">
        <w:t>ing</w:t>
      </w:r>
      <w:r>
        <w:t xml:space="preserve"> Road ITS applications </w:t>
      </w:r>
      <w:r w:rsidR="006718D3">
        <w:t>to protect</w:t>
      </w:r>
      <w:r>
        <w:t xml:space="preserve"> Urban Rail ITS applications in the frequency range 5915-5925 MHz, </w:t>
      </w:r>
      <w:r w:rsidR="000255C7">
        <w:t xml:space="preserve">on a national basis </w:t>
      </w:r>
      <w:r>
        <w:t>Road ITS applications limited to vehicle-to-infrastructure (V2I) applications</w:t>
      </w:r>
      <w:r w:rsidR="006718D3">
        <w:t xml:space="preserve"> </w:t>
      </w:r>
      <w:r w:rsidR="000255C7">
        <w:t xml:space="preserve">may be permitted </w:t>
      </w:r>
      <w:r w:rsidR="006718D3">
        <w:t>and coordinated</w:t>
      </w:r>
      <w:r w:rsidR="000255C7">
        <w:t xml:space="preserve"> in </w:t>
      </w:r>
      <w:r w:rsidR="000255C7" w:rsidRPr="000255C7">
        <w:t>5915-5925 MHz</w:t>
      </w:r>
      <w:r>
        <w:t>. Vehicle-to-vehicle (V2V) could be permitted when solutions ensuring protection of Urban Rail ITS become available from standardisation in ETSI</w:t>
      </w:r>
      <w:r w:rsidR="00C25AC4">
        <w:t>;</w:t>
      </w:r>
    </w:p>
    <w:p w14:paraId="6229A37C" w14:textId="0FB8E753" w:rsidR="00D864CD" w:rsidRDefault="00155EB5" w:rsidP="0005124A">
      <w:pPr>
        <w:pStyle w:val="ECCBulletsLv1"/>
        <w:ind w:left="357" w:hanging="357"/>
      </w:pPr>
      <w:r>
        <w:t xml:space="preserve">The precise way how this can be best facilitated for Urban Rail ITS is within the national authorisation process based on national coordination. This can imply the use of individual authorisations for Urban Rail ITS (5915-5935 MHz), Road ITS </w:t>
      </w:r>
      <w:r w:rsidR="0057236A">
        <w:t xml:space="preserve">infrastructure </w:t>
      </w:r>
      <w:r>
        <w:t>(5915-5925 MHz) and FS (above 5925 MHz)</w:t>
      </w:r>
      <w:r w:rsidR="00C25AC4">
        <w:t>;</w:t>
      </w:r>
      <w:r>
        <w:t xml:space="preserve"> </w:t>
      </w:r>
    </w:p>
    <w:p w14:paraId="0A7D777B" w14:textId="5BB08DA5" w:rsidR="00105A85" w:rsidRDefault="00155EB5" w:rsidP="0005124A">
      <w:pPr>
        <w:pStyle w:val="ECCBulletsLv1"/>
        <w:ind w:left="357" w:hanging="357"/>
      </w:pPr>
      <w:r>
        <w:t xml:space="preserve">The regulatory authority </w:t>
      </w:r>
      <w:r w:rsidR="0035619E">
        <w:t xml:space="preserve">should </w:t>
      </w:r>
      <w:r w:rsidR="00090025">
        <w:t xml:space="preserve">enable </w:t>
      </w:r>
      <w:r w:rsidR="0035619E">
        <w:t xml:space="preserve">access for Urban Rail ITS </w:t>
      </w:r>
      <w:r w:rsidR="00090025">
        <w:t>(</w:t>
      </w:r>
      <w:r>
        <w:t>5915-5935 MHz</w:t>
      </w:r>
      <w:r w:rsidR="00090025">
        <w:t>)</w:t>
      </w:r>
      <w:r>
        <w:t xml:space="preserve"> </w:t>
      </w:r>
      <w:r w:rsidR="0035619E">
        <w:t xml:space="preserve">which </w:t>
      </w:r>
      <w:r w:rsidR="00090025">
        <w:t xml:space="preserve">would </w:t>
      </w:r>
      <w:r>
        <w:t xml:space="preserve">be authorised </w:t>
      </w:r>
      <w:r w:rsidR="0057236A">
        <w:t>on a shared basis</w:t>
      </w:r>
      <w:r w:rsidR="00C44273">
        <w:t xml:space="preserve">. </w:t>
      </w:r>
      <w:r w:rsidR="00C44273" w:rsidRPr="0057236A">
        <w:t xml:space="preserve">The precise implementation of spectrum for Urban Rail ITS should be subject to national circumstances </w:t>
      </w:r>
      <w:r w:rsidR="0057236A" w:rsidRPr="0057236A">
        <w:t xml:space="preserve">and stakeholder demand for </w:t>
      </w:r>
      <w:r w:rsidR="00C44273" w:rsidRPr="0057236A">
        <w:t>Urban Rail ITS</w:t>
      </w:r>
      <w:r w:rsidR="0057236A" w:rsidRPr="0057236A">
        <w:t xml:space="preserve">. </w:t>
      </w:r>
      <w:r w:rsidR="00C44273" w:rsidRPr="0057236A">
        <w:t xml:space="preserve"> </w:t>
      </w:r>
    </w:p>
    <w:p w14:paraId="0A7D777C" w14:textId="77777777" w:rsidR="00C12AB8" w:rsidRDefault="00C12AB8">
      <w:pPr>
        <w:pStyle w:val="ECCParBulleted"/>
        <w:numPr>
          <w:ilvl w:val="0"/>
          <w:numId w:val="0"/>
        </w:numPr>
      </w:pPr>
    </w:p>
    <w:p w14:paraId="0A7D777D" w14:textId="38DC5B28" w:rsidR="00C12AB8" w:rsidRDefault="00155EB5" w:rsidP="00306CBE">
      <w:pPr>
        <w:pStyle w:val="ECCParBulleted"/>
        <w:numPr>
          <w:ilvl w:val="0"/>
          <w:numId w:val="0"/>
        </w:numPr>
        <w:spacing w:after="240" w:line="240" w:lineRule="auto"/>
      </w:pPr>
      <w:r>
        <w:t>Finally, CEPT suggest</w:t>
      </w:r>
      <w:r w:rsidR="00C25AC4">
        <w:t>s</w:t>
      </w:r>
      <w:r>
        <w:t xml:space="preserve"> reviewing the EU framework after no more than 3 years, taking into account the progress made on technology-neutral co-channel sharing mechanisms between ITS applications.</w:t>
      </w:r>
    </w:p>
    <w:p w14:paraId="0A7D777E" w14:textId="77777777" w:rsidR="00C12AB8" w:rsidRDefault="00C12AB8" w:rsidP="00306CBE">
      <w:pPr>
        <w:pStyle w:val="ECCParBulleted"/>
        <w:numPr>
          <w:ilvl w:val="0"/>
          <w:numId w:val="0"/>
        </w:numPr>
        <w:tabs>
          <w:tab w:val="left" w:pos="7123"/>
        </w:tabs>
        <w:spacing w:after="240" w:line="240" w:lineRule="auto"/>
        <w:ind w:left="340" w:hanging="340"/>
        <w:jc w:val="right"/>
        <w:rPr>
          <w:b/>
        </w:rPr>
      </w:pPr>
    </w:p>
    <w:p w14:paraId="0A7D777F" w14:textId="77777777" w:rsidR="00C12AB8" w:rsidRDefault="00155EB5" w:rsidP="00306CBE">
      <w:pPr>
        <w:spacing w:after="240" w:line="240" w:lineRule="auto"/>
        <w:rPr>
          <w:b/>
          <w:lang w:val="en-GB"/>
        </w:rPr>
      </w:pPr>
      <w:r>
        <w:rPr>
          <w:b/>
          <w:lang w:val="en-GB"/>
        </w:rPr>
        <w:t>Further investigations are required for the following items:</w:t>
      </w:r>
    </w:p>
    <w:p w14:paraId="0A7D7780" w14:textId="24993D6B" w:rsidR="00C12AB8" w:rsidRDefault="00155EB5" w:rsidP="00306CBE">
      <w:pPr>
        <w:pStyle w:val="ECCParagraph"/>
        <w:spacing w:line="240" w:lineRule="auto"/>
      </w:pPr>
      <w:r>
        <w:t>CEPT invited ETSI to develop sharing and interference mitigation techniques with</w:t>
      </w:r>
      <w:r w:rsidR="00986A5F">
        <w:t>in</w:t>
      </w:r>
      <w:r>
        <w:t xml:space="preserve"> </w:t>
      </w:r>
      <w:r w:rsidR="006E0761">
        <w:t>3 years</w:t>
      </w:r>
      <w:r>
        <w:t>, for ensuring co-channel coexistence in the frequency range 5875-5925 MHz between Road ITS and Urban Rail ITS applications and between Road ITS radio technologies</w:t>
      </w:r>
      <w:r w:rsidR="006E0761">
        <w:t xml:space="preserve">, otherwise </w:t>
      </w:r>
      <w:r>
        <w:t>solutions may need to be defined directly within the regulation</w:t>
      </w:r>
      <w:r w:rsidR="00DB37AC">
        <w:t>, noting that two new work items have been created in ETSI</w:t>
      </w:r>
      <w:r w:rsidR="00882181">
        <w:t xml:space="preserve"> to develop two new Technical Reports</w:t>
      </w:r>
      <w:r>
        <w:t xml:space="preserve">. </w:t>
      </w:r>
      <w:r w:rsidR="00882181">
        <w:t>The goal with the two Technical Reports</w:t>
      </w:r>
      <w:r w:rsidR="00882181" w:rsidRPr="00882181">
        <w:t xml:space="preserve"> is to specify technical details for road ITS coexistence to be implemented later in a standard</w:t>
      </w:r>
      <w:r w:rsidR="00882181">
        <w:t xml:space="preserve"> (WI reference numbers </w:t>
      </w:r>
      <w:r w:rsidR="00882181" w:rsidRPr="00882181">
        <w:t>DTR/ERM-TG37-</w:t>
      </w:r>
      <w:r w:rsidR="00882181">
        <w:t xml:space="preserve">273 and </w:t>
      </w:r>
      <w:r w:rsidR="00882181" w:rsidRPr="00882181">
        <w:t>274</w:t>
      </w:r>
      <w:r w:rsidR="00882181">
        <w:t xml:space="preserve">) </w:t>
      </w:r>
      <w:r w:rsidR="00D864CD">
        <w:t>(</w:t>
      </w:r>
      <w:r w:rsidR="00882181" w:rsidRPr="00882181">
        <w:t xml:space="preserve">see </w:t>
      </w:r>
      <w:hyperlink r:id="rId13" w:history="1">
        <w:proofErr w:type="gramStart"/>
        <w:r w:rsidR="00882181" w:rsidRPr="000C7E08">
          <w:rPr>
            <w:rStyle w:val="Hyperlink"/>
          </w:rPr>
          <w:t>ECC(</w:t>
        </w:r>
        <w:proofErr w:type="gramEnd"/>
        <w:r w:rsidR="00882181" w:rsidRPr="000C7E08">
          <w:rPr>
            <w:rStyle w:val="Hyperlink"/>
          </w:rPr>
          <w:t>19)013</w:t>
        </w:r>
      </w:hyperlink>
      <w:r w:rsidR="00D864CD">
        <w:t>)</w:t>
      </w:r>
      <w:r w:rsidR="00882181">
        <w:t>.</w:t>
      </w:r>
    </w:p>
    <w:p w14:paraId="0A7D7781" w14:textId="181C2700" w:rsidR="00C12AB8" w:rsidRDefault="00155EB5" w:rsidP="00306CBE">
      <w:pPr>
        <w:pStyle w:val="ECCParagraph"/>
        <w:spacing w:line="240" w:lineRule="auto"/>
      </w:pPr>
      <w:r>
        <w:t xml:space="preserve">Technical conditions are being defined by CEPT for RLAN operating above 5935 MHz so that the protection of safety-related Urban Rail ITS applications below 5935 MHz and safety-related Road </w:t>
      </w:r>
      <w:proofErr w:type="gramStart"/>
      <w:r>
        <w:t>ITS</w:t>
      </w:r>
      <w:proofErr w:type="gramEnd"/>
      <w:r>
        <w:t xml:space="preserve"> below 5925 MHz (e.g. out-of-band emission limit requirements and blocking scenario) </w:t>
      </w:r>
      <w:r w:rsidR="00C25AC4">
        <w:t>will be</w:t>
      </w:r>
      <w:r w:rsidR="006E0761">
        <w:t xml:space="preserve"> addressed</w:t>
      </w:r>
      <w:r>
        <w:t>.</w:t>
      </w:r>
    </w:p>
    <w:p w14:paraId="0A7D7782" w14:textId="11B84596" w:rsidR="00C12AB8" w:rsidRDefault="00771987" w:rsidP="00306CBE">
      <w:pPr>
        <w:pStyle w:val="ECCParagraph"/>
        <w:spacing w:line="240" w:lineRule="auto"/>
      </w:pPr>
      <w:r w:rsidRPr="00771987">
        <w:rPr>
          <w:lang w:val="en-US"/>
        </w:rPr>
        <w:t>Depending on requests from administrations, g</w:t>
      </w:r>
      <w:proofErr w:type="spellStart"/>
      <w:r w:rsidR="00155EB5">
        <w:t>uidance</w:t>
      </w:r>
      <w:proofErr w:type="spellEnd"/>
      <w:r w:rsidR="00155EB5">
        <w:t xml:space="preserve"> on national coordination </w:t>
      </w:r>
      <w:r>
        <w:t xml:space="preserve">may </w:t>
      </w:r>
      <w:r w:rsidR="00155EB5">
        <w:t>need to be defined by CEPT for Road ITS (V2I) operating in 5915-5925 MHz so that coexistence with Urban Rail ITS applications in 5915-5925 MHz (e.g. maximum received power permitted above urban rail tracks) is ensured.</w:t>
      </w:r>
      <w:r w:rsidR="00155EB5">
        <w:br w:type="page"/>
      </w:r>
    </w:p>
    <w:p w14:paraId="0A7D7783" w14:textId="77777777" w:rsidR="00C12AB8" w:rsidRDefault="00155EB5">
      <w:pPr>
        <w:rPr>
          <w:b/>
          <w:color w:val="FFFFFF"/>
          <w:szCs w:val="20"/>
          <w:lang w:val="en-GB"/>
        </w:rPr>
      </w:pPr>
      <w:r>
        <w:rPr>
          <w:b/>
          <w:noProof/>
          <w:color w:val="FFFFFF"/>
          <w:szCs w:val="20"/>
          <w:lang w:val="da-DK" w:eastAsia="da-DK"/>
        </w:rPr>
        <w:lastRenderedPageBreak/>
        <mc:AlternateContent>
          <mc:Choice Requires="wps">
            <w:drawing>
              <wp:anchor distT="0" distB="0" distL="114300" distR="114300" simplePos="0" relativeHeight="251658240" behindDoc="1" locked="0" layoutInCell="1" allowOverlap="1" wp14:anchorId="0A7D7D46" wp14:editId="0A7D7D47">
                <wp:simplePos x="0" y="0"/>
                <wp:positionH relativeFrom="page">
                  <wp:posOffset>0</wp:posOffset>
                </wp:positionH>
                <wp:positionV relativeFrom="page">
                  <wp:posOffset>900430</wp:posOffset>
                </wp:positionV>
                <wp:extent cx="7560310" cy="720090"/>
                <wp:effectExtent l="0" t="0" r="0" b="508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C31FB6" id="Rectangle 21" o:spid="_x0000_s1026" style="position:absolute;margin-left:0;margin-top:70.9pt;width:595.3pt;height:56.7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V9AAIAANwDAAAOAAAAZHJzL2Uyb0RvYy54bWysU8GO0zAQvSPxD5bvNEnpdmnUdFW6WoS0&#10;wIpdPsB1nMTC8Zix27R8PWOnW8pyQ1wsj2fm5b03k+XNoTdsr9BrsBUvJjlnykqotW0r/u3p7s07&#10;znwQthYGrKr4UXl+s3r9ajm4Uk2hA1MrZARifTm4inchuDLLvOxUL/wEnLKUbAB7ESjENqtRDITe&#10;m2ya5/NsAKwdglTe0+vtmOSrhN80SoYvTeNVYKbixC2kE9O5jWe2WoqyReE6LU80xD+w6IW29NEz&#10;1K0Igu1Q/wXVa4ngoQkTCX0GTaOlShpITZG/UPPYCaeSFjLHu7NN/v/Bys/7B2S6rvicMyt6GtFX&#10;Mk3Y1ig2LaI/g/MllT26B4wKvbsH+d0zC5uOytQaEYZOiZpYpfrsj4YYeGpl2+ET1AQvdgGSVYcG&#10;+whIJrBDmsjxPBF1CEzS4/XVPH9b0OAk5a5p4Is0skyUz90OffigoGfxUnEk8gld7O99IPZU+lyS&#10;2IPR9Z02JgXYbjcG2V7QdrzP1/PFPAqmFn9ZZmwsthDbxnR8STKjstGhLdRHUokwrhj9EnTpAH9y&#10;NtB6Vdz/2AlUnJmPlpxaFLNZ3McUzK5IGmd4mdleZoSVBFXxwNl43YRxh3cOddvRl4ok2sKa3G10&#10;Eh6dH1mdyNIKJXGndY87ehmnqt8/5eoXAAAA//8DAFBLAwQUAAYACAAAACEATs4SpdwAAAAJAQAA&#10;DwAAAGRycy9kb3ducmV2LnhtbEyPTU/DMAyG70j8h8hIXBBLW1gFpekEQ5xRC+KcNe6HaJwuybby&#10;7/FOcLRf6/XzlJvFTuKIPoyOFKSrBARS68xIvYLPj7fbBxAhajJ6coQKfjDAprq8KHVh3IlqPDax&#10;F1xCodAKhhjnQsrQDmh1WLkZibPOeasjj76XxusTl9tJZkmSS6tH4g+DnnE7YPvdHKwCl3/d2L1v&#10;Xgi7YOv93Xv9uu2Uur5anp9ARFzi3zGc8RkdKmbauQOZICYFLBJ5e5+ywDlOH5McxE5Btl5nIKtS&#10;/jeofgEAAP//AwBQSwECLQAUAAYACAAAACEAtoM4kv4AAADhAQAAEwAAAAAAAAAAAAAAAAAAAAAA&#10;W0NvbnRlbnRfVHlwZXNdLnhtbFBLAQItABQABgAIAAAAIQA4/SH/1gAAAJQBAAALAAAAAAAAAAAA&#10;AAAAAC8BAABfcmVscy8ucmVsc1BLAQItABQABgAIAAAAIQC5e/V9AAIAANwDAAAOAAAAAAAAAAAA&#10;AAAAAC4CAABkcnMvZTJvRG9jLnhtbFBLAQItABQABgAIAAAAIQBOzhKl3AAAAAkBAAAPAAAAAAAA&#10;AAAAAAAAAFoEAABkcnMvZG93bnJldi54bWxQSwUGAAAAAAQABADzAAAAYwUAAAAA&#10;" fillcolor="#b0a696" stroked="f">
                <w10:wrap anchorx="page" anchory="page"/>
              </v:rect>
            </w:pict>
          </mc:Fallback>
        </mc:AlternateContent>
      </w:r>
    </w:p>
    <w:p w14:paraId="0A7D7784" w14:textId="77777777" w:rsidR="00C12AB8" w:rsidRDefault="00155EB5">
      <w:pPr>
        <w:rPr>
          <w:b/>
          <w:color w:val="FFFFFF"/>
          <w:szCs w:val="20"/>
          <w:lang w:val="en-GB"/>
        </w:rPr>
      </w:pPr>
      <w:r>
        <w:rPr>
          <w:b/>
          <w:color w:val="FFFFFF"/>
          <w:szCs w:val="20"/>
          <w:lang w:val="en-GB"/>
        </w:rPr>
        <w:t>TABLE OF CONTENTS</w:t>
      </w:r>
    </w:p>
    <w:p w14:paraId="0A7D7785" w14:textId="77777777" w:rsidR="00C12AB8" w:rsidRDefault="00C12AB8">
      <w:pPr>
        <w:rPr>
          <w:b/>
          <w:color w:val="FFFFFF"/>
          <w:szCs w:val="20"/>
          <w:lang w:val="en-GB"/>
        </w:rPr>
      </w:pPr>
    </w:p>
    <w:p w14:paraId="0A7D7786" w14:textId="77777777" w:rsidR="00C12AB8" w:rsidRDefault="00C12AB8">
      <w:pPr>
        <w:rPr>
          <w:b/>
          <w:color w:val="FFFFFF"/>
          <w:szCs w:val="20"/>
          <w:lang w:val="en-GB"/>
        </w:rPr>
      </w:pPr>
    </w:p>
    <w:p w14:paraId="0A7D7787" w14:textId="77777777" w:rsidR="00BB544A" w:rsidRDefault="00155EB5" w:rsidP="00932FB6">
      <w:pPr>
        <w:pStyle w:val="TOC1"/>
        <w:spacing w:after="0"/>
        <w:rPr>
          <w:rFonts w:asciiTheme="minorHAnsi" w:eastAsiaTheme="minorEastAsia" w:hAnsiTheme="minorHAnsi" w:cstheme="minorBidi"/>
          <w:b w:val="0"/>
          <w:caps w:val="0"/>
          <w:noProof/>
          <w:sz w:val="22"/>
          <w:szCs w:val="22"/>
          <w:lang w:val="da-DK" w:eastAsia="da-DK"/>
        </w:rPr>
      </w:pPr>
      <w:r>
        <w:rPr>
          <w:lang w:val="en-GB"/>
        </w:rPr>
        <w:fldChar w:fldCharType="begin"/>
      </w:r>
      <w:r>
        <w:rPr>
          <w:lang w:val="en-GB"/>
        </w:rPr>
        <w:instrText xml:space="preserve"> TOC \o "1-4" \h \z \u </w:instrText>
      </w:r>
      <w:r>
        <w:rPr>
          <w:lang w:val="en-GB"/>
        </w:rPr>
        <w:fldChar w:fldCharType="separate"/>
      </w:r>
      <w:hyperlink w:anchor="_Toc856018" w:history="1">
        <w:r w:rsidR="00BB544A" w:rsidRPr="009A4055">
          <w:rPr>
            <w:rStyle w:val="Hyperlink"/>
            <w:noProof/>
          </w:rPr>
          <w:t>0</w:t>
        </w:r>
        <w:r w:rsidR="00BB544A">
          <w:rPr>
            <w:rFonts w:asciiTheme="minorHAnsi" w:eastAsiaTheme="minorEastAsia" w:hAnsiTheme="minorHAnsi" w:cstheme="minorBidi"/>
            <w:b w:val="0"/>
            <w:caps w:val="0"/>
            <w:noProof/>
            <w:sz w:val="22"/>
            <w:szCs w:val="22"/>
            <w:lang w:val="da-DK" w:eastAsia="da-DK"/>
          </w:rPr>
          <w:tab/>
        </w:r>
        <w:r w:rsidR="00BB544A" w:rsidRPr="009A4055">
          <w:rPr>
            <w:rStyle w:val="Hyperlink"/>
            <w:noProof/>
          </w:rPr>
          <w:t>Executive summary</w:t>
        </w:r>
        <w:r w:rsidR="00BB544A">
          <w:rPr>
            <w:noProof/>
            <w:webHidden/>
          </w:rPr>
          <w:tab/>
        </w:r>
        <w:r w:rsidR="00BB544A">
          <w:rPr>
            <w:noProof/>
            <w:webHidden/>
          </w:rPr>
          <w:fldChar w:fldCharType="begin"/>
        </w:r>
        <w:r w:rsidR="00BB544A">
          <w:rPr>
            <w:noProof/>
            <w:webHidden/>
          </w:rPr>
          <w:instrText xml:space="preserve"> PAGEREF _Toc856018 \h </w:instrText>
        </w:r>
        <w:r w:rsidR="00BB544A">
          <w:rPr>
            <w:noProof/>
            <w:webHidden/>
          </w:rPr>
        </w:r>
        <w:r w:rsidR="00BB544A">
          <w:rPr>
            <w:noProof/>
            <w:webHidden/>
          </w:rPr>
          <w:fldChar w:fldCharType="separate"/>
        </w:r>
        <w:r w:rsidR="00021B21">
          <w:rPr>
            <w:noProof/>
            <w:webHidden/>
          </w:rPr>
          <w:t>3</w:t>
        </w:r>
        <w:r w:rsidR="00BB544A">
          <w:rPr>
            <w:noProof/>
            <w:webHidden/>
          </w:rPr>
          <w:fldChar w:fldCharType="end"/>
        </w:r>
      </w:hyperlink>
    </w:p>
    <w:p w14:paraId="0A7D7788" w14:textId="655253DF" w:rsidR="00BB544A" w:rsidRDefault="009E5CE0" w:rsidP="00932FB6">
      <w:pPr>
        <w:pStyle w:val="TOC1"/>
        <w:spacing w:after="0"/>
        <w:rPr>
          <w:rFonts w:asciiTheme="minorHAnsi" w:eastAsiaTheme="minorEastAsia" w:hAnsiTheme="minorHAnsi" w:cstheme="minorBidi"/>
          <w:b w:val="0"/>
          <w:caps w:val="0"/>
          <w:noProof/>
          <w:sz w:val="22"/>
          <w:szCs w:val="22"/>
          <w:lang w:val="da-DK" w:eastAsia="da-DK"/>
        </w:rPr>
      </w:pPr>
      <w:hyperlink w:anchor="_Toc856019" w:history="1">
        <w:r w:rsidR="00BB544A" w:rsidRPr="009A4055">
          <w:rPr>
            <w:rStyle w:val="Hyperlink"/>
            <w:noProof/>
          </w:rPr>
          <w:t>1</w:t>
        </w:r>
        <w:r w:rsidR="00BB544A">
          <w:rPr>
            <w:rFonts w:asciiTheme="minorHAnsi" w:eastAsiaTheme="minorEastAsia" w:hAnsiTheme="minorHAnsi" w:cstheme="minorBidi"/>
            <w:b w:val="0"/>
            <w:caps w:val="0"/>
            <w:noProof/>
            <w:sz w:val="22"/>
            <w:szCs w:val="22"/>
            <w:lang w:val="da-DK" w:eastAsia="da-DK"/>
          </w:rPr>
          <w:tab/>
        </w:r>
        <w:r w:rsidR="00BB544A" w:rsidRPr="009A4055">
          <w:rPr>
            <w:rStyle w:val="Hyperlink"/>
            <w:noProof/>
          </w:rPr>
          <w:t>Introduction</w:t>
        </w:r>
        <w:r w:rsidR="00BB544A">
          <w:rPr>
            <w:noProof/>
            <w:webHidden/>
          </w:rPr>
          <w:tab/>
        </w:r>
        <w:r w:rsidR="00BB544A">
          <w:rPr>
            <w:noProof/>
            <w:webHidden/>
          </w:rPr>
          <w:fldChar w:fldCharType="begin"/>
        </w:r>
        <w:r w:rsidR="00BB544A">
          <w:rPr>
            <w:noProof/>
            <w:webHidden/>
          </w:rPr>
          <w:instrText xml:space="preserve"> PAGEREF _Toc856019 \h </w:instrText>
        </w:r>
        <w:r w:rsidR="00BB544A">
          <w:rPr>
            <w:noProof/>
            <w:webHidden/>
          </w:rPr>
        </w:r>
        <w:r w:rsidR="00BB544A">
          <w:rPr>
            <w:noProof/>
            <w:webHidden/>
          </w:rPr>
          <w:fldChar w:fldCharType="separate"/>
        </w:r>
        <w:r w:rsidR="00021B21">
          <w:rPr>
            <w:noProof/>
            <w:webHidden/>
          </w:rPr>
          <w:t>8</w:t>
        </w:r>
        <w:r w:rsidR="00BB544A">
          <w:rPr>
            <w:noProof/>
            <w:webHidden/>
          </w:rPr>
          <w:fldChar w:fldCharType="end"/>
        </w:r>
      </w:hyperlink>
    </w:p>
    <w:p w14:paraId="0A7D7789" w14:textId="22687DB0" w:rsidR="00BB544A" w:rsidRDefault="009E5CE0" w:rsidP="00932FB6">
      <w:pPr>
        <w:pStyle w:val="TOC1"/>
        <w:spacing w:after="0"/>
        <w:rPr>
          <w:rFonts w:asciiTheme="minorHAnsi" w:eastAsiaTheme="minorEastAsia" w:hAnsiTheme="minorHAnsi" w:cstheme="minorBidi"/>
          <w:b w:val="0"/>
          <w:caps w:val="0"/>
          <w:noProof/>
          <w:sz w:val="22"/>
          <w:szCs w:val="22"/>
          <w:lang w:val="da-DK" w:eastAsia="da-DK"/>
        </w:rPr>
      </w:pPr>
      <w:hyperlink w:anchor="_Toc856020" w:history="1">
        <w:r w:rsidR="00BB544A" w:rsidRPr="009A4055">
          <w:rPr>
            <w:rStyle w:val="Hyperlink"/>
            <w:noProof/>
          </w:rPr>
          <w:t>2</w:t>
        </w:r>
        <w:r w:rsidR="00BB544A">
          <w:rPr>
            <w:rFonts w:asciiTheme="minorHAnsi" w:eastAsiaTheme="minorEastAsia" w:hAnsiTheme="minorHAnsi" w:cstheme="minorBidi"/>
            <w:b w:val="0"/>
            <w:caps w:val="0"/>
            <w:noProof/>
            <w:sz w:val="22"/>
            <w:szCs w:val="22"/>
            <w:lang w:val="da-DK" w:eastAsia="da-DK"/>
          </w:rPr>
          <w:tab/>
        </w:r>
        <w:r w:rsidR="00BB544A" w:rsidRPr="009A4055">
          <w:rPr>
            <w:rStyle w:val="Hyperlink"/>
            <w:noProof/>
          </w:rPr>
          <w:t>General principles and concept for the future Regulatory Approach</w:t>
        </w:r>
        <w:r w:rsidR="00BB544A">
          <w:rPr>
            <w:noProof/>
            <w:webHidden/>
          </w:rPr>
          <w:tab/>
        </w:r>
        <w:r w:rsidR="00BB544A">
          <w:rPr>
            <w:noProof/>
            <w:webHidden/>
          </w:rPr>
          <w:fldChar w:fldCharType="begin"/>
        </w:r>
        <w:r w:rsidR="00BB544A">
          <w:rPr>
            <w:noProof/>
            <w:webHidden/>
          </w:rPr>
          <w:instrText xml:space="preserve"> PAGEREF _Toc856020 \h </w:instrText>
        </w:r>
        <w:r w:rsidR="00BB544A">
          <w:rPr>
            <w:noProof/>
            <w:webHidden/>
          </w:rPr>
        </w:r>
        <w:r w:rsidR="00BB544A">
          <w:rPr>
            <w:noProof/>
            <w:webHidden/>
          </w:rPr>
          <w:fldChar w:fldCharType="separate"/>
        </w:r>
        <w:r w:rsidR="00021B21">
          <w:rPr>
            <w:noProof/>
            <w:webHidden/>
          </w:rPr>
          <w:t>9</w:t>
        </w:r>
        <w:r w:rsidR="00BB544A">
          <w:rPr>
            <w:noProof/>
            <w:webHidden/>
          </w:rPr>
          <w:fldChar w:fldCharType="end"/>
        </w:r>
      </w:hyperlink>
    </w:p>
    <w:p w14:paraId="0A7D778A" w14:textId="1DAA7D17" w:rsidR="00BB544A" w:rsidRDefault="009E5CE0" w:rsidP="00932FB6">
      <w:pPr>
        <w:pStyle w:val="TOC1"/>
        <w:spacing w:after="0"/>
        <w:rPr>
          <w:rFonts w:asciiTheme="minorHAnsi" w:eastAsiaTheme="minorEastAsia" w:hAnsiTheme="minorHAnsi" w:cstheme="minorBidi"/>
          <w:b w:val="0"/>
          <w:caps w:val="0"/>
          <w:noProof/>
          <w:sz w:val="22"/>
          <w:szCs w:val="22"/>
          <w:lang w:val="da-DK" w:eastAsia="da-DK"/>
        </w:rPr>
      </w:pPr>
      <w:hyperlink w:anchor="_Toc856021" w:history="1">
        <w:r w:rsidR="00BB544A" w:rsidRPr="009A4055">
          <w:rPr>
            <w:rStyle w:val="Hyperlink"/>
            <w:noProof/>
          </w:rPr>
          <w:t>3</w:t>
        </w:r>
        <w:r w:rsidR="00BB544A">
          <w:rPr>
            <w:rFonts w:asciiTheme="minorHAnsi" w:eastAsiaTheme="minorEastAsia" w:hAnsiTheme="minorHAnsi" w:cstheme="minorBidi"/>
            <w:b w:val="0"/>
            <w:caps w:val="0"/>
            <w:noProof/>
            <w:sz w:val="22"/>
            <w:szCs w:val="22"/>
            <w:lang w:val="da-DK" w:eastAsia="da-DK"/>
          </w:rPr>
          <w:tab/>
        </w:r>
        <w:r w:rsidR="00BB544A" w:rsidRPr="009A4055">
          <w:rPr>
            <w:rStyle w:val="Hyperlink"/>
            <w:noProof/>
          </w:rPr>
          <w:t>ITS Technologies</w:t>
        </w:r>
        <w:r w:rsidR="00BB544A">
          <w:rPr>
            <w:noProof/>
            <w:webHidden/>
          </w:rPr>
          <w:tab/>
        </w:r>
        <w:r w:rsidR="00BB544A">
          <w:rPr>
            <w:noProof/>
            <w:webHidden/>
          </w:rPr>
          <w:fldChar w:fldCharType="begin"/>
        </w:r>
        <w:r w:rsidR="00BB544A">
          <w:rPr>
            <w:noProof/>
            <w:webHidden/>
          </w:rPr>
          <w:instrText xml:space="preserve"> PAGEREF _Toc856021 \h </w:instrText>
        </w:r>
        <w:r w:rsidR="00BB544A">
          <w:rPr>
            <w:noProof/>
            <w:webHidden/>
          </w:rPr>
        </w:r>
        <w:r w:rsidR="00BB544A">
          <w:rPr>
            <w:noProof/>
            <w:webHidden/>
          </w:rPr>
          <w:fldChar w:fldCharType="separate"/>
        </w:r>
        <w:r w:rsidR="00021B21">
          <w:rPr>
            <w:noProof/>
            <w:webHidden/>
          </w:rPr>
          <w:t>10</w:t>
        </w:r>
        <w:r w:rsidR="00BB544A">
          <w:rPr>
            <w:noProof/>
            <w:webHidden/>
          </w:rPr>
          <w:fldChar w:fldCharType="end"/>
        </w:r>
      </w:hyperlink>
    </w:p>
    <w:p w14:paraId="0A7D778B" w14:textId="308D9F04" w:rsidR="00BB544A" w:rsidRDefault="009E5CE0" w:rsidP="00932FB6">
      <w:pPr>
        <w:pStyle w:val="TOC2"/>
        <w:spacing w:after="0"/>
        <w:rPr>
          <w:rFonts w:asciiTheme="minorHAnsi" w:eastAsiaTheme="minorEastAsia" w:hAnsiTheme="minorHAnsi" w:cstheme="minorBidi"/>
          <w:noProof/>
          <w:sz w:val="22"/>
          <w:szCs w:val="22"/>
          <w:lang w:val="da-DK" w:eastAsia="da-DK"/>
        </w:rPr>
      </w:pPr>
      <w:hyperlink w:anchor="_Toc856022" w:history="1">
        <w:r w:rsidR="00BB544A" w:rsidRPr="009A4055">
          <w:rPr>
            <w:rStyle w:val="Hyperlink"/>
            <w:noProof/>
            <w:lang w:val="en-GB"/>
          </w:rPr>
          <w:t>3.1</w:t>
        </w:r>
        <w:r w:rsidR="00BB544A">
          <w:rPr>
            <w:rFonts w:asciiTheme="minorHAnsi" w:eastAsiaTheme="minorEastAsia" w:hAnsiTheme="minorHAnsi" w:cstheme="minorBidi"/>
            <w:noProof/>
            <w:sz w:val="22"/>
            <w:szCs w:val="22"/>
            <w:lang w:val="da-DK" w:eastAsia="da-DK"/>
          </w:rPr>
          <w:tab/>
        </w:r>
        <w:r w:rsidR="00BB544A" w:rsidRPr="009A4055">
          <w:rPr>
            <w:rStyle w:val="Hyperlink"/>
            <w:noProof/>
            <w:lang w:val="en-GB"/>
          </w:rPr>
          <w:t>Road ITS</w:t>
        </w:r>
        <w:r w:rsidR="00BB544A">
          <w:rPr>
            <w:noProof/>
            <w:webHidden/>
          </w:rPr>
          <w:tab/>
        </w:r>
        <w:r w:rsidR="00BB544A">
          <w:rPr>
            <w:noProof/>
            <w:webHidden/>
          </w:rPr>
          <w:fldChar w:fldCharType="begin"/>
        </w:r>
        <w:r w:rsidR="00BB544A">
          <w:rPr>
            <w:noProof/>
            <w:webHidden/>
          </w:rPr>
          <w:instrText xml:space="preserve"> PAGEREF _Toc856022 \h </w:instrText>
        </w:r>
        <w:r w:rsidR="00BB544A">
          <w:rPr>
            <w:noProof/>
            <w:webHidden/>
          </w:rPr>
        </w:r>
        <w:r w:rsidR="00BB544A">
          <w:rPr>
            <w:noProof/>
            <w:webHidden/>
          </w:rPr>
          <w:fldChar w:fldCharType="separate"/>
        </w:r>
        <w:r w:rsidR="00021B21">
          <w:rPr>
            <w:noProof/>
            <w:webHidden/>
          </w:rPr>
          <w:t>10</w:t>
        </w:r>
        <w:r w:rsidR="00BB544A">
          <w:rPr>
            <w:noProof/>
            <w:webHidden/>
          </w:rPr>
          <w:fldChar w:fldCharType="end"/>
        </w:r>
      </w:hyperlink>
    </w:p>
    <w:p w14:paraId="0A7D778C" w14:textId="441A371E" w:rsidR="00BB544A" w:rsidRDefault="009E5CE0" w:rsidP="00932FB6">
      <w:pPr>
        <w:pStyle w:val="TOC3"/>
        <w:spacing w:after="0"/>
        <w:rPr>
          <w:rFonts w:asciiTheme="minorHAnsi" w:eastAsiaTheme="minorEastAsia" w:hAnsiTheme="minorHAnsi" w:cstheme="minorBidi"/>
          <w:noProof/>
          <w:sz w:val="22"/>
          <w:szCs w:val="22"/>
          <w:lang w:val="da-DK" w:eastAsia="da-DK"/>
        </w:rPr>
      </w:pPr>
      <w:hyperlink w:anchor="_Toc856023" w:history="1">
        <w:r w:rsidR="00BB544A" w:rsidRPr="009A4055">
          <w:rPr>
            <w:rStyle w:val="Hyperlink"/>
            <w:noProof/>
            <w:lang w:val="en-GB"/>
          </w:rPr>
          <w:t>3.1.1</w:t>
        </w:r>
        <w:r w:rsidR="00BB544A">
          <w:rPr>
            <w:rFonts w:asciiTheme="minorHAnsi" w:eastAsiaTheme="minorEastAsia" w:hAnsiTheme="minorHAnsi" w:cstheme="minorBidi"/>
            <w:noProof/>
            <w:sz w:val="22"/>
            <w:szCs w:val="22"/>
            <w:lang w:val="da-DK" w:eastAsia="da-DK"/>
          </w:rPr>
          <w:tab/>
        </w:r>
        <w:r w:rsidR="00BB544A" w:rsidRPr="009A4055">
          <w:rPr>
            <w:rStyle w:val="Hyperlink"/>
            <w:noProof/>
            <w:lang w:val="en-GB"/>
          </w:rPr>
          <w:t>ITS-G5</w:t>
        </w:r>
        <w:r w:rsidR="00BB544A">
          <w:rPr>
            <w:noProof/>
            <w:webHidden/>
          </w:rPr>
          <w:tab/>
        </w:r>
        <w:r w:rsidR="00BB544A">
          <w:rPr>
            <w:noProof/>
            <w:webHidden/>
          </w:rPr>
          <w:fldChar w:fldCharType="begin"/>
        </w:r>
        <w:r w:rsidR="00BB544A">
          <w:rPr>
            <w:noProof/>
            <w:webHidden/>
          </w:rPr>
          <w:instrText xml:space="preserve"> PAGEREF _Toc856023 \h </w:instrText>
        </w:r>
        <w:r w:rsidR="00BB544A">
          <w:rPr>
            <w:noProof/>
            <w:webHidden/>
          </w:rPr>
        </w:r>
        <w:r w:rsidR="00BB544A">
          <w:rPr>
            <w:noProof/>
            <w:webHidden/>
          </w:rPr>
          <w:fldChar w:fldCharType="separate"/>
        </w:r>
        <w:r w:rsidR="00021B21">
          <w:rPr>
            <w:noProof/>
            <w:webHidden/>
          </w:rPr>
          <w:t>10</w:t>
        </w:r>
        <w:r w:rsidR="00BB544A">
          <w:rPr>
            <w:noProof/>
            <w:webHidden/>
          </w:rPr>
          <w:fldChar w:fldCharType="end"/>
        </w:r>
      </w:hyperlink>
    </w:p>
    <w:p w14:paraId="0A7D778D" w14:textId="3CC14B7F" w:rsidR="00BB544A" w:rsidRDefault="009E5CE0" w:rsidP="00932FB6">
      <w:pPr>
        <w:pStyle w:val="TOC3"/>
        <w:spacing w:after="0"/>
        <w:rPr>
          <w:rFonts w:asciiTheme="minorHAnsi" w:eastAsiaTheme="minorEastAsia" w:hAnsiTheme="minorHAnsi" w:cstheme="minorBidi"/>
          <w:noProof/>
          <w:sz w:val="22"/>
          <w:szCs w:val="22"/>
          <w:lang w:val="da-DK" w:eastAsia="da-DK"/>
        </w:rPr>
      </w:pPr>
      <w:hyperlink w:anchor="_Toc856024" w:history="1">
        <w:r w:rsidR="00BB544A" w:rsidRPr="009A4055">
          <w:rPr>
            <w:rStyle w:val="Hyperlink"/>
            <w:noProof/>
            <w:lang w:val="en-GB"/>
          </w:rPr>
          <w:t>3.1.2</w:t>
        </w:r>
        <w:r w:rsidR="00BB544A">
          <w:rPr>
            <w:rFonts w:asciiTheme="minorHAnsi" w:eastAsiaTheme="minorEastAsia" w:hAnsiTheme="minorHAnsi" w:cstheme="minorBidi"/>
            <w:noProof/>
            <w:sz w:val="22"/>
            <w:szCs w:val="22"/>
            <w:lang w:val="da-DK" w:eastAsia="da-DK"/>
          </w:rPr>
          <w:tab/>
        </w:r>
        <w:r w:rsidR="00BB544A" w:rsidRPr="009A4055">
          <w:rPr>
            <w:rStyle w:val="Hyperlink"/>
            <w:noProof/>
            <w:lang w:val="en-GB"/>
          </w:rPr>
          <w:t>3GPP LTE-V2X</w:t>
        </w:r>
        <w:r w:rsidR="00BB544A">
          <w:rPr>
            <w:noProof/>
            <w:webHidden/>
          </w:rPr>
          <w:tab/>
        </w:r>
        <w:r w:rsidR="00BB544A">
          <w:rPr>
            <w:noProof/>
            <w:webHidden/>
          </w:rPr>
          <w:fldChar w:fldCharType="begin"/>
        </w:r>
        <w:r w:rsidR="00BB544A">
          <w:rPr>
            <w:noProof/>
            <w:webHidden/>
          </w:rPr>
          <w:instrText xml:space="preserve"> PAGEREF _Toc856024 \h </w:instrText>
        </w:r>
        <w:r w:rsidR="00BB544A">
          <w:rPr>
            <w:noProof/>
            <w:webHidden/>
          </w:rPr>
        </w:r>
        <w:r w:rsidR="00BB544A">
          <w:rPr>
            <w:noProof/>
            <w:webHidden/>
          </w:rPr>
          <w:fldChar w:fldCharType="separate"/>
        </w:r>
        <w:r w:rsidR="00021B21">
          <w:rPr>
            <w:noProof/>
            <w:webHidden/>
          </w:rPr>
          <w:t>11</w:t>
        </w:r>
        <w:r w:rsidR="00BB544A">
          <w:rPr>
            <w:noProof/>
            <w:webHidden/>
          </w:rPr>
          <w:fldChar w:fldCharType="end"/>
        </w:r>
      </w:hyperlink>
    </w:p>
    <w:p w14:paraId="0A7D778E" w14:textId="5E7A198E" w:rsidR="00BB544A" w:rsidRDefault="009E5CE0" w:rsidP="00932FB6">
      <w:pPr>
        <w:pStyle w:val="TOC3"/>
        <w:spacing w:after="0"/>
        <w:rPr>
          <w:rFonts w:asciiTheme="minorHAnsi" w:eastAsiaTheme="minorEastAsia" w:hAnsiTheme="minorHAnsi" w:cstheme="minorBidi"/>
          <w:noProof/>
          <w:sz w:val="22"/>
          <w:szCs w:val="22"/>
          <w:lang w:val="da-DK" w:eastAsia="da-DK"/>
        </w:rPr>
      </w:pPr>
      <w:hyperlink w:anchor="_Toc856025" w:history="1">
        <w:r w:rsidR="00BB544A" w:rsidRPr="009A4055">
          <w:rPr>
            <w:rStyle w:val="Hyperlink"/>
            <w:noProof/>
            <w:lang w:val="en-GB"/>
          </w:rPr>
          <w:t>3.1.3</w:t>
        </w:r>
        <w:r w:rsidR="00BB544A">
          <w:rPr>
            <w:rFonts w:asciiTheme="minorHAnsi" w:eastAsiaTheme="minorEastAsia" w:hAnsiTheme="minorHAnsi" w:cstheme="minorBidi"/>
            <w:noProof/>
            <w:sz w:val="22"/>
            <w:szCs w:val="22"/>
            <w:lang w:val="da-DK" w:eastAsia="da-DK"/>
          </w:rPr>
          <w:tab/>
        </w:r>
        <w:r w:rsidR="00BB544A" w:rsidRPr="009A4055">
          <w:rPr>
            <w:rStyle w:val="Hyperlink"/>
            <w:noProof/>
            <w:lang w:val="en-GB"/>
          </w:rPr>
          <w:t>Safety-related requirements for Road ITS</w:t>
        </w:r>
        <w:r w:rsidR="00BB544A">
          <w:rPr>
            <w:noProof/>
            <w:webHidden/>
          </w:rPr>
          <w:tab/>
        </w:r>
        <w:r w:rsidR="00BB544A">
          <w:rPr>
            <w:noProof/>
            <w:webHidden/>
          </w:rPr>
          <w:fldChar w:fldCharType="begin"/>
        </w:r>
        <w:r w:rsidR="00BB544A">
          <w:rPr>
            <w:noProof/>
            <w:webHidden/>
          </w:rPr>
          <w:instrText xml:space="preserve"> PAGEREF _Toc856025 \h </w:instrText>
        </w:r>
        <w:r w:rsidR="00BB544A">
          <w:rPr>
            <w:noProof/>
            <w:webHidden/>
          </w:rPr>
        </w:r>
        <w:r w:rsidR="00BB544A">
          <w:rPr>
            <w:noProof/>
            <w:webHidden/>
          </w:rPr>
          <w:fldChar w:fldCharType="separate"/>
        </w:r>
        <w:r w:rsidR="00021B21">
          <w:rPr>
            <w:noProof/>
            <w:webHidden/>
          </w:rPr>
          <w:t>11</w:t>
        </w:r>
        <w:r w:rsidR="00BB544A">
          <w:rPr>
            <w:noProof/>
            <w:webHidden/>
          </w:rPr>
          <w:fldChar w:fldCharType="end"/>
        </w:r>
      </w:hyperlink>
    </w:p>
    <w:p w14:paraId="0A7D778F" w14:textId="0D33554D" w:rsidR="00BB544A" w:rsidRDefault="009E5CE0" w:rsidP="00932FB6">
      <w:pPr>
        <w:pStyle w:val="TOC2"/>
        <w:spacing w:after="0"/>
        <w:rPr>
          <w:rFonts w:asciiTheme="minorHAnsi" w:eastAsiaTheme="minorEastAsia" w:hAnsiTheme="minorHAnsi" w:cstheme="minorBidi"/>
          <w:noProof/>
          <w:sz w:val="22"/>
          <w:szCs w:val="22"/>
          <w:lang w:val="da-DK" w:eastAsia="da-DK"/>
        </w:rPr>
      </w:pPr>
      <w:hyperlink w:anchor="_Toc856026" w:history="1">
        <w:r w:rsidR="00BB544A" w:rsidRPr="009A4055">
          <w:rPr>
            <w:rStyle w:val="Hyperlink"/>
            <w:noProof/>
            <w:lang w:val="en-GB"/>
          </w:rPr>
          <w:t>3.2</w:t>
        </w:r>
        <w:r w:rsidR="00BB544A">
          <w:rPr>
            <w:rFonts w:asciiTheme="minorHAnsi" w:eastAsiaTheme="minorEastAsia" w:hAnsiTheme="minorHAnsi" w:cstheme="minorBidi"/>
            <w:noProof/>
            <w:sz w:val="22"/>
            <w:szCs w:val="22"/>
            <w:lang w:val="da-DK" w:eastAsia="da-DK"/>
          </w:rPr>
          <w:tab/>
        </w:r>
        <w:r w:rsidR="00BB544A" w:rsidRPr="009A4055">
          <w:rPr>
            <w:rStyle w:val="Hyperlink"/>
            <w:noProof/>
            <w:lang w:val="en-GB"/>
          </w:rPr>
          <w:t>Urban Rail ITS</w:t>
        </w:r>
        <w:r w:rsidR="00BB544A">
          <w:rPr>
            <w:noProof/>
            <w:webHidden/>
          </w:rPr>
          <w:tab/>
        </w:r>
        <w:r w:rsidR="00BB544A">
          <w:rPr>
            <w:noProof/>
            <w:webHidden/>
          </w:rPr>
          <w:fldChar w:fldCharType="begin"/>
        </w:r>
        <w:r w:rsidR="00BB544A">
          <w:rPr>
            <w:noProof/>
            <w:webHidden/>
          </w:rPr>
          <w:instrText xml:space="preserve"> PAGEREF _Toc856026 \h </w:instrText>
        </w:r>
        <w:r w:rsidR="00BB544A">
          <w:rPr>
            <w:noProof/>
            <w:webHidden/>
          </w:rPr>
        </w:r>
        <w:r w:rsidR="00BB544A">
          <w:rPr>
            <w:noProof/>
            <w:webHidden/>
          </w:rPr>
          <w:fldChar w:fldCharType="separate"/>
        </w:r>
        <w:r w:rsidR="00021B21">
          <w:rPr>
            <w:noProof/>
            <w:webHidden/>
          </w:rPr>
          <w:t>11</w:t>
        </w:r>
        <w:r w:rsidR="00BB544A">
          <w:rPr>
            <w:noProof/>
            <w:webHidden/>
          </w:rPr>
          <w:fldChar w:fldCharType="end"/>
        </w:r>
      </w:hyperlink>
    </w:p>
    <w:p w14:paraId="0A7D7790" w14:textId="055C0FFE" w:rsidR="00BB544A" w:rsidRDefault="009E5CE0" w:rsidP="00932FB6">
      <w:pPr>
        <w:pStyle w:val="TOC3"/>
        <w:spacing w:after="0"/>
        <w:rPr>
          <w:rFonts w:asciiTheme="minorHAnsi" w:eastAsiaTheme="minorEastAsia" w:hAnsiTheme="minorHAnsi" w:cstheme="minorBidi"/>
          <w:noProof/>
          <w:sz w:val="22"/>
          <w:szCs w:val="22"/>
          <w:lang w:val="da-DK" w:eastAsia="da-DK"/>
        </w:rPr>
      </w:pPr>
      <w:hyperlink w:anchor="_Toc856027" w:history="1">
        <w:r w:rsidR="00BB544A" w:rsidRPr="009A4055">
          <w:rPr>
            <w:rStyle w:val="Hyperlink"/>
            <w:noProof/>
            <w:lang w:val="en-GB"/>
          </w:rPr>
          <w:t>3.2.1</w:t>
        </w:r>
        <w:r w:rsidR="00BB544A">
          <w:rPr>
            <w:rFonts w:asciiTheme="minorHAnsi" w:eastAsiaTheme="minorEastAsia" w:hAnsiTheme="minorHAnsi" w:cstheme="minorBidi"/>
            <w:noProof/>
            <w:sz w:val="22"/>
            <w:szCs w:val="22"/>
            <w:lang w:val="da-DK" w:eastAsia="da-DK"/>
          </w:rPr>
          <w:tab/>
        </w:r>
        <w:r w:rsidR="00BB544A" w:rsidRPr="009A4055">
          <w:rPr>
            <w:rStyle w:val="Hyperlink"/>
            <w:noProof/>
            <w:lang w:val="en-GB"/>
          </w:rPr>
          <w:t>Technologies</w:t>
        </w:r>
        <w:r w:rsidR="00BB544A">
          <w:rPr>
            <w:noProof/>
            <w:webHidden/>
          </w:rPr>
          <w:tab/>
        </w:r>
        <w:r w:rsidR="00BB544A">
          <w:rPr>
            <w:noProof/>
            <w:webHidden/>
          </w:rPr>
          <w:fldChar w:fldCharType="begin"/>
        </w:r>
        <w:r w:rsidR="00BB544A">
          <w:rPr>
            <w:noProof/>
            <w:webHidden/>
          </w:rPr>
          <w:instrText xml:space="preserve"> PAGEREF _Toc856027 \h </w:instrText>
        </w:r>
        <w:r w:rsidR="00BB544A">
          <w:rPr>
            <w:noProof/>
            <w:webHidden/>
          </w:rPr>
        </w:r>
        <w:r w:rsidR="00BB544A">
          <w:rPr>
            <w:noProof/>
            <w:webHidden/>
          </w:rPr>
          <w:fldChar w:fldCharType="separate"/>
        </w:r>
        <w:r w:rsidR="00021B21">
          <w:rPr>
            <w:noProof/>
            <w:webHidden/>
          </w:rPr>
          <w:t>12</w:t>
        </w:r>
        <w:r w:rsidR="00BB544A">
          <w:rPr>
            <w:noProof/>
            <w:webHidden/>
          </w:rPr>
          <w:fldChar w:fldCharType="end"/>
        </w:r>
      </w:hyperlink>
    </w:p>
    <w:p w14:paraId="0A7D7791" w14:textId="37DE2C69" w:rsidR="00BB544A" w:rsidRDefault="009E5CE0" w:rsidP="00932FB6">
      <w:pPr>
        <w:pStyle w:val="TOC3"/>
        <w:spacing w:after="0"/>
        <w:rPr>
          <w:rFonts w:asciiTheme="minorHAnsi" w:eastAsiaTheme="minorEastAsia" w:hAnsiTheme="minorHAnsi" w:cstheme="minorBidi"/>
          <w:noProof/>
          <w:sz w:val="22"/>
          <w:szCs w:val="22"/>
          <w:lang w:val="da-DK" w:eastAsia="da-DK"/>
        </w:rPr>
      </w:pPr>
      <w:hyperlink w:anchor="_Toc856028" w:history="1">
        <w:r w:rsidR="00BB544A" w:rsidRPr="009A4055">
          <w:rPr>
            <w:rStyle w:val="Hyperlink"/>
            <w:noProof/>
            <w:lang w:val="en-GB"/>
          </w:rPr>
          <w:t>3.2.2</w:t>
        </w:r>
        <w:r w:rsidR="00BB544A">
          <w:rPr>
            <w:rFonts w:asciiTheme="minorHAnsi" w:eastAsiaTheme="minorEastAsia" w:hAnsiTheme="minorHAnsi" w:cstheme="minorBidi"/>
            <w:noProof/>
            <w:sz w:val="22"/>
            <w:szCs w:val="22"/>
            <w:lang w:val="da-DK" w:eastAsia="da-DK"/>
          </w:rPr>
          <w:tab/>
        </w:r>
        <w:r w:rsidR="00BB544A" w:rsidRPr="009A4055">
          <w:rPr>
            <w:rStyle w:val="Hyperlink"/>
            <w:noProof/>
            <w:lang w:val="en-GB"/>
          </w:rPr>
          <w:t>Safety-related requirements for Urban Rail ITS</w:t>
        </w:r>
        <w:r w:rsidR="00BB544A">
          <w:rPr>
            <w:noProof/>
            <w:webHidden/>
          </w:rPr>
          <w:tab/>
        </w:r>
        <w:r w:rsidR="00BB544A">
          <w:rPr>
            <w:noProof/>
            <w:webHidden/>
          </w:rPr>
          <w:fldChar w:fldCharType="begin"/>
        </w:r>
        <w:r w:rsidR="00BB544A">
          <w:rPr>
            <w:noProof/>
            <w:webHidden/>
          </w:rPr>
          <w:instrText xml:space="preserve"> PAGEREF _Toc856028 \h </w:instrText>
        </w:r>
        <w:r w:rsidR="00BB544A">
          <w:rPr>
            <w:noProof/>
            <w:webHidden/>
          </w:rPr>
        </w:r>
        <w:r w:rsidR="00BB544A">
          <w:rPr>
            <w:noProof/>
            <w:webHidden/>
          </w:rPr>
          <w:fldChar w:fldCharType="separate"/>
        </w:r>
        <w:r w:rsidR="00021B21">
          <w:rPr>
            <w:noProof/>
            <w:webHidden/>
          </w:rPr>
          <w:t>12</w:t>
        </w:r>
        <w:r w:rsidR="00BB544A">
          <w:rPr>
            <w:noProof/>
            <w:webHidden/>
          </w:rPr>
          <w:fldChar w:fldCharType="end"/>
        </w:r>
      </w:hyperlink>
    </w:p>
    <w:p w14:paraId="0A7D7792" w14:textId="615A8744" w:rsidR="00BB544A" w:rsidRDefault="009E5CE0" w:rsidP="00932FB6">
      <w:pPr>
        <w:pStyle w:val="TOC1"/>
        <w:spacing w:after="0"/>
        <w:rPr>
          <w:rFonts w:asciiTheme="minorHAnsi" w:eastAsiaTheme="minorEastAsia" w:hAnsiTheme="minorHAnsi" w:cstheme="minorBidi"/>
          <w:b w:val="0"/>
          <w:caps w:val="0"/>
          <w:noProof/>
          <w:sz w:val="22"/>
          <w:szCs w:val="22"/>
          <w:lang w:val="da-DK" w:eastAsia="da-DK"/>
        </w:rPr>
      </w:pPr>
      <w:hyperlink w:anchor="_Toc856029" w:history="1">
        <w:r w:rsidR="00BB544A" w:rsidRPr="009A4055">
          <w:rPr>
            <w:rStyle w:val="Hyperlink"/>
            <w:noProof/>
          </w:rPr>
          <w:t>4</w:t>
        </w:r>
        <w:r w:rsidR="00BB544A">
          <w:rPr>
            <w:rFonts w:asciiTheme="minorHAnsi" w:eastAsiaTheme="minorEastAsia" w:hAnsiTheme="minorHAnsi" w:cstheme="minorBidi"/>
            <w:b w:val="0"/>
            <w:caps w:val="0"/>
            <w:noProof/>
            <w:sz w:val="22"/>
            <w:szCs w:val="22"/>
            <w:lang w:val="da-DK" w:eastAsia="da-DK"/>
          </w:rPr>
          <w:tab/>
        </w:r>
        <w:r w:rsidR="00BB544A" w:rsidRPr="009A4055">
          <w:rPr>
            <w:rStyle w:val="Hyperlink"/>
            <w:noProof/>
          </w:rPr>
          <w:t>Additional considerations on coexistence between ITS and other applications</w:t>
        </w:r>
        <w:r w:rsidR="00BB544A">
          <w:rPr>
            <w:noProof/>
            <w:webHidden/>
          </w:rPr>
          <w:tab/>
        </w:r>
        <w:r w:rsidR="00BB544A">
          <w:rPr>
            <w:noProof/>
            <w:webHidden/>
          </w:rPr>
          <w:fldChar w:fldCharType="begin"/>
        </w:r>
        <w:r w:rsidR="00BB544A">
          <w:rPr>
            <w:noProof/>
            <w:webHidden/>
          </w:rPr>
          <w:instrText xml:space="preserve"> PAGEREF _Toc856029 \h </w:instrText>
        </w:r>
        <w:r w:rsidR="00BB544A">
          <w:rPr>
            <w:noProof/>
            <w:webHidden/>
          </w:rPr>
        </w:r>
        <w:r w:rsidR="00BB544A">
          <w:rPr>
            <w:noProof/>
            <w:webHidden/>
          </w:rPr>
          <w:fldChar w:fldCharType="separate"/>
        </w:r>
        <w:r w:rsidR="00021B21">
          <w:rPr>
            <w:noProof/>
            <w:webHidden/>
          </w:rPr>
          <w:t>13</w:t>
        </w:r>
        <w:r w:rsidR="00BB544A">
          <w:rPr>
            <w:noProof/>
            <w:webHidden/>
          </w:rPr>
          <w:fldChar w:fldCharType="end"/>
        </w:r>
      </w:hyperlink>
    </w:p>
    <w:p w14:paraId="0A7D7793" w14:textId="690434B6" w:rsidR="00BB544A" w:rsidRDefault="009E5CE0" w:rsidP="00932FB6">
      <w:pPr>
        <w:pStyle w:val="TOC1"/>
        <w:spacing w:after="0"/>
        <w:rPr>
          <w:rFonts w:asciiTheme="minorHAnsi" w:eastAsiaTheme="minorEastAsia" w:hAnsiTheme="minorHAnsi" w:cstheme="minorBidi"/>
          <w:b w:val="0"/>
          <w:caps w:val="0"/>
          <w:noProof/>
          <w:sz w:val="22"/>
          <w:szCs w:val="22"/>
          <w:lang w:val="da-DK" w:eastAsia="da-DK"/>
        </w:rPr>
      </w:pPr>
      <w:hyperlink w:anchor="_Toc856035" w:history="1">
        <w:r w:rsidR="00BB544A" w:rsidRPr="009A4055">
          <w:rPr>
            <w:rStyle w:val="Hyperlink"/>
            <w:noProof/>
          </w:rPr>
          <w:t>5</w:t>
        </w:r>
        <w:r w:rsidR="00BB544A">
          <w:rPr>
            <w:rFonts w:asciiTheme="minorHAnsi" w:eastAsiaTheme="minorEastAsia" w:hAnsiTheme="minorHAnsi" w:cstheme="minorBidi"/>
            <w:b w:val="0"/>
            <w:caps w:val="0"/>
            <w:noProof/>
            <w:sz w:val="22"/>
            <w:szCs w:val="22"/>
            <w:lang w:val="da-DK" w:eastAsia="da-DK"/>
          </w:rPr>
          <w:tab/>
        </w:r>
        <w:r w:rsidR="00BB544A" w:rsidRPr="009A4055">
          <w:rPr>
            <w:rStyle w:val="Hyperlink"/>
            <w:noProof/>
          </w:rPr>
          <w:t>Coexistence between ITS applications and technologies</w:t>
        </w:r>
        <w:r w:rsidR="00BB544A">
          <w:rPr>
            <w:noProof/>
            <w:webHidden/>
          </w:rPr>
          <w:tab/>
        </w:r>
        <w:r w:rsidR="00BB544A">
          <w:rPr>
            <w:noProof/>
            <w:webHidden/>
          </w:rPr>
          <w:fldChar w:fldCharType="begin"/>
        </w:r>
        <w:r w:rsidR="00BB544A">
          <w:rPr>
            <w:noProof/>
            <w:webHidden/>
          </w:rPr>
          <w:instrText xml:space="preserve"> PAGEREF _Toc856035 \h </w:instrText>
        </w:r>
        <w:r w:rsidR="00BB544A">
          <w:rPr>
            <w:noProof/>
            <w:webHidden/>
          </w:rPr>
        </w:r>
        <w:r w:rsidR="00BB544A">
          <w:rPr>
            <w:noProof/>
            <w:webHidden/>
          </w:rPr>
          <w:fldChar w:fldCharType="separate"/>
        </w:r>
        <w:r w:rsidR="00021B21">
          <w:rPr>
            <w:noProof/>
            <w:webHidden/>
          </w:rPr>
          <w:t>16</w:t>
        </w:r>
        <w:r w:rsidR="00BB544A">
          <w:rPr>
            <w:noProof/>
            <w:webHidden/>
          </w:rPr>
          <w:fldChar w:fldCharType="end"/>
        </w:r>
      </w:hyperlink>
    </w:p>
    <w:p w14:paraId="0A7D7794" w14:textId="6167115E" w:rsidR="00BB544A" w:rsidRDefault="009E5CE0" w:rsidP="00932FB6">
      <w:pPr>
        <w:pStyle w:val="TOC2"/>
        <w:spacing w:after="0"/>
        <w:rPr>
          <w:rFonts w:asciiTheme="minorHAnsi" w:eastAsiaTheme="minorEastAsia" w:hAnsiTheme="minorHAnsi" w:cstheme="minorBidi"/>
          <w:noProof/>
          <w:sz w:val="22"/>
          <w:szCs w:val="22"/>
          <w:lang w:val="da-DK" w:eastAsia="da-DK"/>
        </w:rPr>
      </w:pPr>
      <w:hyperlink w:anchor="_Toc856036" w:history="1">
        <w:r w:rsidR="00BB544A" w:rsidRPr="009A4055">
          <w:rPr>
            <w:rStyle w:val="Hyperlink"/>
            <w:noProof/>
            <w:lang w:val="en-GB"/>
          </w:rPr>
          <w:t>5.1</w:t>
        </w:r>
        <w:r w:rsidR="00BB544A">
          <w:rPr>
            <w:rFonts w:asciiTheme="minorHAnsi" w:eastAsiaTheme="minorEastAsia" w:hAnsiTheme="minorHAnsi" w:cstheme="minorBidi"/>
            <w:noProof/>
            <w:sz w:val="22"/>
            <w:szCs w:val="22"/>
            <w:lang w:val="da-DK" w:eastAsia="da-DK"/>
          </w:rPr>
          <w:tab/>
        </w:r>
        <w:r w:rsidR="00BB544A" w:rsidRPr="009A4055">
          <w:rPr>
            <w:rStyle w:val="Hyperlink"/>
            <w:noProof/>
            <w:lang w:val="en-GB"/>
          </w:rPr>
          <w:t>Coexistence between Road ITS technologies</w:t>
        </w:r>
        <w:r w:rsidR="00BB544A">
          <w:rPr>
            <w:noProof/>
            <w:webHidden/>
          </w:rPr>
          <w:tab/>
        </w:r>
        <w:r w:rsidR="00BB544A">
          <w:rPr>
            <w:noProof/>
            <w:webHidden/>
          </w:rPr>
          <w:fldChar w:fldCharType="begin"/>
        </w:r>
        <w:r w:rsidR="00BB544A">
          <w:rPr>
            <w:noProof/>
            <w:webHidden/>
          </w:rPr>
          <w:instrText xml:space="preserve"> PAGEREF _Toc856036 \h </w:instrText>
        </w:r>
        <w:r w:rsidR="00BB544A">
          <w:rPr>
            <w:noProof/>
            <w:webHidden/>
          </w:rPr>
        </w:r>
        <w:r w:rsidR="00BB544A">
          <w:rPr>
            <w:noProof/>
            <w:webHidden/>
          </w:rPr>
          <w:fldChar w:fldCharType="separate"/>
        </w:r>
        <w:r w:rsidR="00021B21">
          <w:rPr>
            <w:noProof/>
            <w:webHidden/>
          </w:rPr>
          <w:t>16</w:t>
        </w:r>
        <w:r w:rsidR="00BB544A">
          <w:rPr>
            <w:noProof/>
            <w:webHidden/>
          </w:rPr>
          <w:fldChar w:fldCharType="end"/>
        </w:r>
      </w:hyperlink>
    </w:p>
    <w:p w14:paraId="0A7D7795" w14:textId="4A122887" w:rsidR="00BB544A" w:rsidRDefault="009E5CE0" w:rsidP="00932FB6">
      <w:pPr>
        <w:pStyle w:val="TOC2"/>
        <w:spacing w:after="0"/>
        <w:rPr>
          <w:rFonts w:asciiTheme="minorHAnsi" w:eastAsiaTheme="minorEastAsia" w:hAnsiTheme="minorHAnsi" w:cstheme="minorBidi"/>
          <w:noProof/>
          <w:sz w:val="22"/>
          <w:szCs w:val="22"/>
          <w:lang w:val="da-DK" w:eastAsia="da-DK"/>
        </w:rPr>
      </w:pPr>
      <w:hyperlink w:anchor="_Toc856037" w:history="1">
        <w:r w:rsidR="00BB544A" w:rsidRPr="009A4055">
          <w:rPr>
            <w:rStyle w:val="Hyperlink"/>
            <w:noProof/>
            <w:lang w:val="en-GB"/>
          </w:rPr>
          <w:t>5.2</w:t>
        </w:r>
        <w:r w:rsidR="00BB544A">
          <w:rPr>
            <w:rFonts w:asciiTheme="minorHAnsi" w:eastAsiaTheme="minorEastAsia" w:hAnsiTheme="minorHAnsi" w:cstheme="minorBidi"/>
            <w:noProof/>
            <w:sz w:val="22"/>
            <w:szCs w:val="22"/>
            <w:lang w:val="da-DK" w:eastAsia="da-DK"/>
          </w:rPr>
          <w:tab/>
        </w:r>
        <w:r w:rsidR="00BB544A" w:rsidRPr="009A4055">
          <w:rPr>
            <w:rStyle w:val="Hyperlink"/>
            <w:noProof/>
            <w:lang w:val="en-GB"/>
          </w:rPr>
          <w:t>Coexistence between Urban Rail ITS technologies</w:t>
        </w:r>
        <w:r w:rsidR="00BB544A">
          <w:rPr>
            <w:noProof/>
            <w:webHidden/>
          </w:rPr>
          <w:tab/>
        </w:r>
        <w:r w:rsidR="00BB544A">
          <w:rPr>
            <w:noProof/>
            <w:webHidden/>
          </w:rPr>
          <w:fldChar w:fldCharType="begin"/>
        </w:r>
        <w:r w:rsidR="00BB544A">
          <w:rPr>
            <w:noProof/>
            <w:webHidden/>
          </w:rPr>
          <w:instrText xml:space="preserve"> PAGEREF _Toc856037 \h </w:instrText>
        </w:r>
        <w:r w:rsidR="00BB544A">
          <w:rPr>
            <w:noProof/>
            <w:webHidden/>
          </w:rPr>
        </w:r>
        <w:r w:rsidR="00BB544A">
          <w:rPr>
            <w:noProof/>
            <w:webHidden/>
          </w:rPr>
          <w:fldChar w:fldCharType="separate"/>
        </w:r>
        <w:r w:rsidR="00021B21">
          <w:rPr>
            <w:noProof/>
            <w:webHidden/>
          </w:rPr>
          <w:t>17</w:t>
        </w:r>
        <w:r w:rsidR="00BB544A">
          <w:rPr>
            <w:noProof/>
            <w:webHidden/>
          </w:rPr>
          <w:fldChar w:fldCharType="end"/>
        </w:r>
      </w:hyperlink>
    </w:p>
    <w:p w14:paraId="0A7D7796" w14:textId="35A993AB" w:rsidR="00BB544A" w:rsidRDefault="009E5CE0" w:rsidP="00932FB6">
      <w:pPr>
        <w:pStyle w:val="TOC2"/>
        <w:spacing w:after="0"/>
        <w:rPr>
          <w:rFonts w:asciiTheme="minorHAnsi" w:eastAsiaTheme="minorEastAsia" w:hAnsiTheme="minorHAnsi" w:cstheme="minorBidi"/>
          <w:noProof/>
          <w:sz w:val="22"/>
          <w:szCs w:val="22"/>
          <w:lang w:val="da-DK" w:eastAsia="da-DK"/>
        </w:rPr>
      </w:pPr>
      <w:hyperlink w:anchor="_Toc856038" w:history="1">
        <w:r w:rsidR="00BB544A" w:rsidRPr="009A4055">
          <w:rPr>
            <w:rStyle w:val="Hyperlink"/>
            <w:noProof/>
            <w:lang w:val="en-GB"/>
          </w:rPr>
          <w:t>5.3</w:t>
        </w:r>
        <w:r w:rsidR="00BB544A">
          <w:rPr>
            <w:rFonts w:asciiTheme="minorHAnsi" w:eastAsiaTheme="minorEastAsia" w:hAnsiTheme="minorHAnsi" w:cstheme="minorBidi"/>
            <w:noProof/>
            <w:sz w:val="22"/>
            <w:szCs w:val="22"/>
            <w:lang w:val="da-DK" w:eastAsia="da-DK"/>
          </w:rPr>
          <w:tab/>
        </w:r>
        <w:r w:rsidR="00BB544A" w:rsidRPr="009A4055">
          <w:rPr>
            <w:rStyle w:val="Hyperlink"/>
            <w:noProof/>
            <w:lang w:val="en-GB"/>
          </w:rPr>
          <w:t>Coexistence between Road ITS and Urban Rail ITS</w:t>
        </w:r>
        <w:r w:rsidR="00BB544A">
          <w:rPr>
            <w:noProof/>
            <w:webHidden/>
          </w:rPr>
          <w:tab/>
        </w:r>
        <w:r w:rsidR="00BB544A">
          <w:rPr>
            <w:noProof/>
            <w:webHidden/>
          </w:rPr>
          <w:fldChar w:fldCharType="begin"/>
        </w:r>
        <w:r w:rsidR="00BB544A">
          <w:rPr>
            <w:noProof/>
            <w:webHidden/>
          </w:rPr>
          <w:instrText xml:space="preserve"> PAGEREF _Toc856038 \h </w:instrText>
        </w:r>
        <w:r w:rsidR="00BB544A">
          <w:rPr>
            <w:noProof/>
            <w:webHidden/>
          </w:rPr>
        </w:r>
        <w:r w:rsidR="00BB544A">
          <w:rPr>
            <w:noProof/>
            <w:webHidden/>
          </w:rPr>
          <w:fldChar w:fldCharType="separate"/>
        </w:r>
        <w:r w:rsidR="00021B21">
          <w:rPr>
            <w:noProof/>
            <w:webHidden/>
          </w:rPr>
          <w:t>17</w:t>
        </w:r>
        <w:r w:rsidR="00BB544A">
          <w:rPr>
            <w:noProof/>
            <w:webHidden/>
          </w:rPr>
          <w:fldChar w:fldCharType="end"/>
        </w:r>
      </w:hyperlink>
    </w:p>
    <w:p w14:paraId="0A7D7797" w14:textId="4592CBAE" w:rsidR="00BB544A" w:rsidRDefault="009E5CE0" w:rsidP="00932FB6">
      <w:pPr>
        <w:pStyle w:val="TOC3"/>
        <w:spacing w:after="0"/>
        <w:rPr>
          <w:rFonts w:asciiTheme="minorHAnsi" w:eastAsiaTheme="minorEastAsia" w:hAnsiTheme="minorHAnsi" w:cstheme="minorBidi"/>
          <w:noProof/>
          <w:sz w:val="22"/>
          <w:szCs w:val="22"/>
          <w:lang w:val="da-DK" w:eastAsia="da-DK"/>
        </w:rPr>
      </w:pPr>
      <w:hyperlink w:anchor="_Toc856039" w:history="1">
        <w:r w:rsidR="00BB544A" w:rsidRPr="009A4055">
          <w:rPr>
            <w:rStyle w:val="Hyperlink"/>
            <w:noProof/>
            <w:lang w:val="en-GB"/>
          </w:rPr>
          <w:t>5.3.1</w:t>
        </w:r>
        <w:r w:rsidR="00BB544A">
          <w:rPr>
            <w:rFonts w:asciiTheme="minorHAnsi" w:eastAsiaTheme="minorEastAsia" w:hAnsiTheme="minorHAnsi" w:cstheme="minorBidi"/>
            <w:noProof/>
            <w:sz w:val="22"/>
            <w:szCs w:val="22"/>
            <w:lang w:val="da-DK" w:eastAsia="da-DK"/>
          </w:rPr>
          <w:tab/>
        </w:r>
        <w:r w:rsidR="00BB544A" w:rsidRPr="009A4055">
          <w:rPr>
            <w:rStyle w:val="Hyperlink"/>
            <w:noProof/>
            <w:lang w:val="en-GB"/>
          </w:rPr>
          <w:t>Option 1; Urban Rail ITS having priority in 5905-5925 MHz</w:t>
        </w:r>
        <w:r w:rsidR="00BB544A">
          <w:rPr>
            <w:noProof/>
            <w:webHidden/>
          </w:rPr>
          <w:tab/>
        </w:r>
        <w:r w:rsidR="00BB544A">
          <w:rPr>
            <w:noProof/>
            <w:webHidden/>
          </w:rPr>
          <w:fldChar w:fldCharType="begin"/>
        </w:r>
        <w:r w:rsidR="00BB544A">
          <w:rPr>
            <w:noProof/>
            <w:webHidden/>
          </w:rPr>
          <w:instrText xml:space="preserve"> PAGEREF _Toc856039 \h </w:instrText>
        </w:r>
        <w:r w:rsidR="00BB544A">
          <w:rPr>
            <w:noProof/>
            <w:webHidden/>
          </w:rPr>
        </w:r>
        <w:r w:rsidR="00BB544A">
          <w:rPr>
            <w:noProof/>
            <w:webHidden/>
          </w:rPr>
          <w:fldChar w:fldCharType="separate"/>
        </w:r>
        <w:r w:rsidR="00021B21">
          <w:rPr>
            <w:noProof/>
            <w:webHidden/>
          </w:rPr>
          <w:t>19</w:t>
        </w:r>
        <w:r w:rsidR="00BB544A">
          <w:rPr>
            <w:noProof/>
            <w:webHidden/>
          </w:rPr>
          <w:fldChar w:fldCharType="end"/>
        </w:r>
      </w:hyperlink>
    </w:p>
    <w:p w14:paraId="0A7D7798" w14:textId="2B9CB3C5" w:rsidR="00BB544A" w:rsidRDefault="009E5CE0" w:rsidP="00932FB6">
      <w:pPr>
        <w:pStyle w:val="TOC3"/>
        <w:spacing w:after="0"/>
        <w:rPr>
          <w:rFonts w:asciiTheme="minorHAnsi" w:eastAsiaTheme="minorEastAsia" w:hAnsiTheme="minorHAnsi" w:cstheme="minorBidi"/>
          <w:noProof/>
          <w:sz w:val="22"/>
          <w:szCs w:val="22"/>
          <w:lang w:val="da-DK" w:eastAsia="da-DK"/>
        </w:rPr>
      </w:pPr>
      <w:hyperlink w:anchor="_Toc856040" w:history="1">
        <w:r w:rsidR="00BB544A" w:rsidRPr="009A4055">
          <w:rPr>
            <w:rStyle w:val="Hyperlink"/>
            <w:noProof/>
            <w:lang w:val="en-GB"/>
          </w:rPr>
          <w:t>5.3.2</w:t>
        </w:r>
        <w:r w:rsidR="00BB544A">
          <w:rPr>
            <w:rFonts w:asciiTheme="minorHAnsi" w:eastAsiaTheme="minorEastAsia" w:hAnsiTheme="minorHAnsi" w:cstheme="minorBidi"/>
            <w:noProof/>
            <w:sz w:val="22"/>
            <w:szCs w:val="22"/>
            <w:lang w:val="da-DK" w:eastAsia="da-DK"/>
          </w:rPr>
          <w:tab/>
        </w:r>
        <w:r w:rsidR="00BB544A" w:rsidRPr="009A4055">
          <w:rPr>
            <w:rStyle w:val="Hyperlink"/>
            <w:noProof/>
            <w:lang w:val="en-GB"/>
          </w:rPr>
          <w:t>Option 2; Urban Rail ITS operating in 5915-5935 MHz and having priority above 5915 MHz</w:t>
        </w:r>
        <w:r w:rsidR="00BB544A">
          <w:rPr>
            <w:noProof/>
            <w:webHidden/>
          </w:rPr>
          <w:tab/>
        </w:r>
        <w:r w:rsidR="00BB544A">
          <w:rPr>
            <w:noProof/>
            <w:webHidden/>
          </w:rPr>
          <w:fldChar w:fldCharType="begin"/>
        </w:r>
        <w:r w:rsidR="00BB544A">
          <w:rPr>
            <w:noProof/>
            <w:webHidden/>
          </w:rPr>
          <w:instrText xml:space="preserve"> PAGEREF _Toc856040 \h </w:instrText>
        </w:r>
        <w:r w:rsidR="00BB544A">
          <w:rPr>
            <w:noProof/>
            <w:webHidden/>
          </w:rPr>
        </w:r>
        <w:r w:rsidR="00BB544A">
          <w:rPr>
            <w:noProof/>
            <w:webHidden/>
          </w:rPr>
          <w:fldChar w:fldCharType="separate"/>
        </w:r>
        <w:r w:rsidR="00021B21">
          <w:rPr>
            <w:noProof/>
            <w:webHidden/>
          </w:rPr>
          <w:t>19</w:t>
        </w:r>
        <w:r w:rsidR="00BB544A">
          <w:rPr>
            <w:noProof/>
            <w:webHidden/>
          </w:rPr>
          <w:fldChar w:fldCharType="end"/>
        </w:r>
      </w:hyperlink>
    </w:p>
    <w:p w14:paraId="0A7D7799" w14:textId="35A95313" w:rsidR="00BB544A" w:rsidRDefault="009E5CE0" w:rsidP="00932FB6">
      <w:pPr>
        <w:pStyle w:val="TOC1"/>
        <w:spacing w:after="0"/>
        <w:rPr>
          <w:rFonts w:asciiTheme="minorHAnsi" w:eastAsiaTheme="minorEastAsia" w:hAnsiTheme="minorHAnsi" w:cstheme="minorBidi"/>
          <w:b w:val="0"/>
          <w:caps w:val="0"/>
          <w:noProof/>
          <w:sz w:val="22"/>
          <w:szCs w:val="22"/>
          <w:lang w:val="da-DK" w:eastAsia="da-DK"/>
        </w:rPr>
      </w:pPr>
      <w:hyperlink w:anchor="_Toc856041" w:history="1">
        <w:r w:rsidR="00BB544A" w:rsidRPr="009A4055">
          <w:rPr>
            <w:rStyle w:val="Hyperlink"/>
            <w:noProof/>
          </w:rPr>
          <w:t>6</w:t>
        </w:r>
        <w:r w:rsidR="00BB544A">
          <w:rPr>
            <w:rFonts w:asciiTheme="minorHAnsi" w:eastAsiaTheme="minorEastAsia" w:hAnsiTheme="minorHAnsi" w:cstheme="minorBidi"/>
            <w:b w:val="0"/>
            <w:caps w:val="0"/>
            <w:noProof/>
            <w:sz w:val="22"/>
            <w:szCs w:val="22"/>
            <w:lang w:val="da-DK" w:eastAsia="da-DK"/>
          </w:rPr>
          <w:tab/>
        </w:r>
        <w:r w:rsidR="00BB544A" w:rsidRPr="009A4055">
          <w:rPr>
            <w:rStyle w:val="Hyperlink"/>
            <w:noProof/>
          </w:rPr>
          <w:t>Proposals for further regulation and standardisation on ITS</w:t>
        </w:r>
        <w:r w:rsidR="00BB544A">
          <w:rPr>
            <w:noProof/>
            <w:webHidden/>
          </w:rPr>
          <w:tab/>
        </w:r>
        <w:r w:rsidR="00BB544A">
          <w:rPr>
            <w:noProof/>
            <w:webHidden/>
          </w:rPr>
          <w:fldChar w:fldCharType="begin"/>
        </w:r>
        <w:r w:rsidR="00BB544A">
          <w:rPr>
            <w:noProof/>
            <w:webHidden/>
          </w:rPr>
          <w:instrText xml:space="preserve"> PAGEREF _Toc856041 \h </w:instrText>
        </w:r>
        <w:r w:rsidR="00BB544A">
          <w:rPr>
            <w:noProof/>
            <w:webHidden/>
          </w:rPr>
        </w:r>
        <w:r w:rsidR="00BB544A">
          <w:rPr>
            <w:noProof/>
            <w:webHidden/>
          </w:rPr>
          <w:fldChar w:fldCharType="separate"/>
        </w:r>
        <w:r w:rsidR="00021B21">
          <w:rPr>
            <w:noProof/>
            <w:webHidden/>
          </w:rPr>
          <w:t>21</w:t>
        </w:r>
        <w:r w:rsidR="00BB544A">
          <w:rPr>
            <w:noProof/>
            <w:webHidden/>
          </w:rPr>
          <w:fldChar w:fldCharType="end"/>
        </w:r>
      </w:hyperlink>
    </w:p>
    <w:p w14:paraId="0A7D779A" w14:textId="3BE4D6D2" w:rsidR="00BB544A" w:rsidRDefault="009E5CE0" w:rsidP="00932FB6">
      <w:pPr>
        <w:pStyle w:val="TOC2"/>
        <w:spacing w:after="0"/>
        <w:rPr>
          <w:rFonts w:asciiTheme="minorHAnsi" w:eastAsiaTheme="minorEastAsia" w:hAnsiTheme="minorHAnsi" w:cstheme="minorBidi"/>
          <w:noProof/>
          <w:sz w:val="22"/>
          <w:szCs w:val="22"/>
          <w:lang w:val="da-DK" w:eastAsia="da-DK"/>
        </w:rPr>
      </w:pPr>
      <w:hyperlink w:anchor="_Toc856042" w:history="1">
        <w:r w:rsidR="00BB544A" w:rsidRPr="009A4055">
          <w:rPr>
            <w:rStyle w:val="Hyperlink"/>
            <w:noProof/>
            <w:lang w:val="en-GB"/>
          </w:rPr>
          <w:t>6.1</w:t>
        </w:r>
        <w:r w:rsidR="00BB544A">
          <w:rPr>
            <w:rFonts w:asciiTheme="minorHAnsi" w:eastAsiaTheme="minorEastAsia" w:hAnsiTheme="minorHAnsi" w:cstheme="minorBidi"/>
            <w:noProof/>
            <w:sz w:val="22"/>
            <w:szCs w:val="22"/>
            <w:lang w:val="da-DK" w:eastAsia="da-DK"/>
          </w:rPr>
          <w:tab/>
        </w:r>
        <w:r w:rsidR="00BB544A" w:rsidRPr="009A4055">
          <w:rPr>
            <w:rStyle w:val="Hyperlink"/>
            <w:noProof/>
            <w:lang w:val="en-GB"/>
          </w:rPr>
          <w:t>Proposals for the EC Decision (and ECC Decision)</w:t>
        </w:r>
        <w:r w:rsidR="00BB544A">
          <w:rPr>
            <w:noProof/>
            <w:webHidden/>
          </w:rPr>
          <w:tab/>
        </w:r>
        <w:r w:rsidR="00BB544A">
          <w:rPr>
            <w:noProof/>
            <w:webHidden/>
          </w:rPr>
          <w:fldChar w:fldCharType="begin"/>
        </w:r>
        <w:r w:rsidR="00BB544A">
          <w:rPr>
            <w:noProof/>
            <w:webHidden/>
          </w:rPr>
          <w:instrText xml:space="preserve"> PAGEREF _Toc856042 \h </w:instrText>
        </w:r>
        <w:r w:rsidR="00BB544A">
          <w:rPr>
            <w:noProof/>
            <w:webHidden/>
          </w:rPr>
        </w:r>
        <w:r w:rsidR="00BB544A">
          <w:rPr>
            <w:noProof/>
            <w:webHidden/>
          </w:rPr>
          <w:fldChar w:fldCharType="separate"/>
        </w:r>
        <w:r w:rsidR="00021B21">
          <w:rPr>
            <w:noProof/>
            <w:webHidden/>
          </w:rPr>
          <w:t>21</w:t>
        </w:r>
        <w:r w:rsidR="00BB544A">
          <w:rPr>
            <w:noProof/>
            <w:webHidden/>
          </w:rPr>
          <w:fldChar w:fldCharType="end"/>
        </w:r>
      </w:hyperlink>
    </w:p>
    <w:p w14:paraId="0A7D779B" w14:textId="551204BD" w:rsidR="00BB544A" w:rsidRDefault="009E5CE0" w:rsidP="00932FB6">
      <w:pPr>
        <w:pStyle w:val="TOC2"/>
        <w:spacing w:after="0"/>
        <w:rPr>
          <w:rFonts w:asciiTheme="minorHAnsi" w:eastAsiaTheme="minorEastAsia" w:hAnsiTheme="minorHAnsi" w:cstheme="minorBidi"/>
          <w:noProof/>
          <w:sz w:val="22"/>
          <w:szCs w:val="22"/>
          <w:lang w:val="da-DK" w:eastAsia="da-DK"/>
        </w:rPr>
      </w:pPr>
      <w:hyperlink w:anchor="_Toc856043" w:history="1">
        <w:r w:rsidR="00BB544A" w:rsidRPr="009A4055">
          <w:rPr>
            <w:rStyle w:val="Hyperlink"/>
            <w:noProof/>
            <w:lang w:val="en-GB"/>
          </w:rPr>
          <w:t>6.2</w:t>
        </w:r>
        <w:r w:rsidR="00BB544A">
          <w:rPr>
            <w:rFonts w:asciiTheme="minorHAnsi" w:eastAsiaTheme="minorEastAsia" w:hAnsiTheme="minorHAnsi" w:cstheme="minorBidi"/>
            <w:noProof/>
            <w:sz w:val="22"/>
            <w:szCs w:val="22"/>
            <w:lang w:val="da-DK" w:eastAsia="da-DK"/>
          </w:rPr>
          <w:tab/>
        </w:r>
        <w:r w:rsidR="00BB544A" w:rsidRPr="009A4055">
          <w:rPr>
            <w:rStyle w:val="Hyperlink"/>
            <w:noProof/>
            <w:lang w:val="en-GB"/>
          </w:rPr>
          <w:t>Proposals for ETSI harmonised standard and European profile standard for ITS</w:t>
        </w:r>
        <w:r w:rsidR="00BB544A">
          <w:rPr>
            <w:noProof/>
            <w:webHidden/>
          </w:rPr>
          <w:tab/>
        </w:r>
        <w:r w:rsidR="00BB544A">
          <w:rPr>
            <w:noProof/>
            <w:webHidden/>
          </w:rPr>
          <w:fldChar w:fldCharType="begin"/>
        </w:r>
        <w:r w:rsidR="00BB544A">
          <w:rPr>
            <w:noProof/>
            <w:webHidden/>
          </w:rPr>
          <w:instrText xml:space="preserve"> PAGEREF _Toc856043 \h </w:instrText>
        </w:r>
        <w:r w:rsidR="00BB544A">
          <w:rPr>
            <w:noProof/>
            <w:webHidden/>
          </w:rPr>
        </w:r>
        <w:r w:rsidR="00BB544A">
          <w:rPr>
            <w:noProof/>
            <w:webHidden/>
          </w:rPr>
          <w:fldChar w:fldCharType="separate"/>
        </w:r>
        <w:r w:rsidR="00021B21">
          <w:rPr>
            <w:noProof/>
            <w:webHidden/>
          </w:rPr>
          <w:t>22</w:t>
        </w:r>
        <w:r w:rsidR="00BB544A">
          <w:rPr>
            <w:noProof/>
            <w:webHidden/>
          </w:rPr>
          <w:fldChar w:fldCharType="end"/>
        </w:r>
      </w:hyperlink>
    </w:p>
    <w:p w14:paraId="0A7D779C" w14:textId="2F4CA752" w:rsidR="00BB544A" w:rsidRDefault="009E5CE0" w:rsidP="00932FB6">
      <w:pPr>
        <w:pStyle w:val="TOC3"/>
        <w:spacing w:after="0"/>
        <w:rPr>
          <w:rFonts w:asciiTheme="minorHAnsi" w:eastAsiaTheme="minorEastAsia" w:hAnsiTheme="minorHAnsi" w:cstheme="minorBidi"/>
          <w:noProof/>
          <w:sz w:val="22"/>
          <w:szCs w:val="22"/>
          <w:lang w:val="da-DK" w:eastAsia="da-DK"/>
        </w:rPr>
      </w:pPr>
      <w:hyperlink w:anchor="_Toc856044" w:history="1">
        <w:r w:rsidR="00BB544A" w:rsidRPr="009A4055">
          <w:rPr>
            <w:rStyle w:val="Hyperlink"/>
            <w:noProof/>
            <w:lang w:val="en-GB"/>
          </w:rPr>
          <w:t>6.2.1</w:t>
        </w:r>
        <w:r w:rsidR="00BB544A">
          <w:rPr>
            <w:rFonts w:asciiTheme="minorHAnsi" w:eastAsiaTheme="minorEastAsia" w:hAnsiTheme="minorHAnsi" w:cstheme="minorBidi"/>
            <w:noProof/>
            <w:sz w:val="22"/>
            <w:szCs w:val="22"/>
            <w:lang w:val="da-DK" w:eastAsia="da-DK"/>
          </w:rPr>
          <w:tab/>
        </w:r>
        <w:r w:rsidR="00BB544A" w:rsidRPr="009A4055">
          <w:rPr>
            <w:rStyle w:val="Hyperlink"/>
            <w:noProof/>
            <w:lang w:val="en-GB"/>
          </w:rPr>
          <w:t>Priorities between Road ITS technologies</w:t>
        </w:r>
        <w:r w:rsidR="00BB544A">
          <w:rPr>
            <w:noProof/>
            <w:webHidden/>
          </w:rPr>
          <w:tab/>
        </w:r>
        <w:r w:rsidR="00BB544A">
          <w:rPr>
            <w:noProof/>
            <w:webHidden/>
          </w:rPr>
          <w:fldChar w:fldCharType="begin"/>
        </w:r>
        <w:r w:rsidR="00BB544A">
          <w:rPr>
            <w:noProof/>
            <w:webHidden/>
          </w:rPr>
          <w:instrText xml:space="preserve"> PAGEREF _Toc856044 \h </w:instrText>
        </w:r>
        <w:r w:rsidR="00BB544A">
          <w:rPr>
            <w:noProof/>
            <w:webHidden/>
          </w:rPr>
        </w:r>
        <w:r w:rsidR="00BB544A">
          <w:rPr>
            <w:noProof/>
            <w:webHidden/>
          </w:rPr>
          <w:fldChar w:fldCharType="separate"/>
        </w:r>
        <w:r w:rsidR="00021B21">
          <w:rPr>
            <w:noProof/>
            <w:webHidden/>
          </w:rPr>
          <w:t>22</w:t>
        </w:r>
        <w:r w:rsidR="00BB544A">
          <w:rPr>
            <w:noProof/>
            <w:webHidden/>
          </w:rPr>
          <w:fldChar w:fldCharType="end"/>
        </w:r>
      </w:hyperlink>
    </w:p>
    <w:p w14:paraId="0A7D779D" w14:textId="2ABBB468" w:rsidR="00BB544A" w:rsidRDefault="009E5CE0" w:rsidP="00932FB6">
      <w:pPr>
        <w:pStyle w:val="TOC3"/>
        <w:spacing w:after="0"/>
        <w:rPr>
          <w:rFonts w:asciiTheme="minorHAnsi" w:eastAsiaTheme="minorEastAsia" w:hAnsiTheme="minorHAnsi" w:cstheme="minorBidi"/>
          <w:noProof/>
          <w:sz w:val="22"/>
          <w:szCs w:val="22"/>
          <w:lang w:val="da-DK" w:eastAsia="da-DK"/>
        </w:rPr>
      </w:pPr>
      <w:hyperlink w:anchor="_Toc856045" w:history="1">
        <w:r w:rsidR="00BB544A" w:rsidRPr="009A4055">
          <w:rPr>
            <w:rStyle w:val="Hyperlink"/>
            <w:noProof/>
            <w:lang w:val="en-GB"/>
          </w:rPr>
          <w:t>6.2.2</w:t>
        </w:r>
        <w:r w:rsidR="00BB544A">
          <w:rPr>
            <w:rFonts w:asciiTheme="minorHAnsi" w:eastAsiaTheme="minorEastAsia" w:hAnsiTheme="minorHAnsi" w:cstheme="minorBidi"/>
            <w:noProof/>
            <w:sz w:val="22"/>
            <w:szCs w:val="22"/>
            <w:lang w:val="da-DK" w:eastAsia="da-DK"/>
          </w:rPr>
          <w:tab/>
        </w:r>
        <w:r w:rsidR="00BB544A" w:rsidRPr="009A4055">
          <w:rPr>
            <w:rStyle w:val="Hyperlink"/>
            <w:noProof/>
            <w:lang w:val="en-GB"/>
          </w:rPr>
          <w:t>Priorities between Road ITS and Urban Rail ITS applications</w:t>
        </w:r>
        <w:r w:rsidR="00BB544A">
          <w:rPr>
            <w:noProof/>
            <w:webHidden/>
          </w:rPr>
          <w:tab/>
        </w:r>
        <w:r w:rsidR="00BB544A">
          <w:rPr>
            <w:noProof/>
            <w:webHidden/>
          </w:rPr>
          <w:fldChar w:fldCharType="begin"/>
        </w:r>
        <w:r w:rsidR="00BB544A">
          <w:rPr>
            <w:noProof/>
            <w:webHidden/>
          </w:rPr>
          <w:instrText xml:space="preserve"> PAGEREF _Toc856045 \h </w:instrText>
        </w:r>
        <w:r w:rsidR="00BB544A">
          <w:rPr>
            <w:noProof/>
            <w:webHidden/>
          </w:rPr>
        </w:r>
        <w:r w:rsidR="00BB544A">
          <w:rPr>
            <w:noProof/>
            <w:webHidden/>
          </w:rPr>
          <w:fldChar w:fldCharType="separate"/>
        </w:r>
        <w:r w:rsidR="00021B21">
          <w:rPr>
            <w:noProof/>
            <w:webHidden/>
          </w:rPr>
          <w:t>22</w:t>
        </w:r>
        <w:r w:rsidR="00BB544A">
          <w:rPr>
            <w:noProof/>
            <w:webHidden/>
          </w:rPr>
          <w:fldChar w:fldCharType="end"/>
        </w:r>
      </w:hyperlink>
    </w:p>
    <w:p w14:paraId="0A7D779E" w14:textId="7E04B56C" w:rsidR="00BB544A" w:rsidRDefault="009E5CE0" w:rsidP="00932FB6">
      <w:pPr>
        <w:pStyle w:val="TOC1"/>
        <w:spacing w:after="0"/>
        <w:rPr>
          <w:rFonts w:asciiTheme="minorHAnsi" w:eastAsiaTheme="minorEastAsia" w:hAnsiTheme="minorHAnsi" w:cstheme="minorBidi"/>
          <w:b w:val="0"/>
          <w:caps w:val="0"/>
          <w:noProof/>
          <w:sz w:val="22"/>
          <w:szCs w:val="22"/>
          <w:lang w:val="da-DK" w:eastAsia="da-DK"/>
        </w:rPr>
      </w:pPr>
      <w:hyperlink w:anchor="_Toc856046" w:history="1">
        <w:r w:rsidR="00BB544A" w:rsidRPr="009A4055">
          <w:rPr>
            <w:rStyle w:val="Hyperlink"/>
            <w:noProof/>
          </w:rPr>
          <w:t>7</w:t>
        </w:r>
        <w:r w:rsidR="00BB544A">
          <w:rPr>
            <w:rFonts w:asciiTheme="minorHAnsi" w:eastAsiaTheme="minorEastAsia" w:hAnsiTheme="minorHAnsi" w:cstheme="minorBidi"/>
            <w:b w:val="0"/>
            <w:caps w:val="0"/>
            <w:noProof/>
            <w:sz w:val="22"/>
            <w:szCs w:val="22"/>
            <w:lang w:val="da-DK" w:eastAsia="da-DK"/>
          </w:rPr>
          <w:tab/>
        </w:r>
        <w:r w:rsidR="00BB544A" w:rsidRPr="009A4055">
          <w:rPr>
            <w:rStyle w:val="Hyperlink"/>
            <w:noProof/>
          </w:rPr>
          <w:t>Conclusions and Need for further investigations</w:t>
        </w:r>
        <w:r w:rsidR="00BB544A">
          <w:rPr>
            <w:noProof/>
            <w:webHidden/>
          </w:rPr>
          <w:tab/>
        </w:r>
        <w:r w:rsidR="00BB544A">
          <w:rPr>
            <w:noProof/>
            <w:webHidden/>
          </w:rPr>
          <w:fldChar w:fldCharType="begin"/>
        </w:r>
        <w:r w:rsidR="00BB544A">
          <w:rPr>
            <w:noProof/>
            <w:webHidden/>
          </w:rPr>
          <w:instrText xml:space="preserve"> PAGEREF _Toc856046 \h </w:instrText>
        </w:r>
        <w:r w:rsidR="00BB544A">
          <w:rPr>
            <w:noProof/>
            <w:webHidden/>
          </w:rPr>
        </w:r>
        <w:r w:rsidR="00BB544A">
          <w:rPr>
            <w:noProof/>
            <w:webHidden/>
          </w:rPr>
          <w:fldChar w:fldCharType="separate"/>
        </w:r>
        <w:r w:rsidR="00021B21">
          <w:rPr>
            <w:noProof/>
            <w:webHidden/>
          </w:rPr>
          <w:t>23</w:t>
        </w:r>
        <w:r w:rsidR="00BB544A">
          <w:rPr>
            <w:noProof/>
            <w:webHidden/>
          </w:rPr>
          <w:fldChar w:fldCharType="end"/>
        </w:r>
      </w:hyperlink>
    </w:p>
    <w:p w14:paraId="0A7D779F" w14:textId="15B0E08E" w:rsidR="00BB544A" w:rsidRDefault="009E5CE0" w:rsidP="00932FB6">
      <w:pPr>
        <w:pStyle w:val="TOC1"/>
        <w:spacing w:after="0"/>
        <w:rPr>
          <w:rFonts w:asciiTheme="minorHAnsi" w:eastAsiaTheme="minorEastAsia" w:hAnsiTheme="minorHAnsi" w:cstheme="minorBidi"/>
          <w:b w:val="0"/>
          <w:caps w:val="0"/>
          <w:noProof/>
          <w:sz w:val="22"/>
          <w:szCs w:val="22"/>
          <w:lang w:val="da-DK" w:eastAsia="da-DK"/>
        </w:rPr>
      </w:pPr>
      <w:hyperlink w:anchor="_Toc856047" w:history="1">
        <w:r w:rsidR="00BB544A" w:rsidRPr="009A4055">
          <w:rPr>
            <w:rStyle w:val="Hyperlink"/>
            <w:noProof/>
            <w14:scene3d>
              <w14:camera w14:prst="orthographicFront"/>
              <w14:lightRig w14:rig="threePt" w14:dir="t">
                <w14:rot w14:lat="0" w14:lon="0" w14:rev="0"/>
              </w14:lightRig>
            </w14:scene3d>
          </w:rPr>
          <w:t>ANNEX 1:</w:t>
        </w:r>
        <w:r w:rsidR="00BB544A" w:rsidRPr="009A4055">
          <w:rPr>
            <w:rStyle w:val="Hyperlink"/>
            <w:noProof/>
          </w:rPr>
          <w:t xml:space="preserve"> EXISTING AGREEMENTS, DEPLOYMENTS AND TRIALS IN EUROPE</w:t>
        </w:r>
        <w:r w:rsidR="00BB544A">
          <w:rPr>
            <w:noProof/>
            <w:webHidden/>
          </w:rPr>
          <w:tab/>
        </w:r>
        <w:r w:rsidR="00BB544A">
          <w:rPr>
            <w:noProof/>
            <w:webHidden/>
          </w:rPr>
          <w:fldChar w:fldCharType="begin"/>
        </w:r>
        <w:r w:rsidR="00BB544A">
          <w:rPr>
            <w:noProof/>
            <w:webHidden/>
          </w:rPr>
          <w:instrText xml:space="preserve"> PAGEREF _Toc856047 \h </w:instrText>
        </w:r>
        <w:r w:rsidR="00BB544A">
          <w:rPr>
            <w:noProof/>
            <w:webHidden/>
          </w:rPr>
        </w:r>
        <w:r w:rsidR="00BB544A">
          <w:rPr>
            <w:noProof/>
            <w:webHidden/>
          </w:rPr>
          <w:fldChar w:fldCharType="separate"/>
        </w:r>
        <w:r w:rsidR="00021B21">
          <w:rPr>
            <w:noProof/>
            <w:webHidden/>
          </w:rPr>
          <w:t>25</w:t>
        </w:r>
        <w:r w:rsidR="00BB544A">
          <w:rPr>
            <w:noProof/>
            <w:webHidden/>
          </w:rPr>
          <w:fldChar w:fldCharType="end"/>
        </w:r>
      </w:hyperlink>
    </w:p>
    <w:p w14:paraId="0A7D77A0" w14:textId="3DA365DA" w:rsidR="00BB544A" w:rsidRDefault="009E5CE0" w:rsidP="00932FB6">
      <w:pPr>
        <w:pStyle w:val="TOC1"/>
        <w:spacing w:after="0"/>
        <w:rPr>
          <w:rFonts w:asciiTheme="minorHAnsi" w:eastAsiaTheme="minorEastAsia" w:hAnsiTheme="minorHAnsi" w:cstheme="minorBidi"/>
          <w:b w:val="0"/>
          <w:caps w:val="0"/>
          <w:noProof/>
          <w:sz w:val="22"/>
          <w:szCs w:val="22"/>
          <w:lang w:val="da-DK" w:eastAsia="da-DK"/>
        </w:rPr>
      </w:pPr>
      <w:hyperlink w:anchor="_Toc856048" w:history="1">
        <w:r w:rsidR="00BB544A" w:rsidRPr="009A4055">
          <w:rPr>
            <w:rStyle w:val="Hyperlink"/>
            <w:noProof/>
            <w14:scene3d>
              <w14:camera w14:prst="orthographicFront"/>
              <w14:lightRig w14:rig="threePt" w14:dir="t">
                <w14:rot w14:lat="0" w14:lon="0" w14:rev="0"/>
              </w14:lightRig>
            </w14:scene3d>
          </w:rPr>
          <w:t>ANNEX 2:</w:t>
        </w:r>
        <w:r w:rsidR="00BB544A" w:rsidRPr="009A4055">
          <w:rPr>
            <w:rStyle w:val="Hyperlink"/>
            <w:noProof/>
          </w:rPr>
          <w:t xml:space="preserve"> CBTC DESCRIPTION AND CHARACTERISTICS</w:t>
        </w:r>
        <w:r w:rsidR="00BB544A">
          <w:rPr>
            <w:noProof/>
            <w:webHidden/>
          </w:rPr>
          <w:tab/>
        </w:r>
        <w:r w:rsidR="00BB544A">
          <w:rPr>
            <w:noProof/>
            <w:webHidden/>
          </w:rPr>
          <w:fldChar w:fldCharType="begin"/>
        </w:r>
        <w:r w:rsidR="00BB544A">
          <w:rPr>
            <w:noProof/>
            <w:webHidden/>
          </w:rPr>
          <w:instrText xml:space="preserve"> PAGEREF _Toc856048 \h </w:instrText>
        </w:r>
        <w:r w:rsidR="00BB544A">
          <w:rPr>
            <w:noProof/>
            <w:webHidden/>
          </w:rPr>
        </w:r>
        <w:r w:rsidR="00BB544A">
          <w:rPr>
            <w:noProof/>
            <w:webHidden/>
          </w:rPr>
          <w:fldChar w:fldCharType="separate"/>
        </w:r>
        <w:r w:rsidR="00021B21">
          <w:rPr>
            <w:noProof/>
            <w:webHidden/>
          </w:rPr>
          <w:t>32</w:t>
        </w:r>
        <w:r w:rsidR="00BB544A">
          <w:rPr>
            <w:noProof/>
            <w:webHidden/>
          </w:rPr>
          <w:fldChar w:fldCharType="end"/>
        </w:r>
      </w:hyperlink>
    </w:p>
    <w:p w14:paraId="0A7D77A1" w14:textId="408733DD" w:rsidR="00BB544A" w:rsidRDefault="009E5CE0" w:rsidP="00932FB6">
      <w:pPr>
        <w:pStyle w:val="TOC1"/>
        <w:spacing w:after="0"/>
        <w:rPr>
          <w:rFonts w:asciiTheme="minorHAnsi" w:eastAsiaTheme="minorEastAsia" w:hAnsiTheme="minorHAnsi" w:cstheme="minorBidi"/>
          <w:b w:val="0"/>
          <w:caps w:val="0"/>
          <w:noProof/>
          <w:sz w:val="22"/>
          <w:szCs w:val="22"/>
          <w:lang w:val="da-DK" w:eastAsia="da-DK"/>
        </w:rPr>
      </w:pPr>
      <w:hyperlink w:anchor="_Toc856049" w:history="1">
        <w:r w:rsidR="00BB544A" w:rsidRPr="009A4055">
          <w:rPr>
            <w:rStyle w:val="Hyperlink"/>
            <w:noProof/>
            <w14:scene3d>
              <w14:camera w14:prst="orthographicFront"/>
              <w14:lightRig w14:rig="threePt" w14:dir="t">
                <w14:rot w14:lat="0" w14:lon="0" w14:rev="0"/>
              </w14:lightRig>
            </w14:scene3d>
          </w:rPr>
          <w:t>ANNEX 3:</w:t>
        </w:r>
        <w:r w:rsidR="00BB544A" w:rsidRPr="009A4055">
          <w:rPr>
            <w:rStyle w:val="Hyperlink"/>
            <w:noProof/>
          </w:rPr>
          <w:t xml:space="preserve"> MANDATE TO CEPT</w:t>
        </w:r>
        <w:r w:rsidR="00BB544A">
          <w:rPr>
            <w:noProof/>
            <w:webHidden/>
          </w:rPr>
          <w:tab/>
        </w:r>
        <w:r w:rsidR="00BB544A">
          <w:rPr>
            <w:noProof/>
            <w:webHidden/>
          </w:rPr>
          <w:fldChar w:fldCharType="begin"/>
        </w:r>
        <w:r w:rsidR="00BB544A">
          <w:rPr>
            <w:noProof/>
            <w:webHidden/>
          </w:rPr>
          <w:instrText xml:space="preserve"> PAGEREF _Toc856049 \h </w:instrText>
        </w:r>
        <w:r w:rsidR="00BB544A">
          <w:rPr>
            <w:noProof/>
            <w:webHidden/>
          </w:rPr>
        </w:r>
        <w:r w:rsidR="00BB544A">
          <w:rPr>
            <w:noProof/>
            <w:webHidden/>
          </w:rPr>
          <w:fldChar w:fldCharType="separate"/>
        </w:r>
        <w:r w:rsidR="00021B21">
          <w:rPr>
            <w:noProof/>
            <w:webHidden/>
          </w:rPr>
          <w:t>34</w:t>
        </w:r>
        <w:r w:rsidR="00BB544A">
          <w:rPr>
            <w:noProof/>
            <w:webHidden/>
          </w:rPr>
          <w:fldChar w:fldCharType="end"/>
        </w:r>
      </w:hyperlink>
    </w:p>
    <w:p w14:paraId="0A7D77A2" w14:textId="1DDD6CB2" w:rsidR="00BB544A" w:rsidRDefault="009E5CE0" w:rsidP="00932FB6">
      <w:pPr>
        <w:pStyle w:val="TOC1"/>
        <w:spacing w:after="0"/>
        <w:rPr>
          <w:rFonts w:asciiTheme="minorHAnsi" w:eastAsiaTheme="minorEastAsia" w:hAnsiTheme="minorHAnsi" w:cstheme="minorBidi"/>
          <w:b w:val="0"/>
          <w:caps w:val="0"/>
          <w:noProof/>
          <w:sz w:val="22"/>
          <w:szCs w:val="22"/>
          <w:lang w:val="da-DK" w:eastAsia="da-DK"/>
        </w:rPr>
      </w:pPr>
      <w:hyperlink w:anchor="_Toc856050" w:history="1">
        <w:r w:rsidR="00BB544A" w:rsidRPr="009A4055">
          <w:rPr>
            <w:rStyle w:val="Hyperlink"/>
            <w:noProof/>
            <w14:scene3d>
              <w14:camera w14:prst="orthographicFront"/>
              <w14:lightRig w14:rig="threePt" w14:dir="t">
                <w14:rot w14:lat="0" w14:lon="0" w14:rev="0"/>
              </w14:lightRig>
            </w14:scene3d>
          </w:rPr>
          <w:t>ANNEX 4:</w:t>
        </w:r>
        <w:r w:rsidR="00BB544A" w:rsidRPr="009A4055">
          <w:rPr>
            <w:rStyle w:val="Hyperlink"/>
            <w:noProof/>
          </w:rPr>
          <w:t xml:space="preserve"> List of references</w:t>
        </w:r>
        <w:r w:rsidR="00BB544A">
          <w:rPr>
            <w:noProof/>
            <w:webHidden/>
          </w:rPr>
          <w:tab/>
        </w:r>
        <w:r w:rsidR="00BB544A">
          <w:rPr>
            <w:noProof/>
            <w:webHidden/>
          </w:rPr>
          <w:fldChar w:fldCharType="begin"/>
        </w:r>
        <w:r w:rsidR="00BB544A">
          <w:rPr>
            <w:noProof/>
            <w:webHidden/>
          </w:rPr>
          <w:instrText xml:space="preserve"> PAGEREF _Toc856050 \h </w:instrText>
        </w:r>
        <w:r w:rsidR="00BB544A">
          <w:rPr>
            <w:noProof/>
            <w:webHidden/>
          </w:rPr>
        </w:r>
        <w:r w:rsidR="00BB544A">
          <w:rPr>
            <w:noProof/>
            <w:webHidden/>
          </w:rPr>
          <w:fldChar w:fldCharType="separate"/>
        </w:r>
        <w:r w:rsidR="00021B21">
          <w:rPr>
            <w:noProof/>
            <w:webHidden/>
          </w:rPr>
          <w:t>42</w:t>
        </w:r>
        <w:r w:rsidR="00BB544A">
          <w:rPr>
            <w:noProof/>
            <w:webHidden/>
          </w:rPr>
          <w:fldChar w:fldCharType="end"/>
        </w:r>
      </w:hyperlink>
    </w:p>
    <w:p w14:paraId="0A7D77A3" w14:textId="77777777" w:rsidR="00C12AB8" w:rsidRDefault="00155EB5">
      <w:pPr>
        <w:rPr>
          <w:lang w:val="en-GB"/>
        </w:rPr>
      </w:pPr>
      <w:r>
        <w:rPr>
          <w:caps/>
          <w:lang w:val="en-GB"/>
        </w:rPr>
        <w:fldChar w:fldCharType="end"/>
      </w:r>
    </w:p>
    <w:p w14:paraId="0A7D77A4" w14:textId="77777777" w:rsidR="00C12AB8" w:rsidRDefault="00155EB5">
      <w:pPr>
        <w:rPr>
          <w:lang w:val="en-GB"/>
        </w:rPr>
      </w:pPr>
      <w:r>
        <w:rPr>
          <w:lang w:val="en-GB"/>
        </w:rPr>
        <w:br w:type="page"/>
      </w:r>
    </w:p>
    <w:p w14:paraId="0A7D77A5" w14:textId="77777777" w:rsidR="00C12AB8" w:rsidRDefault="00155EB5">
      <w:pPr>
        <w:rPr>
          <w:b/>
          <w:color w:val="FFFFFF"/>
          <w:szCs w:val="20"/>
          <w:lang w:val="en-GB"/>
        </w:rPr>
      </w:pPr>
      <w:r>
        <w:rPr>
          <w:b/>
          <w:noProof/>
          <w:color w:val="FFFFFF"/>
          <w:szCs w:val="20"/>
          <w:lang w:val="da-DK" w:eastAsia="da-DK"/>
        </w:rPr>
        <w:lastRenderedPageBreak/>
        <mc:AlternateContent>
          <mc:Choice Requires="wps">
            <w:drawing>
              <wp:anchor distT="0" distB="0" distL="114300" distR="114300" simplePos="0" relativeHeight="251659264" behindDoc="1" locked="0" layoutInCell="1" allowOverlap="1" wp14:anchorId="0A7D7D48" wp14:editId="0A7D7D49">
                <wp:simplePos x="0" y="0"/>
                <wp:positionH relativeFrom="page">
                  <wp:align>center</wp:align>
                </wp:positionH>
                <wp:positionV relativeFrom="page">
                  <wp:posOffset>900430</wp:posOffset>
                </wp:positionV>
                <wp:extent cx="11093450" cy="720090"/>
                <wp:effectExtent l="0" t="0" r="0" b="381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3421" cy="720090"/>
                        </a:xfrm>
                        <a:prstGeom prst="rect">
                          <a:avLst/>
                        </a:prstGeom>
                        <a:solidFill>
                          <a:srgbClr val="B0A696"/>
                        </a:solidFill>
                        <a:ln>
                          <a:noFill/>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E985B3" id="Rectangle 22" o:spid="_x0000_s1026" style="position:absolute;margin-left:0;margin-top:70.9pt;width:873.5pt;height:56.7pt;z-index:-251657216;visibility:visible;mso-wrap-style:square;mso-wrap-distance-left:9pt;mso-wrap-distance-top:0;mso-wrap-distance-right:9pt;mso-wrap-distance-bottom:0;mso-position-horizontal:center;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AAIAAN0DAAAOAAAAZHJzL2Uyb0RvYy54bWysU8GO0zAQvSPxD5bvNEkphUZNV6WrRUgL&#10;rFj4AMdxEgvHY8Zu0/L1jJ1uKXBDXCyPZ/z83pvx+uY4GHZQ6DXYiheznDNlJTTadhX/+uXuxRvO&#10;fBC2EQasqvhJeX6zef5sPbpSzaEH0yhkBGJ9ObqK9yG4Msu87NUg/AycspRsAQcRKMQua1CMhD6Y&#10;bJ7ny2wEbByCVN7T6e2U5JuE37ZKhk9t61VgpuLELaQV01rHNdusRdmhcL2WZxriH1gMQlt69AJ1&#10;K4Jge9R/QQ1aInhow0zCkEHbaqmSBlJT5H+oeeyFU0kLmePdxSb//2Dlx8MDMt1UfMGZFQO16DOZ&#10;JmxnFJvPoz+j8yWVPboHjAq9uwf5zTMLu57K1BYRxl6JhlgVsT777UIMPF1l9fgBGoIX+wDJqmOL&#10;QwQkE9gxdeR06Yg6BibpsCjy1cvFvOBMUvI1dXyVepaJ8um6Qx/eKRhY3FQciX2CF4d7HyIdUT6V&#10;JPpgdHOnjUkBdvXOIDsIGo+3+Xa5WiYFpPK6zNhYbCFemxDjSdIZpU0W1dCcSCbCNGP0J2jTA/7g&#10;bKT5qrj/vheoODPvLVm1KhaLOJApWLwiaZzhdaa+zggrCarigbNpuwvTEO8d6q6nl4ok2sKW7G11&#10;Eh6tn1idydIMJT/O8x6H9DpOVb9+5eYnAAAA//8DAFBLAwQUAAYACAAAACEAcsoNgdwAAAAJAQAA&#10;DwAAAGRycy9kb3ducmV2LnhtbEyPS0/DMBCE70j8B2uRuKDWaegDhTgVFHFGCahnN948RLxObbcN&#10;/57tCY47M5qdL99OdhBn9KF3pGAxT0Ag1c701Cr4+nyfPYEIUZPRgyNU8IMBtsXtTa4z4y5U4rmK&#10;reASCplW0MU4ZlKGukOrw9yNSOw1zlsd+fStNF5fuNwOMk2StbS6J/7Q6RF3Hdbf1ckqcOv9gz36&#10;6pWwCbY8Pn6Ub7tGqfu76eUZRMQp/oXhOp+nQ8GbDu5EJohBAYNEVpcLBrjam+WGpYOCdLVKQRa5&#10;/E9Q/AIAAP//AwBQSwECLQAUAAYACAAAACEAtoM4kv4AAADhAQAAEwAAAAAAAAAAAAAAAAAAAAAA&#10;W0NvbnRlbnRfVHlwZXNdLnhtbFBLAQItABQABgAIAAAAIQA4/SH/1gAAAJQBAAALAAAAAAAAAAAA&#10;AAAAAC8BAABfcmVscy8ucmVsc1BLAQItABQABgAIAAAAIQC//lQJAAIAAN0DAAAOAAAAAAAAAAAA&#10;AAAAAC4CAABkcnMvZTJvRG9jLnhtbFBLAQItABQABgAIAAAAIQByyg2B3AAAAAkBAAAPAAAAAAAA&#10;AAAAAAAAAFoEAABkcnMvZG93bnJldi54bWxQSwUGAAAAAAQABADzAAAAYwUAAAAA&#10;" fillcolor="#b0a696" stroked="f">
                <w10:wrap anchorx="page" anchory="page"/>
              </v:rect>
            </w:pict>
          </mc:Fallback>
        </mc:AlternateContent>
      </w:r>
    </w:p>
    <w:p w14:paraId="0A7D77A6" w14:textId="77777777" w:rsidR="00C12AB8" w:rsidRDefault="00155EB5">
      <w:pPr>
        <w:rPr>
          <w:b/>
          <w:color w:val="FFFFFF"/>
          <w:szCs w:val="20"/>
          <w:lang w:val="en-GB"/>
        </w:rPr>
      </w:pPr>
      <w:r>
        <w:rPr>
          <w:b/>
          <w:color w:val="FFFFFF"/>
          <w:szCs w:val="20"/>
          <w:lang w:val="en-GB"/>
        </w:rPr>
        <w:t>LIST OF ABBREVIATIONS</w:t>
      </w:r>
    </w:p>
    <w:p w14:paraId="0A7D77A7" w14:textId="77777777" w:rsidR="00C12AB8" w:rsidRDefault="00C12AB8">
      <w:pPr>
        <w:rPr>
          <w:b/>
          <w:color w:val="FFFFFF"/>
          <w:szCs w:val="20"/>
          <w:lang w:val="en-GB"/>
        </w:rPr>
      </w:pPr>
    </w:p>
    <w:p w14:paraId="0A7D77A8" w14:textId="77777777" w:rsidR="00C12AB8" w:rsidRDefault="00C12AB8">
      <w:pPr>
        <w:rPr>
          <w:b/>
          <w:color w:val="FFFFFF"/>
          <w:szCs w:val="20"/>
          <w:lang w:val="en-GB"/>
        </w:rPr>
      </w:pPr>
    </w:p>
    <w:tbl>
      <w:tblPr>
        <w:tblW w:w="9855" w:type="dxa"/>
        <w:tblLayout w:type="fixed"/>
        <w:tblCellMar>
          <w:top w:w="11" w:type="dxa"/>
          <w:bottom w:w="11" w:type="dxa"/>
        </w:tblCellMar>
        <w:tblLook w:val="04A0" w:firstRow="1" w:lastRow="0" w:firstColumn="1" w:lastColumn="0" w:noHBand="0" w:noVBand="1"/>
      </w:tblPr>
      <w:tblGrid>
        <w:gridCol w:w="2088"/>
        <w:gridCol w:w="7767"/>
      </w:tblGrid>
      <w:tr w:rsidR="00C12AB8" w14:paraId="0A7D77AB" w14:textId="77777777">
        <w:trPr>
          <w:trHeight w:val="362"/>
        </w:trPr>
        <w:tc>
          <w:tcPr>
            <w:tcW w:w="2088" w:type="dxa"/>
          </w:tcPr>
          <w:p w14:paraId="0A7D77A9" w14:textId="77777777" w:rsidR="00C12AB8" w:rsidRDefault="00155EB5">
            <w:pPr>
              <w:spacing w:before="40" w:after="40" w:line="288" w:lineRule="auto"/>
              <w:rPr>
                <w:b/>
                <w:color w:val="D2232A"/>
                <w:lang w:val="en-GB"/>
              </w:rPr>
            </w:pPr>
            <w:r>
              <w:rPr>
                <w:b/>
                <w:color w:val="D2232A"/>
                <w:szCs w:val="22"/>
                <w:lang w:val="en-GB"/>
              </w:rPr>
              <w:t>Abbreviation</w:t>
            </w:r>
          </w:p>
        </w:tc>
        <w:tc>
          <w:tcPr>
            <w:tcW w:w="7767" w:type="dxa"/>
          </w:tcPr>
          <w:p w14:paraId="0A7D77AA" w14:textId="77777777" w:rsidR="00C12AB8" w:rsidRDefault="00155EB5">
            <w:pPr>
              <w:spacing w:before="40" w:after="40" w:line="288" w:lineRule="auto"/>
              <w:rPr>
                <w:b/>
                <w:color w:val="D2232A"/>
                <w:lang w:val="en-GB"/>
              </w:rPr>
            </w:pPr>
            <w:r>
              <w:rPr>
                <w:b/>
                <w:color w:val="D2232A"/>
                <w:szCs w:val="22"/>
                <w:lang w:val="en-GB"/>
              </w:rPr>
              <w:t>Explanation</w:t>
            </w:r>
          </w:p>
        </w:tc>
      </w:tr>
      <w:tr w:rsidR="00C12AB8" w14:paraId="0A7D77AE" w14:textId="77777777">
        <w:tc>
          <w:tcPr>
            <w:tcW w:w="2088" w:type="dxa"/>
          </w:tcPr>
          <w:p w14:paraId="0A7D77AC" w14:textId="77777777" w:rsidR="00C12AB8" w:rsidRDefault="00155EB5">
            <w:pPr>
              <w:spacing w:before="40" w:after="40" w:line="288" w:lineRule="auto"/>
              <w:rPr>
                <w:b/>
                <w:szCs w:val="22"/>
                <w:lang w:val="en-GB"/>
              </w:rPr>
            </w:pPr>
            <w:r>
              <w:rPr>
                <w:b/>
                <w:szCs w:val="22"/>
                <w:lang w:val="en-GB"/>
              </w:rPr>
              <w:t>3GPP</w:t>
            </w:r>
          </w:p>
        </w:tc>
        <w:tc>
          <w:tcPr>
            <w:tcW w:w="7767" w:type="dxa"/>
          </w:tcPr>
          <w:p w14:paraId="0A7D77AD" w14:textId="77777777" w:rsidR="00C12AB8" w:rsidRDefault="00155EB5">
            <w:pPr>
              <w:spacing w:before="40" w:after="40" w:line="288" w:lineRule="auto"/>
              <w:rPr>
                <w:szCs w:val="20"/>
                <w:lang w:val="en-GB"/>
              </w:rPr>
            </w:pPr>
            <w:r>
              <w:rPr>
                <w:szCs w:val="20"/>
                <w:lang w:val="en-GB"/>
              </w:rPr>
              <w:t>3rd Generation Partnership Project</w:t>
            </w:r>
          </w:p>
        </w:tc>
      </w:tr>
      <w:tr w:rsidR="00C12AB8" w14:paraId="0A7D77B1" w14:textId="77777777">
        <w:tc>
          <w:tcPr>
            <w:tcW w:w="2088" w:type="dxa"/>
          </w:tcPr>
          <w:p w14:paraId="0A7D77AF" w14:textId="77777777" w:rsidR="00C12AB8" w:rsidRDefault="00155EB5">
            <w:pPr>
              <w:spacing w:before="40" w:after="40" w:line="288" w:lineRule="auto"/>
              <w:rPr>
                <w:b/>
                <w:szCs w:val="22"/>
                <w:lang w:val="en-GB"/>
              </w:rPr>
            </w:pPr>
            <w:r>
              <w:rPr>
                <w:b/>
                <w:szCs w:val="22"/>
                <w:lang w:val="en-GB"/>
              </w:rPr>
              <w:t>ACEA</w:t>
            </w:r>
          </w:p>
        </w:tc>
        <w:tc>
          <w:tcPr>
            <w:tcW w:w="7767" w:type="dxa"/>
          </w:tcPr>
          <w:p w14:paraId="0A7D77B0" w14:textId="77777777" w:rsidR="00C12AB8" w:rsidRDefault="00155EB5">
            <w:pPr>
              <w:spacing w:before="40" w:after="40" w:line="288" w:lineRule="auto"/>
              <w:rPr>
                <w:szCs w:val="20"/>
                <w:lang w:val="en-GB"/>
              </w:rPr>
            </w:pPr>
            <w:r>
              <w:rPr>
                <w:szCs w:val="20"/>
                <w:lang w:val="en-GB"/>
              </w:rPr>
              <w:t>European Automobile Manufacturers' Association</w:t>
            </w:r>
          </w:p>
        </w:tc>
      </w:tr>
      <w:tr w:rsidR="00C12AB8" w14:paraId="0A7D77B4" w14:textId="77777777">
        <w:tc>
          <w:tcPr>
            <w:tcW w:w="2088" w:type="dxa"/>
          </w:tcPr>
          <w:p w14:paraId="0A7D77B2" w14:textId="77777777" w:rsidR="00C12AB8" w:rsidRDefault="00155EB5">
            <w:pPr>
              <w:spacing w:before="40" w:after="40" w:line="288" w:lineRule="auto"/>
              <w:rPr>
                <w:b/>
                <w:szCs w:val="22"/>
                <w:lang w:val="en-GB"/>
              </w:rPr>
            </w:pPr>
            <w:r>
              <w:rPr>
                <w:b/>
                <w:szCs w:val="22"/>
                <w:lang w:val="en-GB"/>
              </w:rPr>
              <w:t>ARIB</w:t>
            </w:r>
          </w:p>
        </w:tc>
        <w:tc>
          <w:tcPr>
            <w:tcW w:w="7767" w:type="dxa"/>
          </w:tcPr>
          <w:p w14:paraId="0A7D77B3" w14:textId="77777777" w:rsidR="00C12AB8" w:rsidRDefault="00155EB5">
            <w:pPr>
              <w:spacing w:before="40" w:after="40" w:line="288" w:lineRule="auto"/>
              <w:rPr>
                <w:szCs w:val="22"/>
                <w:lang w:val="en-GB"/>
              </w:rPr>
            </w:pPr>
            <w:r>
              <w:rPr>
                <w:szCs w:val="22"/>
                <w:lang w:val="en-GB"/>
              </w:rPr>
              <w:t>Association of Radio Industries and Businesses (Japan)</w:t>
            </w:r>
          </w:p>
        </w:tc>
      </w:tr>
      <w:tr w:rsidR="00C12AB8" w14:paraId="0A7D77B7" w14:textId="77777777">
        <w:tc>
          <w:tcPr>
            <w:tcW w:w="2088" w:type="dxa"/>
          </w:tcPr>
          <w:p w14:paraId="0A7D77B5" w14:textId="77777777" w:rsidR="00C12AB8" w:rsidRDefault="00155EB5">
            <w:pPr>
              <w:spacing w:before="40" w:after="40" w:line="288" w:lineRule="auto"/>
              <w:rPr>
                <w:b/>
                <w:szCs w:val="22"/>
                <w:lang w:val="en-GB"/>
              </w:rPr>
            </w:pPr>
            <w:r>
              <w:rPr>
                <w:b/>
                <w:szCs w:val="22"/>
                <w:lang w:val="en-GB"/>
              </w:rPr>
              <w:t>ASECAP</w:t>
            </w:r>
          </w:p>
        </w:tc>
        <w:tc>
          <w:tcPr>
            <w:tcW w:w="7767" w:type="dxa"/>
          </w:tcPr>
          <w:p w14:paraId="0A7D77B6" w14:textId="77777777" w:rsidR="00C12AB8" w:rsidRDefault="00155EB5">
            <w:pPr>
              <w:spacing w:before="40" w:after="40" w:line="288" w:lineRule="auto"/>
              <w:rPr>
                <w:szCs w:val="20"/>
                <w:lang w:val="en-GB"/>
              </w:rPr>
            </w:pPr>
            <w:r>
              <w:rPr>
                <w:szCs w:val="20"/>
                <w:lang w:val="en-GB"/>
              </w:rPr>
              <w:t>European Association of Motorway Concessionaries and Toll Operators</w:t>
            </w:r>
          </w:p>
        </w:tc>
      </w:tr>
      <w:tr w:rsidR="00C12AB8" w14:paraId="0A7D77BA" w14:textId="77777777">
        <w:tc>
          <w:tcPr>
            <w:tcW w:w="2088" w:type="dxa"/>
          </w:tcPr>
          <w:p w14:paraId="0A7D77B8" w14:textId="77777777" w:rsidR="00C12AB8" w:rsidRDefault="00155EB5">
            <w:pPr>
              <w:spacing w:before="40" w:after="40" w:line="288" w:lineRule="auto"/>
              <w:rPr>
                <w:b/>
                <w:szCs w:val="22"/>
                <w:lang w:val="en-GB"/>
              </w:rPr>
            </w:pPr>
            <w:r>
              <w:rPr>
                <w:b/>
                <w:szCs w:val="22"/>
                <w:lang w:val="en-GB"/>
              </w:rPr>
              <w:t>ATC</w:t>
            </w:r>
          </w:p>
        </w:tc>
        <w:tc>
          <w:tcPr>
            <w:tcW w:w="7767" w:type="dxa"/>
          </w:tcPr>
          <w:p w14:paraId="0A7D77B9" w14:textId="77777777" w:rsidR="00C12AB8" w:rsidRDefault="00155EB5">
            <w:pPr>
              <w:spacing w:before="40" w:after="40" w:line="288" w:lineRule="auto"/>
              <w:rPr>
                <w:szCs w:val="20"/>
                <w:lang w:val="en-GB"/>
              </w:rPr>
            </w:pPr>
            <w:r>
              <w:rPr>
                <w:szCs w:val="20"/>
                <w:lang w:val="en-GB"/>
              </w:rPr>
              <w:t>Automatic Train Control</w:t>
            </w:r>
          </w:p>
        </w:tc>
      </w:tr>
      <w:tr w:rsidR="00C12AB8" w14:paraId="0A7D77BD" w14:textId="77777777">
        <w:tc>
          <w:tcPr>
            <w:tcW w:w="2088" w:type="dxa"/>
          </w:tcPr>
          <w:p w14:paraId="0A7D77BB" w14:textId="77777777" w:rsidR="00C12AB8" w:rsidRDefault="00155EB5">
            <w:pPr>
              <w:spacing w:before="40" w:after="40" w:line="288" w:lineRule="auto"/>
              <w:rPr>
                <w:b/>
                <w:szCs w:val="22"/>
                <w:lang w:val="en-GB"/>
              </w:rPr>
            </w:pPr>
            <w:r>
              <w:rPr>
                <w:b/>
                <w:szCs w:val="22"/>
                <w:lang w:val="en-GB"/>
              </w:rPr>
              <w:t>ATO</w:t>
            </w:r>
          </w:p>
        </w:tc>
        <w:tc>
          <w:tcPr>
            <w:tcW w:w="7767" w:type="dxa"/>
          </w:tcPr>
          <w:p w14:paraId="0A7D77BC" w14:textId="77777777" w:rsidR="00C12AB8" w:rsidRDefault="00155EB5">
            <w:pPr>
              <w:spacing w:before="40" w:after="40" w:line="288" w:lineRule="auto"/>
              <w:rPr>
                <w:szCs w:val="20"/>
                <w:lang w:val="en-GB"/>
              </w:rPr>
            </w:pPr>
            <w:r>
              <w:rPr>
                <w:szCs w:val="20"/>
                <w:lang w:val="en-GB"/>
              </w:rPr>
              <w:t>Automatic Train Operation</w:t>
            </w:r>
          </w:p>
        </w:tc>
      </w:tr>
      <w:tr w:rsidR="00C12AB8" w14:paraId="0A7D77C0" w14:textId="77777777">
        <w:tc>
          <w:tcPr>
            <w:tcW w:w="2088" w:type="dxa"/>
          </w:tcPr>
          <w:p w14:paraId="0A7D77BE" w14:textId="77777777" w:rsidR="00C12AB8" w:rsidRDefault="00155EB5">
            <w:pPr>
              <w:spacing w:before="40" w:after="40" w:line="288" w:lineRule="auto"/>
              <w:rPr>
                <w:b/>
                <w:szCs w:val="22"/>
                <w:lang w:val="en-GB"/>
              </w:rPr>
            </w:pPr>
            <w:r>
              <w:rPr>
                <w:b/>
                <w:szCs w:val="22"/>
                <w:lang w:val="en-GB"/>
              </w:rPr>
              <w:t>ATP</w:t>
            </w:r>
          </w:p>
        </w:tc>
        <w:tc>
          <w:tcPr>
            <w:tcW w:w="7767" w:type="dxa"/>
          </w:tcPr>
          <w:p w14:paraId="0A7D77BF" w14:textId="77777777" w:rsidR="00C12AB8" w:rsidRDefault="00155EB5">
            <w:pPr>
              <w:spacing w:before="40" w:after="40" w:line="288" w:lineRule="auto"/>
              <w:rPr>
                <w:lang w:val="en-GB"/>
              </w:rPr>
            </w:pPr>
            <w:r>
              <w:rPr>
                <w:rFonts w:eastAsia="Calibri"/>
                <w:szCs w:val="22"/>
                <w:lang w:val="en-GB"/>
              </w:rPr>
              <w:t>Automatic Train Protection</w:t>
            </w:r>
          </w:p>
        </w:tc>
      </w:tr>
      <w:tr w:rsidR="00C12AB8" w14:paraId="0A7D77C3" w14:textId="77777777">
        <w:tc>
          <w:tcPr>
            <w:tcW w:w="2088" w:type="dxa"/>
          </w:tcPr>
          <w:p w14:paraId="0A7D77C1" w14:textId="77777777" w:rsidR="00C12AB8" w:rsidRDefault="00155EB5">
            <w:pPr>
              <w:spacing w:before="40" w:after="40" w:line="288" w:lineRule="auto"/>
              <w:rPr>
                <w:b/>
                <w:szCs w:val="22"/>
                <w:lang w:val="en-GB"/>
              </w:rPr>
            </w:pPr>
            <w:r>
              <w:rPr>
                <w:b/>
                <w:szCs w:val="22"/>
                <w:lang w:val="en-GB"/>
              </w:rPr>
              <w:t>ATS</w:t>
            </w:r>
          </w:p>
        </w:tc>
        <w:tc>
          <w:tcPr>
            <w:tcW w:w="7767" w:type="dxa"/>
          </w:tcPr>
          <w:p w14:paraId="0A7D77C2" w14:textId="77777777" w:rsidR="00C12AB8" w:rsidRDefault="00155EB5">
            <w:pPr>
              <w:spacing w:before="40" w:after="40" w:line="288" w:lineRule="auto"/>
              <w:rPr>
                <w:lang w:val="en-GB"/>
              </w:rPr>
            </w:pPr>
            <w:r>
              <w:rPr>
                <w:rFonts w:eastAsia="Calibri"/>
                <w:szCs w:val="22"/>
                <w:lang w:val="en-GB"/>
              </w:rPr>
              <w:t>Automatic Train Supervision</w:t>
            </w:r>
          </w:p>
        </w:tc>
      </w:tr>
      <w:tr w:rsidR="00C12AB8" w14:paraId="0A7D77C6" w14:textId="77777777">
        <w:tc>
          <w:tcPr>
            <w:tcW w:w="2088" w:type="dxa"/>
          </w:tcPr>
          <w:p w14:paraId="0A7D77C4" w14:textId="77777777" w:rsidR="00C12AB8" w:rsidRDefault="00155EB5">
            <w:pPr>
              <w:spacing w:before="40" w:after="40" w:line="288" w:lineRule="auto"/>
              <w:rPr>
                <w:b/>
                <w:szCs w:val="22"/>
                <w:lang w:val="en-GB"/>
              </w:rPr>
            </w:pPr>
            <w:r>
              <w:rPr>
                <w:b/>
                <w:szCs w:val="22"/>
                <w:lang w:val="en-GB"/>
              </w:rPr>
              <w:t>CAM</w:t>
            </w:r>
          </w:p>
        </w:tc>
        <w:tc>
          <w:tcPr>
            <w:tcW w:w="7767" w:type="dxa"/>
          </w:tcPr>
          <w:p w14:paraId="0A7D77C5" w14:textId="77777777" w:rsidR="00C12AB8" w:rsidRDefault="00155EB5">
            <w:pPr>
              <w:spacing w:before="40" w:after="40" w:line="288" w:lineRule="auto"/>
              <w:rPr>
                <w:szCs w:val="20"/>
                <w:lang w:val="en-GB"/>
              </w:rPr>
            </w:pPr>
            <w:r>
              <w:rPr>
                <w:szCs w:val="20"/>
                <w:lang w:val="en-GB"/>
              </w:rPr>
              <w:t>Connected Automated Mobility</w:t>
            </w:r>
          </w:p>
        </w:tc>
      </w:tr>
      <w:tr w:rsidR="00C12AB8" w14:paraId="0A7D77C9" w14:textId="77777777">
        <w:tc>
          <w:tcPr>
            <w:tcW w:w="2088" w:type="dxa"/>
          </w:tcPr>
          <w:p w14:paraId="0A7D77C7" w14:textId="77777777" w:rsidR="00C12AB8" w:rsidRDefault="00155EB5">
            <w:pPr>
              <w:spacing w:before="40" w:after="40" w:line="288" w:lineRule="auto"/>
              <w:rPr>
                <w:b/>
                <w:szCs w:val="22"/>
                <w:lang w:val="en-GB"/>
              </w:rPr>
            </w:pPr>
            <w:r>
              <w:rPr>
                <w:b/>
                <w:szCs w:val="22"/>
                <w:lang w:val="en-GB"/>
              </w:rPr>
              <w:t>CBTC</w:t>
            </w:r>
          </w:p>
        </w:tc>
        <w:tc>
          <w:tcPr>
            <w:tcW w:w="7767" w:type="dxa"/>
          </w:tcPr>
          <w:p w14:paraId="0A7D77C8" w14:textId="77777777" w:rsidR="00C12AB8" w:rsidRDefault="00155EB5">
            <w:pPr>
              <w:spacing w:before="40" w:after="40" w:line="288" w:lineRule="auto"/>
              <w:rPr>
                <w:lang w:val="en-GB"/>
              </w:rPr>
            </w:pPr>
            <w:r>
              <w:rPr>
                <w:lang w:val="en-GB"/>
              </w:rPr>
              <w:t>Communication Based Train Control</w:t>
            </w:r>
          </w:p>
        </w:tc>
      </w:tr>
      <w:tr w:rsidR="00C12AB8" w14:paraId="0A7D77CC" w14:textId="77777777">
        <w:tc>
          <w:tcPr>
            <w:tcW w:w="2088" w:type="dxa"/>
          </w:tcPr>
          <w:p w14:paraId="0A7D77CA" w14:textId="77777777" w:rsidR="00C12AB8" w:rsidRDefault="00155EB5">
            <w:pPr>
              <w:spacing w:before="40" w:after="40" w:line="288" w:lineRule="auto"/>
              <w:rPr>
                <w:b/>
                <w:szCs w:val="22"/>
                <w:lang w:val="en-GB"/>
              </w:rPr>
            </w:pPr>
            <w:r>
              <w:rPr>
                <w:b/>
                <w:szCs w:val="22"/>
                <w:lang w:val="en-GB"/>
              </w:rPr>
              <w:t>CCAM</w:t>
            </w:r>
          </w:p>
        </w:tc>
        <w:tc>
          <w:tcPr>
            <w:tcW w:w="7767" w:type="dxa"/>
          </w:tcPr>
          <w:p w14:paraId="0A7D77CB" w14:textId="77777777" w:rsidR="00C12AB8" w:rsidRDefault="00155EB5">
            <w:pPr>
              <w:spacing w:before="40" w:after="40" w:line="288" w:lineRule="auto"/>
              <w:rPr>
                <w:lang w:val="en-GB"/>
              </w:rPr>
            </w:pPr>
            <w:r>
              <w:rPr>
                <w:lang w:val="en-GB"/>
              </w:rPr>
              <w:t>Cooperative Connected Automated Mobility</w:t>
            </w:r>
          </w:p>
        </w:tc>
      </w:tr>
      <w:tr w:rsidR="00C12AB8" w14:paraId="0A7D77CF" w14:textId="77777777">
        <w:tc>
          <w:tcPr>
            <w:tcW w:w="2088" w:type="dxa"/>
          </w:tcPr>
          <w:p w14:paraId="0A7D77CD" w14:textId="77777777" w:rsidR="00C12AB8" w:rsidRDefault="00155EB5">
            <w:pPr>
              <w:spacing w:before="40" w:after="40" w:line="288" w:lineRule="auto"/>
              <w:rPr>
                <w:b/>
                <w:szCs w:val="22"/>
                <w:lang w:val="en-GB"/>
              </w:rPr>
            </w:pPr>
            <w:r>
              <w:rPr>
                <w:b/>
                <w:szCs w:val="22"/>
                <w:lang w:val="en-GB"/>
              </w:rPr>
              <w:t>CEN DSRC</w:t>
            </w:r>
          </w:p>
        </w:tc>
        <w:tc>
          <w:tcPr>
            <w:tcW w:w="7767" w:type="dxa"/>
          </w:tcPr>
          <w:p w14:paraId="0A7D77CE" w14:textId="77777777" w:rsidR="00C12AB8" w:rsidRDefault="00155EB5">
            <w:pPr>
              <w:spacing w:before="40" w:after="40" w:line="288" w:lineRule="auto"/>
              <w:rPr>
                <w:szCs w:val="20"/>
                <w:lang w:val="en-GB"/>
              </w:rPr>
            </w:pPr>
            <w:r>
              <w:rPr>
                <w:szCs w:val="20"/>
                <w:lang w:val="en-GB"/>
              </w:rPr>
              <w:t>Dedicated Short-Range Communications as standardised by CEN</w:t>
            </w:r>
          </w:p>
        </w:tc>
      </w:tr>
      <w:tr w:rsidR="00C12AB8" w14:paraId="0A7D77D2" w14:textId="77777777">
        <w:tc>
          <w:tcPr>
            <w:tcW w:w="2088" w:type="dxa"/>
          </w:tcPr>
          <w:p w14:paraId="0A7D77D0" w14:textId="77777777" w:rsidR="00C12AB8" w:rsidRDefault="00155EB5">
            <w:pPr>
              <w:spacing w:before="40" w:after="40" w:line="288" w:lineRule="auto"/>
              <w:rPr>
                <w:b/>
                <w:szCs w:val="22"/>
                <w:lang w:val="en-GB"/>
              </w:rPr>
            </w:pPr>
            <w:r>
              <w:rPr>
                <w:b/>
                <w:szCs w:val="22"/>
                <w:lang w:val="en-GB"/>
              </w:rPr>
              <w:t>CEN-CENELEC</w:t>
            </w:r>
          </w:p>
        </w:tc>
        <w:tc>
          <w:tcPr>
            <w:tcW w:w="7767" w:type="dxa"/>
          </w:tcPr>
          <w:p w14:paraId="0A7D77D1" w14:textId="77777777" w:rsidR="00C12AB8" w:rsidRDefault="00155EB5">
            <w:pPr>
              <w:spacing w:before="40" w:after="40" w:line="288" w:lineRule="auto"/>
              <w:rPr>
                <w:lang w:val="en-GB"/>
              </w:rPr>
            </w:pPr>
            <w:r>
              <w:rPr>
                <w:lang w:val="en-GB"/>
              </w:rPr>
              <w:t xml:space="preserve">European Committee for Standardisation - European Committee for </w:t>
            </w:r>
            <w:proofErr w:type="spellStart"/>
            <w:r>
              <w:rPr>
                <w:lang w:val="en-GB"/>
              </w:rPr>
              <w:t>Electrotechnical</w:t>
            </w:r>
            <w:proofErr w:type="spellEnd"/>
            <w:r>
              <w:rPr>
                <w:lang w:val="en-GB"/>
              </w:rPr>
              <w:t xml:space="preserve"> Standardisation</w:t>
            </w:r>
          </w:p>
        </w:tc>
      </w:tr>
      <w:tr w:rsidR="00C12AB8" w14:paraId="0A7D77D5" w14:textId="77777777">
        <w:tc>
          <w:tcPr>
            <w:tcW w:w="2088" w:type="dxa"/>
          </w:tcPr>
          <w:p w14:paraId="0A7D77D3" w14:textId="77777777" w:rsidR="00C12AB8" w:rsidRDefault="00155EB5">
            <w:pPr>
              <w:spacing w:before="40" w:after="40" w:line="288" w:lineRule="auto"/>
              <w:rPr>
                <w:b/>
                <w:szCs w:val="22"/>
                <w:lang w:val="en-GB"/>
              </w:rPr>
            </w:pPr>
            <w:r>
              <w:rPr>
                <w:b/>
                <w:szCs w:val="22"/>
                <w:lang w:val="en-GB"/>
              </w:rPr>
              <w:t xml:space="preserve">CEPT </w:t>
            </w:r>
          </w:p>
        </w:tc>
        <w:tc>
          <w:tcPr>
            <w:tcW w:w="7767" w:type="dxa"/>
          </w:tcPr>
          <w:p w14:paraId="0A7D77D4" w14:textId="77777777" w:rsidR="00C12AB8" w:rsidRDefault="00155EB5">
            <w:pPr>
              <w:spacing w:before="40" w:after="40" w:line="288" w:lineRule="auto"/>
              <w:rPr>
                <w:lang w:val="en-GB"/>
              </w:rPr>
            </w:pPr>
            <w:r>
              <w:rPr>
                <w:lang w:val="en-GB"/>
              </w:rPr>
              <w:t>European Conference of Postal and Telecommunications Administrations</w:t>
            </w:r>
          </w:p>
        </w:tc>
      </w:tr>
      <w:tr w:rsidR="00C12AB8" w14:paraId="0A7D77D8" w14:textId="77777777">
        <w:tc>
          <w:tcPr>
            <w:tcW w:w="2088" w:type="dxa"/>
          </w:tcPr>
          <w:p w14:paraId="0A7D77D6" w14:textId="77777777" w:rsidR="00C12AB8" w:rsidRDefault="00155EB5">
            <w:pPr>
              <w:spacing w:before="40" w:after="40" w:line="288" w:lineRule="auto"/>
              <w:rPr>
                <w:b/>
                <w:szCs w:val="22"/>
                <w:lang w:val="en-GB"/>
              </w:rPr>
            </w:pPr>
            <w:r>
              <w:rPr>
                <w:b/>
                <w:szCs w:val="22"/>
                <w:lang w:val="en-GB"/>
              </w:rPr>
              <w:t>C-ITS</w:t>
            </w:r>
          </w:p>
        </w:tc>
        <w:tc>
          <w:tcPr>
            <w:tcW w:w="7767" w:type="dxa"/>
          </w:tcPr>
          <w:p w14:paraId="0A7D77D7" w14:textId="77777777" w:rsidR="00C12AB8" w:rsidRDefault="00155EB5">
            <w:pPr>
              <w:spacing w:before="40" w:after="40" w:line="288" w:lineRule="auto"/>
              <w:rPr>
                <w:szCs w:val="20"/>
                <w:lang w:val="en-GB"/>
              </w:rPr>
            </w:pPr>
            <w:r>
              <w:rPr>
                <w:szCs w:val="20"/>
                <w:lang w:val="en-GB"/>
              </w:rPr>
              <w:t>Cooperative Intelligent Transport System</w:t>
            </w:r>
          </w:p>
        </w:tc>
      </w:tr>
      <w:tr w:rsidR="00C12AB8" w14:paraId="0A7D77DE" w14:textId="77777777">
        <w:tc>
          <w:tcPr>
            <w:tcW w:w="2088" w:type="dxa"/>
          </w:tcPr>
          <w:p w14:paraId="0A7D77DC" w14:textId="77777777" w:rsidR="00C12AB8" w:rsidRDefault="00155EB5">
            <w:pPr>
              <w:spacing w:before="40" w:after="40" w:line="288" w:lineRule="auto"/>
              <w:rPr>
                <w:b/>
                <w:szCs w:val="22"/>
                <w:lang w:val="en-GB"/>
              </w:rPr>
            </w:pPr>
            <w:r>
              <w:rPr>
                <w:b/>
                <w:szCs w:val="22"/>
                <w:lang w:val="en-GB"/>
              </w:rPr>
              <w:t>DCC</w:t>
            </w:r>
          </w:p>
        </w:tc>
        <w:tc>
          <w:tcPr>
            <w:tcW w:w="7767" w:type="dxa"/>
          </w:tcPr>
          <w:p w14:paraId="0A7D77DD" w14:textId="77777777" w:rsidR="00C12AB8" w:rsidRDefault="00155EB5">
            <w:pPr>
              <w:spacing w:before="40" w:after="40" w:line="288" w:lineRule="auto"/>
              <w:rPr>
                <w:szCs w:val="20"/>
                <w:lang w:val="en-GB"/>
              </w:rPr>
            </w:pPr>
            <w:r>
              <w:rPr>
                <w:szCs w:val="20"/>
                <w:lang w:val="en-GB"/>
              </w:rPr>
              <w:t>Decentralised Congestion Control</w:t>
            </w:r>
          </w:p>
        </w:tc>
      </w:tr>
      <w:tr w:rsidR="00C12AB8" w14:paraId="0A7D77E1" w14:textId="77777777">
        <w:tc>
          <w:tcPr>
            <w:tcW w:w="2088" w:type="dxa"/>
          </w:tcPr>
          <w:p w14:paraId="0A7D77DF" w14:textId="77777777" w:rsidR="00C12AB8" w:rsidRDefault="00155EB5">
            <w:pPr>
              <w:spacing w:before="40" w:after="40" w:line="288" w:lineRule="auto"/>
              <w:rPr>
                <w:b/>
                <w:szCs w:val="22"/>
                <w:lang w:val="en-GB"/>
              </w:rPr>
            </w:pPr>
            <w:r>
              <w:rPr>
                <w:b/>
                <w:szCs w:val="22"/>
                <w:lang w:val="en-GB"/>
              </w:rPr>
              <w:t>DENM</w:t>
            </w:r>
          </w:p>
        </w:tc>
        <w:tc>
          <w:tcPr>
            <w:tcW w:w="7767" w:type="dxa"/>
          </w:tcPr>
          <w:p w14:paraId="0A7D77E0" w14:textId="77777777" w:rsidR="00C12AB8" w:rsidRDefault="00155EB5">
            <w:pPr>
              <w:spacing w:before="40" w:after="40" w:line="288" w:lineRule="auto"/>
              <w:rPr>
                <w:szCs w:val="20"/>
                <w:lang w:val="en-GB"/>
              </w:rPr>
            </w:pPr>
            <w:r>
              <w:rPr>
                <w:szCs w:val="20"/>
                <w:lang w:val="en-GB"/>
              </w:rPr>
              <w:t>Decentralised Environmental Notification Messages</w:t>
            </w:r>
          </w:p>
        </w:tc>
      </w:tr>
      <w:tr w:rsidR="00C12AB8" w14:paraId="0A7D77E4" w14:textId="77777777">
        <w:tc>
          <w:tcPr>
            <w:tcW w:w="2088" w:type="dxa"/>
          </w:tcPr>
          <w:p w14:paraId="0A7D77E2" w14:textId="77777777" w:rsidR="00C12AB8" w:rsidRDefault="00155EB5">
            <w:pPr>
              <w:spacing w:before="40" w:after="40" w:line="288" w:lineRule="auto"/>
              <w:rPr>
                <w:b/>
                <w:szCs w:val="22"/>
                <w:lang w:val="en-GB"/>
              </w:rPr>
            </w:pPr>
            <w:r>
              <w:rPr>
                <w:b/>
                <w:szCs w:val="22"/>
                <w:lang w:val="en-GB"/>
              </w:rPr>
              <w:t>DOT</w:t>
            </w:r>
          </w:p>
        </w:tc>
        <w:tc>
          <w:tcPr>
            <w:tcW w:w="7767" w:type="dxa"/>
          </w:tcPr>
          <w:p w14:paraId="0A7D77E3" w14:textId="77777777" w:rsidR="00C12AB8" w:rsidRDefault="00155EB5">
            <w:pPr>
              <w:spacing w:before="40" w:after="40" w:line="288" w:lineRule="auto"/>
              <w:rPr>
                <w:szCs w:val="20"/>
                <w:lang w:val="en-GB"/>
              </w:rPr>
            </w:pPr>
            <w:r>
              <w:rPr>
                <w:szCs w:val="20"/>
                <w:lang w:val="en-GB"/>
              </w:rPr>
              <w:t>Department of Transport (USA)</w:t>
            </w:r>
          </w:p>
        </w:tc>
      </w:tr>
      <w:tr w:rsidR="00C12AB8" w14:paraId="0A7D77E7" w14:textId="77777777">
        <w:tc>
          <w:tcPr>
            <w:tcW w:w="2088" w:type="dxa"/>
          </w:tcPr>
          <w:p w14:paraId="0A7D77E5" w14:textId="77777777" w:rsidR="00C12AB8" w:rsidRDefault="00155EB5">
            <w:pPr>
              <w:spacing w:before="40" w:after="40" w:line="288" w:lineRule="auto"/>
              <w:rPr>
                <w:b/>
                <w:szCs w:val="22"/>
                <w:lang w:val="en-GB"/>
              </w:rPr>
            </w:pPr>
            <w:r>
              <w:rPr>
                <w:b/>
                <w:szCs w:val="22"/>
                <w:lang w:val="en-GB"/>
              </w:rPr>
              <w:t>DSRC</w:t>
            </w:r>
          </w:p>
        </w:tc>
        <w:tc>
          <w:tcPr>
            <w:tcW w:w="7767" w:type="dxa"/>
          </w:tcPr>
          <w:p w14:paraId="0A7D77E6" w14:textId="77777777" w:rsidR="00C12AB8" w:rsidRDefault="00155EB5">
            <w:pPr>
              <w:spacing w:before="40" w:after="40" w:line="288" w:lineRule="auto"/>
              <w:rPr>
                <w:szCs w:val="20"/>
                <w:lang w:val="en-GB"/>
              </w:rPr>
            </w:pPr>
            <w:r>
              <w:rPr>
                <w:szCs w:val="20"/>
                <w:lang w:val="en-GB"/>
              </w:rPr>
              <w:t>Dedicated short range communication as specified in CEN EN 12253, CEN EN 12795, and ETSI EN 300 674</w:t>
            </w:r>
          </w:p>
        </w:tc>
      </w:tr>
      <w:tr w:rsidR="00C12AB8" w14:paraId="0A7D77EA" w14:textId="77777777">
        <w:tc>
          <w:tcPr>
            <w:tcW w:w="2088" w:type="dxa"/>
          </w:tcPr>
          <w:p w14:paraId="0A7D77E8" w14:textId="77777777" w:rsidR="00C12AB8" w:rsidRDefault="00155EB5">
            <w:pPr>
              <w:spacing w:before="40" w:after="40" w:line="288" w:lineRule="auto"/>
              <w:rPr>
                <w:b/>
                <w:szCs w:val="22"/>
                <w:lang w:val="en-GB"/>
              </w:rPr>
            </w:pPr>
            <w:r>
              <w:rPr>
                <w:b/>
                <w:szCs w:val="22"/>
                <w:lang w:val="en-GB"/>
              </w:rPr>
              <w:t>DSSS</w:t>
            </w:r>
          </w:p>
        </w:tc>
        <w:tc>
          <w:tcPr>
            <w:tcW w:w="7767" w:type="dxa"/>
          </w:tcPr>
          <w:p w14:paraId="0A7D77E9" w14:textId="77777777" w:rsidR="00C12AB8" w:rsidRDefault="00155EB5">
            <w:pPr>
              <w:spacing w:before="40" w:after="40" w:line="288" w:lineRule="auto"/>
              <w:rPr>
                <w:szCs w:val="20"/>
                <w:lang w:val="en-GB"/>
              </w:rPr>
            </w:pPr>
            <w:r>
              <w:rPr>
                <w:szCs w:val="20"/>
                <w:lang w:val="en-GB"/>
              </w:rPr>
              <w:t>Direct Sequence Spread Spectrum</w:t>
            </w:r>
          </w:p>
        </w:tc>
      </w:tr>
      <w:tr w:rsidR="00C12AB8" w14:paraId="0A7D77ED" w14:textId="77777777">
        <w:tc>
          <w:tcPr>
            <w:tcW w:w="2088" w:type="dxa"/>
          </w:tcPr>
          <w:p w14:paraId="0A7D77EB" w14:textId="77777777" w:rsidR="00C12AB8" w:rsidRDefault="00155EB5">
            <w:pPr>
              <w:spacing w:before="40" w:after="40" w:line="288" w:lineRule="auto"/>
              <w:rPr>
                <w:b/>
                <w:szCs w:val="22"/>
                <w:lang w:val="en-GB"/>
              </w:rPr>
            </w:pPr>
            <w:r>
              <w:rPr>
                <w:b/>
                <w:szCs w:val="22"/>
                <w:lang w:val="en-GB"/>
              </w:rPr>
              <w:t>DSSS/TDMA</w:t>
            </w:r>
          </w:p>
        </w:tc>
        <w:tc>
          <w:tcPr>
            <w:tcW w:w="7767" w:type="dxa"/>
          </w:tcPr>
          <w:p w14:paraId="0A7D77EC" w14:textId="77777777" w:rsidR="00C12AB8" w:rsidRDefault="00155EB5">
            <w:pPr>
              <w:spacing w:before="40" w:after="40" w:line="288" w:lineRule="auto"/>
              <w:rPr>
                <w:lang w:val="en-GB"/>
              </w:rPr>
            </w:pPr>
            <w:r>
              <w:rPr>
                <w:lang w:val="en-GB"/>
              </w:rPr>
              <w:t>DSSS/ Time Division Multiple Access</w:t>
            </w:r>
          </w:p>
        </w:tc>
      </w:tr>
      <w:tr w:rsidR="00C12AB8" w14:paraId="0A7D77F0" w14:textId="77777777">
        <w:tc>
          <w:tcPr>
            <w:tcW w:w="2088" w:type="dxa"/>
          </w:tcPr>
          <w:p w14:paraId="0A7D77EE" w14:textId="77777777" w:rsidR="00C12AB8" w:rsidRDefault="00155EB5">
            <w:pPr>
              <w:spacing w:before="40" w:after="40" w:line="288" w:lineRule="auto"/>
              <w:rPr>
                <w:b/>
                <w:szCs w:val="22"/>
                <w:lang w:val="en-GB"/>
              </w:rPr>
            </w:pPr>
            <w:r>
              <w:rPr>
                <w:b/>
                <w:szCs w:val="22"/>
                <w:lang w:val="en-GB"/>
              </w:rPr>
              <w:t>e.i.r.p.</w:t>
            </w:r>
          </w:p>
        </w:tc>
        <w:tc>
          <w:tcPr>
            <w:tcW w:w="7767" w:type="dxa"/>
          </w:tcPr>
          <w:p w14:paraId="0A7D77EF" w14:textId="77777777" w:rsidR="00C12AB8" w:rsidRDefault="00155EB5">
            <w:pPr>
              <w:spacing w:before="40" w:after="40" w:line="288" w:lineRule="auto"/>
              <w:rPr>
                <w:szCs w:val="20"/>
                <w:lang w:val="en-GB"/>
              </w:rPr>
            </w:pPr>
            <w:r>
              <w:rPr>
                <w:szCs w:val="20"/>
                <w:lang w:val="en-GB"/>
              </w:rPr>
              <w:t>equivalent isotropically radiated power</w:t>
            </w:r>
          </w:p>
        </w:tc>
      </w:tr>
      <w:tr w:rsidR="00C12AB8" w14:paraId="0A7D77F3" w14:textId="77777777">
        <w:tc>
          <w:tcPr>
            <w:tcW w:w="2088" w:type="dxa"/>
          </w:tcPr>
          <w:p w14:paraId="0A7D77F1" w14:textId="77777777" w:rsidR="00C12AB8" w:rsidRDefault="00155EB5">
            <w:pPr>
              <w:spacing w:before="40" w:after="40" w:line="288" w:lineRule="auto"/>
              <w:rPr>
                <w:b/>
                <w:szCs w:val="22"/>
                <w:lang w:val="en-GB"/>
              </w:rPr>
            </w:pPr>
            <w:r>
              <w:rPr>
                <w:b/>
                <w:szCs w:val="22"/>
                <w:lang w:val="en-GB"/>
              </w:rPr>
              <w:t>eNodeB</w:t>
            </w:r>
          </w:p>
        </w:tc>
        <w:tc>
          <w:tcPr>
            <w:tcW w:w="7767" w:type="dxa"/>
          </w:tcPr>
          <w:p w14:paraId="0A7D77F2" w14:textId="77777777" w:rsidR="00C12AB8" w:rsidRDefault="00155EB5">
            <w:pPr>
              <w:spacing w:before="40" w:after="40" w:line="288" w:lineRule="auto"/>
              <w:rPr>
                <w:lang w:val="en-GB"/>
              </w:rPr>
            </w:pPr>
            <w:r>
              <w:rPr>
                <w:lang w:val="en-GB"/>
              </w:rPr>
              <w:t>A logical node responsible for radio transmission/reception in one or more cells to/from the User Equipment.</w:t>
            </w:r>
          </w:p>
        </w:tc>
      </w:tr>
      <w:tr w:rsidR="00C12AB8" w14:paraId="0A7D77F6" w14:textId="77777777">
        <w:tc>
          <w:tcPr>
            <w:tcW w:w="2088" w:type="dxa"/>
          </w:tcPr>
          <w:p w14:paraId="0A7D77F4" w14:textId="77777777" w:rsidR="00C12AB8" w:rsidRDefault="00155EB5">
            <w:pPr>
              <w:spacing w:before="40" w:after="40" w:line="288" w:lineRule="auto"/>
              <w:rPr>
                <w:b/>
                <w:szCs w:val="22"/>
                <w:lang w:val="en-GB"/>
              </w:rPr>
            </w:pPr>
            <w:r>
              <w:rPr>
                <w:b/>
                <w:szCs w:val="22"/>
                <w:lang w:val="en-GB"/>
              </w:rPr>
              <w:t>ETSI</w:t>
            </w:r>
          </w:p>
        </w:tc>
        <w:tc>
          <w:tcPr>
            <w:tcW w:w="7767" w:type="dxa"/>
          </w:tcPr>
          <w:p w14:paraId="0A7D77F5" w14:textId="77777777" w:rsidR="00C12AB8" w:rsidRDefault="00155EB5">
            <w:pPr>
              <w:spacing w:before="40" w:after="40" w:line="288" w:lineRule="auto"/>
              <w:rPr>
                <w:szCs w:val="20"/>
                <w:lang w:val="en-GB"/>
              </w:rPr>
            </w:pPr>
            <w:r>
              <w:rPr>
                <w:szCs w:val="20"/>
                <w:lang w:val="en-GB"/>
              </w:rPr>
              <w:t>European Telecommunications Standards Institute</w:t>
            </w:r>
          </w:p>
        </w:tc>
      </w:tr>
      <w:tr w:rsidR="00C12AB8" w14:paraId="0A7D77F9" w14:textId="77777777">
        <w:tc>
          <w:tcPr>
            <w:tcW w:w="2088" w:type="dxa"/>
          </w:tcPr>
          <w:p w14:paraId="0A7D77F7" w14:textId="77777777" w:rsidR="00C12AB8" w:rsidRDefault="00155EB5">
            <w:pPr>
              <w:spacing w:before="40" w:after="40" w:line="288" w:lineRule="auto"/>
              <w:rPr>
                <w:b/>
                <w:szCs w:val="22"/>
                <w:lang w:val="en-GB"/>
              </w:rPr>
            </w:pPr>
            <w:r>
              <w:rPr>
                <w:b/>
                <w:szCs w:val="22"/>
                <w:lang w:val="en-GB"/>
              </w:rPr>
              <w:t>FS</w:t>
            </w:r>
          </w:p>
        </w:tc>
        <w:tc>
          <w:tcPr>
            <w:tcW w:w="7767" w:type="dxa"/>
          </w:tcPr>
          <w:p w14:paraId="0A7D77F8" w14:textId="77777777" w:rsidR="00C12AB8" w:rsidRDefault="00155EB5">
            <w:pPr>
              <w:spacing w:before="40" w:after="40" w:line="288" w:lineRule="auto"/>
              <w:rPr>
                <w:szCs w:val="20"/>
                <w:lang w:val="en-GB"/>
              </w:rPr>
            </w:pPr>
            <w:r>
              <w:rPr>
                <w:szCs w:val="20"/>
                <w:lang w:val="en-GB"/>
              </w:rPr>
              <w:t>Fixed Service</w:t>
            </w:r>
          </w:p>
        </w:tc>
      </w:tr>
      <w:tr w:rsidR="00C12AB8" w14:paraId="0A7D77FC" w14:textId="77777777">
        <w:tc>
          <w:tcPr>
            <w:tcW w:w="2088" w:type="dxa"/>
          </w:tcPr>
          <w:p w14:paraId="0A7D77FA" w14:textId="77777777" w:rsidR="00C12AB8" w:rsidRDefault="00155EB5">
            <w:pPr>
              <w:spacing w:before="40" w:after="40" w:line="288" w:lineRule="auto"/>
              <w:rPr>
                <w:b/>
                <w:szCs w:val="22"/>
                <w:lang w:val="en-GB"/>
              </w:rPr>
            </w:pPr>
            <w:r>
              <w:rPr>
                <w:b/>
                <w:szCs w:val="22"/>
                <w:lang w:val="en-GB"/>
              </w:rPr>
              <w:t>FSS</w:t>
            </w:r>
          </w:p>
        </w:tc>
        <w:tc>
          <w:tcPr>
            <w:tcW w:w="7767" w:type="dxa"/>
          </w:tcPr>
          <w:p w14:paraId="0A7D77FB" w14:textId="77777777" w:rsidR="00C12AB8" w:rsidRDefault="00155EB5">
            <w:pPr>
              <w:spacing w:before="40" w:after="40" w:line="288" w:lineRule="auto"/>
              <w:rPr>
                <w:szCs w:val="20"/>
                <w:lang w:val="en-GB"/>
              </w:rPr>
            </w:pPr>
            <w:r>
              <w:rPr>
                <w:szCs w:val="20"/>
                <w:lang w:val="en-GB"/>
              </w:rPr>
              <w:t>Fixed-Satellite Service</w:t>
            </w:r>
          </w:p>
        </w:tc>
      </w:tr>
      <w:tr w:rsidR="00C12AB8" w14:paraId="0A7D77FF" w14:textId="77777777">
        <w:tc>
          <w:tcPr>
            <w:tcW w:w="2088" w:type="dxa"/>
          </w:tcPr>
          <w:p w14:paraId="0A7D77FD" w14:textId="77777777" w:rsidR="00C12AB8" w:rsidRDefault="00155EB5">
            <w:pPr>
              <w:spacing w:before="40" w:after="40" w:line="288" w:lineRule="auto"/>
              <w:rPr>
                <w:b/>
                <w:szCs w:val="22"/>
                <w:lang w:val="en-GB"/>
              </w:rPr>
            </w:pPr>
            <w:r>
              <w:rPr>
                <w:b/>
                <w:szCs w:val="22"/>
                <w:lang w:val="en-GB"/>
              </w:rPr>
              <w:t>FWA</w:t>
            </w:r>
          </w:p>
        </w:tc>
        <w:tc>
          <w:tcPr>
            <w:tcW w:w="7767" w:type="dxa"/>
          </w:tcPr>
          <w:p w14:paraId="0A7D77FE" w14:textId="77777777" w:rsidR="00C12AB8" w:rsidRDefault="00155EB5">
            <w:pPr>
              <w:spacing w:before="40" w:after="40" w:line="288" w:lineRule="auto"/>
              <w:rPr>
                <w:szCs w:val="20"/>
                <w:lang w:val="en-GB"/>
              </w:rPr>
            </w:pPr>
            <w:r>
              <w:rPr>
                <w:szCs w:val="20"/>
                <w:lang w:val="en-GB"/>
              </w:rPr>
              <w:t>Fixed Wireless Access</w:t>
            </w:r>
          </w:p>
        </w:tc>
      </w:tr>
      <w:tr w:rsidR="00C12AB8" w14:paraId="0A7D7802" w14:textId="77777777">
        <w:tc>
          <w:tcPr>
            <w:tcW w:w="2088" w:type="dxa"/>
          </w:tcPr>
          <w:p w14:paraId="0A7D7800" w14:textId="77777777" w:rsidR="00C12AB8" w:rsidRDefault="00155EB5">
            <w:pPr>
              <w:spacing w:before="40" w:after="40" w:line="288" w:lineRule="auto"/>
              <w:rPr>
                <w:b/>
                <w:szCs w:val="22"/>
                <w:lang w:val="en-GB"/>
              </w:rPr>
            </w:pPr>
            <w:r>
              <w:rPr>
                <w:b/>
                <w:szCs w:val="22"/>
                <w:lang w:val="en-GB"/>
              </w:rPr>
              <w:t>IMDA</w:t>
            </w:r>
          </w:p>
        </w:tc>
        <w:tc>
          <w:tcPr>
            <w:tcW w:w="7767" w:type="dxa"/>
          </w:tcPr>
          <w:p w14:paraId="0A7D7801" w14:textId="77777777" w:rsidR="00C12AB8" w:rsidRDefault="00155EB5">
            <w:pPr>
              <w:spacing w:before="40" w:after="40" w:line="288" w:lineRule="auto"/>
              <w:rPr>
                <w:lang w:val="en-GB"/>
              </w:rPr>
            </w:pPr>
            <w:proofErr w:type="spellStart"/>
            <w:r>
              <w:rPr>
                <w:lang w:val="en-GB"/>
              </w:rPr>
              <w:t>Infocomm</w:t>
            </w:r>
            <w:proofErr w:type="spellEnd"/>
            <w:r>
              <w:rPr>
                <w:lang w:val="en-GB"/>
              </w:rPr>
              <w:t xml:space="preserve"> Media Development Authority (Singapore)</w:t>
            </w:r>
          </w:p>
        </w:tc>
      </w:tr>
      <w:tr w:rsidR="00C12AB8" w14:paraId="0A7D7805" w14:textId="77777777">
        <w:tc>
          <w:tcPr>
            <w:tcW w:w="2088" w:type="dxa"/>
          </w:tcPr>
          <w:p w14:paraId="0A7D7803" w14:textId="77777777" w:rsidR="00C12AB8" w:rsidRDefault="00155EB5">
            <w:pPr>
              <w:spacing w:before="40" w:after="40" w:line="288" w:lineRule="auto"/>
              <w:rPr>
                <w:b/>
                <w:szCs w:val="22"/>
                <w:lang w:val="en-GB"/>
              </w:rPr>
            </w:pPr>
            <w:r>
              <w:rPr>
                <w:b/>
                <w:szCs w:val="22"/>
                <w:lang w:val="en-GB"/>
              </w:rPr>
              <w:lastRenderedPageBreak/>
              <w:t>ITS</w:t>
            </w:r>
          </w:p>
        </w:tc>
        <w:tc>
          <w:tcPr>
            <w:tcW w:w="7767" w:type="dxa"/>
          </w:tcPr>
          <w:p w14:paraId="0A7D7804" w14:textId="77777777" w:rsidR="00C12AB8" w:rsidRDefault="00155EB5">
            <w:pPr>
              <w:spacing w:before="40" w:after="40" w:line="288" w:lineRule="auto"/>
              <w:rPr>
                <w:szCs w:val="20"/>
                <w:lang w:val="en-GB"/>
              </w:rPr>
            </w:pPr>
            <w:r>
              <w:rPr>
                <w:lang w:val="en-GB"/>
              </w:rPr>
              <w:t>Intelligent Transport Systems</w:t>
            </w:r>
          </w:p>
        </w:tc>
      </w:tr>
      <w:tr w:rsidR="00C12AB8" w14:paraId="0A7D7808" w14:textId="77777777">
        <w:tc>
          <w:tcPr>
            <w:tcW w:w="2088" w:type="dxa"/>
          </w:tcPr>
          <w:p w14:paraId="0A7D7806" w14:textId="77777777" w:rsidR="00C12AB8" w:rsidRDefault="00155EB5">
            <w:pPr>
              <w:spacing w:before="40" w:after="40" w:line="288" w:lineRule="auto"/>
              <w:rPr>
                <w:b/>
                <w:szCs w:val="22"/>
                <w:lang w:val="en-GB"/>
              </w:rPr>
            </w:pPr>
            <w:r>
              <w:rPr>
                <w:b/>
                <w:szCs w:val="22"/>
                <w:lang w:val="en-GB"/>
              </w:rPr>
              <w:t>ITS-G5</w:t>
            </w:r>
          </w:p>
        </w:tc>
        <w:tc>
          <w:tcPr>
            <w:tcW w:w="7767" w:type="dxa"/>
          </w:tcPr>
          <w:p w14:paraId="0A7D7807" w14:textId="5BEB8D0B" w:rsidR="00C12AB8" w:rsidRDefault="00155EB5" w:rsidP="003C7163">
            <w:pPr>
              <w:spacing w:before="40" w:after="40" w:line="288" w:lineRule="auto"/>
              <w:rPr>
                <w:szCs w:val="20"/>
                <w:lang w:val="en-GB"/>
              </w:rPr>
            </w:pPr>
            <w:r>
              <w:rPr>
                <w:szCs w:val="20"/>
                <w:lang w:val="en-GB"/>
              </w:rPr>
              <w:t xml:space="preserve">See </w:t>
            </w:r>
            <w:r w:rsidR="003C7163">
              <w:t>section</w:t>
            </w:r>
            <w:r>
              <w:rPr>
                <w:szCs w:val="20"/>
                <w:lang w:val="en-GB"/>
              </w:rPr>
              <w:t xml:space="preserve"> 3.1.1</w:t>
            </w:r>
          </w:p>
        </w:tc>
      </w:tr>
      <w:tr w:rsidR="00C12AB8" w14:paraId="0A7D780B" w14:textId="77777777">
        <w:tc>
          <w:tcPr>
            <w:tcW w:w="2088" w:type="dxa"/>
          </w:tcPr>
          <w:p w14:paraId="0A7D7809" w14:textId="77777777" w:rsidR="00C12AB8" w:rsidRDefault="00155EB5">
            <w:pPr>
              <w:spacing w:before="40" w:after="40" w:line="288" w:lineRule="auto"/>
              <w:rPr>
                <w:b/>
                <w:szCs w:val="22"/>
                <w:lang w:val="en-GB"/>
              </w:rPr>
            </w:pPr>
            <w:r>
              <w:rPr>
                <w:b/>
                <w:szCs w:val="22"/>
                <w:lang w:val="en-GB"/>
              </w:rPr>
              <w:t>ITU</w:t>
            </w:r>
          </w:p>
        </w:tc>
        <w:tc>
          <w:tcPr>
            <w:tcW w:w="7767" w:type="dxa"/>
          </w:tcPr>
          <w:p w14:paraId="0A7D780A" w14:textId="77777777" w:rsidR="00C12AB8" w:rsidRDefault="00155EB5">
            <w:pPr>
              <w:spacing w:before="40" w:after="40" w:line="288" w:lineRule="auto"/>
              <w:rPr>
                <w:szCs w:val="20"/>
                <w:lang w:val="en-GB"/>
              </w:rPr>
            </w:pPr>
            <w:r>
              <w:rPr>
                <w:szCs w:val="20"/>
                <w:lang w:val="en-GB"/>
              </w:rPr>
              <w:t>International Telecommunication Union</w:t>
            </w:r>
          </w:p>
        </w:tc>
      </w:tr>
      <w:tr w:rsidR="00C12AB8" w14:paraId="0A7D780E" w14:textId="77777777">
        <w:tc>
          <w:tcPr>
            <w:tcW w:w="2088" w:type="dxa"/>
          </w:tcPr>
          <w:p w14:paraId="0A7D780C" w14:textId="77777777" w:rsidR="00C12AB8" w:rsidRDefault="00155EB5">
            <w:pPr>
              <w:spacing w:before="40" w:after="40" w:line="288" w:lineRule="auto"/>
              <w:rPr>
                <w:b/>
                <w:szCs w:val="22"/>
                <w:lang w:val="en-GB"/>
              </w:rPr>
            </w:pPr>
            <w:r>
              <w:rPr>
                <w:b/>
                <w:szCs w:val="22"/>
                <w:lang w:val="en-GB"/>
              </w:rPr>
              <w:t>JTFIR</w:t>
            </w:r>
          </w:p>
        </w:tc>
        <w:tc>
          <w:tcPr>
            <w:tcW w:w="7767" w:type="dxa"/>
          </w:tcPr>
          <w:p w14:paraId="0A7D780D" w14:textId="77777777" w:rsidR="00C12AB8" w:rsidRDefault="00155EB5">
            <w:pPr>
              <w:spacing w:before="40" w:after="40" w:line="288" w:lineRule="auto"/>
              <w:rPr>
                <w:szCs w:val="20"/>
                <w:lang w:val="en-GB"/>
              </w:rPr>
            </w:pPr>
            <w:r>
              <w:rPr>
                <w:szCs w:val="20"/>
                <w:lang w:val="en-GB"/>
              </w:rPr>
              <w:t>ETSI Joint Task Force ITS-RT</w:t>
            </w:r>
          </w:p>
        </w:tc>
      </w:tr>
      <w:tr w:rsidR="00C12AB8" w14:paraId="0A7D7811" w14:textId="77777777">
        <w:tc>
          <w:tcPr>
            <w:tcW w:w="2088" w:type="dxa"/>
          </w:tcPr>
          <w:p w14:paraId="0A7D780F" w14:textId="77777777" w:rsidR="00C12AB8" w:rsidRDefault="00155EB5">
            <w:pPr>
              <w:spacing w:before="40" w:after="40" w:line="288" w:lineRule="auto"/>
              <w:rPr>
                <w:b/>
                <w:szCs w:val="22"/>
                <w:lang w:val="en-GB"/>
              </w:rPr>
            </w:pPr>
            <w:r>
              <w:rPr>
                <w:b/>
                <w:szCs w:val="22"/>
                <w:lang w:val="en-GB"/>
              </w:rPr>
              <w:t>LTE</w:t>
            </w:r>
          </w:p>
        </w:tc>
        <w:tc>
          <w:tcPr>
            <w:tcW w:w="7767" w:type="dxa"/>
          </w:tcPr>
          <w:p w14:paraId="0A7D7810" w14:textId="77777777" w:rsidR="00C12AB8" w:rsidRDefault="00155EB5">
            <w:pPr>
              <w:spacing w:before="40" w:after="40" w:line="288" w:lineRule="auto"/>
              <w:rPr>
                <w:szCs w:val="20"/>
                <w:lang w:val="en-GB"/>
              </w:rPr>
            </w:pPr>
            <w:r>
              <w:rPr>
                <w:szCs w:val="20"/>
                <w:lang w:val="en-GB"/>
              </w:rPr>
              <w:t>3GPP Long Term Evolution (4G)</w:t>
            </w:r>
          </w:p>
        </w:tc>
      </w:tr>
      <w:tr w:rsidR="00834C07" w14:paraId="5E006D0A" w14:textId="77777777">
        <w:tc>
          <w:tcPr>
            <w:tcW w:w="2088" w:type="dxa"/>
          </w:tcPr>
          <w:p w14:paraId="7DC3B7BD" w14:textId="48B16732" w:rsidR="00834C07" w:rsidRDefault="00834C07">
            <w:pPr>
              <w:spacing w:before="40" w:after="40" w:line="288" w:lineRule="auto"/>
              <w:rPr>
                <w:b/>
                <w:szCs w:val="22"/>
                <w:lang w:val="en-GB"/>
              </w:rPr>
            </w:pPr>
            <w:r w:rsidRPr="00834C07">
              <w:rPr>
                <w:b/>
                <w:szCs w:val="22"/>
                <w:lang w:val="en-GB"/>
              </w:rPr>
              <w:t>LTE-V2X</w:t>
            </w:r>
          </w:p>
        </w:tc>
        <w:tc>
          <w:tcPr>
            <w:tcW w:w="7767" w:type="dxa"/>
          </w:tcPr>
          <w:p w14:paraId="586CB8F5" w14:textId="3B164FDB" w:rsidR="00834C07" w:rsidRDefault="00834C07">
            <w:pPr>
              <w:spacing w:before="40" w:after="40" w:line="288" w:lineRule="auto"/>
              <w:rPr>
                <w:szCs w:val="20"/>
                <w:lang w:val="en-GB"/>
              </w:rPr>
            </w:pPr>
            <w:r w:rsidRPr="00834C07">
              <w:rPr>
                <w:szCs w:val="20"/>
                <w:lang w:val="en-GB"/>
              </w:rPr>
              <w:t>Cellular V2X</w:t>
            </w:r>
          </w:p>
        </w:tc>
      </w:tr>
      <w:tr w:rsidR="00C12AB8" w14:paraId="0A7D7814" w14:textId="77777777">
        <w:tc>
          <w:tcPr>
            <w:tcW w:w="2088" w:type="dxa"/>
          </w:tcPr>
          <w:p w14:paraId="0A7D7812" w14:textId="77777777" w:rsidR="00C12AB8" w:rsidRDefault="00155EB5">
            <w:pPr>
              <w:spacing w:before="40" w:after="40" w:line="288" w:lineRule="auto"/>
              <w:rPr>
                <w:b/>
                <w:lang w:val="en-GB"/>
              </w:rPr>
            </w:pPr>
            <w:r>
              <w:rPr>
                <w:b/>
                <w:lang w:val="en-GB"/>
              </w:rPr>
              <w:t>NHTSA</w:t>
            </w:r>
          </w:p>
        </w:tc>
        <w:tc>
          <w:tcPr>
            <w:tcW w:w="7767" w:type="dxa"/>
          </w:tcPr>
          <w:p w14:paraId="0A7D7813" w14:textId="77777777" w:rsidR="00C12AB8" w:rsidRDefault="00155EB5">
            <w:pPr>
              <w:spacing w:before="40" w:after="40" w:line="288" w:lineRule="auto"/>
              <w:rPr>
                <w:szCs w:val="20"/>
                <w:lang w:val="en-GB"/>
              </w:rPr>
            </w:pPr>
            <w:r>
              <w:rPr>
                <w:szCs w:val="20"/>
                <w:lang w:val="en-GB"/>
              </w:rPr>
              <w:t>National Highway Traffic Safety Administration in the USA</w:t>
            </w:r>
          </w:p>
        </w:tc>
      </w:tr>
      <w:tr w:rsidR="00C12AB8" w14:paraId="0A7D7817" w14:textId="77777777">
        <w:tc>
          <w:tcPr>
            <w:tcW w:w="2088" w:type="dxa"/>
          </w:tcPr>
          <w:p w14:paraId="0A7D7815" w14:textId="77777777" w:rsidR="00C12AB8" w:rsidRDefault="00155EB5">
            <w:pPr>
              <w:spacing w:before="40" w:after="40" w:line="288" w:lineRule="auto"/>
              <w:rPr>
                <w:b/>
                <w:szCs w:val="22"/>
                <w:lang w:val="en-GB"/>
              </w:rPr>
            </w:pPr>
            <w:r>
              <w:rPr>
                <w:b/>
                <w:szCs w:val="22"/>
                <w:lang w:val="en-GB"/>
              </w:rPr>
              <w:t>OBU</w:t>
            </w:r>
          </w:p>
        </w:tc>
        <w:tc>
          <w:tcPr>
            <w:tcW w:w="7767" w:type="dxa"/>
          </w:tcPr>
          <w:p w14:paraId="0A7D7816" w14:textId="768ECF76" w:rsidR="00C12AB8" w:rsidRDefault="00E32656">
            <w:pPr>
              <w:spacing w:before="40" w:after="40" w:line="288" w:lineRule="auto"/>
              <w:rPr>
                <w:szCs w:val="20"/>
                <w:lang w:val="en-GB"/>
              </w:rPr>
            </w:pPr>
            <w:r>
              <w:rPr>
                <w:szCs w:val="20"/>
                <w:lang w:val="en-GB"/>
              </w:rPr>
              <w:t>On-board</w:t>
            </w:r>
            <w:r w:rsidR="00155EB5">
              <w:rPr>
                <w:szCs w:val="20"/>
                <w:lang w:val="en-GB"/>
              </w:rPr>
              <w:t xml:space="preserve"> Unit</w:t>
            </w:r>
          </w:p>
        </w:tc>
      </w:tr>
      <w:tr w:rsidR="00C12AB8" w14:paraId="0A7D781A" w14:textId="77777777">
        <w:tc>
          <w:tcPr>
            <w:tcW w:w="2088" w:type="dxa"/>
          </w:tcPr>
          <w:p w14:paraId="0A7D7818" w14:textId="77777777" w:rsidR="00C12AB8" w:rsidRDefault="00155EB5">
            <w:pPr>
              <w:spacing w:before="40" w:after="40" w:line="288" w:lineRule="auto"/>
              <w:rPr>
                <w:b/>
                <w:szCs w:val="22"/>
                <w:lang w:val="en-GB"/>
              </w:rPr>
            </w:pPr>
            <w:r>
              <w:rPr>
                <w:b/>
                <w:szCs w:val="22"/>
                <w:lang w:val="en-GB"/>
              </w:rPr>
              <w:t>OFDM</w:t>
            </w:r>
          </w:p>
        </w:tc>
        <w:tc>
          <w:tcPr>
            <w:tcW w:w="7767" w:type="dxa"/>
          </w:tcPr>
          <w:p w14:paraId="0A7D7819" w14:textId="77777777" w:rsidR="00C12AB8" w:rsidRDefault="00155EB5">
            <w:pPr>
              <w:spacing w:before="40" w:after="40"/>
              <w:rPr>
                <w:szCs w:val="20"/>
                <w:lang w:val="en-GB"/>
              </w:rPr>
            </w:pPr>
            <w:r>
              <w:rPr>
                <w:szCs w:val="20"/>
                <w:lang w:val="en-GB"/>
              </w:rPr>
              <w:t>Orthogonal Frequency Division Multiplex</w:t>
            </w:r>
            <w:r>
              <w:rPr>
                <w:szCs w:val="20"/>
                <w:lang w:val="en-GB"/>
              </w:rPr>
              <w:tab/>
            </w:r>
          </w:p>
        </w:tc>
      </w:tr>
      <w:tr w:rsidR="00C12AB8" w14:paraId="0A7D781D" w14:textId="77777777">
        <w:tc>
          <w:tcPr>
            <w:tcW w:w="2088" w:type="dxa"/>
          </w:tcPr>
          <w:p w14:paraId="0A7D781B" w14:textId="77777777" w:rsidR="00C12AB8" w:rsidRDefault="00155EB5">
            <w:pPr>
              <w:spacing w:before="40" w:after="40" w:line="288" w:lineRule="auto"/>
              <w:rPr>
                <w:b/>
                <w:szCs w:val="22"/>
                <w:lang w:val="en-GB"/>
              </w:rPr>
            </w:pPr>
            <w:r>
              <w:rPr>
                <w:b/>
                <w:szCs w:val="22"/>
                <w:lang w:val="en-GB"/>
              </w:rPr>
              <w:t>OOB</w:t>
            </w:r>
          </w:p>
        </w:tc>
        <w:tc>
          <w:tcPr>
            <w:tcW w:w="7767" w:type="dxa"/>
          </w:tcPr>
          <w:p w14:paraId="0A7D781C" w14:textId="77777777" w:rsidR="00C12AB8" w:rsidRDefault="00155EB5">
            <w:pPr>
              <w:spacing w:before="40" w:after="40" w:line="288" w:lineRule="auto"/>
              <w:rPr>
                <w:szCs w:val="20"/>
                <w:lang w:val="en-GB"/>
              </w:rPr>
            </w:pPr>
            <w:r>
              <w:rPr>
                <w:szCs w:val="20"/>
                <w:lang w:val="en-GB"/>
              </w:rPr>
              <w:t>Out-of-Band</w:t>
            </w:r>
          </w:p>
        </w:tc>
      </w:tr>
      <w:tr w:rsidR="00C12AB8" w14:paraId="0A7D7820" w14:textId="77777777">
        <w:tc>
          <w:tcPr>
            <w:tcW w:w="2088" w:type="dxa"/>
          </w:tcPr>
          <w:p w14:paraId="0A7D781E" w14:textId="77777777" w:rsidR="00C12AB8" w:rsidRDefault="00155EB5">
            <w:pPr>
              <w:spacing w:before="40" w:after="40" w:line="288" w:lineRule="auto"/>
              <w:rPr>
                <w:b/>
                <w:szCs w:val="22"/>
                <w:lang w:val="en-GB"/>
              </w:rPr>
            </w:pPr>
            <w:r>
              <w:rPr>
                <w:b/>
                <w:szCs w:val="22"/>
                <w:lang w:val="en-GB"/>
              </w:rPr>
              <w:t>PC5</w:t>
            </w:r>
          </w:p>
        </w:tc>
        <w:tc>
          <w:tcPr>
            <w:tcW w:w="7767" w:type="dxa"/>
          </w:tcPr>
          <w:p w14:paraId="0A7D781F" w14:textId="77777777" w:rsidR="00C12AB8" w:rsidRDefault="00155EB5">
            <w:pPr>
              <w:spacing w:before="40" w:after="40" w:line="288" w:lineRule="auto"/>
              <w:rPr>
                <w:szCs w:val="20"/>
                <w:lang w:val="en-GB"/>
              </w:rPr>
            </w:pPr>
            <w:r>
              <w:rPr>
                <w:szCs w:val="20"/>
                <w:lang w:val="en-GB"/>
              </w:rPr>
              <w:t>3GPP LTE-V2X PC5 (also known as LTE side-link)</w:t>
            </w:r>
          </w:p>
        </w:tc>
      </w:tr>
      <w:tr w:rsidR="00C12AB8" w14:paraId="0A7D7823" w14:textId="77777777">
        <w:tc>
          <w:tcPr>
            <w:tcW w:w="2088" w:type="dxa"/>
          </w:tcPr>
          <w:p w14:paraId="0A7D7821" w14:textId="77777777" w:rsidR="00C12AB8" w:rsidRDefault="00155EB5">
            <w:pPr>
              <w:spacing w:before="40" w:after="40" w:line="288" w:lineRule="auto"/>
              <w:rPr>
                <w:b/>
                <w:lang w:val="en-GB"/>
              </w:rPr>
            </w:pPr>
            <w:r>
              <w:rPr>
                <w:b/>
                <w:szCs w:val="22"/>
                <w:lang w:val="en-GB"/>
              </w:rPr>
              <w:t>RED</w:t>
            </w:r>
          </w:p>
        </w:tc>
        <w:tc>
          <w:tcPr>
            <w:tcW w:w="7767" w:type="dxa"/>
          </w:tcPr>
          <w:p w14:paraId="0A7D7822" w14:textId="77777777" w:rsidR="00C12AB8" w:rsidRDefault="00155EB5">
            <w:pPr>
              <w:spacing w:before="40" w:after="40"/>
              <w:rPr>
                <w:szCs w:val="20"/>
                <w:lang w:val="en-GB"/>
              </w:rPr>
            </w:pPr>
            <w:r>
              <w:rPr>
                <w:szCs w:val="20"/>
                <w:lang w:val="en-GB"/>
              </w:rPr>
              <w:t>Directive 2014/53/EU of the European Parliament and of the Council of 16 April 2014 on the harmonisation of the laws of the Member States relating to the making available on the market of radio equipment and repealing Directive 1999/5/EC</w:t>
            </w:r>
          </w:p>
        </w:tc>
      </w:tr>
      <w:tr w:rsidR="00C12AB8" w14:paraId="0A7D7826" w14:textId="77777777">
        <w:tc>
          <w:tcPr>
            <w:tcW w:w="2088" w:type="dxa"/>
          </w:tcPr>
          <w:p w14:paraId="0A7D7824" w14:textId="77777777" w:rsidR="00C12AB8" w:rsidRDefault="00155EB5">
            <w:pPr>
              <w:spacing w:before="40" w:after="40" w:line="288" w:lineRule="auto"/>
              <w:rPr>
                <w:b/>
                <w:szCs w:val="22"/>
                <w:lang w:val="en-GB"/>
              </w:rPr>
            </w:pPr>
            <w:r>
              <w:rPr>
                <w:b/>
                <w:szCs w:val="22"/>
                <w:lang w:val="en-GB"/>
              </w:rPr>
              <w:t>RLAN</w:t>
            </w:r>
          </w:p>
        </w:tc>
        <w:tc>
          <w:tcPr>
            <w:tcW w:w="7767" w:type="dxa"/>
          </w:tcPr>
          <w:p w14:paraId="0A7D7825" w14:textId="77777777" w:rsidR="00C12AB8" w:rsidRDefault="00155EB5">
            <w:pPr>
              <w:spacing w:before="40" w:after="40" w:line="288" w:lineRule="auto"/>
              <w:rPr>
                <w:szCs w:val="20"/>
                <w:lang w:val="en-GB"/>
              </w:rPr>
            </w:pPr>
            <w:r>
              <w:rPr>
                <w:szCs w:val="20"/>
                <w:lang w:val="en-GB"/>
              </w:rPr>
              <w:t>Radio Local Area Network</w:t>
            </w:r>
          </w:p>
        </w:tc>
      </w:tr>
      <w:tr w:rsidR="00C12AB8" w14:paraId="0A7D7829" w14:textId="77777777">
        <w:tc>
          <w:tcPr>
            <w:tcW w:w="2088" w:type="dxa"/>
          </w:tcPr>
          <w:p w14:paraId="0A7D7827" w14:textId="77777777" w:rsidR="00C12AB8" w:rsidRDefault="00155EB5">
            <w:pPr>
              <w:spacing w:before="40" w:after="40" w:line="288" w:lineRule="auto"/>
              <w:rPr>
                <w:b/>
                <w:szCs w:val="22"/>
                <w:lang w:val="en-GB"/>
              </w:rPr>
            </w:pPr>
            <w:r>
              <w:rPr>
                <w:b/>
                <w:szCs w:val="22"/>
                <w:lang w:val="en-GB"/>
              </w:rPr>
              <w:t>RSPG</w:t>
            </w:r>
          </w:p>
        </w:tc>
        <w:tc>
          <w:tcPr>
            <w:tcW w:w="7767" w:type="dxa"/>
          </w:tcPr>
          <w:p w14:paraId="0A7D7828" w14:textId="77777777" w:rsidR="00C12AB8" w:rsidRDefault="00155EB5">
            <w:pPr>
              <w:spacing w:before="40" w:after="40" w:line="288" w:lineRule="auto"/>
              <w:rPr>
                <w:szCs w:val="20"/>
                <w:lang w:val="en-GB"/>
              </w:rPr>
            </w:pPr>
            <w:r>
              <w:rPr>
                <w:szCs w:val="20"/>
                <w:lang w:val="en-GB"/>
              </w:rPr>
              <w:t>Radio Spectrum Policy Group</w:t>
            </w:r>
          </w:p>
        </w:tc>
      </w:tr>
      <w:tr w:rsidR="00C12AB8" w14:paraId="0A7D782C" w14:textId="77777777">
        <w:tc>
          <w:tcPr>
            <w:tcW w:w="2088" w:type="dxa"/>
          </w:tcPr>
          <w:p w14:paraId="0A7D782A" w14:textId="77777777" w:rsidR="00C12AB8" w:rsidRDefault="00155EB5">
            <w:pPr>
              <w:spacing w:before="40" w:after="40" w:line="288" w:lineRule="auto"/>
              <w:rPr>
                <w:b/>
                <w:szCs w:val="22"/>
                <w:lang w:val="en-GB"/>
              </w:rPr>
            </w:pPr>
            <w:r>
              <w:rPr>
                <w:b/>
                <w:szCs w:val="22"/>
                <w:lang w:val="en-GB"/>
              </w:rPr>
              <w:t>RSU</w:t>
            </w:r>
          </w:p>
        </w:tc>
        <w:tc>
          <w:tcPr>
            <w:tcW w:w="7767" w:type="dxa"/>
          </w:tcPr>
          <w:p w14:paraId="0A7D782B" w14:textId="77777777" w:rsidR="00C12AB8" w:rsidRDefault="00155EB5">
            <w:pPr>
              <w:spacing w:before="40" w:after="40" w:line="288" w:lineRule="auto"/>
              <w:rPr>
                <w:szCs w:val="20"/>
                <w:lang w:val="en-GB"/>
              </w:rPr>
            </w:pPr>
            <w:r>
              <w:rPr>
                <w:szCs w:val="20"/>
                <w:lang w:val="en-GB"/>
              </w:rPr>
              <w:t>Roadside Unit</w:t>
            </w:r>
          </w:p>
        </w:tc>
      </w:tr>
      <w:tr w:rsidR="00C12AB8" w14:paraId="0A7D782F" w14:textId="77777777">
        <w:tc>
          <w:tcPr>
            <w:tcW w:w="2088" w:type="dxa"/>
          </w:tcPr>
          <w:p w14:paraId="0A7D782D" w14:textId="77777777" w:rsidR="00C12AB8" w:rsidRDefault="00155EB5">
            <w:pPr>
              <w:spacing w:before="40" w:after="40" w:line="288" w:lineRule="auto"/>
              <w:rPr>
                <w:b/>
                <w:szCs w:val="22"/>
                <w:lang w:val="en-GB"/>
              </w:rPr>
            </w:pPr>
            <w:r>
              <w:rPr>
                <w:b/>
                <w:szCs w:val="22"/>
                <w:lang w:val="en-GB"/>
              </w:rPr>
              <w:t>RTTT</w:t>
            </w:r>
          </w:p>
        </w:tc>
        <w:tc>
          <w:tcPr>
            <w:tcW w:w="7767" w:type="dxa"/>
          </w:tcPr>
          <w:p w14:paraId="0A7D782E" w14:textId="77777777" w:rsidR="00C12AB8" w:rsidRDefault="00155EB5">
            <w:pPr>
              <w:spacing w:before="40" w:after="40" w:line="288" w:lineRule="auto"/>
              <w:rPr>
                <w:szCs w:val="20"/>
                <w:lang w:val="en-GB"/>
              </w:rPr>
            </w:pPr>
            <w:r>
              <w:rPr>
                <w:szCs w:val="20"/>
                <w:lang w:val="en-GB"/>
              </w:rPr>
              <w:t>Transport and traffic telematics systems for the dedicated use in road environments</w:t>
            </w:r>
          </w:p>
        </w:tc>
      </w:tr>
      <w:tr w:rsidR="00C12AB8" w14:paraId="0A7D7832" w14:textId="77777777">
        <w:tc>
          <w:tcPr>
            <w:tcW w:w="2088" w:type="dxa"/>
          </w:tcPr>
          <w:p w14:paraId="0A7D7830" w14:textId="77777777" w:rsidR="00C12AB8" w:rsidRDefault="00155EB5">
            <w:pPr>
              <w:spacing w:before="40" w:after="40" w:line="288" w:lineRule="auto"/>
              <w:rPr>
                <w:b/>
                <w:lang w:val="en-GB"/>
              </w:rPr>
            </w:pPr>
            <w:r>
              <w:rPr>
                <w:b/>
                <w:lang w:val="en-GB"/>
              </w:rPr>
              <w:t>SRD</w:t>
            </w:r>
          </w:p>
        </w:tc>
        <w:tc>
          <w:tcPr>
            <w:tcW w:w="7767" w:type="dxa"/>
          </w:tcPr>
          <w:p w14:paraId="0A7D7831" w14:textId="77777777" w:rsidR="00C12AB8" w:rsidRDefault="00155EB5">
            <w:pPr>
              <w:spacing w:before="40" w:after="40" w:line="288" w:lineRule="auto"/>
              <w:rPr>
                <w:szCs w:val="20"/>
                <w:lang w:val="en-GB"/>
              </w:rPr>
            </w:pPr>
            <w:r>
              <w:rPr>
                <w:szCs w:val="20"/>
                <w:lang w:val="en-GB"/>
              </w:rPr>
              <w:t>Short Range Device</w:t>
            </w:r>
          </w:p>
        </w:tc>
      </w:tr>
      <w:tr w:rsidR="00C12AB8" w14:paraId="0A7D7835" w14:textId="77777777">
        <w:tc>
          <w:tcPr>
            <w:tcW w:w="2088" w:type="dxa"/>
          </w:tcPr>
          <w:p w14:paraId="0A7D7833" w14:textId="77777777" w:rsidR="00C12AB8" w:rsidRDefault="00155EB5">
            <w:pPr>
              <w:spacing w:before="40" w:after="40" w:line="288" w:lineRule="auto"/>
              <w:rPr>
                <w:b/>
                <w:szCs w:val="22"/>
                <w:lang w:val="en-GB"/>
              </w:rPr>
            </w:pPr>
            <w:r>
              <w:rPr>
                <w:b/>
                <w:szCs w:val="22"/>
                <w:lang w:val="en-GB"/>
              </w:rPr>
              <w:t>TD-LTE</w:t>
            </w:r>
          </w:p>
        </w:tc>
        <w:tc>
          <w:tcPr>
            <w:tcW w:w="7767" w:type="dxa"/>
          </w:tcPr>
          <w:p w14:paraId="0A7D7834" w14:textId="77777777" w:rsidR="00C12AB8" w:rsidRDefault="00155EB5">
            <w:pPr>
              <w:spacing w:before="40" w:after="40" w:line="288" w:lineRule="auto"/>
              <w:rPr>
                <w:szCs w:val="20"/>
                <w:lang w:val="en-GB"/>
              </w:rPr>
            </w:pPr>
            <w:r>
              <w:rPr>
                <w:szCs w:val="20"/>
                <w:lang w:val="en-GB"/>
              </w:rPr>
              <w:t xml:space="preserve">Time Division- LTE </w:t>
            </w:r>
          </w:p>
        </w:tc>
      </w:tr>
      <w:tr w:rsidR="00C12AB8" w14:paraId="0A7D7838" w14:textId="77777777">
        <w:tc>
          <w:tcPr>
            <w:tcW w:w="2088" w:type="dxa"/>
          </w:tcPr>
          <w:p w14:paraId="0A7D7836" w14:textId="77777777" w:rsidR="00C12AB8" w:rsidRDefault="00155EB5">
            <w:pPr>
              <w:spacing w:before="40" w:after="40" w:line="288" w:lineRule="auto"/>
              <w:rPr>
                <w:b/>
                <w:szCs w:val="22"/>
                <w:lang w:val="en-GB"/>
              </w:rPr>
            </w:pPr>
            <w:r>
              <w:rPr>
                <w:b/>
                <w:szCs w:val="22"/>
                <w:lang w:val="en-GB"/>
              </w:rPr>
              <w:t>TPC</w:t>
            </w:r>
          </w:p>
        </w:tc>
        <w:tc>
          <w:tcPr>
            <w:tcW w:w="7767" w:type="dxa"/>
          </w:tcPr>
          <w:p w14:paraId="0A7D7837" w14:textId="77777777" w:rsidR="00C12AB8" w:rsidRDefault="00155EB5">
            <w:pPr>
              <w:spacing w:before="40" w:after="40" w:line="288" w:lineRule="auto"/>
              <w:rPr>
                <w:szCs w:val="20"/>
                <w:lang w:val="en-GB"/>
              </w:rPr>
            </w:pPr>
            <w:r>
              <w:rPr>
                <w:szCs w:val="20"/>
                <w:lang w:val="en-GB"/>
              </w:rPr>
              <w:t>Transmit Power Control</w:t>
            </w:r>
          </w:p>
        </w:tc>
      </w:tr>
      <w:tr w:rsidR="00C12AB8" w14:paraId="0A7D783B" w14:textId="77777777">
        <w:tc>
          <w:tcPr>
            <w:tcW w:w="2088" w:type="dxa"/>
          </w:tcPr>
          <w:p w14:paraId="0A7D7839" w14:textId="77777777" w:rsidR="00C12AB8" w:rsidRDefault="00155EB5">
            <w:pPr>
              <w:spacing w:before="40" w:after="40" w:line="288" w:lineRule="auto"/>
              <w:rPr>
                <w:b/>
                <w:lang w:val="en-GB"/>
              </w:rPr>
            </w:pPr>
            <w:r>
              <w:rPr>
                <w:b/>
                <w:lang w:val="en-GB"/>
              </w:rPr>
              <w:t>TTA</w:t>
            </w:r>
          </w:p>
        </w:tc>
        <w:tc>
          <w:tcPr>
            <w:tcW w:w="7767" w:type="dxa"/>
          </w:tcPr>
          <w:p w14:paraId="0A7D783A" w14:textId="77777777" w:rsidR="00C12AB8" w:rsidRDefault="00155EB5">
            <w:pPr>
              <w:spacing w:before="40" w:after="40" w:line="288" w:lineRule="auto"/>
              <w:rPr>
                <w:szCs w:val="20"/>
                <w:lang w:val="en-GB"/>
              </w:rPr>
            </w:pPr>
            <w:r>
              <w:rPr>
                <w:szCs w:val="20"/>
                <w:lang w:val="en-GB"/>
              </w:rPr>
              <w:t>Telecommunications Technology Association (Korea)</w:t>
            </w:r>
          </w:p>
        </w:tc>
      </w:tr>
      <w:tr w:rsidR="00C12AB8" w14:paraId="0A7D783E" w14:textId="77777777">
        <w:tc>
          <w:tcPr>
            <w:tcW w:w="2088" w:type="dxa"/>
          </w:tcPr>
          <w:p w14:paraId="0A7D783C" w14:textId="77777777" w:rsidR="00C12AB8" w:rsidRDefault="00155EB5">
            <w:pPr>
              <w:spacing w:before="40" w:after="40" w:line="288" w:lineRule="auto"/>
              <w:rPr>
                <w:b/>
                <w:szCs w:val="22"/>
                <w:lang w:val="en-GB"/>
              </w:rPr>
            </w:pPr>
            <w:r>
              <w:rPr>
                <w:b/>
                <w:szCs w:val="22"/>
                <w:lang w:val="en-GB"/>
              </w:rPr>
              <w:t>TTT</w:t>
            </w:r>
          </w:p>
        </w:tc>
        <w:tc>
          <w:tcPr>
            <w:tcW w:w="7767" w:type="dxa"/>
          </w:tcPr>
          <w:p w14:paraId="0A7D783D" w14:textId="77777777" w:rsidR="00C12AB8" w:rsidRDefault="00155EB5">
            <w:pPr>
              <w:spacing w:before="40" w:after="40" w:line="288" w:lineRule="auto"/>
              <w:rPr>
                <w:szCs w:val="20"/>
                <w:lang w:val="en-GB"/>
              </w:rPr>
            </w:pPr>
            <w:r>
              <w:rPr>
                <w:szCs w:val="20"/>
                <w:lang w:val="en-GB"/>
              </w:rPr>
              <w:t>Transport and traffic telematics</w:t>
            </w:r>
          </w:p>
        </w:tc>
      </w:tr>
      <w:tr w:rsidR="00C12AB8" w14:paraId="0A7D7841" w14:textId="77777777">
        <w:tc>
          <w:tcPr>
            <w:tcW w:w="2088" w:type="dxa"/>
          </w:tcPr>
          <w:p w14:paraId="0A7D783F" w14:textId="77777777" w:rsidR="00C12AB8" w:rsidRDefault="00155EB5">
            <w:pPr>
              <w:spacing w:before="40" w:after="40" w:line="288" w:lineRule="auto"/>
              <w:rPr>
                <w:b/>
                <w:szCs w:val="22"/>
                <w:lang w:val="en-GB"/>
              </w:rPr>
            </w:pPr>
            <w:r>
              <w:rPr>
                <w:b/>
                <w:szCs w:val="22"/>
                <w:lang w:val="en-GB"/>
              </w:rPr>
              <w:t>UAS</w:t>
            </w:r>
          </w:p>
        </w:tc>
        <w:tc>
          <w:tcPr>
            <w:tcW w:w="7767" w:type="dxa"/>
          </w:tcPr>
          <w:p w14:paraId="0A7D7840" w14:textId="77777777" w:rsidR="00C12AB8" w:rsidRDefault="00155EB5">
            <w:pPr>
              <w:spacing w:before="40" w:after="40" w:line="288" w:lineRule="auto"/>
              <w:rPr>
                <w:szCs w:val="20"/>
                <w:lang w:val="en-GB"/>
              </w:rPr>
            </w:pPr>
            <w:r>
              <w:rPr>
                <w:lang w:val="en-GB"/>
              </w:rPr>
              <w:t>Unmanned Aircraft Systems</w:t>
            </w:r>
          </w:p>
        </w:tc>
      </w:tr>
      <w:tr w:rsidR="00C12AB8" w14:paraId="0A7D7844" w14:textId="77777777">
        <w:tc>
          <w:tcPr>
            <w:tcW w:w="2088" w:type="dxa"/>
          </w:tcPr>
          <w:p w14:paraId="0A7D7842" w14:textId="77777777" w:rsidR="00C12AB8" w:rsidRDefault="00155EB5">
            <w:pPr>
              <w:spacing w:before="40" w:after="40" w:line="288" w:lineRule="auto"/>
              <w:rPr>
                <w:b/>
                <w:szCs w:val="22"/>
                <w:lang w:val="en-GB"/>
              </w:rPr>
            </w:pPr>
            <w:r>
              <w:rPr>
                <w:b/>
                <w:szCs w:val="22"/>
                <w:lang w:val="en-GB"/>
              </w:rPr>
              <w:t>UGTMS</w:t>
            </w:r>
          </w:p>
        </w:tc>
        <w:tc>
          <w:tcPr>
            <w:tcW w:w="7767" w:type="dxa"/>
          </w:tcPr>
          <w:p w14:paraId="0A7D7843" w14:textId="77777777" w:rsidR="00C12AB8" w:rsidRDefault="00155EB5">
            <w:pPr>
              <w:spacing w:before="40" w:after="40" w:line="288" w:lineRule="auto"/>
              <w:rPr>
                <w:szCs w:val="20"/>
                <w:lang w:val="en-GB"/>
              </w:rPr>
            </w:pPr>
            <w:r>
              <w:rPr>
                <w:szCs w:val="20"/>
                <w:lang w:val="en-GB"/>
              </w:rPr>
              <w:t>Urban Guided Transport Management and Control/Command Systems</w:t>
            </w:r>
          </w:p>
        </w:tc>
      </w:tr>
      <w:tr w:rsidR="00C12AB8" w14:paraId="0A7D7847" w14:textId="77777777">
        <w:tc>
          <w:tcPr>
            <w:tcW w:w="2088" w:type="dxa"/>
          </w:tcPr>
          <w:p w14:paraId="0A7D7845" w14:textId="77777777" w:rsidR="00C12AB8" w:rsidRDefault="00155EB5">
            <w:pPr>
              <w:spacing w:before="40" w:after="40" w:line="288" w:lineRule="auto"/>
              <w:rPr>
                <w:b/>
                <w:szCs w:val="22"/>
                <w:lang w:val="en-GB"/>
              </w:rPr>
            </w:pPr>
            <w:r>
              <w:rPr>
                <w:b/>
                <w:szCs w:val="22"/>
                <w:lang w:val="en-GB"/>
              </w:rPr>
              <w:t>UNIFE</w:t>
            </w:r>
          </w:p>
        </w:tc>
        <w:tc>
          <w:tcPr>
            <w:tcW w:w="7767" w:type="dxa"/>
          </w:tcPr>
          <w:p w14:paraId="0A7D7846" w14:textId="77777777" w:rsidR="00C12AB8" w:rsidRDefault="00155EB5">
            <w:pPr>
              <w:spacing w:before="40" w:after="40" w:line="288" w:lineRule="auto"/>
              <w:rPr>
                <w:szCs w:val="20"/>
                <w:lang w:val="en-GB"/>
              </w:rPr>
            </w:pPr>
            <w:r>
              <w:rPr>
                <w:szCs w:val="20"/>
                <w:lang w:val="en-GB"/>
              </w:rPr>
              <w:t>Union of European Railways Industries</w:t>
            </w:r>
          </w:p>
        </w:tc>
      </w:tr>
      <w:tr w:rsidR="00C12AB8" w14:paraId="0A7D784A" w14:textId="77777777">
        <w:tc>
          <w:tcPr>
            <w:tcW w:w="2088" w:type="dxa"/>
          </w:tcPr>
          <w:p w14:paraId="0A7D7848" w14:textId="77777777" w:rsidR="00C12AB8" w:rsidRDefault="00155EB5">
            <w:pPr>
              <w:spacing w:before="40" w:after="40" w:line="288" w:lineRule="auto"/>
              <w:rPr>
                <w:b/>
                <w:szCs w:val="22"/>
                <w:lang w:val="en-GB"/>
              </w:rPr>
            </w:pPr>
            <w:r>
              <w:rPr>
                <w:b/>
                <w:szCs w:val="22"/>
                <w:lang w:val="en-GB"/>
              </w:rPr>
              <w:t>V2I</w:t>
            </w:r>
          </w:p>
        </w:tc>
        <w:tc>
          <w:tcPr>
            <w:tcW w:w="7767" w:type="dxa"/>
          </w:tcPr>
          <w:p w14:paraId="0A7D7849" w14:textId="77777777" w:rsidR="00C12AB8" w:rsidRDefault="00155EB5">
            <w:pPr>
              <w:spacing w:before="40" w:after="40" w:line="288" w:lineRule="auto"/>
              <w:rPr>
                <w:szCs w:val="20"/>
                <w:lang w:val="en-GB"/>
              </w:rPr>
            </w:pPr>
            <w:r>
              <w:rPr>
                <w:szCs w:val="20"/>
                <w:lang w:val="en-GB"/>
              </w:rPr>
              <w:t>Vehicle to Infrastructure (V2I)</w:t>
            </w:r>
          </w:p>
        </w:tc>
      </w:tr>
      <w:tr w:rsidR="00C12AB8" w14:paraId="0A7D784D" w14:textId="77777777">
        <w:tc>
          <w:tcPr>
            <w:tcW w:w="2088" w:type="dxa"/>
          </w:tcPr>
          <w:p w14:paraId="0A7D784B" w14:textId="77777777" w:rsidR="00C12AB8" w:rsidRDefault="00155EB5">
            <w:pPr>
              <w:spacing w:before="40" w:after="40" w:line="288" w:lineRule="auto"/>
              <w:rPr>
                <w:b/>
                <w:szCs w:val="22"/>
                <w:lang w:val="en-GB"/>
              </w:rPr>
            </w:pPr>
            <w:r>
              <w:rPr>
                <w:b/>
                <w:szCs w:val="22"/>
                <w:lang w:val="en-GB"/>
              </w:rPr>
              <w:t>V2V</w:t>
            </w:r>
          </w:p>
        </w:tc>
        <w:tc>
          <w:tcPr>
            <w:tcW w:w="7767" w:type="dxa"/>
          </w:tcPr>
          <w:p w14:paraId="0A7D784C" w14:textId="77777777" w:rsidR="00C12AB8" w:rsidRDefault="00155EB5">
            <w:pPr>
              <w:spacing w:before="40" w:after="40" w:line="288" w:lineRule="auto"/>
              <w:rPr>
                <w:szCs w:val="20"/>
                <w:lang w:val="en-GB"/>
              </w:rPr>
            </w:pPr>
            <w:r>
              <w:rPr>
                <w:szCs w:val="20"/>
                <w:lang w:val="en-GB"/>
              </w:rPr>
              <w:t>Vehicle to Vehicle (V2V),</w:t>
            </w:r>
          </w:p>
        </w:tc>
      </w:tr>
      <w:tr w:rsidR="00C12AB8" w14:paraId="0A7D7850" w14:textId="77777777">
        <w:tc>
          <w:tcPr>
            <w:tcW w:w="2088" w:type="dxa"/>
          </w:tcPr>
          <w:p w14:paraId="0A7D784E" w14:textId="77777777" w:rsidR="00C12AB8" w:rsidRDefault="00155EB5">
            <w:pPr>
              <w:spacing w:before="40" w:after="40" w:line="288" w:lineRule="auto"/>
              <w:rPr>
                <w:b/>
                <w:szCs w:val="22"/>
                <w:lang w:val="en-GB"/>
              </w:rPr>
            </w:pPr>
            <w:r>
              <w:rPr>
                <w:b/>
                <w:szCs w:val="22"/>
                <w:lang w:val="en-GB"/>
              </w:rPr>
              <w:t>V2X</w:t>
            </w:r>
          </w:p>
        </w:tc>
        <w:tc>
          <w:tcPr>
            <w:tcW w:w="7767" w:type="dxa"/>
          </w:tcPr>
          <w:p w14:paraId="0A7D784F" w14:textId="77777777" w:rsidR="00C12AB8" w:rsidRDefault="00155EB5">
            <w:pPr>
              <w:spacing w:before="40" w:after="40" w:line="288" w:lineRule="auto"/>
              <w:rPr>
                <w:szCs w:val="20"/>
                <w:lang w:val="en-GB"/>
              </w:rPr>
            </w:pPr>
            <w:r>
              <w:rPr>
                <w:szCs w:val="20"/>
                <w:lang w:val="en-GB"/>
              </w:rPr>
              <w:t>either vehicle to vehicle (V2V), or vehicle to infrastructure (V2I) and/or infrastructure to vehicle (I2V)</w:t>
            </w:r>
          </w:p>
        </w:tc>
      </w:tr>
      <w:tr w:rsidR="00C12AB8" w14:paraId="0A7D7853" w14:textId="77777777">
        <w:tc>
          <w:tcPr>
            <w:tcW w:w="2088" w:type="dxa"/>
          </w:tcPr>
          <w:p w14:paraId="0A7D7851" w14:textId="77777777" w:rsidR="00C12AB8" w:rsidRDefault="00155EB5">
            <w:pPr>
              <w:spacing w:before="40" w:after="40" w:line="288" w:lineRule="auto"/>
              <w:rPr>
                <w:b/>
                <w:szCs w:val="22"/>
                <w:lang w:val="en-GB"/>
              </w:rPr>
            </w:pPr>
            <w:r>
              <w:rPr>
                <w:b/>
                <w:szCs w:val="22"/>
                <w:lang w:val="en-GB"/>
              </w:rPr>
              <w:t>WRC</w:t>
            </w:r>
          </w:p>
        </w:tc>
        <w:tc>
          <w:tcPr>
            <w:tcW w:w="7767" w:type="dxa"/>
          </w:tcPr>
          <w:p w14:paraId="0A7D7852" w14:textId="77777777" w:rsidR="00C12AB8" w:rsidRDefault="00155EB5">
            <w:pPr>
              <w:spacing w:before="40" w:after="40" w:line="288" w:lineRule="auto"/>
              <w:rPr>
                <w:szCs w:val="20"/>
                <w:lang w:val="en-GB"/>
              </w:rPr>
            </w:pPr>
            <w:r>
              <w:rPr>
                <w:szCs w:val="20"/>
                <w:lang w:val="en-GB"/>
              </w:rPr>
              <w:t xml:space="preserve">World Radiocommunications Conference </w:t>
            </w:r>
          </w:p>
        </w:tc>
      </w:tr>
    </w:tbl>
    <w:p w14:paraId="0A7D7854" w14:textId="77777777" w:rsidR="00C12AB8" w:rsidRDefault="00155EB5">
      <w:pPr>
        <w:pStyle w:val="Heading1"/>
      </w:pPr>
      <w:bookmarkStart w:id="5" w:name="_Toc856019"/>
      <w:r>
        <w:lastRenderedPageBreak/>
        <w:t>Introduction</w:t>
      </w:r>
      <w:bookmarkEnd w:id="5"/>
    </w:p>
    <w:p w14:paraId="0A7D7855" w14:textId="5FB9D45B" w:rsidR="00C12AB8" w:rsidRDefault="00155EB5" w:rsidP="00306CBE">
      <w:pPr>
        <w:pStyle w:val="ECCParagraph"/>
        <w:spacing w:line="240" w:lineRule="auto"/>
      </w:pPr>
      <w:r>
        <w:t xml:space="preserve">This Report describes the possibilities for the extension of the Intelligent Transport Systems (ITS) safety-related band at 5.9 GHz. It has been developed in the 2017-2019 timeframe by the European Conference of Postal and Telecommunications Administrations (CEPT) in response to the mandate </w:t>
      </w:r>
      <w:r w:rsidR="00C45FDE">
        <w:t>from the European Commission</w:t>
      </w:r>
      <w:r>
        <w:t xml:space="preserve"> to study the extension of the Intelligent Transport Systems (ITS) safety-related band at 5.9 GHz.</w:t>
      </w:r>
    </w:p>
    <w:p w14:paraId="0A7D7856" w14:textId="77777777" w:rsidR="00C12AB8" w:rsidRDefault="00155EB5" w:rsidP="00306CBE">
      <w:pPr>
        <w:pStyle w:val="ECCParagraph"/>
        <w:spacing w:line="240" w:lineRule="auto"/>
      </w:pPr>
      <w:r>
        <w:t>Pursuant to Article 4 of the Radio Spectrum Decision 676/2002/EC, the Commission may issue mandates to the CEPT for the development of technical implementing measures with a view to ensuring harmonised conditions for the availability and efficient use of radio spectrum; such mandates shall set the task to be performed and the timetable thereof.</w:t>
      </w:r>
    </w:p>
    <w:p w14:paraId="0A7D7858" w14:textId="5B509BDD" w:rsidR="00C12AB8" w:rsidRDefault="00155EB5" w:rsidP="00306CBE">
      <w:pPr>
        <w:pStyle w:val="ECCParagraph"/>
        <w:spacing w:line="240" w:lineRule="auto"/>
      </w:pPr>
      <w:r>
        <w:t>In its Opinion on Intelligent Transport Systems, the RSPG considers that "</w:t>
      </w:r>
      <w:r>
        <w:rPr>
          <w:i/>
        </w:rPr>
        <w:t xml:space="preserve">There is no evidence that spectrum availability is currently a constraint on the development of </w:t>
      </w:r>
      <w:proofErr w:type="gramStart"/>
      <w:r>
        <w:rPr>
          <w:i/>
        </w:rPr>
        <w:t>ITS</w:t>
      </w:r>
      <w:proofErr w:type="gramEnd"/>
      <w:r>
        <w:rPr>
          <w:i/>
        </w:rPr>
        <w:t>, and there is no immediate need to take regulatory action in this regard.</w:t>
      </w:r>
      <w:r>
        <w:t xml:space="preserve">” However, given the momentum of policy and standardisation development for ITS, RSPG recommends “that the options for </w:t>
      </w:r>
      <w:proofErr w:type="gramStart"/>
      <w:r>
        <w:t>ITS</w:t>
      </w:r>
      <w:proofErr w:type="gramEnd"/>
      <w:r>
        <w:t xml:space="preserve"> to expand to share spectrum for safety-related ITS in the 20 MHz above the existing designation and, for non-safety ITS, in the 20 MHz below, should be kept available for the time being".</w:t>
      </w:r>
    </w:p>
    <w:p w14:paraId="0A7D7859" w14:textId="77777777" w:rsidR="00C12AB8" w:rsidRDefault="00155EB5" w:rsidP="00306CBE">
      <w:pPr>
        <w:pStyle w:val="ECCParagraph"/>
        <w:spacing w:line="240" w:lineRule="auto"/>
      </w:pPr>
      <w:r>
        <w:t>So far no need has been identified for the exchange of data and for sharing of information and knowledge between Road ITS and Urban Rail ITS (such as CBTC) communications.</w:t>
      </w:r>
    </w:p>
    <w:p w14:paraId="0A7D785A" w14:textId="77777777" w:rsidR="00681E10" w:rsidRDefault="00681E10" w:rsidP="00306CBE">
      <w:pPr>
        <w:pStyle w:val="ECCParagraph"/>
        <w:spacing w:line="240" w:lineRule="auto"/>
        <w:rPr>
          <w:lang w:val="en-US"/>
        </w:rPr>
      </w:pPr>
      <w:r w:rsidRPr="00681E10">
        <w:rPr>
          <w:lang w:val="en-US"/>
        </w:rPr>
        <w:t>Road ITS does not exclude any kind of ground-based transportation systems, e.g. cars, trucks, bicycles, motor bicycles,  tramways, pedestrians, constructions equipment, agricultural equipment, etc.</w:t>
      </w:r>
    </w:p>
    <w:p w14:paraId="0A7D785B" w14:textId="496EC301" w:rsidR="004043E6" w:rsidRPr="006E05AA" w:rsidRDefault="002C3062" w:rsidP="004043E6">
      <w:pPr>
        <w:pStyle w:val="ECCParagraph"/>
      </w:pPr>
      <w:r w:rsidRPr="002C3062">
        <w:rPr>
          <w:lang w:val="en-US"/>
        </w:rPr>
        <w:t>With regard to Road ITS, t</w:t>
      </w:r>
      <w:r w:rsidR="00155EB5">
        <w:t xml:space="preserve">he situation outside of Europe is also diverse. </w:t>
      </w:r>
      <w:r>
        <w:t xml:space="preserve">A </w:t>
      </w:r>
      <w:r w:rsidR="00155EB5">
        <w:t xml:space="preserve">number of countries outside of Europe have issued standards referring to IEEE 802.11 </w:t>
      </w:r>
      <w:r w:rsidR="00155EB5">
        <w:fldChar w:fldCharType="begin"/>
      </w:r>
      <w:r w:rsidR="00155EB5">
        <w:instrText xml:space="preserve"> REF _Ref525115546 \r \h </w:instrText>
      </w:r>
      <w:r w:rsidR="00155EB5">
        <w:fldChar w:fldCharType="separate"/>
      </w:r>
      <w:r w:rsidR="00BB544A">
        <w:t>[8]</w:t>
      </w:r>
      <w:r w:rsidR="00155EB5">
        <w:fldChar w:fldCharType="end"/>
      </w:r>
      <w:r>
        <w:t>:</w:t>
      </w:r>
      <w:r w:rsidR="00155EB5">
        <w:t xml:space="preserve"> e.g. Canada in RSS-252</w:t>
      </w:r>
      <w:r w:rsidRPr="002C3062">
        <w:rPr>
          <w:lang w:val="en-US"/>
        </w:rPr>
        <w:t xml:space="preserve"> for ITS in 5850-5925 MHz </w:t>
      </w:r>
      <w:r w:rsidR="00155EB5">
        <w:fldChar w:fldCharType="begin"/>
      </w:r>
      <w:r w:rsidR="00155EB5">
        <w:instrText xml:space="preserve"> REF _Ref522094865 \r \h </w:instrText>
      </w:r>
      <w:r w:rsidR="00155EB5">
        <w:fldChar w:fldCharType="separate"/>
      </w:r>
      <w:r w:rsidR="00BB544A">
        <w:t>[4]</w:t>
      </w:r>
      <w:r w:rsidR="00155EB5">
        <w:fldChar w:fldCharType="end"/>
      </w:r>
      <w:r w:rsidR="00155EB5">
        <w:t xml:space="preserve">, </w:t>
      </w:r>
      <w:r>
        <w:t xml:space="preserve">Japan in </w:t>
      </w:r>
      <w:r w:rsidR="00155EB5">
        <w:t xml:space="preserve">the ARIB standard for ITS in </w:t>
      </w:r>
      <w:r w:rsidRPr="002C3062">
        <w:rPr>
          <w:lang w:val="en-US"/>
        </w:rPr>
        <w:t>755.5-764.5 MHz for V2V and V2I</w:t>
      </w:r>
      <w:r w:rsidR="00155EB5">
        <w:t xml:space="preserve"> </w:t>
      </w:r>
      <w:r w:rsidR="00155EB5">
        <w:fldChar w:fldCharType="begin"/>
      </w:r>
      <w:r w:rsidR="00155EB5">
        <w:instrText xml:space="preserve"> REF _Ref522095007 \r \h </w:instrText>
      </w:r>
      <w:r w:rsidR="00155EB5">
        <w:fldChar w:fldCharType="separate"/>
      </w:r>
      <w:r w:rsidR="00BB544A">
        <w:t>[5]</w:t>
      </w:r>
      <w:r w:rsidR="00155EB5">
        <w:fldChar w:fldCharType="end"/>
      </w:r>
      <w:r w:rsidR="00155EB5">
        <w:t xml:space="preserve"> </w:t>
      </w:r>
      <w:r w:rsidR="0017604A" w:rsidRPr="0017604A">
        <w:rPr>
          <w:lang w:val="en-US"/>
        </w:rPr>
        <w:t xml:space="preserve">and in 5770-5850 MHz for V2I </w:t>
      </w:r>
      <w:r w:rsidR="004671D5">
        <w:rPr>
          <w:lang w:val="en-US"/>
        </w:rPr>
        <w:fldChar w:fldCharType="begin"/>
      </w:r>
      <w:r w:rsidR="004671D5">
        <w:rPr>
          <w:lang w:val="en-US"/>
        </w:rPr>
        <w:instrText xml:space="preserve"> REF _Ref200185 \r \h </w:instrText>
      </w:r>
      <w:r w:rsidR="004671D5">
        <w:rPr>
          <w:lang w:val="en-US"/>
        </w:rPr>
      </w:r>
      <w:r w:rsidR="004671D5">
        <w:rPr>
          <w:lang w:val="en-US"/>
        </w:rPr>
        <w:fldChar w:fldCharType="separate"/>
      </w:r>
      <w:r w:rsidR="005759B6">
        <w:rPr>
          <w:lang w:val="en-US"/>
        </w:rPr>
        <w:t>[48]</w:t>
      </w:r>
      <w:r w:rsidR="004671D5">
        <w:rPr>
          <w:lang w:val="en-US"/>
        </w:rPr>
        <w:fldChar w:fldCharType="end"/>
      </w:r>
      <w:r w:rsidR="0017604A" w:rsidRPr="0017604A">
        <w:rPr>
          <w:lang w:val="en-US"/>
        </w:rPr>
        <w:t xml:space="preserve">; South Korea in </w:t>
      </w:r>
      <w:r w:rsidR="00155EB5">
        <w:t xml:space="preserve"> the TTA standard </w:t>
      </w:r>
      <w:r w:rsidR="0017604A">
        <w:t xml:space="preserve">for Vehicle Communications Systems </w:t>
      </w:r>
      <w:r w:rsidR="00155EB5">
        <w:t xml:space="preserve">in </w:t>
      </w:r>
      <w:r w:rsidR="0017604A">
        <w:t>5850-5925 MHz</w:t>
      </w:r>
      <w:r w:rsidR="00155EB5">
        <w:t xml:space="preserve"> </w:t>
      </w:r>
      <w:r w:rsidR="00155EB5">
        <w:fldChar w:fldCharType="begin"/>
      </w:r>
      <w:r w:rsidR="00155EB5">
        <w:instrText xml:space="preserve"> REF _Ref522095456 \r \h </w:instrText>
      </w:r>
      <w:r w:rsidR="00155EB5">
        <w:fldChar w:fldCharType="separate"/>
      </w:r>
      <w:r w:rsidR="00BB544A">
        <w:t>[6]</w:t>
      </w:r>
      <w:r w:rsidR="00155EB5">
        <w:fldChar w:fldCharType="end"/>
      </w:r>
      <w:r w:rsidR="0017604A">
        <w:t>:</w:t>
      </w:r>
      <w:r w:rsidR="00155EB5">
        <w:t xml:space="preserve"> Singapore</w:t>
      </w:r>
      <w:r w:rsidR="0017604A" w:rsidRPr="0017604A">
        <w:rPr>
          <w:lang w:val="en-US"/>
        </w:rPr>
        <w:t xml:space="preserve"> for ITS in 5875-5925 MHz</w:t>
      </w:r>
      <w:r w:rsidR="00155EB5">
        <w:t xml:space="preserve"> </w:t>
      </w:r>
      <w:r w:rsidR="00155EB5">
        <w:fldChar w:fldCharType="begin"/>
      </w:r>
      <w:r w:rsidR="00155EB5">
        <w:instrText xml:space="preserve"> REF _Ref522095475 \r \h </w:instrText>
      </w:r>
      <w:r w:rsidR="00155EB5">
        <w:fldChar w:fldCharType="separate"/>
      </w:r>
      <w:r w:rsidR="00BB544A">
        <w:t>[7]</w:t>
      </w:r>
      <w:r w:rsidR="00155EB5">
        <w:fldChar w:fldCharType="end"/>
      </w:r>
      <w:r w:rsidR="00155EB5">
        <w:t xml:space="preserve">. China </w:t>
      </w:r>
      <w:r w:rsidR="0017604A" w:rsidRPr="0017604A">
        <w:rPr>
          <w:lang w:val="en-US"/>
        </w:rPr>
        <w:t xml:space="preserve">published a regulation for Intelligent Connected Vehicles in 5905-5925 MHz mandating the use of LTE-V2X </w:t>
      </w:r>
      <w:r w:rsidR="00597A18">
        <w:rPr>
          <w:lang w:val="en-US"/>
        </w:rPr>
        <w:fldChar w:fldCharType="begin"/>
      </w:r>
      <w:r w:rsidR="00597A18">
        <w:rPr>
          <w:lang w:val="en-US"/>
        </w:rPr>
        <w:instrText xml:space="preserve"> REF _Ref1976977 \r \h </w:instrText>
      </w:r>
      <w:r w:rsidR="00597A18">
        <w:rPr>
          <w:lang w:val="en-US"/>
        </w:rPr>
      </w:r>
      <w:r w:rsidR="00597A18">
        <w:rPr>
          <w:lang w:val="en-US"/>
        </w:rPr>
        <w:fldChar w:fldCharType="separate"/>
      </w:r>
      <w:r w:rsidR="005759B6">
        <w:rPr>
          <w:lang w:val="en-US"/>
        </w:rPr>
        <w:t>[51]</w:t>
      </w:r>
      <w:r w:rsidR="00597A18">
        <w:rPr>
          <w:lang w:val="en-US"/>
        </w:rPr>
        <w:fldChar w:fldCharType="end"/>
      </w:r>
      <w:r w:rsidR="00436E10">
        <w:rPr>
          <w:lang w:val="en-US"/>
        </w:rPr>
        <w:fldChar w:fldCharType="begin"/>
      </w:r>
      <w:r w:rsidR="00436E10">
        <w:rPr>
          <w:lang w:val="en-US"/>
        </w:rPr>
        <w:instrText xml:space="preserve"> REF _Ref199283 \r \h </w:instrText>
      </w:r>
      <w:r w:rsidR="00436E10">
        <w:rPr>
          <w:lang w:val="en-US"/>
        </w:rPr>
      </w:r>
      <w:r w:rsidR="00436E10">
        <w:rPr>
          <w:lang w:val="en-US"/>
        </w:rPr>
        <w:fldChar w:fldCharType="end"/>
      </w:r>
      <w:r w:rsidR="009560BC">
        <w:rPr>
          <w:lang w:val="en-US"/>
        </w:rPr>
        <w:t xml:space="preserve"> in November 2018</w:t>
      </w:r>
      <w:r w:rsidR="0017604A" w:rsidRPr="0017604A">
        <w:rPr>
          <w:lang w:val="en-US"/>
        </w:rPr>
        <w:t>.</w:t>
      </w:r>
      <w:r w:rsidR="00155EB5" w:rsidRPr="006E05AA">
        <w:t xml:space="preserve"> In the USA, </w:t>
      </w:r>
      <w:r w:rsidR="00641ACC">
        <w:t>t</w:t>
      </w:r>
      <w:r w:rsidR="00155EB5" w:rsidRPr="00103B8F">
        <w:t xml:space="preserve">he DOT and NHTSA have not made any final decision (i.e. decision postponed) on the proposed rulemaking concerning a V2V mandate </w:t>
      </w:r>
      <w:r w:rsidR="00641ACC">
        <w:t xml:space="preserve">(on Road ITS) </w:t>
      </w:r>
      <w:r w:rsidR="00155EB5" w:rsidRPr="00103B8F">
        <w:t xml:space="preserve">which was in consultation in 2017 </w:t>
      </w:r>
      <w:r w:rsidR="00155EB5" w:rsidRPr="00103B8F">
        <w:fldChar w:fldCharType="begin"/>
      </w:r>
      <w:r w:rsidR="00155EB5" w:rsidRPr="00103B8F">
        <w:instrText xml:space="preserve"> REF _Ref522095672 \r \h  \* MERGEFORMAT </w:instrText>
      </w:r>
      <w:r w:rsidR="00155EB5" w:rsidRPr="00103B8F">
        <w:fldChar w:fldCharType="separate"/>
      </w:r>
      <w:r w:rsidR="00907776" w:rsidRPr="00103B8F">
        <w:t>[9]</w:t>
      </w:r>
      <w:r w:rsidR="00155EB5" w:rsidRPr="00103B8F">
        <w:fldChar w:fldCharType="end"/>
      </w:r>
      <w:r w:rsidR="006E05AA" w:rsidRPr="006E05AA">
        <w:t>, however the</w:t>
      </w:r>
      <w:r w:rsidR="00641ACC">
        <w:t xml:space="preserve"> DOT</w:t>
      </w:r>
      <w:r w:rsidR="006E05AA" w:rsidRPr="006E05AA">
        <w:t xml:space="preserve"> ha</w:t>
      </w:r>
      <w:r w:rsidR="00641ACC">
        <w:t>s</w:t>
      </w:r>
      <w:r w:rsidR="006E05AA" w:rsidRPr="006E05AA">
        <w:t xml:space="preserve"> launched</w:t>
      </w:r>
      <w:r w:rsidR="004043E6" w:rsidRPr="00103B8F">
        <w:t xml:space="preserve"> a further request on </w:t>
      </w:r>
      <w:r w:rsidR="004043E6" w:rsidRPr="006E05AA">
        <w:t xml:space="preserve">how recent </w:t>
      </w:r>
      <w:r w:rsidR="00641ACC">
        <w:t xml:space="preserve">developments in </w:t>
      </w:r>
      <w:r w:rsidR="004043E6" w:rsidRPr="006E05AA">
        <w:t xml:space="preserve">communications </w:t>
      </w:r>
      <w:r w:rsidR="00641ACC">
        <w:t xml:space="preserve">technologies </w:t>
      </w:r>
      <w:r w:rsidR="004043E6" w:rsidRPr="006E05AA">
        <w:t>impact both V2X in general</w:t>
      </w:r>
      <w:r w:rsidR="00641ACC">
        <w:t xml:space="preserve"> and the DOT’s role in encouraging the integration of V2X</w:t>
      </w:r>
      <w:r w:rsidR="00572948">
        <w:t xml:space="preserve"> </w:t>
      </w:r>
      <w:r w:rsidR="00DB72CE" w:rsidRPr="00AD20EB">
        <w:fldChar w:fldCharType="begin"/>
      </w:r>
      <w:r w:rsidR="00DB72CE" w:rsidRPr="006E05AA">
        <w:instrText xml:space="preserve"> REF _Ref536197603 \r \h </w:instrText>
      </w:r>
      <w:r w:rsidR="006E05AA">
        <w:instrText xml:space="preserve"> \* MERGEFORMAT </w:instrText>
      </w:r>
      <w:r w:rsidR="00DB72CE" w:rsidRPr="00AD20EB">
        <w:fldChar w:fldCharType="separate"/>
      </w:r>
      <w:r w:rsidR="005759B6">
        <w:t>[49]</w:t>
      </w:r>
      <w:r w:rsidR="00DB72CE" w:rsidRPr="00AD20EB">
        <w:fldChar w:fldCharType="end"/>
      </w:r>
      <w:r w:rsidR="00572948">
        <w:t>.</w:t>
      </w:r>
    </w:p>
    <w:p w14:paraId="0A7D785C" w14:textId="393BE417" w:rsidR="00C12AB8" w:rsidRPr="006E05AA" w:rsidRDefault="00155EB5" w:rsidP="004043E6">
      <w:pPr>
        <w:pStyle w:val="ECCParagraph"/>
      </w:pPr>
      <w:r w:rsidRPr="00103B8F">
        <w:t xml:space="preserve">More recently, NHSTA has indicated its support for a technology neutral policy approach whereby the market decides whether ITS-G5 (called DSRC in the USA) or LTE-V2X (or both) will be the preferred solution for V2X communications </w:t>
      </w:r>
      <w:r w:rsidRPr="00103B8F">
        <w:fldChar w:fldCharType="begin"/>
      </w:r>
      <w:r w:rsidRPr="00103B8F">
        <w:instrText xml:space="preserve"> REF _Ref524990101 \r \h </w:instrText>
      </w:r>
      <w:r w:rsidR="00666EF2" w:rsidRPr="00103B8F">
        <w:instrText xml:space="preserve"> \* MERGEFORMAT </w:instrText>
      </w:r>
      <w:r w:rsidRPr="00103B8F">
        <w:fldChar w:fldCharType="separate"/>
      </w:r>
      <w:r w:rsidR="001A2EFC">
        <w:t>[10]</w:t>
      </w:r>
      <w:r w:rsidRPr="00103B8F">
        <w:fldChar w:fldCharType="end"/>
      </w:r>
      <w:r w:rsidRPr="00103B8F">
        <w:t>.</w:t>
      </w:r>
    </w:p>
    <w:p w14:paraId="0A7D785D" w14:textId="77777777" w:rsidR="00F87542" w:rsidRDefault="00F87542" w:rsidP="0017604A">
      <w:pPr>
        <w:pStyle w:val="ECCParagraph"/>
      </w:pPr>
      <w:r w:rsidRPr="006E05AA">
        <w:rPr>
          <w:lang w:val="en-US"/>
        </w:rPr>
        <w:t>With regard to Urban Rail ITS, China already dedicated spectrum in 2015 for use</w:t>
      </w:r>
      <w:r w:rsidRPr="00F87542">
        <w:rPr>
          <w:lang w:val="en-US"/>
        </w:rPr>
        <w:t xml:space="preserve"> of metros in the 1785-1805 MHz range.</w:t>
      </w:r>
    </w:p>
    <w:p w14:paraId="0A7D785F" w14:textId="77777777" w:rsidR="00C12AB8" w:rsidRDefault="00155EB5">
      <w:pPr>
        <w:pStyle w:val="Heading1"/>
      </w:pPr>
      <w:bookmarkStart w:id="6" w:name="_Toc208452"/>
      <w:bookmarkStart w:id="7" w:name="_Toc408480465"/>
      <w:bookmarkStart w:id="8" w:name="_Toc856020"/>
      <w:bookmarkEnd w:id="6"/>
      <w:r>
        <w:lastRenderedPageBreak/>
        <w:t>General principles</w:t>
      </w:r>
      <w:bookmarkEnd w:id="7"/>
      <w:r>
        <w:t xml:space="preserve"> and concept for the future Regulatory Approach</w:t>
      </w:r>
      <w:bookmarkEnd w:id="8"/>
    </w:p>
    <w:p w14:paraId="0A7D7860" w14:textId="42559F9E" w:rsidR="00C12AB8" w:rsidRDefault="00155EB5" w:rsidP="00306CBE">
      <w:pPr>
        <w:pStyle w:val="ECCParagraph"/>
        <w:spacing w:line="240" w:lineRule="auto"/>
      </w:pPr>
      <w:r>
        <w:t xml:space="preserve">In line with the EU principle of technology neutrality in spectrum regulation, the existing Decision 2008/671/EC </w:t>
      </w:r>
      <w:r w:rsidR="0078303C">
        <w:fldChar w:fldCharType="begin"/>
      </w:r>
      <w:r w:rsidR="0078303C">
        <w:instrText xml:space="preserve"> REF _Ref528312467 \r \h </w:instrText>
      </w:r>
      <w:r w:rsidR="0078303C">
        <w:fldChar w:fldCharType="separate"/>
      </w:r>
      <w:r w:rsidR="00F908C9">
        <w:t>[27]</w:t>
      </w:r>
      <w:r w:rsidR="0078303C">
        <w:fldChar w:fldCharType="end"/>
      </w:r>
      <w:r>
        <w:t xml:space="preserve">already allows the use of any technology that falls within the definition of ITS in compliance with the applicable ETSI EN 302 571 </w:t>
      </w:r>
      <w:r w:rsidR="00981432">
        <w:fldChar w:fldCharType="begin"/>
      </w:r>
      <w:r w:rsidR="00981432">
        <w:instrText xml:space="preserve"> REF _Ref528314429 \r \h </w:instrText>
      </w:r>
      <w:r w:rsidR="00981432">
        <w:fldChar w:fldCharType="separate"/>
      </w:r>
      <w:r w:rsidR="00595176">
        <w:t>[36]</w:t>
      </w:r>
      <w:r w:rsidR="00981432">
        <w:fldChar w:fldCharType="end"/>
      </w:r>
      <w:r>
        <w:t xml:space="preserve"> (or equivalent).</w:t>
      </w:r>
    </w:p>
    <w:p w14:paraId="0A7D7861" w14:textId="77777777" w:rsidR="00C12AB8" w:rsidRDefault="00155EB5" w:rsidP="00306CBE">
      <w:pPr>
        <w:pStyle w:val="ECCParagraph"/>
        <w:spacing w:line="240" w:lineRule="auto"/>
      </w:pPr>
      <w:r>
        <w:t>Technology neutrality in spectrum regulation for Road and Urban Rail ITS (such as CBTC) and its consequences:</w:t>
      </w:r>
    </w:p>
    <w:p w14:paraId="0A7D7862" w14:textId="69D9540D" w:rsidR="00C12AB8" w:rsidRDefault="00155EB5">
      <w:pPr>
        <w:pStyle w:val="ECCParBulleted"/>
      </w:pPr>
      <w:r>
        <w:t>The spectrum regulatory approach should be technology-neutral and should not impose the use of one technology. This does however not preclude the definitions of minimum technical requirements for shared spectrum access</w:t>
      </w:r>
      <w:r w:rsidR="00AE5554">
        <w:t>;</w:t>
      </w:r>
    </w:p>
    <w:p w14:paraId="0A7D7863" w14:textId="517A66E4" w:rsidR="00C12AB8" w:rsidRDefault="00155EB5">
      <w:pPr>
        <w:pStyle w:val="ECCParBulleted"/>
      </w:pPr>
      <w:r>
        <w:t>Mitigation techniques developed through ETSI standardisation should be accompanied by technical conditions for spectrum access and relevant harmonised standards, in a technology-neutral approach</w:t>
      </w:r>
      <w:r w:rsidR="00AE5554">
        <w:t>;</w:t>
      </w:r>
    </w:p>
    <w:p w14:paraId="0A7D7864" w14:textId="5FCA0F72" w:rsidR="00C12AB8" w:rsidRDefault="00155EB5">
      <w:pPr>
        <w:pStyle w:val="ECCParBulleted"/>
      </w:pPr>
      <w:r>
        <w:t>Uncompromised safety-related applications for all users in case of multiple technologies implementation</w:t>
      </w:r>
      <w:r w:rsidR="00AE5554">
        <w:t>;</w:t>
      </w:r>
    </w:p>
    <w:p w14:paraId="0A7D7865" w14:textId="65BF615A" w:rsidR="00C12AB8" w:rsidRDefault="00155EB5">
      <w:pPr>
        <w:pStyle w:val="ECCParBulleted"/>
      </w:pPr>
      <w:r>
        <w:t>Efficient spectrum use (an overarching principle of Union's Radio Spectrum Policy, also encompassed in the provisions of the Radio Equipment Directive 2014/53/EU). Backward spectrum compatibility implies that all technologies are at least capable to coexist in the same frequency band</w:t>
      </w:r>
      <w:r w:rsidR="00AE5554">
        <w:t>;</w:t>
      </w:r>
    </w:p>
    <w:p w14:paraId="0A7D7866" w14:textId="6CD4B838" w:rsidR="00C12AB8" w:rsidRDefault="00155EB5">
      <w:pPr>
        <w:pStyle w:val="ECCParBulleted"/>
      </w:pPr>
      <w:r>
        <w:t>There should be no segmentation and segregation of the band 5875-5925 MHz. The principle of equal access to shared spectrum should be applied in the spectrum regulation</w:t>
      </w:r>
      <w:r w:rsidR="005B52BD" w:rsidRPr="005B52BD">
        <w:rPr>
          <w:lang w:val="en-US"/>
        </w:rPr>
        <w:t>; this does</w:t>
      </w:r>
      <w:r w:rsidR="005320F0">
        <w:rPr>
          <w:lang w:val="en-US"/>
        </w:rPr>
        <w:t xml:space="preserve"> not</w:t>
      </w:r>
      <w:r w:rsidR="005B52BD" w:rsidRPr="005B52BD">
        <w:rPr>
          <w:lang w:val="en-US"/>
        </w:rPr>
        <w:t xml:space="preserve"> preclude conditions to take into account specific situations</w:t>
      </w:r>
      <w:r>
        <w:t xml:space="preserve">. No specific safety-related ITS technology or use should be excluded from parts of the spectrum in the band 5875-5925 MHz. This means that technologies are allowed to use the spectrum regulation for safety-related </w:t>
      </w:r>
      <w:proofErr w:type="gramStart"/>
      <w:r>
        <w:t>ITS</w:t>
      </w:r>
      <w:proofErr w:type="gramEnd"/>
      <w:r>
        <w:t xml:space="preserve"> in 5875-5925 MHz when they support a sufficiently polite spectrum access and/or interference mitigation which allows sharing of the spectrum in principle.</w:t>
      </w:r>
    </w:p>
    <w:p w14:paraId="0A7D7867" w14:textId="77777777" w:rsidR="00C12AB8" w:rsidRDefault="00C12AB8" w:rsidP="00306CBE">
      <w:pPr>
        <w:pStyle w:val="ECCParBulleted"/>
        <w:numPr>
          <w:ilvl w:val="0"/>
          <w:numId w:val="0"/>
        </w:numPr>
        <w:spacing w:after="240" w:line="240" w:lineRule="auto"/>
        <w:ind w:left="340" w:hanging="340"/>
      </w:pPr>
    </w:p>
    <w:p w14:paraId="0A7D7868" w14:textId="77777777" w:rsidR="00C12AB8" w:rsidRDefault="00155EB5" w:rsidP="00306CBE">
      <w:pPr>
        <w:pStyle w:val="ECCParagraph"/>
        <w:spacing w:line="240" w:lineRule="auto"/>
      </w:pPr>
      <w:r>
        <w:t>Further requirements:</w:t>
      </w:r>
    </w:p>
    <w:p w14:paraId="0A7D7869" w14:textId="37AC2C83" w:rsidR="00C12AB8" w:rsidRDefault="00155EB5">
      <w:pPr>
        <w:pStyle w:val="ECCParBulleted"/>
      </w:pPr>
      <w:r>
        <w:t xml:space="preserve">Road ITS and Urban Rail ITS implementations need to be taken into account to avoid deployment issues with the new ITS spectrum regulation. Technical solutions already deployed should stay available for maintenance and evolution. This concerns Road ITS in 5875-5905 MHz as defined under the current regulation as well as existing Urban Rail ITS </w:t>
      </w:r>
      <w:r w:rsidR="002E7048">
        <w:rPr>
          <w:lang w:val="en-US"/>
        </w:rPr>
        <w:t>with</w:t>
      </w:r>
      <w:r>
        <w:t>in 5905-5935 MHz (see Annex 1) provided under national regulatory conditions. The continued rollout of these systems should not be unduly hindered by a change of the spectrum regulatory environment</w:t>
      </w:r>
      <w:r w:rsidR="00AE5554">
        <w:t>;</w:t>
      </w:r>
    </w:p>
    <w:p w14:paraId="0A7D786A" w14:textId="63347448" w:rsidR="00C12AB8" w:rsidRDefault="00155EB5">
      <w:pPr>
        <w:pStyle w:val="ECCParBulleted"/>
      </w:pPr>
      <w:r>
        <w:t>Under a general authorisation regime, once placed into service, it is difficult to envisage modifications to Road ITS devices to fix a potential coexistence issue between Road ITS and Urban Rail ITS</w:t>
      </w:r>
      <w:r w:rsidR="00AE5554">
        <w:t>;</w:t>
      </w:r>
    </w:p>
    <w:p w14:paraId="0A7D786B" w14:textId="50A6584E" w:rsidR="00C12AB8" w:rsidRDefault="00155EB5">
      <w:pPr>
        <w:pStyle w:val="ECCParBulleted"/>
      </w:pPr>
      <w:r>
        <w:t xml:space="preserve">It is observed that there is no existing Road ITS implementation above 5905 MHz. In addition, the Urban Rail (CBTC) community favours the frequencies above 5905 MHz due to existing roll-outs as requested in the ETSI TR 103 111 </w:t>
      </w:r>
      <w:r>
        <w:fldChar w:fldCharType="begin"/>
      </w:r>
      <w:r>
        <w:instrText xml:space="preserve"> REF _Ref525117638 \r \h </w:instrText>
      </w:r>
      <w:r>
        <w:fldChar w:fldCharType="separate"/>
      </w:r>
      <w:r w:rsidR="00595176">
        <w:t>[34]</w:t>
      </w:r>
      <w:r>
        <w:fldChar w:fldCharType="end"/>
      </w:r>
      <w:r w:rsidR="00AE5554">
        <w:t>;</w:t>
      </w:r>
    </w:p>
    <w:p w14:paraId="0A7D786C" w14:textId="77777777" w:rsidR="00C12AB8" w:rsidRDefault="00155EB5">
      <w:pPr>
        <w:pStyle w:val="ECCParBulleted"/>
      </w:pPr>
      <w:r>
        <w:t>Railway lines not segregated from road or pedestrian traffic (such as tramways) shall be considered as part of Road ITS.</w:t>
      </w:r>
    </w:p>
    <w:p w14:paraId="0A7D786D" w14:textId="77777777" w:rsidR="00C12AB8" w:rsidRDefault="00155EB5">
      <w:pPr>
        <w:pStyle w:val="Heading1"/>
      </w:pPr>
      <w:bookmarkStart w:id="9" w:name="_Toc856021"/>
      <w:r>
        <w:lastRenderedPageBreak/>
        <w:t>ITS Technologies</w:t>
      </w:r>
      <w:bookmarkEnd w:id="9"/>
    </w:p>
    <w:p w14:paraId="0A7D786E" w14:textId="77777777" w:rsidR="00C12AB8" w:rsidRDefault="00155EB5" w:rsidP="00F17CD8">
      <w:pPr>
        <w:pStyle w:val="Heading2"/>
        <w:ind w:left="578" w:hanging="578"/>
        <w:rPr>
          <w:lang w:val="en-GB"/>
        </w:rPr>
      </w:pPr>
      <w:bookmarkStart w:id="10" w:name="_Toc856022"/>
      <w:r>
        <w:rPr>
          <w:lang w:val="en-GB"/>
        </w:rPr>
        <w:t>Road ITS</w:t>
      </w:r>
      <w:bookmarkEnd w:id="10"/>
    </w:p>
    <w:p w14:paraId="0A7D786F" w14:textId="77777777" w:rsidR="00C12AB8" w:rsidRPr="008F476A" w:rsidRDefault="00155EB5" w:rsidP="00306CBE">
      <w:pPr>
        <w:pStyle w:val="ECCParagraph"/>
        <w:spacing w:line="240" w:lineRule="auto"/>
      </w:pPr>
      <w:r w:rsidRPr="00170C29">
        <w:t>Road ITS communications will enable the exchange of information between vehicles (V2V) and between vehicles and other nodes</w:t>
      </w:r>
      <w:r w:rsidRPr="009A69DB">
        <w:t xml:space="preserve"> (</w:t>
      </w:r>
      <w:r w:rsidR="00223F30">
        <w:t xml:space="preserve">roadside </w:t>
      </w:r>
      <w:r w:rsidRPr="009A69DB">
        <w:t>infrastructure and pedestrians). This exchange will provide vehicles with a more accurate knowledge of their surrounding environment that can improve traffic safety.</w:t>
      </w:r>
    </w:p>
    <w:p w14:paraId="0A7D7870" w14:textId="64E6BDA9" w:rsidR="00C12AB8" w:rsidRDefault="00155EB5" w:rsidP="00306CBE">
      <w:pPr>
        <w:pStyle w:val="ECCParagraph"/>
        <w:spacing w:line="240" w:lineRule="auto"/>
      </w:pPr>
      <w:r w:rsidRPr="00773B58">
        <w:t xml:space="preserve">Within the current CEPT framework for ITS traffic-safety applications (ECC Decision (08)01 </w:t>
      </w:r>
      <w:r w:rsidRPr="00170C29">
        <w:fldChar w:fldCharType="begin"/>
      </w:r>
      <w:r w:rsidRPr="00CD3711">
        <w:instrText xml:space="preserve"> REF _Ref525115782 \r \h </w:instrText>
      </w:r>
      <w:r w:rsidR="00170C29">
        <w:instrText xml:space="preserve"> \* MERGEFORMAT </w:instrText>
      </w:r>
      <w:r w:rsidRPr="00170C29">
        <w:fldChar w:fldCharType="separate"/>
      </w:r>
      <w:r w:rsidR="00595176">
        <w:t>[22]</w:t>
      </w:r>
      <w:r w:rsidRPr="00170C29">
        <w:fldChar w:fldCharType="end"/>
      </w:r>
      <w:r w:rsidRPr="00170C29">
        <w:t xml:space="preserve">), in the 5875-5905 MHz range, the spectrum for </w:t>
      </w:r>
      <w:proofErr w:type="gramStart"/>
      <w:r w:rsidRPr="00170C29">
        <w:t>ITS</w:t>
      </w:r>
      <w:proofErr w:type="gramEnd"/>
      <w:r w:rsidRPr="00170C29">
        <w:t xml:space="preserve"> is </w:t>
      </w:r>
      <w:r w:rsidR="00FD636B">
        <w:t>divided</w:t>
      </w:r>
      <w:r w:rsidRPr="00170C29">
        <w:t xml:space="preserve"> into channels with a bandwidth of 10 MHz each. The 10 MHz are to be understood as a maximum channel bandwidth, it could also be less than 10 MHz.</w:t>
      </w:r>
    </w:p>
    <w:p w14:paraId="0A7D7871" w14:textId="77777777" w:rsidR="00FD636B" w:rsidRPr="009A69DB" w:rsidRDefault="00FD636B" w:rsidP="00306CBE">
      <w:pPr>
        <w:pStyle w:val="ECCParagraph"/>
        <w:spacing w:line="240" w:lineRule="auto"/>
      </w:pPr>
      <w:r w:rsidRPr="00FD636B">
        <w:t>ECC Decision (08)01 considered that only one ITS transmitting device uses an ITS frequency channel at any one time using listen before talk, transmitter power reduction and duty cycle restriction. Furthermore, it considered that duty cycle restrictions and specified frequency re-use conditions (e.g. for periodic ITS messages and ITS channel congestion control considerations) are not only beneficial for the compatibility with other systems in the same or adjacent frequency bands but also for the efficient use of the spectrum.</w:t>
      </w:r>
    </w:p>
    <w:p w14:paraId="0A7D7872" w14:textId="39276407" w:rsidR="00C12AB8" w:rsidRDefault="00155EB5" w:rsidP="00306CBE">
      <w:pPr>
        <w:pStyle w:val="ECCParagraph"/>
        <w:spacing w:line="240" w:lineRule="auto"/>
      </w:pPr>
      <w:r w:rsidRPr="00E27762">
        <w:t xml:space="preserve">Current radio technologies for Road </w:t>
      </w:r>
      <w:proofErr w:type="gramStart"/>
      <w:r w:rsidRPr="00E27762">
        <w:t>ITS</w:t>
      </w:r>
      <w:proofErr w:type="gramEnd"/>
      <w:r w:rsidRPr="00E27762">
        <w:t xml:space="preserve"> in the 5.9 GHz band are ITS-G5 and LTE-V2X. LTE-V2X uses in the 5.9 GHz band only the PC5 air interface. ITS-G5 is based on IEEE 802.11</w:t>
      </w:r>
      <w:r w:rsidR="00223F30">
        <w:t>/11p</w:t>
      </w:r>
      <w:r w:rsidRPr="00E27762">
        <w:t xml:space="preserve"> </w:t>
      </w:r>
      <w:r w:rsidRPr="00170C29">
        <w:fldChar w:fldCharType="begin"/>
      </w:r>
      <w:r w:rsidRPr="00CD3711">
        <w:instrText xml:space="preserve"> REF _Ref525115546 \r \h </w:instrText>
      </w:r>
      <w:r w:rsidR="00170C29">
        <w:instrText xml:space="preserve"> \* MERGEFORMAT </w:instrText>
      </w:r>
      <w:r w:rsidRPr="00170C29">
        <w:fldChar w:fldCharType="separate"/>
      </w:r>
      <w:r w:rsidR="00BB544A">
        <w:t>[8]</w:t>
      </w:r>
      <w:r w:rsidRPr="00170C29">
        <w:fldChar w:fldCharType="end"/>
      </w:r>
      <w:r w:rsidRPr="00170C29">
        <w:t xml:space="preserve"> specifications while LTE-V2X is bas</w:t>
      </w:r>
      <w:r w:rsidRPr="009A69DB">
        <w:t>ed on 3GPP specifications.</w:t>
      </w:r>
    </w:p>
    <w:p w14:paraId="0A7D7873" w14:textId="77777777" w:rsidR="00A756AB" w:rsidRDefault="00543908" w:rsidP="00306CBE">
      <w:pPr>
        <w:pStyle w:val="ECCParagraph"/>
        <w:spacing w:line="240" w:lineRule="auto"/>
      </w:pPr>
      <w:r>
        <w:rPr>
          <w:noProof/>
          <w:lang w:val="da-DK" w:eastAsia="da-DK"/>
        </w:rPr>
        <w:drawing>
          <wp:inline distT="0" distB="0" distL="0" distR="0" wp14:anchorId="0A7D7D4A" wp14:editId="0A7D7D4B">
            <wp:extent cx="6120765" cy="3023140"/>
            <wp:effectExtent l="0" t="0" r="0" b="6350"/>
            <wp:docPr id="10" name="Picture 10" descr="cid:image003.png@01D4A43B.25DDD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A43B.25DDDDF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120765" cy="3023140"/>
                    </a:xfrm>
                    <a:prstGeom prst="rect">
                      <a:avLst/>
                    </a:prstGeom>
                    <a:noFill/>
                    <a:ln>
                      <a:noFill/>
                    </a:ln>
                  </pic:spPr>
                </pic:pic>
              </a:graphicData>
            </a:graphic>
          </wp:inline>
        </w:drawing>
      </w:r>
    </w:p>
    <w:p w14:paraId="0A7D7876" w14:textId="3029ADA2" w:rsidR="00FD636B" w:rsidRDefault="00496E27" w:rsidP="00103B8F">
      <w:pPr>
        <w:pStyle w:val="Caption"/>
      </w:pPr>
      <w:r>
        <w:t xml:space="preserve">Figure </w:t>
      </w:r>
      <w:r>
        <w:fldChar w:fldCharType="begin"/>
      </w:r>
      <w:r>
        <w:instrText xml:space="preserve"> SEQ Figure \* ARABIC </w:instrText>
      </w:r>
      <w:r>
        <w:fldChar w:fldCharType="separate"/>
      </w:r>
      <w:r w:rsidR="00BB544A">
        <w:rPr>
          <w:noProof/>
        </w:rPr>
        <w:t>1</w:t>
      </w:r>
      <w:r>
        <w:fldChar w:fldCharType="end"/>
      </w:r>
      <w:r>
        <w:t>:</w:t>
      </w:r>
      <w:r w:rsidR="00FD636B" w:rsidRPr="00FD636B">
        <w:t xml:space="preserve"> </w:t>
      </w:r>
      <w:r w:rsidR="0033088D">
        <w:t xml:space="preserve">Example </w:t>
      </w:r>
      <w:r w:rsidR="00FD636B" w:rsidRPr="00FD636B">
        <w:t xml:space="preserve">of ITS-G5 and LTE-V2X transmit </w:t>
      </w:r>
      <w:r w:rsidR="00BC2324" w:rsidRPr="00FD636B">
        <w:t>behavior</w:t>
      </w:r>
    </w:p>
    <w:p w14:paraId="0A7D7877" w14:textId="77777777" w:rsidR="00C12AB8" w:rsidRDefault="00155EB5">
      <w:pPr>
        <w:pStyle w:val="Heading3"/>
        <w:rPr>
          <w:lang w:val="en-GB"/>
        </w:rPr>
      </w:pPr>
      <w:bookmarkStart w:id="11" w:name="_Toc208456"/>
      <w:bookmarkStart w:id="12" w:name="_Toc856023"/>
      <w:bookmarkEnd w:id="11"/>
      <w:r>
        <w:rPr>
          <w:lang w:val="en-GB"/>
        </w:rPr>
        <w:t>ITS-G5</w:t>
      </w:r>
      <w:bookmarkEnd w:id="12"/>
    </w:p>
    <w:p w14:paraId="0A7D7878" w14:textId="1AE9597D" w:rsidR="00C12AB8" w:rsidRDefault="00155EB5" w:rsidP="00306CBE">
      <w:pPr>
        <w:pStyle w:val="ECCParagraph"/>
        <w:spacing w:line="240" w:lineRule="auto"/>
      </w:pPr>
      <w:r>
        <w:t xml:space="preserve">ITS-G5 is an ad-hoc network technology based on the IEEE 802.11/11p </w:t>
      </w:r>
      <w:r>
        <w:fldChar w:fldCharType="begin"/>
      </w:r>
      <w:r>
        <w:instrText xml:space="preserve"> REF _Ref525115546 \r \h </w:instrText>
      </w:r>
      <w:r>
        <w:fldChar w:fldCharType="separate"/>
      </w:r>
      <w:r w:rsidR="00BB544A">
        <w:t>[8]</w:t>
      </w:r>
      <w:r>
        <w:fldChar w:fldCharType="end"/>
      </w:r>
      <w:r>
        <w:t xml:space="preserve"> standard. The PHY and MAC parameters of ITS-G5 are specified in the profile standard ETSI EN 302 663 </w:t>
      </w:r>
      <w:r w:rsidR="00662FC5">
        <w:fldChar w:fldCharType="begin"/>
      </w:r>
      <w:r w:rsidR="00662FC5">
        <w:instrText xml:space="preserve"> REF _Ref528319851 \r \h </w:instrText>
      </w:r>
      <w:r w:rsidR="00662FC5">
        <w:fldChar w:fldCharType="separate"/>
      </w:r>
      <w:r w:rsidR="00595176">
        <w:t>[38]</w:t>
      </w:r>
      <w:r w:rsidR="00662FC5">
        <w:fldChar w:fldCharType="end"/>
      </w:r>
      <w:r>
        <w:t xml:space="preserve">. It uses EDCA (Enhanced Distributed Channel Access) for channel access prioritisation and DCC as specified in </w:t>
      </w:r>
      <w:r w:rsidR="001370D5">
        <w:t xml:space="preserve">ETSI </w:t>
      </w:r>
      <w:r>
        <w:t xml:space="preserve">TS 102 687 </w:t>
      </w:r>
      <w:r w:rsidR="001370D5">
        <w:rPr>
          <w:lang w:val="en-US"/>
        </w:rPr>
        <w:t>[45]</w:t>
      </w:r>
      <w:r>
        <w:t xml:space="preserve"> to control the channel load. </w:t>
      </w:r>
      <w:r w:rsidR="00FD636B" w:rsidRPr="00FD636B">
        <w:rPr>
          <w:lang w:val="en-US"/>
        </w:rPr>
        <w:t xml:space="preserve">DCC algorithms in </w:t>
      </w:r>
      <w:r w:rsidR="002124B2">
        <w:rPr>
          <w:lang w:val="en-US"/>
        </w:rPr>
        <w:t xml:space="preserve">ETSI </w:t>
      </w:r>
      <w:r w:rsidR="00FD636B" w:rsidRPr="00FD636B">
        <w:rPr>
          <w:lang w:val="en-US"/>
        </w:rPr>
        <w:t>TS 102 687</w:t>
      </w:r>
      <w:r w:rsidR="00496E27">
        <w:rPr>
          <w:lang w:val="en-US"/>
        </w:rPr>
        <w:t xml:space="preserve"> </w:t>
      </w:r>
      <w:r w:rsidR="00436E10">
        <w:rPr>
          <w:lang w:val="en-US"/>
        </w:rPr>
        <w:fldChar w:fldCharType="begin"/>
      </w:r>
      <w:r w:rsidR="00436E10">
        <w:rPr>
          <w:lang w:val="en-US"/>
        </w:rPr>
        <w:instrText xml:space="preserve"> REF _Ref535242112 \r \h </w:instrText>
      </w:r>
      <w:r w:rsidR="00436E10">
        <w:rPr>
          <w:lang w:val="en-US"/>
        </w:rPr>
      </w:r>
      <w:r w:rsidR="00436E10">
        <w:rPr>
          <w:lang w:val="en-US"/>
        </w:rPr>
        <w:fldChar w:fldCharType="end"/>
      </w:r>
      <w:r w:rsidR="00FD636B" w:rsidRPr="00FD636B">
        <w:rPr>
          <w:lang w:val="en-US"/>
        </w:rPr>
        <w:t xml:space="preserve"> describe procedures to obey the generic DCC limits that are mandated by the </w:t>
      </w:r>
      <w:r w:rsidR="003E6155">
        <w:rPr>
          <w:lang w:val="en-US"/>
        </w:rPr>
        <w:t xml:space="preserve">ETSI </w:t>
      </w:r>
      <w:r w:rsidR="00FD636B" w:rsidRPr="00FD636B">
        <w:rPr>
          <w:lang w:val="en-US"/>
        </w:rPr>
        <w:t xml:space="preserve">EN 302 571 and describe the maximum duty cycle limit for a given channel load. </w:t>
      </w:r>
      <w:r>
        <w:t xml:space="preserve">Technical details of ITS-G5 can be found in the information from ETSI in document </w:t>
      </w:r>
      <w:proofErr w:type="gramStart"/>
      <w:r>
        <w:t>FM(</w:t>
      </w:r>
      <w:proofErr w:type="gramEnd"/>
      <w:r>
        <w:t xml:space="preserve">18)135 </w:t>
      </w:r>
      <w:r>
        <w:fldChar w:fldCharType="begin"/>
      </w:r>
      <w:r>
        <w:instrText xml:space="preserve"> REF _Ref525303757 \r \h </w:instrText>
      </w:r>
      <w:r>
        <w:fldChar w:fldCharType="separate"/>
      </w:r>
      <w:r w:rsidR="001370D5">
        <w:t>[37]</w:t>
      </w:r>
      <w:r>
        <w:fldChar w:fldCharType="end"/>
      </w:r>
      <w:r>
        <w:t xml:space="preserve">. Note that IEEE is studying an evolution for IEEE 802.11/11p while maintaining backward compatibility. </w:t>
      </w:r>
      <w:r>
        <w:lastRenderedPageBreak/>
        <w:t>In order to limit the congestion, a mandatory decentralised congestion control (DCC) has been specified by ETSI.</w:t>
      </w:r>
    </w:p>
    <w:p w14:paraId="0A7D7879" w14:textId="3BFF477B" w:rsidR="00C12AB8" w:rsidRDefault="00FD636B" w:rsidP="00306CBE">
      <w:pPr>
        <w:pStyle w:val="ECCParagraph"/>
        <w:spacing w:line="240" w:lineRule="auto"/>
      </w:pPr>
      <w:proofErr w:type="gramStart"/>
      <w:r w:rsidRPr="00FD636B">
        <w:t>The ITS</w:t>
      </w:r>
      <w:proofErr w:type="gramEnd"/>
      <w:r w:rsidRPr="00FD636B">
        <w:t>-G5 access layer profile and</w:t>
      </w:r>
      <w:r w:rsidR="00155EB5">
        <w:t xml:space="preserve"> a set of </w:t>
      </w:r>
      <w:r>
        <w:t xml:space="preserve">higher layer </w:t>
      </w:r>
      <w:r w:rsidR="00155EB5">
        <w:t xml:space="preserve">specifications were created under the standardisation mandate M/453 </w:t>
      </w:r>
      <w:r w:rsidR="00B43E43" w:rsidRPr="00B43E43">
        <w:rPr>
          <w:lang w:val="en-US"/>
        </w:rPr>
        <w:t xml:space="preserve">by the EC to support the interoperability of co-operative systems for intelligent transport in the European </w:t>
      </w:r>
      <w:r w:rsidR="003E06FF" w:rsidRPr="00B43E43">
        <w:rPr>
          <w:lang w:val="en-US"/>
        </w:rPr>
        <w:t>Community</w:t>
      </w:r>
      <w:r w:rsidR="00155EB5">
        <w:t>.</w:t>
      </w:r>
    </w:p>
    <w:p w14:paraId="0A7D787A" w14:textId="77777777" w:rsidR="00C12AB8" w:rsidRDefault="00155EB5">
      <w:pPr>
        <w:pStyle w:val="Heading3"/>
        <w:rPr>
          <w:lang w:val="en-GB"/>
        </w:rPr>
      </w:pPr>
      <w:bookmarkStart w:id="13" w:name="_Toc856024"/>
      <w:r>
        <w:rPr>
          <w:lang w:val="en-GB"/>
        </w:rPr>
        <w:t>3GPP LTE-V2X</w:t>
      </w:r>
      <w:bookmarkEnd w:id="13"/>
    </w:p>
    <w:p w14:paraId="0A7D787C" w14:textId="556FB29F" w:rsidR="00C12AB8" w:rsidRDefault="00155EB5" w:rsidP="00306CBE">
      <w:pPr>
        <w:pStyle w:val="ECCParagraph"/>
        <w:spacing w:line="240" w:lineRule="auto"/>
      </w:pPr>
      <w:r>
        <w:t xml:space="preserve">The Third Generation Partnership Project (3GPP) published in September 2016 specifications in Release 14 for the support of V2X communications </w:t>
      </w:r>
      <w:r w:rsidR="004671D5">
        <w:t>(</w:t>
      </w:r>
      <w:r w:rsidR="004671D5">
        <w:fldChar w:fldCharType="begin"/>
      </w:r>
      <w:r w:rsidR="004671D5">
        <w:instrText xml:space="preserve"> REF _Ref855418 \r \h </w:instrText>
      </w:r>
      <w:r w:rsidR="004671D5">
        <w:fldChar w:fldCharType="separate"/>
      </w:r>
      <w:r w:rsidR="00BB544A">
        <w:t>[11]</w:t>
      </w:r>
      <w:r w:rsidR="004671D5">
        <w:fldChar w:fldCharType="end"/>
      </w:r>
      <w:r w:rsidR="004671D5">
        <w:t xml:space="preserve"> and </w:t>
      </w:r>
      <w:r w:rsidR="004671D5">
        <w:fldChar w:fldCharType="begin"/>
      </w:r>
      <w:r w:rsidR="004671D5">
        <w:instrText xml:space="preserve"> REF _Ref855434 \r \h </w:instrText>
      </w:r>
      <w:r w:rsidR="004671D5">
        <w:fldChar w:fldCharType="separate"/>
      </w:r>
      <w:r w:rsidR="00BB544A">
        <w:t>[12]</w:t>
      </w:r>
      <w:r w:rsidR="004671D5">
        <w:fldChar w:fldCharType="end"/>
      </w:r>
      <w:r w:rsidR="004671D5">
        <w:t>)</w:t>
      </w:r>
      <w:r>
        <w:t>, which is commonly referred to as LTE-V2X. The specifications include two radio interfaces: the cellular interface supports vehicle-to-</w:t>
      </w:r>
      <w:r w:rsidR="00223F30">
        <w:t>network</w:t>
      </w:r>
      <w:r>
        <w:t xml:space="preserve"> communications in traditional MFCN bands (called </w:t>
      </w:r>
      <w:proofErr w:type="spellStart"/>
      <w:r>
        <w:t>Uu</w:t>
      </w:r>
      <w:proofErr w:type="spellEnd"/>
      <w:r>
        <w:t>), and the PC5 interface supports V2V</w:t>
      </w:r>
      <w:r w:rsidR="00223F30">
        <w:t xml:space="preserve"> and V2I</w:t>
      </w:r>
      <w:r>
        <w:t xml:space="preserve"> communications based on direct LTE </w:t>
      </w:r>
      <w:proofErr w:type="spellStart"/>
      <w:r>
        <w:t>sidelink</w:t>
      </w:r>
      <w:proofErr w:type="spellEnd"/>
      <w:r>
        <w:t xml:space="preserve"> (or device-to-device communication), which was introduced in Release 12 for public safety and enhanced in Release 14 for V2V</w:t>
      </w:r>
      <w:r w:rsidR="00223F30">
        <w:t>/V2I</w:t>
      </w:r>
      <w:r>
        <w:t xml:space="preserve"> communications in 3GPP band 47 (5855-5925 MHz). Note that 3GPP is studying a technology evolution for LTE-V2X based on New Radio (NR) while supporting the interworking with LTE-V2X</w:t>
      </w:r>
      <w:r w:rsidR="00587BD9">
        <w:t xml:space="preserve"> </w:t>
      </w:r>
      <w:r w:rsidR="00907776">
        <w:fldChar w:fldCharType="begin"/>
      </w:r>
      <w:r w:rsidR="00907776">
        <w:instrText xml:space="preserve"> REF _Ref528319358 \r \h </w:instrText>
      </w:r>
      <w:r w:rsidR="00907776">
        <w:fldChar w:fldCharType="separate"/>
      </w:r>
      <w:r w:rsidR="00595176">
        <w:t>[28]</w:t>
      </w:r>
      <w:r w:rsidR="00907776">
        <w:fldChar w:fldCharType="end"/>
      </w:r>
      <w:r>
        <w:t>.</w:t>
      </w:r>
      <w:r w:rsidR="00223F30" w:rsidRPr="00223F30">
        <w:rPr>
          <w:lang w:val="en-US"/>
        </w:rPr>
        <w:t xml:space="preserve"> Both LTE-V2X and NR-V2X form the Cellular V2X (C-V2X) family.</w:t>
      </w:r>
      <w:r>
        <w:t xml:space="preserve">The LTE </w:t>
      </w:r>
      <w:proofErr w:type="spellStart"/>
      <w:r>
        <w:t>sidelink</w:t>
      </w:r>
      <w:proofErr w:type="spellEnd"/>
      <w:r>
        <w:t xml:space="preserve"> includes two modes of operation, mode 1 and mode 2, which were designed with the objective of prolonging the battery lifetime of user equipment for device-to-device communication at the cost of increasing latency. However, connected vehicles require highly reliable and low-laten</w:t>
      </w:r>
      <w:r w:rsidR="00641ACC">
        <w:t>cy</w:t>
      </w:r>
      <w:r>
        <w:t xml:space="preserve"> communications. Because these two modes were not suitable for vehicular applications, Release 14 introduced two new communication modes, mode 3 and mode 4, specifically designed for this use case. Whereas in transmission mode 3 cellular network (eNodeB) controls radio resource </w:t>
      </w:r>
      <w:r w:rsidR="00223F30">
        <w:t>scheduling</w:t>
      </w:r>
      <w:r>
        <w:t>, transmission mode 4 is based on autonomous radio resource selection by vehicles. In other words, mode 4 can operate without cellular network coverage, and is therefore considered as the baseline V2V</w:t>
      </w:r>
      <w:r w:rsidR="00223F30">
        <w:t>/V2I</w:t>
      </w:r>
      <w:r>
        <w:t xml:space="preserve"> mode. Mode 4 includes a distributed scheduling scheme for vehicles to select their radio resources and the support for decentralised congestion control.</w:t>
      </w:r>
    </w:p>
    <w:p w14:paraId="0A7D787D" w14:textId="4C3D891A" w:rsidR="00C12AB8" w:rsidRDefault="00155EB5" w:rsidP="00306CBE">
      <w:pPr>
        <w:pStyle w:val="ECCParagraph"/>
        <w:spacing w:line="240" w:lineRule="auto"/>
      </w:pPr>
      <w:r>
        <w:t xml:space="preserve">Technical details of </w:t>
      </w:r>
      <w:r w:rsidR="00F66B87">
        <w:t>LTE</w:t>
      </w:r>
      <w:r>
        <w:t>-V2X such as physical layer, medium-access control protocol and congestion control mechanisms can be found in ECC Report 290</w:t>
      </w:r>
      <w:r w:rsidR="00170C29">
        <w:t xml:space="preserve"> </w:t>
      </w:r>
      <w:r>
        <w:fldChar w:fldCharType="begin"/>
      </w:r>
      <w:r>
        <w:instrText xml:space="preserve"> REF _Ref524887904 \r \h </w:instrText>
      </w:r>
      <w:r>
        <w:fldChar w:fldCharType="separate"/>
      </w:r>
      <w:r w:rsidR="00BB544A">
        <w:t>[1]</w:t>
      </w:r>
      <w:r>
        <w:fldChar w:fldCharType="end"/>
      </w:r>
      <w:r>
        <w:t>.</w:t>
      </w:r>
    </w:p>
    <w:p w14:paraId="0A7D787E" w14:textId="77777777" w:rsidR="00C12AB8" w:rsidRDefault="00155EB5" w:rsidP="00306CBE">
      <w:pPr>
        <w:pStyle w:val="ECCParagraph"/>
        <w:spacing w:line="240" w:lineRule="auto"/>
      </w:pPr>
      <w:r>
        <w:t>3GPP has specified a 10 MHz and a 20 MHz air interface for the PC5 air interface in the 5.9 GHz band. However, the relevance of the 20 MHz air interface for Europe has not been expressed.</w:t>
      </w:r>
    </w:p>
    <w:p w14:paraId="0A7D787F" w14:textId="77777777" w:rsidR="00C12AB8" w:rsidRDefault="00155EB5">
      <w:pPr>
        <w:pStyle w:val="Heading3"/>
        <w:rPr>
          <w:lang w:val="en-GB"/>
        </w:rPr>
      </w:pPr>
      <w:bookmarkStart w:id="14" w:name="_Toc856025"/>
      <w:r>
        <w:rPr>
          <w:lang w:val="en-GB"/>
        </w:rPr>
        <w:t>Safety-related requirements for Road ITS</w:t>
      </w:r>
      <w:bookmarkEnd w:id="14"/>
    </w:p>
    <w:p w14:paraId="0A7D7880" w14:textId="77777777" w:rsidR="00C12AB8" w:rsidRDefault="00155EB5" w:rsidP="00306CBE">
      <w:pPr>
        <w:pStyle w:val="ECCParagraph"/>
        <w:spacing w:line="240" w:lineRule="auto"/>
      </w:pPr>
      <w:r>
        <w:t>Safety-related road ITS applications require low-latency for vehicle-to-vehicle communications and also for communications with roadside infrastructure. The overall communication channel loading and decentralised communication traffic congestion control must be such to ensure that safety-related messages have a very high predictability to be received by other ITS stations. Future safety-related ITS applications have increased requirements and will support more and more automated driving possibilities, compared with the existing initial driver alert applications in ITS.</w:t>
      </w:r>
    </w:p>
    <w:p w14:paraId="0A7D7881" w14:textId="77777777" w:rsidR="00C12AB8" w:rsidRDefault="00155EB5" w:rsidP="00945360">
      <w:pPr>
        <w:pStyle w:val="Heading2"/>
        <w:ind w:left="578" w:hanging="578"/>
        <w:rPr>
          <w:lang w:val="en-GB"/>
        </w:rPr>
      </w:pPr>
      <w:bookmarkStart w:id="15" w:name="_Toc856026"/>
      <w:r>
        <w:rPr>
          <w:lang w:val="en-GB"/>
        </w:rPr>
        <w:t>Urban Rail ITS</w:t>
      </w:r>
      <w:bookmarkEnd w:id="15"/>
    </w:p>
    <w:p w14:paraId="0A7D7882" w14:textId="02C89E44" w:rsidR="00C12AB8" w:rsidRDefault="00155EB5" w:rsidP="00306CBE">
      <w:pPr>
        <w:spacing w:after="240" w:line="240" w:lineRule="auto"/>
        <w:jc w:val="both"/>
        <w:rPr>
          <w:lang w:val="en-GB"/>
        </w:rPr>
      </w:pPr>
      <w:r>
        <w:rPr>
          <w:bCs/>
          <w:szCs w:val="20"/>
          <w:lang w:val="en-GB" w:eastAsia="de-DE"/>
        </w:rPr>
        <w:t xml:space="preserve">Working assumptions had been defined and set out in the </w:t>
      </w:r>
      <w:hyperlink r:id="rId16" w:history="1">
        <w:r>
          <w:rPr>
            <w:bCs/>
            <w:color w:val="0000FF"/>
            <w:szCs w:val="20"/>
            <w:u w:val="single"/>
            <w:lang w:val="en-GB" w:eastAsia="de-DE"/>
          </w:rPr>
          <w:t>liaison statement to ETSI</w:t>
        </w:r>
      </w:hyperlink>
      <w:r>
        <w:rPr>
          <w:bCs/>
          <w:szCs w:val="20"/>
          <w:lang w:val="en-GB" w:eastAsia="de-DE"/>
        </w:rPr>
        <w:t xml:space="preserve"> from WGFM#87 in February 2017. They are still valid with regard to shared spectrum use. Activities within CEPT had already been started based on the </w:t>
      </w:r>
      <w:r w:rsidR="00AC39D6">
        <w:rPr>
          <w:rFonts w:eastAsia="Calibri"/>
          <w:szCs w:val="22"/>
          <w:lang w:val="en-GB"/>
        </w:rPr>
        <w:t>ETSI TR 103 111</w:t>
      </w:r>
      <w:r>
        <w:rPr>
          <w:bCs/>
          <w:szCs w:val="20"/>
          <w:lang w:val="en-GB" w:eastAsia="de-DE"/>
        </w:rPr>
        <w:t xml:space="preserve"> on Urban </w:t>
      </w:r>
      <w:proofErr w:type="gramStart"/>
      <w:r>
        <w:rPr>
          <w:bCs/>
          <w:szCs w:val="20"/>
          <w:lang w:val="en-GB" w:eastAsia="de-DE"/>
        </w:rPr>
        <w:t>Rail</w:t>
      </w:r>
      <w:proofErr w:type="gramEnd"/>
      <w:r>
        <w:rPr>
          <w:bCs/>
          <w:szCs w:val="20"/>
          <w:lang w:val="en-GB" w:eastAsia="de-DE"/>
        </w:rPr>
        <w:t xml:space="preserve"> CBTC. ETSI developed </w:t>
      </w:r>
      <w:r w:rsidR="00AC39D6">
        <w:rPr>
          <w:bCs/>
          <w:szCs w:val="20"/>
          <w:lang w:val="en-GB" w:eastAsia="de-DE"/>
        </w:rPr>
        <w:t xml:space="preserve">ETSI </w:t>
      </w:r>
      <w:hyperlink r:id="rId17" w:history="1">
        <w:r>
          <w:rPr>
            <w:bCs/>
            <w:color w:val="0000FF"/>
            <w:szCs w:val="20"/>
            <w:u w:val="single"/>
            <w:lang w:val="en-GB" w:eastAsia="de-DE"/>
          </w:rPr>
          <w:t>TR 103 442</w:t>
        </w:r>
      </w:hyperlink>
      <w:r>
        <w:rPr>
          <w:bCs/>
          <w:szCs w:val="20"/>
          <w:lang w:val="en-GB" w:eastAsia="de-DE"/>
        </w:rPr>
        <w:t xml:space="preserve"> on the shared use of spectrum between Communication Based Train Control (CBTC) and ITS applications. However, ETSI TR 103 442 </w:t>
      </w:r>
      <w:r w:rsidR="00F03378">
        <w:rPr>
          <w:bCs/>
          <w:szCs w:val="20"/>
          <w:lang w:val="en-GB" w:eastAsia="de-DE"/>
        </w:rPr>
        <w:t>can</w:t>
      </w:r>
      <w:r>
        <w:rPr>
          <w:bCs/>
          <w:szCs w:val="20"/>
          <w:lang w:val="en-GB" w:eastAsia="de-DE"/>
        </w:rPr>
        <w:t xml:space="preserve"> only be considered as an interim report on the way towards spectrum sharing solutions between Road</w:t>
      </w:r>
      <w:r w:rsidR="00F03378">
        <w:rPr>
          <w:bCs/>
          <w:szCs w:val="20"/>
          <w:lang w:val="en-GB" w:eastAsia="de-DE"/>
        </w:rPr>
        <w:t xml:space="preserve"> </w:t>
      </w:r>
      <w:r>
        <w:rPr>
          <w:bCs/>
          <w:szCs w:val="20"/>
          <w:lang w:val="en-GB" w:eastAsia="de-DE"/>
        </w:rPr>
        <w:t>ITS and Urban Rail ITS.</w:t>
      </w:r>
    </w:p>
    <w:p w14:paraId="0A7D7883" w14:textId="3C91522B" w:rsidR="00C12AB8" w:rsidRDefault="00155EB5" w:rsidP="00306CBE">
      <w:pPr>
        <w:spacing w:after="240" w:line="240" w:lineRule="auto"/>
        <w:jc w:val="both"/>
        <w:rPr>
          <w:lang w:val="en-GB"/>
        </w:rPr>
      </w:pPr>
      <w:r>
        <w:rPr>
          <w:lang w:val="en-GB"/>
        </w:rPr>
        <w:t>CBTC is a train-to-trackside radiocommunication system, with a potential evolution to train-to-train radiocommunications. Existing CBTC systems normally use 5</w:t>
      </w:r>
      <w:r w:rsidR="00361E30">
        <w:rPr>
          <w:lang w:val="en-GB"/>
        </w:rPr>
        <w:t xml:space="preserve"> </w:t>
      </w:r>
      <w:r>
        <w:rPr>
          <w:lang w:val="en-GB"/>
        </w:rPr>
        <w:t>MHz channels instead of 10</w:t>
      </w:r>
      <w:r w:rsidR="00361E30">
        <w:rPr>
          <w:lang w:val="en-GB"/>
        </w:rPr>
        <w:t xml:space="preserve"> </w:t>
      </w:r>
      <w:r>
        <w:rPr>
          <w:lang w:val="en-GB"/>
        </w:rPr>
        <w:t xml:space="preserve">MHz. Overall, in order to cope with multiple tracks and shunting yards, CBTC requires 20 MHz of contiguous spectrum in the 5.9 GHz band. Additional information about Urban Rail ITS </w:t>
      </w:r>
      <w:r w:rsidR="005D5412">
        <w:rPr>
          <w:lang w:val="en-GB"/>
        </w:rPr>
        <w:t xml:space="preserve">CBTC </w:t>
      </w:r>
      <w:r>
        <w:rPr>
          <w:lang w:val="en-GB"/>
        </w:rPr>
        <w:t xml:space="preserve">is provided </w:t>
      </w:r>
      <w:r w:rsidR="00F03378">
        <w:rPr>
          <w:lang w:val="en-GB"/>
        </w:rPr>
        <w:t xml:space="preserve">in Annex 2 and </w:t>
      </w:r>
      <w:r>
        <w:rPr>
          <w:lang w:val="en-GB"/>
        </w:rPr>
        <w:t xml:space="preserve">in ECC Report 290 </w:t>
      </w:r>
      <w:r>
        <w:rPr>
          <w:lang w:val="en-GB"/>
        </w:rPr>
        <w:fldChar w:fldCharType="begin"/>
      </w:r>
      <w:r>
        <w:rPr>
          <w:lang w:val="en-GB"/>
        </w:rPr>
        <w:instrText xml:space="preserve"> REF _Ref524887904 \r \h </w:instrText>
      </w:r>
      <w:r>
        <w:rPr>
          <w:lang w:val="en-GB"/>
        </w:rPr>
      </w:r>
      <w:r>
        <w:rPr>
          <w:lang w:val="en-GB"/>
        </w:rPr>
        <w:fldChar w:fldCharType="separate"/>
      </w:r>
      <w:r w:rsidR="00BB544A">
        <w:rPr>
          <w:lang w:val="en-GB"/>
        </w:rPr>
        <w:t>[1]</w:t>
      </w:r>
      <w:r>
        <w:rPr>
          <w:lang w:val="en-GB"/>
        </w:rPr>
        <w:fldChar w:fldCharType="end"/>
      </w:r>
      <w:r>
        <w:rPr>
          <w:lang w:val="en-GB"/>
        </w:rPr>
        <w:t>.</w:t>
      </w:r>
    </w:p>
    <w:p w14:paraId="0A7D7886" w14:textId="77777777" w:rsidR="00C12AB8" w:rsidRDefault="00155EB5">
      <w:pPr>
        <w:pStyle w:val="Heading3"/>
        <w:rPr>
          <w:lang w:val="en-GB"/>
        </w:rPr>
      </w:pPr>
      <w:bookmarkStart w:id="16" w:name="_Toc856027"/>
      <w:r>
        <w:rPr>
          <w:lang w:val="en-GB"/>
        </w:rPr>
        <w:lastRenderedPageBreak/>
        <w:t>Technologies</w:t>
      </w:r>
      <w:bookmarkEnd w:id="16"/>
    </w:p>
    <w:p w14:paraId="0A7D7887" w14:textId="77777777" w:rsidR="00C12AB8" w:rsidRDefault="00155EB5" w:rsidP="00306CBE">
      <w:pPr>
        <w:spacing w:after="240" w:line="240" w:lineRule="auto"/>
        <w:rPr>
          <w:lang w:val="en-GB"/>
        </w:rPr>
      </w:pPr>
      <w:r>
        <w:rPr>
          <w:lang w:val="en-GB"/>
        </w:rPr>
        <w:t>Current radio technologies for CBTC are:</w:t>
      </w:r>
    </w:p>
    <w:p w14:paraId="0A7D7888" w14:textId="77777777" w:rsidR="00C12AB8" w:rsidRDefault="00155EB5">
      <w:pPr>
        <w:pStyle w:val="ECCParBulleted"/>
      </w:pPr>
      <w:r>
        <w:t>DSSS/TDMA</w:t>
      </w:r>
      <w:r w:rsidR="00170C29">
        <w:t>;</w:t>
      </w:r>
    </w:p>
    <w:p w14:paraId="0A7D7889" w14:textId="77777777" w:rsidR="00C12AB8" w:rsidRDefault="00155EB5">
      <w:pPr>
        <w:pStyle w:val="ECCParBulleted"/>
      </w:pPr>
      <w:r>
        <w:t xml:space="preserve">full or modified IEEE 802.11 </w:t>
      </w:r>
      <w:r>
        <w:fldChar w:fldCharType="begin"/>
      </w:r>
      <w:r>
        <w:instrText xml:space="preserve"> REF _Ref525115546 \r \h </w:instrText>
      </w:r>
      <w:r>
        <w:fldChar w:fldCharType="separate"/>
      </w:r>
      <w:r w:rsidR="00BB544A">
        <w:t>[8]</w:t>
      </w:r>
      <w:r>
        <w:fldChar w:fldCharType="end"/>
      </w:r>
      <w:r>
        <w:t xml:space="preserve"> technology, OFDM based</w:t>
      </w:r>
      <w:r w:rsidR="00170C29">
        <w:t>;</w:t>
      </w:r>
    </w:p>
    <w:p w14:paraId="0A7D788A" w14:textId="217D55C4" w:rsidR="00C12AB8" w:rsidRDefault="00155EB5">
      <w:pPr>
        <w:pStyle w:val="ECCParBulleted"/>
      </w:pPr>
      <w:r>
        <w:t xml:space="preserve">3GPP TD-LTE (used in China </w:t>
      </w:r>
      <w:r w:rsidR="004225EE" w:rsidRPr="004225EE">
        <w:rPr>
          <w:lang w:val="en-US"/>
        </w:rPr>
        <w:t>in the 1785-1805 MHz range</w:t>
      </w:r>
      <w:r>
        <w:t>, not implemented in Europe yet)</w:t>
      </w:r>
      <w:r w:rsidR="00170C29">
        <w:t>.</w:t>
      </w:r>
    </w:p>
    <w:p w14:paraId="0A7D788B" w14:textId="77777777" w:rsidR="00C12AB8" w:rsidRDefault="00155EB5">
      <w:pPr>
        <w:pStyle w:val="Heading3"/>
        <w:rPr>
          <w:lang w:val="en-GB"/>
        </w:rPr>
      </w:pPr>
      <w:bookmarkStart w:id="17" w:name="_Toc856028"/>
      <w:r>
        <w:rPr>
          <w:lang w:val="en-GB"/>
        </w:rPr>
        <w:t>Safety-related requirements for Urban Rail ITS</w:t>
      </w:r>
      <w:bookmarkEnd w:id="17"/>
    </w:p>
    <w:p w14:paraId="0A7D788C" w14:textId="7B5D312A" w:rsidR="00C12AB8" w:rsidRDefault="00155EB5" w:rsidP="00306CBE">
      <w:pPr>
        <w:pStyle w:val="ECCParagraph"/>
        <w:spacing w:line="240" w:lineRule="auto"/>
      </w:pPr>
      <w:r>
        <w:t xml:space="preserve">Urban rail operators need a system to control and manage the traffic on their own network. Urban Rail </w:t>
      </w:r>
      <w:proofErr w:type="gramStart"/>
      <w:r>
        <w:t>ITS</w:t>
      </w:r>
      <w:proofErr w:type="gramEnd"/>
      <w:r>
        <w:t xml:space="preserve"> such as CBTC is a wireless Automatic Train Control (ATC) system, more flexible and cost efficient than traditional ATC. Safety of operation and operational performances (mainly low headway between trains and high number of passengers carried and exchanged along the line) depend on stringent radio-communication requirements; therefore Urban Rail ITS need access to spectrum with conditions ensuring these performances and the required level of safety of operation</w:t>
      </w:r>
      <w:r w:rsidR="00547696" w:rsidRPr="00547696">
        <w:rPr>
          <w:lang w:val="en-US"/>
        </w:rPr>
        <w:t xml:space="preserve"> and needs to be robust against interference</w:t>
      </w:r>
      <w:r>
        <w:t>.</w:t>
      </w:r>
    </w:p>
    <w:p w14:paraId="0A7D788D" w14:textId="25D6008C" w:rsidR="00C12AB8" w:rsidRDefault="00155EB5" w:rsidP="00306CBE">
      <w:pPr>
        <w:spacing w:after="240" w:line="240" w:lineRule="auto"/>
        <w:rPr>
          <w:lang w:val="en-GB"/>
        </w:rPr>
      </w:pPr>
      <w:r>
        <w:rPr>
          <w:lang w:val="en-GB"/>
        </w:rPr>
        <w:t>CBTC provid</w:t>
      </w:r>
      <w:r w:rsidR="00AC39D6">
        <w:rPr>
          <w:lang w:val="en-GB"/>
        </w:rPr>
        <w:t>es</w:t>
      </w:r>
      <w:r>
        <w:rPr>
          <w:lang w:val="en-GB"/>
        </w:rPr>
        <w:t xml:space="preserve"> automatic train control with and without driver. When trains are moving, the wireless system allows communication with a central system. The wireless system is used to transmit traction order or braking order in a safe mode. If trains cannot transmit</w:t>
      </w:r>
      <w:r w:rsidR="004225EE">
        <w:rPr>
          <w:lang w:val="en-GB"/>
        </w:rPr>
        <w:t>/receive</w:t>
      </w:r>
      <w:r>
        <w:rPr>
          <w:lang w:val="en-GB"/>
        </w:rPr>
        <w:t xml:space="preserve"> messages, they will not be authorised to move. The critical aspect of the radio system for Urban Rail (CBTC) implementations is its availability. CBTC therefore includes redundancy in the communications and has low latency requirements.</w:t>
      </w:r>
    </w:p>
    <w:p w14:paraId="0A7D788E" w14:textId="151E4A91" w:rsidR="00C12AB8" w:rsidRDefault="00155EB5" w:rsidP="00306CBE">
      <w:pPr>
        <w:spacing w:after="240" w:line="240" w:lineRule="auto"/>
        <w:jc w:val="both"/>
        <w:rPr>
          <w:rFonts w:eastAsia="Calibri"/>
          <w:szCs w:val="22"/>
          <w:lang w:val="en-GB"/>
        </w:rPr>
      </w:pPr>
      <w:r>
        <w:rPr>
          <w:rFonts w:eastAsia="Calibri"/>
          <w:szCs w:val="22"/>
          <w:lang w:val="en-GB"/>
        </w:rPr>
        <w:t xml:space="preserve">As per IEEE 1474 </w:t>
      </w:r>
      <w:r w:rsidR="00ED05C7">
        <w:rPr>
          <w:rFonts w:eastAsia="Calibri"/>
          <w:szCs w:val="22"/>
          <w:lang w:val="en-GB"/>
        </w:rPr>
        <w:fldChar w:fldCharType="begin"/>
      </w:r>
      <w:r w:rsidR="00ED05C7">
        <w:rPr>
          <w:rFonts w:eastAsia="Calibri"/>
          <w:szCs w:val="22"/>
          <w:lang w:val="en-GB"/>
        </w:rPr>
        <w:instrText xml:space="preserve"> REF _Ref528318926 \r \h </w:instrText>
      </w:r>
      <w:r w:rsidR="00ED05C7">
        <w:rPr>
          <w:rFonts w:eastAsia="Calibri"/>
          <w:szCs w:val="22"/>
          <w:lang w:val="en-GB"/>
        </w:rPr>
      </w:r>
      <w:r w:rsidR="00ED05C7">
        <w:rPr>
          <w:rFonts w:eastAsia="Calibri"/>
          <w:szCs w:val="22"/>
          <w:lang w:val="en-GB"/>
        </w:rPr>
        <w:fldChar w:fldCharType="separate"/>
      </w:r>
      <w:r w:rsidR="00595176">
        <w:rPr>
          <w:rFonts w:eastAsia="Calibri"/>
          <w:szCs w:val="22"/>
          <w:lang w:val="en-GB"/>
        </w:rPr>
        <w:t>[41]</w:t>
      </w:r>
      <w:r w:rsidR="00ED05C7">
        <w:rPr>
          <w:rFonts w:eastAsia="Calibri"/>
          <w:szCs w:val="22"/>
          <w:lang w:val="en-GB"/>
        </w:rPr>
        <w:fldChar w:fldCharType="end"/>
      </w:r>
      <w:r w:rsidR="004225EE">
        <w:rPr>
          <w:rFonts w:eastAsia="Calibri"/>
          <w:szCs w:val="22"/>
          <w:lang w:val="en-GB"/>
        </w:rPr>
        <w:t>,</w:t>
      </w:r>
      <w:r w:rsidR="004225EE" w:rsidRPr="004225EE">
        <w:rPr>
          <w:rFonts w:eastAsia="Calibri"/>
          <w:szCs w:val="22"/>
          <w:lang w:val="en-GB"/>
        </w:rPr>
        <w:t xml:space="preserve"> CBTC is defined as a</w:t>
      </w:r>
      <w:r w:rsidR="00B05FB1">
        <w:rPr>
          <w:rFonts w:eastAsia="Calibri"/>
          <w:szCs w:val="22"/>
          <w:lang w:val="en-GB"/>
        </w:rPr>
        <w:t>n</w:t>
      </w:r>
      <w:r w:rsidR="004225EE" w:rsidRPr="004225EE">
        <w:rPr>
          <w:rFonts w:eastAsia="Calibri"/>
          <w:szCs w:val="22"/>
          <w:lang w:val="en-GB"/>
        </w:rPr>
        <w:t xml:space="preserve"> automatic train</w:t>
      </w:r>
      <w:r w:rsidR="00ED05C7" w:rsidDel="00ED05C7">
        <w:rPr>
          <w:rFonts w:eastAsia="Calibri"/>
          <w:szCs w:val="22"/>
          <w:lang w:val="en-GB"/>
        </w:rPr>
        <w:t xml:space="preserve"> </w:t>
      </w:r>
      <w:r>
        <w:rPr>
          <w:rFonts w:eastAsia="Calibri"/>
          <w:szCs w:val="22"/>
          <w:lang w:val="en-GB"/>
        </w:rPr>
        <w:t>control system utilising:</w:t>
      </w:r>
    </w:p>
    <w:p w14:paraId="0A7D788F" w14:textId="77777777" w:rsidR="00C12AB8" w:rsidRDefault="00155EB5" w:rsidP="00587BD9">
      <w:pPr>
        <w:pStyle w:val="ECCBulletsLv1"/>
        <w:ind w:left="357" w:hanging="357"/>
      </w:pPr>
      <w:r>
        <w:t>high-resolution train location determination, independent of track circuits;</w:t>
      </w:r>
    </w:p>
    <w:p w14:paraId="0A7D7890" w14:textId="77777777" w:rsidR="00C12AB8" w:rsidRDefault="00155EB5" w:rsidP="00587BD9">
      <w:pPr>
        <w:pStyle w:val="ECCBulletsLv1"/>
        <w:ind w:left="357" w:hanging="357"/>
      </w:pPr>
      <w:r>
        <w:t>continuous, high-capacity, bidirectional train-to-wayside data communications;</w:t>
      </w:r>
    </w:p>
    <w:p w14:paraId="0A7D7891" w14:textId="461F5F23" w:rsidR="00C12AB8" w:rsidRDefault="00155EB5" w:rsidP="00587BD9">
      <w:pPr>
        <w:pStyle w:val="ECCBulletsLv1"/>
        <w:ind w:left="357" w:hanging="357"/>
      </w:pPr>
      <w:proofErr w:type="gramStart"/>
      <w:r>
        <w:t>train-borne</w:t>
      </w:r>
      <w:proofErr w:type="gramEnd"/>
      <w:r>
        <w:t xml:space="preserve"> and wayside processors capable of implementing automatic train protection (ATP) functions, as well as optional automatic train operation (ATO) and automatic train supervision (ATS) functions. </w:t>
      </w:r>
    </w:p>
    <w:p w14:paraId="0A7D7894" w14:textId="52296571" w:rsidR="00C12AB8" w:rsidRDefault="00C12AB8" w:rsidP="00306CBE">
      <w:pPr>
        <w:pStyle w:val="ECCParagraph"/>
        <w:spacing w:line="240" w:lineRule="auto"/>
      </w:pPr>
    </w:p>
    <w:p w14:paraId="0A7D7895" w14:textId="77777777" w:rsidR="00C12AB8" w:rsidRDefault="00155EB5" w:rsidP="00306CBE">
      <w:pPr>
        <w:pStyle w:val="ECCParagraph"/>
        <w:spacing w:line="240" w:lineRule="auto"/>
      </w:pPr>
      <w:r>
        <w:t xml:space="preserve">The Urban Rail (CBTC) system has to be sufficiently robust, i.e. suitable choice of system parameters in line with the safety-related requirements, especially for use above the ground. </w:t>
      </w:r>
    </w:p>
    <w:p w14:paraId="0A7D7896" w14:textId="77777777" w:rsidR="00C12AB8" w:rsidRDefault="00155EB5" w:rsidP="00306CBE">
      <w:pPr>
        <w:pStyle w:val="ECCParagraph"/>
        <w:spacing w:line="240" w:lineRule="auto"/>
      </w:pPr>
      <w:r>
        <w:t>A continuous availability of and accessibility to the radio network is required in order to transmit and receive a Movement Authority, including an emergency brake order, everywhere along the rail tracks. An interference case leading to an interruption of radiocommunication in the context of CBTC will lead to emergency braking and stopping of trains.</w:t>
      </w:r>
    </w:p>
    <w:p w14:paraId="0A7D7897" w14:textId="77777777" w:rsidR="004225EE" w:rsidRDefault="004225EE" w:rsidP="00306CBE">
      <w:pPr>
        <w:pStyle w:val="ECCParagraph"/>
        <w:spacing w:line="240" w:lineRule="auto"/>
      </w:pPr>
      <w:r w:rsidRPr="004225EE">
        <w:rPr>
          <w:lang w:val="en-US"/>
        </w:rPr>
        <w:t>Any spectrum harmonisation measure shall ensure a stable frequency regulatory framework from the beginning to Urban Rail, which fulfils the bandwidth requirements, so that the frequency band assigned to Urban Rail remains available during the lifetime of the system in order to avoid service disruption and cost implications of shifting the frequency band.</w:t>
      </w:r>
    </w:p>
    <w:p w14:paraId="0A7D7898" w14:textId="4D437731" w:rsidR="00C12AB8" w:rsidRDefault="00155EB5" w:rsidP="00306CBE">
      <w:pPr>
        <w:pStyle w:val="ECCParagraph"/>
        <w:spacing w:line="240" w:lineRule="auto"/>
      </w:pPr>
      <w:r>
        <w:t xml:space="preserve">The protection of already existing CBTC systems is important and it should be considered to make sure that the bandwidth is available for new CBTC systems with priorities (see Annex 1). </w:t>
      </w:r>
    </w:p>
    <w:p w14:paraId="0A7D7899" w14:textId="3DFFFE98" w:rsidR="00C12AB8" w:rsidRDefault="00155EB5">
      <w:pPr>
        <w:pStyle w:val="Heading1"/>
      </w:pPr>
      <w:bookmarkStart w:id="18" w:name="_Toc856029"/>
      <w:r>
        <w:lastRenderedPageBreak/>
        <w:t xml:space="preserve">Additional </w:t>
      </w:r>
      <w:r w:rsidR="00831C6B">
        <w:t xml:space="preserve">considerations on </w:t>
      </w:r>
      <w:r>
        <w:t>coexistence between ITS and other applications</w:t>
      </w:r>
      <w:bookmarkEnd w:id="18"/>
    </w:p>
    <w:p w14:paraId="0A7D789B" w14:textId="36EF8DC2" w:rsidR="0096295A" w:rsidRPr="00F73182" w:rsidRDefault="0096295A" w:rsidP="0096295A">
      <w:pPr>
        <w:spacing w:before="240" w:after="60" w:line="240" w:lineRule="auto"/>
        <w:jc w:val="both"/>
        <w:rPr>
          <w:rFonts w:eastAsia="Calibri" w:cs="Arial"/>
          <w:szCs w:val="20"/>
        </w:rPr>
      </w:pPr>
      <w:r w:rsidRPr="00F73182">
        <w:rPr>
          <w:rFonts w:eastAsia="Calibri" w:cs="Arial"/>
          <w:szCs w:val="20"/>
        </w:rPr>
        <w:t xml:space="preserve">Based on ECC Reports 101 </w:t>
      </w:r>
      <w:r w:rsidRPr="00F73182">
        <w:rPr>
          <w:rFonts w:eastAsia="Calibri" w:cs="Arial"/>
          <w:szCs w:val="20"/>
        </w:rPr>
        <w:fldChar w:fldCharType="begin"/>
      </w:r>
      <w:r w:rsidRPr="00F73182">
        <w:rPr>
          <w:rFonts w:eastAsia="Calibri" w:cs="Arial"/>
          <w:szCs w:val="20"/>
        </w:rPr>
        <w:instrText xml:space="preserve"> REF _Ref528314349 \r \h </w:instrText>
      </w:r>
      <w:r w:rsidRPr="00F73182">
        <w:rPr>
          <w:rFonts w:eastAsia="Calibri" w:cs="Arial"/>
          <w:szCs w:val="20"/>
        </w:rPr>
      </w:r>
      <w:r w:rsidRPr="00F73182">
        <w:rPr>
          <w:rFonts w:eastAsia="Calibri" w:cs="Arial"/>
          <w:szCs w:val="20"/>
        </w:rPr>
        <w:fldChar w:fldCharType="separate"/>
      </w:r>
      <w:r w:rsidR="00595176">
        <w:rPr>
          <w:rFonts w:eastAsia="Calibri" w:cs="Arial"/>
          <w:szCs w:val="20"/>
        </w:rPr>
        <w:t>[24]</w:t>
      </w:r>
      <w:r w:rsidRPr="00F73182">
        <w:rPr>
          <w:rFonts w:eastAsia="Calibri" w:cs="Arial"/>
          <w:szCs w:val="20"/>
        </w:rPr>
        <w:fldChar w:fldCharType="end"/>
      </w:r>
      <w:r w:rsidRPr="00F73182">
        <w:rPr>
          <w:rFonts w:eastAsia="Calibri" w:cs="Arial"/>
          <w:szCs w:val="20"/>
        </w:rPr>
        <w:t xml:space="preserve"> and 228 </w:t>
      </w:r>
      <w:r w:rsidRPr="00F73182">
        <w:rPr>
          <w:rFonts w:eastAsia="Calibri" w:cs="Arial"/>
          <w:szCs w:val="20"/>
        </w:rPr>
        <w:fldChar w:fldCharType="begin"/>
      </w:r>
      <w:r w:rsidRPr="00F73182">
        <w:rPr>
          <w:rFonts w:eastAsia="Calibri" w:cs="Arial"/>
          <w:szCs w:val="20"/>
        </w:rPr>
        <w:instrText xml:space="preserve"> REF _Ref525135038 \r \h </w:instrText>
      </w:r>
      <w:r w:rsidRPr="00F73182">
        <w:rPr>
          <w:rFonts w:eastAsia="Calibri" w:cs="Arial"/>
          <w:szCs w:val="20"/>
        </w:rPr>
      </w:r>
      <w:r w:rsidRPr="00F73182">
        <w:rPr>
          <w:rFonts w:eastAsia="Calibri" w:cs="Arial"/>
          <w:szCs w:val="20"/>
        </w:rPr>
        <w:fldChar w:fldCharType="separate"/>
      </w:r>
      <w:r w:rsidR="007A3AC6">
        <w:rPr>
          <w:rFonts w:eastAsia="Calibri" w:cs="Arial"/>
          <w:szCs w:val="20"/>
        </w:rPr>
        <w:t>[25]</w:t>
      </w:r>
      <w:r w:rsidRPr="00F73182">
        <w:rPr>
          <w:rFonts w:eastAsia="Calibri" w:cs="Arial"/>
          <w:szCs w:val="20"/>
        </w:rPr>
        <w:fldChar w:fldCharType="end"/>
      </w:r>
      <w:r w:rsidRPr="00F73182">
        <w:rPr>
          <w:rFonts w:eastAsia="Calibri" w:cs="Arial"/>
          <w:szCs w:val="20"/>
        </w:rPr>
        <w:t xml:space="preserve">, the following items have been </w:t>
      </w:r>
      <w:r>
        <w:rPr>
          <w:rFonts w:eastAsia="Calibri" w:cs="Arial"/>
          <w:szCs w:val="20"/>
        </w:rPr>
        <w:t>examined</w:t>
      </w:r>
      <w:r w:rsidRPr="00F73182">
        <w:rPr>
          <w:rFonts w:eastAsia="Calibri" w:cs="Arial"/>
          <w:szCs w:val="20"/>
        </w:rPr>
        <w:t xml:space="preserve"> </w:t>
      </w:r>
      <w:r w:rsidRPr="00805EC4">
        <w:rPr>
          <w:rFonts w:eastAsia="Calibri" w:cs="Arial"/>
          <w:szCs w:val="20"/>
        </w:rPr>
        <w:t xml:space="preserve">in ECC Report 290 </w:t>
      </w:r>
      <w:r w:rsidR="001A2EFC">
        <w:rPr>
          <w:rFonts w:eastAsia="Calibri" w:cs="Arial"/>
          <w:szCs w:val="20"/>
        </w:rPr>
        <w:fldChar w:fldCharType="begin"/>
      </w:r>
      <w:r w:rsidR="001A2EFC">
        <w:rPr>
          <w:rFonts w:eastAsia="Calibri" w:cs="Arial"/>
          <w:szCs w:val="20"/>
        </w:rPr>
        <w:instrText xml:space="preserve"> REF _Ref856537 \r \h </w:instrText>
      </w:r>
      <w:r w:rsidR="001A2EFC">
        <w:rPr>
          <w:rFonts w:eastAsia="Calibri" w:cs="Arial"/>
          <w:szCs w:val="20"/>
        </w:rPr>
      </w:r>
      <w:r w:rsidR="001A2EFC">
        <w:rPr>
          <w:rFonts w:eastAsia="Calibri" w:cs="Arial"/>
          <w:szCs w:val="20"/>
        </w:rPr>
        <w:fldChar w:fldCharType="separate"/>
      </w:r>
      <w:r w:rsidR="001A2EFC">
        <w:rPr>
          <w:rFonts w:eastAsia="Calibri" w:cs="Arial"/>
          <w:szCs w:val="20"/>
        </w:rPr>
        <w:t>[1]</w:t>
      </w:r>
      <w:r w:rsidR="001A2EFC">
        <w:rPr>
          <w:rFonts w:eastAsia="Calibri" w:cs="Arial"/>
          <w:szCs w:val="20"/>
        </w:rPr>
        <w:fldChar w:fldCharType="end"/>
      </w:r>
      <w:r w:rsidRPr="00805EC4">
        <w:rPr>
          <w:rFonts w:eastAsia="Calibri" w:cs="Arial"/>
          <w:szCs w:val="20"/>
        </w:rPr>
        <w:t xml:space="preserve"> </w:t>
      </w:r>
      <w:r w:rsidRPr="00F73182">
        <w:rPr>
          <w:rFonts w:eastAsia="Calibri" w:cs="Arial"/>
          <w:szCs w:val="20"/>
        </w:rPr>
        <w:t>by taking into account the need for reliable safety-related operation in the 5875-5925 MHz band:</w:t>
      </w:r>
    </w:p>
    <w:p w14:paraId="0A7D789C" w14:textId="77777777" w:rsidR="0096295A" w:rsidRPr="00F73182" w:rsidRDefault="0096295A" w:rsidP="0096295A">
      <w:pPr>
        <w:pStyle w:val="ECCParBulleted"/>
        <w:rPr>
          <w:rFonts w:eastAsia="Calibri" w:cs="Arial"/>
        </w:rPr>
      </w:pPr>
      <w:proofErr w:type="gramStart"/>
      <w:r w:rsidRPr="00F73182">
        <w:rPr>
          <w:rFonts w:eastAsia="Calibri" w:cs="Arial"/>
        </w:rPr>
        <w:t>for</w:t>
      </w:r>
      <w:proofErr w:type="gramEnd"/>
      <w:r w:rsidRPr="00F73182">
        <w:rPr>
          <w:rFonts w:eastAsia="Calibri" w:cs="Arial"/>
        </w:rPr>
        <w:t xml:space="preserve"> LTE-V2X, whether the assumptions and conclusions made in ECC Reports 101 and 228 are valid. This included considerations about TPC, duty cycling and overall transmission activity, coexistence with TTT road tolling; </w:t>
      </w:r>
    </w:p>
    <w:p w14:paraId="0A7D789D" w14:textId="77777777" w:rsidR="0096295A" w:rsidRPr="00F73182" w:rsidRDefault="0096295A" w:rsidP="0096295A">
      <w:pPr>
        <w:pStyle w:val="ECCParBulleted"/>
        <w:rPr>
          <w:rFonts w:eastAsia="Calibri" w:cs="Arial"/>
        </w:rPr>
      </w:pPr>
      <w:r w:rsidRPr="00F73182">
        <w:rPr>
          <w:rFonts w:eastAsia="Calibri" w:cs="Arial"/>
        </w:rPr>
        <w:t>for Urban Rail ITS, whether the assumptions and conclusions made in ECC Reports 101 and 228 are valid;</w:t>
      </w:r>
    </w:p>
    <w:p w14:paraId="0A7D789E" w14:textId="1F1E2A43" w:rsidR="0096295A" w:rsidRPr="00F73182" w:rsidRDefault="0096295A" w:rsidP="0096295A">
      <w:pPr>
        <w:pStyle w:val="ECCParBulleted"/>
        <w:rPr>
          <w:rFonts w:eastAsia="Calibri" w:cs="Arial"/>
        </w:rPr>
      </w:pPr>
      <w:r w:rsidRPr="00F73182">
        <w:rPr>
          <w:rFonts w:eastAsia="Calibri" w:cs="Arial"/>
        </w:rPr>
        <w:t>whether the conclusions of ECC Report 101, stating that between 5875 MHz and 5925 MHz ITS will not suffer from excessive interference resulting from systems/services other than ITS, are also valid for Road ITS based on LTE-V2X (PC5 air interface) and for Urban Rail ITS based on CBTC</w:t>
      </w:r>
      <w:r>
        <w:rPr>
          <w:rFonts w:eastAsia="Calibri" w:cs="Arial"/>
        </w:rPr>
        <w:t>.</w:t>
      </w:r>
    </w:p>
    <w:p w14:paraId="0A7D78A0" w14:textId="60A2F341" w:rsidR="0096295A" w:rsidRPr="00F73182" w:rsidRDefault="0096295A" w:rsidP="0096295A">
      <w:pPr>
        <w:spacing w:before="240" w:after="60" w:line="240" w:lineRule="auto"/>
        <w:jc w:val="both"/>
        <w:rPr>
          <w:rFonts w:eastAsia="Calibri" w:cs="Arial"/>
          <w:szCs w:val="20"/>
        </w:rPr>
      </w:pPr>
      <w:r w:rsidRPr="00805EC4">
        <w:rPr>
          <w:rFonts w:eastAsia="Calibri" w:cs="Arial"/>
          <w:szCs w:val="20"/>
        </w:rPr>
        <w:t xml:space="preserve">Co-frequency operation between Urban </w:t>
      </w:r>
      <w:r>
        <w:rPr>
          <w:rFonts w:eastAsia="Calibri" w:cs="Arial"/>
          <w:szCs w:val="20"/>
        </w:rPr>
        <w:t>R</w:t>
      </w:r>
      <w:r w:rsidRPr="00805EC4">
        <w:rPr>
          <w:rFonts w:eastAsia="Calibri" w:cs="Arial"/>
          <w:szCs w:val="20"/>
        </w:rPr>
        <w:t xml:space="preserve">ail </w:t>
      </w:r>
      <w:r>
        <w:rPr>
          <w:rFonts w:eastAsia="Calibri" w:cs="Arial"/>
          <w:szCs w:val="20"/>
        </w:rPr>
        <w:t xml:space="preserve">ITS </w:t>
      </w:r>
      <w:r w:rsidRPr="00805EC4">
        <w:rPr>
          <w:rFonts w:eastAsia="Calibri" w:cs="Arial"/>
          <w:szCs w:val="20"/>
        </w:rPr>
        <w:t>and F</w:t>
      </w:r>
      <w:r>
        <w:rPr>
          <w:rFonts w:eastAsia="Calibri" w:cs="Arial"/>
          <w:szCs w:val="20"/>
        </w:rPr>
        <w:t xml:space="preserve">ixed </w:t>
      </w:r>
      <w:r w:rsidRPr="00805EC4">
        <w:rPr>
          <w:rFonts w:eastAsia="Calibri" w:cs="Arial"/>
          <w:szCs w:val="20"/>
        </w:rPr>
        <w:t>S</w:t>
      </w:r>
      <w:r>
        <w:rPr>
          <w:rFonts w:eastAsia="Calibri" w:cs="Arial"/>
          <w:szCs w:val="20"/>
        </w:rPr>
        <w:t>ervice</w:t>
      </w:r>
      <w:r w:rsidRPr="00805EC4">
        <w:rPr>
          <w:rFonts w:eastAsia="Calibri" w:cs="Arial"/>
          <w:szCs w:val="20"/>
        </w:rPr>
        <w:t xml:space="preserve"> in 5925-5935 MHz was not assessed in </w:t>
      </w:r>
      <w:r>
        <w:rPr>
          <w:rFonts w:eastAsia="Calibri" w:cs="Arial"/>
          <w:szCs w:val="20"/>
        </w:rPr>
        <w:t xml:space="preserve">ECC </w:t>
      </w:r>
      <w:r w:rsidRPr="00805EC4">
        <w:rPr>
          <w:rFonts w:eastAsia="Calibri" w:cs="Arial"/>
          <w:szCs w:val="20"/>
        </w:rPr>
        <w:t xml:space="preserve">Report </w:t>
      </w:r>
      <w:r>
        <w:rPr>
          <w:rFonts w:eastAsia="Calibri" w:cs="Arial"/>
          <w:szCs w:val="20"/>
        </w:rPr>
        <w:t xml:space="preserve">290 </w:t>
      </w:r>
      <w:r w:rsidRPr="00805EC4">
        <w:rPr>
          <w:rFonts w:eastAsia="Calibri" w:cs="Arial"/>
          <w:szCs w:val="20"/>
        </w:rPr>
        <w:t>as it was considered out of scope.</w:t>
      </w:r>
      <w:r>
        <w:rPr>
          <w:rFonts w:eastAsia="Calibri" w:cs="Arial"/>
          <w:szCs w:val="20"/>
        </w:rPr>
        <w:t xml:space="preserve"> </w:t>
      </w:r>
      <w:r w:rsidRPr="00F73182">
        <w:rPr>
          <w:rFonts w:eastAsia="Calibri" w:cs="Arial"/>
          <w:szCs w:val="20"/>
        </w:rPr>
        <w:t>To allow Urban Rail ITS to operate up to 5935 MHz, the adjacent band compatibility between Urban Rail ITS in 5915-5935 MHz and RLAN above 5935 MHz is currently investigated.</w:t>
      </w:r>
    </w:p>
    <w:p w14:paraId="0A7D78A1" w14:textId="490BE32E" w:rsidR="0096295A" w:rsidRPr="008310DC" w:rsidRDefault="0096295A" w:rsidP="0096295A">
      <w:pPr>
        <w:spacing w:before="240" w:after="60" w:line="240" w:lineRule="auto"/>
        <w:jc w:val="both"/>
        <w:rPr>
          <w:rFonts w:eastAsia="Calibri" w:cs="Arial"/>
          <w:szCs w:val="20"/>
        </w:rPr>
      </w:pPr>
      <w:r w:rsidRPr="008310DC">
        <w:rPr>
          <w:rFonts w:eastAsia="Calibri" w:cs="Arial"/>
          <w:szCs w:val="20"/>
        </w:rPr>
        <w:t xml:space="preserve">Requirements in </w:t>
      </w:r>
      <w:r w:rsidR="007A3AC6">
        <w:rPr>
          <w:rFonts w:eastAsia="Calibri" w:cs="Arial"/>
          <w:szCs w:val="20"/>
        </w:rPr>
        <w:t xml:space="preserve">ETSI </w:t>
      </w:r>
      <w:r w:rsidRPr="008310DC">
        <w:rPr>
          <w:rFonts w:eastAsia="Calibri" w:cs="Arial"/>
          <w:szCs w:val="20"/>
        </w:rPr>
        <w:t xml:space="preserve">EN 302 571 </w:t>
      </w:r>
      <w:r w:rsidR="004671D5">
        <w:rPr>
          <w:rFonts w:eastAsia="Calibri" w:cs="Arial"/>
          <w:szCs w:val="20"/>
        </w:rPr>
        <w:fldChar w:fldCharType="begin"/>
      </w:r>
      <w:r w:rsidR="004671D5">
        <w:rPr>
          <w:rFonts w:eastAsia="Calibri" w:cs="Arial"/>
          <w:szCs w:val="20"/>
        </w:rPr>
        <w:instrText xml:space="preserve"> REF _Ref855116 \r \h </w:instrText>
      </w:r>
      <w:r w:rsidR="004671D5">
        <w:rPr>
          <w:rFonts w:eastAsia="Calibri" w:cs="Arial"/>
          <w:szCs w:val="20"/>
        </w:rPr>
      </w:r>
      <w:r w:rsidR="004671D5">
        <w:rPr>
          <w:rFonts w:eastAsia="Calibri" w:cs="Arial"/>
          <w:szCs w:val="20"/>
        </w:rPr>
        <w:fldChar w:fldCharType="separate"/>
      </w:r>
      <w:r w:rsidR="00595176">
        <w:rPr>
          <w:rFonts w:eastAsia="Calibri" w:cs="Arial"/>
          <w:szCs w:val="20"/>
        </w:rPr>
        <w:t>[36]</w:t>
      </w:r>
      <w:r w:rsidR="004671D5">
        <w:rPr>
          <w:rFonts w:eastAsia="Calibri" w:cs="Arial"/>
          <w:szCs w:val="20"/>
        </w:rPr>
        <w:fldChar w:fldCharType="end"/>
      </w:r>
      <w:r w:rsidRPr="008310DC">
        <w:rPr>
          <w:rFonts w:eastAsia="Calibri" w:cs="Arial"/>
          <w:szCs w:val="20"/>
        </w:rPr>
        <w:t>, related to coexistence with road tolling below 5815 MHz and Fixed Service above 5925 MHz, are based on ECC Report 228, which supersedes ECC Report 101 on these topics.</w:t>
      </w:r>
    </w:p>
    <w:p w14:paraId="0A7D78A2" w14:textId="77777777" w:rsidR="0096295A" w:rsidRPr="008E4B81" w:rsidRDefault="0096295A" w:rsidP="0096295A">
      <w:pPr>
        <w:keepLines/>
        <w:tabs>
          <w:tab w:val="left" w:pos="0"/>
          <w:tab w:val="center" w:pos="4820"/>
          <w:tab w:val="right" w:pos="9639"/>
        </w:tabs>
        <w:spacing w:before="240" w:after="240" w:line="240" w:lineRule="auto"/>
        <w:jc w:val="center"/>
        <w:rPr>
          <w:rFonts w:cs="Arial"/>
          <w:b/>
          <w:bCs/>
          <w:color w:val="D2232A"/>
          <w:szCs w:val="20"/>
        </w:rPr>
      </w:pPr>
      <w:r w:rsidRPr="008E4B81">
        <w:rPr>
          <w:rFonts w:cs="Arial"/>
          <w:b/>
          <w:bCs/>
          <w:color w:val="D2232A"/>
          <w:szCs w:val="20"/>
        </w:rPr>
        <w:t xml:space="preserve">Table </w:t>
      </w:r>
      <w:r w:rsidRPr="008E4B81">
        <w:rPr>
          <w:rFonts w:cs="Arial"/>
          <w:b/>
          <w:bCs/>
          <w:color w:val="D2232A"/>
          <w:szCs w:val="20"/>
        </w:rPr>
        <w:fldChar w:fldCharType="begin"/>
      </w:r>
      <w:r w:rsidRPr="008E4B81">
        <w:rPr>
          <w:rFonts w:cs="Arial"/>
          <w:b/>
          <w:bCs/>
          <w:color w:val="D2232A"/>
          <w:szCs w:val="20"/>
        </w:rPr>
        <w:instrText xml:space="preserve"> SEQ Table \* ARABIC </w:instrText>
      </w:r>
      <w:r w:rsidRPr="008E4B81">
        <w:rPr>
          <w:rFonts w:cs="Arial"/>
          <w:b/>
          <w:bCs/>
          <w:color w:val="D2232A"/>
          <w:szCs w:val="20"/>
        </w:rPr>
        <w:fldChar w:fldCharType="separate"/>
      </w:r>
      <w:r w:rsidR="00BB544A">
        <w:rPr>
          <w:rFonts w:cs="Arial"/>
          <w:b/>
          <w:bCs/>
          <w:noProof/>
          <w:color w:val="D2232A"/>
          <w:szCs w:val="20"/>
        </w:rPr>
        <w:t>1</w:t>
      </w:r>
      <w:r w:rsidRPr="008E4B81">
        <w:rPr>
          <w:rFonts w:cs="Arial"/>
          <w:b/>
          <w:bCs/>
          <w:color w:val="D2232A"/>
          <w:szCs w:val="20"/>
        </w:rPr>
        <w:fldChar w:fldCharType="end"/>
      </w:r>
      <w:r w:rsidRPr="008E4B81">
        <w:rPr>
          <w:rFonts w:cs="Arial"/>
          <w:b/>
          <w:bCs/>
          <w:color w:val="D2232A"/>
          <w:szCs w:val="20"/>
        </w:rPr>
        <w:t>: Summary of the analysis performed in ECC Report</w:t>
      </w:r>
      <w:r>
        <w:rPr>
          <w:rFonts w:cs="Arial"/>
          <w:b/>
          <w:bCs/>
          <w:color w:val="D2232A"/>
          <w:szCs w:val="20"/>
        </w:rPr>
        <w:t xml:space="preserve"> 290</w:t>
      </w:r>
    </w:p>
    <w:tbl>
      <w:tblPr>
        <w:tblStyle w:val="TableGrid"/>
        <w:tblW w:w="9212" w:type="dxa"/>
        <w:tblLayout w:type="fixed"/>
        <w:tblLook w:val="04A0" w:firstRow="1" w:lastRow="0" w:firstColumn="1" w:lastColumn="0" w:noHBand="0" w:noVBand="1"/>
      </w:tblPr>
      <w:tblGrid>
        <w:gridCol w:w="1842"/>
        <w:gridCol w:w="1842"/>
        <w:gridCol w:w="1842"/>
        <w:gridCol w:w="1843"/>
        <w:gridCol w:w="1843"/>
      </w:tblGrid>
      <w:tr w:rsidR="0096295A" w:rsidRPr="008E4B81" w14:paraId="0A7D78A7" w14:textId="77777777" w:rsidTr="007667FD">
        <w:trPr>
          <w:cantSplit/>
        </w:trPr>
        <w:tc>
          <w:tcPr>
            <w:tcW w:w="184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0A7D78A3" w14:textId="77777777" w:rsidR="0096295A" w:rsidRPr="008E4B81" w:rsidRDefault="0096295A" w:rsidP="007667FD">
            <w:pPr>
              <w:spacing w:before="120" w:after="120"/>
              <w:jc w:val="center"/>
              <w:rPr>
                <w:rFonts w:eastAsia="Calibri" w:cs="Arial"/>
                <w:b/>
                <w:color w:val="FFFFFF" w:themeColor="background1"/>
                <w:szCs w:val="20"/>
              </w:rPr>
            </w:pPr>
            <w:r w:rsidRPr="008E4B81">
              <w:rPr>
                <w:rFonts w:eastAsia="Calibri" w:cs="Arial"/>
                <w:b/>
                <w:color w:val="FFFFFF" w:themeColor="background1"/>
                <w:szCs w:val="20"/>
              </w:rPr>
              <w:t>Service</w:t>
            </w:r>
          </w:p>
        </w:tc>
        <w:tc>
          <w:tcPr>
            <w:tcW w:w="36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0A7D78A4" w14:textId="77777777" w:rsidR="0096295A" w:rsidRPr="008E4B81" w:rsidRDefault="0096295A" w:rsidP="007667FD">
            <w:pPr>
              <w:spacing w:before="120" w:after="120"/>
              <w:jc w:val="center"/>
              <w:rPr>
                <w:rFonts w:eastAsia="Calibri" w:cs="Arial"/>
                <w:b/>
                <w:color w:val="FFFFFF" w:themeColor="background1"/>
                <w:szCs w:val="20"/>
              </w:rPr>
            </w:pPr>
            <w:r w:rsidRPr="008E4B81">
              <w:rPr>
                <w:rFonts w:eastAsia="Calibri" w:cs="Arial"/>
                <w:b/>
                <w:color w:val="FFFFFF" w:themeColor="background1"/>
                <w:szCs w:val="20"/>
              </w:rPr>
              <w:t>Conclusions of ECC Reports 101 and 228</w:t>
            </w:r>
          </w:p>
        </w:tc>
        <w:tc>
          <w:tcPr>
            <w:tcW w:w="18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0A7D78A5" w14:textId="77777777" w:rsidR="0096295A" w:rsidRPr="008E4B81" w:rsidRDefault="0096295A" w:rsidP="007667FD">
            <w:pPr>
              <w:spacing w:before="120" w:after="120"/>
              <w:jc w:val="center"/>
              <w:rPr>
                <w:rFonts w:eastAsia="Calibri" w:cs="Arial"/>
                <w:b/>
                <w:color w:val="FFFFFF" w:themeColor="background1"/>
                <w:szCs w:val="20"/>
              </w:rPr>
            </w:pPr>
            <w:r w:rsidRPr="008E4B81">
              <w:rPr>
                <w:rFonts w:eastAsia="Calibri" w:cs="Arial"/>
                <w:b/>
                <w:color w:val="FFFFFF" w:themeColor="background1"/>
                <w:szCs w:val="20"/>
              </w:rPr>
              <w:t>Conclusions on CBTC</w:t>
            </w:r>
          </w:p>
        </w:tc>
        <w:tc>
          <w:tcPr>
            <w:tcW w:w="18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0A7D78A6" w14:textId="77777777" w:rsidR="0096295A" w:rsidRPr="008E4B81" w:rsidRDefault="0096295A" w:rsidP="007667FD">
            <w:pPr>
              <w:spacing w:before="120" w:after="120"/>
              <w:jc w:val="center"/>
              <w:rPr>
                <w:rFonts w:eastAsia="Calibri" w:cs="Arial"/>
                <w:b/>
                <w:color w:val="FFFFFF" w:themeColor="background1"/>
                <w:szCs w:val="20"/>
              </w:rPr>
            </w:pPr>
            <w:r w:rsidRPr="008E4B81">
              <w:rPr>
                <w:rFonts w:eastAsia="Calibri" w:cs="Arial"/>
                <w:b/>
                <w:color w:val="FFFFFF" w:themeColor="background1"/>
                <w:szCs w:val="20"/>
              </w:rPr>
              <w:t>Conclusions on LTE-V2X</w:t>
            </w:r>
          </w:p>
        </w:tc>
      </w:tr>
      <w:tr w:rsidR="0096295A" w:rsidRPr="008E4B81" w14:paraId="0A7D78AD" w14:textId="77777777" w:rsidTr="007667FD">
        <w:trPr>
          <w:cantSplit/>
        </w:trPr>
        <w:tc>
          <w:tcPr>
            <w:tcW w:w="1842" w:type="dxa"/>
            <w:vMerge/>
            <w:tcBorders>
              <w:top w:val="single" w:sz="4" w:space="0" w:color="FFFFFF" w:themeColor="background1"/>
              <w:left w:val="single" w:sz="4" w:space="0" w:color="D2232A"/>
              <w:bottom w:val="single" w:sz="4" w:space="0" w:color="D2232A"/>
              <w:right w:val="single" w:sz="4" w:space="0" w:color="FFFFFF" w:themeColor="background1"/>
            </w:tcBorders>
            <w:vAlign w:val="center"/>
          </w:tcPr>
          <w:p w14:paraId="0A7D78A8" w14:textId="77777777" w:rsidR="0096295A" w:rsidRPr="008E4B81" w:rsidRDefault="0096295A" w:rsidP="007667FD">
            <w:pPr>
              <w:spacing w:before="120" w:after="120"/>
              <w:jc w:val="center"/>
              <w:rPr>
                <w:rFonts w:eastAsia="Calibri" w:cs="Arial"/>
                <w:szCs w:val="20"/>
              </w:rPr>
            </w:pPr>
          </w:p>
        </w:tc>
        <w:tc>
          <w:tcPr>
            <w:tcW w:w="1842"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vAlign w:val="center"/>
          </w:tcPr>
          <w:p w14:paraId="0A7D78A9" w14:textId="77777777" w:rsidR="0096295A" w:rsidRPr="008E4B81" w:rsidRDefault="0096295A" w:rsidP="007667FD">
            <w:pPr>
              <w:spacing w:before="120" w:after="120"/>
              <w:jc w:val="center"/>
              <w:rPr>
                <w:rFonts w:eastAsia="Calibri" w:cs="Arial"/>
                <w:b/>
                <w:color w:val="FFFFFF" w:themeColor="background1"/>
                <w:szCs w:val="20"/>
              </w:rPr>
            </w:pPr>
            <w:r w:rsidRPr="008E4B81">
              <w:rPr>
                <w:rFonts w:eastAsia="Calibri" w:cs="Arial"/>
                <w:b/>
                <w:color w:val="FFFFFF" w:themeColor="background1"/>
                <w:szCs w:val="20"/>
              </w:rPr>
              <w:t>ITS as interferer</w:t>
            </w:r>
          </w:p>
        </w:tc>
        <w:tc>
          <w:tcPr>
            <w:tcW w:w="1842"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vAlign w:val="center"/>
          </w:tcPr>
          <w:p w14:paraId="0A7D78AA" w14:textId="77777777" w:rsidR="0096295A" w:rsidRPr="008E4B81" w:rsidRDefault="0096295A" w:rsidP="007667FD">
            <w:pPr>
              <w:spacing w:before="120" w:after="120"/>
              <w:jc w:val="center"/>
              <w:rPr>
                <w:rFonts w:eastAsia="Calibri" w:cs="Arial"/>
                <w:b/>
                <w:color w:val="FFFFFF" w:themeColor="background1"/>
                <w:szCs w:val="20"/>
              </w:rPr>
            </w:pPr>
            <w:r w:rsidRPr="008E4B81">
              <w:rPr>
                <w:rFonts w:eastAsia="Calibri" w:cs="Arial"/>
                <w:b/>
                <w:color w:val="FFFFFF" w:themeColor="background1"/>
                <w:szCs w:val="20"/>
              </w:rPr>
              <w:t>ITS as victim</w:t>
            </w:r>
          </w:p>
        </w:tc>
        <w:tc>
          <w:tcPr>
            <w:tcW w:w="18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7D78AB" w14:textId="77777777" w:rsidR="0096295A" w:rsidRPr="008E4B81" w:rsidRDefault="0096295A" w:rsidP="007667FD">
            <w:pPr>
              <w:spacing w:before="120" w:after="120"/>
              <w:jc w:val="center"/>
              <w:rPr>
                <w:rFonts w:eastAsia="Calibri" w:cs="Arial"/>
                <w:szCs w:val="20"/>
              </w:rPr>
            </w:pPr>
          </w:p>
        </w:tc>
        <w:tc>
          <w:tcPr>
            <w:tcW w:w="18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7D78AC" w14:textId="77777777" w:rsidR="0096295A" w:rsidRPr="008E4B81" w:rsidRDefault="0096295A" w:rsidP="007667FD">
            <w:pPr>
              <w:spacing w:before="120" w:after="120"/>
              <w:jc w:val="center"/>
              <w:rPr>
                <w:rFonts w:eastAsia="Calibri" w:cs="Arial"/>
                <w:szCs w:val="20"/>
              </w:rPr>
            </w:pPr>
          </w:p>
        </w:tc>
      </w:tr>
      <w:tr w:rsidR="0096295A" w:rsidRPr="008E4B81" w14:paraId="0A7D78B3" w14:textId="77777777" w:rsidTr="007667FD">
        <w:trPr>
          <w:cantSplit/>
        </w:trPr>
        <w:tc>
          <w:tcPr>
            <w:tcW w:w="1842" w:type="dxa"/>
            <w:tcBorders>
              <w:top w:val="single" w:sz="4" w:space="0" w:color="D2232A"/>
              <w:left w:val="single" w:sz="4" w:space="0" w:color="D2232A"/>
              <w:bottom w:val="single" w:sz="4" w:space="0" w:color="D2232A"/>
              <w:right w:val="single" w:sz="4" w:space="0" w:color="D2232A"/>
            </w:tcBorders>
            <w:vAlign w:val="center"/>
          </w:tcPr>
          <w:p w14:paraId="0A7D78AE" w14:textId="77777777" w:rsidR="0096295A" w:rsidRPr="008E4B81" w:rsidRDefault="0096295A" w:rsidP="007667FD">
            <w:pPr>
              <w:spacing w:before="60" w:after="60"/>
              <w:rPr>
                <w:rFonts w:cs="Arial"/>
                <w:szCs w:val="20"/>
              </w:rPr>
            </w:pPr>
            <w:r w:rsidRPr="00451AC8">
              <w:rPr>
                <w:rFonts w:cs="Arial"/>
                <w:szCs w:val="20"/>
              </w:rPr>
              <w:t>Radio amateur</w:t>
            </w:r>
            <w:r w:rsidRPr="00451AC8">
              <w:rPr>
                <w:rFonts w:cs="Arial"/>
                <w:szCs w:val="20"/>
              </w:rPr>
              <w:br/>
              <w:t>(5830-5850 MHz)</w:t>
            </w:r>
          </w:p>
        </w:tc>
        <w:tc>
          <w:tcPr>
            <w:tcW w:w="1842" w:type="dxa"/>
            <w:tcBorders>
              <w:top w:val="single" w:sz="4" w:space="0" w:color="D2232A"/>
              <w:left w:val="single" w:sz="4" w:space="0" w:color="D2232A"/>
              <w:bottom w:val="single" w:sz="4" w:space="0" w:color="D2232A"/>
              <w:right w:val="single" w:sz="4" w:space="0" w:color="D2232A"/>
            </w:tcBorders>
            <w:vAlign w:val="center"/>
          </w:tcPr>
          <w:p w14:paraId="0A7D78AF" w14:textId="77777777" w:rsidR="0096295A" w:rsidRPr="008E4B81" w:rsidRDefault="00595176" w:rsidP="007667FD">
            <w:pPr>
              <w:spacing w:before="60" w:after="60"/>
              <w:rPr>
                <w:rFonts w:eastAsia="Calibri" w:cs="Arial"/>
                <w:szCs w:val="20"/>
              </w:rPr>
            </w:pPr>
            <w:r>
              <w:rPr>
                <w:rFonts w:eastAsia="Calibri" w:cs="Arial"/>
                <w:szCs w:val="20"/>
              </w:rPr>
              <w:t>Compatibility is achieved</w:t>
            </w:r>
          </w:p>
        </w:tc>
        <w:tc>
          <w:tcPr>
            <w:tcW w:w="1842" w:type="dxa"/>
            <w:tcBorders>
              <w:top w:val="single" w:sz="4" w:space="0" w:color="D2232A"/>
              <w:left w:val="single" w:sz="4" w:space="0" w:color="D2232A"/>
              <w:bottom w:val="single" w:sz="4" w:space="0" w:color="D2232A"/>
              <w:right w:val="single" w:sz="4" w:space="0" w:color="D2232A"/>
            </w:tcBorders>
            <w:vAlign w:val="center"/>
          </w:tcPr>
          <w:p w14:paraId="0A7D78B0" w14:textId="77777777" w:rsidR="0096295A" w:rsidRPr="008E4B81" w:rsidRDefault="00595176" w:rsidP="007667FD">
            <w:pPr>
              <w:spacing w:before="60" w:after="60"/>
              <w:rPr>
                <w:rFonts w:eastAsia="Calibri" w:cs="Arial"/>
                <w:szCs w:val="20"/>
              </w:rPr>
            </w:pPr>
            <w:r>
              <w:rPr>
                <w:rFonts w:eastAsia="Calibri" w:cs="Arial"/>
                <w:szCs w:val="20"/>
              </w:rPr>
              <w:t>Compatibility is achieved</w:t>
            </w:r>
          </w:p>
        </w:tc>
        <w:tc>
          <w:tcPr>
            <w:tcW w:w="1843" w:type="dxa"/>
            <w:tcBorders>
              <w:top w:val="single" w:sz="4" w:space="0" w:color="FFFFFF" w:themeColor="background1"/>
              <w:left w:val="single" w:sz="4" w:space="0" w:color="D2232A"/>
              <w:bottom w:val="single" w:sz="4" w:space="0" w:color="D2232A"/>
              <w:right w:val="single" w:sz="4" w:space="0" w:color="D2232A"/>
            </w:tcBorders>
            <w:vAlign w:val="center"/>
          </w:tcPr>
          <w:p w14:paraId="0A7D78B1" w14:textId="77777777" w:rsidR="0096295A" w:rsidRPr="008E4B81" w:rsidRDefault="0096295A" w:rsidP="007667FD">
            <w:pPr>
              <w:spacing w:before="60" w:after="60"/>
              <w:rPr>
                <w:rFonts w:cs="Arial"/>
                <w:szCs w:val="20"/>
              </w:rPr>
            </w:pPr>
            <w:r w:rsidRPr="008E4B81">
              <w:rPr>
                <w:rFonts w:cs="Arial"/>
                <w:szCs w:val="20"/>
              </w:rPr>
              <w:t>Compatibility is achie</w:t>
            </w:r>
            <w:r w:rsidR="00595176">
              <w:rPr>
                <w:rFonts w:cs="Arial"/>
                <w:szCs w:val="20"/>
              </w:rPr>
              <w:t>ved above 5875 MHz in both ways</w:t>
            </w:r>
          </w:p>
        </w:tc>
        <w:tc>
          <w:tcPr>
            <w:tcW w:w="1843" w:type="dxa"/>
            <w:tcBorders>
              <w:top w:val="single" w:sz="4" w:space="0" w:color="FFFFFF" w:themeColor="background1"/>
              <w:left w:val="single" w:sz="4" w:space="0" w:color="D2232A"/>
              <w:bottom w:val="single" w:sz="4" w:space="0" w:color="D2232A"/>
              <w:right w:val="single" w:sz="4" w:space="0" w:color="D2232A"/>
            </w:tcBorders>
            <w:vAlign w:val="center"/>
          </w:tcPr>
          <w:p w14:paraId="0A7D78B2" w14:textId="77777777" w:rsidR="0096295A" w:rsidRPr="008E4B81" w:rsidRDefault="00595176" w:rsidP="007667FD">
            <w:pPr>
              <w:spacing w:before="60" w:after="60"/>
              <w:rPr>
                <w:rFonts w:cs="Arial"/>
                <w:szCs w:val="20"/>
              </w:rPr>
            </w:pPr>
            <w:r>
              <w:rPr>
                <w:rFonts w:cs="Arial"/>
                <w:szCs w:val="20"/>
              </w:rPr>
              <w:t>ECC Report 101 remains valid</w:t>
            </w:r>
          </w:p>
        </w:tc>
      </w:tr>
      <w:tr w:rsidR="0096295A" w:rsidRPr="008E4B81" w14:paraId="0A7D78B9" w14:textId="77777777" w:rsidTr="007667FD">
        <w:trPr>
          <w:cantSplit/>
        </w:trPr>
        <w:tc>
          <w:tcPr>
            <w:tcW w:w="1842" w:type="dxa"/>
            <w:tcBorders>
              <w:top w:val="single" w:sz="4" w:space="0" w:color="D2232A"/>
              <w:left w:val="single" w:sz="4" w:space="0" w:color="D2232A"/>
              <w:bottom w:val="single" w:sz="4" w:space="0" w:color="D2232A"/>
              <w:right w:val="single" w:sz="4" w:space="0" w:color="D2232A"/>
            </w:tcBorders>
            <w:vAlign w:val="center"/>
          </w:tcPr>
          <w:p w14:paraId="0A7D78B4" w14:textId="77777777" w:rsidR="0096295A" w:rsidRPr="008E4B81" w:rsidRDefault="0096295A" w:rsidP="007667FD">
            <w:pPr>
              <w:spacing w:before="60" w:after="60"/>
              <w:rPr>
                <w:rFonts w:cs="Arial"/>
                <w:szCs w:val="20"/>
              </w:rPr>
            </w:pPr>
            <w:r w:rsidRPr="00451AC8">
              <w:rPr>
                <w:rFonts w:cs="Arial"/>
                <w:szCs w:val="20"/>
              </w:rPr>
              <w:t>FSS</w:t>
            </w:r>
            <w:r w:rsidRPr="00451AC8">
              <w:rPr>
                <w:rFonts w:cs="Arial"/>
                <w:szCs w:val="20"/>
              </w:rPr>
              <w:br/>
              <w:t>(5850-6725 MHz)</w:t>
            </w:r>
          </w:p>
        </w:tc>
        <w:tc>
          <w:tcPr>
            <w:tcW w:w="1842" w:type="dxa"/>
            <w:tcBorders>
              <w:top w:val="single" w:sz="4" w:space="0" w:color="D2232A"/>
              <w:left w:val="single" w:sz="4" w:space="0" w:color="D2232A"/>
              <w:bottom w:val="single" w:sz="4" w:space="0" w:color="D2232A"/>
              <w:right w:val="single" w:sz="4" w:space="0" w:color="D2232A"/>
            </w:tcBorders>
            <w:vAlign w:val="center"/>
          </w:tcPr>
          <w:p w14:paraId="0A7D78B5" w14:textId="77777777" w:rsidR="0096295A" w:rsidRPr="008E4B81" w:rsidRDefault="00595176" w:rsidP="007667FD">
            <w:pPr>
              <w:spacing w:before="60" w:after="60"/>
              <w:rPr>
                <w:rFonts w:eastAsia="Calibri" w:cs="Arial"/>
                <w:szCs w:val="20"/>
              </w:rPr>
            </w:pPr>
            <w:r>
              <w:rPr>
                <w:rFonts w:eastAsia="Calibri" w:cs="Arial"/>
                <w:szCs w:val="20"/>
              </w:rPr>
              <w:t>Compatibility is achieved</w:t>
            </w:r>
          </w:p>
        </w:tc>
        <w:tc>
          <w:tcPr>
            <w:tcW w:w="1842" w:type="dxa"/>
            <w:tcBorders>
              <w:top w:val="single" w:sz="4" w:space="0" w:color="D2232A"/>
              <w:left w:val="single" w:sz="4" w:space="0" w:color="D2232A"/>
              <w:bottom w:val="single" w:sz="4" w:space="0" w:color="D2232A"/>
              <w:right w:val="single" w:sz="4" w:space="0" w:color="D2232A"/>
            </w:tcBorders>
            <w:vAlign w:val="center"/>
          </w:tcPr>
          <w:p w14:paraId="0A7D78B6" w14:textId="77777777" w:rsidR="0096295A" w:rsidRPr="008E4B81" w:rsidRDefault="0096295A" w:rsidP="007667FD">
            <w:pPr>
              <w:spacing w:before="60" w:after="60"/>
              <w:rPr>
                <w:rFonts w:eastAsia="Calibri" w:cs="Arial"/>
                <w:szCs w:val="20"/>
              </w:rPr>
            </w:pPr>
            <w:r w:rsidRPr="008E4B81">
              <w:rPr>
                <w:rFonts w:eastAsia="Calibri" w:cs="Arial"/>
                <w:szCs w:val="20"/>
              </w:rPr>
              <w:t>Compatibility is achieved in most cases taking into account the limited number of earth stat</w:t>
            </w:r>
            <w:r w:rsidR="00595176">
              <w:rPr>
                <w:rFonts w:eastAsia="Calibri" w:cs="Arial"/>
                <w:szCs w:val="20"/>
              </w:rPr>
              <w:t>ions and real terrain shielding</w:t>
            </w:r>
          </w:p>
        </w:tc>
        <w:tc>
          <w:tcPr>
            <w:tcW w:w="1843" w:type="dxa"/>
            <w:tcBorders>
              <w:top w:val="single" w:sz="4" w:space="0" w:color="D2232A"/>
              <w:left w:val="single" w:sz="4" w:space="0" w:color="D2232A"/>
              <w:bottom w:val="single" w:sz="4" w:space="0" w:color="D2232A"/>
              <w:right w:val="single" w:sz="4" w:space="0" w:color="D2232A"/>
            </w:tcBorders>
            <w:vAlign w:val="center"/>
          </w:tcPr>
          <w:p w14:paraId="0A7D78B7" w14:textId="77777777" w:rsidR="0096295A" w:rsidRPr="008E4B81" w:rsidRDefault="0096295A" w:rsidP="007667FD">
            <w:pPr>
              <w:spacing w:before="60" w:after="60"/>
              <w:rPr>
                <w:rFonts w:cs="Arial"/>
                <w:szCs w:val="20"/>
              </w:rPr>
            </w:pPr>
            <w:r>
              <w:rPr>
                <w:rFonts w:cs="Arial"/>
                <w:szCs w:val="20"/>
              </w:rPr>
              <w:t>ECC R</w:t>
            </w:r>
            <w:r w:rsidR="00595176">
              <w:rPr>
                <w:rFonts w:cs="Arial"/>
                <w:szCs w:val="20"/>
              </w:rPr>
              <w:t>eport 101 remains valid</w:t>
            </w:r>
          </w:p>
        </w:tc>
        <w:tc>
          <w:tcPr>
            <w:tcW w:w="1843" w:type="dxa"/>
            <w:tcBorders>
              <w:top w:val="single" w:sz="4" w:space="0" w:color="D2232A"/>
              <w:left w:val="single" w:sz="4" w:space="0" w:color="D2232A"/>
              <w:bottom w:val="single" w:sz="4" w:space="0" w:color="D2232A"/>
              <w:right w:val="single" w:sz="4" w:space="0" w:color="D2232A"/>
            </w:tcBorders>
            <w:vAlign w:val="center"/>
          </w:tcPr>
          <w:p w14:paraId="0A7D78B8" w14:textId="77777777" w:rsidR="0096295A" w:rsidRPr="00451AC8" w:rsidRDefault="00595176" w:rsidP="00595176">
            <w:pPr>
              <w:spacing w:before="60" w:after="60"/>
              <w:rPr>
                <w:rFonts w:cs="Arial"/>
                <w:szCs w:val="20"/>
              </w:rPr>
            </w:pPr>
            <w:r>
              <w:rPr>
                <w:rFonts w:cs="Arial"/>
                <w:szCs w:val="20"/>
              </w:rPr>
              <w:t xml:space="preserve">ECC Report 101 remains valid, </w:t>
            </w:r>
            <w:r w:rsidR="0096295A">
              <w:rPr>
                <w:rFonts w:cs="Arial"/>
                <w:szCs w:val="20"/>
              </w:rPr>
              <w:t>Note 1a</w:t>
            </w:r>
          </w:p>
        </w:tc>
      </w:tr>
      <w:tr w:rsidR="0096295A" w:rsidRPr="008E4B81" w14:paraId="0A7D78C1" w14:textId="77777777" w:rsidTr="007667FD">
        <w:trPr>
          <w:cantSplit/>
        </w:trPr>
        <w:tc>
          <w:tcPr>
            <w:tcW w:w="1842" w:type="dxa"/>
            <w:tcBorders>
              <w:top w:val="single" w:sz="4" w:space="0" w:color="D2232A"/>
              <w:left w:val="single" w:sz="4" w:space="0" w:color="D2232A"/>
              <w:bottom w:val="single" w:sz="4" w:space="0" w:color="D2232A"/>
              <w:right w:val="single" w:sz="4" w:space="0" w:color="D2232A"/>
            </w:tcBorders>
            <w:vAlign w:val="center"/>
          </w:tcPr>
          <w:p w14:paraId="0A7D78BA" w14:textId="77777777" w:rsidR="0096295A" w:rsidRPr="008E4B81" w:rsidRDefault="0096295A" w:rsidP="007667FD">
            <w:pPr>
              <w:spacing w:before="60" w:after="60"/>
              <w:rPr>
                <w:rFonts w:cs="Arial"/>
                <w:szCs w:val="20"/>
              </w:rPr>
            </w:pPr>
            <w:r w:rsidRPr="00451AC8">
              <w:rPr>
                <w:rFonts w:cs="Arial"/>
                <w:szCs w:val="20"/>
              </w:rPr>
              <w:t>Radiolocation</w:t>
            </w:r>
            <w:r w:rsidRPr="00451AC8">
              <w:rPr>
                <w:rFonts w:cs="Arial"/>
                <w:szCs w:val="20"/>
              </w:rPr>
              <w:br/>
              <w:t>(5725-5850 MHz)</w:t>
            </w:r>
          </w:p>
        </w:tc>
        <w:tc>
          <w:tcPr>
            <w:tcW w:w="1842" w:type="dxa"/>
            <w:tcBorders>
              <w:top w:val="single" w:sz="4" w:space="0" w:color="D2232A"/>
              <w:left w:val="single" w:sz="4" w:space="0" w:color="D2232A"/>
              <w:bottom w:val="single" w:sz="4" w:space="0" w:color="D2232A"/>
              <w:right w:val="single" w:sz="4" w:space="0" w:color="D2232A"/>
            </w:tcBorders>
            <w:vAlign w:val="center"/>
          </w:tcPr>
          <w:p w14:paraId="0A7D78BB" w14:textId="77777777" w:rsidR="0096295A" w:rsidRPr="008E4B81" w:rsidRDefault="0096295A" w:rsidP="007667FD">
            <w:pPr>
              <w:spacing w:before="60" w:after="60"/>
              <w:rPr>
                <w:rFonts w:eastAsia="Calibri" w:cs="Arial"/>
                <w:szCs w:val="20"/>
              </w:rPr>
            </w:pPr>
            <w:r w:rsidRPr="008E4B81">
              <w:rPr>
                <w:rFonts w:eastAsia="Calibri" w:cs="Arial"/>
                <w:szCs w:val="20"/>
              </w:rPr>
              <w:t>Compatibility is achieved with ITS unwanted power</w:t>
            </w:r>
            <w:r w:rsidR="00595176">
              <w:rPr>
                <w:rFonts w:eastAsia="Calibri" w:cs="Arial"/>
                <w:szCs w:val="20"/>
              </w:rPr>
              <w:t xml:space="preserve"> of -55 dBm/MHz, below 5850 MHz</w:t>
            </w:r>
          </w:p>
        </w:tc>
        <w:tc>
          <w:tcPr>
            <w:tcW w:w="1842" w:type="dxa"/>
            <w:tcBorders>
              <w:top w:val="single" w:sz="4" w:space="0" w:color="D2232A"/>
              <w:left w:val="single" w:sz="4" w:space="0" w:color="D2232A"/>
              <w:bottom w:val="single" w:sz="4" w:space="0" w:color="D2232A"/>
              <w:right w:val="single" w:sz="4" w:space="0" w:color="D2232A"/>
            </w:tcBorders>
            <w:vAlign w:val="center"/>
          </w:tcPr>
          <w:p w14:paraId="0A7D78BC" w14:textId="77777777" w:rsidR="0096295A" w:rsidRPr="008E4B81" w:rsidRDefault="0096295A" w:rsidP="007667FD">
            <w:pPr>
              <w:spacing w:before="60" w:after="60"/>
              <w:rPr>
                <w:rFonts w:eastAsia="Calibri" w:cs="Arial"/>
                <w:szCs w:val="20"/>
              </w:rPr>
            </w:pPr>
            <w:r w:rsidRPr="008E4B81">
              <w:rPr>
                <w:rFonts w:eastAsia="Calibri" w:cs="Arial"/>
                <w:szCs w:val="20"/>
              </w:rPr>
              <w:t>Between 5855-5875 MHz I</w:t>
            </w:r>
            <w:r w:rsidR="00595176">
              <w:rPr>
                <w:rFonts w:eastAsia="Calibri" w:cs="Arial"/>
                <w:szCs w:val="20"/>
              </w:rPr>
              <w:t>TS may suffer from interference</w:t>
            </w:r>
          </w:p>
        </w:tc>
        <w:tc>
          <w:tcPr>
            <w:tcW w:w="1843" w:type="dxa"/>
            <w:tcBorders>
              <w:top w:val="single" w:sz="4" w:space="0" w:color="D2232A"/>
              <w:left w:val="single" w:sz="4" w:space="0" w:color="D2232A"/>
              <w:bottom w:val="single" w:sz="4" w:space="0" w:color="D2232A"/>
              <w:right w:val="single" w:sz="4" w:space="0" w:color="D2232A"/>
            </w:tcBorders>
            <w:vAlign w:val="center"/>
          </w:tcPr>
          <w:p w14:paraId="0A7D78BD" w14:textId="77777777" w:rsidR="0096295A" w:rsidRPr="008E4B81" w:rsidRDefault="0096295A" w:rsidP="007667FD">
            <w:pPr>
              <w:spacing w:before="60" w:after="60"/>
              <w:rPr>
                <w:rFonts w:cs="Arial"/>
                <w:szCs w:val="20"/>
              </w:rPr>
            </w:pPr>
            <w:r w:rsidRPr="008E4B81">
              <w:rPr>
                <w:rFonts w:cs="Arial"/>
                <w:szCs w:val="20"/>
              </w:rPr>
              <w:t>For CBTC as interferer, ECC Report 101 remains valid.</w:t>
            </w:r>
          </w:p>
          <w:p w14:paraId="0A7D78BE" w14:textId="77777777" w:rsidR="0096295A" w:rsidRPr="008E4B81" w:rsidRDefault="0096295A" w:rsidP="007667FD">
            <w:pPr>
              <w:spacing w:before="60" w:after="60"/>
              <w:rPr>
                <w:rFonts w:cs="Arial"/>
                <w:szCs w:val="20"/>
              </w:rPr>
            </w:pPr>
            <w:r w:rsidRPr="008E4B81">
              <w:rPr>
                <w:rFonts w:cs="Arial"/>
                <w:szCs w:val="20"/>
              </w:rPr>
              <w:t>For CBTC as victim, systems design margin should ensu</w:t>
            </w:r>
            <w:r w:rsidR="00595176">
              <w:rPr>
                <w:rFonts w:cs="Arial"/>
                <w:szCs w:val="20"/>
              </w:rPr>
              <w:t>re compatibility above 5875 MHz</w:t>
            </w:r>
          </w:p>
        </w:tc>
        <w:tc>
          <w:tcPr>
            <w:tcW w:w="1843" w:type="dxa"/>
            <w:tcBorders>
              <w:top w:val="single" w:sz="4" w:space="0" w:color="D2232A"/>
              <w:left w:val="single" w:sz="4" w:space="0" w:color="D2232A"/>
              <w:bottom w:val="single" w:sz="4" w:space="0" w:color="D2232A"/>
              <w:right w:val="single" w:sz="4" w:space="0" w:color="D2232A"/>
            </w:tcBorders>
            <w:vAlign w:val="center"/>
          </w:tcPr>
          <w:p w14:paraId="0A7D78BF" w14:textId="77777777" w:rsidR="0096295A" w:rsidRPr="008E4B81" w:rsidRDefault="00595176" w:rsidP="007667FD">
            <w:pPr>
              <w:spacing w:before="60" w:after="60"/>
              <w:rPr>
                <w:rFonts w:cs="Arial"/>
                <w:szCs w:val="20"/>
              </w:rPr>
            </w:pPr>
            <w:r>
              <w:rPr>
                <w:rFonts w:cs="Arial"/>
                <w:szCs w:val="20"/>
              </w:rPr>
              <w:t>ECC Report 101 remains valid,</w:t>
            </w:r>
          </w:p>
          <w:p w14:paraId="0A7D78C0" w14:textId="77777777" w:rsidR="0096295A" w:rsidRPr="008E4B81" w:rsidRDefault="0096295A" w:rsidP="007667FD">
            <w:pPr>
              <w:spacing w:before="60" w:after="60"/>
              <w:rPr>
                <w:rFonts w:cs="Arial"/>
                <w:szCs w:val="20"/>
              </w:rPr>
            </w:pPr>
            <w:r w:rsidRPr="008E4B81">
              <w:rPr>
                <w:rFonts w:cs="Arial"/>
                <w:szCs w:val="20"/>
              </w:rPr>
              <w:t>Note</w:t>
            </w:r>
            <w:r>
              <w:rPr>
                <w:rFonts w:cs="Arial"/>
                <w:szCs w:val="20"/>
              </w:rPr>
              <w:t xml:space="preserve"> 1b</w:t>
            </w:r>
          </w:p>
        </w:tc>
      </w:tr>
      <w:tr w:rsidR="0096295A" w:rsidRPr="008E4B81" w14:paraId="0A7D78C9" w14:textId="77777777" w:rsidTr="007667FD">
        <w:trPr>
          <w:cantSplit/>
        </w:trPr>
        <w:tc>
          <w:tcPr>
            <w:tcW w:w="1842" w:type="dxa"/>
            <w:tcBorders>
              <w:top w:val="single" w:sz="4" w:space="0" w:color="D2232A"/>
              <w:left w:val="single" w:sz="4" w:space="0" w:color="D2232A"/>
              <w:bottom w:val="single" w:sz="4" w:space="0" w:color="D2232A"/>
              <w:right w:val="single" w:sz="4" w:space="0" w:color="D2232A"/>
            </w:tcBorders>
            <w:vAlign w:val="center"/>
          </w:tcPr>
          <w:p w14:paraId="0A7D78C2" w14:textId="77777777" w:rsidR="0096295A" w:rsidRPr="008E4B81" w:rsidRDefault="0096295A" w:rsidP="007667FD">
            <w:pPr>
              <w:spacing w:before="60" w:after="60"/>
              <w:rPr>
                <w:rFonts w:cs="Arial"/>
                <w:szCs w:val="20"/>
              </w:rPr>
            </w:pPr>
            <w:r w:rsidRPr="00451AC8">
              <w:rPr>
                <w:rFonts w:cs="Arial"/>
                <w:szCs w:val="20"/>
              </w:rPr>
              <w:lastRenderedPageBreak/>
              <w:t>SRD</w:t>
            </w:r>
            <w:r w:rsidRPr="00451AC8">
              <w:rPr>
                <w:rFonts w:cs="Arial"/>
                <w:szCs w:val="20"/>
              </w:rPr>
              <w:br/>
              <w:t>(5725-5875 MHz)</w:t>
            </w:r>
          </w:p>
        </w:tc>
        <w:tc>
          <w:tcPr>
            <w:tcW w:w="1842" w:type="dxa"/>
            <w:tcBorders>
              <w:top w:val="single" w:sz="4" w:space="0" w:color="D2232A"/>
              <w:left w:val="single" w:sz="4" w:space="0" w:color="D2232A"/>
              <w:bottom w:val="single" w:sz="4" w:space="0" w:color="D2232A"/>
              <w:right w:val="single" w:sz="4" w:space="0" w:color="D2232A"/>
            </w:tcBorders>
            <w:vAlign w:val="center"/>
          </w:tcPr>
          <w:p w14:paraId="0A7D78C3" w14:textId="77777777" w:rsidR="0096295A" w:rsidRPr="008E4B81" w:rsidRDefault="0096295A" w:rsidP="007667FD">
            <w:pPr>
              <w:spacing w:before="60" w:after="60"/>
              <w:rPr>
                <w:rFonts w:eastAsia="Calibri" w:cs="Arial"/>
                <w:szCs w:val="20"/>
              </w:rPr>
            </w:pPr>
            <w:r w:rsidRPr="008E4B81">
              <w:rPr>
                <w:rFonts w:eastAsia="Calibri" w:cs="Arial"/>
                <w:szCs w:val="20"/>
              </w:rPr>
              <w:t xml:space="preserve">Compatibility is achieved if </w:t>
            </w:r>
            <w:proofErr w:type="gramStart"/>
            <w:r w:rsidRPr="008E4B81">
              <w:rPr>
                <w:rFonts w:eastAsia="Calibri" w:cs="Arial"/>
                <w:szCs w:val="20"/>
              </w:rPr>
              <w:t>ITS are</w:t>
            </w:r>
            <w:proofErr w:type="gramEnd"/>
            <w:r w:rsidRPr="008E4B81">
              <w:rPr>
                <w:rFonts w:eastAsia="Calibri" w:cs="Arial"/>
                <w:szCs w:val="20"/>
              </w:rPr>
              <w:t xml:space="preserve"> operating above 5875 MHz.</w:t>
            </w:r>
          </w:p>
          <w:p w14:paraId="0A7D78C4" w14:textId="77777777" w:rsidR="0096295A" w:rsidRPr="008E4B81" w:rsidRDefault="0096295A" w:rsidP="007667FD">
            <w:pPr>
              <w:spacing w:before="60" w:after="60"/>
              <w:rPr>
                <w:rFonts w:eastAsia="Calibri" w:cs="Arial"/>
                <w:szCs w:val="20"/>
              </w:rPr>
            </w:pPr>
            <w:r w:rsidRPr="008E4B81">
              <w:rPr>
                <w:rFonts w:eastAsia="Calibri" w:cs="Arial"/>
                <w:szCs w:val="20"/>
              </w:rPr>
              <w:t>Mitigation techniques are required in th</w:t>
            </w:r>
            <w:r w:rsidR="00595176">
              <w:rPr>
                <w:rFonts w:eastAsia="Calibri" w:cs="Arial"/>
                <w:szCs w:val="20"/>
              </w:rPr>
              <w:t>e frequency range 5855-5875 MHz</w:t>
            </w:r>
          </w:p>
        </w:tc>
        <w:tc>
          <w:tcPr>
            <w:tcW w:w="1842" w:type="dxa"/>
            <w:tcBorders>
              <w:top w:val="single" w:sz="4" w:space="0" w:color="D2232A"/>
              <w:left w:val="single" w:sz="4" w:space="0" w:color="D2232A"/>
              <w:bottom w:val="single" w:sz="4" w:space="0" w:color="D2232A"/>
              <w:right w:val="single" w:sz="4" w:space="0" w:color="D2232A"/>
            </w:tcBorders>
            <w:vAlign w:val="center"/>
          </w:tcPr>
          <w:p w14:paraId="0A7D78C5" w14:textId="77777777" w:rsidR="0096295A" w:rsidRPr="008E4B81" w:rsidRDefault="0096295A" w:rsidP="007667FD">
            <w:pPr>
              <w:spacing w:before="60" w:after="60"/>
              <w:rPr>
                <w:rFonts w:eastAsia="Calibri" w:cs="Arial"/>
                <w:szCs w:val="20"/>
              </w:rPr>
            </w:pPr>
            <w:r w:rsidRPr="008E4B81">
              <w:rPr>
                <w:rFonts w:eastAsia="Calibri" w:cs="Arial"/>
                <w:szCs w:val="20"/>
              </w:rPr>
              <w:t>Mitigation techniques are needed in the frequency range 5855-5875 MHz. LBT may he</w:t>
            </w:r>
            <w:r w:rsidR="00595176">
              <w:rPr>
                <w:rFonts w:eastAsia="Calibri" w:cs="Arial"/>
                <w:szCs w:val="20"/>
              </w:rPr>
              <w:t>lp avoiding interference to ITS</w:t>
            </w:r>
          </w:p>
        </w:tc>
        <w:tc>
          <w:tcPr>
            <w:tcW w:w="1843" w:type="dxa"/>
            <w:tcBorders>
              <w:top w:val="single" w:sz="4" w:space="0" w:color="D2232A"/>
              <w:left w:val="single" w:sz="4" w:space="0" w:color="D2232A"/>
              <w:bottom w:val="single" w:sz="4" w:space="0" w:color="D2232A"/>
              <w:right w:val="single" w:sz="4" w:space="0" w:color="D2232A"/>
            </w:tcBorders>
            <w:vAlign w:val="center"/>
          </w:tcPr>
          <w:p w14:paraId="0A7D78C6" w14:textId="77777777" w:rsidR="0096295A" w:rsidRPr="008E4B81" w:rsidRDefault="0096295A" w:rsidP="007667FD">
            <w:pPr>
              <w:spacing w:before="60" w:after="60"/>
              <w:rPr>
                <w:rFonts w:cs="Arial"/>
                <w:szCs w:val="20"/>
              </w:rPr>
            </w:pPr>
            <w:r w:rsidRPr="008E4B81">
              <w:rPr>
                <w:rFonts w:cs="Arial"/>
                <w:szCs w:val="20"/>
              </w:rPr>
              <w:t>Compatibility is achie</w:t>
            </w:r>
            <w:r w:rsidR="00595176">
              <w:rPr>
                <w:rFonts w:cs="Arial"/>
                <w:szCs w:val="20"/>
              </w:rPr>
              <w:t>ved above 5875 MHz in both ways</w:t>
            </w:r>
          </w:p>
        </w:tc>
        <w:tc>
          <w:tcPr>
            <w:tcW w:w="1843" w:type="dxa"/>
            <w:tcBorders>
              <w:top w:val="single" w:sz="4" w:space="0" w:color="D2232A"/>
              <w:left w:val="single" w:sz="4" w:space="0" w:color="D2232A"/>
              <w:bottom w:val="single" w:sz="4" w:space="0" w:color="D2232A"/>
              <w:right w:val="single" w:sz="4" w:space="0" w:color="D2232A"/>
            </w:tcBorders>
            <w:vAlign w:val="center"/>
          </w:tcPr>
          <w:p w14:paraId="0A7D78C7" w14:textId="77777777" w:rsidR="0096295A" w:rsidRPr="008E4B81" w:rsidRDefault="0096295A" w:rsidP="007667FD">
            <w:pPr>
              <w:spacing w:before="60" w:after="60"/>
              <w:rPr>
                <w:rFonts w:cs="Arial"/>
                <w:szCs w:val="20"/>
              </w:rPr>
            </w:pPr>
            <w:r w:rsidRPr="008E4B81">
              <w:rPr>
                <w:rFonts w:cs="Arial"/>
                <w:szCs w:val="20"/>
              </w:rPr>
              <w:t>ECC Report 101 remains valid</w:t>
            </w:r>
            <w:r w:rsidR="00595176">
              <w:rPr>
                <w:rFonts w:cs="Arial"/>
                <w:szCs w:val="20"/>
              </w:rPr>
              <w:t>,</w:t>
            </w:r>
          </w:p>
          <w:p w14:paraId="0A7D78C8" w14:textId="77777777" w:rsidR="0096295A" w:rsidRPr="008E4B81" w:rsidRDefault="0096295A" w:rsidP="007667FD">
            <w:pPr>
              <w:spacing w:before="60" w:after="60"/>
              <w:rPr>
                <w:rFonts w:cs="Arial"/>
                <w:szCs w:val="20"/>
              </w:rPr>
            </w:pPr>
            <w:r w:rsidRPr="008E4B81">
              <w:rPr>
                <w:rFonts w:cs="Arial"/>
                <w:szCs w:val="20"/>
              </w:rPr>
              <w:t>Note</w:t>
            </w:r>
            <w:r>
              <w:rPr>
                <w:rFonts w:cs="Arial"/>
                <w:szCs w:val="20"/>
              </w:rPr>
              <w:t xml:space="preserve"> 1b</w:t>
            </w:r>
          </w:p>
        </w:tc>
      </w:tr>
      <w:tr w:rsidR="0096295A" w:rsidRPr="008E4B81" w14:paraId="0A7D78D0" w14:textId="77777777" w:rsidTr="007667FD">
        <w:trPr>
          <w:cantSplit/>
        </w:trPr>
        <w:tc>
          <w:tcPr>
            <w:tcW w:w="1842" w:type="dxa"/>
            <w:tcBorders>
              <w:top w:val="single" w:sz="4" w:space="0" w:color="D2232A"/>
              <w:left w:val="single" w:sz="4" w:space="0" w:color="D2232A"/>
              <w:bottom w:val="single" w:sz="4" w:space="0" w:color="D2232A"/>
              <w:right w:val="single" w:sz="4" w:space="0" w:color="D2232A"/>
            </w:tcBorders>
            <w:vAlign w:val="center"/>
          </w:tcPr>
          <w:p w14:paraId="0A7D78CA" w14:textId="5E850759" w:rsidR="0096295A" w:rsidRPr="008E4B81" w:rsidRDefault="0096295A" w:rsidP="007667FD">
            <w:pPr>
              <w:spacing w:before="60" w:after="60"/>
              <w:rPr>
                <w:rFonts w:cs="Arial"/>
                <w:szCs w:val="20"/>
              </w:rPr>
            </w:pPr>
            <w:r w:rsidRPr="007600A2">
              <w:rPr>
                <w:rFonts w:cs="Arial"/>
                <w:szCs w:val="20"/>
              </w:rPr>
              <w:t>FWA</w:t>
            </w:r>
            <w:r w:rsidRPr="007600A2">
              <w:rPr>
                <w:rFonts w:cs="Arial"/>
                <w:szCs w:val="20"/>
              </w:rPr>
              <w:br/>
              <w:t>(5725-5</w:t>
            </w:r>
            <w:r w:rsidR="00BE78EF" w:rsidRPr="007600A2">
              <w:rPr>
                <w:rFonts w:cs="Arial"/>
                <w:szCs w:val="20"/>
              </w:rPr>
              <w:t>87</w:t>
            </w:r>
            <w:r w:rsidRPr="007600A2">
              <w:rPr>
                <w:rFonts w:cs="Arial"/>
                <w:szCs w:val="20"/>
              </w:rPr>
              <w:t>5 MHz)</w:t>
            </w:r>
          </w:p>
        </w:tc>
        <w:tc>
          <w:tcPr>
            <w:tcW w:w="1842" w:type="dxa"/>
            <w:tcBorders>
              <w:top w:val="single" w:sz="4" w:space="0" w:color="D2232A"/>
              <w:left w:val="single" w:sz="4" w:space="0" w:color="D2232A"/>
              <w:bottom w:val="single" w:sz="4" w:space="0" w:color="D2232A"/>
              <w:right w:val="single" w:sz="4" w:space="0" w:color="D2232A"/>
            </w:tcBorders>
            <w:vAlign w:val="center"/>
          </w:tcPr>
          <w:p w14:paraId="0A7D78CB" w14:textId="77777777" w:rsidR="0096295A" w:rsidRPr="008E4B81" w:rsidRDefault="0096295A" w:rsidP="007667FD">
            <w:pPr>
              <w:spacing w:before="60" w:after="60"/>
              <w:rPr>
                <w:rFonts w:eastAsia="Calibri" w:cs="Arial"/>
                <w:szCs w:val="20"/>
              </w:rPr>
            </w:pPr>
            <w:r w:rsidRPr="008E4B81">
              <w:rPr>
                <w:rFonts w:eastAsia="Calibri" w:cs="Arial"/>
                <w:szCs w:val="20"/>
              </w:rPr>
              <w:t xml:space="preserve">Compatibility is achieved if </w:t>
            </w:r>
            <w:proofErr w:type="gramStart"/>
            <w:r w:rsidRPr="008E4B81">
              <w:rPr>
                <w:rFonts w:eastAsia="Calibri" w:cs="Arial"/>
                <w:szCs w:val="20"/>
              </w:rPr>
              <w:t>ITS are</w:t>
            </w:r>
            <w:proofErr w:type="gramEnd"/>
            <w:r w:rsidRPr="008E4B81">
              <w:rPr>
                <w:rFonts w:eastAsia="Calibri" w:cs="Arial"/>
                <w:szCs w:val="20"/>
              </w:rPr>
              <w:t xml:space="preserve"> operating above 5875 MHz.</w:t>
            </w:r>
          </w:p>
          <w:p w14:paraId="0A7D78CC" w14:textId="77777777" w:rsidR="0096295A" w:rsidRPr="008E4B81" w:rsidRDefault="0096295A" w:rsidP="007667FD">
            <w:pPr>
              <w:spacing w:before="60" w:after="60"/>
              <w:rPr>
                <w:rFonts w:eastAsia="Calibri" w:cs="Arial"/>
                <w:szCs w:val="20"/>
              </w:rPr>
            </w:pPr>
            <w:r w:rsidRPr="008E4B81">
              <w:rPr>
                <w:rFonts w:eastAsia="Calibri" w:cs="Arial"/>
                <w:szCs w:val="20"/>
              </w:rPr>
              <w:t>Mitigation techniques are required in th</w:t>
            </w:r>
            <w:r w:rsidR="005E3C1D">
              <w:rPr>
                <w:rFonts w:eastAsia="Calibri" w:cs="Arial"/>
                <w:szCs w:val="20"/>
              </w:rPr>
              <w:t>e frequency range 5855-5875 MHz</w:t>
            </w:r>
          </w:p>
        </w:tc>
        <w:tc>
          <w:tcPr>
            <w:tcW w:w="1842" w:type="dxa"/>
            <w:tcBorders>
              <w:top w:val="single" w:sz="4" w:space="0" w:color="D2232A"/>
              <w:left w:val="single" w:sz="4" w:space="0" w:color="D2232A"/>
              <w:bottom w:val="single" w:sz="4" w:space="0" w:color="D2232A"/>
              <w:right w:val="single" w:sz="4" w:space="0" w:color="D2232A"/>
            </w:tcBorders>
            <w:vAlign w:val="center"/>
          </w:tcPr>
          <w:p w14:paraId="0A7D78CD" w14:textId="77777777" w:rsidR="0096295A" w:rsidRPr="008E4B81" w:rsidRDefault="0096295A" w:rsidP="007667FD">
            <w:pPr>
              <w:spacing w:before="60" w:after="60"/>
              <w:rPr>
                <w:rFonts w:eastAsia="Calibri" w:cs="Arial"/>
                <w:szCs w:val="20"/>
              </w:rPr>
            </w:pPr>
            <w:r w:rsidRPr="008E4B81">
              <w:rPr>
                <w:rFonts w:eastAsia="Calibri" w:cs="Arial"/>
                <w:szCs w:val="20"/>
              </w:rPr>
              <w:t xml:space="preserve">Mitigation techniques are needed in the frequency range 5855-5875 MHz. LBT may help avoiding </w:t>
            </w:r>
            <w:r w:rsidR="005E3C1D">
              <w:rPr>
                <w:rFonts w:eastAsia="Calibri" w:cs="Arial"/>
                <w:szCs w:val="20"/>
              </w:rPr>
              <w:t>interference to ITS</w:t>
            </w:r>
          </w:p>
        </w:tc>
        <w:tc>
          <w:tcPr>
            <w:tcW w:w="1843" w:type="dxa"/>
            <w:tcBorders>
              <w:top w:val="single" w:sz="4" w:space="0" w:color="D2232A"/>
              <w:left w:val="single" w:sz="4" w:space="0" w:color="D2232A"/>
              <w:bottom w:val="single" w:sz="4" w:space="0" w:color="D2232A"/>
              <w:right w:val="single" w:sz="4" w:space="0" w:color="D2232A"/>
            </w:tcBorders>
            <w:vAlign w:val="center"/>
          </w:tcPr>
          <w:p w14:paraId="0A7D78CE" w14:textId="77777777" w:rsidR="0096295A" w:rsidRPr="008E4B81" w:rsidRDefault="0096295A" w:rsidP="007667FD">
            <w:pPr>
              <w:spacing w:before="60" w:after="60"/>
              <w:rPr>
                <w:rFonts w:cs="Arial"/>
                <w:szCs w:val="20"/>
              </w:rPr>
            </w:pPr>
            <w:r w:rsidRPr="008E4B81">
              <w:rPr>
                <w:rFonts w:cs="Arial"/>
                <w:szCs w:val="20"/>
              </w:rPr>
              <w:t>Compatibility is achie</w:t>
            </w:r>
            <w:r w:rsidR="005E3C1D">
              <w:rPr>
                <w:rFonts w:cs="Arial"/>
                <w:szCs w:val="20"/>
              </w:rPr>
              <w:t>ved above 5875 MHz in both ways</w:t>
            </w:r>
          </w:p>
        </w:tc>
        <w:tc>
          <w:tcPr>
            <w:tcW w:w="1843" w:type="dxa"/>
            <w:tcBorders>
              <w:top w:val="single" w:sz="4" w:space="0" w:color="D2232A"/>
              <w:left w:val="single" w:sz="4" w:space="0" w:color="D2232A"/>
              <w:bottom w:val="single" w:sz="4" w:space="0" w:color="D2232A"/>
              <w:right w:val="single" w:sz="4" w:space="0" w:color="D2232A"/>
            </w:tcBorders>
            <w:vAlign w:val="center"/>
          </w:tcPr>
          <w:p w14:paraId="0A7D78CF" w14:textId="77777777" w:rsidR="0096295A" w:rsidRPr="008E4B81" w:rsidRDefault="005E3C1D" w:rsidP="005E3C1D">
            <w:pPr>
              <w:spacing w:before="60" w:after="60"/>
              <w:rPr>
                <w:rFonts w:cs="Arial"/>
                <w:szCs w:val="20"/>
              </w:rPr>
            </w:pPr>
            <w:r>
              <w:rPr>
                <w:rFonts w:cs="Arial"/>
                <w:szCs w:val="20"/>
              </w:rPr>
              <w:t xml:space="preserve">ECC Report 101 remains valid, </w:t>
            </w:r>
            <w:r w:rsidR="0096295A" w:rsidRPr="008E4B81">
              <w:rPr>
                <w:rFonts w:cs="Arial"/>
                <w:szCs w:val="20"/>
              </w:rPr>
              <w:t>Note</w:t>
            </w:r>
            <w:r w:rsidR="0096295A">
              <w:rPr>
                <w:rFonts w:cs="Arial"/>
                <w:szCs w:val="20"/>
              </w:rPr>
              <w:t xml:space="preserve"> 1b</w:t>
            </w:r>
          </w:p>
        </w:tc>
      </w:tr>
      <w:tr w:rsidR="0096295A" w:rsidRPr="008E4B81" w14:paraId="0A7D78D9" w14:textId="77777777" w:rsidTr="007667FD">
        <w:trPr>
          <w:cantSplit/>
        </w:trPr>
        <w:tc>
          <w:tcPr>
            <w:tcW w:w="1842" w:type="dxa"/>
            <w:tcBorders>
              <w:top w:val="single" w:sz="4" w:space="0" w:color="D2232A"/>
              <w:left w:val="single" w:sz="4" w:space="0" w:color="D2232A"/>
              <w:bottom w:val="single" w:sz="4" w:space="0" w:color="D2232A"/>
              <w:right w:val="single" w:sz="4" w:space="0" w:color="D2232A"/>
            </w:tcBorders>
            <w:vAlign w:val="center"/>
          </w:tcPr>
          <w:p w14:paraId="0A7D78D1" w14:textId="77777777" w:rsidR="0096295A" w:rsidRPr="008E4B81" w:rsidRDefault="0096295A" w:rsidP="007667FD">
            <w:pPr>
              <w:spacing w:before="60" w:after="60"/>
              <w:rPr>
                <w:rFonts w:cs="Arial"/>
                <w:szCs w:val="20"/>
              </w:rPr>
            </w:pPr>
            <w:r w:rsidRPr="00451AC8">
              <w:rPr>
                <w:rFonts w:cs="Arial"/>
                <w:szCs w:val="20"/>
              </w:rPr>
              <w:t>RTTT</w:t>
            </w:r>
            <w:r w:rsidRPr="008E4B81">
              <w:rPr>
                <w:rFonts w:cs="Arial"/>
                <w:szCs w:val="20"/>
              </w:rPr>
              <w:t>, road tolling</w:t>
            </w:r>
            <w:r w:rsidRPr="008E4B81">
              <w:rPr>
                <w:rFonts w:cs="Arial"/>
                <w:szCs w:val="20"/>
              </w:rPr>
              <w:br/>
              <w:t>(5795-5815 MHz)</w:t>
            </w:r>
          </w:p>
        </w:tc>
        <w:tc>
          <w:tcPr>
            <w:tcW w:w="1842" w:type="dxa"/>
            <w:tcBorders>
              <w:top w:val="single" w:sz="4" w:space="0" w:color="D2232A"/>
              <w:left w:val="single" w:sz="4" w:space="0" w:color="D2232A"/>
              <w:bottom w:val="single" w:sz="4" w:space="0" w:color="D2232A"/>
              <w:right w:val="single" w:sz="4" w:space="0" w:color="D2232A"/>
            </w:tcBorders>
            <w:vAlign w:val="center"/>
          </w:tcPr>
          <w:p w14:paraId="0A7D78D2" w14:textId="77777777" w:rsidR="0096295A" w:rsidRPr="008E4B81" w:rsidRDefault="0096295A" w:rsidP="007667FD">
            <w:pPr>
              <w:spacing w:before="60" w:after="60"/>
              <w:rPr>
                <w:rFonts w:eastAsia="Calibri" w:cs="Arial"/>
                <w:szCs w:val="20"/>
              </w:rPr>
            </w:pPr>
            <w:r w:rsidRPr="008E4B81">
              <w:rPr>
                <w:rFonts w:eastAsia="Calibri" w:cs="Arial"/>
                <w:szCs w:val="20"/>
              </w:rPr>
              <w:t>Compatibility is achieved if ITS unwanted emissions are limited below 5815 MHz:</w:t>
            </w:r>
          </w:p>
          <w:p w14:paraId="0A7D78D3" w14:textId="77777777" w:rsidR="0096295A" w:rsidRPr="008E4B81" w:rsidRDefault="0096295A" w:rsidP="0096295A">
            <w:pPr>
              <w:pStyle w:val="ListParagraph"/>
              <w:numPr>
                <w:ilvl w:val="0"/>
                <w:numId w:val="35"/>
              </w:numPr>
              <w:spacing w:before="60" w:after="60" w:line="240" w:lineRule="auto"/>
              <w:ind w:left="143" w:hanging="143"/>
              <w:rPr>
                <w:rFonts w:cs="Arial"/>
                <w:szCs w:val="20"/>
              </w:rPr>
            </w:pPr>
            <w:r w:rsidRPr="008E4B81">
              <w:rPr>
                <w:rFonts w:eastAsia="Calibri" w:cs="Arial"/>
                <w:szCs w:val="20"/>
              </w:rPr>
              <w:t>to -65 dBm/MHz</w:t>
            </w:r>
            <w:r>
              <w:rPr>
                <w:rFonts w:eastAsia="Calibri" w:cs="Arial"/>
                <w:szCs w:val="20"/>
              </w:rPr>
              <w:t xml:space="preserve"> without mitigation techniques</w:t>
            </w:r>
          </w:p>
          <w:p w14:paraId="0A7D78D4" w14:textId="24E45C9B" w:rsidR="0096295A" w:rsidRPr="008E4B81" w:rsidRDefault="0096295A" w:rsidP="0096295A">
            <w:pPr>
              <w:pStyle w:val="ListParagraph"/>
              <w:numPr>
                <w:ilvl w:val="0"/>
                <w:numId w:val="35"/>
              </w:numPr>
              <w:spacing w:before="60" w:after="60" w:line="240" w:lineRule="auto"/>
              <w:ind w:left="143" w:hanging="143"/>
              <w:rPr>
                <w:rFonts w:cs="Arial"/>
                <w:szCs w:val="20"/>
              </w:rPr>
            </w:pPr>
            <w:r w:rsidRPr="008E4B81">
              <w:rPr>
                <w:rFonts w:eastAsia="Calibri" w:cs="Arial"/>
                <w:szCs w:val="20"/>
              </w:rPr>
              <w:t xml:space="preserve">to -45 dBm/MHz </w:t>
            </w:r>
            <w:r>
              <w:rPr>
                <w:rFonts w:eastAsia="Calibri" w:cs="Arial"/>
                <w:szCs w:val="20"/>
              </w:rPr>
              <w:t>taking into account the ETSI specifications on ITS (</w:t>
            </w:r>
            <w:r w:rsidR="00595176">
              <w:rPr>
                <w:rFonts w:eastAsia="Calibri" w:cs="Arial"/>
                <w:szCs w:val="20"/>
              </w:rPr>
              <w:t xml:space="preserve">ETSI </w:t>
            </w:r>
            <w:r>
              <w:rPr>
                <w:rFonts w:eastAsia="Calibri" w:cs="Arial"/>
                <w:szCs w:val="20"/>
              </w:rPr>
              <w:t>EN 302 637-2</w:t>
            </w:r>
            <w:r w:rsidR="00BB544A">
              <w:rPr>
                <w:rFonts w:eastAsia="Calibri" w:cs="Arial"/>
                <w:szCs w:val="20"/>
              </w:rPr>
              <w:t xml:space="preserve"> </w:t>
            </w:r>
            <w:r w:rsidR="00BB544A">
              <w:rPr>
                <w:rFonts w:eastAsia="Calibri" w:cs="Arial"/>
                <w:szCs w:val="20"/>
              </w:rPr>
              <w:fldChar w:fldCharType="begin"/>
            </w:r>
            <w:r w:rsidR="00BB544A">
              <w:rPr>
                <w:rFonts w:eastAsia="Calibri" w:cs="Arial"/>
                <w:szCs w:val="20"/>
              </w:rPr>
              <w:instrText xml:space="preserve"> REF _Ref856337 \r \h </w:instrText>
            </w:r>
            <w:r w:rsidR="00BB544A">
              <w:rPr>
                <w:rFonts w:eastAsia="Calibri" w:cs="Arial"/>
                <w:szCs w:val="20"/>
              </w:rPr>
            </w:r>
            <w:r w:rsidR="00BB544A">
              <w:rPr>
                <w:rFonts w:eastAsia="Calibri" w:cs="Arial"/>
                <w:szCs w:val="20"/>
              </w:rPr>
              <w:fldChar w:fldCharType="separate"/>
            </w:r>
            <w:r w:rsidR="00BB544A">
              <w:rPr>
                <w:rFonts w:eastAsia="Calibri" w:cs="Arial"/>
                <w:szCs w:val="20"/>
              </w:rPr>
              <w:t>[19]</w:t>
            </w:r>
            <w:r w:rsidR="00BB544A">
              <w:rPr>
                <w:rFonts w:eastAsia="Calibri" w:cs="Arial"/>
                <w:szCs w:val="20"/>
              </w:rPr>
              <w:fldChar w:fldCharType="end"/>
            </w:r>
            <w:r w:rsidR="00595176">
              <w:rPr>
                <w:rFonts w:eastAsia="Calibri" w:cs="Arial"/>
                <w:szCs w:val="20"/>
              </w:rPr>
              <w:t xml:space="preserve">, ETSI </w:t>
            </w:r>
            <w:r>
              <w:rPr>
                <w:rFonts w:eastAsia="Calibri" w:cs="Arial"/>
                <w:szCs w:val="20"/>
              </w:rPr>
              <w:t>EN 302 571</w:t>
            </w:r>
            <w:r w:rsidR="00BB544A">
              <w:rPr>
                <w:rFonts w:eastAsia="Calibri" w:cs="Arial"/>
                <w:szCs w:val="20"/>
              </w:rPr>
              <w:t xml:space="preserve"> </w:t>
            </w:r>
            <w:r w:rsidR="00BB544A">
              <w:rPr>
                <w:rFonts w:eastAsia="Calibri" w:cs="Arial"/>
                <w:szCs w:val="20"/>
              </w:rPr>
              <w:fldChar w:fldCharType="begin"/>
            </w:r>
            <w:r w:rsidR="00BB544A">
              <w:rPr>
                <w:rFonts w:eastAsia="Calibri" w:cs="Arial"/>
                <w:szCs w:val="20"/>
              </w:rPr>
              <w:instrText xml:space="preserve"> REF _Ref855116 \r \h </w:instrText>
            </w:r>
            <w:r w:rsidR="00BB544A">
              <w:rPr>
                <w:rFonts w:eastAsia="Calibri" w:cs="Arial"/>
                <w:szCs w:val="20"/>
              </w:rPr>
            </w:r>
            <w:r w:rsidR="00BB544A">
              <w:rPr>
                <w:rFonts w:eastAsia="Calibri" w:cs="Arial"/>
                <w:szCs w:val="20"/>
              </w:rPr>
              <w:fldChar w:fldCharType="separate"/>
            </w:r>
            <w:r w:rsidR="00BB544A">
              <w:rPr>
                <w:rFonts w:eastAsia="Calibri" w:cs="Arial"/>
                <w:szCs w:val="20"/>
              </w:rPr>
              <w:t>[34]</w:t>
            </w:r>
            <w:r w:rsidR="00BB544A">
              <w:rPr>
                <w:rFonts w:eastAsia="Calibri" w:cs="Arial"/>
                <w:szCs w:val="20"/>
              </w:rPr>
              <w:fldChar w:fldCharType="end"/>
            </w:r>
            <w:r>
              <w:rPr>
                <w:rFonts w:eastAsia="Calibri" w:cs="Arial"/>
                <w:szCs w:val="20"/>
              </w:rPr>
              <w:t>) and the timing requirements according to ECC Report 228</w:t>
            </w:r>
          </w:p>
        </w:tc>
        <w:tc>
          <w:tcPr>
            <w:tcW w:w="1842" w:type="dxa"/>
            <w:tcBorders>
              <w:top w:val="single" w:sz="4" w:space="0" w:color="D2232A"/>
              <w:left w:val="single" w:sz="4" w:space="0" w:color="D2232A"/>
              <w:bottom w:val="single" w:sz="4" w:space="0" w:color="D2232A"/>
              <w:right w:val="single" w:sz="4" w:space="0" w:color="D2232A"/>
            </w:tcBorders>
            <w:vAlign w:val="center"/>
          </w:tcPr>
          <w:p w14:paraId="0A7D78D5" w14:textId="77777777" w:rsidR="0096295A" w:rsidRPr="008E4B81" w:rsidRDefault="0096295A" w:rsidP="007667FD">
            <w:pPr>
              <w:spacing w:before="60" w:after="60"/>
              <w:rPr>
                <w:rFonts w:eastAsia="Calibri" w:cs="Arial"/>
                <w:szCs w:val="20"/>
              </w:rPr>
            </w:pPr>
            <w:r w:rsidRPr="00451AC8">
              <w:rPr>
                <w:rFonts w:eastAsia="Calibri" w:cs="Arial"/>
                <w:szCs w:val="20"/>
              </w:rPr>
              <w:t>Interference depends on the antenna beams alignment and is limited</w:t>
            </w:r>
            <w:r w:rsidR="005E3C1D">
              <w:rPr>
                <w:rFonts w:eastAsia="Calibri" w:cs="Arial"/>
                <w:szCs w:val="20"/>
              </w:rPr>
              <w:t xml:space="preserve"> to the RTTT communication zone</w:t>
            </w:r>
          </w:p>
        </w:tc>
        <w:tc>
          <w:tcPr>
            <w:tcW w:w="1843" w:type="dxa"/>
            <w:tcBorders>
              <w:top w:val="single" w:sz="4" w:space="0" w:color="D2232A"/>
              <w:left w:val="single" w:sz="4" w:space="0" w:color="D2232A"/>
              <w:bottom w:val="single" w:sz="4" w:space="0" w:color="D2232A"/>
              <w:right w:val="single" w:sz="4" w:space="0" w:color="D2232A"/>
            </w:tcBorders>
            <w:vAlign w:val="center"/>
          </w:tcPr>
          <w:p w14:paraId="0A7D78D6" w14:textId="77777777" w:rsidR="0096295A" w:rsidRPr="008E4B81" w:rsidRDefault="0096295A" w:rsidP="007667FD">
            <w:pPr>
              <w:spacing w:before="60" w:after="60"/>
              <w:rPr>
                <w:rFonts w:cs="Arial"/>
                <w:szCs w:val="20"/>
              </w:rPr>
            </w:pPr>
            <w:r w:rsidRPr="008E4B81">
              <w:rPr>
                <w:rFonts w:cs="Arial"/>
                <w:szCs w:val="20"/>
              </w:rPr>
              <w:t>Compatibility is achieved above 5875 MHz. In case of proximity to the RTTT communication zone, ade</w:t>
            </w:r>
            <w:r w:rsidR="005E3C1D">
              <w:rPr>
                <w:rFonts w:cs="Arial"/>
                <w:szCs w:val="20"/>
              </w:rPr>
              <w:t>quate system design is required</w:t>
            </w:r>
          </w:p>
        </w:tc>
        <w:tc>
          <w:tcPr>
            <w:tcW w:w="1843" w:type="dxa"/>
            <w:tcBorders>
              <w:top w:val="single" w:sz="4" w:space="0" w:color="D2232A"/>
              <w:left w:val="single" w:sz="4" w:space="0" w:color="D2232A"/>
              <w:bottom w:val="single" w:sz="4" w:space="0" w:color="D2232A"/>
              <w:right w:val="single" w:sz="4" w:space="0" w:color="D2232A"/>
            </w:tcBorders>
            <w:vAlign w:val="center"/>
          </w:tcPr>
          <w:p w14:paraId="0A7D78D7" w14:textId="77777777" w:rsidR="0096295A" w:rsidRDefault="0096295A" w:rsidP="007667FD">
            <w:pPr>
              <w:spacing w:before="60" w:after="60"/>
              <w:rPr>
                <w:rFonts w:cs="Arial"/>
                <w:szCs w:val="20"/>
              </w:rPr>
            </w:pPr>
            <w:r w:rsidRPr="008E4B81">
              <w:rPr>
                <w:rFonts w:cs="Arial"/>
                <w:szCs w:val="20"/>
              </w:rPr>
              <w:t>Compatibility is achieved under mode A*.</w:t>
            </w:r>
            <w:r>
              <w:rPr>
                <w:rFonts w:cs="Arial"/>
                <w:szCs w:val="20"/>
              </w:rPr>
              <w:t xml:space="preserve"> Note 2a</w:t>
            </w:r>
          </w:p>
          <w:p w14:paraId="0A7D78D8" w14:textId="67C16E76" w:rsidR="0096295A" w:rsidRPr="008E4B81" w:rsidRDefault="0096295A" w:rsidP="005E3C1D">
            <w:pPr>
              <w:spacing w:before="60" w:after="60"/>
              <w:rPr>
                <w:rFonts w:cs="Arial"/>
                <w:szCs w:val="20"/>
              </w:rPr>
            </w:pPr>
            <w:r w:rsidRPr="008E4B81">
              <w:rPr>
                <w:rFonts w:cs="Arial"/>
                <w:szCs w:val="20"/>
              </w:rPr>
              <w:t xml:space="preserve">Under mode B*, compatibility could be achieved if </w:t>
            </w:r>
            <w:r>
              <w:rPr>
                <w:rFonts w:cs="Arial"/>
                <w:szCs w:val="20"/>
              </w:rPr>
              <w:t>timing requirements</w:t>
            </w:r>
            <w:r w:rsidRPr="008E4B81">
              <w:rPr>
                <w:rFonts w:cs="Arial"/>
                <w:szCs w:val="20"/>
              </w:rPr>
              <w:t xml:space="preserve"> (T</w:t>
            </w:r>
            <w:r w:rsidRPr="008E4B81">
              <w:rPr>
                <w:rFonts w:cs="Arial"/>
                <w:szCs w:val="20"/>
                <w:vertAlign w:val="subscript"/>
              </w:rPr>
              <w:t>on</w:t>
            </w:r>
            <w:r w:rsidRPr="008E4B81">
              <w:rPr>
                <w:rFonts w:cs="Arial"/>
                <w:szCs w:val="20"/>
              </w:rPr>
              <w:t xml:space="preserve"> &amp; </w:t>
            </w:r>
            <w:proofErr w:type="spellStart"/>
            <w:r w:rsidRPr="008E4B81">
              <w:rPr>
                <w:rFonts w:cs="Arial"/>
                <w:szCs w:val="20"/>
              </w:rPr>
              <w:t>T</w:t>
            </w:r>
            <w:r w:rsidRPr="008E4B81">
              <w:rPr>
                <w:rFonts w:cs="Arial"/>
                <w:szCs w:val="20"/>
                <w:vertAlign w:val="subscript"/>
              </w:rPr>
              <w:t>off</w:t>
            </w:r>
            <w:proofErr w:type="spellEnd"/>
            <w:r w:rsidRPr="008E4B81">
              <w:rPr>
                <w:rFonts w:cs="Arial"/>
                <w:szCs w:val="20"/>
              </w:rPr>
              <w:t xml:space="preserve">) and aggregated </w:t>
            </w:r>
            <w:r>
              <w:rPr>
                <w:rFonts w:cs="Arial"/>
                <w:szCs w:val="20"/>
              </w:rPr>
              <w:t xml:space="preserve">spurious </w:t>
            </w:r>
            <w:r w:rsidRPr="008E4B81">
              <w:rPr>
                <w:rFonts w:cs="Arial"/>
                <w:szCs w:val="20"/>
              </w:rPr>
              <w:t>emissions do not exceed those of ITS in ECC Report 228 in the interference zone</w:t>
            </w:r>
            <w:r w:rsidR="005E3C1D">
              <w:rPr>
                <w:rFonts w:cs="Arial"/>
                <w:szCs w:val="20"/>
              </w:rPr>
              <w:t>,</w:t>
            </w:r>
            <w:r>
              <w:rPr>
                <w:rFonts w:cs="Arial"/>
                <w:szCs w:val="20"/>
              </w:rPr>
              <w:t xml:space="preserve"> </w:t>
            </w:r>
            <w:r w:rsidRPr="008E4B81">
              <w:rPr>
                <w:rFonts w:cs="Arial"/>
                <w:szCs w:val="20"/>
              </w:rPr>
              <w:t>Note 2</w:t>
            </w:r>
            <w:r>
              <w:rPr>
                <w:rFonts w:cs="Arial"/>
                <w:szCs w:val="20"/>
              </w:rPr>
              <w:t>b</w:t>
            </w:r>
          </w:p>
        </w:tc>
      </w:tr>
      <w:tr w:rsidR="0096295A" w:rsidRPr="008E4B81" w14:paraId="0A7D78E1" w14:textId="77777777" w:rsidTr="007667FD">
        <w:trPr>
          <w:cantSplit/>
        </w:trPr>
        <w:tc>
          <w:tcPr>
            <w:tcW w:w="1842" w:type="dxa"/>
            <w:tcBorders>
              <w:top w:val="single" w:sz="4" w:space="0" w:color="D2232A"/>
              <w:left w:val="single" w:sz="4" w:space="0" w:color="D2232A"/>
              <w:bottom w:val="single" w:sz="4" w:space="0" w:color="D2232A"/>
              <w:right w:val="single" w:sz="4" w:space="0" w:color="D2232A"/>
            </w:tcBorders>
            <w:vAlign w:val="center"/>
          </w:tcPr>
          <w:p w14:paraId="0A7D78DA" w14:textId="77777777" w:rsidR="0096295A" w:rsidRPr="008E4B81" w:rsidRDefault="0096295A" w:rsidP="007667FD">
            <w:pPr>
              <w:spacing w:before="60" w:after="60"/>
              <w:rPr>
                <w:rFonts w:cs="Arial"/>
                <w:szCs w:val="20"/>
              </w:rPr>
            </w:pPr>
            <w:r w:rsidRPr="00451AC8">
              <w:rPr>
                <w:rFonts w:cs="Arial"/>
                <w:szCs w:val="20"/>
              </w:rPr>
              <w:lastRenderedPageBreak/>
              <w:t>FS</w:t>
            </w:r>
            <w:r w:rsidRPr="00451AC8">
              <w:rPr>
                <w:rFonts w:cs="Arial"/>
                <w:szCs w:val="20"/>
              </w:rPr>
              <w:br/>
              <w:t xml:space="preserve">(5925-6425 MHz) </w:t>
            </w:r>
          </w:p>
        </w:tc>
        <w:tc>
          <w:tcPr>
            <w:tcW w:w="1842" w:type="dxa"/>
            <w:tcBorders>
              <w:top w:val="single" w:sz="4" w:space="0" w:color="D2232A"/>
              <w:left w:val="single" w:sz="4" w:space="0" w:color="D2232A"/>
              <w:bottom w:val="single" w:sz="4" w:space="0" w:color="D2232A"/>
              <w:right w:val="single" w:sz="4" w:space="0" w:color="D2232A"/>
            </w:tcBorders>
            <w:vAlign w:val="center"/>
          </w:tcPr>
          <w:p w14:paraId="0A7D78DC" w14:textId="08EC4829" w:rsidR="0096295A" w:rsidRPr="00451AC8" w:rsidRDefault="0096295A" w:rsidP="00296B1B">
            <w:pPr>
              <w:spacing w:before="60" w:after="60"/>
              <w:rPr>
                <w:rFonts w:eastAsia="Calibri" w:cs="Arial"/>
                <w:szCs w:val="20"/>
              </w:rPr>
            </w:pPr>
            <w:r w:rsidRPr="008E4B81">
              <w:rPr>
                <w:rFonts w:cs="Arial"/>
                <w:szCs w:val="20"/>
              </w:rPr>
              <w:t xml:space="preserve">An unwanted emission limit of </w:t>
            </w:r>
            <w:r>
              <w:rPr>
                <w:rFonts w:cs="Arial"/>
                <w:szCs w:val="20"/>
              </w:rPr>
              <w:br/>
            </w:r>
            <w:r w:rsidRPr="008E4B81">
              <w:rPr>
                <w:rFonts w:cs="Arial"/>
                <w:szCs w:val="20"/>
              </w:rPr>
              <w:t>-</w:t>
            </w:r>
            <w:r>
              <w:rPr>
                <w:rFonts w:cs="Arial"/>
                <w:szCs w:val="20"/>
              </w:rPr>
              <w:t>40 dBm/MHz is able</w:t>
            </w:r>
            <w:r w:rsidRPr="008E4B81">
              <w:rPr>
                <w:rFonts w:cs="Arial"/>
                <w:szCs w:val="20"/>
              </w:rPr>
              <w:t xml:space="preserve"> to avoid harmful interference </w:t>
            </w:r>
            <w:r>
              <w:rPr>
                <w:rFonts w:cs="Arial"/>
                <w:szCs w:val="20"/>
              </w:rPr>
              <w:t xml:space="preserve">(I/N = -20 dB) </w:t>
            </w:r>
            <w:r w:rsidRPr="008E4B81">
              <w:rPr>
                <w:rFonts w:cs="Arial"/>
                <w:szCs w:val="20"/>
              </w:rPr>
              <w:t>to the Fixed Service</w:t>
            </w:r>
            <w:r w:rsidR="00296B1B">
              <w:rPr>
                <w:rFonts w:cs="Arial"/>
                <w:szCs w:val="20"/>
              </w:rPr>
              <w:t xml:space="preserve"> or</w:t>
            </w:r>
            <w:r>
              <w:rPr>
                <w:rFonts w:cs="Arial"/>
                <w:szCs w:val="20"/>
              </w:rPr>
              <w:t xml:space="preserve"> </w:t>
            </w:r>
            <w:r w:rsidRPr="009B0EA7">
              <w:rPr>
                <w:rFonts w:cs="Arial"/>
                <w:szCs w:val="20"/>
              </w:rPr>
              <w:t xml:space="preserve">an unwanted emission limit of </w:t>
            </w:r>
            <w:r>
              <w:rPr>
                <w:rFonts w:cs="Arial"/>
                <w:szCs w:val="20"/>
              </w:rPr>
              <w:br/>
              <w:t>-</w:t>
            </w:r>
            <w:r w:rsidRPr="009B0EA7">
              <w:rPr>
                <w:rFonts w:cs="Arial"/>
                <w:szCs w:val="20"/>
              </w:rPr>
              <w:t>30 dBm/MHz may be sufficient to avoid harmful interference to the Fixed Service with mitigation</w:t>
            </w:r>
            <w:r>
              <w:rPr>
                <w:rFonts w:cs="Arial"/>
                <w:szCs w:val="20"/>
              </w:rPr>
              <w:t xml:space="preserve"> technique</w:t>
            </w:r>
            <w:r w:rsidRPr="009B0EA7">
              <w:rPr>
                <w:rFonts w:cs="Arial"/>
                <w:szCs w:val="20"/>
              </w:rPr>
              <w:t>s</w:t>
            </w:r>
            <w:r>
              <w:rPr>
                <w:rFonts w:cs="Arial"/>
                <w:szCs w:val="20"/>
              </w:rPr>
              <w:t>.</w:t>
            </w:r>
          </w:p>
        </w:tc>
        <w:tc>
          <w:tcPr>
            <w:tcW w:w="1842" w:type="dxa"/>
            <w:tcBorders>
              <w:top w:val="single" w:sz="4" w:space="0" w:color="D2232A"/>
              <w:left w:val="single" w:sz="4" w:space="0" w:color="D2232A"/>
              <w:bottom w:val="single" w:sz="4" w:space="0" w:color="D2232A"/>
              <w:right w:val="single" w:sz="4" w:space="0" w:color="D2232A"/>
            </w:tcBorders>
            <w:vAlign w:val="center"/>
          </w:tcPr>
          <w:p w14:paraId="0A7D78DD" w14:textId="77777777" w:rsidR="0096295A" w:rsidRPr="008E4B81" w:rsidRDefault="0096295A" w:rsidP="005E3C1D">
            <w:pPr>
              <w:spacing w:before="60" w:after="60"/>
              <w:rPr>
                <w:rFonts w:eastAsia="Calibri" w:cs="Arial"/>
                <w:szCs w:val="20"/>
              </w:rPr>
            </w:pPr>
            <w:r w:rsidRPr="008E4B81">
              <w:rPr>
                <w:rFonts w:eastAsia="Calibri" w:cs="Arial"/>
                <w:szCs w:val="20"/>
              </w:rPr>
              <w:t>ITS within the band 5905-5925 MHz may suffer from interference</w:t>
            </w:r>
          </w:p>
        </w:tc>
        <w:tc>
          <w:tcPr>
            <w:tcW w:w="1843" w:type="dxa"/>
            <w:tcBorders>
              <w:top w:val="single" w:sz="4" w:space="0" w:color="D2232A"/>
              <w:left w:val="single" w:sz="4" w:space="0" w:color="D2232A"/>
              <w:bottom w:val="single" w:sz="4" w:space="0" w:color="D2232A"/>
              <w:right w:val="single" w:sz="4" w:space="0" w:color="D2232A"/>
            </w:tcBorders>
            <w:vAlign w:val="center"/>
          </w:tcPr>
          <w:p w14:paraId="0A7D78DE" w14:textId="77777777" w:rsidR="0096295A" w:rsidRPr="008E4B81" w:rsidRDefault="0096295A" w:rsidP="007667FD">
            <w:pPr>
              <w:spacing w:before="60" w:after="60"/>
              <w:rPr>
                <w:rFonts w:cs="Arial"/>
                <w:szCs w:val="20"/>
              </w:rPr>
            </w:pPr>
            <w:r w:rsidRPr="008E4B81">
              <w:rPr>
                <w:rFonts w:cs="Arial"/>
                <w:szCs w:val="20"/>
              </w:rPr>
              <w:t xml:space="preserve">When tracks and FS beam are aligned, an unwanted emission limit </w:t>
            </w:r>
            <w:proofErr w:type="gramStart"/>
            <w:r w:rsidRPr="008E4B81">
              <w:rPr>
                <w:rFonts w:cs="Arial"/>
                <w:szCs w:val="20"/>
              </w:rPr>
              <w:t xml:space="preserve">of </w:t>
            </w:r>
            <w:r>
              <w:rPr>
                <w:rFonts w:cs="Arial"/>
                <w:szCs w:val="20"/>
              </w:rPr>
              <w:br/>
            </w:r>
            <w:r w:rsidRPr="008E4B81">
              <w:rPr>
                <w:rFonts w:cs="Arial"/>
                <w:szCs w:val="20"/>
              </w:rPr>
              <w:t>-40 dBm/MHz for CBTC</w:t>
            </w:r>
            <w:proofErr w:type="gramEnd"/>
            <w:r w:rsidRPr="008E4B81">
              <w:rPr>
                <w:rFonts w:cs="Arial"/>
                <w:szCs w:val="20"/>
              </w:rPr>
              <w:t xml:space="preserve"> should be applied.</w:t>
            </w:r>
          </w:p>
          <w:p w14:paraId="0A7D78DF" w14:textId="77777777" w:rsidR="0096295A" w:rsidRPr="008E4B81" w:rsidRDefault="0096295A" w:rsidP="007667FD">
            <w:pPr>
              <w:spacing w:before="60" w:after="60"/>
              <w:rPr>
                <w:rFonts w:cs="Arial"/>
                <w:szCs w:val="20"/>
              </w:rPr>
            </w:pPr>
            <w:r w:rsidRPr="008E4B81">
              <w:rPr>
                <w:rFonts w:cs="Arial"/>
                <w:szCs w:val="20"/>
              </w:rPr>
              <w:t>FS will have limited impact on CBTC operating in the band 5905-5925 MHz taking into account the sy</w:t>
            </w:r>
            <w:r w:rsidR="005E3C1D">
              <w:rPr>
                <w:rFonts w:cs="Arial"/>
                <w:szCs w:val="20"/>
              </w:rPr>
              <w:t>stem margin</w:t>
            </w:r>
          </w:p>
        </w:tc>
        <w:tc>
          <w:tcPr>
            <w:tcW w:w="1843" w:type="dxa"/>
            <w:tcBorders>
              <w:top w:val="single" w:sz="4" w:space="0" w:color="D2232A"/>
              <w:left w:val="single" w:sz="4" w:space="0" w:color="D2232A"/>
              <w:bottom w:val="single" w:sz="4" w:space="0" w:color="D2232A"/>
              <w:right w:val="single" w:sz="4" w:space="0" w:color="D2232A"/>
            </w:tcBorders>
            <w:vAlign w:val="center"/>
          </w:tcPr>
          <w:p w14:paraId="0A7D78E0" w14:textId="77777777" w:rsidR="0096295A" w:rsidRPr="008E4B81" w:rsidRDefault="0096295A" w:rsidP="005E3C1D">
            <w:pPr>
              <w:spacing w:before="60" w:after="60"/>
              <w:rPr>
                <w:rFonts w:cs="Arial"/>
                <w:szCs w:val="20"/>
              </w:rPr>
            </w:pPr>
            <w:r w:rsidRPr="008E4B81">
              <w:rPr>
                <w:rFonts w:cs="Arial"/>
                <w:szCs w:val="20"/>
              </w:rPr>
              <w:t>ECC Report</w:t>
            </w:r>
            <w:r>
              <w:rPr>
                <w:rFonts w:cs="Arial"/>
                <w:szCs w:val="20"/>
              </w:rPr>
              <w:t>s</w:t>
            </w:r>
            <w:r w:rsidRPr="008E4B81">
              <w:rPr>
                <w:rFonts w:cs="Arial"/>
                <w:szCs w:val="20"/>
              </w:rPr>
              <w:t xml:space="preserve"> 101 </w:t>
            </w:r>
            <w:r>
              <w:rPr>
                <w:rFonts w:cs="Arial"/>
                <w:szCs w:val="20"/>
              </w:rPr>
              <w:t xml:space="preserve">and 228 </w:t>
            </w:r>
            <w:r w:rsidRPr="008E4B81">
              <w:rPr>
                <w:rFonts w:cs="Arial"/>
                <w:szCs w:val="20"/>
              </w:rPr>
              <w:t>remain valid</w:t>
            </w:r>
            <w:r w:rsidR="005E3C1D">
              <w:rPr>
                <w:rFonts w:cs="Arial"/>
                <w:szCs w:val="20"/>
              </w:rPr>
              <w:t xml:space="preserve">, </w:t>
            </w:r>
            <w:r w:rsidRPr="008E4B81">
              <w:rPr>
                <w:rFonts w:cs="Arial"/>
                <w:szCs w:val="20"/>
              </w:rPr>
              <w:t>Note</w:t>
            </w:r>
            <w:r>
              <w:rPr>
                <w:rFonts w:cs="Arial"/>
                <w:szCs w:val="20"/>
              </w:rPr>
              <w:t xml:space="preserve"> 1b</w:t>
            </w:r>
          </w:p>
        </w:tc>
      </w:tr>
      <w:tr w:rsidR="0096295A" w:rsidRPr="008E4B81" w14:paraId="0A7D78ED" w14:textId="77777777" w:rsidTr="007667FD">
        <w:trPr>
          <w:cantSplit/>
        </w:trPr>
        <w:tc>
          <w:tcPr>
            <w:tcW w:w="9212" w:type="dxa"/>
            <w:gridSpan w:val="5"/>
            <w:tcBorders>
              <w:top w:val="single" w:sz="4" w:space="0" w:color="D2232A"/>
              <w:left w:val="single" w:sz="4" w:space="0" w:color="D2232A"/>
              <w:bottom w:val="single" w:sz="4" w:space="0" w:color="D2232A"/>
              <w:right w:val="single" w:sz="4" w:space="0" w:color="D2232A"/>
            </w:tcBorders>
            <w:vAlign w:val="center"/>
          </w:tcPr>
          <w:p w14:paraId="0A7D78E2" w14:textId="77777777" w:rsidR="0096295A" w:rsidRPr="00EC5F5E" w:rsidRDefault="0096295A" w:rsidP="007667FD">
            <w:pPr>
              <w:spacing w:before="60" w:after="60"/>
              <w:jc w:val="both"/>
              <w:rPr>
                <w:rFonts w:cs="Arial"/>
                <w:szCs w:val="20"/>
              </w:rPr>
            </w:pPr>
            <w:r w:rsidRPr="00EC5F5E">
              <w:rPr>
                <w:rFonts w:cs="Arial"/>
                <w:szCs w:val="20"/>
              </w:rPr>
              <w:t xml:space="preserve">* Modes A and B are specified in ETSI TS 102 792 Table 5.3, which is part of the requirements defined in </w:t>
            </w:r>
            <w:r w:rsidR="007A3AC6">
              <w:rPr>
                <w:rFonts w:cs="Arial"/>
                <w:szCs w:val="20"/>
              </w:rPr>
              <w:t xml:space="preserve">ETSI </w:t>
            </w:r>
            <w:r w:rsidRPr="00EC5F5E">
              <w:rPr>
                <w:rFonts w:cs="Arial"/>
                <w:szCs w:val="20"/>
              </w:rPr>
              <w:t>EN 302</w:t>
            </w:r>
            <w:r>
              <w:rPr>
                <w:rFonts w:cs="Arial"/>
                <w:szCs w:val="20"/>
              </w:rPr>
              <w:t> </w:t>
            </w:r>
            <w:r w:rsidRPr="00EC5F5E">
              <w:rPr>
                <w:rFonts w:cs="Arial"/>
                <w:szCs w:val="20"/>
              </w:rPr>
              <w:t>571</w:t>
            </w:r>
            <w:r>
              <w:rPr>
                <w:rFonts w:cs="Arial"/>
                <w:szCs w:val="20"/>
              </w:rPr>
              <w:t>.</w:t>
            </w:r>
          </w:p>
          <w:p w14:paraId="0A7D78E3" w14:textId="77777777" w:rsidR="0096295A" w:rsidRDefault="0096295A" w:rsidP="007667FD">
            <w:pPr>
              <w:spacing w:before="60" w:after="60"/>
              <w:jc w:val="both"/>
              <w:rPr>
                <w:rFonts w:cs="Arial"/>
                <w:szCs w:val="20"/>
              </w:rPr>
            </w:pPr>
          </w:p>
          <w:p w14:paraId="0A7D78E4" w14:textId="77777777" w:rsidR="0096295A" w:rsidRDefault="0096295A" w:rsidP="007667FD">
            <w:pPr>
              <w:spacing w:before="60" w:after="60"/>
              <w:jc w:val="both"/>
              <w:rPr>
                <w:rFonts w:cs="Arial"/>
                <w:szCs w:val="20"/>
              </w:rPr>
            </w:pPr>
            <w:r>
              <w:rPr>
                <w:rFonts w:cs="Arial"/>
                <w:szCs w:val="20"/>
              </w:rPr>
              <w:t xml:space="preserve">Note 1a: </w:t>
            </w:r>
            <w:r w:rsidRPr="00FC0F73">
              <w:rPr>
                <w:rFonts w:cs="Arial"/>
                <w:szCs w:val="20"/>
              </w:rPr>
              <w:t xml:space="preserve">As per </w:t>
            </w:r>
            <w:r w:rsidRPr="00EC5F5E">
              <w:rPr>
                <w:rFonts w:cs="Arial"/>
                <w:i/>
                <w:szCs w:val="20"/>
              </w:rPr>
              <w:t>considering n)</w:t>
            </w:r>
            <w:r>
              <w:rPr>
                <w:rFonts w:cs="Arial"/>
                <w:szCs w:val="20"/>
              </w:rPr>
              <w:t xml:space="preserve"> </w:t>
            </w:r>
            <w:r w:rsidRPr="008E4B81">
              <w:rPr>
                <w:rFonts w:cs="Arial"/>
                <w:szCs w:val="20"/>
              </w:rPr>
              <w:t>in ECC</w:t>
            </w:r>
            <w:r w:rsidR="005E3C1D">
              <w:rPr>
                <w:rFonts w:cs="Arial"/>
                <w:szCs w:val="20"/>
              </w:rPr>
              <w:t xml:space="preserve"> Decision </w:t>
            </w:r>
            <w:r w:rsidRPr="008E4B81">
              <w:rPr>
                <w:rFonts w:cs="Arial"/>
                <w:szCs w:val="20"/>
              </w:rPr>
              <w:t>(08)01</w:t>
            </w:r>
            <w:r w:rsidRPr="00FC0F73">
              <w:rPr>
                <w:rFonts w:cs="Arial"/>
                <w:szCs w:val="20"/>
              </w:rPr>
              <w:t xml:space="preserve">, duty cycle restrictions and specified frequency re-use conditions are beneficial for the compatibility with other systems </w:t>
            </w:r>
            <w:r>
              <w:rPr>
                <w:rFonts w:cs="Arial"/>
                <w:szCs w:val="20"/>
              </w:rPr>
              <w:t>and</w:t>
            </w:r>
            <w:r w:rsidRPr="00FC0F73">
              <w:rPr>
                <w:rFonts w:cs="Arial"/>
                <w:szCs w:val="20"/>
              </w:rPr>
              <w:t xml:space="preserve"> for the efficient use of the spectrum by cooperative ITS systems.</w:t>
            </w:r>
          </w:p>
          <w:p w14:paraId="0A7D78E5" w14:textId="77777777" w:rsidR="0096295A" w:rsidRDefault="0096295A" w:rsidP="007667FD">
            <w:pPr>
              <w:spacing w:before="60" w:after="60"/>
              <w:jc w:val="both"/>
              <w:rPr>
                <w:rFonts w:cs="Arial"/>
                <w:szCs w:val="20"/>
              </w:rPr>
            </w:pPr>
            <w:r>
              <w:rPr>
                <w:rFonts w:cs="Arial"/>
                <w:szCs w:val="20"/>
              </w:rPr>
              <w:t xml:space="preserve">Note 1b: </w:t>
            </w:r>
            <w:r w:rsidRPr="006E0191">
              <w:rPr>
                <w:rFonts w:cs="Arial"/>
                <w:szCs w:val="20"/>
              </w:rPr>
              <w:t>LTE-V2X</w:t>
            </w:r>
            <w:r>
              <w:rPr>
                <w:rFonts w:cs="Arial"/>
                <w:szCs w:val="20"/>
              </w:rPr>
              <w:t xml:space="preserve"> </w:t>
            </w:r>
            <w:r w:rsidRPr="006E0191">
              <w:rPr>
                <w:rFonts w:cs="Arial"/>
                <w:szCs w:val="20"/>
              </w:rPr>
              <w:t>systems have to comply with the technical conditions defined in ECC</w:t>
            </w:r>
            <w:r w:rsidR="007A3AC6">
              <w:rPr>
                <w:rFonts w:cs="Arial"/>
                <w:szCs w:val="20"/>
              </w:rPr>
              <w:t xml:space="preserve"> </w:t>
            </w:r>
            <w:r w:rsidRPr="006E0191">
              <w:rPr>
                <w:rFonts w:cs="Arial"/>
                <w:szCs w:val="20"/>
              </w:rPr>
              <w:t>D</w:t>
            </w:r>
            <w:r w:rsidR="007A3AC6">
              <w:rPr>
                <w:rFonts w:cs="Arial"/>
                <w:szCs w:val="20"/>
              </w:rPr>
              <w:t xml:space="preserve">ecision </w:t>
            </w:r>
            <w:r w:rsidRPr="006E0191">
              <w:rPr>
                <w:rFonts w:cs="Arial"/>
                <w:szCs w:val="20"/>
              </w:rPr>
              <w:t xml:space="preserve">(08)01 and </w:t>
            </w:r>
            <w:r>
              <w:rPr>
                <w:rFonts w:cs="Arial"/>
                <w:szCs w:val="20"/>
              </w:rPr>
              <w:t xml:space="preserve">with </w:t>
            </w:r>
            <w:r w:rsidRPr="006E0191">
              <w:rPr>
                <w:rFonts w:cs="Arial"/>
                <w:szCs w:val="20"/>
              </w:rPr>
              <w:t>the</w:t>
            </w:r>
            <w:r>
              <w:rPr>
                <w:rFonts w:cs="Arial"/>
                <w:szCs w:val="20"/>
              </w:rPr>
              <w:t xml:space="preserve"> </w:t>
            </w:r>
            <w:r w:rsidRPr="006E0191">
              <w:rPr>
                <w:rFonts w:cs="Arial"/>
                <w:szCs w:val="20"/>
              </w:rPr>
              <w:t xml:space="preserve">requirements </w:t>
            </w:r>
            <w:r>
              <w:rPr>
                <w:rFonts w:cs="Arial"/>
                <w:szCs w:val="20"/>
              </w:rPr>
              <w:t xml:space="preserve">given </w:t>
            </w:r>
            <w:r w:rsidRPr="006E0191">
              <w:rPr>
                <w:rFonts w:cs="Arial"/>
                <w:szCs w:val="20"/>
              </w:rPr>
              <w:t xml:space="preserve">in </w:t>
            </w:r>
            <w:r w:rsidR="007A3AC6">
              <w:rPr>
                <w:rFonts w:cs="Arial"/>
                <w:szCs w:val="20"/>
              </w:rPr>
              <w:t xml:space="preserve">ETSI </w:t>
            </w:r>
            <w:r w:rsidRPr="006E0191">
              <w:rPr>
                <w:rFonts w:cs="Arial"/>
                <w:szCs w:val="20"/>
              </w:rPr>
              <w:t xml:space="preserve">EN 302 571 related to unwanted emissions. With regard to the Fixed Service, requirements given in </w:t>
            </w:r>
            <w:r w:rsidR="007A3AC6">
              <w:rPr>
                <w:rFonts w:cs="Arial"/>
                <w:szCs w:val="20"/>
              </w:rPr>
              <w:t xml:space="preserve">ETSI </w:t>
            </w:r>
            <w:r w:rsidRPr="006E0191">
              <w:rPr>
                <w:rFonts w:cs="Arial"/>
                <w:szCs w:val="20"/>
              </w:rPr>
              <w:t>EN 302 571 are based on ECC Report 228.</w:t>
            </w:r>
          </w:p>
          <w:p w14:paraId="0A7D78E6" w14:textId="77777777" w:rsidR="0096295A" w:rsidRDefault="0096295A" w:rsidP="007667FD">
            <w:pPr>
              <w:spacing w:before="60" w:after="60"/>
              <w:jc w:val="both"/>
              <w:rPr>
                <w:rFonts w:cs="Arial"/>
                <w:szCs w:val="20"/>
              </w:rPr>
            </w:pPr>
            <w:r>
              <w:rPr>
                <w:rFonts w:cs="Arial"/>
                <w:szCs w:val="20"/>
              </w:rPr>
              <w:t>Note 2a: O</w:t>
            </w:r>
            <w:r w:rsidRPr="008E4B81">
              <w:rPr>
                <w:rFonts w:cs="Arial"/>
                <w:szCs w:val="20"/>
              </w:rPr>
              <w:t>n compatibility between LTE-V2X and road tolling</w:t>
            </w:r>
            <w:r>
              <w:rPr>
                <w:rFonts w:cs="Arial"/>
                <w:szCs w:val="20"/>
              </w:rPr>
              <w:t xml:space="preserve"> in mode A</w:t>
            </w:r>
            <w:r w:rsidRPr="008E4B81">
              <w:rPr>
                <w:rFonts w:cs="Arial"/>
                <w:szCs w:val="20"/>
              </w:rPr>
              <w:t>:</w:t>
            </w:r>
          </w:p>
          <w:p w14:paraId="0A7D78E7" w14:textId="494CF12B" w:rsidR="0096295A" w:rsidRDefault="0096295A" w:rsidP="007667FD">
            <w:pPr>
              <w:pStyle w:val="ECCParBulleted"/>
              <w:spacing w:line="240" w:lineRule="auto"/>
              <w:rPr>
                <w:rFonts w:cs="Arial"/>
              </w:rPr>
            </w:pPr>
            <w:r>
              <w:rPr>
                <w:rFonts w:cs="Arial"/>
              </w:rPr>
              <w:t>A</w:t>
            </w:r>
            <w:r w:rsidRPr="00EF2123">
              <w:rPr>
                <w:rFonts w:cs="Arial"/>
              </w:rPr>
              <w:t xml:space="preserve">n aggregation of spurious emissions from multiple </w:t>
            </w:r>
            <w:r>
              <w:rPr>
                <w:rFonts w:cs="Arial"/>
              </w:rPr>
              <w:t xml:space="preserve">LTE-V2X </w:t>
            </w:r>
            <w:r w:rsidRPr="00EF2123">
              <w:rPr>
                <w:rFonts w:cs="Arial"/>
              </w:rPr>
              <w:t>vehicles</w:t>
            </w:r>
            <w:r w:rsidR="008217FD">
              <w:rPr>
                <w:rFonts w:cs="Arial"/>
              </w:rPr>
              <w:t xml:space="preserve"> in mode A</w:t>
            </w:r>
            <w:r w:rsidRPr="00EF2123">
              <w:rPr>
                <w:rFonts w:cs="Arial"/>
              </w:rPr>
              <w:t xml:space="preserve"> is considered not to be an issue. In ECC Report 228 it was shown that for spurious emissions </w:t>
            </w:r>
            <w:proofErr w:type="gramStart"/>
            <w:r w:rsidRPr="00EF2123">
              <w:rPr>
                <w:rFonts w:cs="Arial"/>
              </w:rPr>
              <w:t>of -65 dBm/MHz per ITS device</w:t>
            </w:r>
            <w:proofErr w:type="gramEnd"/>
            <w:r w:rsidRPr="00EF2123">
              <w:rPr>
                <w:rFonts w:cs="Arial"/>
              </w:rPr>
              <w:t xml:space="preserve"> practically no interference zone exists. Therefore contributions of simultaneously transmitting devices from multiple vehicles are assumed to be negligible due to additional propagation losses in comparison with a single dominant device.</w:t>
            </w:r>
          </w:p>
          <w:p w14:paraId="0A7D78E8" w14:textId="77777777" w:rsidR="0096295A" w:rsidRPr="008E4B81" w:rsidRDefault="0096295A" w:rsidP="007667FD">
            <w:pPr>
              <w:spacing w:before="60" w:after="60"/>
              <w:jc w:val="both"/>
              <w:rPr>
                <w:rFonts w:cs="Arial"/>
                <w:szCs w:val="20"/>
              </w:rPr>
            </w:pPr>
            <w:r w:rsidRPr="008E4B81">
              <w:rPr>
                <w:rFonts w:cs="Arial"/>
                <w:szCs w:val="20"/>
              </w:rPr>
              <w:t xml:space="preserve">Note </w:t>
            </w:r>
            <w:r>
              <w:rPr>
                <w:rFonts w:cs="Arial"/>
                <w:szCs w:val="20"/>
              </w:rPr>
              <w:t>2b</w:t>
            </w:r>
            <w:r w:rsidRPr="008E4B81">
              <w:rPr>
                <w:rFonts w:cs="Arial"/>
                <w:szCs w:val="20"/>
              </w:rPr>
              <w:t xml:space="preserve">: </w:t>
            </w:r>
            <w:r>
              <w:rPr>
                <w:rFonts w:cs="Arial"/>
                <w:szCs w:val="20"/>
              </w:rPr>
              <w:t>O</w:t>
            </w:r>
            <w:r w:rsidRPr="008E4B81">
              <w:rPr>
                <w:rFonts w:cs="Arial"/>
                <w:szCs w:val="20"/>
              </w:rPr>
              <w:t>n compatibility between LTE-V2X and road tolling</w:t>
            </w:r>
            <w:r>
              <w:rPr>
                <w:rFonts w:cs="Arial"/>
                <w:szCs w:val="20"/>
              </w:rPr>
              <w:t xml:space="preserve"> in mode B</w:t>
            </w:r>
            <w:r w:rsidRPr="008E4B81">
              <w:rPr>
                <w:rFonts w:cs="Arial"/>
                <w:szCs w:val="20"/>
              </w:rPr>
              <w:t>:</w:t>
            </w:r>
          </w:p>
          <w:p w14:paraId="0A7D78E9" w14:textId="77777777" w:rsidR="0096295A" w:rsidRPr="00451AC8" w:rsidRDefault="0096295A" w:rsidP="007667FD">
            <w:pPr>
              <w:pStyle w:val="ECCParBulleted"/>
              <w:spacing w:line="240" w:lineRule="auto"/>
              <w:rPr>
                <w:rFonts w:eastAsia="Calibri" w:cs="Arial"/>
              </w:rPr>
            </w:pPr>
            <w:r>
              <w:rPr>
                <w:rFonts w:eastAsia="Calibri" w:cs="Arial"/>
              </w:rPr>
              <w:t>using repeated</w:t>
            </w:r>
            <w:r w:rsidRPr="008E4B81">
              <w:rPr>
                <w:rFonts w:eastAsia="Calibri" w:cs="Arial"/>
              </w:rPr>
              <w:t xml:space="preserve"> retransmission</w:t>
            </w:r>
            <w:r>
              <w:rPr>
                <w:rFonts w:eastAsia="Calibri" w:cs="Arial"/>
              </w:rPr>
              <w:t>s</w:t>
            </w:r>
            <w:r w:rsidRPr="008E4B81">
              <w:rPr>
                <w:rFonts w:eastAsia="Calibri" w:cs="Arial"/>
              </w:rPr>
              <w:t xml:space="preserve"> of CAM </w:t>
            </w:r>
            <w:r>
              <w:rPr>
                <w:rFonts w:eastAsia="Calibri" w:cs="Arial"/>
              </w:rPr>
              <w:t xml:space="preserve">within a road tolling RSU interference zone </w:t>
            </w:r>
            <w:r w:rsidRPr="008E4B81">
              <w:rPr>
                <w:rFonts w:eastAsia="Calibri" w:cs="Arial"/>
              </w:rPr>
              <w:t>can result in lost road toll transactions;</w:t>
            </w:r>
          </w:p>
          <w:p w14:paraId="0A7D78EA" w14:textId="77777777" w:rsidR="0096295A" w:rsidRPr="008E4B81" w:rsidRDefault="0096295A" w:rsidP="007667FD">
            <w:pPr>
              <w:pStyle w:val="ECCParBulleted"/>
              <w:spacing w:line="240" w:lineRule="auto"/>
              <w:rPr>
                <w:rFonts w:cs="Arial"/>
              </w:rPr>
            </w:pPr>
            <w:r w:rsidRPr="008E4B81">
              <w:rPr>
                <w:rFonts w:cs="Arial"/>
              </w:rPr>
              <w:t xml:space="preserve">if CAM retransmissions occur, the average air time of LTE-V2X transmissions within the </w:t>
            </w:r>
            <w:r>
              <w:rPr>
                <w:rFonts w:eastAsia="Calibri" w:cs="Arial"/>
              </w:rPr>
              <w:t>road tolling RSU interference</w:t>
            </w:r>
            <w:r w:rsidRPr="008E4B81">
              <w:rPr>
                <w:rFonts w:cs="Arial"/>
              </w:rPr>
              <w:t xml:space="preserve"> zone may be longer than the average air time requirements in ECC Report 228 derived for CAM;</w:t>
            </w:r>
            <w:r>
              <w:rPr>
                <w:rFonts w:cs="Arial"/>
              </w:rPr>
              <w:t xml:space="preserve"> </w:t>
            </w:r>
            <w:r w:rsidRPr="005D6246">
              <w:rPr>
                <w:rFonts w:cs="Arial"/>
              </w:rPr>
              <w:t xml:space="preserve">Compatibility can be achieved if LTE-V2X stations reduce their average air time within the </w:t>
            </w:r>
            <w:r>
              <w:rPr>
                <w:rFonts w:cs="Arial"/>
              </w:rPr>
              <w:t xml:space="preserve">road </w:t>
            </w:r>
            <w:r w:rsidRPr="005D6246">
              <w:rPr>
                <w:rFonts w:cs="Arial"/>
              </w:rPr>
              <w:t xml:space="preserve">tolling </w:t>
            </w:r>
            <w:r>
              <w:rPr>
                <w:rFonts w:cs="Arial"/>
              </w:rPr>
              <w:t xml:space="preserve">RSU </w:t>
            </w:r>
            <w:r w:rsidRPr="005D6246">
              <w:rPr>
                <w:rFonts w:cs="Arial"/>
              </w:rPr>
              <w:t xml:space="preserve">interference zone in accordance with the </w:t>
            </w:r>
            <w:r>
              <w:rPr>
                <w:rFonts w:cs="Arial"/>
              </w:rPr>
              <w:t xml:space="preserve">timing </w:t>
            </w:r>
            <w:r w:rsidRPr="005D6246">
              <w:rPr>
                <w:rFonts w:cs="Arial"/>
              </w:rPr>
              <w:t>requirements in ECC Report 228. For a 1 second interval, the air time of the transmissions is the number of used sub-frames times the sub-frame length of 1 ms;</w:t>
            </w:r>
          </w:p>
          <w:p w14:paraId="0A7D78EB" w14:textId="27CCDA69" w:rsidR="0096295A" w:rsidRPr="00451AC8" w:rsidRDefault="0096295A" w:rsidP="007667FD">
            <w:pPr>
              <w:pStyle w:val="ECCParBulleted"/>
              <w:spacing w:line="240" w:lineRule="auto"/>
              <w:rPr>
                <w:rFonts w:cs="Arial"/>
              </w:rPr>
            </w:pPr>
            <w:proofErr w:type="gramStart"/>
            <w:r w:rsidRPr="008E4B81">
              <w:rPr>
                <w:rFonts w:cs="Arial"/>
              </w:rPr>
              <w:t>the</w:t>
            </w:r>
            <w:proofErr w:type="gramEnd"/>
            <w:r w:rsidRPr="008E4B81">
              <w:rPr>
                <w:rFonts w:cs="Arial"/>
              </w:rPr>
              <w:t xml:space="preserve"> requirements regarding timing issues are not yet considered in the current versions of 3GPP LTE-V2X </w:t>
            </w:r>
            <w:r>
              <w:rPr>
                <w:rFonts w:cs="Arial"/>
              </w:rPr>
              <w:t>specifications</w:t>
            </w:r>
            <w:r w:rsidRPr="008E4B81">
              <w:rPr>
                <w:rFonts w:cs="Arial"/>
              </w:rPr>
              <w:t>.</w:t>
            </w:r>
          </w:p>
          <w:p w14:paraId="0A7D78EC" w14:textId="77777777" w:rsidR="0096295A" w:rsidRPr="008E4B81" w:rsidRDefault="0096295A" w:rsidP="007667FD">
            <w:pPr>
              <w:spacing w:before="60" w:after="60"/>
              <w:jc w:val="both"/>
              <w:rPr>
                <w:rFonts w:cs="Arial"/>
                <w:szCs w:val="20"/>
              </w:rPr>
            </w:pPr>
          </w:p>
        </w:tc>
      </w:tr>
    </w:tbl>
    <w:p w14:paraId="0A7D78EF" w14:textId="29C42DA8" w:rsidR="0096295A" w:rsidRPr="00F73182" w:rsidRDefault="0096295A" w:rsidP="0096295A">
      <w:pPr>
        <w:pStyle w:val="NoSpacing"/>
        <w:spacing w:before="240" w:after="60"/>
        <w:jc w:val="both"/>
        <w:rPr>
          <w:rFonts w:ascii="Arial" w:eastAsia="Calibri" w:hAnsi="Arial" w:cs="Arial"/>
          <w:sz w:val="20"/>
          <w:szCs w:val="20"/>
        </w:rPr>
      </w:pPr>
      <w:r w:rsidRPr="008E4B81">
        <w:rPr>
          <w:rFonts w:ascii="Arial" w:hAnsi="Arial" w:cs="Arial"/>
          <w:sz w:val="20"/>
          <w:szCs w:val="20"/>
        </w:rPr>
        <w:t>It should be noted that LTE-V2X has been studied in this Report based on 3GPP TR 36.786.</w:t>
      </w:r>
      <w:r w:rsidRPr="00451AC8">
        <w:rPr>
          <w:rFonts w:ascii="Arial" w:hAnsi="Arial" w:cs="Arial"/>
          <w:sz w:val="20"/>
          <w:szCs w:val="20"/>
        </w:rPr>
        <w:t xml:space="preserve"> Furthermore, s</w:t>
      </w:r>
      <w:r w:rsidRPr="008E4B81">
        <w:rPr>
          <w:rFonts w:ascii="Arial" w:hAnsi="Arial" w:cs="Arial"/>
          <w:sz w:val="20"/>
          <w:szCs w:val="20"/>
        </w:rPr>
        <w:t xml:space="preserve">tudies on Smart Tachograph are covered in ECC Report 291 and thus not part of </w:t>
      </w:r>
      <w:r>
        <w:rPr>
          <w:rFonts w:ascii="Arial" w:hAnsi="Arial" w:cs="Arial"/>
          <w:sz w:val="20"/>
          <w:szCs w:val="20"/>
        </w:rPr>
        <w:t>ECC</w:t>
      </w:r>
      <w:r w:rsidRPr="008E4B81">
        <w:rPr>
          <w:rFonts w:ascii="Arial" w:hAnsi="Arial" w:cs="Arial"/>
          <w:sz w:val="20"/>
          <w:szCs w:val="20"/>
        </w:rPr>
        <w:t xml:space="preserve"> Report</w:t>
      </w:r>
      <w:r>
        <w:rPr>
          <w:rFonts w:ascii="Arial" w:hAnsi="Arial" w:cs="Arial"/>
          <w:sz w:val="20"/>
          <w:szCs w:val="20"/>
        </w:rPr>
        <w:t xml:space="preserve"> 290; and</w:t>
      </w:r>
      <w:r w:rsidRPr="00F73182">
        <w:rPr>
          <w:rFonts w:ascii="Arial" w:eastAsia="Calibri" w:hAnsi="Arial" w:cs="Arial"/>
          <w:sz w:val="20"/>
          <w:szCs w:val="20"/>
        </w:rPr>
        <w:t xml:space="preserve"> a proposal for harmonisation of the </w:t>
      </w:r>
      <w:r>
        <w:rPr>
          <w:rFonts w:ascii="Arial" w:eastAsia="Calibri" w:hAnsi="Arial" w:cs="Arial"/>
          <w:sz w:val="20"/>
          <w:szCs w:val="20"/>
        </w:rPr>
        <w:t>S</w:t>
      </w:r>
      <w:r w:rsidRPr="00F73182">
        <w:rPr>
          <w:rFonts w:ascii="Arial" w:eastAsia="Calibri" w:hAnsi="Arial" w:cs="Arial"/>
          <w:sz w:val="20"/>
          <w:szCs w:val="20"/>
        </w:rPr>
        <w:t xml:space="preserve">mart </w:t>
      </w:r>
      <w:r>
        <w:rPr>
          <w:rFonts w:ascii="Arial" w:eastAsia="Calibri" w:hAnsi="Arial" w:cs="Arial"/>
          <w:sz w:val="20"/>
          <w:szCs w:val="20"/>
        </w:rPr>
        <w:t>T</w:t>
      </w:r>
      <w:r w:rsidRPr="00F73182">
        <w:rPr>
          <w:rFonts w:ascii="Arial" w:eastAsia="Calibri" w:hAnsi="Arial" w:cs="Arial"/>
          <w:sz w:val="20"/>
          <w:szCs w:val="20"/>
        </w:rPr>
        <w:t>achograph</w:t>
      </w:r>
      <w:r>
        <w:rPr>
          <w:rFonts w:ascii="Arial" w:eastAsia="Calibri" w:hAnsi="Arial" w:cs="Arial"/>
          <w:sz w:val="20"/>
          <w:szCs w:val="20"/>
        </w:rPr>
        <w:t xml:space="preserve"> in </w:t>
      </w:r>
      <w:r w:rsidRPr="008B7484">
        <w:rPr>
          <w:rFonts w:ascii="Arial" w:eastAsia="Calibri" w:hAnsi="Arial" w:cs="Arial"/>
          <w:sz w:val="20"/>
          <w:szCs w:val="20"/>
          <w:lang w:val="en-US"/>
        </w:rPr>
        <w:t>5795-5815 MHz</w:t>
      </w:r>
      <w:r>
        <w:rPr>
          <w:rFonts w:ascii="Arial" w:eastAsia="Calibri" w:hAnsi="Arial" w:cs="Arial"/>
          <w:sz w:val="20"/>
          <w:szCs w:val="20"/>
          <w:lang w:val="en-US"/>
        </w:rPr>
        <w:t xml:space="preserve"> </w:t>
      </w:r>
      <w:r>
        <w:rPr>
          <w:rFonts w:ascii="Arial" w:eastAsia="Calibri" w:hAnsi="Arial" w:cs="Arial"/>
          <w:sz w:val="20"/>
          <w:szCs w:val="20"/>
        </w:rPr>
        <w:t>and of</w:t>
      </w:r>
      <w:r w:rsidRPr="00F73182">
        <w:rPr>
          <w:rFonts w:ascii="Arial" w:eastAsia="Calibri" w:hAnsi="Arial" w:cs="Arial"/>
          <w:sz w:val="20"/>
          <w:szCs w:val="20"/>
        </w:rPr>
        <w:t xml:space="preserve"> ITS in 5855-5875 MHz is described in CEPT Report 70 </w:t>
      </w:r>
      <w:r w:rsidRPr="00F73182">
        <w:rPr>
          <w:rFonts w:ascii="Arial" w:eastAsia="Calibri" w:hAnsi="Arial" w:cs="Arial"/>
          <w:sz w:val="20"/>
          <w:szCs w:val="20"/>
        </w:rPr>
        <w:fldChar w:fldCharType="begin"/>
      </w:r>
      <w:r w:rsidRPr="00F73182">
        <w:rPr>
          <w:rFonts w:ascii="Arial" w:eastAsia="Calibri" w:hAnsi="Arial" w:cs="Arial"/>
          <w:sz w:val="20"/>
          <w:szCs w:val="20"/>
        </w:rPr>
        <w:instrText xml:space="preserve"> REF _Ref524888028 \r \h </w:instrText>
      </w:r>
      <w:r w:rsidRPr="00F73182">
        <w:rPr>
          <w:rFonts w:ascii="Arial" w:eastAsia="Calibri" w:hAnsi="Arial" w:cs="Arial"/>
          <w:sz w:val="20"/>
          <w:szCs w:val="20"/>
        </w:rPr>
      </w:r>
      <w:r w:rsidRPr="00F73182">
        <w:rPr>
          <w:rFonts w:ascii="Arial" w:eastAsia="Calibri" w:hAnsi="Arial" w:cs="Arial"/>
          <w:sz w:val="20"/>
          <w:szCs w:val="20"/>
        </w:rPr>
        <w:fldChar w:fldCharType="separate"/>
      </w:r>
      <w:r w:rsidR="00BB544A">
        <w:rPr>
          <w:rFonts w:ascii="Arial" w:eastAsia="Calibri" w:hAnsi="Arial" w:cs="Arial"/>
          <w:sz w:val="20"/>
          <w:szCs w:val="20"/>
        </w:rPr>
        <w:t>[2]</w:t>
      </w:r>
      <w:r w:rsidRPr="00F73182">
        <w:rPr>
          <w:rFonts w:ascii="Arial" w:eastAsia="Calibri" w:hAnsi="Arial" w:cs="Arial"/>
          <w:sz w:val="20"/>
          <w:szCs w:val="20"/>
        </w:rPr>
        <w:fldChar w:fldCharType="end"/>
      </w:r>
      <w:r w:rsidRPr="00F73182">
        <w:rPr>
          <w:rFonts w:ascii="Arial" w:eastAsia="Calibri" w:hAnsi="Arial" w:cs="Arial"/>
          <w:sz w:val="20"/>
          <w:szCs w:val="20"/>
        </w:rPr>
        <w:t xml:space="preserve"> in response to the 7</w:t>
      </w:r>
      <w:r w:rsidRPr="00F73182">
        <w:rPr>
          <w:rFonts w:ascii="Arial" w:eastAsia="Calibri" w:hAnsi="Arial" w:cs="Arial"/>
          <w:sz w:val="20"/>
          <w:szCs w:val="20"/>
          <w:vertAlign w:val="superscript"/>
        </w:rPr>
        <w:t>th</w:t>
      </w:r>
      <w:r w:rsidRPr="00F73182">
        <w:rPr>
          <w:rFonts w:ascii="Arial" w:eastAsia="Calibri" w:hAnsi="Arial" w:cs="Arial"/>
          <w:sz w:val="20"/>
          <w:szCs w:val="20"/>
        </w:rPr>
        <w:t xml:space="preserve"> Update for SRD.</w:t>
      </w:r>
    </w:p>
    <w:p w14:paraId="0A7D7976" w14:textId="77777777" w:rsidR="00057E56" w:rsidRDefault="00057E56" w:rsidP="00306CBE">
      <w:pPr>
        <w:pStyle w:val="ECCParagraph"/>
        <w:spacing w:line="240" w:lineRule="auto"/>
      </w:pPr>
    </w:p>
    <w:p w14:paraId="0A7D7977" w14:textId="77777777" w:rsidR="00C12AB8" w:rsidRDefault="00155EB5">
      <w:pPr>
        <w:pStyle w:val="Heading1"/>
      </w:pPr>
      <w:bookmarkStart w:id="19" w:name="_Toc856035"/>
      <w:r>
        <w:lastRenderedPageBreak/>
        <w:t>Coexistence between ITS applications and technologies</w:t>
      </w:r>
      <w:bookmarkEnd w:id="19"/>
    </w:p>
    <w:p w14:paraId="0A7D7978" w14:textId="6E1D6BFA" w:rsidR="00C12AB8" w:rsidRDefault="00155EB5" w:rsidP="00306CBE">
      <w:pPr>
        <w:pStyle w:val="ECCParagraph"/>
        <w:spacing w:line="240" w:lineRule="auto"/>
      </w:pPr>
      <w:r>
        <w:t>ECC and ETSI worked closely together during the development of the response to the mandate, especially with regard to the various technologies and applications which are under discussion in ETSI, i.e. ITS-G5 vs. LTE-V2X as well as Road ITS vs. Urban Rail ITS. The aim is to define a common framework to share the 5875-5925 MHz band amongst ITS technologies and applications (road</w:t>
      </w:r>
      <w:r w:rsidR="00096A59">
        <w:t xml:space="preserve"> and</w:t>
      </w:r>
      <w:r>
        <w:t xml:space="preserve"> urban rail).</w:t>
      </w:r>
    </w:p>
    <w:p w14:paraId="0A7D7979" w14:textId="79C450D9" w:rsidR="00C12AB8" w:rsidRDefault="00155EB5" w:rsidP="00306CBE">
      <w:pPr>
        <w:pStyle w:val="ECCParagraph"/>
        <w:spacing w:line="240" w:lineRule="auto"/>
      </w:pPr>
      <w:r>
        <w:t xml:space="preserve">CEPT took into account feedback on the progress of the work developed by ETSI, which aims at providing a technical standard allowing practical implementation of safety-related ITS applications (road, urban rail) in the 5875-5925 MHz band. However, exact technical interference mitigation measures will need to be tested and validated. It is clear that this is not possible within the time frame of the mandate and will require much more time. </w:t>
      </w:r>
    </w:p>
    <w:p w14:paraId="0A7D797A" w14:textId="336591FB" w:rsidR="00C12AB8" w:rsidRDefault="00155EB5" w:rsidP="00306CBE">
      <w:pPr>
        <w:pStyle w:val="ECCParagraph"/>
        <w:spacing w:line="240" w:lineRule="auto"/>
      </w:pPr>
      <w:r>
        <w:t xml:space="preserve">CEPT invited ETSI to provide information concerning spectrum sharing </w:t>
      </w:r>
      <w:r w:rsidR="001337F6">
        <w:t>by various technologies</w:t>
      </w:r>
      <w:r>
        <w:t xml:space="preserve"> </w:t>
      </w:r>
      <w:r w:rsidR="001337F6">
        <w:t>(</w:t>
      </w:r>
      <w:r>
        <w:t>LTE-V2X</w:t>
      </w:r>
      <w:r w:rsidR="001337F6">
        <w:t>,</w:t>
      </w:r>
      <w:r>
        <w:t xml:space="preserve"> ITS-G5</w:t>
      </w:r>
      <w:r w:rsidR="001337F6">
        <w:t xml:space="preserve"> and CBTC </w:t>
      </w:r>
      <w:r w:rsidR="003B5718">
        <w:t xml:space="preserve">communications </w:t>
      </w:r>
      <w:r w:rsidR="001337F6">
        <w:t>technologies)</w:t>
      </w:r>
      <w:r>
        <w:t>, about commonalities and differences of the spectrum access mechanisms and their capabilities for sharing</w:t>
      </w:r>
      <w:r w:rsidR="001337F6">
        <w:t xml:space="preserve">, </w:t>
      </w:r>
      <w:r>
        <w:t>and whether this implies that specific actions are necessary to ensure compatibility between them.</w:t>
      </w:r>
    </w:p>
    <w:p w14:paraId="0A7D797B" w14:textId="7DB0F02E" w:rsidR="00C12AB8" w:rsidRDefault="00155EB5" w:rsidP="00306CBE">
      <w:pPr>
        <w:pStyle w:val="ECCParagraph"/>
        <w:spacing w:line="240" w:lineRule="auto"/>
      </w:pPr>
      <w:r>
        <w:t xml:space="preserve">There </w:t>
      </w:r>
      <w:r w:rsidR="001337F6">
        <w:t>is</w:t>
      </w:r>
      <w:r>
        <w:t xml:space="preserve"> currently no available specification for sharing solutions between different </w:t>
      </w:r>
      <w:proofErr w:type="gramStart"/>
      <w:r>
        <w:t>Road</w:t>
      </w:r>
      <w:proofErr w:type="gramEnd"/>
      <w:r>
        <w:t xml:space="preserve"> ITS technologies. These are under consideration in ETSI and the work is not finalised yet.</w:t>
      </w:r>
    </w:p>
    <w:p w14:paraId="0A7D797C" w14:textId="77777777" w:rsidR="00C12AB8" w:rsidRDefault="00155EB5" w:rsidP="00306CBE">
      <w:pPr>
        <w:pStyle w:val="ECCParagraph"/>
        <w:spacing w:line="240" w:lineRule="auto"/>
      </w:pPr>
      <w:r>
        <w:t>In addition, current Road ITS specifications do not define priority mechanisms for Urban Rail ITS. Harmful interferences to existing CBTC systems would therefore be possible.</w:t>
      </w:r>
    </w:p>
    <w:p w14:paraId="0A7D797D" w14:textId="77777777" w:rsidR="00C12AB8" w:rsidRDefault="00155EB5" w:rsidP="00945360">
      <w:pPr>
        <w:pStyle w:val="Heading2"/>
        <w:tabs>
          <w:tab w:val="clear" w:pos="718"/>
        </w:tabs>
        <w:ind w:left="578" w:hanging="578"/>
        <w:rPr>
          <w:lang w:val="en-GB"/>
        </w:rPr>
      </w:pPr>
      <w:bookmarkStart w:id="20" w:name="_Toc856036"/>
      <w:r>
        <w:rPr>
          <w:lang w:val="en-GB"/>
        </w:rPr>
        <w:t>Coexistence between Road ITS technologies</w:t>
      </w:r>
      <w:bookmarkEnd w:id="20"/>
    </w:p>
    <w:p w14:paraId="0A7D797E" w14:textId="02483CEB" w:rsidR="0033434C" w:rsidRDefault="00155EB5" w:rsidP="0033434C">
      <w:pPr>
        <w:pStyle w:val="ECCParagraph"/>
        <w:spacing w:line="240" w:lineRule="auto"/>
      </w:pPr>
      <w:r w:rsidRPr="0033434C">
        <w:t xml:space="preserve">The sharing solutions for ITS-G5 and LTE-V2X in the band 5855-5925 MHz are under study within ETSI; this includes co-channel coexistence. ETSI provided an interim report of their actions to CEPT in section 4 of Annex 2 in document </w:t>
      </w:r>
      <w:proofErr w:type="gramStart"/>
      <w:r w:rsidRPr="0033434C">
        <w:t>FM(</w:t>
      </w:r>
      <w:proofErr w:type="gramEnd"/>
      <w:r w:rsidRPr="0033434C">
        <w:t xml:space="preserve">18)135 </w:t>
      </w:r>
      <w:r w:rsidRPr="0033434C">
        <w:fldChar w:fldCharType="begin"/>
      </w:r>
      <w:r w:rsidRPr="0033434C">
        <w:instrText xml:space="preserve"> REF _Ref525303757 \r \h </w:instrText>
      </w:r>
      <w:r w:rsidR="00541A1A" w:rsidRPr="0033434C">
        <w:instrText xml:space="preserve"> \* MERGEFORMAT </w:instrText>
      </w:r>
      <w:r w:rsidRPr="0033434C">
        <w:fldChar w:fldCharType="separate"/>
      </w:r>
      <w:r w:rsidR="005E3C1D">
        <w:t>[37]</w:t>
      </w:r>
      <w:r w:rsidRPr="0033434C">
        <w:fldChar w:fldCharType="end"/>
      </w:r>
      <w:r w:rsidRPr="0033434C">
        <w:t>.</w:t>
      </w:r>
      <w:r w:rsidR="00C25905" w:rsidRPr="0033434C">
        <w:t xml:space="preserve"> In response to questions from ECC, ETSI provided additional information with regard to </w:t>
      </w:r>
      <w:r w:rsidR="00B14D46" w:rsidRPr="00F670DC">
        <w:t>mitigating adjace</w:t>
      </w:r>
      <w:r w:rsidR="00B14D46" w:rsidRPr="002077EA">
        <w:t xml:space="preserve">nt channel interference and multiple channel operation between the different Road ITS </w:t>
      </w:r>
      <w:r w:rsidR="00B14D46" w:rsidRPr="00844CB4">
        <w:t>radio technologies with use of the Harmonised Standard ETSI EN 302</w:t>
      </w:r>
      <w:r w:rsidR="00B01C26">
        <w:t xml:space="preserve"> 571</w:t>
      </w:r>
      <w:r w:rsidR="00B14D46" w:rsidRPr="00844CB4">
        <w:t xml:space="preserve"> </w:t>
      </w:r>
      <w:r w:rsidR="00C25905" w:rsidRPr="004671D5">
        <w:t>in document FM(19)</w:t>
      </w:r>
      <w:r w:rsidR="00580F77" w:rsidRPr="004671D5">
        <w:t>008</w:t>
      </w:r>
      <w:r w:rsidR="00580F77" w:rsidRPr="003C0B01">
        <w:t xml:space="preserve"> </w:t>
      </w:r>
      <w:r w:rsidR="005E3C1D">
        <w:fldChar w:fldCharType="begin"/>
      </w:r>
      <w:r w:rsidR="005E3C1D">
        <w:instrText xml:space="preserve"> REF _Ref201970 \r \h </w:instrText>
      </w:r>
      <w:r w:rsidR="005E3C1D">
        <w:fldChar w:fldCharType="separate"/>
      </w:r>
      <w:r w:rsidR="005E3C1D">
        <w:t>[52]</w:t>
      </w:r>
      <w:r w:rsidR="005E3C1D">
        <w:fldChar w:fldCharType="end"/>
      </w:r>
      <w:r w:rsidR="00C25905" w:rsidRPr="0033434C">
        <w:t>.</w:t>
      </w:r>
    </w:p>
    <w:p w14:paraId="6FB066A4" w14:textId="4E29FEFA" w:rsidR="00882181" w:rsidRDefault="00882181" w:rsidP="0033434C">
      <w:pPr>
        <w:pStyle w:val="ECCParagraph"/>
        <w:spacing w:line="240" w:lineRule="auto"/>
      </w:pPr>
      <w:r>
        <w:t>T</w:t>
      </w:r>
      <w:r w:rsidRPr="00882181">
        <w:t>wo new work items have been created in ETSI to develop two new Technical Reports. The goal with the two Technical Reports is to specify technical details for road ITS coexistence to be implemented later in a standard (WI reference numbers DTR/ERM-TG37-273 and 274)</w:t>
      </w:r>
      <w:r w:rsidR="00D864CD">
        <w:t xml:space="preserve"> (</w:t>
      </w:r>
      <w:r>
        <w:t xml:space="preserve">see </w:t>
      </w:r>
      <w:hyperlink r:id="rId18" w:history="1">
        <w:proofErr w:type="gramStart"/>
        <w:r w:rsidRPr="000C7E08">
          <w:rPr>
            <w:rStyle w:val="Hyperlink"/>
          </w:rPr>
          <w:t>ECC(</w:t>
        </w:r>
        <w:proofErr w:type="gramEnd"/>
        <w:r w:rsidRPr="000C7E08">
          <w:rPr>
            <w:rStyle w:val="Hyperlink"/>
          </w:rPr>
          <w:t>19)013</w:t>
        </w:r>
      </w:hyperlink>
      <w:r w:rsidR="00D864CD">
        <w:t>)</w:t>
      </w:r>
      <w:r>
        <w:t>.</w:t>
      </w:r>
    </w:p>
    <w:p w14:paraId="0A7D7987" w14:textId="5EDE9BC6" w:rsidR="00C12AB8" w:rsidRDefault="00155EB5" w:rsidP="00306CBE">
      <w:pPr>
        <w:pStyle w:val="ECCParagraph"/>
        <w:spacing w:line="240" w:lineRule="auto"/>
      </w:pPr>
      <w:r>
        <w:t xml:space="preserve">The frequency regulation should target technology neutrality, enable early launch of Road ITS products, yet take special care to avoid one technology pre-empt </w:t>
      </w:r>
      <w:proofErr w:type="gramStart"/>
      <w:r>
        <w:t>all the</w:t>
      </w:r>
      <w:proofErr w:type="gramEnd"/>
      <w:r>
        <w:t xml:space="preserve"> spectrum or interfere other technologies.</w:t>
      </w:r>
    </w:p>
    <w:p w14:paraId="0A7D7988" w14:textId="77777777" w:rsidR="001337F6" w:rsidRPr="001337F6" w:rsidRDefault="00177831" w:rsidP="001337F6">
      <w:pPr>
        <w:pStyle w:val="ECCParagraph"/>
        <w:spacing w:line="240" w:lineRule="auto"/>
      </w:pPr>
      <w:r>
        <w:t xml:space="preserve">The following </w:t>
      </w:r>
      <w:r w:rsidR="001337F6" w:rsidRPr="001337F6">
        <w:t>options are under investigation by ETSI:</w:t>
      </w:r>
    </w:p>
    <w:p w14:paraId="0A7D7989" w14:textId="4840054F" w:rsidR="001337F6" w:rsidRPr="001337F6" w:rsidRDefault="001337F6" w:rsidP="00E04D5A">
      <w:pPr>
        <w:pStyle w:val="ECCParagraph"/>
        <w:numPr>
          <w:ilvl w:val="0"/>
          <w:numId w:val="34"/>
        </w:numPr>
        <w:spacing w:line="240" w:lineRule="auto"/>
      </w:pPr>
      <w:r w:rsidRPr="001337F6">
        <w:t>preferred channels</w:t>
      </w:r>
      <w:r w:rsidR="00B02447">
        <w:t xml:space="preserve"> on a temporary basis</w:t>
      </w:r>
    </w:p>
    <w:p w14:paraId="0A7D798A" w14:textId="77777777" w:rsidR="001337F6" w:rsidRPr="001337F6" w:rsidRDefault="001337F6" w:rsidP="00E04D5A">
      <w:pPr>
        <w:pStyle w:val="ECCParagraph"/>
        <w:numPr>
          <w:ilvl w:val="0"/>
          <w:numId w:val="34"/>
        </w:numPr>
        <w:spacing w:line="240" w:lineRule="auto"/>
      </w:pPr>
      <w:r w:rsidRPr="001337F6">
        <w:t>detect-and-vacate;</w:t>
      </w:r>
    </w:p>
    <w:p w14:paraId="0A7D798B" w14:textId="574AF000" w:rsidR="001337F6" w:rsidRPr="001337F6" w:rsidRDefault="001337F6" w:rsidP="00E04D5A">
      <w:pPr>
        <w:pStyle w:val="ECCParagraph"/>
        <w:numPr>
          <w:ilvl w:val="0"/>
          <w:numId w:val="34"/>
        </w:numPr>
        <w:spacing w:line="240" w:lineRule="auto"/>
      </w:pPr>
      <w:r w:rsidRPr="001337F6">
        <w:t xml:space="preserve">a combination of </w:t>
      </w:r>
      <w:r w:rsidR="00215684">
        <w:t xml:space="preserve">options </w:t>
      </w:r>
      <w:proofErr w:type="spellStart"/>
      <w:r w:rsidR="00215684">
        <w:t>a+b</w:t>
      </w:r>
      <w:proofErr w:type="spellEnd"/>
      <w:r w:rsidR="00215684">
        <w:t xml:space="preserve"> above</w:t>
      </w:r>
      <w:r w:rsidRPr="001337F6">
        <w:t>;</w:t>
      </w:r>
    </w:p>
    <w:p w14:paraId="0A7D798C" w14:textId="77777777" w:rsidR="001337F6" w:rsidRPr="001337F6" w:rsidRDefault="001337F6" w:rsidP="00E04D5A">
      <w:pPr>
        <w:pStyle w:val="ECCParagraph"/>
        <w:numPr>
          <w:ilvl w:val="0"/>
          <w:numId w:val="34"/>
        </w:numPr>
        <w:spacing w:line="240" w:lineRule="auto"/>
      </w:pPr>
      <w:r w:rsidRPr="001337F6">
        <w:t>geographical sharing/segregation;</w:t>
      </w:r>
    </w:p>
    <w:p w14:paraId="0A7D798D" w14:textId="77777777" w:rsidR="001337F6" w:rsidRPr="001337F6" w:rsidRDefault="001337F6" w:rsidP="00E04D5A">
      <w:pPr>
        <w:pStyle w:val="ECCParagraph"/>
        <w:numPr>
          <w:ilvl w:val="0"/>
          <w:numId w:val="34"/>
        </w:numPr>
        <w:spacing w:line="240" w:lineRule="auto"/>
      </w:pPr>
      <w:r w:rsidRPr="001337F6">
        <w:t>channel reservation based on energy signals;</w:t>
      </w:r>
    </w:p>
    <w:p w14:paraId="0A7D798E" w14:textId="77777777" w:rsidR="001337F6" w:rsidRPr="001337F6" w:rsidRDefault="001337F6" w:rsidP="00E04D5A">
      <w:pPr>
        <w:pStyle w:val="ECCParagraph"/>
        <w:numPr>
          <w:ilvl w:val="0"/>
          <w:numId w:val="34"/>
        </w:numPr>
        <w:spacing w:line="240" w:lineRule="auto"/>
      </w:pPr>
      <w:r w:rsidRPr="001337F6">
        <w:t>coexistence between Road ITS using reservation messages (where all ITS stations use the ITS-G5 PHY/MAC for this reservation message);</w:t>
      </w:r>
    </w:p>
    <w:p w14:paraId="0A7D798F" w14:textId="77777777" w:rsidR="001337F6" w:rsidRPr="001337F6" w:rsidRDefault="001337F6" w:rsidP="00E04D5A">
      <w:pPr>
        <w:pStyle w:val="ECCParagraph"/>
        <w:numPr>
          <w:ilvl w:val="0"/>
          <w:numId w:val="34"/>
        </w:numPr>
        <w:spacing w:line="240" w:lineRule="auto"/>
      </w:pPr>
      <w:r w:rsidRPr="001337F6">
        <w:t>coexistence between Road ITS using header insertion (where all ITS stations transmit ITS-G5 headers);</w:t>
      </w:r>
    </w:p>
    <w:p w14:paraId="0A7D7990" w14:textId="77777777" w:rsidR="001337F6" w:rsidRPr="001337F6" w:rsidRDefault="001337F6" w:rsidP="00E04D5A">
      <w:pPr>
        <w:pStyle w:val="ECCParagraph"/>
        <w:numPr>
          <w:ilvl w:val="0"/>
          <w:numId w:val="34"/>
        </w:numPr>
        <w:spacing w:line="240" w:lineRule="auto"/>
      </w:pPr>
      <w:r w:rsidRPr="001337F6">
        <w:lastRenderedPageBreak/>
        <w:t>coexistence between Road ITS using combination of reservation messages and header insertion (combination of the two above);</w:t>
      </w:r>
    </w:p>
    <w:p w14:paraId="0A7D7991" w14:textId="461C975F" w:rsidR="001337F6" w:rsidRDefault="001337F6" w:rsidP="00E04D5A">
      <w:pPr>
        <w:pStyle w:val="ECCParagraph"/>
        <w:numPr>
          <w:ilvl w:val="0"/>
          <w:numId w:val="34"/>
        </w:numPr>
        <w:spacing w:line="240" w:lineRule="auto"/>
      </w:pPr>
      <w:proofErr w:type="gramStart"/>
      <w:r w:rsidRPr="001337F6">
        <w:t>coexistence</w:t>
      </w:r>
      <w:proofErr w:type="gramEnd"/>
      <w:r w:rsidRPr="001337F6">
        <w:t xml:space="preserve"> amongst heterogeneous MAC layers under a common fairness framework based on congestion control parameters and prioritisation parameters.</w:t>
      </w:r>
    </w:p>
    <w:p w14:paraId="0A7D7992" w14:textId="77777777" w:rsidR="003500F9" w:rsidRDefault="003500F9" w:rsidP="003500F9">
      <w:pPr>
        <w:pStyle w:val="ECCParagraph"/>
        <w:spacing w:line="240" w:lineRule="auto"/>
      </w:pPr>
      <w:r>
        <w:t>The coexistence solution should enable spectrum sharing among Road ITS technologies in a fair and non-discriminatory manner.</w:t>
      </w:r>
    </w:p>
    <w:p w14:paraId="0A7D7993" w14:textId="77777777" w:rsidR="003500F9" w:rsidRDefault="003500F9" w:rsidP="004D01E5">
      <w:pPr>
        <w:pStyle w:val="ECCParagraph"/>
        <w:spacing w:line="240" w:lineRule="auto"/>
      </w:pPr>
      <w:r>
        <w:t>The technical feasibility, the impact on the Road ITS specifications as well as the timeframe of the above solutions are yet to be confirmed and are the responsibility of ETSI.</w:t>
      </w:r>
    </w:p>
    <w:p w14:paraId="0A7D7994" w14:textId="490F6C09" w:rsidR="003E06FF" w:rsidRPr="001337F6" w:rsidRDefault="003E06FF" w:rsidP="004D01E5">
      <w:pPr>
        <w:pStyle w:val="ECCParagraph"/>
        <w:spacing w:line="240" w:lineRule="auto"/>
      </w:pPr>
      <w:r w:rsidRPr="004D01E5">
        <w:t>It is proposed to review the ECC and EC Decisions after 3 years, assuming this gives ETSI enough time to complete their work.</w:t>
      </w:r>
      <w:r w:rsidR="00882181">
        <w:t xml:space="preserve"> </w:t>
      </w:r>
    </w:p>
    <w:p w14:paraId="0A7D7997" w14:textId="77777777" w:rsidR="00C12AB8" w:rsidRDefault="00155EB5" w:rsidP="00AD0EFB">
      <w:pPr>
        <w:pStyle w:val="Heading2"/>
        <w:ind w:left="578" w:hanging="578"/>
        <w:rPr>
          <w:lang w:val="en-GB"/>
        </w:rPr>
      </w:pPr>
      <w:bookmarkStart w:id="21" w:name="_Toc208467"/>
      <w:bookmarkStart w:id="22" w:name="_Toc856037"/>
      <w:bookmarkEnd w:id="21"/>
      <w:r>
        <w:rPr>
          <w:lang w:val="en-GB"/>
        </w:rPr>
        <w:t>Coexistence between Urban Rail ITS technologies</w:t>
      </w:r>
      <w:bookmarkEnd w:id="22"/>
    </w:p>
    <w:p w14:paraId="0A7D7998" w14:textId="77777777" w:rsidR="00C12AB8" w:rsidRPr="00850CCB" w:rsidRDefault="00155EB5" w:rsidP="00306CBE">
      <w:pPr>
        <w:pStyle w:val="ECCParagraph"/>
        <w:spacing w:line="240" w:lineRule="auto"/>
      </w:pPr>
      <w:r w:rsidRPr="00850CCB">
        <w:t xml:space="preserve">Coexistence between Urban Rail ITS technologies is not an issue since only one technology is usually in operation along a railway line and, if </w:t>
      </w:r>
      <w:proofErr w:type="gramStart"/>
      <w:r w:rsidRPr="00850CCB">
        <w:t>not,</w:t>
      </w:r>
      <w:proofErr w:type="gramEnd"/>
      <w:r w:rsidRPr="00850CCB">
        <w:t xml:space="preserve"> the CBTC operator may decide to segregate technologies by using different channels. </w:t>
      </w:r>
    </w:p>
    <w:p w14:paraId="0A7D7999" w14:textId="77777777" w:rsidR="00C12AB8" w:rsidRPr="003C7C2F" w:rsidRDefault="00155EB5" w:rsidP="00306CBE">
      <w:pPr>
        <w:pStyle w:val="ECCParagraph"/>
        <w:spacing w:line="240" w:lineRule="auto"/>
      </w:pPr>
      <w:r w:rsidRPr="00850CCB">
        <w:t>The main benefit of a European spectrum harmonisation for Urban Rail ITS is to achieve a bigger market in Europe by using a stable and available European harmonised spectrum regulatory approach. Regional/metropolitan deployment does not necessarily need the harmonisation of frequencies for operational reason</w:t>
      </w:r>
      <w:r w:rsidR="005E3C1D">
        <w:t>7</w:t>
      </w:r>
      <w:r w:rsidRPr="00850CCB">
        <w:t>s or cross-border/cross-network interoperability specifications in Europe.</w:t>
      </w:r>
    </w:p>
    <w:p w14:paraId="0A7D799A" w14:textId="77777777" w:rsidR="00C12AB8" w:rsidRDefault="00155EB5" w:rsidP="00945360">
      <w:pPr>
        <w:pStyle w:val="Heading2"/>
        <w:ind w:left="578" w:hanging="578"/>
        <w:rPr>
          <w:lang w:val="en-GB"/>
        </w:rPr>
      </w:pPr>
      <w:bookmarkStart w:id="23" w:name="_Toc856038"/>
      <w:r>
        <w:rPr>
          <w:lang w:val="en-GB"/>
        </w:rPr>
        <w:t>Coexistence between Road ITS and Urban Rail ITS</w:t>
      </w:r>
      <w:bookmarkEnd w:id="23"/>
    </w:p>
    <w:p w14:paraId="0A7D799B" w14:textId="4C489351" w:rsidR="00C12AB8" w:rsidRPr="00850CCB" w:rsidRDefault="00155EB5" w:rsidP="00306CBE">
      <w:pPr>
        <w:pStyle w:val="ECCParagraph"/>
        <w:spacing w:line="240" w:lineRule="auto"/>
      </w:pPr>
      <w:r w:rsidRPr="00850CCB">
        <w:t xml:space="preserve">The interference risk between Road ITS and Urban Rail ITS is being assessed </w:t>
      </w:r>
      <w:r w:rsidR="008631D2">
        <w:t>within</w:t>
      </w:r>
      <w:r w:rsidRPr="00850CCB">
        <w:t xml:space="preserve"> ETSI, and coexistence of the two applications requires specific technical measures, in particular when CBTC is operated outside tunnels. ETSI provided an interim reporting of their actions to CEPT in document </w:t>
      </w:r>
      <w:proofErr w:type="gramStart"/>
      <w:r w:rsidRPr="00850CCB">
        <w:t>FM(</w:t>
      </w:r>
      <w:proofErr w:type="gramEnd"/>
      <w:r w:rsidRPr="00850CCB">
        <w:t xml:space="preserve">18)135 </w:t>
      </w:r>
      <w:r w:rsidRPr="00850CCB">
        <w:fldChar w:fldCharType="begin"/>
      </w:r>
      <w:r w:rsidRPr="004D1050">
        <w:instrText xml:space="preserve"> REF _Ref525118253 \r \h </w:instrText>
      </w:r>
      <w:r w:rsidR="00850CCB">
        <w:instrText xml:space="preserve"> \* MERGEFORMAT </w:instrText>
      </w:r>
      <w:r w:rsidRPr="00850CCB">
        <w:fldChar w:fldCharType="separate"/>
      </w:r>
      <w:r w:rsidR="005E3C1D">
        <w:t>[37]</w:t>
      </w:r>
      <w:r w:rsidRPr="00850CCB">
        <w:fldChar w:fldCharType="end"/>
      </w:r>
      <w:r w:rsidRPr="00850CCB">
        <w:t>.</w:t>
      </w:r>
    </w:p>
    <w:p w14:paraId="0A7D799C" w14:textId="77777777" w:rsidR="00C12AB8" w:rsidRPr="004D1050" w:rsidRDefault="00155EB5" w:rsidP="00306CBE">
      <w:pPr>
        <w:pStyle w:val="ECCParagraph"/>
        <w:spacing w:line="240" w:lineRule="auto"/>
        <w:rPr>
          <w:rFonts w:eastAsia="Calibri"/>
        </w:rPr>
      </w:pPr>
      <w:r w:rsidRPr="00850CCB">
        <w:t>The situation between Road ITS and Urban Rail ITS is seen as different, most importantly in terms of deployment, compared with the situation between Road ITS technologies and needs to be reflected in the ECC Decision and EC Decision.</w:t>
      </w:r>
    </w:p>
    <w:p w14:paraId="0A7D799D" w14:textId="363D09A1" w:rsidR="00C12AB8" w:rsidRPr="003C7C2F" w:rsidRDefault="00155EB5" w:rsidP="00306CBE">
      <w:pPr>
        <w:pStyle w:val="ECCParagraph"/>
        <w:spacing w:line="240" w:lineRule="auto"/>
      </w:pPr>
      <w:r w:rsidRPr="00850CCB">
        <w:t xml:space="preserve">Urban Rail ITS are currently purely infrastructure-based (all messages are conveyed via the infrastructure, no direct train-to-train communication) while Road </w:t>
      </w:r>
      <w:proofErr w:type="gramStart"/>
      <w:r w:rsidRPr="00850CCB">
        <w:t>ITS</w:t>
      </w:r>
      <w:proofErr w:type="gramEnd"/>
      <w:r w:rsidRPr="00850CCB">
        <w:t xml:space="preserve"> in the 5.9 GHz range includes device-to-device communications (either V2V or V2I) where messages are not necessarily conveyed via infrastructure. Planning and deployment rules of Urban Rail ITS infrastructure ensure that all trains are connected to the system, and proper functioning of the trains is dependent upon the reliability of the communication system</w:t>
      </w:r>
      <w:r w:rsidR="008631D2">
        <w:t>.</w:t>
      </w:r>
      <w:r w:rsidRPr="00850CCB">
        <w:t xml:space="preserve"> </w:t>
      </w:r>
      <w:r w:rsidR="008631D2">
        <w:t>H</w:t>
      </w:r>
      <w:r w:rsidRPr="00850CCB">
        <w:t xml:space="preserve">armful </w:t>
      </w:r>
      <w:r w:rsidR="008631D2">
        <w:t>i</w:t>
      </w:r>
      <w:r w:rsidRPr="00850CCB">
        <w:t xml:space="preserve">nterferences to CBTC systems leading to an interruption of radiocommunication triggers emergency braking and stopping of trains. </w:t>
      </w:r>
      <w:r w:rsidR="008631D2">
        <w:t>Last,</w:t>
      </w:r>
      <w:r w:rsidRPr="00850CCB">
        <w:t xml:space="preserve"> the meaning of traffic safety amongst those applications is different:</w:t>
      </w:r>
    </w:p>
    <w:p w14:paraId="0A7D799E" w14:textId="5EA73CEE" w:rsidR="00C12AB8" w:rsidRDefault="00155EB5" w:rsidP="00AD0EFB">
      <w:pPr>
        <w:pStyle w:val="ECCBulletsLv1"/>
        <w:ind w:left="284" w:hanging="284"/>
      </w:pPr>
      <w:r>
        <w:t>For Road ITS, the ultimate aim is to reduce the number of traffic fatalities or accidents using communications between ITS stations</w:t>
      </w:r>
      <w:r w:rsidR="00E32656">
        <w:t>;</w:t>
      </w:r>
    </w:p>
    <w:p w14:paraId="0A7D799F" w14:textId="77777777" w:rsidR="00B20631" w:rsidRDefault="00155EB5" w:rsidP="00AD0EFB">
      <w:pPr>
        <w:pStyle w:val="ECCBulletsLv1"/>
        <w:ind w:left="284" w:hanging="284"/>
      </w:pPr>
      <w:r>
        <w:t>For Urban Rail ITS, the aim is to automatically control the train movement, enforcing train safety and directing train operations.</w:t>
      </w:r>
    </w:p>
    <w:p w14:paraId="0A7D79A0" w14:textId="77777777" w:rsidR="00850CCB" w:rsidRDefault="00850CCB" w:rsidP="00AD0EFB">
      <w:pPr>
        <w:pStyle w:val="ECCBulletsLv1"/>
        <w:numPr>
          <w:ilvl w:val="0"/>
          <w:numId w:val="0"/>
        </w:numPr>
        <w:ind w:left="284" w:hanging="284"/>
      </w:pPr>
    </w:p>
    <w:p w14:paraId="0A7D79A1" w14:textId="77777777" w:rsidR="00C12AB8" w:rsidRDefault="00155EB5" w:rsidP="00306CBE">
      <w:pPr>
        <w:pStyle w:val="ECCParagraph"/>
        <w:spacing w:line="240" w:lineRule="auto"/>
      </w:pPr>
      <w:r>
        <w:t>Nevertheless, Road ITS and Urban Rail ITS use similar technologies and are recommended to be treated within the same application terminology as safety-related Intelligent Transport Systems (ITS) applications.</w:t>
      </w:r>
    </w:p>
    <w:p w14:paraId="0A7D79A2" w14:textId="51BEE278" w:rsidR="00C12AB8" w:rsidRDefault="00155EB5" w:rsidP="00306CBE">
      <w:pPr>
        <w:pStyle w:val="ECCParagraph"/>
        <w:spacing w:line="240" w:lineRule="auto"/>
      </w:pPr>
      <w:r>
        <w:t>P</w:t>
      </w:r>
      <w:r>
        <w:rPr>
          <w:rFonts w:eastAsia="Calibri" w:cs="Arial"/>
          <w:color w:val="000000" w:themeColor="text1"/>
        </w:rPr>
        <w:t>riority between different applications, i.e. different subsets of ITS (Road</w:t>
      </w:r>
      <w:r w:rsidR="00575746">
        <w:rPr>
          <w:rFonts w:eastAsia="Calibri" w:cs="Arial"/>
          <w:color w:val="000000" w:themeColor="text1"/>
        </w:rPr>
        <w:t xml:space="preserve"> </w:t>
      </w:r>
      <w:r>
        <w:rPr>
          <w:rFonts w:eastAsia="Calibri" w:cs="Arial"/>
          <w:color w:val="000000" w:themeColor="text1"/>
        </w:rPr>
        <w:t>ITS and Urban Rail ITS in this case), can also be defined in the relevant spectrum regulation</w:t>
      </w:r>
      <w:r w:rsidR="008631D2">
        <w:rPr>
          <w:rFonts w:eastAsia="Calibri" w:cs="Arial"/>
          <w:color w:val="000000" w:themeColor="text1"/>
        </w:rPr>
        <w:t>:</w:t>
      </w:r>
      <w:r>
        <w:rPr>
          <w:rFonts w:eastAsia="Calibri" w:cs="Arial"/>
          <w:color w:val="000000" w:themeColor="text1"/>
        </w:rPr>
        <w:t xml:space="preserve"> revisions of ECC Decision (08)01 and </w:t>
      </w:r>
      <w:r w:rsidR="008631D2">
        <w:rPr>
          <w:rFonts w:eastAsia="Calibri" w:cs="Arial"/>
          <w:color w:val="000000" w:themeColor="text1"/>
        </w:rPr>
        <w:t>of</w:t>
      </w:r>
      <w:r>
        <w:rPr>
          <w:rFonts w:eastAsia="Calibri" w:cs="Arial"/>
          <w:color w:val="000000" w:themeColor="text1"/>
        </w:rPr>
        <w:t xml:space="preserve"> EC Decision 2008/671/EC </w:t>
      </w:r>
      <w:r w:rsidR="00850CCB">
        <w:fldChar w:fldCharType="begin"/>
      </w:r>
      <w:r w:rsidR="00850CCB">
        <w:instrText xml:space="preserve"> REF _Ref528312467 \r \h  \* MERGEFORMAT </w:instrText>
      </w:r>
      <w:r w:rsidR="00850CCB">
        <w:fldChar w:fldCharType="separate"/>
      </w:r>
      <w:r w:rsidR="005E3C1D">
        <w:t>[27]</w:t>
      </w:r>
      <w:r w:rsidR="00850CCB">
        <w:fldChar w:fldCharType="end"/>
      </w:r>
      <w:r>
        <w:rPr>
          <w:rFonts w:eastAsia="Calibri" w:cs="Arial"/>
          <w:color w:val="000000" w:themeColor="text1"/>
        </w:rPr>
        <w:t>). This would not be against the principle of technology neutrality, but would provide a clear regulatory framework while preserving specificities of the two applications.</w:t>
      </w:r>
    </w:p>
    <w:p w14:paraId="0A7D79A3" w14:textId="2302E8C4" w:rsidR="00C12AB8" w:rsidRDefault="00155EB5" w:rsidP="00306CBE">
      <w:pPr>
        <w:pStyle w:val="ECCParagraph"/>
        <w:spacing w:line="240" w:lineRule="auto"/>
      </w:pPr>
      <w:r>
        <w:lastRenderedPageBreak/>
        <w:t xml:space="preserve">At the time of writing, the work is still ongoing within ETSI (JTFIR – Joint Task Force ITS-RT). JTFIR is working on a Technical Report TR 103 580 covering the proposed sharing solutions. In support of its work, ETSI has established a Special Task Force (STF) 553 to intensify investigations. Its work has started in June 2018. Conclusions are expected in 2019. Results of the STF 553 will be included in the ETSI TR 103 580. </w:t>
      </w:r>
    </w:p>
    <w:p w14:paraId="0A7D79A4" w14:textId="77777777" w:rsidR="00C12AB8" w:rsidRDefault="00155EB5" w:rsidP="00306CBE">
      <w:pPr>
        <w:pStyle w:val="ECCParagraph"/>
        <w:spacing w:line="240" w:lineRule="auto"/>
      </w:pPr>
      <w:r>
        <w:t xml:space="preserve">Road ITS could use the spectrum prioritised for Urban Rail ITS under the condition that Road ITS devices comply with the specified technical mitigation measures, so that Urban Rail ITS remain free of harmful interference. Urban Rail </w:t>
      </w:r>
      <w:proofErr w:type="gramStart"/>
      <w:r>
        <w:t>ITS</w:t>
      </w:r>
      <w:proofErr w:type="gramEnd"/>
      <w:r>
        <w:t xml:space="preserve"> could use the spectrum prioritised for Road ITS under the condition that Urban Rail devices comply with the specified technical mitigation measures, so that Road ITS remain free of harmful interference. Thus the whole 5875-5925 MHz will be accessible to both applications, once the mitigation measures are specified.</w:t>
      </w:r>
    </w:p>
    <w:p w14:paraId="0A7D79A5" w14:textId="41A87282" w:rsidR="00C12AB8" w:rsidRDefault="00155EB5" w:rsidP="00306CBE">
      <w:pPr>
        <w:pStyle w:val="ECCParagraph"/>
        <w:spacing w:line="240" w:lineRule="auto"/>
      </w:pPr>
      <w:r>
        <w:t>Exact technical interference mitigation measures will need to be tested and validated. It is clear that this is not possible within the time frame of the mandate and will require much more time as ETSI informed CEPT accordingly.</w:t>
      </w:r>
    </w:p>
    <w:p w14:paraId="0A7D79A6" w14:textId="77777777" w:rsidR="00C12AB8" w:rsidRDefault="00155EB5" w:rsidP="00306CBE">
      <w:pPr>
        <w:pStyle w:val="ECCParagraph"/>
        <w:spacing w:line="240" w:lineRule="auto"/>
      </w:pPr>
      <w:r>
        <w:t>Therefore, it is proposed:</w:t>
      </w:r>
    </w:p>
    <w:p w14:paraId="0A7D79AE" w14:textId="4EEBE314" w:rsidR="00072E6D" w:rsidRDefault="00072E6D" w:rsidP="00072E6D">
      <w:pPr>
        <w:pStyle w:val="ECCBulletsLv1"/>
        <w:ind w:left="357" w:hanging="357"/>
      </w:pPr>
      <w:r>
        <w:t>Road ITS and Urban Rail ITS applications should be part of the same spectrum regulatory framework</w:t>
      </w:r>
      <w:r w:rsidR="00A66878">
        <w:t>;</w:t>
      </w:r>
    </w:p>
    <w:p w14:paraId="0A7D79AF" w14:textId="4A736130" w:rsidR="00072E6D" w:rsidRDefault="00072E6D" w:rsidP="00072E6D">
      <w:pPr>
        <w:pStyle w:val="ECCBulletsLv1"/>
        <w:ind w:left="357" w:hanging="357"/>
      </w:pPr>
      <w:r>
        <w:t xml:space="preserve">Urban Rail ITS (such as CBTC) applications </w:t>
      </w:r>
      <w:r w:rsidRPr="00023631">
        <w:t xml:space="preserve">in some CEPT countries </w:t>
      </w:r>
      <w:r>
        <w:t>are currently using frequencies in 5905-5935 MHz and conversely Road ITS applications in some CEPT countries are currently using frequencies in 5875-5905 MHz</w:t>
      </w:r>
      <w:r w:rsidR="00A66878">
        <w:t>;</w:t>
      </w:r>
    </w:p>
    <w:p w14:paraId="0A7D79B0" w14:textId="47644FFE" w:rsidR="00072E6D" w:rsidRDefault="00072E6D" w:rsidP="00072E6D">
      <w:pPr>
        <w:pStyle w:val="ECCBulletsLv1"/>
        <w:ind w:left="357" w:hanging="357"/>
      </w:pPr>
      <w:r>
        <w:t>Technical solutions already deployed should stay available for maintenance and evolution and the continued rollout of these systems should not be unduly hindered by a change of the spectrum regulatory environment</w:t>
      </w:r>
      <w:r w:rsidR="00A66878">
        <w:t>;</w:t>
      </w:r>
    </w:p>
    <w:p w14:paraId="0A7D79B1" w14:textId="6E5DB024" w:rsidR="00072E6D" w:rsidRDefault="00072E6D" w:rsidP="00072E6D">
      <w:pPr>
        <w:pStyle w:val="ECCBulletsLv1"/>
        <w:ind w:left="357" w:hanging="357"/>
      </w:pPr>
      <w:r>
        <w:t>Solutions for the coexistence between Road ITS and Urban Rail ITS applications should not impose the use of a specific Road ITS or Urban Rail ITS technology</w:t>
      </w:r>
      <w:r w:rsidR="00A66878">
        <w:t>;</w:t>
      </w:r>
    </w:p>
    <w:p w14:paraId="0A7D79B2" w14:textId="77777777" w:rsidR="00072E6D" w:rsidRDefault="00072E6D" w:rsidP="00072E6D">
      <w:pPr>
        <w:pStyle w:val="ECCBulletsLv1"/>
        <w:ind w:left="357" w:hanging="357"/>
      </w:pPr>
      <w:r>
        <w:t>For the purpose of EC and ECC regulatory deliverables enabling ITS, Urban Rail ITS means urban or suburban railway lines segregated from road and pedestrian traffic</w:t>
      </w:r>
      <w:r w:rsidR="00A66878">
        <w:t>;</w:t>
      </w:r>
      <w:r>
        <w:t>.</w:t>
      </w:r>
    </w:p>
    <w:p w14:paraId="0A7D79B3" w14:textId="77777777" w:rsidR="00072E6D" w:rsidRDefault="00072E6D" w:rsidP="00072E6D">
      <w:pPr>
        <w:pStyle w:val="ECCBulletsLv1"/>
        <w:ind w:left="357" w:hanging="357"/>
      </w:pPr>
      <w:r>
        <w:t>Tramways, Light Rail and buses are not covered by Urban Rail ITS. As far as they have interaction with road users (cars and pedestrian), tramways, Light Rail and buses should use Road ITS solutions and not Urban Rail ITS ones;</w:t>
      </w:r>
    </w:p>
    <w:p w14:paraId="0A7D79B4" w14:textId="77777777" w:rsidR="00072E6D" w:rsidRDefault="00072E6D" w:rsidP="00072E6D">
      <w:pPr>
        <w:pStyle w:val="ECCBulletsLv1"/>
        <w:ind w:left="357" w:hanging="357"/>
      </w:pPr>
      <w:r>
        <w:t xml:space="preserve">To harmonise the frequency band 5875-5925 MHz for safety-related ITS applications. In addition, to harmonise the frequency band 5925-5935 MHz for safety-related Urban Rail ITS applications, subject to national coordination </w:t>
      </w:r>
      <w:r w:rsidRPr="008E7E60">
        <w:rPr>
          <w:lang w:val="en-US"/>
        </w:rPr>
        <w:t>with existing FS Networks</w:t>
      </w:r>
      <w:r w:rsidRPr="0057236A">
        <w:rPr>
          <w:lang w:val="fr-FR"/>
        </w:rPr>
        <w:t xml:space="preserve"> </w:t>
      </w:r>
      <w:r>
        <w:rPr>
          <w:lang w:val="fr-FR"/>
        </w:rPr>
        <w:t>and/</w:t>
      </w:r>
      <w:r>
        <w:t xml:space="preserve">or </w:t>
      </w:r>
      <w:r>
        <w:rPr>
          <w:lang w:val="fr-FR"/>
        </w:rPr>
        <w:t xml:space="preserve">national </w:t>
      </w:r>
      <w:r>
        <w:t>studies to determine the sharing conditions</w:t>
      </w:r>
      <w:r w:rsidR="00A66878">
        <w:t>;</w:t>
      </w:r>
    </w:p>
    <w:p w14:paraId="0A7D79B5" w14:textId="1B3B525C" w:rsidR="00072E6D" w:rsidRDefault="00072E6D" w:rsidP="00072E6D">
      <w:pPr>
        <w:pStyle w:val="ECCBulletsLv1"/>
        <w:ind w:left="357" w:hanging="357"/>
      </w:pPr>
      <w:r>
        <w:t>The regulatory framework should define priority to Road ITS applications below 5915 MHz and to Urban Rail ITS applications above 5915 MHz, so that protection is afforded to the application having priority</w:t>
      </w:r>
      <w:r w:rsidR="00A66878">
        <w:t>;</w:t>
      </w:r>
    </w:p>
    <w:p w14:paraId="0A7D79B6" w14:textId="4DD361DF" w:rsidR="00072E6D" w:rsidRDefault="00072E6D" w:rsidP="00072E6D">
      <w:pPr>
        <w:pStyle w:val="ECCBulletsLv1"/>
        <w:ind w:left="357" w:hanging="357"/>
      </w:pPr>
      <w:r>
        <w:t xml:space="preserve">In absence of solutions which allow Road ITS applications to protect Urban Rail ITS applications in the frequency range 5915-5925 MHz, Road ITS applications in 5915-5925 MHz could </w:t>
      </w:r>
      <w:r w:rsidRPr="00F35430">
        <w:rPr>
          <w:bCs/>
        </w:rPr>
        <w:t>initially</w:t>
      </w:r>
      <w:r>
        <w:t xml:space="preserve"> be limited to vehicle-to-infrastructure (V2I) applications and coordinated on a national basis. Vehicle-to-vehicle (V2V) could be permitted when solutions ensuring protection of Urban Rail ITS become available from standardisation in ETSI</w:t>
      </w:r>
      <w:r w:rsidR="00A66878">
        <w:t>;</w:t>
      </w:r>
    </w:p>
    <w:p w14:paraId="0A7D79B7" w14:textId="415E88AB" w:rsidR="0004367F" w:rsidRDefault="00072E6D" w:rsidP="00072E6D">
      <w:pPr>
        <w:pStyle w:val="ECCBulletsLv1"/>
        <w:ind w:left="357" w:hanging="357"/>
      </w:pPr>
      <w:r>
        <w:t xml:space="preserve">The precise way how this can be best facilitated for Urban Rail ITS is within the national authorisation process based on national coordination. This can imply the use of individual authorisations for Urban Rail ITS (5915-5935 MHz), Road ITS infrastructure (5915-5925 MHz) and FS (above 5925 MHz). The regulatory authority </w:t>
      </w:r>
      <w:r w:rsidR="00090025">
        <w:t>should enable access for Urban Rail ITS (</w:t>
      </w:r>
      <w:r>
        <w:t>5915-5935 MHz</w:t>
      </w:r>
      <w:r w:rsidR="00090025">
        <w:t>)</w:t>
      </w:r>
      <w:r>
        <w:t xml:space="preserve"> </w:t>
      </w:r>
      <w:r w:rsidR="00090025">
        <w:t xml:space="preserve">which would be authorised on </w:t>
      </w:r>
      <w:r>
        <w:t xml:space="preserve">a shared basis. </w:t>
      </w:r>
      <w:r w:rsidRPr="0057236A">
        <w:t>The precise implementation of spectrum for Urban Rail ITS should be subject to national circumstances and stakeholder demand for Urban Rail ITS</w:t>
      </w:r>
      <w:r w:rsidR="00A66878">
        <w:t>;</w:t>
      </w:r>
    </w:p>
    <w:p w14:paraId="0A7D79B8" w14:textId="62ADEE19" w:rsidR="0004367F" w:rsidRDefault="0004367F" w:rsidP="00072E6D">
      <w:pPr>
        <w:pStyle w:val="ECCBulletsLv1"/>
        <w:ind w:left="357" w:hanging="357"/>
      </w:pPr>
      <w:r>
        <w:t xml:space="preserve">It </w:t>
      </w:r>
      <w:r w:rsidRPr="003B519C">
        <w:t xml:space="preserve">is proposed to review the ECC Decision (08)01 </w:t>
      </w:r>
      <w:r w:rsidRPr="003B519C">
        <w:fldChar w:fldCharType="begin"/>
      </w:r>
      <w:r w:rsidRPr="003B519C">
        <w:instrText xml:space="preserve"> REF _Ref525115782 \r \h  \* MERGEFORMAT </w:instrText>
      </w:r>
      <w:r w:rsidRPr="003B519C">
        <w:fldChar w:fldCharType="separate"/>
      </w:r>
      <w:r w:rsidR="005E3C1D">
        <w:t>[22]</w:t>
      </w:r>
      <w:r w:rsidRPr="003B519C">
        <w:fldChar w:fldCharType="end"/>
      </w:r>
      <w:r w:rsidRPr="003B519C">
        <w:t xml:space="preserve"> and EC Decision </w:t>
      </w:r>
      <w:r w:rsidRPr="003B519C">
        <w:fldChar w:fldCharType="begin"/>
      </w:r>
      <w:r w:rsidRPr="003B519C">
        <w:instrText xml:space="preserve"> REF _Ref528312467 \r \h </w:instrText>
      </w:r>
      <w:r>
        <w:instrText xml:space="preserve"> \* MERGEFORMAT </w:instrText>
      </w:r>
      <w:r w:rsidRPr="003B519C">
        <w:fldChar w:fldCharType="separate"/>
      </w:r>
      <w:r w:rsidR="005E3C1D">
        <w:t>[27]</w:t>
      </w:r>
      <w:r w:rsidRPr="003B519C">
        <w:fldChar w:fldCharType="end"/>
      </w:r>
      <w:r w:rsidRPr="003B519C">
        <w:t xml:space="preserve"> after 3 years with the aim to assess Road ITS and Urban Rail ITS spectrum sharing, assuming this gives ETSI enough time to complete their work for a technology-neutral co-channel coexistence mechanism between Road ITS and Urban Rail ITS.</w:t>
      </w:r>
      <w:r w:rsidR="00932FB6">
        <w:t xml:space="preserve"> </w:t>
      </w:r>
      <w:r w:rsidRPr="003B519C">
        <w:t xml:space="preserve">The initial mandate was limited to the upper frequency edge at 5925 </w:t>
      </w:r>
      <w:proofErr w:type="gramStart"/>
      <w:r w:rsidRPr="003B519C">
        <w:t>MHz,</w:t>
      </w:r>
      <w:proofErr w:type="gramEnd"/>
      <w:r w:rsidRPr="003B519C">
        <w:t xml:space="preserve"> however CEPT has assessed another scenario with the upper frequency edge at 5935 MHz for Urban Rail ITS, which is the currently recommended scenario. The following sections summarise the advantages and disadvantages of each option. It is important that the preferred Urban Rail ITS spectrum remains the same in the long-term</w:t>
      </w:r>
      <w:r>
        <w:t>.</w:t>
      </w:r>
    </w:p>
    <w:p w14:paraId="158A34F0" w14:textId="77777777" w:rsidR="00320A3E" w:rsidRDefault="00320A3E" w:rsidP="00306CBE">
      <w:pPr>
        <w:pStyle w:val="ECCParagraph"/>
        <w:spacing w:line="240" w:lineRule="auto"/>
      </w:pPr>
    </w:p>
    <w:p w14:paraId="0A7D79BC" w14:textId="553AD85C" w:rsidR="00C12AB8" w:rsidRDefault="00155EB5" w:rsidP="00306CBE">
      <w:pPr>
        <w:pStyle w:val="ECCParagraph"/>
        <w:spacing w:line="240" w:lineRule="auto"/>
      </w:pPr>
      <w:r>
        <w:t xml:space="preserve">Two basic scenarios have been considered with regard to where Urban Rail ITS </w:t>
      </w:r>
      <w:proofErr w:type="gramStart"/>
      <w:r>
        <w:t>have</w:t>
      </w:r>
      <w:proofErr w:type="gramEnd"/>
      <w:r>
        <w:t xml:space="preserve"> priority. Both scenarios fulfil the bandwidth requirements of Urban Rail ITS. Urban Rail ITS </w:t>
      </w:r>
      <w:r w:rsidR="006979D0" w:rsidRPr="006979D0">
        <w:rPr>
          <w:lang w:val="en-US"/>
        </w:rPr>
        <w:t xml:space="preserve">vendors and operators have indicated they </w:t>
      </w:r>
      <w:r>
        <w:t>need a stable frequency regulatory framework from the beginning. The Urban Rail community stated that a continuous 20 MHz of spectrum is required. A potential third option was discussed where Urban Rail ITS ha</w:t>
      </w:r>
      <w:r w:rsidR="00A308D2">
        <w:t>ve</w:t>
      </w:r>
      <w:r>
        <w:t xml:space="preserve"> priority in 5905-5915 MHz and 5925-5935 MHz (i.e. a 10 MHz gap in the middle). This option however was not considered acceptable by the Urban Rail community and may have greater impact on existing Urban Rail ITS implementations (see Annex 1).</w:t>
      </w:r>
    </w:p>
    <w:p w14:paraId="0A7D79BD" w14:textId="77777777" w:rsidR="00C12AB8" w:rsidRDefault="006E046D">
      <w:pPr>
        <w:pStyle w:val="Heading3"/>
        <w:rPr>
          <w:lang w:val="en-GB"/>
        </w:rPr>
      </w:pPr>
      <w:bookmarkStart w:id="24" w:name="_Toc856039"/>
      <w:r>
        <w:rPr>
          <w:lang w:val="en-GB"/>
        </w:rPr>
        <w:t xml:space="preserve">Option 1; </w:t>
      </w:r>
      <w:r w:rsidR="00155EB5">
        <w:rPr>
          <w:lang w:val="en-GB"/>
        </w:rPr>
        <w:t>Urban Rail ITS having priority in 5905-5925 MHz</w:t>
      </w:r>
      <w:bookmarkEnd w:id="24"/>
    </w:p>
    <w:p w14:paraId="0A7D79BE" w14:textId="77777777" w:rsidR="00C12AB8" w:rsidRDefault="00155EB5" w:rsidP="00306CBE">
      <w:pPr>
        <w:pStyle w:val="ECCParagraph"/>
        <w:spacing w:line="240" w:lineRule="auto"/>
        <w:rPr>
          <w:b/>
        </w:rPr>
      </w:pPr>
      <w:r>
        <w:rPr>
          <w:b/>
        </w:rPr>
        <w:t>Advantages:</w:t>
      </w:r>
    </w:p>
    <w:p w14:paraId="0A7D79BF" w14:textId="77777777" w:rsidR="006979D0" w:rsidRPr="00306CBE" w:rsidRDefault="00155EB5" w:rsidP="006979D0">
      <w:pPr>
        <w:pStyle w:val="ECCBulletsLv1"/>
        <w:ind w:left="357" w:hanging="357"/>
        <w:rPr>
          <w:lang w:val="en-US"/>
        </w:rPr>
      </w:pPr>
      <w:r>
        <w:t>No need to retrofit existing CBTC systems deployed or under planning in 5905-5925 MHz (See Annex 1)</w:t>
      </w:r>
      <w:r w:rsidR="0012685F">
        <w:t>;</w:t>
      </w:r>
    </w:p>
    <w:p w14:paraId="0A7D79C0" w14:textId="77777777" w:rsidR="00526956" w:rsidRPr="00526956" w:rsidRDefault="00526956" w:rsidP="006979D0">
      <w:pPr>
        <w:pStyle w:val="ECCBulletsLv1"/>
        <w:ind w:left="357" w:hanging="357"/>
      </w:pPr>
      <w:r>
        <w:t>No impact on FS links above 5925 MHz</w:t>
      </w:r>
      <w:r w:rsidR="0012685F">
        <w:t>.</w:t>
      </w:r>
    </w:p>
    <w:p w14:paraId="0A7D79C1" w14:textId="77777777" w:rsidR="00C12AB8" w:rsidRDefault="00C12AB8" w:rsidP="00306CBE">
      <w:pPr>
        <w:pStyle w:val="ECCBulletsLv1"/>
        <w:numPr>
          <w:ilvl w:val="0"/>
          <w:numId w:val="0"/>
        </w:numPr>
        <w:ind w:left="357"/>
      </w:pPr>
    </w:p>
    <w:p w14:paraId="0A7D79C2" w14:textId="77777777" w:rsidR="00C12AB8" w:rsidRDefault="00155EB5">
      <w:pPr>
        <w:pStyle w:val="ECCParagraph"/>
        <w:rPr>
          <w:b/>
        </w:rPr>
      </w:pPr>
      <w:r>
        <w:rPr>
          <w:b/>
        </w:rPr>
        <w:t>Disadvantages:</w:t>
      </w:r>
    </w:p>
    <w:p w14:paraId="0A7D79C3" w14:textId="77777777" w:rsidR="00C12AB8" w:rsidRDefault="00A308D2" w:rsidP="00AD0EFB">
      <w:pPr>
        <w:pStyle w:val="ECCBulletsLv1"/>
        <w:ind w:left="357" w:hanging="357"/>
      </w:pPr>
      <w:r>
        <w:t xml:space="preserve">For co-channel operation, </w:t>
      </w:r>
      <w:r w:rsidR="00155EB5">
        <w:t>Road ITS devices will need to protect Urban Rail ITS in 5905-5925 MHz (mitigation techniques/measures and/or coordination are needed in order to share the spectrum);</w:t>
      </w:r>
    </w:p>
    <w:p w14:paraId="0A7D79C4" w14:textId="69AB3CEB" w:rsidR="00C12AB8" w:rsidRDefault="00155EB5" w:rsidP="00AD0EFB">
      <w:pPr>
        <w:pStyle w:val="ECCBulletsLv1"/>
        <w:ind w:left="357" w:hanging="357"/>
      </w:pPr>
      <w:r>
        <w:t>Only 30 MHz of prioritised spectrum for Road ITS, which might be restrictive for both capacity and coexistence between Road ITS technologies;</w:t>
      </w:r>
    </w:p>
    <w:p w14:paraId="0A7D79C5" w14:textId="3FF17E4F" w:rsidR="00A52271" w:rsidRDefault="0004367F" w:rsidP="00A52271">
      <w:pPr>
        <w:pStyle w:val="ECCBulletsLv1"/>
        <w:ind w:left="357" w:hanging="357"/>
      </w:pPr>
      <w:r>
        <w:t>Technical conditions for RLAN need to address coexistence with safety-related Urban Rail ITS applications below 5935 MHz and are also needed for this option due to existing large-scale deployments that will not be retrofitted, therefore (unless legacy systems could be migrated) this option does not enable any relaxation of the constraints for RLAN.</w:t>
      </w:r>
    </w:p>
    <w:p w14:paraId="0A7D79C7" w14:textId="1E9075A9" w:rsidR="00C12AB8" w:rsidRDefault="00C12AB8" w:rsidP="004D01E5">
      <w:pPr>
        <w:pStyle w:val="ECCBulletsLv1"/>
        <w:numPr>
          <w:ilvl w:val="0"/>
          <w:numId w:val="0"/>
        </w:numPr>
      </w:pPr>
    </w:p>
    <w:p w14:paraId="0A7D79C9" w14:textId="77777777" w:rsidR="00C12AB8" w:rsidRDefault="006E046D">
      <w:pPr>
        <w:pStyle w:val="Heading3"/>
        <w:rPr>
          <w:lang w:val="en-GB"/>
        </w:rPr>
      </w:pPr>
      <w:bookmarkStart w:id="25" w:name="_Toc208471"/>
      <w:bookmarkStart w:id="26" w:name="_Toc856040"/>
      <w:bookmarkEnd w:id="25"/>
      <w:r>
        <w:rPr>
          <w:lang w:val="en-GB"/>
        </w:rPr>
        <w:t xml:space="preserve">Option 2; </w:t>
      </w:r>
      <w:r w:rsidR="00155EB5">
        <w:rPr>
          <w:lang w:val="en-GB"/>
        </w:rPr>
        <w:t>Urban Rail ITS operating in 5915-5935 MHz and having priority above 5915 MHz</w:t>
      </w:r>
      <w:bookmarkEnd w:id="26"/>
    </w:p>
    <w:p w14:paraId="0A7D79CA" w14:textId="77777777" w:rsidR="00C12AB8" w:rsidRDefault="00155EB5">
      <w:pPr>
        <w:pStyle w:val="ECCParagraph"/>
        <w:rPr>
          <w:b/>
        </w:rPr>
      </w:pPr>
      <w:r>
        <w:rPr>
          <w:b/>
        </w:rPr>
        <w:t>Advantages:</w:t>
      </w:r>
    </w:p>
    <w:p w14:paraId="0A7D79CB" w14:textId="5913FBFF" w:rsidR="00C12AB8" w:rsidRDefault="00155EB5" w:rsidP="00AD0EFB">
      <w:pPr>
        <w:pStyle w:val="ECCBulletsLv1"/>
        <w:ind w:left="357" w:hanging="357"/>
      </w:pPr>
      <w:r>
        <w:t xml:space="preserve">10 MHz of additional spectrum </w:t>
      </w:r>
      <w:r w:rsidR="009E08AD">
        <w:t xml:space="preserve">prioritised </w:t>
      </w:r>
      <w:r>
        <w:t xml:space="preserve">for Road ITS </w:t>
      </w:r>
      <w:r w:rsidR="009E08AD">
        <w:t xml:space="preserve">use </w:t>
      </w:r>
      <w:r>
        <w:t>immediately in 5905-5915 MHz</w:t>
      </w:r>
      <w:r w:rsidR="000F4404">
        <w:t>;</w:t>
      </w:r>
    </w:p>
    <w:p w14:paraId="0A7D79CC" w14:textId="6EB7386E" w:rsidR="00C12AB8" w:rsidRDefault="000F4404" w:rsidP="009E08AD">
      <w:pPr>
        <w:pStyle w:val="ECCBulletsLv1"/>
        <w:ind w:left="357" w:hanging="357"/>
      </w:pPr>
      <w:r>
        <w:t xml:space="preserve">For co-channel operation, </w:t>
      </w:r>
      <w:r w:rsidR="00155EB5">
        <w:t xml:space="preserve">Road ITS devices will </w:t>
      </w:r>
      <w:r w:rsidR="009E08AD">
        <w:t xml:space="preserve">only </w:t>
      </w:r>
      <w:r w:rsidR="00155EB5">
        <w:t>need to protect Urban Rail ITS in 5915-5925 MHz (mitigation techniques/measures and/or coordination are needed in order to share the spectrum);</w:t>
      </w:r>
    </w:p>
    <w:p w14:paraId="0A7D79CD" w14:textId="6BAA229D" w:rsidR="00C12AB8" w:rsidRDefault="0004367F" w:rsidP="00AD0EFB">
      <w:pPr>
        <w:pStyle w:val="ECCBulletsLv1"/>
        <w:ind w:left="357" w:hanging="357"/>
      </w:pPr>
      <w:r>
        <w:t>Technical conditions for RLAN ensuring protection of safety-related Urban Rail ITS applications below 5935 MHz are the same for this option as compared to the option with Urban Rail ITS having priority in 5905-5925 MHz</w:t>
      </w:r>
      <w:r w:rsidR="0064035C">
        <w:t>.</w:t>
      </w:r>
    </w:p>
    <w:p w14:paraId="702B069A" w14:textId="77777777" w:rsidR="00320A3E" w:rsidRDefault="00320A3E" w:rsidP="00320A3E">
      <w:pPr>
        <w:pStyle w:val="ECCBulletsLv1"/>
        <w:numPr>
          <w:ilvl w:val="0"/>
          <w:numId w:val="0"/>
        </w:numPr>
        <w:ind w:left="700"/>
      </w:pPr>
    </w:p>
    <w:p w14:paraId="0A7D79D0" w14:textId="77777777" w:rsidR="00C12AB8" w:rsidRDefault="00155EB5">
      <w:pPr>
        <w:pStyle w:val="ECCParagraph"/>
        <w:rPr>
          <w:b/>
        </w:rPr>
      </w:pPr>
      <w:r>
        <w:rPr>
          <w:b/>
        </w:rPr>
        <w:t>Disadvantages:</w:t>
      </w:r>
    </w:p>
    <w:p w14:paraId="0A7D79D1" w14:textId="03BBD920" w:rsidR="00ED7C13" w:rsidRDefault="006C6F5B" w:rsidP="00ED7C13">
      <w:pPr>
        <w:pStyle w:val="ECCBulletsLv1"/>
        <w:ind w:left="357" w:hanging="357"/>
      </w:pPr>
      <w:r>
        <w:t>N</w:t>
      </w:r>
      <w:r w:rsidR="00ED7C13" w:rsidRPr="00ED7C13">
        <w:t xml:space="preserve">ational coordination </w:t>
      </w:r>
      <w:r w:rsidR="00ED7C13">
        <w:t xml:space="preserve">is necessary </w:t>
      </w:r>
      <w:r w:rsidR="00ED7C13" w:rsidRPr="00ED7C13">
        <w:t xml:space="preserve">with existing FS </w:t>
      </w:r>
      <w:r w:rsidR="00ED7C13">
        <w:t>n</w:t>
      </w:r>
      <w:r w:rsidR="00ED7C13" w:rsidRPr="00ED7C13">
        <w:t>etworks and/or national studies to determine the sharing conditions</w:t>
      </w:r>
      <w:r>
        <w:t>;</w:t>
      </w:r>
      <w:r w:rsidR="00E82462">
        <w:t xml:space="preserve"> </w:t>
      </w:r>
    </w:p>
    <w:p w14:paraId="0A7D79D4" w14:textId="4817A843" w:rsidR="003153B3" w:rsidRDefault="003153B3" w:rsidP="003153B3">
      <w:pPr>
        <w:pStyle w:val="ECCBulletsLv1"/>
        <w:ind w:left="357" w:hanging="357"/>
      </w:pPr>
      <w:r w:rsidRPr="003153B3">
        <w:t xml:space="preserve">Urban rail systems may not be able to use 5925-5935 MHz in </w:t>
      </w:r>
      <w:r w:rsidR="00E6783D">
        <w:t>specific locations</w:t>
      </w:r>
      <w:r w:rsidRPr="003153B3">
        <w:t xml:space="preserve"> where existing fixed links cannot be removed or relocated</w:t>
      </w:r>
      <w:r w:rsidR="00E6783D">
        <w:t xml:space="preserve">. </w:t>
      </w:r>
      <w:r w:rsidR="006C6F5B">
        <w:t>C</w:t>
      </w:r>
      <w:r w:rsidR="00E82462">
        <w:t>oordination between Urban Rail ITS and FS applications has been successful in several countries where existing Urban Rail deployments use frequencies above 5925 MHz</w:t>
      </w:r>
      <w:r w:rsidR="00234497">
        <w:t>.</w:t>
      </w:r>
    </w:p>
    <w:p w14:paraId="11599974" w14:textId="77777777" w:rsidR="00320A3E" w:rsidRDefault="00320A3E" w:rsidP="00320A3E">
      <w:pPr>
        <w:pStyle w:val="ECCBulletsLv1"/>
        <w:numPr>
          <w:ilvl w:val="0"/>
          <w:numId w:val="0"/>
        </w:numPr>
        <w:ind w:left="357"/>
      </w:pPr>
    </w:p>
    <w:p w14:paraId="0A7D79D7" w14:textId="77777777" w:rsidR="00C12AB8" w:rsidRDefault="00155EB5" w:rsidP="00306CBE">
      <w:pPr>
        <w:pStyle w:val="ECCParagraph"/>
        <w:spacing w:line="240" w:lineRule="auto"/>
      </w:pPr>
      <w:r>
        <w:t xml:space="preserve">CEPT proposes to select this option. </w:t>
      </w:r>
    </w:p>
    <w:p w14:paraId="0A7D79D9" w14:textId="77777777" w:rsidR="00C12AB8" w:rsidRPr="00E82462" w:rsidRDefault="00155EB5" w:rsidP="00306CBE">
      <w:pPr>
        <w:pStyle w:val="ECCParagraph"/>
        <w:spacing w:line="240" w:lineRule="auto"/>
        <w:rPr>
          <w:b/>
        </w:rPr>
      </w:pPr>
      <w:r w:rsidRPr="00234497">
        <w:rPr>
          <w:b/>
        </w:rPr>
        <w:t>Con</w:t>
      </w:r>
      <w:r w:rsidRPr="00E82462">
        <w:rPr>
          <w:b/>
        </w:rPr>
        <w:t>sequences:</w:t>
      </w:r>
    </w:p>
    <w:p w14:paraId="0A7D79DA" w14:textId="4E9EEF1A" w:rsidR="00C12AB8" w:rsidRPr="00E82462" w:rsidRDefault="00155EB5" w:rsidP="00AD0EFB">
      <w:pPr>
        <w:pStyle w:val="ECCBulletsLv1"/>
        <w:ind w:left="357" w:hanging="357"/>
      </w:pPr>
      <w:r w:rsidRPr="00234497">
        <w:t xml:space="preserve">A national coordination requirement between </w:t>
      </w:r>
      <w:r w:rsidR="007C60A8" w:rsidRPr="00234497">
        <w:t xml:space="preserve">existing </w:t>
      </w:r>
      <w:r w:rsidRPr="00234497">
        <w:t xml:space="preserve">FS </w:t>
      </w:r>
      <w:r w:rsidR="007C60A8" w:rsidRPr="00234497">
        <w:t>authorisations</w:t>
      </w:r>
      <w:r w:rsidRPr="0009044C">
        <w:t xml:space="preserve"> (and potentially some other applications) and safety-related Urban Rail ITS may imply the use of individual authorisations for 5925-5935 MHz;</w:t>
      </w:r>
    </w:p>
    <w:p w14:paraId="0A7D79DC" w14:textId="5A560068" w:rsidR="00E82462" w:rsidRPr="00DD077B" w:rsidRDefault="00E82462" w:rsidP="004D01E5">
      <w:pPr>
        <w:pStyle w:val="ECCBulletsLv1"/>
        <w:ind w:left="357" w:hanging="357"/>
      </w:pPr>
      <w:r w:rsidRPr="00DD077B">
        <w:lastRenderedPageBreak/>
        <w:t>Technical conditions are being</w:t>
      </w:r>
      <w:r w:rsidRPr="008D3C32">
        <w:t xml:space="preserve"> defined by CEPT for RLAN operating above 5935 MHz so that the protection of safety-related Urban Rail ITS applications below 5935 MHz and safety-related Road ITS below 5925 MHz (e.g. out-of-band emission limit requirements and blocking scenario) is being addressed</w:t>
      </w:r>
      <w:r w:rsidR="0012685F" w:rsidRPr="00DD077B">
        <w:t>;</w:t>
      </w:r>
    </w:p>
    <w:p w14:paraId="0A7D79DD" w14:textId="305A71A5" w:rsidR="00E82462" w:rsidRPr="00DD077B" w:rsidRDefault="00E82462" w:rsidP="004D01E5">
      <w:pPr>
        <w:pStyle w:val="ECCBulletsLv1"/>
        <w:ind w:left="357" w:hanging="357"/>
      </w:pPr>
      <w:r w:rsidRPr="004D01E5">
        <w:t>Depending on requests from administrations, g</w:t>
      </w:r>
      <w:r w:rsidRPr="00DD077B">
        <w:t>uidance on national coordination may need to be defined by CEPT for Road ITS (V2I) operating in 5915-5925 MHz so that coexistence with Urban Rail ITS applications in 5915-5925 MHz (e.g. maximum received power permitted above urban rail tracks) is ensured</w:t>
      </w:r>
      <w:r w:rsidR="0012685F" w:rsidRPr="008D3C32">
        <w:t>;</w:t>
      </w:r>
    </w:p>
    <w:p w14:paraId="0A7D79DE" w14:textId="77777777" w:rsidR="00C12AB8" w:rsidRPr="00234497" w:rsidRDefault="00155EB5" w:rsidP="00AD0EFB">
      <w:pPr>
        <w:pStyle w:val="ECCBulletsLv1"/>
        <w:ind w:left="357" w:hanging="357"/>
      </w:pPr>
      <w:r w:rsidRPr="00E82462">
        <w:t xml:space="preserve">An appropriate authorisation regime is needed for </w:t>
      </w:r>
      <w:r w:rsidR="007C60A8" w:rsidRPr="00E82462">
        <w:rPr>
          <w:lang w:val="en-US"/>
        </w:rPr>
        <w:t xml:space="preserve">coexistence between </w:t>
      </w:r>
      <w:r w:rsidR="00E82462" w:rsidRPr="00E82462">
        <w:rPr>
          <w:lang w:val="en-US"/>
        </w:rPr>
        <w:t>R</w:t>
      </w:r>
      <w:r w:rsidR="007C60A8" w:rsidRPr="00E82462">
        <w:rPr>
          <w:lang w:val="en-US"/>
        </w:rPr>
        <w:t xml:space="preserve">oad ITS and </w:t>
      </w:r>
      <w:r w:rsidR="00E82462" w:rsidRPr="00E82462">
        <w:rPr>
          <w:lang w:val="en-US"/>
        </w:rPr>
        <w:t>U</w:t>
      </w:r>
      <w:r w:rsidR="007C60A8" w:rsidRPr="00E82462">
        <w:rPr>
          <w:lang w:val="en-US"/>
        </w:rPr>
        <w:t xml:space="preserve">rban </w:t>
      </w:r>
      <w:r w:rsidR="00E82462" w:rsidRPr="00E82462">
        <w:rPr>
          <w:lang w:val="en-US"/>
        </w:rPr>
        <w:t>R</w:t>
      </w:r>
      <w:r w:rsidR="007C60A8" w:rsidRPr="00E82462">
        <w:rPr>
          <w:lang w:val="en-US"/>
        </w:rPr>
        <w:t xml:space="preserve">ail ITS in </w:t>
      </w:r>
      <w:r w:rsidRPr="00234497">
        <w:t>5915-5925 MHz which ensures the protection of Urban Rail ITS.</w:t>
      </w:r>
    </w:p>
    <w:p w14:paraId="0A7D79DF" w14:textId="77777777" w:rsidR="00C12AB8" w:rsidRPr="0019221E" w:rsidRDefault="00C12AB8">
      <w:pPr>
        <w:spacing w:after="0" w:line="240" w:lineRule="auto"/>
        <w:jc w:val="both"/>
        <w:rPr>
          <w:lang w:val="en-GB"/>
        </w:rPr>
      </w:pPr>
    </w:p>
    <w:p w14:paraId="0A7D79E1" w14:textId="5B691F78" w:rsidR="00C12AB8" w:rsidRDefault="00155EB5">
      <w:pPr>
        <w:pStyle w:val="ECCParagraph"/>
      </w:pPr>
      <w:r w:rsidRPr="0019221E">
        <w:t xml:space="preserve">Solutions have to be found on a national basis with regard to Urban Rail ITS operating in 5905-5925 MHz and </w:t>
      </w:r>
      <w:r w:rsidRPr="00D12366">
        <w:t xml:space="preserve">on-going projects in 5905-5925 MHz (see </w:t>
      </w:r>
      <w:r w:rsidRPr="00487F9E">
        <w:fldChar w:fldCharType="begin"/>
      </w:r>
      <w:r w:rsidRPr="00E82462">
        <w:instrText xml:space="preserve"> REF _Ref528088839 \r \h </w:instrText>
      </w:r>
      <w:r w:rsidR="00E6783D" w:rsidRPr="00E82462">
        <w:instrText xml:space="preserve"> \* MERGEFORMAT </w:instrText>
      </w:r>
      <w:r w:rsidRPr="00487F9E">
        <w:fldChar w:fldCharType="separate"/>
      </w:r>
      <w:r w:rsidR="00BB544A">
        <w:t>ANNEX 1</w:t>
      </w:r>
      <w:r w:rsidRPr="00487F9E">
        <w:fldChar w:fldCharType="end"/>
      </w:r>
      <w:r w:rsidRPr="00E82462">
        <w:t>).</w:t>
      </w:r>
      <w:r>
        <w:t xml:space="preserve"> </w:t>
      </w:r>
    </w:p>
    <w:p w14:paraId="0A7D79E4" w14:textId="0C2462F2" w:rsidR="00C12AB8" w:rsidRDefault="00155EB5">
      <w:pPr>
        <w:pStyle w:val="Heading1"/>
      </w:pPr>
      <w:bookmarkStart w:id="27" w:name="_Toc208473"/>
      <w:bookmarkStart w:id="28" w:name="_Toc856041"/>
      <w:bookmarkEnd w:id="27"/>
      <w:r>
        <w:lastRenderedPageBreak/>
        <w:t>Proposals for further regulation and standardisation on ITS</w:t>
      </w:r>
      <w:bookmarkEnd w:id="28"/>
    </w:p>
    <w:p w14:paraId="0A7D79E5" w14:textId="77777777" w:rsidR="00C12AB8" w:rsidRDefault="00155EB5">
      <w:pPr>
        <w:pStyle w:val="Heading2"/>
        <w:rPr>
          <w:lang w:val="en-GB"/>
        </w:rPr>
      </w:pPr>
      <w:bookmarkStart w:id="29" w:name="_Toc856042"/>
      <w:r>
        <w:rPr>
          <w:lang w:val="en-GB"/>
        </w:rPr>
        <w:t>Proposals for the EC Decision (and ECC Decision)</w:t>
      </w:r>
      <w:bookmarkEnd w:id="29"/>
    </w:p>
    <w:p w14:paraId="0A7D79E6" w14:textId="77777777" w:rsidR="00C12AB8" w:rsidRPr="00850CCB" w:rsidRDefault="00155EB5" w:rsidP="00306CBE">
      <w:pPr>
        <w:pStyle w:val="ECCParagraph"/>
        <w:spacing w:line="240" w:lineRule="auto"/>
      </w:pPr>
      <w:r w:rsidRPr="00850CCB">
        <w:t xml:space="preserve">Considering that the 5.9 GHz band is to be used by different ITS traffic safety applications (road and urban rail) and by different technologies, and observing the principle of technology neutrality, it is proposed: </w:t>
      </w:r>
    </w:p>
    <w:p w14:paraId="0A7D79E7" w14:textId="77777777" w:rsidR="00C12AB8" w:rsidRDefault="00155EB5" w:rsidP="00834C07">
      <w:pPr>
        <w:pStyle w:val="ECCBulletsLv1"/>
        <w:ind w:left="284" w:hanging="284"/>
      </w:pPr>
      <w:r>
        <w:t>To revise the definition in Article 2(1) of ITS that shall be broadened to encompass all ground-based land transportation systems, including Urban Rail:</w:t>
      </w:r>
    </w:p>
    <w:p w14:paraId="0A7D79E8" w14:textId="77777777" w:rsidR="00C12AB8" w:rsidRPr="00850CCB" w:rsidRDefault="00155EB5" w:rsidP="00834C07">
      <w:pPr>
        <w:pStyle w:val="ECCBulletsLv1"/>
        <w:numPr>
          <w:ilvl w:val="0"/>
          <w:numId w:val="32"/>
        </w:numPr>
        <w:ind w:left="284" w:hanging="284"/>
      </w:pPr>
      <w:r w:rsidRPr="00850CCB">
        <w:t>Any restriction to ‘road’ needs to be avoided and should be deleted. A wider scope should also include applications such as off-road transportation vehicles, e.g. used in agriculture or at construction sites. Off-road applications are considered as applications which typically have a lower number of transportation vehicles in the market, hence there is no spectrum compatibility concern;</w:t>
      </w:r>
    </w:p>
    <w:p w14:paraId="0A7D79E9" w14:textId="6AF4A35F" w:rsidR="00C12AB8" w:rsidRDefault="00155EB5" w:rsidP="00834C07">
      <w:pPr>
        <w:pStyle w:val="ECCBulletsLv1"/>
        <w:numPr>
          <w:ilvl w:val="0"/>
          <w:numId w:val="32"/>
        </w:numPr>
        <w:ind w:left="284" w:hanging="284"/>
      </w:pPr>
      <w:r w:rsidRPr="003C7C2F">
        <w:t xml:space="preserve">All spectrum compatibility studies so far were conducted on the basis of ground-based ITS stations. ITS applications operating </w:t>
      </w:r>
      <w:r w:rsidR="00E32656" w:rsidRPr="003C7C2F">
        <w:t>on-board</w:t>
      </w:r>
      <w:r w:rsidRPr="003C7C2F">
        <w:t xml:space="preserve"> vessels or flying drones, i.e. UAS (Unmanned Aircraft Systems), were not considered yet. Further investigations may be required for such use cases, also noting that communication solutions for drones currently under discussions in CEPT may lead to a demand for harmonisation. It is proposed that a recital in the amended EC Decision 2008/671/EC for ITS clarifies that UAS/drones communications are outside of the ITS spectrum regulatory approach</w:t>
      </w:r>
      <w:r>
        <w:t>;</w:t>
      </w:r>
    </w:p>
    <w:p w14:paraId="0A7D79EA" w14:textId="462C5BF6" w:rsidR="00C12AB8" w:rsidRDefault="009A72BE">
      <w:pPr>
        <w:pStyle w:val="ECCParBulleted"/>
      </w:pPr>
      <w:r>
        <w:t>T</w:t>
      </w:r>
      <w:r w:rsidR="00155EB5">
        <w:t>o distinguish between Urban Rail ITS and Road ITS in the regulation, while keeping them in the same regulatory framework, otherwise it would be a sign to keep the separation on a permanent basis which is against the strategy of fostering sharing and improved spectrum utilisation;</w:t>
      </w:r>
    </w:p>
    <w:p w14:paraId="0A7D79EB" w14:textId="703EA014" w:rsidR="00C12AB8" w:rsidRDefault="009A72BE">
      <w:pPr>
        <w:pStyle w:val="ECCParBulleted"/>
      </w:pPr>
      <w:r>
        <w:t>T</w:t>
      </w:r>
      <w:r w:rsidR="00155EB5">
        <w:t xml:space="preserve">o define priority for Urban Rail ITS </w:t>
      </w:r>
      <w:r>
        <w:t>above</w:t>
      </w:r>
      <w:r w:rsidR="00155EB5">
        <w:t xml:space="preserve"> 5915 MHz and priority for Road ITS </w:t>
      </w:r>
      <w:r>
        <w:t>below</w:t>
      </w:r>
      <w:r w:rsidR="0004367F">
        <w:t xml:space="preserve"> </w:t>
      </w:r>
      <w:r w:rsidR="00155EB5">
        <w:t>5915 MHz;</w:t>
      </w:r>
    </w:p>
    <w:p w14:paraId="0A7D79EC" w14:textId="2D901428" w:rsidR="004514BE" w:rsidRDefault="009A72BE" w:rsidP="004514BE">
      <w:pPr>
        <w:pStyle w:val="ECCParBulleted"/>
      </w:pPr>
      <w:r>
        <w:t>T</w:t>
      </w:r>
      <w:r w:rsidR="00155EB5">
        <w:t>o review the regulation after 3 years at the latest, taking into account the progress made on technology-neutral co-channel sharing mechanisms between ITS applications.</w:t>
      </w:r>
    </w:p>
    <w:p w14:paraId="0A7D79ED" w14:textId="77777777" w:rsidR="00C12AB8" w:rsidRDefault="00C12AB8" w:rsidP="00306CBE">
      <w:pPr>
        <w:pStyle w:val="ECCParagraph"/>
        <w:spacing w:line="240" w:lineRule="auto"/>
      </w:pPr>
    </w:p>
    <w:p w14:paraId="0A7D79EF" w14:textId="51C83EF3" w:rsidR="00C12AB8" w:rsidRDefault="00155EB5" w:rsidP="00306CBE">
      <w:pPr>
        <w:pStyle w:val="ECCParagraph"/>
        <w:spacing w:line="240" w:lineRule="auto"/>
      </w:pPr>
      <w:r w:rsidRPr="00850CCB">
        <w:t>CEPT invited ETSI to develop sharing and interference mitigation</w:t>
      </w:r>
      <w:r w:rsidRPr="003C7C2F">
        <w:t xml:space="preserve"> techniques with</w:t>
      </w:r>
      <w:r w:rsidR="001B09C8">
        <w:t>in</w:t>
      </w:r>
      <w:r w:rsidRPr="003C7C2F">
        <w:t xml:space="preserve"> a reasonable time-frame (no more than 3 years), for ensuring co-channel coexistence in the frequency range 5875-5925 MHz between Road </w:t>
      </w:r>
      <w:proofErr w:type="gramStart"/>
      <w:r w:rsidRPr="003C7C2F">
        <w:t>ITS</w:t>
      </w:r>
      <w:proofErr w:type="gramEnd"/>
      <w:r w:rsidRPr="003C7C2F">
        <w:t xml:space="preserve"> and Urban Rail ITS applications and between Road ITS radio technologies. The review is intended to complete the work (specification, testing and validation) within ETSI on the required mitigation measures and to give time for its implementation in the field.</w:t>
      </w:r>
    </w:p>
    <w:p w14:paraId="0A7D79F1" w14:textId="77777777" w:rsidR="001B09C8" w:rsidRPr="001B09C8" w:rsidRDefault="00155EB5" w:rsidP="001B09C8">
      <w:pPr>
        <w:pStyle w:val="ECCParagraph"/>
        <w:spacing w:line="240" w:lineRule="auto"/>
      </w:pPr>
      <w:r w:rsidRPr="006C4EA9">
        <w:t>Minimum technical requirements</w:t>
      </w:r>
      <w:r w:rsidR="001B09C8" w:rsidRPr="001B09C8">
        <w:t xml:space="preserve"> (without any change for Road ITS in 5875-5905 MHz):</w:t>
      </w:r>
    </w:p>
    <w:p w14:paraId="0A7D79F2" w14:textId="77777777" w:rsidR="001B09C8" w:rsidRPr="0012685F" w:rsidRDefault="001B09C8" w:rsidP="004D01E5">
      <w:pPr>
        <w:pStyle w:val="ECCBulletsLv1"/>
        <w:ind w:left="357" w:hanging="357"/>
      </w:pPr>
      <w:r w:rsidRPr="0012685F">
        <w:t>the frequency band 5875-5925 MHz is designated for all safety-related ITS applications (Road ITS and Urban Rail ITS);</w:t>
      </w:r>
    </w:p>
    <w:p w14:paraId="0A7D79F3" w14:textId="77777777" w:rsidR="001B09C8" w:rsidRPr="00DD077B" w:rsidRDefault="001B09C8" w:rsidP="004D01E5">
      <w:pPr>
        <w:pStyle w:val="ECCBulletsLv1"/>
        <w:ind w:left="357" w:hanging="357"/>
      </w:pPr>
      <w:r w:rsidRPr="00096A59">
        <w:t>the frequency band 5925-5935 MHz is designated for safety-related Urban Rail</w:t>
      </w:r>
      <w:r w:rsidRPr="00DD077B">
        <w:t xml:space="preserve"> ITS applications;</w:t>
      </w:r>
    </w:p>
    <w:p w14:paraId="0A7D79F4" w14:textId="7CA275CE" w:rsidR="0019221E" w:rsidRPr="0012685F" w:rsidRDefault="0019221E" w:rsidP="004D01E5">
      <w:pPr>
        <w:pStyle w:val="ECCBulletsLv1"/>
        <w:ind w:left="357" w:hanging="357"/>
      </w:pPr>
      <w:r w:rsidRPr="00DD077B">
        <w:t>define priority to Road ITS applications below 5915 MHz and to Urban Rail ITS applications above 5915 MHz, so that protection is afforded to the application having priority</w:t>
      </w:r>
      <w:r w:rsidR="0012685F" w:rsidRPr="008D3C32">
        <w:t>;</w:t>
      </w:r>
    </w:p>
    <w:p w14:paraId="0A7D79F6" w14:textId="30621ACA" w:rsidR="00C12AB8" w:rsidRDefault="00155EB5" w:rsidP="0005124A">
      <w:pPr>
        <w:pStyle w:val="ECCBulletsLv1"/>
        <w:ind w:left="357" w:hanging="357"/>
      </w:pPr>
      <w:r>
        <w:t xml:space="preserve">the spectrum for all ITS applications is </w:t>
      </w:r>
      <w:r w:rsidR="000168A2">
        <w:t>divided</w:t>
      </w:r>
      <w:r>
        <w:t xml:space="preserve"> into channels with a maximum bandwidth of 10 MHz each;</w:t>
      </w:r>
    </w:p>
    <w:p w14:paraId="0A7D79F7" w14:textId="3EAA9040" w:rsidR="00C12AB8" w:rsidRDefault="00155EB5" w:rsidP="0005124A">
      <w:pPr>
        <w:pStyle w:val="ECCBulletsLv1"/>
        <w:ind w:left="357" w:hanging="357"/>
      </w:pPr>
      <w:r>
        <w:t>the maximum spectral power density for all ITS stations should be limited to 23 dBm/MHz e.i.r.p.;</w:t>
      </w:r>
    </w:p>
    <w:p w14:paraId="0A7D79F8" w14:textId="306CAB10" w:rsidR="001B09C8" w:rsidRDefault="00155EB5" w:rsidP="0005124A">
      <w:pPr>
        <w:pStyle w:val="ECCBulletsLv1"/>
        <w:ind w:left="357" w:hanging="357"/>
      </w:pPr>
      <w:r>
        <w:t>the total transmit power for all ITS stations shall not exceed 33 dBm e.i.r.p. with a Transmit Power Control (TPC) range of 30 dB;</w:t>
      </w:r>
    </w:p>
    <w:p w14:paraId="0A7D79FA" w14:textId="2F77DD70" w:rsidR="00C12AB8" w:rsidRDefault="0019221E" w:rsidP="0004367F">
      <w:pPr>
        <w:pStyle w:val="ECCBulletsLv1"/>
        <w:ind w:left="357" w:hanging="357"/>
      </w:pPr>
      <w:r>
        <w:t>Road ITS and Urban Rail ITS should remain confined to their respective prioritised frequency range only until they implement polite protocols and/or a proper co-channel sharing mechanisms to be defined by ETSI</w:t>
      </w:r>
      <w:r w:rsidR="0012685F">
        <w:t>.</w:t>
      </w:r>
    </w:p>
    <w:p w14:paraId="0A7D79FC" w14:textId="09836AAC" w:rsidR="0019221E" w:rsidRDefault="0019221E" w:rsidP="004D01E5">
      <w:pPr>
        <w:pStyle w:val="ECCBulletsLv1"/>
        <w:numPr>
          <w:ilvl w:val="0"/>
          <w:numId w:val="0"/>
        </w:numPr>
        <w:spacing w:before="0" w:after="240"/>
      </w:pPr>
    </w:p>
    <w:p w14:paraId="0A7D79FD" w14:textId="582804F3" w:rsidR="0019221E" w:rsidRDefault="0019221E" w:rsidP="00D12366">
      <w:pPr>
        <w:pStyle w:val="ECCBulletsLv1"/>
        <w:numPr>
          <w:ilvl w:val="0"/>
          <w:numId w:val="0"/>
        </w:numPr>
        <w:spacing w:before="0" w:after="240"/>
      </w:pPr>
      <w:r>
        <w:t>In absence of solutions allow</w:t>
      </w:r>
      <w:r w:rsidR="00AE02EC">
        <w:t>ing</w:t>
      </w:r>
      <w:r>
        <w:t xml:space="preserve"> Road ITS applications to protect Urban Rail ITS applications in the frequency range 5915-5925 MHz, </w:t>
      </w:r>
      <w:r w:rsidR="00AE02EC">
        <w:t xml:space="preserve">on a national basis </w:t>
      </w:r>
      <w:r>
        <w:t xml:space="preserve">Road ITS applications limited to vehicle-to-infrastructure (V2I) applications </w:t>
      </w:r>
      <w:r w:rsidR="00AE02EC">
        <w:t xml:space="preserve">may be permitted </w:t>
      </w:r>
      <w:r>
        <w:t xml:space="preserve">and coordinated </w:t>
      </w:r>
      <w:r w:rsidR="00AE02EC" w:rsidRPr="00AE02EC">
        <w:t>in 5915-5925 MHz</w:t>
      </w:r>
      <w:r>
        <w:t xml:space="preserve">. </w:t>
      </w:r>
      <w:proofErr w:type="gramStart"/>
      <w:r>
        <w:t>Vehicle-to-vehicle</w:t>
      </w:r>
      <w:proofErr w:type="gramEnd"/>
      <w:r>
        <w:t xml:space="preserve"> (V2V) could be permitted when solutions ensuring protection of Urban Rail ITS become available from standardisation in ETSI.</w:t>
      </w:r>
    </w:p>
    <w:p w14:paraId="0A7D79FE" w14:textId="77777777" w:rsidR="0004367F" w:rsidRDefault="0004367F" w:rsidP="00D12366">
      <w:pPr>
        <w:pStyle w:val="ECCBulletsLv1"/>
        <w:numPr>
          <w:ilvl w:val="0"/>
          <w:numId w:val="0"/>
        </w:numPr>
        <w:spacing w:before="0" w:after="240"/>
      </w:pPr>
      <w:r>
        <w:lastRenderedPageBreak/>
        <w:t xml:space="preserve">As a consequence, </w:t>
      </w:r>
      <w:r w:rsidRPr="00D12366">
        <w:t xml:space="preserve">Road ITS </w:t>
      </w:r>
      <w:r>
        <w:t xml:space="preserve">may </w:t>
      </w:r>
      <w:r w:rsidRPr="00D12366">
        <w:t>have t</w:t>
      </w:r>
      <w:r>
        <w:t>he</w:t>
      </w:r>
      <w:r w:rsidRPr="00D12366">
        <w:t xml:space="preserve"> possibility to use the frequenc</w:t>
      </w:r>
      <w:r>
        <w:t>y range</w:t>
      </w:r>
      <w:r w:rsidRPr="00D12366">
        <w:t xml:space="preserve"> 5915-5925 MHz in geographical area</w:t>
      </w:r>
      <w:r>
        <w:t>s</w:t>
      </w:r>
      <w:r w:rsidRPr="00D12366">
        <w:t xml:space="preserve">, where Urban </w:t>
      </w:r>
      <w:r>
        <w:t>R</w:t>
      </w:r>
      <w:r w:rsidRPr="00D12366">
        <w:t>ail ITS does not use these frequencies.</w:t>
      </w:r>
    </w:p>
    <w:p w14:paraId="0A7D7A00" w14:textId="77777777" w:rsidR="00C12AB8" w:rsidRDefault="00155EB5">
      <w:pPr>
        <w:pStyle w:val="Heading2"/>
        <w:rPr>
          <w:lang w:val="en-GB"/>
        </w:rPr>
      </w:pPr>
      <w:bookmarkStart w:id="30" w:name="_Toc208476"/>
      <w:bookmarkStart w:id="31" w:name="_Toc856043"/>
      <w:bookmarkEnd w:id="30"/>
      <w:r>
        <w:rPr>
          <w:lang w:val="en-GB"/>
        </w:rPr>
        <w:t>Proposals for ETSI harmonised standard and European profile standard for ITS</w:t>
      </w:r>
      <w:bookmarkEnd w:id="31"/>
    </w:p>
    <w:p w14:paraId="0A7D7A01" w14:textId="0310FCA8" w:rsidR="00C12AB8" w:rsidRPr="003C7C2F" w:rsidRDefault="00155EB5" w:rsidP="00306CBE">
      <w:pPr>
        <w:pStyle w:val="ECCParagraph"/>
        <w:spacing w:line="240" w:lineRule="auto"/>
      </w:pPr>
      <w:r w:rsidRPr="00850CCB">
        <w:t xml:space="preserve">This includes consideration of intertwining and working together of ETSI standards and the need to ensure coherence between the regulatory </w:t>
      </w:r>
      <w:proofErr w:type="gramStart"/>
      <w:r w:rsidRPr="00850CCB">
        <w:t>framework</w:t>
      </w:r>
      <w:proofErr w:type="gramEnd"/>
      <w:r w:rsidRPr="00850CCB">
        <w:t xml:space="preserve"> set out in the EC and ECC Decisions.</w:t>
      </w:r>
    </w:p>
    <w:p w14:paraId="0A7D7A06" w14:textId="6B98F222" w:rsidR="00C12AB8" w:rsidRPr="00CD3711" w:rsidRDefault="00347964" w:rsidP="00306CBE">
      <w:pPr>
        <w:pStyle w:val="ECCParagraph"/>
        <w:spacing w:line="240" w:lineRule="auto"/>
      </w:pPr>
      <w:r>
        <w:t>A</w:t>
      </w:r>
      <w:r w:rsidR="00155EB5" w:rsidRPr="009A69DB">
        <w:t xml:space="preserve">t </w:t>
      </w:r>
      <w:r>
        <w:t xml:space="preserve">the </w:t>
      </w:r>
      <w:r w:rsidR="00155EB5" w:rsidRPr="009A69DB">
        <w:t xml:space="preserve">48th </w:t>
      </w:r>
      <w:r>
        <w:t xml:space="preserve">ECC Plenary </w:t>
      </w:r>
      <w:r w:rsidR="00155EB5" w:rsidRPr="009A69DB">
        <w:t>meeting in July 2018, concluded that priority between different applications, i.e. different subsets of ITS (Road ITS and Urban Rail ITS in this case), can also be defined in the relevant spectrum regulation (revision of ECC Decision (08)01). This would not</w:t>
      </w:r>
      <w:r w:rsidR="00155EB5" w:rsidRPr="00AB4C04">
        <w:t xml:space="preserve"> be against the principle of technology neutrality, but would provide clear regulatory framework. However, a prioritisation or band segmentation with regard to different technologies (ITS-G5</w:t>
      </w:r>
      <w:r>
        <w:t xml:space="preserve"> and</w:t>
      </w:r>
      <w:r w:rsidR="00155EB5" w:rsidRPr="00AB4C04">
        <w:t xml:space="preserve"> LTE-V2X) should be avoided as far as possible, taking into accou</w:t>
      </w:r>
      <w:r w:rsidR="00155EB5" w:rsidRPr="008F476A">
        <w:t>nt the need to ensure coexistence, reliable safety-related operation, and efficient use of spectrum. Technology neutrality is to be considered as a basic principle.</w:t>
      </w:r>
    </w:p>
    <w:p w14:paraId="0A7D7A07" w14:textId="77777777" w:rsidR="00C12AB8" w:rsidRDefault="00155EB5">
      <w:pPr>
        <w:pStyle w:val="Heading3"/>
        <w:rPr>
          <w:lang w:val="en-GB"/>
        </w:rPr>
      </w:pPr>
      <w:bookmarkStart w:id="32" w:name="_Toc856044"/>
      <w:r>
        <w:rPr>
          <w:lang w:val="en-GB"/>
        </w:rPr>
        <w:t>Priorities between Road ITS technologies</w:t>
      </w:r>
      <w:bookmarkEnd w:id="32"/>
    </w:p>
    <w:p w14:paraId="0A7D7A08" w14:textId="77777777" w:rsidR="00C12AB8" w:rsidRDefault="00155EB5" w:rsidP="00306CBE">
      <w:pPr>
        <w:pStyle w:val="ECCParagraph"/>
        <w:spacing w:line="240" w:lineRule="auto"/>
      </w:pPr>
      <w:r>
        <w:t>The frequency regulation should target technology neutrality, enable early launch of Road ITS products, yet take special care to avoid one technology pre-empt all the spectrum or interfere other technologies until ETSI agrees on a proper co-channel sharing mechanism compatible with early launched technologies.</w:t>
      </w:r>
    </w:p>
    <w:p w14:paraId="0A7D7A09" w14:textId="1D0EA05A" w:rsidR="00C12AB8" w:rsidRDefault="00155EB5">
      <w:pPr>
        <w:pStyle w:val="Heading3"/>
        <w:rPr>
          <w:lang w:val="en-GB"/>
        </w:rPr>
      </w:pPr>
      <w:bookmarkStart w:id="33" w:name="_Toc856045"/>
      <w:r>
        <w:rPr>
          <w:lang w:val="en-GB"/>
        </w:rPr>
        <w:t>Priorities between Road</w:t>
      </w:r>
      <w:r w:rsidR="00575746">
        <w:rPr>
          <w:lang w:val="en-GB"/>
        </w:rPr>
        <w:t xml:space="preserve"> </w:t>
      </w:r>
      <w:r>
        <w:rPr>
          <w:lang w:val="en-GB"/>
        </w:rPr>
        <w:t>ITS and Urban Rail ITS applications</w:t>
      </w:r>
      <w:bookmarkEnd w:id="33"/>
    </w:p>
    <w:p w14:paraId="0A7D7A0A" w14:textId="77777777" w:rsidR="00C12AB8" w:rsidRDefault="00155EB5" w:rsidP="00306CBE">
      <w:pPr>
        <w:pStyle w:val="ECCParagraph"/>
        <w:spacing w:line="240" w:lineRule="auto"/>
      </w:pPr>
      <w:r>
        <w:t>The situation between Road ITS and Urban Rail ITS is seen as different compared with the situation between Road ITS technologies.</w:t>
      </w:r>
    </w:p>
    <w:p w14:paraId="0A7D7A0B" w14:textId="77777777" w:rsidR="00C12AB8" w:rsidRDefault="00155EB5" w:rsidP="00306CBE">
      <w:pPr>
        <w:pStyle w:val="ECCParagraph"/>
        <w:spacing w:line="240" w:lineRule="auto"/>
      </w:pPr>
      <w:r>
        <w:t>Priority between Road ITS and Urban Rail ITS can be defined in the relevant spectrum regulation (revision of ECC Decision (08)01 and EC Decision 2008/671/EC). This would not be against the principle of technology neutrality, but would provide clear regulatory framework. The main considerations are:</w:t>
      </w:r>
    </w:p>
    <w:p w14:paraId="0A7D7A0C" w14:textId="552A57D0" w:rsidR="00C12AB8" w:rsidRDefault="00155EB5" w:rsidP="0005124A">
      <w:pPr>
        <w:pStyle w:val="ECCBulletsLv1"/>
        <w:ind w:left="357" w:hanging="357"/>
      </w:pPr>
      <w:r>
        <w:t>Urban Rail ITS is more infrastructure-based while Road ITS in the 5.9 GHz range has a focus on vehicle-to-vehicle communications</w:t>
      </w:r>
      <w:r w:rsidR="00AE3F66">
        <w:t>;</w:t>
      </w:r>
    </w:p>
    <w:p w14:paraId="0A7D7A0D" w14:textId="5477AC77" w:rsidR="00C12AB8" w:rsidRDefault="00155EB5" w:rsidP="0005124A">
      <w:pPr>
        <w:pStyle w:val="ECCBulletsLv1"/>
        <w:ind w:left="357" w:hanging="357"/>
      </w:pPr>
      <w:r>
        <w:t>Current and planned Urban Rail ITS require certainty that operation can continue undisturbed</w:t>
      </w:r>
      <w:r w:rsidR="00AE3F66">
        <w:t>;</w:t>
      </w:r>
    </w:p>
    <w:p w14:paraId="0A7D7A0E" w14:textId="034F2125" w:rsidR="00C12AB8" w:rsidRDefault="00155EB5" w:rsidP="0005124A">
      <w:pPr>
        <w:pStyle w:val="ECCBulletsLv1"/>
        <w:ind w:left="357" w:hanging="357"/>
      </w:pPr>
      <w:r>
        <w:t>Harmful Interference to Urban Rail ITS leading to an interruption of radiocommunication will lead to emergency braking and stopping of trains</w:t>
      </w:r>
      <w:r w:rsidR="00AE3F66">
        <w:t>;</w:t>
      </w:r>
    </w:p>
    <w:p w14:paraId="0A7D7A0F" w14:textId="72D7B377" w:rsidR="00D47EDB" w:rsidRPr="00D47EDB" w:rsidRDefault="00155EB5" w:rsidP="00D47EDB">
      <w:pPr>
        <w:pStyle w:val="ECCBulletsLv1"/>
        <w:ind w:left="357" w:hanging="357"/>
        <w:rPr>
          <w:lang w:val="en-US"/>
        </w:rPr>
      </w:pPr>
      <w:r>
        <w:t xml:space="preserve">Markets of Urban Rail ITS and Road </w:t>
      </w:r>
      <w:proofErr w:type="gramStart"/>
      <w:r>
        <w:t>ITS are</w:t>
      </w:r>
      <w:proofErr w:type="gramEnd"/>
      <w:r>
        <w:t xml:space="preserve"> distinct. Therefore market forces are not adequate substitutes to regulation</w:t>
      </w:r>
      <w:r w:rsidR="00AE3F66">
        <w:t>;</w:t>
      </w:r>
    </w:p>
    <w:p w14:paraId="0A7D7A10" w14:textId="670B1059" w:rsidR="00D47EDB" w:rsidRPr="00D47EDB" w:rsidRDefault="00D47EDB" w:rsidP="00D47EDB">
      <w:pPr>
        <w:pStyle w:val="ECCBulletsLv1"/>
        <w:ind w:left="357" w:hanging="357"/>
      </w:pPr>
      <w:r w:rsidRPr="00D47EDB">
        <w:t xml:space="preserve">Where a </w:t>
      </w:r>
      <w:r w:rsidR="00347964">
        <w:t>R</w:t>
      </w:r>
      <w:r w:rsidRPr="00D47EDB">
        <w:t>oad ITS infrastructure is deployed and then an urban rail ITS deployment in the same location is considered at a later stage, the priority in 5915-5925 MHz should not imply a requirement to remove road ITS infrastructure</w:t>
      </w:r>
      <w:r w:rsidR="00275954">
        <w:t>. The availability of suitable sharing mechanisms in the future would help to resolve such a problem</w:t>
      </w:r>
      <w:r w:rsidR="00AE3F66">
        <w:t xml:space="preserve"> (s</w:t>
      </w:r>
      <w:r w:rsidR="00275954">
        <w:t>ee also section 6.1</w:t>
      </w:r>
      <w:r w:rsidR="00AE3F66">
        <w:t>)</w:t>
      </w:r>
      <w:r w:rsidR="00275954">
        <w:t xml:space="preserve">. </w:t>
      </w:r>
    </w:p>
    <w:p w14:paraId="0A7D7A11" w14:textId="77777777" w:rsidR="00C12AB8" w:rsidRDefault="00C12AB8" w:rsidP="00834C07">
      <w:pPr>
        <w:pStyle w:val="ECCBulletsLv1"/>
        <w:numPr>
          <w:ilvl w:val="0"/>
          <w:numId w:val="0"/>
        </w:numPr>
        <w:ind w:left="357"/>
      </w:pPr>
    </w:p>
    <w:p w14:paraId="0A7D7A12" w14:textId="77777777" w:rsidR="00C12AB8" w:rsidRDefault="00155EB5">
      <w:pPr>
        <w:pStyle w:val="Heading1"/>
      </w:pPr>
      <w:bookmarkStart w:id="34" w:name="_Toc303851091"/>
      <w:bookmarkStart w:id="35" w:name="_Toc408480487"/>
      <w:bookmarkStart w:id="36" w:name="_Toc856046"/>
      <w:r>
        <w:lastRenderedPageBreak/>
        <w:t>Conclusions and Need for further investigations</w:t>
      </w:r>
      <w:bookmarkEnd w:id="34"/>
      <w:bookmarkEnd w:id="35"/>
      <w:bookmarkEnd w:id="36"/>
    </w:p>
    <w:p w14:paraId="0A7D7A13" w14:textId="77777777" w:rsidR="0065561D" w:rsidRDefault="0065561D" w:rsidP="0065561D">
      <w:pPr>
        <w:spacing w:after="240" w:line="240" w:lineRule="auto"/>
        <w:rPr>
          <w:b/>
          <w:lang w:val="en-GB"/>
        </w:rPr>
      </w:pPr>
      <w:r>
        <w:rPr>
          <w:b/>
          <w:lang w:val="en-GB"/>
        </w:rPr>
        <w:t xml:space="preserve">This Report is intended as a basis for the amendment of the Commission Decision 2008/671/EC </w:t>
      </w:r>
      <w:r>
        <w:fldChar w:fldCharType="begin"/>
      </w:r>
      <w:r>
        <w:instrText xml:space="preserve"> REF _Ref528312467 \r \h </w:instrText>
      </w:r>
      <w:r>
        <w:fldChar w:fldCharType="separate"/>
      </w:r>
      <w:r w:rsidR="005E3C1D">
        <w:t>[27]</w:t>
      </w:r>
      <w:r>
        <w:fldChar w:fldCharType="end"/>
      </w:r>
      <w:r>
        <w:rPr>
          <w:b/>
          <w:lang w:val="en-GB"/>
        </w:rPr>
        <w:t xml:space="preserve"> on ITS. </w:t>
      </w:r>
    </w:p>
    <w:p w14:paraId="0A7D7A14" w14:textId="77777777" w:rsidR="0065561D" w:rsidRDefault="0065561D" w:rsidP="0065561D">
      <w:pPr>
        <w:pStyle w:val="ECCParBulleted"/>
        <w:numPr>
          <w:ilvl w:val="0"/>
          <w:numId w:val="0"/>
        </w:numPr>
        <w:spacing w:after="240" w:line="240" w:lineRule="auto"/>
        <w:ind w:left="340" w:hanging="340"/>
      </w:pPr>
      <w:r>
        <w:t>The European Commission is invited to consider the following:</w:t>
      </w:r>
    </w:p>
    <w:p w14:paraId="0A7D7A15" w14:textId="77777777" w:rsidR="0065561D" w:rsidRDefault="0065561D" w:rsidP="0065561D">
      <w:pPr>
        <w:pStyle w:val="ECCBulletsLv1"/>
        <w:ind w:left="357" w:hanging="357"/>
      </w:pPr>
      <w:r>
        <w:t>Road ITS and Urban Rail ITS applications should be part of the same spectrum regulatory framework;</w:t>
      </w:r>
    </w:p>
    <w:p w14:paraId="0A7D7A16" w14:textId="77777777" w:rsidR="0065561D" w:rsidRDefault="0065561D" w:rsidP="0065561D">
      <w:pPr>
        <w:pStyle w:val="ECCBulletsLv1"/>
        <w:ind w:left="357" w:hanging="357"/>
      </w:pPr>
      <w:r>
        <w:t xml:space="preserve">Urban Rail ITS (such as CBTC) applications </w:t>
      </w:r>
      <w:r w:rsidRPr="00023631">
        <w:t xml:space="preserve">in some CEPT countries </w:t>
      </w:r>
      <w:r>
        <w:t>are currently using frequencies in 5905-5935 MHz and conversely Road ITS applications in some CEPT countries are currently using frequencies in 5875-5905 MHz;</w:t>
      </w:r>
    </w:p>
    <w:p w14:paraId="0A7D7A17" w14:textId="77777777" w:rsidR="0065561D" w:rsidRDefault="0065561D" w:rsidP="0065561D">
      <w:pPr>
        <w:pStyle w:val="ECCBulletsLv1"/>
        <w:ind w:left="357" w:hanging="357"/>
      </w:pPr>
      <w:r>
        <w:t xml:space="preserve">Technical conditions to be defined by CEPT for RLAN operating above 5935 MHz </w:t>
      </w:r>
      <w:r w:rsidRPr="00023631">
        <w:t>need to address</w:t>
      </w:r>
      <w:r>
        <w:t xml:space="preserve"> coexistence with Urban Rail ITS applications below 5935 MHz and Road ITS below 5925 MHz (e.g. out-of-band emission limit requirements and blocking scenario);</w:t>
      </w:r>
    </w:p>
    <w:p w14:paraId="0A7D7A18" w14:textId="77777777" w:rsidR="0065561D" w:rsidRDefault="0065561D" w:rsidP="0065561D">
      <w:pPr>
        <w:pStyle w:val="ECCBulletsLv1"/>
        <w:ind w:left="357" w:hanging="357"/>
      </w:pPr>
      <w:r>
        <w:t>FS applications are widespread above 5925 MHz, and therefore Road ITS applications are not considered in this Report above 5925 MHz unless a proper study is performed;</w:t>
      </w:r>
    </w:p>
    <w:p w14:paraId="0A7D7A19" w14:textId="77777777" w:rsidR="0065561D" w:rsidRDefault="0065561D" w:rsidP="0065561D">
      <w:pPr>
        <w:pStyle w:val="ECCBulletsLv1"/>
        <w:ind w:left="357" w:hanging="357"/>
      </w:pPr>
      <w:r>
        <w:t>Technical solutions already deployed should stay available for maintenance and evolution and the continued rollout of these systems should not be unduly hindered by a change of the spectrum regulatory environment;</w:t>
      </w:r>
    </w:p>
    <w:p w14:paraId="0A7D7A1A" w14:textId="77777777" w:rsidR="0065561D" w:rsidRDefault="0065561D" w:rsidP="0065561D">
      <w:pPr>
        <w:pStyle w:val="ECCBulletsLv1"/>
        <w:ind w:left="357" w:hanging="357"/>
      </w:pPr>
      <w:proofErr w:type="gramStart"/>
      <w:r>
        <w:t>The ITS</w:t>
      </w:r>
      <w:proofErr w:type="gramEnd"/>
      <w:r>
        <w:t xml:space="preserve">-G5 control channel is located in 5895-5905 MHz. This does not imply exclusive access to this specific channel for ITS-G5. Other technologies such as LTE V2X should be able to access 5895-5905 MHz </w:t>
      </w:r>
      <w:r w:rsidRPr="00FD636B">
        <w:rPr>
          <w:lang w:val="en-US"/>
        </w:rPr>
        <w:t xml:space="preserve">on a basis of fair and equal spectrum access </w:t>
      </w:r>
      <w:r>
        <w:t>and solutions should be found in ETSI;</w:t>
      </w:r>
    </w:p>
    <w:p w14:paraId="0A7D7A1B" w14:textId="77777777" w:rsidR="0065561D" w:rsidRDefault="0065561D" w:rsidP="0065561D">
      <w:pPr>
        <w:pStyle w:val="ECCBulletsLv1"/>
        <w:ind w:left="357" w:hanging="357"/>
      </w:pPr>
      <w:r>
        <w:t>The frequency regulation should target technology neutrality, enable early launch of Road ITS products, yet take special care to avoid one technology pre-empt all the spectrum or interfere other technologies ;</w:t>
      </w:r>
    </w:p>
    <w:p w14:paraId="0A7D7A1C" w14:textId="77777777" w:rsidR="0065561D" w:rsidRDefault="0065561D" w:rsidP="0065561D">
      <w:pPr>
        <w:pStyle w:val="ECCBulletsLv1"/>
        <w:ind w:left="357" w:hanging="357"/>
      </w:pPr>
      <w:r>
        <w:t xml:space="preserve">Defining sharing priority between different ITS applications is not against the principle of technology neutrality, prevents segmentation and would provide certainty and a clear frequency regulatory framework </w:t>
      </w:r>
      <w:r w:rsidRPr="008D7B0A">
        <w:rPr>
          <w:lang w:val="en-US"/>
        </w:rPr>
        <w:t>to all ITS applications, consistently with the objectives of the EC Mandate on ITS</w:t>
      </w:r>
      <w:r>
        <w:t xml:space="preserve">. Road ITS and Urban Rail ITS should remain confined to their respective prioritised frequency range only until they implement polite protocols and/or a proper co-channel sharing mechanisms to be defined by ETSI; </w:t>
      </w:r>
    </w:p>
    <w:p w14:paraId="0A7D7A1D" w14:textId="77777777" w:rsidR="0065561D" w:rsidRDefault="0065561D" w:rsidP="0065561D">
      <w:pPr>
        <w:pStyle w:val="ECCBulletsLv1"/>
        <w:ind w:left="357" w:hanging="357"/>
      </w:pPr>
      <w:r>
        <w:t>Solutions for the coexistence between Road ITS and Urban Rail ITS applications should not impose the use of a specific Road ITS or Urban Rail ITS technology.</w:t>
      </w:r>
    </w:p>
    <w:p w14:paraId="0A7D7A1E" w14:textId="77777777" w:rsidR="0065561D" w:rsidRDefault="0065561D" w:rsidP="0065561D">
      <w:pPr>
        <w:pStyle w:val="ECCParBulleted"/>
        <w:numPr>
          <w:ilvl w:val="0"/>
          <w:numId w:val="0"/>
        </w:numPr>
        <w:ind w:left="357" w:hanging="357"/>
      </w:pPr>
    </w:p>
    <w:p w14:paraId="0A7D7A1F" w14:textId="77777777" w:rsidR="0065561D" w:rsidRDefault="0065561D" w:rsidP="0065561D">
      <w:pPr>
        <w:pStyle w:val="ECCParBulleted"/>
        <w:numPr>
          <w:ilvl w:val="0"/>
          <w:numId w:val="0"/>
        </w:numPr>
      </w:pPr>
      <w:r w:rsidRPr="00587BD9">
        <w:t>Furthermore, CEPT invites the European Commission</w:t>
      </w:r>
      <w:r>
        <w:t xml:space="preserve"> to take into due consideration the following proposed improvement of the regulatory framework:</w:t>
      </w:r>
    </w:p>
    <w:p w14:paraId="0A7D7A20" w14:textId="77777777" w:rsidR="0065561D" w:rsidRDefault="0065561D" w:rsidP="0065561D">
      <w:pPr>
        <w:pStyle w:val="ECCBulletsLv1"/>
        <w:ind w:left="357" w:hanging="357"/>
      </w:pPr>
      <w:r>
        <w:t>The restriction to road transportation system should be withdrawn and should encompass all ground-based land transportation systems including Urban Rail (see section 6.1). In addition, it is proposed that a recital in the amended EC Decision 2008/6671/EC for ITS clarifies that UAS/drones communications should be outside the scope of any</w:t>
      </w:r>
      <w:r w:rsidRPr="008E7E60">
        <w:rPr>
          <w:rFonts w:eastAsia="Times New Roman"/>
          <w:szCs w:val="24"/>
          <w:lang w:val="en-US"/>
        </w:rPr>
        <w:t xml:space="preserve"> </w:t>
      </w:r>
      <w:r w:rsidRPr="008E7E60">
        <w:rPr>
          <w:lang w:val="en-US"/>
        </w:rPr>
        <w:t xml:space="preserve">EC or ECC </w:t>
      </w:r>
      <w:r>
        <w:rPr>
          <w:lang w:val="en-US"/>
        </w:rPr>
        <w:t>r</w:t>
      </w:r>
      <w:r w:rsidRPr="008E7E60">
        <w:rPr>
          <w:lang w:val="en-US"/>
        </w:rPr>
        <w:t>egulatory deliverables enabling ITS</w:t>
      </w:r>
      <w:r>
        <w:t>;</w:t>
      </w:r>
    </w:p>
    <w:p w14:paraId="0A7D7A21" w14:textId="77777777" w:rsidR="0065561D" w:rsidRDefault="0065561D" w:rsidP="0065561D">
      <w:pPr>
        <w:pStyle w:val="ECCBulletsLv1"/>
        <w:ind w:left="357" w:hanging="357"/>
      </w:pPr>
      <w:r>
        <w:t>For the purpose of EC and ECC regulatory deliverables enabling ITS, Urban Rail ITS means urban or suburban railway lines segregated from road and pedestrian traffic;</w:t>
      </w:r>
    </w:p>
    <w:p w14:paraId="0A7D7A22" w14:textId="77777777" w:rsidR="0065561D" w:rsidRDefault="0065561D" w:rsidP="0065561D">
      <w:pPr>
        <w:pStyle w:val="ECCBulletsLv1"/>
        <w:ind w:left="357" w:hanging="357"/>
      </w:pPr>
      <w:r>
        <w:t xml:space="preserve">To harmonise the frequency band 5875-5925 MHz for safety-related ITS applications. In addition, to harmonise the frequency band 5925-5935 MHz for safety-related Urban Rail ITS applications, subject to national coordination </w:t>
      </w:r>
      <w:r w:rsidRPr="008E7E60">
        <w:rPr>
          <w:lang w:val="en-US"/>
        </w:rPr>
        <w:t>with existing FS Networks</w:t>
      </w:r>
      <w:r w:rsidRPr="0057236A">
        <w:rPr>
          <w:lang w:val="fr-FR"/>
        </w:rPr>
        <w:t xml:space="preserve"> </w:t>
      </w:r>
      <w:r>
        <w:rPr>
          <w:lang w:val="fr-FR"/>
        </w:rPr>
        <w:t>and/</w:t>
      </w:r>
      <w:r>
        <w:t xml:space="preserve">or </w:t>
      </w:r>
      <w:r>
        <w:rPr>
          <w:lang w:val="fr-FR"/>
        </w:rPr>
        <w:t xml:space="preserve">national </w:t>
      </w:r>
      <w:r>
        <w:t>studies to determine the sharing conditions;</w:t>
      </w:r>
    </w:p>
    <w:p w14:paraId="0A7D7A23" w14:textId="77777777" w:rsidR="0065561D" w:rsidRDefault="0065561D" w:rsidP="0065561D">
      <w:pPr>
        <w:pStyle w:val="ECCBulletsLv1"/>
        <w:ind w:left="357" w:hanging="357"/>
      </w:pPr>
      <w:r>
        <w:t>The regulatory framework should define priority to Road ITS applications below 5915 MHz and to Urban Rail ITS applications above 5915 MHz, so that protection is afforded to the application having priority;</w:t>
      </w:r>
    </w:p>
    <w:p w14:paraId="0A7D7A24" w14:textId="77777777" w:rsidR="0065561D" w:rsidRDefault="0065561D" w:rsidP="0065561D">
      <w:pPr>
        <w:pStyle w:val="ECCBulletsLv1"/>
      </w:pPr>
      <w:r>
        <w:t xml:space="preserve">In absence of solutions allowing Road ITS applications to protect Urban Rail ITS applications in the frequency range 5915-5925 MHz, on a national basis Road ITS applications limited to vehicle-to-infrastructure (V2I) applications may be permitted and coordinated in </w:t>
      </w:r>
      <w:r w:rsidRPr="000255C7">
        <w:t>5915-5925 MHz</w:t>
      </w:r>
      <w:r>
        <w:t>. Vehicle-to-vehicle (V2V) could be permitted when solutions ensuring protection of Urban Rail ITS become available from standardisation in ETSI;</w:t>
      </w:r>
    </w:p>
    <w:p w14:paraId="2A5DCD5C" w14:textId="77777777" w:rsidR="00D864CD" w:rsidRDefault="0065561D" w:rsidP="0065561D">
      <w:pPr>
        <w:pStyle w:val="ECCBulletsLv1"/>
        <w:ind w:left="357" w:hanging="357"/>
      </w:pPr>
      <w:r>
        <w:lastRenderedPageBreak/>
        <w:t xml:space="preserve">The precise way how this can be best facilitated for Urban Rail ITS is within the national authorisation process based on national coordination. This can imply the use of individual authorisations for Urban Rail ITS (5915-5935 MHz), Road ITS infrastructure (5915-5925 MHz) and FS (above 5925 MHz); </w:t>
      </w:r>
    </w:p>
    <w:p w14:paraId="0A7D7A25" w14:textId="6B9C0674" w:rsidR="0065561D" w:rsidRDefault="0065561D" w:rsidP="0065561D">
      <w:pPr>
        <w:pStyle w:val="ECCBulletsLv1"/>
        <w:ind w:left="357" w:hanging="357"/>
      </w:pPr>
      <w:r>
        <w:t>The regulatory authority should enable access for Urban Rail ITS (5915-5935 MHz</w:t>
      </w:r>
      <w:proofErr w:type="gramStart"/>
      <w:r>
        <w:t>)  which</w:t>
      </w:r>
      <w:proofErr w:type="gramEnd"/>
      <w:r>
        <w:t xml:space="preserve"> would be authorised on a shared basis. </w:t>
      </w:r>
      <w:r w:rsidRPr="0057236A">
        <w:t xml:space="preserve">The precise implementation of spectrum for Urban Rail ITS should be subject to national circumstances and stakeholder demand for Urban Rail ITS.  </w:t>
      </w:r>
    </w:p>
    <w:p w14:paraId="0A7D7A26" w14:textId="77777777" w:rsidR="0065561D" w:rsidRDefault="0065561D" w:rsidP="0065561D">
      <w:pPr>
        <w:pStyle w:val="ECCParBulleted"/>
        <w:numPr>
          <w:ilvl w:val="0"/>
          <w:numId w:val="0"/>
        </w:numPr>
      </w:pPr>
    </w:p>
    <w:p w14:paraId="0A7D7A27" w14:textId="77777777" w:rsidR="0065561D" w:rsidRDefault="0065561D" w:rsidP="0065561D">
      <w:pPr>
        <w:pStyle w:val="ECCParBulleted"/>
        <w:numPr>
          <w:ilvl w:val="0"/>
          <w:numId w:val="0"/>
        </w:numPr>
        <w:spacing w:after="240" w:line="240" w:lineRule="auto"/>
      </w:pPr>
      <w:r>
        <w:t>Finally, CEPT suggests reviewing the EU framework after no more than 3 years, taking into account the progress made on technology-neutral co-channel sharing mechanisms between ITS applications.</w:t>
      </w:r>
    </w:p>
    <w:p w14:paraId="0A7D7A28" w14:textId="77777777" w:rsidR="0065561D" w:rsidRDefault="0065561D" w:rsidP="0065561D">
      <w:pPr>
        <w:pStyle w:val="ECCParBulleted"/>
        <w:numPr>
          <w:ilvl w:val="0"/>
          <w:numId w:val="0"/>
        </w:numPr>
        <w:tabs>
          <w:tab w:val="left" w:pos="7123"/>
        </w:tabs>
        <w:spacing w:after="240" w:line="240" w:lineRule="auto"/>
        <w:ind w:left="340" w:hanging="340"/>
        <w:jc w:val="right"/>
        <w:rPr>
          <w:b/>
        </w:rPr>
      </w:pPr>
    </w:p>
    <w:p w14:paraId="0A7D7A29" w14:textId="77777777" w:rsidR="0065561D" w:rsidRDefault="0065561D" w:rsidP="0065561D">
      <w:pPr>
        <w:spacing w:after="240" w:line="240" w:lineRule="auto"/>
        <w:rPr>
          <w:b/>
          <w:lang w:val="en-GB"/>
        </w:rPr>
      </w:pPr>
      <w:r>
        <w:rPr>
          <w:b/>
          <w:lang w:val="en-GB"/>
        </w:rPr>
        <w:t>Further investigations are required for the following items:</w:t>
      </w:r>
    </w:p>
    <w:p w14:paraId="0A7D7A2A" w14:textId="77777777" w:rsidR="0065561D" w:rsidRDefault="0065561D" w:rsidP="0065561D">
      <w:pPr>
        <w:pStyle w:val="ECCParagraph"/>
        <w:spacing w:line="240" w:lineRule="auto"/>
      </w:pPr>
      <w:r>
        <w:t xml:space="preserve">CEPT invited ETSI to develop sharing and interference mitigation techniques within 3 years, for ensuring co-channel coexistence in the frequency range 5875-5925 MHz between Road ITS and Urban Rail ITS applications and between Road ITS radio technologies, otherwise  solutions may need to be defined directly within the regulation. </w:t>
      </w:r>
    </w:p>
    <w:p w14:paraId="0A7D7A2B" w14:textId="77777777" w:rsidR="0065561D" w:rsidRDefault="0065561D" w:rsidP="0065561D">
      <w:pPr>
        <w:pStyle w:val="ECCParagraph"/>
        <w:spacing w:line="240" w:lineRule="auto"/>
      </w:pPr>
      <w:r>
        <w:t xml:space="preserve">Technical conditions are being defined by CEPT for RLAN operating above 5935 MHz so that the protection of safety-related Urban Rail ITS applications below 5935 MHz and safety-related Road </w:t>
      </w:r>
      <w:proofErr w:type="gramStart"/>
      <w:r>
        <w:t>ITS</w:t>
      </w:r>
      <w:proofErr w:type="gramEnd"/>
      <w:r>
        <w:t xml:space="preserve"> below 5925 MHz (e.g. out-of-band emission limit requirements and blocking scenario) will be addressed.</w:t>
      </w:r>
    </w:p>
    <w:p w14:paraId="0A7D7A2C" w14:textId="77777777" w:rsidR="0065561D" w:rsidRDefault="0065561D" w:rsidP="0065561D">
      <w:pPr>
        <w:spacing w:after="240" w:line="240" w:lineRule="auto"/>
        <w:rPr>
          <w:b/>
          <w:lang w:val="en-GB"/>
        </w:rPr>
      </w:pPr>
      <w:r w:rsidRPr="00771987">
        <w:t>Depending on requests from administrations, g</w:t>
      </w:r>
      <w:r>
        <w:t>uidance on national coordination may need to be defined by CEPT for Road ITS (V2I) operating in 5915-5925 MHz so that coexistence with Urban Rail ITS applications in 5915-5925 MHz (e.g. maximum received power permitted above urban rail tracks) is ensured</w:t>
      </w:r>
    </w:p>
    <w:p w14:paraId="0A7D7A4C" w14:textId="13E95261" w:rsidR="00C12AB8" w:rsidRDefault="00155EB5" w:rsidP="00306CBE">
      <w:pPr>
        <w:pStyle w:val="ECCParagraph"/>
        <w:spacing w:line="240" w:lineRule="auto"/>
        <w:jc w:val="left"/>
        <w:sectPr w:rsidR="00C12AB8">
          <w:headerReference w:type="even" r:id="rId19"/>
          <w:headerReference w:type="default" r:id="rId20"/>
          <w:headerReference w:type="first" r:id="rId21"/>
          <w:pgSz w:w="11907" w:h="16840"/>
          <w:pgMar w:top="1440" w:right="1134" w:bottom="1440" w:left="1134" w:header="709" w:footer="709" w:gutter="0"/>
          <w:cols w:space="708"/>
          <w:docGrid w:linePitch="360"/>
        </w:sectPr>
      </w:pPr>
      <w:r>
        <w:t>.</w:t>
      </w:r>
    </w:p>
    <w:p w14:paraId="0A7D7A4D" w14:textId="77777777" w:rsidR="0035619E" w:rsidRPr="0035619E" w:rsidRDefault="00155EB5" w:rsidP="0035619E">
      <w:pPr>
        <w:pStyle w:val="ECCAnnexheading1"/>
      </w:pPr>
      <w:bookmarkStart w:id="37" w:name="_Ref528088839"/>
      <w:bookmarkStart w:id="38" w:name="_Toc856047"/>
      <w:r w:rsidRPr="0035619E">
        <w:rPr>
          <w:szCs w:val="20"/>
        </w:rPr>
        <w:lastRenderedPageBreak/>
        <w:t>EXISTING AGREEMENTS, DEPLOYMENTS AND TRIALS IN EUROPE</w:t>
      </w:r>
      <w:bookmarkEnd w:id="37"/>
      <w:bookmarkEnd w:id="38"/>
    </w:p>
    <w:p w14:paraId="0A7D7A4E" w14:textId="77777777" w:rsidR="00C12AB8" w:rsidRDefault="00155EB5">
      <w:pPr>
        <w:pStyle w:val="ECCAnnexheading2"/>
        <w:rPr>
          <w:lang w:val="en-GB"/>
        </w:rPr>
      </w:pPr>
      <w:r>
        <w:rPr>
          <w:lang w:val="en-GB"/>
        </w:rPr>
        <w:t>Road ITS</w:t>
      </w:r>
    </w:p>
    <w:p w14:paraId="0A7D7A4F" w14:textId="790A0CEE" w:rsidR="0035619E" w:rsidRPr="0035619E" w:rsidRDefault="0035619E" w:rsidP="0035619E">
      <w:pPr>
        <w:pStyle w:val="ECCParagraph"/>
      </w:pPr>
      <w:r w:rsidRPr="00FD74E4">
        <w:rPr>
          <w:lang w:val="en-US"/>
        </w:rPr>
        <w:t xml:space="preserve">ITS devices used by pedestrians, e.g. integrated into smartphones, have not been studied.  </w:t>
      </w:r>
      <w:r>
        <w:rPr>
          <w:lang w:val="en-US"/>
        </w:rPr>
        <w:t>T</w:t>
      </w:r>
      <w:r w:rsidRPr="00FD74E4">
        <w:rPr>
          <w:lang w:val="en-US"/>
        </w:rPr>
        <w:t xml:space="preserve">he overall number and density of ITS messages </w:t>
      </w:r>
      <w:r>
        <w:rPr>
          <w:lang w:val="en-US"/>
        </w:rPr>
        <w:t>may deviate from</w:t>
      </w:r>
      <w:r w:rsidRPr="00FD74E4">
        <w:rPr>
          <w:lang w:val="en-US"/>
        </w:rPr>
        <w:t xml:space="preserve"> the assumptions made in studies for vehicles.</w:t>
      </w:r>
    </w:p>
    <w:p w14:paraId="0A7D7A50" w14:textId="77777777" w:rsidR="00C12AB8" w:rsidRDefault="00155EB5">
      <w:pPr>
        <w:pStyle w:val="ECCAnnexheading3"/>
        <w:rPr>
          <w:lang w:val="en-GB"/>
        </w:rPr>
      </w:pPr>
      <w:r>
        <w:rPr>
          <w:lang w:val="en-GB"/>
        </w:rPr>
        <w:t>C-Roads Platform</w:t>
      </w:r>
    </w:p>
    <w:p w14:paraId="0A7D7A51" w14:textId="77777777" w:rsidR="00C12AB8" w:rsidRDefault="00155EB5" w:rsidP="00306CBE">
      <w:pPr>
        <w:pStyle w:val="ECCParagraph"/>
        <w:spacing w:line="240" w:lineRule="auto"/>
      </w:pPr>
      <w:r>
        <w:t xml:space="preserve">The C-Roads Platform has 17 Member States and </w:t>
      </w:r>
      <w:r w:rsidR="00FD74E4">
        <w:t>8</w:t>
      </w:r>
      <w:r>
        <w:t>4 associated Member States (</w:t>
      </w:r>
      <w:r w:rsidR="00FD74E4">
        <w:t xml:space="preserve">Croatia, Greece, </w:t>
      </w:r>
      <w:r>
        <w:t>Ireland,</w:t>
      </w:r>
      <w:r w:rsidR="00FD74E4">
        <w:t xml:space="preserve"> Israel,</w:t>
      </w:r>
      <w:r>
        <w:t xml:space="preserve"> Switzerland, </w:t>
      </w:r>
      <w:r w:rsidR="00FD74E4">
        <w:t xml:space="preserve">Russia, </w:t>
      </w:r>
      <w:r>
        <w:t>Australia and New Zeeland). The aim of the C-Roads Platform is linking all C-ITS deployments and to develop, share and publish common technical specifications (including the common communication profiles), planning intensive cross-testing to verify interoperability in the EU (also using ETSI plug-tests) and develop system tests based on the common communication profiles by focusing on hybrid communication mix, which is a combination of ETSI ITS-G5 and operational cellular network. The ultimate goal is interoperability of all C-ITS communications; it should be technically possible that all vehicles can communicate to each other.</w:t>
      </w:r>
    </w:p>
    <w:p w14:paraId="0A7D7A52" w14:textId="77777777" w:rsidR="00C12AB8" w:rsidRDefault="00155EB5">
      <w:pPr>
        <w:pStyle w:val="ECCParagraph"/>
        <w:jc w:val="center"/>
        <w:rPr>
          <w:lang w:eastAsia="da-DK"/>
        </w:rPr>
      </w:pPr>
      <w:r>
        <w:t>..</w:t>
      </w:r>
      <w:r>
        <w:rPr>
          <w:lang w:eastAsia="da-DK"/>
        </w:rPr>
        <w:t xml:space="preserve"> </w:t>
      </w:r>
      <w:r>
        <w:rPr>
          <w:noProof/>
          <w:lang w:val="da-DK" w:eastAsia="da-DK"/>
        </w:rPr>
        <w:drawing>
          <wp:inline distT="0" distB="0" distL="0" distR="0" wp14:anchorId="0A7D7D4E" wp14:editId="0A7D7D4F">
            <wp:extent cx="2843316" cy="22730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2"/>
                    <a:stretch>
                      <a:fillRect/>
                    </a:stretch>
                  </pic:blipFill>
                  <pic:spPr>
                    <a:xfrm>
                      <a:off x="0" y="0"/>
                      <a:ext cx="2845277" cy="2274624"/>
                    </a:xfrm>
                    <a:prstGeom prst="rect">
                      <a:avLst/>
                    </a:prstGeom>
                  </pic:spPr>
                </pic:pic>
              </a:graphicData>
            </a:graphic>
          </wp:inline>
        </w:drawing>
      </w:r>
    </w:p>
    <w:p w14:paraId="0A7D7A53" w14:textId="77777777" w:rsidR="00C12AB8" w:rsidRDefault="000A257B" w:rsidP="004D01E5">
      <w:pPr>
        <w:pStyle w:val="Caption"/>
        <w:rPr>
          <w:lang w:eastAsia="da-DK"/>
        </w:rPr>
      </w:pPr>
      <w:r>
        <w:t xml:space="preserve">Figure </w:t>
      </w:r>
      <w:r>
        <w:fldChar w:fldCharType="begin"/>
      </w:r>
      <w:r>
        <w:instrText xml:space="preserve"> SEQ Figure \* ARABIC </w:instrText>
      </w:r>
      <w:r>
        <w:fldChar w:fldCharType="separate"/>
      </w:r>
      <w:r w:rsidR="00BB544A">
        <w:rPr>
          <w:noProof/>
        </w:rPr>
        <w:t>2</w:t>
      </w:r>
      <w:r>
        <w:fldChar w:fldCharType="end"/>
      </w:r>
      <w:r>
        <w:t xml:space="preserve">: </w:t>
      </w:r>
      <w:r w:rsidR="00155EB5">
        <w:rPr>
          <w:lang w:eastAsia="da-DK"/>
        </w:rPr>
        <w:t>C-Roads Platform – Partner Member States’ Authorities</w:t>
      </w:r>
    </w:p>
    <w:p w14:paraId="0A7D7A54" w14:textId="77777777" w:rsidR="00C12AB8" w:rsidRDefault="00155EB5">
      <w:pPr>
        <w:pStyle w:val="ECCParagraph"/>
        <w:rPr>
          <w:lang w:eastAsia="da-DK"/>
        </w:rPr>
      </w:pPr>
      <w:r>
        <w:rPr>
          <w:lang w:eastAsia="da-DK"/>
        </w:rPr>
        <w:t>The C-Roads Platform is co-financed by the European Union and aims at the following implementation strategy:</w:t>
      </w:r>
    </w:p>
    <w:p w14:paraId="0A7D7A55" w14:textId="77777777" w:rsidR="00C12AB8" w:rsidRDefault="00155EB5">
      <w:pPr>
        <w:pStyle w:val="ECCParagraph"/>
        <w:jc w:val="center"/>
      </w:pPr>
      <w:r>
        <w:rPr>
          <w:noProof/>
          <w:lang w:val="da-DK" w:eastAsia="da-DK"/>
        </w:rPr>
        <w:drawing>
          <wp:inline distT="0" distB="0" distL="0" distR="0" wp14:anchorId="0A7D7D50" wp14:editId="0A7D7D51">
            <wp:extent cx="3078480" cy="20726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3"/>
                    <a:stretch>
                      <a:fillRect/>
                    </a:stretch>
                  </pic:blipFill>
                  <pic:spPr>
                    <a:xfrm>
                      <a:off x="0" y="0"/>
                      <a:ext cx="3078193" cy="2072502"/>
                    </a:xfrm>
                    <a:prstGeom prst="rect">
                      <a:avLst/>
                    </a:prstGeom>
                  </pic:spPr>
                </pic:pic>
              </a:graphicData>
            </a:graphic>
          </wp:inline>
        </w:drawing>
      </w:r>
    </w:p>
    <w:p w14:paraId="0A7D7A56" w14:textId="77777777" w:rsidR="00C12AB8" w:rsidRDefault="000A257B" w:rsidP="004D01E5">
      <w:pPr>
        <w:pStyle w:val="Caption"/>
      </w:pPr>
      <w:r>
        <w:t xml:space="preserve">Figure </w:t>
      </w:r>
      <w:r>
        <w:fldChar w:fldCharType="begin"/>
      </w:r>
      <w:r>
        <w:instrText xml:space="preserve"> SEQ Figure \* ARABIC </w:instrText>
      </w:r>
      <w:r>
        <w:fldChar w:fldCharType="separate"/>
      </w:r>
      <w:r w:rsidR="00BB544A">
        <w:rPr>
          <w:noProof/>
        </w:rPr>
        <w:t>3</w:t>
      </w:r>
      <w:r>
        <w:fldChar w:fldCharType="end"/>
      </w:r>
      <w:r>
        <w:t xml:space="preserve">: </w:t>
      </w:r>
      <w:r w:rsidR="00155EB5">
        <w:t xml:space="preserve">Communication mix as specified within the scope of C-Roads </w:t>
      </w:r>
    </w:p>
    <w:p w14:paraId="0A7D7A57" w14:textId="1C06428F" w:rsidR="00C12AB8" w:rsidRPr="003C7C2F" w:rsidRDefault="00155EB5" w:rsidP="00306CBE">
      <w:pPr>
        <w:pStyle w:val="ECCParagraph"/>
        <w:spacing w:line="240" w:lineRule="auto"/>
      </w:pPr>
      <w:r w:rsidRPr="00961D90">
        <w:lastRenderedPageBreak/>
        <w:t xml:space="preserve">A position paper was published in 2017 </w:t>
      </w:r>
      <w:r w:rsidR="002C4783">
        <w:fldChar w:fldCharType="begin"/>
      </w:r>
      <w:r w:rsidR="002C4783">
        <w:instrText xml:space="preserve"> REF _Ref200869 \r \h </w:instrText>
      </w:r>
      <w:r w:rsidR="002C4783">
        <w:fldChar w:fldCharType="separate"/>
      </w:r>
      <w:r w:rsidR="005E3C1D">
        <w:t>[31]</w:t>
      </w:r>
      <w:r w:rsidR="002C4783">
        <w:fldChar w:fldCharType="end"/>
      </w:r>
      <w:r w:rsidRPr="00961D90">
        <w:t>. Road authorities should not be forced to equip the roadside with two or more competing technologies (ITS</w:t>
      </w:r>
      <w:r w:rsidRPr="003C7C2F">
        <w:t>-G5, LTE-V2X, or potential future technologies) serving the same use cases or providing the same content to road users. Furthermore, C-Roads Member States are committed to the “backwards compatibility” criteria in the technological evolution: new C-ITS equipment beyond Day-1 needs to support and safeguard already deployed C-ITS services. Additionally, the evolution of cellular communication standards towards 5G is expected to bring further improvements to long range cellular communication</w:t>
      </w:r>
      <w:r w:rsidR="00DD4D46">
        <w:t xml:space="preserve"> </w:t>
      </w:r>
      <w:r w:rsidRPr="003C7C2F">
        <w:t>(e.g. coverage improvements and signalling efficiency), providing benefits to the hybrid communication approach and complementing short range connectivity. Road authorities need to have the choice how to provide connectivity via a hybrid communication approach, including all suitable communication networks to vehicles also in the future (see figure above). The C-Roads Member State authorities work in close cooperation with ASECAP, the Car-2-Car Consortium and ACEA.</w:t>
      </w:r>
    </w:p>
    <w:p w14:paraId="0A7D7A58" w14:textId="56CEAB30" w:rsidR="00FD74E4" w:rsidRDefault="00FD74E4" w:rsidP="00306CBE">
      <w:pPr>
        <w:pStyle w:val="ECCParagraph"/>
        <w:spacing w:line="240" w:lineRule="auto"/>
        <w:rPr>
          <w:lang w:val="en-US"/>
        </w:rPr>
      </w:pPr>
      <w:r w:rsidRPr="00FD74E4">
        <w:rPr>
          <w:lang w:val="en-US"/>
        </w:rPr>
        <w:t xml:space="preserve">C-ROADS </w:t>
      </w:r>
      <w:proofErr w:type="gramStart"/>
      <w:r w:rsidRPr="00FD74E4">
        <w:rPr>
          <w:lang w:val="en-US"/>
        </w:rPr>
        <w:t>has</w:t>
      </w:r>
      <w:proofErr w:type="gramEnd"/>
      <w:r w:rsidRPr="00FD74E4">
        <w:rPr>
          <w:lang w:val="en-US"/>
        </w:rPr>
        <w:t xml:space="preserve"> published Release 1.3 of the Roadside ITS</w:t>
      </w:r>
      <w:r w:rsidR="006A1F3B">
        <w:rPr>
          <w:lang w:val="en-US"/>
        </w:rPr>
        <w:t>-</w:t>
      </w:r>
      <w:r w:rsidRPr="00FD74E4">
        <w:rPr>
          <w:lang w:val="en-US"/>
        </w:rPr>
        <w:t>G5 System Profile</w:t>
      </w:r>
      <w:r w:rsidR="00155EB5" w:rsidRPr="003C7C2F">
        <w:t xml:space="preserve"> </w:t>
      </w:r>
      <w:r w:rsidR="00155EB5" w:rsidRPr="00961D90">
        <w:fldChar w:fldCharType="begin"/>
      </w:r>
      <w:r w:rsidR="00155EB5" w:rsidRPr="00E27762">
        <w:instrText xml:space="preserve"> REF _Ref525122783 \r \h </w:instrText>
      </w:r>
      <w:r w:rsidR="00961D90">
        <w:instrText xml:space="preserve"> \* MERGEFORMAT </w:instrText>
      </w:r>
      <w:r w:rsidR="00155EB5" w:rsidRPr="00961D90">
        <w:fldChar w:fldCharType="separate"/>
      </w:r>
      <w:r w:rsidR="005E3C1D">
        <w:t>[39]</w:t>
      </w:r>
      <w:r w:rsidR="00155EB5" w:rsidRPr="00961D90">
        <w:fldChar w:fldCharType="end"/>
      </w:r>
      <w:r w:rsidR="00155EB5" w:rsidRPr="00961D90">
        <w:t xml:space="preserve"> </w:t>
      </w:r>
      <w:r w:rsidRPr="00FD74E4">
        <w:rPr>
          <w:lang w:val="en-US"/>
        </w:rPr>
        <w:t>Release 1.4 is published in December 2019. The profile contains all Day-1 applications and is aligned with the basic system profile of the Car-to-Car Communication Consortium. The security mechanism is prepared, while central elements are prepared by the EC, and the operational link to the industry has been established. A hybrid communication profile (ITS-G5 and existing 3G/4G cellular networks) is expected by mid</w:t>
      </w:r>
      <w:r w:rsidR="00CB3F76">
        <w:rPr>
          <w:lang w:val="en-US"/>
        </w:rPr>
        <w:t>-</w:t>
      </w:r>
      <w:r w:rsidRPr="00FD74E4">
        <w:rPr>
          <w:lang w:val="en-US"/>
        </w:rPr>
        <w:t>2019.</w:t>
      </w:r>
    </w:p>
    <w:p w14:paraId="0A7D7A59" w14:textId="650086F6" w:rsidR="00FD74E4" w:rsidRPr="00FD74E4" w:rsidRDefault="00FD74E4" w:rsidP="00FD74E4">
      <w:pPr>
        <w:pStyle w:val="ECCParagraph"/>
        <w:spacing w:line="240" w:lineRule="auto"/>
      </w:pPr>
      <w:r w:rsidRPr="00FD74E4">
        <w:rPr>
          <w:lang w:val="en-US"/>
        </w:rPr>
        <w:t xml:space="preserve">Several C-ROADS pilot deployments are already operational </w:t>
      </w:r>
      <w:r w:rsidR="005E3C1D">
        <w:rPr>
          <w:lang w:val="en-US"/>
        </w:rPr>
        <w:fldChar w:fldCharType="begin"/>
      </w:r>
      <w:r w:rsidR="005E3C1D">
        <w:rPr>
          <w:lang w:val="en-US"/>
        </w:rPr>
        <w:instrText xml:space="preserve"> REF _Ref198257 \r \h </w:instrText>
      </w:r>
      <w:r w:rsidR="005E3C1D">
        <w:rPr>
          <w:lang w:val="en-US"/>
        </w:rPr>
      </w:r>
      <w:r w:rsidR="005E3C1D">
        <w:rPr>
          <w:lang w:val="en-US"/>
        </w:rPr>
        <w:fldChar w:fldCharType="separate"/>
      </w:r>
      <w:r w:rsidR="005E3C1D">
        <w:rPr>
          <w:lang w:val="en-US"/>
        </w:rPr>
        <w:t>[50]</w:t>
      </w:r>
      <w:r w:rsidR="005E3C1D">
        <w:rPr>
          <w:lang w:val="en-US"/>
        </w:rPr>
        <w:fldChar w:fldCharType="end"/>
      </w:r>
      <w:r w:rsidRPr="00FD74E4">
        <w:rPr>
          <w:lang w:val="en-US"/>
        </w:rPr>
        <w:t>. C-ROADS Pilots are first steps to larger roll-outs and installed for continued operation in larger corridors or nationwide roll-outs. They are not radio equipment tests, but use commercially available radio equipment to introduce C-ITS services to early</w:t>
      </w:r>
      <w:r w:rsidR="00155EB5" w:rsidRPr="00961D90">
        <w:t xml:space="preserve">. First C-ITS services </w:t>
      </w:r>
      <w:r w:rsidRPr="00FD74E4">
        <w:rPr>
          <w:lang w:val="en-US"/>
        </w:rPr>
        <w:t xml:space="preserve">for a subset of Day-1 use case are operational. Full-scale Day-1 services </w:t>
      </w:r>
      <w:r w:rsidR="00155EB5" w:rsidRPr="00961D90">
        <w:t>are considered operative in 2019. For the 5.9 GH</w:t>
      </w:r>
      <w:r w:rsidR="00155EB5" w:rsidRPr="003C7C2F">
        <w:t xml:space="preserve">z range, these services </w:t>
      </w:r>
      <w:r>
        <w:t>are</w:t>
      </w:r>
      <w:r w:rsidR="00155EB5" w:rsidRPr="003C7C2F">
        <w:t xml:space="preserve"> based on ITS</w:t>
      </w:r>
      <w:r w:rsidR="005320F0">
        <w:t>-</w:t>
      </w:r>
      <w:r w:rsidR="00155EB5" w:rsidRPr="003C7C2F">
        <w:t>G5 technology.</w:t>
      </w:r>
      <w:r w:rsidRPr="00FD74E4">
        <w:t xml:space="preserve"> Tenders for Day-1 have been started or are in preparation in several C-ROADS member states (e.g. </w:t>
      </w:r>
      <w:r w:rsidR="0088491C">
        <w:fldChar w:fldCharType="begin"/>
      </w:r>
      <w:r w:rsidR="0088491C">
        <w:instrText xml:space="preserve"> REF _Ref201009 \r \h </w:instrText>
      </w:r>
      <w:r w:rsidR="0088491C">
        <w:fldChar w:fldCharType="separate"/>
      </w:r>
      <w:r w:rsidR="00BB544A">
        <w:t>[43]</w:t>
      </w:r>
      <w:r w:rsidR="0088491C">
        <w:fldChar w:fldCharType="end"/>
      </w:r>
      <w:r w:rsidR="0088491C">
        <w:t xml:space="preserve"> </w:t>
      </w:r>
      <w:r w:rsidR="005320F0">
        <w:t>and</w:t>
      </w:r>
      <w:r w:rsidR="0088491C">
        <w:t xml:space="preserve"> </w:t>
      </w:r>
      <w:r w:rsidR="0088491C">
        <w:fldChar w:fldCharType="begin"/>
      </w:r>
      <w:r w:rsidR="0088491C">
        <w:instrText xml:space="preserve"> REF _Ref201032 \r \h </w:instrText>
      </w:r>
      <w:r w:rsidR="0088491C">
        <w:fldChar w:fldCharType="separate"/>
      </w:r>
      <w:r w:rsidR="00BB544A">
        <w:t>[44]</w:t>
      </w:r>
      <w:r w:rsidR="0088491C">
        <w:fldChar w:fldCharType="end"/>
      </w:r>
      <w:r w:rsidRPr="00FD74E4">
        <w:t>). Some members also include services beyond Day-1 such as Automated Driving Support</w:t>
      </w:r>
      <w:r w:rsidR="0088491C">
        <w:t xml:space="preserve"> </w:t>
      </w:r>
      <w:r w:rsidR="0088491C">
        <w:fldChar w:fldCharType="begin"/>
      </w:r>
      <w:r w:rsidR="0088491C">
        <w:instrText xml:space="preserve"> REF _Ref201009 \r \h </w:instrText>
      </w:r>
      <w:r w:rsidR="0088491C">
        <w:fldChar w:fldCharType="separate"/>
      </w:r>
      <w:r w:rsidR="00BB544A">
        <w:t>[43]</w:t>
      </w:r>
      <w:r w:rsidR="0088491C">
        <w:fldChar w:fldCharType="end"/>
      </w:r>
      <w:r w:rsidRPr="00FD74E4">
        <w:t xml:space="preserve">. By 2019, 6000 km of safety-critical road sections will be covered by short-range C-ITS services. </w:t>
      </w:r>
    </w:p>
    <w:p w14:paraId="0A7D7A5A" w14:textId="77777777" w:rsidR="00FD74E4" w:rsidRPr="00FD74E4" w:rsidRDefault="00FD74E4" w:rsidP="00FD74E4">
      <w:pPr>
        <w:pStyle w:val="ECCParagraph"/>
        <w:spacing w:line="240" w:lineRule="auto"/>
      </w:pPr>
      <w:r w:rsidRPr="00FD74E4">
        <w:rPr>
          <w:noProof/>
          <w:lang w:val="da-DK" w:eastAsia="da-DK"/>
        </w:rPr>
        <w:drawing>
          <wp:inline distT="0" distB="0" distL="0" distR="0" wp14:anchorId="0A7D7D52" wp14:editId="0A7D7D53">
            <wp:extent cx="6147480" cy="3896938"/>
            <wp:effectExtent l="0" t="0" r="5715" b="8890"/>
            <wp:docPr id="1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8279" cy="3910123"/>
                    </a:xfrm>
                    <a:prstGeom prst="rect">
                      <a:avLst/>
                    </a:prstGeom>
                    <a:noFill/>
                  </pic:spPr>
                </pic:pic>
              </a:graphicData>
            </a:graphic>
          </wp:inline>
        </w:drawing>
      </w:r>
    </w:p>
    <w:p w14:paraId="0A7D7A5B" w14:textId="1B2AE679" w:rsidR="00FD74E4" w:rsidRPr="00FD74E4" w:rsidRDefault="000A257B" w:rsidP="008D3C32">
      <w:pPr>
        <w:pStyle w:val="Caption"/>
      </w:pPr>
      <w:r>
        <w:t xml:space="preserve">Figure </w:t>
      </w:r>
      <w:r>
        <w:fldChar w:fldCharType="begin"/>
      </w:r>
      <w:r>
        <w:instrText xml:space="preserve"> SEQ Figure \* ARABIC </w:instrText>
      </w:r>
      <w:r>
        <w:fldChar w:fldCharType="separate"/>
      </w:r>
      <w:r w:rsidR="00BB544A">
        <w:rPr>
          <w:noProof/>
        </w:rPr>
        <w:t>4</w:t>
      </w:r>
      <w:r>
        <w:fldChar w:fldCharType="end"/>
      </w:r>
      <w:r>
        <w:t>:</w:t>
      </w:r>
      <w:r w:rsidR="00FD74E4" w:rsidRPr="00FD74E4">
        <w:t xml:space="preserve"> C-ITS Deployment in Europe in C-ROADS and national deployments </w:t>
      </w:r>
      <w:r w:rsidR="00FD74E4" w:rsidRPr="00FD74E4">
        <w:fldChar w:fldCharType="begin"/>
      </w:r>
      <w:r w:rsidR="00FD74E4" w:rsidRPr="00FD74E4">
        <w:instrText xml:space="preserve"> REF _Ref531905602 \r \h </w:instrText>
      </w:r>
      <w:r w:rsidR="00FD74E4" w:rsidRPr="00FD74E4">
        <w:fldChar w:fldCharType="separate"/>
      </w:r>
      <w:r w:rsidR="00FD74E4" w:rsidRPr="00FD74E4">
        <w:t>[46]</w:t>
      </w:r>
      <w:r w:rsidR="00FD74E4" w:rsidRPr="00FD74E4">
        <w:fldChar w:fldCharType="end"/>
      </w:r>
    </w:p>
    <w:p w14:paraId="0A7D7A5C" w14:textId="77777777" w:rsidR="00C12AB8" w:rsidRPr="003C7C2F" w:rsidRDefault="00C12AB8" w:rsidP="004D01E5">
      <w:pPr>
        <w:pStyle w:val="Caption"/>
      </w:pPr>
    </w:p>
    <w:p w14:paraId="0A7D7A5D" w14:textId="77777777" w:rsidR="00C12AB8" w:rsidRDefault="00155EB5">
      <w:pPr>
        <w:pStyle w:val="ECCAnnexheading3"/>
        <w:rPr>
          <w:lang w:val="en-GB"/>
        </w:rPr>
      </w:pPr>
      <w:r>
        <w:rPr>
          <w:lang w:val="en-GB"/>
        </w:rPr>
        <w:lastRenderedPageBreak/>
        <w:t>Platooning (example of a new Road ITS application)</w:t>
      </w:r>
    </w:p>
    <w:p w14:paraId="0A7D7A5E" w14:textId="3A0B43E2" w:rsidR="00C12AB8" w:rsidRPr="00961D90" w:rsidRDefault="00155EB5" w:rsidP="00306CBE">
      <w:pPr>
        <w:pStyle w:val="ECCParagraph"/>
        <w:spacing w:line="240" w:lineRule="auto"/>
        <w:rPr>
          <w:rFonts w:eastAsia="Calibri"/>
        </w:rPr>
      </w:pPr>
      <w:bookmarkStart w:id="39" w:name="_Hlk524523037"/>
      <w:r w:rsidRPr="00961D90">
        <w:rPr>
          <w:rFonts w:eastAsia="Calibri"/>
        </w:rPr>
        <w:t xml:space="preserve">In the wake of the successful European Truck Platooning Challenge </w:t>
      </w:r>
      <w:r w:rsidRPr="00961D90">
        <w:rPr>
          <w:rFonts w:eastAsia="Calibri"/>
        </w:rPr>
        <w:fldChar w:fldCharType="begin"/>
      </w:r>
      <w:r w:rsidRPr="00E27762">
        <w:rPr>
          <w:rFonts w:eastAsia="Calibri"/>
        </w:rPr>
        <w:instrText xml:space="preserve"> REF _Ref525120742 \r \h </w:instrText>
      </w:r>
      <w:r w:rsidR="00961D90">
        <w:rPr>
          <w:rFonts w:eastAsia="Calibri"/>
        </w:rPr>
        <w:instrText xml:space="preserve"> \* MERGEFORMAT </w:instrText>
      </w:r>
      <w:r w:rsidRPr="00961D90">
        <w:rPr>
          <w:rFonts w:eastAsia="Calibri"/>
        </w:rPr>
      </w:r>
      <w:r w:rsidRPr="00961D90">
        <w:rPr>
          <w:rFonts w:eastAsia="Calibri"/>
        </w:rPr>
        <w:fldChar w:fldCharType="separate"/>
      </w:r>
      <w:r w:rsidR="00BB544A">
        <w:rPr>
          <w:rFonts w:eastAsia="Calibri"/>
        </w:rPr>
        <w:t>[13]</w:t>
      </w:r>
      <w:r w:rsidRPr="00961D90">
        <w:rPr>
          <w:rFonts w:eastAsia="Calibri"/>
        </w:rPr>
        <w:fldChar w:fldCharType="end"/>
      </w:r>
      <w:r w:rsidRPr="00961D90">
        <w:rPr>
          <w:rFonts w:eastAsia="Calibri"/>
        </w:rPr>
        <w:t xml:space="preserve">, several pilots and research projects have been initiated with the aim of bringing </w:t>
      </w:r>
      <w:proofErr w:type="spellStart"/>
      <w:r w:rsidRPr="003C7C2F">
        <w:rPr>
          <w:rFonts w:eastAsia="Calibri"/>
        </w:rPr>
        <w:t>multibrand</w:t>
      </w:r>
      <w:proofErr w:type="spellEnd"/>
      <w:r w:rsidRPr="003C7C2F">
        <w:rPr>
          <w:rFonts w:eastAsia="Calibri"/>
        </w:rPr>
        <w:t xml:space="preserve"> truck platooning to the European roads. All European truck OEM are part of the EU project ENSEMBLE </w:t>
      </w:r>
      <w:r w:rsidRPr="00961D90">
        <w:rPr>
          <w:rFonts w:eastAsia="Calibri"/>
        </w:rPr>
        <w:fldChar w:fldCharType="begin"/>
      </w:r>
      <w:r w:rsidRPr="00E27762">
        <w:rPr>
          <w:rFonts w:eastAsia="Calibri"/>
        </w:rPr>
        <w:instrText xml:space="preserve"> REF _Ref525120753 \r \h </w:instrText>
      </w:r>
      <w:r w:rsidR="00961D90">
        <w:rPr>
          <w:rFonts w:eastAsia="Calibri"/>
        </w:rPr>
        <w:instrText xml:space="preserve"> \* MERGEFORMAT </w:instrText>
      </w:r>
      <w:r w:rsidRPr="00961D90">
        <w:rPr>
          <w:rFonts w:eastAsia="Calibri"/>
        </w:rPr>
      </w:r>
      <w:r w:rsidRPr="00961D90">
        <w:rPr>
          <w:rFonts w:eastAsia="Calibri"/>
        </w:rPr>
        <w:fldChar w:fldCharType="separate"/>
      </w:r>
      <w:r w:rsidR="00BB544A">
        <w:rPr>
          <w:rFonts w:eastAsia="Calibri"/>
        </w:rPr>
        <w:t>[14]</w:t>
      </w:r>
      <w:r w:rsidRPr="00961D90">
        <w:rPr>
          <w:rFonts w:eastAsia="Calibri"/>
        </w:rPr>
        <w:fldChar w:fldCharType="end"/>
      </w:r>
      <w:r w:rsidRPr="00961D90">
        <w:rPr>
          <w:rFonts w:eastAsia="Calibri"/>
        </w:rPr>
        <w:t>, which aims at bringing a pan-European truck platooning system to the market. ENSEMBLE will also serve as the f</w:t>
      </w:r>
      <w:r w:rsidRPr="003C7C2F">
        <w:rPr>
          <w:rFonts w:eastAsia="Calibri"/>
        </w:rPr>
        <w:t xml:space="preserve">oundation for the upcoming legislation on platooning as announced in the third mobility package published in May 2018 </w:t>
      </w:r>
      <w:r w:rsidRPr="00961D90">
        <w:rPr>
          <w:rFonts w:eastAsia="Calibri"/>
        </w:rPr>
        <w:fldChar w:fldCharType="begin"/>
      </w:r>
      <w:r w:rsidRPr="00E27762">
        <w:rPr>
          <w:rFonts w:eastAsia="Calibri"/>
        </w:rPr>
        <w:instrText xml:space="preserve"> REF _Ref525120659 \r \h </w:instrText>
      </w:r>
      <w:r w:rsidR="00961D90">
        <w:rPr>
          <w:rFonts w:eastAsia="Calibri"/>
        </w:rPr>
        <w:instrText xml:space="preserve"> \* MERGEFORMAT </w:instrText>
      </w:r>
      <w:r w:rsidRPr="00961D90">
        <w:rPr>
          <w:rFonts w:eastAsia="Calibri"/>
        </w:rPr>
      </w:r>
      <w:r w:rsidRPr="00961D90">
        <w:rPr>
          <w:rFonts w:eastAsia="Calibri"/>
        </w:rPr>
        <w:fldChar w:fldCharType="separate"/>
      </w:r>
      <w:r w:rsidR="00BB544A">
        <w:rPr>
          <w:rFonts w:eastAsia="Calibri"/>
        </w:rPr>
        <w:t>[15]</w:t>
      </w:r>
      <w:r w:rsidRPr="00961D90">
        <w:rPr>
          <w:rFonts w:eastAsia="Calibri"/>
        </w:rPr>
        <w:fldChar w:fldCharType="end"/>
      </w:r>
      <w:r w:rsidRPr="00961D90">
        <w:rPr>
          <w:rFonts w:eastAsia="Calibri"/>
        </w:rPr>
        <w:t xml:space="preserve">. </w:t>
      </w:r>
    </w:p>
    <w:p w14:paraId="0A7D7A5F" w14:textId="3853C968" w:rsidR="00C12AB8" w:rsidRPr="00961D90" w:rsidRDefault="00155EB5" w:rsidP="00306CBE">
      <w:pPr>
        <w:pStyle w:val="ECCParagraph"/>
        <w:spacing w:line="240" w:lineRule="auto"/>
      </w:pPr>
      <w:r w:rsidRPr="00961D90">
        <w:rPr>
          <w:rFonts w:eastAsia="Calibri"/>
        </w:rPr>
        <w:t xml:space="preserve">Pilots are currently carried out in Sweden </w:t>
      </w:r>
      <w:r w:rsidRPr="00961D90">
        <w:rPr>
          <w:rFonts w:eastAsia="Calibri"/>
        </w:rPr>
        <w:fldChar w:fldCharType="begin"/>
      </w:r>
      <w:r w:rsidRPr="00E27762">
        <w:rPr>
          <w:rFonts w:eastAsia="Calibri"/>
        </w:rPr>
        <w:instrText xml:space="preserve"> REF _Ref525120636 \r \h </w:instrText>
      </w:r>
      <w:r w:rsidR="00961D90">
        <w:rPr>
          <w:rFonts w:eastAsia="Calibri"/>
        </w:rPr>
        <w:instrText xml:space="preserve"> \* MERGEFORMAT </w:instrText>
      </w:r>
      <w:r w:rsidRPr="00961D90">
        <w:rPr>
          <w:rFonts w:eastAsia="Calibri"/>
        </w:rPr>
      </w:r>
      <w:r w:rsidRPr="00961D90">
        <w:rPr>
          <w:rFonts w:eastAsia="Calibri"/>
        </w:rPr>
        <w:fldChar w:fldCharType="separate"/>
      </w:r>
      <w:r w:rsidR="00BB544A">
        <w:rPr>
          <w:rFonts w:eastAsia="Calibri"/>
        </w:rPr>
        <w:t>[16]</w:t>
      </w:r>
      <w:r w:rsidRPr="00961D90">
        <w:rPr>
          <w:rFonts w:eastAsia="Calibri"/>
        </w:rPr>
        <w:fldChar w:fldCharType="end"/>
      </w:r>
      <w:r w:rsidRPr="00961D90">
        <w:rPr>
          <w:rFonts w:eastAsia="Calibri"/>
        </w:rPr>
        <w:t xml:space="preserve">, Germany </w:t>
      </w:r>
      <w:r w:rsidRPr="00961D90">
        <w:rPr>
          <w:rFonts w:eastAsia="Calibri"/>
        </w:rPr>
        <w:fldChar w:fldCharType="begin"/>
      </w:r>
      <w:r w:rsidRPr="00E27762">
        <w:rPr>
          <w:rFonts w:eastAsia="Calibri"/>
        </w:rPr>
        <w:instrText xml:space="preserve"> REF _Ref525120624 \r \h </w:instrText>
      </w:r>
      <w:r w:rsidR="00961D90">
        <w:rPr>
          <w:rFonts w:eastAsia="Calibri"/>
        </w:rPr>
        <w:instrText xml:space="preserve"> \* MERGEFORMAT </w:instrText>
      </w:r>
      <w:r w:rsidRPr="00961D90">
        <w:rPr>
          <w:rFonts w:eastAsia="Calibri"/>
        </w:rPr>
      </w:r>
      <w:r w:rsidRPr="00961D90">
        <w:rPr>
          <w:rFonts w:eastAsia="Calibri"/>
        </w:rPr>
        <w:fldChar w:fldCharType="separate"/>
      </w:r>
      <w:r w:rsidR="00BB544A">
        <w:rPr>
          <w:rFonts w:eastAsia="Calibri"/>
        </w:rPr>
        <w:t>[17]</w:t>
      </w:r>
      <w:r w:rsidRPr="00961D90">
        <w:rPr>
          <w:rFonts w:eastAsia="Calibri"/>
        </w:rPr>
        <w:fldChar w:fldCharType="end"/>
      </w:r>
      <w:r w:rsidRPr="00961D90">
        <w:rPr>
          <w:rFonts w:eastAsia="Calibri"/>
        </w:rPr>
        <w:t>,</w:t>
      </w:r>
      <w:r w:rsidR="00CB3F76">
        <w:rPr>
          <w:rFonts w:eastAsia="Calibri"/>
        </w:rPr>
        <w:t xml:space="preserve"> </w:t>
      </w:r>
      <w:r w:rsidRPr="00961D90">
        <w:rPr>
          <w:rFonts w:eastAsia="Calibri"/>
        </w:rPr>
        <w:t xml:space="preserve">and UK </w:t>
      </w:r>
      <w:r w:rsidRPr="00961D90">
        <w:rPr>
          <w:rFonts w:eastAsia="Calibri"/>
        </w:rPr>
        <w:fldChar w:fldCharType="begin"/>
      </w:r>
      <w:r w:rsidRPr="00E27762">
        <w:rPr>
          <w:rFonts w:eastAsia="Calibri"/>
        </w:rPr>
        <w:instrText xml:space="preserve"> REF _Ref525120607 \r \h </w:instrText>
      </w:r>
      <w:r w:rsidR="00961D90">
        <w:rPr>
          <w:rFonts w:eastAsia="Calibri"/>
        </w:rPr>
        <w:instrText xml:space="preserve"> \* MERGEFORMAT </w:instrText>
      </w:r>
      <w:r w:rsidRPr="00961D90">
        <w:rPr>
          <w:rFonts w:eastAsia="Calibri"/>
        </w:rPr>
      </w:r>
      <w:r w:rsidRPr="00961D90">
        <w:rPr>
          <w:rFonts w:eastAsia="Calibri"/>
        </w:rPr>
        <w:fldChar w:fldCharType="separate"/>
      </w:r>
      <w:r w:rsidR="005E3C1D">
        <w:rPr>
          <w:rFonts w:eastAsia="Calibri"/>
        </w:rPr>
        <w:t>[18]</w:t>
      </w:r>
      <w:r w:rsidRPr="00961D90">
        <w:rPr>
          <w:rFonts w:eastAsia="Calibri"/>
        </w:rPr>
        <w:fldChar w:fldCharType="end"/>
      </w:r>
      <w:r w:rsidRPr="00961D90">
        <w:rPr>
          <w:rFonts w:eastAsia="Calibri"/>
        </w:rPr>
        <w:t>. Platooning increases safety and efficiency and it is the first connected and automated driving application that will see the day of light in Europe. These projects and pilots are using ITS-G5 for</w:t>
      </w:r>
      <w:r w:rsidRPr="003C7C2F">
        <w:rPr>
          <w:rFonts w:eastAsia="Calibri"/>
        </w:rPr>
        <w:t xml:space="preserve"> wireless communicating between the trucks on a 10 MHz frequency channel (e.g. 5.875-5.885 GHz). Platooning puts up concurrent requirements on reliability and delay. If one 10 MHz channel (e.g. 5.895-5.905 GHz) has to carry all position messages triggered by vehicle dynamics (a.k.a. Cooperative Awareness Message, CAM </w:t>
      </w:r>
      <w:r w:rsidRPr="00961D90">
        <w:rPr>
          <w:rFonts w:eastAsia="Calibri"/>
        </w:rPr>
        <w:fldChar w:fldCharType="begin"/>
      </w:r>
      <w:r w:rsidRPr="00E27762">
        <w:rPr>
          <w:rFonts w:eastAsia="Calibri"/>
        </w:rPr>
        <w:instrText xml:space="preserve"> REF _Ref525120681 \r \h </w:instrText>
      </w:r>
      <w:r w:rsidR="00961D90">
        <w:rPr>
          <w:rFonts w:eastAsia="Calibri"/>
        </w:rPr>
        <w:instrText xml:space="preserve"> \* MERGEFORMAT </w:instrText>
      </w:r>
      <w:r w:rsidRPr="00961D90">
        <w:rPr>
          <w:rFonts w:eastAsia="Calibri"/>
        </w:rPr>
      </w:r>
      <w:r w:rsidRPr="00961D90">
        <w:rPr>
          <w:rFonts w:eastAsia="Calibri"/>
        </w:rPr>
        <w:fldChar w:fldCharType="separate"/>
      </w:r>
      <w:r w:rsidR="00BB544A">
        <w:rPr>
          <w:rFonts w:eastAsia="Calibri"/>
        </w:rPr>
        <w:t>[19]</w:t>
      </w:r>
      <w:r w:rsidRPr="00961D90">
        <w:rPr>
          <w:rFonts w:eastAsia="Calibri"/>
        </w:rPr>
        <w:fldChar w:fldCharType="end"/>
      </w:r>
      <w:r w:rsidRPr="00961D90">
        <w:rPr>
          <w:rFonts w:eastAsia="Calibri"/>
        </w:rPr>
        <w:t xml:space="preserve">) and event-triggered hazard notifications (a.k.a. Decentralised Environmental Notification Message, DENM, </w:t>
      </w:r>
      <w:r w:rsidRPr="00961D90">
        <w:rPr>
          <w:rFonts w:eastAsia="Calibri"/>
        </w:rPr>
        <w:fldChar w:fldCharType="begin"/>
      </w:r>
      <w:r w:rsidRPr="00E27762">
        <w:rPr>
          <w:rFonts w:eastAsia="Calibri"/>
        </w:rPr>
        <w:instrText xml:space="preserve"> REF _Ref525120702 \r \h </w:instrText>
      </w:r>
      <w:r w:rsidR="00961D90">
        <w:rPr>
          <w:rFonts w:eastAsia="Calibri"/>
        </w:rPr>
        <w:instrText xml:space="preserve"> \* MERGEFORMAT </w:instrText>
      </w:r>
      <w:r w:rsidRPr="00961D90">
        <w:rPr>
          <w:rFonts w:eastAsia="Calibri"/>
        </w:rPr>
      </w:r>
      <w:r w:rsidRPr="00961D90">
        <w:rPr>
          <w:rFonts w:eastAsia="Calibri"/>
        </w:rPr>
        <w:fldChar w:fldCharType="separate"/>
      </w:r>
      <w:r w:rsidR="00BB544A">
        <w:rPr>
          <w:rFonts w:eastAsia="Calibri"/>
        </w:rPr>
        <w:t>[20]</w:t>
      </w:r>
      <w:r w:rsidRPr="00961D90">
        <w:rPr>
          <w:rFonts w:eastAsia="Calibri"/>
        </w:rPr>
        <w:fldChar w:fldCharType="end"/>
      </w:r>
      <w:r w:rsidRPr="00961D90">
        <w:rPr>
          <w:rFonts w:eastAsia="Calibri"/>
        </w:rPr>
        <w:t xml:space="preserve">), the channel may quickly be overloaded locally. Therefore, it is planned to use another frequency channel for the platooning application. Platooning deployment for commercial use </w:t>
      </w:r>
      <w:r w:rsidR="00E77BD4">
        <w:rPr>
          <w:rFonts w:eastAsia="Calibri"/>
        </w:rPr>
        <w:t xml:space="preserve">is expected </w:t>
      </w:r>
      <w:r w:rsidRPr="00961D90">
        <w:rPr>
          <w:rFonts w:eastAsia="Calibri"/>
        </w:rPr>
        <w:t xml:space="preserve">in 2020 </w:t>
      </w:r>
      <w:r w:rsidRPr="00961D90">
        <w:rPr>
          <w:rFonts w:eastAsia="Calibri"/>
        </w:rPr>
        <w:fldChar w:fldCharType="begin"/>
      </w:r>
      <w:r w:rsidRPr="00E27762">
        <w:rPr>
          <w:rFonts w:eastAsia="Calibri"/>
        </w:rPr>
        <w:instrText xml:space="preserve"> REF _Ref525122851 \r \h </w:instrText>
      </w:r>
      <w:r w:rsidR="00961D90">
        <w:rPr>
          <w:rFonts w:eastAsia="Calibri"/>
        </w:rPr>
        <w:instrText xml:space="preserve"> \* MERGEFORMAT </w:instrText>
      </w:r>
      <w:r w:rsidRPr="00961D90">
        <w:rPr>
          <w:rFonts w:eastAsia="Calibri"/>
        </w:rPr>
      </w:r>
      <w:r w:rsidRPr="00961D90">
        <w:rPr>
          <w:rFonts w:eastAsia="Calibri"/>
        </w:rPr>
        <w:fldChar w:fldCharType="separate"/>
      </w:r>
      <w:r w:rsidR="00313ED4">
        <w:rPr>
          <w:rFonts w:eastAsia="Calibri"/>
        </w:rPr>
        <w:t>[29]</w:t>
      </w:r>
      <w:r w:rsidRPr="00961D90">
        <w:rPr>
          <w:rFonts w:eastAsia="Calibri"/>
        </w:rPr>
        <w:fldChar w:fldCharType="end"/>
      </w:r>
      <w:r w:rsidRPr="00961D90">
        <w:rPr>
          <w:rFonts w:eastAsia="Calibri"/>
        </w:rPr>
        <w:t>.</w:t>
      </w:r>
      <w:bookmarkEnd w:id="39"/>
    </w:p>
    <w:p w14:paraId="0A7D7A60" w14:textId="77777777" w:rsidR="00C12AB8" w:rsidRDefault="00155EB5">
      <w:pPr>
        <w:pStyle w:val="ECCAnnexheading2"/>
        <w:rPr>
          <w:lang w:val="en-GB"/>
        </w:rPr>
      </w:pPr>
      <w:r>
        <w:rPr>
          <w:lang w:val="en-GB"/>
        </w:rPr>
        <w:t>Urban Rail ITS, CBTC</w:t>
      </w:r>
    </w:p>
    <w:p w14:paraId="0A7D7A61" w14:textId="77777777" w:rsidR="00C12AB8" w:rsidRDefault="00155EB5">
      <w:pPr>
        <w:pStyle w:val="ECCAnnexheading3"/>
        <w:rPr>
          <w:lang w:val="en-GB"/>
        </w:rPr>
      </w:pPr>
      <w:r>
        <w:rPr>
          <w:lang w:val="en-GB"/>
        </w:rPr>
        <w:t>Urban rail sector position</w:t>
      </w:r>
    </w:p>
    <w:p w14:paraId="0A7D7A62" w14:textId="77777777" w:rsidR="00C12AB8" w:rsidRDefault="00155EB5" w:rsidP="00306CBE">
      <w:pPr>
        <w:pStyle w:val="ECCParagraph"/>
        <w:spacing w:line="240" w:lineRule="auto"/>
        <w:rPr>
          <w:rFonts w:eastAsiaTheme="minorEastAsia"/>
        </w:rPr>
      </w:pPr>
      <w:r w:rsidRPr="00961D90">
        <w:rPr>
          <w:rFonts w:eastAsiaTheme="minorEastAsia"/>
        </w:rPr>
        <w:t xml:space="preserve">Numerous UITP and UNIFE members (operators and manufacturers) have agreed in 2015 on a </w:t>
      </w:r>
      <w:hyperlink r:id="rId25" w:history="1">
        <w:r w:rsidRPr="004D01E5">
          <w:rPr>
            <w:rFonts w:eastAsiaTheme="minorEastAsia"/>
            <w:color w:val="0000FF"/>
            <w:u w:val="single"/>
          </w:rPr>
          <w:t>Position Paper UITP UNIFE CBTC Frequency Bandwidth</w:t>
        </w:r>
      </w:hyperlink>
      <w:r>
        <w:rPr>
          <w:rFonts w:eastAsiaTheme="minorEastAsia"/>
          <w:sz w:val="24"/>
        </w:rPr>
        <w:t xml:space="preserve"> </w:t>
      </w:r>
      <w:r>
        <w:rPr>
          <w:rFonts w:eastAsiaTheme="minorEastAsia"/>
        </w:rPr>
        <w:t>targeting protected frequency channels for CBTC systems in the 5.9 MHz spectrum</w:t>
      </w:r>
      <w:r w:rsidR="00433120" w:rsidRPr="00433120">
        <w:rPr>
          <w:rFonts w:eastAsiaTheme="minorEastAsia"/>
          <w:lang w:val="en-US"/>
        </w:rPr>
        <w:t xml:space="preserve"> even if the channels are shared with </w:t>
      </w:r>
      <w:r w:rsidR="00E43EE0">
        <w:rPr>
          <w:rFonts w:eastAsiaTheme="minorEastAsia"/>
          <w:lang w:val="en-US"/>
        </w:rPr>
        <w:t>Road ITS</w:t>
      </w:r>
      <w:r>
        <w:rPr>
          <w:rFonts w:eastAsiaTheme="minorEastAsia"/>
        </w:rPr>
        <w:t>.</w:t>
      </w:r>
      <w:r>
        <w:rPr>
          <w:rFonts w:eastAsiaTheme="minorEastAsia"/>
          <w:b/>
        </w:rPr>
        <w:t xml:space="preserve"> </w:t>
      </w:r>
      <w:r>
        <w:rPr>
          <w:rFonts w:eastAsiaTheme="minorEastAsia"/>
        </w:rPr>
        <w:t xml:space="preserve">The related initiative coordinated by UITP since 2010 is called "Spectrum User Group" – SUG, also referred to as “the CBTC community”. </w:t>
      </w:r>
    </w:p>
    <w:p w14:paraId="0A7D7A63" w14:textId="77777777" w:rsidR="00C12AB8" w:rsidRDefault="00155EB5" w:rsidP="00306CBE">
      <w:pPr>
        <w:pStyle w:val="ECCParagraph"/>
        <w:spacing w:line="240" w:lineRule="auto"/>
        <w:rPr>
          <w:rFonts w:eastAsiaTheme="minorEastAsia"/>
        </w:rPr>
      </w:pPr>
      <w:r>
        <w:rPr>
          <w:rFonts w:eastAsiaTheme="minorEastAsia"/>
        </w:rPr>
        <w:t>Twenty-one companies signed the Position Paper:</w:t>
      </w:r>
    </w:p>
    <w:p w14:paraId="0A7D7A64" w14:textId="77777777" w:rsidR="00C12AB8" w:rsidRDefault="00155EB5" w:rsidP="0005124A">
      <w:pPr>
        <w:pStyle w:val="ECCBulletsLv1"/>
        <w:ind w:left="357" w:hanging="357"/>
      </w:pPr>
      <w:r>
        <w:t xml:space="preserve">Operators or contracting authorities: BKV – Budapest; DPP – Prague; FGC – Barcelona; </w:t>
      </w:r>
      <w:proofErr w:type="spellStart"/>
      <w:r>
        <w:t>Keolis</w:t>
      </w:r>
      <w:proofErr w:type="spellEnd"/>
      <w:r>
        <w:t xml:space="preserve"> – International; London Underground (LUL) – London; MTR – International; RATP – International; RET – Rotterdam; </w:t>
      </w:r>
      <w:proofErr w:type="spellStart"/>
      <w:r>
        <w:t>Société</w:t>
      </w:r>
      <w:proofErr w:type="spellEnd"/>
      <w:r>
        <w:t xml:space="preserve"> du Grand Paris – Paris; </w:t>
      </w:r>
      <w:proofErr w:type="spellStart"/>
      <w:r>
        <w:t>Sporveien</w:t>
      </w:r>
      <w:proofErr w:type="spellEnd"/>
      <w:r>
        <w:t xml:space="preserve"> – Oslo; </w:t>
      </w:r>
      <w:proofErr w:type="spellStart"/>
      <w:r>
        <w:t>Stasy</w:t>
      </w:r>
      <w:proofErr w:type="spellEnd"/>
      <w:r>
        <w:t xml:space="preserve"> – Athens;  STIB/MIVB  – Brussels;  TMB – Barcelona; </w:t>
      </w:r>
      <w:proofErr w:type="spellStart"/>
      <w:r>
        <w:t>Transdev</w:t>
      </w:r>
      <w:proofErr w:type="spellEnd"/>
      <w:r>
        <w:t xml:space="preserve"> – International; UTP – French public transport operators; VDV – German public transport Association (more than 600 members)</w:t>
      </w:r>
      <w:r w:rsidR="00961D90">
        <w:t>;</w:t>
      </w:r>
    </w:p>
    <w:p w14:paraId="0A7D7A65" w14:textId="01625B4C" w:rsidR="00C12AB8" w:rsidRDefault="00155EB5" w:rsidP="0005124A">
      <w:pPr>
        <w:pStyle w:val="ECCBulletsLv1"/>
        <w:ind w:left="357" w:hanging="357"/>
      </w:pPr>
      <w:r>
        <w:t>Manufacturers:  Alstom; Bombardier; Siemens.</w:t>
      </w:r>
    </w:p>
    <w:p w14:paraId="0A7D7A66" w14:textId="77777777" w:rsidR="00C12AB8" w:rsidRDefault="00C12AB8">
      <w:pPr>
        <w:pStyle w:val="ECCBulletsLv1"/>
        <w:numPr>
          <w:ilvl w:val="0"/>
          <w:numId w:val="0"/>
        </w:numPr>
        <w:ind w:left="360"/>
      </w:pPr>
    </w:p>
    <w:p w14:paraId="0A7D7A67" w14:textId="77777777" w:rsidR="00C12AB8" w:rsidRPr="00E32656" w:rsidRDefault="00155EB5" w:rsidP="00306CBE">
      <w:pPr>
        <w:pStyle w:val="ECCParagraph"/>
        <w:rPr>
          <w:rFonts w:eastAsiaTheme="minorEastAsia"/>
        </w:rPr>
      </w:pPr>
      <w:r w:rsidRPr="00E32656">
        <w:rPr>
          <w:rFonts w:eastAsiaTheme="minorEastAsia"/>
        </w:rPr>
        <w:t>Other UITP members have confirmed their support to the Spectrum User Group initiative, e.g.:</w:t>
      </w:r>
    </w:p>
    <w:p w14:paraId="0A7D7A68" w14:textId="77777777" w:rsidR="00C12AB8" w:rsidRDefault="00155EB5" w:rsidP="00945360">
      <w:pPr>
        <w:pStyle w:val="ECCBulletsLv1"/>
        <w:keepNext/>
        <w:ind w:left="357" w:hanging="357"/>
      </w:pPr>
      <w:r>
        <w:t xml:space="preserve">ATAC – Rome; MM – Madrid; SNCF – France; SRWT  – Belgium; Wiener </w:t>
      </w:r>
      <w:proofErr w:type="spellStart"/>
      <w:r>
        <w:t>Linien</w:t>
      </w:r>
      <w:proofErr w:type="spellEnd"/>
      <w:r>
        <w:t xml:space="preserve"> – Austria</w:t>
      </w:r>
    </w:p>
    <w:p w14:paraId="0A7D7A69" w14:textId="77777777" w:rsidR="00C12AB8" w:rsidRDefault="00155EB5" w:rsidP="00945360">
      <w:pPr>
        <w:pStyle w:val="ECCBulletsLv1"/>
        <w:keepNext/>
        <w:ind w:hanging="700"/>
      </w:pPr>
      <w:r>
        <w:t>THALES (although they currently operate in the 2,4 GHz band) ; Hitachi-STS</w:t>
      </w:r>
    </w:p>
    <w:p w14:paraId="5778ADFE" w14:textId="77777777" w:rsidR="00912C5C" w:rsidRDefault="00912C5C" w:rsidP="00912C5C">
      <w:pPr>
        <w:spacing w:after="60" w:line="240" w:lineRule="auto"/>
        <w:jc w:val="both"/>
        <w:rPr>
          <w:rFonts w:eastAsiaTheme="minorEastAsia" w:cs="Arial"/>
          <w:color w:val="000000" w:themeColor="text1"/>
          <w:kern w:val="24"/>
          <w:szCs w:val="20"/>
          <w:lang w:val="en-GB"/>
        </w:rPr>
      </w:pPr>
    </w:p>
    <w:p w14:paraId="0A7D7A6B" w14:textId="77777777" w:rsidR="00C12AB8" w:rsidRDefault="00155EB5">
      <w:pPr>
        <w:spacing w:after="240" w:line="240" w:lineRule="auto"/>
        <w:jc w:val="both"/>
        <w:rPr>
          <w:rFonts w:eastAsiaTheme="minorEastAsia" w:cs="Arial"/>
          <w:color w:val="000000" w:themeColor="text1"/>
          <w:kern w:val="24"/>
          <w:szCs w:val="20"/>
          <w:lang w:val="en-GB"/>
        </w:rPr>
      </w:pPr>
      <w:r>
        <w:rPr>
          <w:rFonts w:eastAsiaTheme="minorEastAsia" w:cs="Arial"/>
          <w:color w:val="000000" w:themeColor="text1"/>
          <w:kern w:val="24"/>
          <w:szCs w:val="20"/>
          <w:lang w:val="en-GB"/>
        </w:rPr>
        <w:t>Most of all these have signed in 2011 and in 2016 a 5-year long Memorandum of Understanding supporting the Spectrum User Group initiative.</w:t>
      </w:r>
    </w:p>
    <w:p w14:paraId="0A7D7A6C" w14:textId="77777777" w:rsidR="00E43EE0" w:rsidRDefault="00E43EE0" w:rsidP="003D6E6A">
      <w:pPr>
        <w:pStyle w:val="ECCParagraph"/>
      </w:pPr>
      <w:r w:rsidRPr="00E43EE0">
        <w:t>The current CBTC systems run over a digital networked radio system by means of antennas or leaky feeder cable for the bi-directional communication between the track equipment and the trains.</w:t>
      </w:r>
    </w:p>
    <w:p w14:paraId="0A7D7A6D" w14:textId="77777777" w:rsidR="00CB3F76" w:rsidRPr="00E43EE0" w:rsidRDefault="00CB3F76" w:rsidP="003D6E6A">
      <w:pPr>
        <w:pStyle w:val="ECCParagraph"/>
      </w:pPr>
      <w:r w:rsidRPr="000B2578">
        <w:t>Some existing CB</w:t>
      </w:r>
      <w:r w:rsidRPr="004739D2">
        <w:t>T</w:t>
      </w:r>
      <w:r w:rsidRPr="000B2578">
        <w:t xml:space="preserve">C systems </w:t>
      </w:r>
      <w:r w:rsidRPr="004739D2">
        <w:t xml:space="preserve">use </w:t>
      </w:r>
      <w:r w:rsidRPr="000B2578">
        <w:t>inductive loop and 2.4</w:t>
      </w:r>
      <w:r w:rsidRPr="004739D2">
        <w:t xml:space="preserve"> </w:t>
      </w:r>
      <w:r w:rsidRPr="000B2578">
        <w:t xml:space="preserve">GHz ISM band for wireless communications. The original two-wire inductive loop system was prone to vandalism and, in newer </w:t>
      </w:r>
      <w:proofErr w:type="gramStart"/>
      <w:r w:rsidRPr="000B2578">
        <w:t>versions,</w:t>
      </w:r>
      <w:proofErr w:type="gramEnd"/>
      <w:r w:rsidRPr="000B2578">
        <w:t xml:space="preserve"> the control signal is transmitted inside the running rails at</w:t>
      </w:r>
      <w:r w:rsidRPr="004739D2">
        <w:t xml:space="preserve"> </w:t>
      </w:r>
      <w:hyperlink r:id="rId26" w:tooltip="Radio frequency" w:history="1">
        <w:r w:rsidRPr="00C05C04">
          <w:t>radio frequency</w:t>
        </w:r>
      </w:hyperlink>
      <w:r w:rsidRPr="004739D2">
        <w:t xml:space="preserve"> </w:t>
      </w:r>
      <w:r w:rsidRPr="000B2578">
        <w:t>using</w:t>
      </w:r>
      <w:r w:rsidRPr="004739D2">
        <w:t xml:space="preserve"> </w:t>
      </w:r>
      <w:hyperlink r:id="rId27" w:tooltip="IEEE 802.11" w:history="1">
        <w:r w:rsidRPr="00C05C04">
          <w:t>IEEE 802.11</w:t>
        </w:r>
      </w:hyperlink>
      <w:r w:rsidRPr="004739D2">
        <w:t xml:space="preserve"> </w:t>
      </w:r>
      <w:r w:rsidRPr="000B2578">
        <w:t>(Wi-Fi) access points. In the UK</w:t>
      </w:r>
      <w:r w:rsidRPr="004739D2">
        <w:t>,</w:t>
      </w:r>
      <w:r w:rsidRPr="000B2578">
        <w:t xml:space="preserve"> London underground and Docklands Light </w:t>
      </w:r>
      <w:r w:rsidRPr="004739D2">
        <w:t>R</w:t>
      </w:r>
      <w:r w:rsidRPr="000B2578">
        <w:t>ailway use this system</w:t>
      </w:r>
      <w:r w:rsidR="006E0BE4">
        <w:t xml:space="preserve"> (see Table 2a</w:t>
      </w:r>
      <w:r w:rsidR="00E77BD4">
        <w:t>)</w:t>
      </w:r>
      <w:r w:rsidRPr="000B2578">
        <w:t>. Whereas these lines used track-based loop technology for control, command and positional information, the sub-surface lines use radio technology to continually communicate with the trains together with sleeper mounted transponders (RFID tags) to give train position informat</w:t>
      </w:r>
      <w:r w:rsidRPr="00096A59">
        <w:t>ion. The radio employ</w:t>
      </w:r>
      <w:r w:rsidRPr="00DD077B">
        <w:t>s</w:t>
      </w:r>
      <w:r w:rsidRPr="00347964">
        <w:t xml:space="preserve"> free space transmission, even in tunnels, using the 2.4</w:t>
      </w:r>
      <w:r w:rsidRPr="004739D2">
        <w:t xml:space="preserve"> </w:t>
      </w:r>
      <w:r w:rsidRPr="000B2578">
        <w:t>GHz band.</w:t>
      </w:r>
    </w:p>
    <w:p w14:paraId="0A7D7A6F" w14:textId="77777777" w:rsidR="00C12AB8" w:rsidRDefault="00155EB5">
      <w:pPr>
        <w:pStyle w:val="ECCAnnexheading3"/>
        <w:rPr>
          <w:lang w:val="en-GB"/>
        </w:rPr>
      </w:pPr>
      <w:r>
        <w:rPr>
          <w:lang w:val="en-GB"/>
        </w:rPr>
        <w:lastRenderedPageBreak/>
        <w:t>Deployment of CBTC systems</w:t>
      </w:r>
    </w:p>
    <w:p w14:paraId="0A7D7A70" w14:textId="77777777" w:rsidR="00582842" w:rsidRDefault="00582842" w:rsidP="00582842">
      <w:pPr>
        <w:pStyle w:val="Caption"/>
        <w:rPr>
          <w:rFonts w:eastAsiaTheme="minorHAnsi"/>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BB544A">
        <w:rPr>
          <w:noProof/>
          <w:lang w:val="en-GB"/>
        </w:rPr>
        <w:t>2</w:t>
      </w:r>
      <w:r>
        <w:rPr>
          <w:lang w:val="en-GB"/>
        </w:rPr>
        <w:fldChar w:fldCharType="end"/>
      </w:r>
      <w:r>
        <w:rPr>
          <w:lang w:val="en-GB"/>
        </w:rPr>
        <w:t>a</w:t>
      </w:r>
      <w:r>
        <w:rPr>
          <w:rFonts w:eastAsiaTheme="minorHAnsi"/>
          <w:lang w:val="en-GB"/>
        </w:rPr>
        <w:t>: Use of CBTC systems in 2.4 GHz bands</w:t>
      </w:r>
    </w:p>
    <w:tbl>
      <w:tblPr>
        <w:tblStyle w:val="ECCTable-redheader"/>
        <w:tblW w:w="0" w:type="auto"/>
        <w:tblLook w:val="04A0" w:firstRow="1" w:lastRow="0" w:firstColumn="1" w:lastColumn="0" w:noHBand="0" w:noVBand="1"/>
      </w:tblPr>
      <w:tblGrid>
        <w:gridCol w:w="906"/>
        <w:gridCol w:w="1497"/>
        <w:gridCol w:w="1075"/>
        <w:gridCol w:w="1033"/>
        <w:gridCol w:w="1086"/>
        <w:gridCol w:w="1218"/>
        <w:gridCol w:w="968"/>
        <w:gridCol w:w="1071"/>
        <w:gridCol w:w="1001"/>
      </w:tblGrid>
      <w:tr w:rsidR="00582842" w14:paraId="0A7D7A72" w14:textId="77777777" w:rsidTr="005E3C1D">
        <w:trPr>
          <w:cnfStyle w:val="100000000000" w:firstRow="1" w:lastRow="0" w:firstColumn="0" w:lastColumn="0" w:oddVBand="0" w:evenVBand="0" w:oddHBand="0" w:evenHBand="0" w:firstRowFirstColumn="0" w:firstRowLastColumn="0" w:lastRowFirstColumn="0" w:lastRowLastColumn="0"/>
          <w:trHeight w:val="585"/>
        </w:trPr>
        <w:tc>
          <w:tcPr>
            <w:tcW w:w="0" w:type="auto"/>
            <w:gridSpan w:val="9"/>
          </w:tcPr>
          <w:p w14:paraId="0A7D7A71" w14:textId="77777777" w:rsidR="00582842" w:rsidRPr="00582842" w:rsidRDefault="00582842" w:rsidP="00BB544A">
            <w:pPr>
              <w:spacing w:before="0" w:after="0"/>
              <w:rPr>
                <w:rFonts w:cs="Arial"/>
                <w:b w:val="0"/>
                <w:bCs/>
                <w:color w:val="000000"/>
                <w:sz w:val="22"/>
                <w:szCs w:val="22"/>
                <w:lang w:val="en-GB" w:eastAsia="de-DE"/>
              </w:rPr>
            </w:pPr>
            <w:r w:rsidRPr="00582842">
              <w:rPr>
                <w:rFonts w:cs="Arial"/>
                <w:bCs/>
                <w:color w:val="FFFFFF" w:themeColor="background1"/>
                <w:sz w:val="22"/>
                <w:szCs w:val="22"/>
                <w:lang w:val="en-GB" w:eastAsia="de-DE"/>
              </w:rPr>
              <w:t>Lines already deployed or under construction</w:t>
            </w:r>
          </w:p>
        </w:tc>
      </w:tr>
      <w:tr w:rsidR="00912C5C" w14:paraId="0A7D7A7C" w14:textId="77777777" w:rsidTr="005E3C1D">
        <w:trPr>
          <w:trHeight w:val="900"/>
        </w:trPr>
        <w:tc>
          <w:tcPr>
            <w:tcW w:w="0" w:type="auto"/>
          </w:tcPr>
          <w:p w14:paraId="0A7D7A73" w14:textId="77777777" w:rsidR="00582842" w:rsidRDefault="00582842" w:rsidP="00582842">
            <w:pPr>
              <w:spacing w:after="0" w:line="240" w:lineRule="auto"/>
              <w:rPr>
                <w:rFonts w:cs="Arial"/>
                <w:b/>
                <w:bCs/>
                <w:color w:val="000000"/>
                <w:sz w:val="18"/>
                <w:szCs w:val="18"/>
                <w:lang w:val="en-GB" w:eastAsia="de-DE"/>
              </w:rPr>
            </w:pPr>
            <w:r>
              <w:rPr>
                <w:rFonts w:cs="Arial"/>
                <w:b/>
                <w:bCs/>
                <w:color w:val="000000"/>
                <w:sz w:val="18"/>
                <w:szCs w:val="18"/>
                <w:lang w:val="en-GB" w:eastAsia="de-DE"/>
              </w:rPr>
              <w:t>Country</w:t>
            </w:r>
          </w:p>
        </w:tc>
        <w:tc>
          <w:tcPr>
            <w:tcW w:w="0" w:type="auto"/>
          </w:tcPr>
          <w:p w14:paraId="0A7D7A74" w14:textId="77777777" w:rsidR="00582842" w:rsidRDefault="00582842" w:rsidP="00582842">
            <w:pPr>
              <w:spacing w:after="0" w:line="240" w:lineRule="auto"/>
              <w:rPr>
                <w:rFonts w:cs="Arial"/>
                <w:b/>
                <w:bCs/>
                <w:color w:val="000000"/>
                <w:sz w:val="18"/>
                <w:szCs w:val="18"/>
                <w:lang w:val="en-GB" w:eastAsia="de-DE"/>
              </w:rPr>
            </w:pPr>
            <w:r>
              <w:rPr>
                <w:rFonts w:cs="Arial"/>
                <w:b/>
                <w:bCs/>
                <w:color w:val="000000"/>
                <w:sz w:val="18"/>
                <w:szCs w:val="18"/>
                <w:lang w:val="en-GB" w:eastAsia="de-DE"/>
              </w:rPr>
              <w:t>City</w:t>
            </w:r>
          </w:p>
        </w:tc>
        <w:tc>
          <w:tcPr>
            <w:tcW w:w="0" w:type="auto"/>
          </w:tcPr>
          <w:p w14:paraId="0A7D7A75" w14:textId="77777777" w:rsidR="00582842" w:rsidRDefault="00582842" w:rsidP="00582842">
            <w:pPr>
              <w:spacing w:after="0" w:line="240" w:lineRule="auto"/>
              <w:rPr>
                <w:rFonts w:cs="Arial"/>
                <w:b/>
                <w:bCs/>
                <w:color w:val="000000"/>
                <w:sz w:val="18"/>
                <w:szCs w:val="18"/>
                <w:u w:val="single"/>
                <w:lang w:val="en-GB" w:eastAsia="de-DE"/>
              </w:rPr>
            </w:pPr>
            <w:r>
              <w:rPr>
                <w:rFonts w:cs="Arial"/>
                <w:b/>
                <w:bCs/>
                <w:color w:val="000000"/>
                <w:sz w:val="18"/>
                <w:szCs w:val="18"/>
                <w:u w:val="single"/>
                <w:lang w:val="en-GB" w:eastAsia="de-DE"/>
              </w:rPr>
              <w:t>Situation</w:t>
            </w:r>
          </w:p>
        </w:tc>
        <w:tc>
          <w:tcPr>
            <w:tcW w:w="0" w:type="auto"/>
          </w:tcPr>
          <w:p w14:paraId="0A7D7A76" w14:textId="77777777" w:rsidR="00582842" w:rsidRDefault="00582842" w:rsidP="00582842">
            <w:pPr>
              <w:spacing w:after="0" w:line="240" w:lineRule="auto"/>
              <w:rPr>
                <w:rFonts w:cs="Arial"/>
                <w:b/>
                <w:bCs/>
                <w:color w:val="000000"/>
                <w:sz w:val="18"/>
                <w:szCs w:val="18"/>
                <w:u w:val="single"/>
                <w:lang w:val="en-GB" w:eastAsia="de-DE"/>
              </w:rPr>
            </w:pPr>
            <w:r>
              <w:rPr>
                <w:rFonts w:cs="Arial"/>
                <w:b/>
                <w:bCs/>
                <w:color w:val="000000"/>
                <w:sz w:val="18"/>
                <w:szCs w:val="18"/>
                <w:u w:val="single"/>
                <w:lang w:val="en-GB" w:eastAsia="de-DE"/>
              </w:rPr>
              <w:t>Opening to Public</w:t>
            </w:r>
          </w:p>
        </w:tc>
        <w:tc>
          <w:tcPr>
            <w:tcW w:w="0" w:type="auto"/>
          </w:tcPr>
          <w:p w14:paraId="0A7D7A77" w14:textId="77777777" w:rsidR="00582842" w:rsidRDefault="00582842" w:rsidP="00582842">
            <w:pPr>
              <w:spacing w:after="0" w:line="240" w:lineRule="auto"/>
              <w:rPr>
                <w:rFonts w:cs="Arial"/>
                <w:b/>
                <w:bCs/>
                <w:color w:val="000000"/>
                <w:sz w:val="18"/>
                <w:szCs w:val="18"/>
                <w:u w:val="single"/>
                <w:lang w:val="en-GB" w:eastAsia="de-DE"/>
              </w:rPr>
            </w:pPr>
            <w:r>
              <w:rPr>
                <w:rFonts w:cs="Arial"/>
                <w:b/>
                <w:bCs/>
                <w:color w:val="000000"/>
                <w:sz w:val="18"/>
                <w:szCs w:val="18"/>
                <w:u w:val="single"/>
                <w:lang w:val="en-GB" w:eastAsia="de-DE"/>
              </w:rPr>
              <w:t>Band</w:t>
            </w:r>
          </w:p>
        </w:tc>
        <w:tc>
          <w:tcPr>
            <w:tcW w:w="0" w:type="auto"/>
          </w:tcPr>
          <w:p w14:paraId="0A7D7A78" w14:textId="77777777" w:rsidR="00582842" w:rsidRDefault="00582842" w:rsidP="00582842">
            <w:pPr>
              <w:spacing w:after="0" w:line="240" w:lineRule="auto"/>
              <w:rPr>
                <w:rFonts w:cs="Arial"/>
                <w:b/>
                <w:bCs/>
                <w:color w:val="000000"/>
                <w:sz w:val="18"/>
                <w:szCs w:val="18"/>
                <w:u w:val="single"/>
                <w:lang w:val="en-GB" w:eastAsia="de-DE"/>
              </w:rPr>
            </w:pPr>
            <w:r>
              <w:rPr>
                <w:rFonts w:cs="Arial"/>
                <w:b/>
                <w:bCs/>
                <w:color w:val="000000"/>
                <w:sz w:val="18"/>
                <w:szCs w:val="18"/>
                <w:u w:val="single"/>
                <w:lang w:val="en-GB" w:eastAsia="de-DE"/>
              </w:rPr>
              <w:t xml:space="preserve">Trips per day </w:t>
            </w:r>
          </w:p>
        </w:tc>
        <w:tc>
          <w:tcPr>
            <w:tcW w:w="0" w:type="auto"/>
          </w:tcPr>
          <w:p w14:paraId="0A7D7A79" w14:textId="77777777" w:rsidR="00582842" w:rsidRDefault="00582842" w:rsidP="00582842">
            <w:pPr>
              <w:spacing w:after="0" w:line="240" w:lineRule="auto"/>
              <w:rPr>
                <w:rFonts w:cs="Arial"/>
                <w:b/>
                <w:bCs/>
                <w:color w:val="000000"/>
                <w:sz w:val="18"/>
                <w:szCs w:val="18"/>
                <w:u w:val="single"/>
                <w:lang w:val="en-GB" w:eastAsia="de-DE"/>
              </w:rPr>
            </w:pPr>
            <w:r>
              <w:rPr>
                <w:rFonts w:cs="Arial"/>
                <w:b/>
                <w:bCs/>
                <w:color w:val="000000"/>
                <w:sz w:val="18"/>
                <w:szCs w:val="18"/>
                <w:u w:val="single"/>
                <w:lang w:val="en-GB" w:eastAsia="de-DE"/>
              </w:rPr>
              <w:t>Full length (km)</w:t>
            </w:r>
          </w:p>
        </w:tc>
        <w:tc>
          <w:tcPr>
            <w:tcW w:w="0" w:type="auto"/>
          </w:tcPr>
          <w:p w14:paraId="0A7D7A7A" w14:textId="77777777" w:rsidR="00582842" w:rsidRDefault="00582842" w:rsidP="00582842">
            <w:pPr>
              <w:spacing w:after="0" w:line="240" w:lineRule="auto"/>
              <w:rPr>
                <w:rFonts w:cs="Arial"/>
                <w:b/>
                <w:bCs/>
                <w:sz w:val="18"/>
                <w:szCs w:val="18"/>
                <w:u w:val="single"/>
                <w:lang w:val="en-GB" w:eastAsia="de-DE"/>
              </w:rPr>
            </w:pPr>
            <w:r>
              <w:rPr>
                <w:rFonts w:cs="Arial"/>
                <w:b/>
                <w:bCs/>
                <w:sz w:val="18"/>
                <w:szCs w:val="18"/>
                <w:u w:val="single"/>
                <w:lang w:val="en-GB" w:eastAsia="de-DE"/>
              </w:rPr>
              <w:t>Portion of the line outside (m)</w:t>
            </w:r>
          </w:p>
        </w:tc>
        <w:tc>
          <w:tcPr>
            <w:tcW w:w="0" w:type="auto"/>
          </w:tcPr>
          <w:p w14:paraId="0A7D7A7B" w14:textId="77777777" w:rsidR="00582842" w:rsidRDefault="00582842" w:rsidP="00582842">
            <w:pPr>
              <w:spacing w:after="0" w:line="240" w:lineRule="auto"/>
              <w:rPr>
                <w:rFonts w:cs="Arial"/>
                <w:b/>
                <w:bCs/>
                <w:sz w:val="18"/>
                <w:szCs w:val="18"/>
                <w:u w:val="single"/>
                <w:lang w:val="en-GB" w:eastAsia="de-DE"/>
              </w:rPr>
            </w:pPr>
            <w:r>
              <w:rPr>
                <w:rFonts w:cs="Arial"/>
                <w:b/>
                <w:bCs/>
                <w:sz w:val="18"/>
                <w:szCs w:val="18"/>
                <w:u w:val="single"/>
                <w:lang w:val="en-GB" w:eastAsia="de-DE"/>
              </w:rPr>
              <w:t>% of outdoor part</w:t>
            </w:r>
          </w:p>
        </w:tc>
      </w:tr>
      <w:tr w:rsidR="00912C5C" w14:paraId="0A7D7A87" w14:textId="77777777" w:rsidTr="005E3C1D">
        <w:trPr>
          <w:trHeight w:val="900"/>
        </w:trPr>
        <w:tc>
          <w:tcPr>
            <w:tcW w:w="0" w:type="auto"/>
          </w:tcPr>
          <w:p w14:paraId="0A7D7A7D" w14:textId="77777777" w:rsidR="00582842" w:rsidRDefault="00582842" w:rsidP="00582842">
            <w:pPr>
              <w:spacing w:after="0" w:line="240" w:lineRule="auto"/>
              <w:rPr>
                <w:rFonts w:cs="Arial"/>
                <w:b/>
                <w:bCs/>
                <w:color w:val="000000"/>
                <w:sz w:val="18"/>
                <w:szCs w:val="18"/>
                <w:lang w:val="en-GB" w:eastAsia="de-DE"/>
              </w:rPr>
            </w:pPr>
            <w:r>
              <w:rPr>
                <w:rFonts w:cs="Arial"/>
                <w:color w:val="000000"/>
                <w:sz w:val="18"/>
                <w:szCs w:val="18"/>
                <w:lang w:val="en-GB" w:eastAsia="de-DE"/>
              </w:rPr>
              <w:t>UK</w:t>
            </w:r>
          </w:p>
        </w:tc>
        <w:tc>
          <w:tcPr>
            <w:tcW w:w="0" w:type="auto"/>
          </w:tcPr>
          <w:p w14:paraId="0A7D7A7E" w14:textId="77777777" w:rsidR="00582842" w:rsidRDefault="00582842" w:rsidP="00EC6184">
            <w:pPr>
              <w:spacing w:after="0" w:line="240" w:lineRule="auto"/>
              <w:rPr>
                <w:rFonts w:cs="Arial"/>
                <w:b/>
                <w:bCs/>
                <w:color w:val="000000"/>
                <w:sz w:val="18"/>
                <w:szCs w:val="18"/>
                <w:lang w:val="en-GB" w:eastAsia="de-DE"/>
              </w:rPr>
            </w:pPr>
            <w:r>
              <w:rPr>
                <w:rFonts w:cs="Arial"/>
                <w:color w:val="000000"/>
                <w:sz w:val="18"/>
                <w:szCs w:val="18"/>
                <w:lang w:val="en-GB" w:eastAsia="de-DE"/>
              </w:rPr>
              <w:t>London Jubilee</w:t>
            </w:r>
          </w:p>
        </w:tc>
        <w:tc>
          <w:tcPr>
            <w:tcW w:w="0" w:type="auto"/>
          </w:tcPr>
          <w:p w14:paraId="0A7D7A7F" w14:textId="77777777" w:rsidR="00582842" w:rsidRDefault="00582842" w:rsidP="00EC6184">
            <w:pPr>
              <w:spacing w:after="0" w:line="240" w:lineRule="auto"/>
              <w:rPr>
                <w:rFonts w:cs="Arial"/>
                <w:b/>
                <w:bCs/>
                <w:color w:val="000000"/>
                <w:sz w:val="18"/>
                <w:szCs w:val="18"/>
                <w:u w:val="single"/>
                <w:lang w:val="en-GB" w:eastAsia="de-DE"/>
              </w:rPr>
            </w:pPr>
            <w:r>
              <w:rPr>
                <w:rFonts w:cs="Arial"/>
                <w:color w:val="000000"/>
                <w:sz w:val="18"/>
                <w:szCs w:val="18"/>
                <w:lang w:val="en-GB" w:eastAsia="de-DE"/>
              </w:rPr>
              <w:t>Already in operation</w:t>
            </w:r>
          </w:p>
        </w:tc>
        <w:tc>
          <w:tcPr>
            <w:tcW w:w="0" w:type="auto"/>
          </w:tcPr>
          <w:p w14:paraId="0A7D7A80" w14:textId="77777777" w:rsidR="00582842" w:rsidRDefault="00582842" w:rsidP="00D3450D">
            <w:pPr>
              <w:spacing w:after="0" w:line="240" w:lineRule="auto"/>
              <w:rPr>
                <w:rFonts w:cs="Arial"/>
                <w:b/>
                <w:bCs/>
                <w:color w:val="000000"/>
                <w:sz w:val="18"/>
                <w:szCs w:val="18"/>
                <w:u w:val="single"/>
                <w:lang w:val="en-GB" w:eastAsia="de-DE"/>
              </w:rPr>
            </w:pPr>
            <w:r>
              <w:rPr>
                <w:rFonts w:cs="Arial"/>
                <w:sz w:val="18"/>
                <w:szCs w:val="18"/>
                <w:lang w:val="en-GB" w:eastAsia="de-DE"/>
              </w:rPr>
              <w:t>2011</w:t>
            </w:r>
          </w:p>
        </w:tc>
        <w:tc>
          <w:tcPr>
            <w:tcW w:w="0" w:type="auto"/>
          </w:tcPr>
          <w:p w14:paraId="0A7D7A81" w14:textId="77777777" w:rsidR="00582842" w:rsidRDefault="00582842" w:rsidP="00F670DC">
            <w:pPr>
              <w:spacing w:after="0" w:line="240" w:lineRule="auto"/>
              <w:rPr>
                <w:rFonts w:cs="Arial"/>
                <w:b/>
                <w:bCs/>
                <w:color w:val="000000"/>
                <w:sz w:val="18"/>
                <w:szCs w:val="18"/>
                <w:u w:val="single"/>
                <w:lang w:val="en-GB" w:eastAsia="de-DE"/>
              </w:rPr>
            </w:pPr>
            <w:r>
              <w:rPr>
                <w:rFonts w:cs="Arial"/>
                <w:sz w:val="18"/>
                <w:szCs w:val="18"/>
                <w:lang w:val="en-GB" w:eastAsia="de-DE"/>
              </w:rPr>
              <w:t>2400-2483 MHz</w:t>
            </w:r>
          </w:p>
        </w:tc>
        <w:tc>
          <w:tcPr>
            <w:tcW w:w="0" w:type="auto"/>
            <w:vMerge w:val="restart"/>
          </w:tcPr>
          <w:p w14:paraId="0A7D7A82" w14:textId="77777777" w:rsidR="00582842" w:rsidRDefault="00582842" w:rsidP="00844CB4">
            <w:pPr>
              <w:spacing w:before="120" w:after="0" w:line="240" w:lineRule="auto"/>
              <w:rPr>
                <w:rFonts w:cs="Arial"/>
                <w:sz w:val="18"/>
                <w:szCs w:val="18"/>
                <w:lang w:val="en-GB" w:eastAsia="de-DE"/>
              </w:rPr>
            </w:pPr>
            <w:r>
              <w:rPr>
                <w:rFonts w:cs="Arial"/>
                <w:sz w:val="18"/>
                <w:szCs w:val="18"/>
                <w:lang w:val="en-GB" w:eastAsia="de-DE"/>
              </w:rPr>
              <w:t>5,000,000</w:t>
            </w:r>
          </w:p>
          <w:p w14:paraId="0A7D7A83" w14:textId="77777777" w:rsidR="00582842" w:rsidRDefault="00582842" w:rsidP="00313ED4">
            <w:pPr>
              <w:spacing w:after="0" w:line="240" w:lineRule="auto"/>
              <w:rPr>
                <w:rFonts w:cs="Arial"/>
                <w:b/>
                <w:bCs/>
                <w:color w:val="000000"/>
                <w:sz w:val="18"/>
                <w:szCs w:val="18"/>
                <w:u w:val="single"/>
                <w:lang w:val="en-GB" w:eastAsia="de-DE"/>
              </w:rPr>
            </w:pPr>
            <w:r>
              <w:rPr>
                <w:rFonts w:cs="Arial"/>
                <w:sz w:val="18"/>
                <w:szCs w:val="18"/>
                <w:lang w:val="en-GB" w:eastAsia="de-DE"/>
              </w:rPr>
              <w:t>Trips a day across whole network</w:t>
            </w:r>
          </w:p>
        </w:tc>
        <w:tc>
          <w:tcPr>
            <w:tcW w:w="0" w:type="auto"/>
            <w:vMerge w:val="restart"/>
          </w:tcPr>
          <w:p w14:paraId="0A7D7A84" w14:textId="77777777" w:rsidR="00582842" w:rsidRDefault="00582842" w:rsidP="003B111C">
            <w:pPr>
              <w:spacing w:after="0" w:line="240" w:lineRule="auto"/>
              <w:rPr>
                <w:rFonts w:cs="Arial"/>
                <w:b/>
                <w:bCs/>
                <w:color w:val="000000"/>
                <w:sz w:val="18"/>
                <w:szCs w:val="18"/>
                <w:u w:val="single"/>
                <w:lang w:val="en-GB" w:eastAsia="de-DE"/>
              </w:rPr>
            </w:pPr>
            <w:r>
              <w:rPr>
                <w:rFonts w:cs="Arial"/>
                <w:color w:val="000000"/>
                <w:sz w:val="18"/>
                <w:szCs w:val="18"/>
                <w:lang w:val="en-GB" w:eastAsia="de-DE"/>
              </w:rPr>
              <w:t xml:space="preserve">402 for whole network </w:t>
            </w:r>
          </w:p>
        </w:tc>
        <w:tc>
          <w:tcPr>
            <w:tcW w:w="0" w:type="auto"/>
            <w:vMerge w:val="restart"/>
          </w:tcPr>
          <w:p w14:paraId="0A7D7A85" w14:textId="77777777" w:rsidR="00582842" w:rsidRDefault="00582842" w:rsidP="004671D5">
            <w:pPr>
              <w:spacing w:after="0" w:line="240" w:lineRule="auto"/>
              <w:rPr>
                <w:rFonts w:cs="Arial"/>
                <w:b/>
                <w:bCs/>
                <w:sz w:val="18"/>
                <w:szCs w:val="18"/>
                <w:u w:val="single"/>
                <w:lang w:val="en-GB" w:eastAsia="de-DE"/>
              </w:rPr>
            </w:pPr>
            <w:r>
              <w:rPr>
                <w:rFonts w:cs="Arial"/>
                <w:sz w:val="18"/>
                <w:szCs w:val="18"/>
                <w:lang w:val="en-GB" w:eastAsia="de-DE"/>
              </w:rPr>
              <w:t xml:space="preserve">220,000 </w:t>
            </w:r>
            <w:r>
              <w:rPr>
                <w:rFonts w:cs="Arial"/>
                <w:color w:val="000000"/>
                <w:sz w:val="18"/>
                <w:szCs w:val="18"/>
                <w:lang w:val="en-GB" w:eastAsia="de-DE"/>
              </w:rPr>
              <w:t>for whole network</w:t>
            </w:r>
          </w:p>
        </w:tc>
        <w:tc>
          <w:tcPr>
            <w:tcW w:w="0" w:type="auto"/>
            <w:vMerge w:val="restart"/>
          </w:tcPr>
          <w:p w14:paraId="0A7D7A86" w14:textId="77777777" w:rsidR="00582842" w:rsidRDefault="00582842" w:rsidP="004671D5">
            <w:pPr>
              <w:spacing w:after="0" w:line="240" w:lineRule="auto"/>
              <w:rPr>
                <w:rFonts w:cs="Arial"/>
                <w:b/>
                <w:bCs/>
                <w:sz w:val="18"/>
                <w:szCs w:val="18"/>
                <w:u w:val="single"/>
                <w:lang w:val="en-GB" w:eastAsia="de-DE"/>
              </w:rPr>
            </w:pPr>
            <w:r>
              <w:rPr>
                <w:rFonts w:cs="Arial"/>
                <w:sz w:val="18"/>
                <w:szCs w:val="18"/>
                <w:lang w:val="en-GB" w:eastAsia="de-DE"/>
              </w:rPr>
              <w:t>55 for whole network</w:t>
            </w:r>
          </w:p>
        </w:tc>
      </w:tr>
      <w:tr w:rsidR="00912C5C" w14:paraId="0A7D7A91" w14:textId="77777777" w:rsidTr="005E3C1D">
        <w:trPr>
          <w:trHeight w:val="900"/>
        </w:trPr>
        <w:tc>
          <w:tcPr>
            <w:tcW w:w="0" w:type="auto"/>
          </w:tcPr>
          <w:p w14:paraId="0A7D7A88" w14:textId="77777777" w:rsidR="00582842" w:rsidRDefault="00582842" w:rsidP="00EC6184">
            <w:pPr>
              <w:spacing w:after="0" w:line="240" w:lineRule="auto"/>
              <w:rPr>
                <w:rFonts w:cs="Arial"/>
                <w:b/>
                <w:bCs/>
                <w:color w:val="000000"/>
                <w:sz w:val="18"/>
                <w:szCs w:val="18"/>
                <w:lang w:val="en-GB" w:eastAsia="de-DE"/>
              </w:rPr>
            </w:pPr>
            <w:r>
              <w:rPr>
                <w:rFonts w:cs="Arial"/>
                <w:color w:val="000000"/>
                <w:sz w:val="18"/>
                <w:szCs w:val="18"/>
                <w:lang w:val="en-GB" w:eastAsia="de-DE"/>
              </w:rPr>
              <w:t>UK</w:t>
            </w:r>
          </w:p>
        </w:tc>
        <w:tc>
          <w:tcPr>
            <w:tcW w:w="0" w:type="auto"/>
          </w:tcPr>
          <w:p w14:paraId="0A7D7A89" w14:textId="77777777" w:rsidR="00582842" w:rsidRDefault="00582842" w:rsidP="00EC6184">
            <w:pPr>
              <w:spacing w:after="0" w:line="240" w:lineRule="auto"/>
              <w:rPr>
                <w:rFonts w:cs="Arial"/>
                <w:b/>
                <w:bCs/>
                <w:color w:val="000000"/>
                <w:sz w:val="18"/>
                <w:szCs w:val="18"/>
                <w:lang w:val="en-GB" w:eastAsia="de-DE"/>
              </w:rPr>
            </w:pPr>
            <w:r>
              <w:rPr>
                <w:rFonts w:cs="Arial"/>
                <w:color w:val="000000"/>
                <w:sz w:val="18"/>
                <w:szCs w:val="18"/>
                <w:lang w:val="en-GB" w:eastAsia="de-DE"/>
              </w:rPr>
              <w:t>London Northern</w:t>
            </w:r>
          </w:p>
        </w:tc>
        <w:tc>
          <w:tcPr>
            <w:tcW w:w="0" w:type="auto"/>
          </w:tcPr>
          <w:p w14:paraId="0A7D7A8A" w14:textId="77777777" w:rsidR="00582842" w:rsidRDefault="00582842" w:rsidP="00EC6184">
            <w:pPr>
              <w:spacing w:after="0" w:line="240" w:lineRule="auto"/>
              <w:rPr>
                <w:rFonts w:cs="Arial"/>
                <w:b/>
                <w:bCs/>
                <w:color w:val="000000"/>
                <w:sz w:val="18"/>
                <w:szCs w:val="18"/>
                <w:u w:val="single"/>
                <w:lang w:val="en-GB" w:eastAsia="de-DE"/>
              </w:rPr>
            </w:pPr>
            <w:r>
              <w:rPr>
                <w:rFonts w:cs="Arial"/>
                <w:color w:val="000000"/>
                <w:sz w:val="18"/>
                <w:szCs w:val="18"/>
                <w:lang w:val="en-GB" w:eastAsia="de-DE"/>
              </w:rPr>
              <w:t>Already in operation</w:t>
            </w:r>
          </w:p>
        </w:tc>
        <w:tc>
          <w:tcPr>
            <w:tcW w:w="0" w:type="auto"/>
          </w:tcPr>
          <w:p w14:paraId="0A7D7A8B" w14:textId="77777777" w:rsidR="00582842" w:rsidRDefault="00582842" w:rsidP="00EC6184">
            <w:pPr>
              <w:spacing w:after="0" w:line="240" w:lineRule="auto"/>
              <w:rPr>
                <w:rFonts w:cs="Arial"/>
                <w:b/>
                <w:bCs/>
                <w:color w:val="000000"/>
                <w:sz w:val="18"/>
                <w:szCs w:val="18"/>
                <w:u w:val="single"/>
                <w:lang w:val="en-GB" w:eastAsia="de-DE"/>
              </w:rPr>
            </w:pPr>
            <w:r>
              <w:rPr>
                <w:rFonts w:cs="Arial"/>
                <w:sz w:val="18"/>
                <w:szCs w:val="18"/>
                <w:lang w:val="en-GB" w:eastAsia="de-DE"/>
              </w:rPr>
              <w:t>2015</w:t>
            </w:r>
          </w:p>
        </w:tc>
        <w:tc>
          <w:tcPr>
            <w:tcW w:w="0" w:type="auto"/>
          </w:tcPr>
          <w:p w14:paraId="0A7D7A8C" w14:textId="77777777" w:rsidR="00582842" w:rsidRDefault="00582842" w:rsidP="00EC6184">
            <w:pPr>
              <w:spacing w:after="0" w:line="240" w:lineRule="auto"/>
              <w:rPr>
                <w:rFonts w:cs="Arial"/>
                <w:b/>
                <w:bCs/>
                <w:color w:val="000000"/>
                <w:sz w:val="18"/>
                <w:szCs w:val="18"/>
                <w:u w:val="single"/>
                <w:lang w:val="en-GB" w:eastAsia="de-DE"/>
              </w:rPr>
            </w:pPr>
            <w:r>
              <w:rPr>
                <w:rFonts w:cs="Arial"/>
                <w:sz w:val="18"/>
                <w:szCs w:val="18"/>
                <w:lang w:val="en-GB" w:eastAsia="de-DE"/>
              </w:rPr>
              <w:t>2400-2483 MHz</w:t>
            </w:r>
          </w:p>
        </w:tc>
        <w:tc>
          <w:tcPr>
            <w:tcW w:w="0" w:type="auto"/>
            <w:vMerge/>
          </w:tcPr>
          <w:p w14:paraId="0A7D7A8D" w14:textId="77777777" w:rsidR="00582842" w:rsidRDefault="00582842" w:rsidP="00EC6184">
            <w:pPr>
              <w:spacing w:after="0" w:line="240" w:lineRule="auto"/>
              <w:rPr>
                <w:rFonts w:cs="Arial"/>
                <w:b/>
                <w:bCs/>
                <w:color w:val="000000"/>
                <w:sz w:val="18"/>
                <w:szCs w:val="18"/>
                <w:u w:val="single"/>
                <w:lang w:val="en-GB" w:eastAsia="de-DE"/>
              </w:rPr>
            </w:pPr>
          </w:p>
        </w:tc>
        <w:tc>
          <w:tcPr>
            <w:tcW w:w="0" w:type="auto"/>
            <w:vMerge/>
          </w:tcPr>
          <w:p w14:paraId="0A7D7A8E" w14:textId="77777777" w:rsidR="00582842" w:rsidRDefault="00582842" w:rsidP="00EC6184">
            <w:pPr>
              <w:spacing w:after="0" w:line="240" w:lineRule="auto"/>
              <w:rPr>
                <w:rFonts w:cs="Arial"/>
                <w:b/>
                <w:bCs/>
                <w:color w:val="000000"/>
                <w:sz w:val="18"/>
                <w:szCs w:val="18"/>
                <w:u w:val="single"/>
                <w:lang w:val="en-GB" w:eastAsia="de-DE"/>
              </w:rPr>
            </w:pPr>
          </w:p>
        </w:tc>
        <w:tc>
          <w:tcPr>
            <w:tcW w:w="0" w:type="auto"/>
            <w:vMerge/>
          </w:tcPr>
          <w:p w14:paraId="0A7D7A8F" w14:textId="77777777" w:rsidR="00582842" w:rsidRDefault="00582842" w:rsidP="00EC6184">
            <w:pPr>
              <w:spacing w:after="0" w:line="240" w:lineRule="auto"/>
              <w:rPr>
                <w:rFonts w:cs="Arial"/>
                <w:b/>
                <w:bCs/>
                <w:sz w:val="18"/>
                <w:szCs w:val="18"/>
                <w:u w:val="single"/>
                <w:lang w:val="en-GB" w:eastAsia="de-DE"/>
              </w:rPr>
            </w:pPr>
          </w:p>
        </w:tc>
        <w:tc>
          <w:tcPr>
            <w:tcW w:w="0" w:type="auto"/>
            <w:vMerge/>
          </w:tcPr>
          <w:p w14:paraId="0A7D7A90" w14:textId="77777777" w:rsidR="00582842" w:rsidRDefault="00582842" w:rsidP="00EC6184">
            <w:pPr>
              <w:spacing w:after="0" w:line="240" w:lineRule="auto"/>
              <w:rPr>
                <w:rFonts w:cs="Arial"/>
                <w:b/>
                <w:bCs/>
                <w:sz w:val="18"/>
                <w:szCs w:val="18"/>
                <w:u w:val="single"/>
                <w:lang w:val="en-GB" w:eastAsia="de-DE"/>
              </w:rPr>
            </w:pPr>
          </w:p>
        </w:tc>
      </w:tr>
      <w:tr w:rsidR="00912C5C" w14:paraId="0A7D7A9B" w14:textId="77777777" w:rsidTr="005E3C1D">
        <w:trPr>
          <w:trHeight w:val="900"/>
        </w:trPr>
        <w:tc>
          <w:tcPr>
            <w:tcW w:w="0" w:type="auto"/>
          </w:tcPr>
          <w:p w14:paraId="0A7D7A92" w14:textId="77777777" w:rsidR="00582842" w:rsidRDefault="00582842" w:rsidP="00EC6184">
            <w:pPr>
              <w:spacing w:after="0" w:line="240" w:lineRule="auto"/>
              <w:rPr>
                <w:rFonts w:cs="Arial"/>
                <w:b/>
                <w:bCs/>
                <w:color w:val="000000"/>
                <w:sz w:val="18"/>
                <w:szCs w:val="18"/>
                <w:lang w:val="en-GB" w:eastAsia="de-DE"/>
              </w:rPr>
            </w:pPr>
            <w:r>
              <w:rPr>
                <w:rFonts w:cs="Arial"/>
                <w:color w:val="000000"/>
                <w:sz w:val="18"/>
                <w:szCs w:val="18"/>
                <w:lang w:val="en-GB" w:eastAsia="de-DE"/>
              </w:rPr>
              <w:t>UK</w:t>
            </w:r>
          </w:p>
        </w:tc>
        <w:tc>
          <w:tcPr>
            <w:tcW w:w="0" w:type="auto"/>
          </w:tcPr>
          <w:p w14:paraId="0A7D7A93" w14:textId="77777777" w:rsidR="00582842" w:rsidRDefault="00582842" w:rsidP="00EC6184">
            <w:pPr>
              <w:spacing w:after="0" w:line="240" w:lineRule="auto"/>
              <w:rPr>
                <w:rFonts w:cs="Arial"/>
                <w:b/>
                <w:bCs/>
                <w:color w:val="000000"/>
                <w:sz w:val="18"/>
                <w:szCs w:val="18"/>
                <w:lang w:val="en-GB" w:eastAsia="de-DE"/>
              </w:rPr>
            </w:pPr>
            <w:r>
              <w:rPr>
                <w:rFonts w:cs="Arial"/>
                <w:color w:val="000000"/>
                <w:sz w:val="18"/>
                <w:szCs w:val="18"/>
                <w:lang w:val="en-GB" w:eastAsia="de-DE"/>
              </w:rPr>
              <w:t>London Docklands Light Railway</w:t>
            </w:r>
          </w:p>
        </w:tc>
        <w:tc>
          <w:tcPr>
            <w:tcW w:w="0" w:type="auto"/>
          </w:tcPr>
          <w:p w14:paraId="0A7D7A94" w14:textId="77777777" w:rsidR="00582842" w:rsidRDefault="00582842" w:rsidP="00EC6184">
            <w:pPr>
              <w:spacing w:after="0" w:line="240" w:lineRule="auto"/>
              <w:rPr>
                <w:rFonts w:cs="Arial"/>
                <w:b/>
                <w:bCs/>
                <w:color w:val="000000"/>
                <w:sz w:val="18"/>
                <w:szCs w:val="18"/>
                <w:u w:val="single"/>
                <w:lang w:val="en-GB" w:eastAsia="de-DE"/>
              </w:rPr>
            </w:pPr>
            <w:r>
              <w:rPr>
                <w:rFonts w:cs="Arial"/>
                <w:color w:val="000000"/>
                <w:sz w:val="18"/>
                <w:szCs w:val="18"/>
                <w:lang w:val="en-GB" w:eastAsia="de-DE"/>
              </w:rPr>
              <w:t>Already in operation</w:t>
            </w:r>
          </w:p>
        </w:tc>
        <w:tc>
          <w:tcPr>
            <w:tcW w:w="0" w:type="auto"/>
          </w:tcPr>
          <w:p w14:paraId="0A7D7A95" w14:textId="77777777" w:rsidR="00582842" w:rsidRDefault="00582842" w:rsidP="00EC6184">
            <w:pPr>
              <w:spacing w:after="0" w:line="240" w:lineRule="auto"/>
              <w:rPr>
                <w:rFonts w:cs="Arial"/>
                <w:b/>
                <w:bCs/>
                <w:color w:val="000000"/>
                <w:sz w:val="18"/>
                <w:szCs w:val="18"/>
                <w:u w:val="single"/>
                <w:lang w:val="en-GB" w:eastAsia="de-DE"/>
              </w:rPr>
            </w:pPr>
            <w:r>
              <w:rPr>
                <w:rFonts w:cs="Arial"/>
                <w:sz w:val="18"/>
                <w:szCs w:val="18"/>
                <w:lang w:val="en-GB" w:eastAsia="de-DE"/>
              </w:rPr>
              <w:t>2007</w:t>
            </w:r>
          </w:p>
        </w:tc>
        <w:tc>
          <w:tcPr>
            <w:tcW w:w="0" w:type="auto"/>
          </w:tcPr>
          <w:p w14:paraId="0A7D7A96" w14:textId="77777777" w:rsidR="00582842" w:rsidRDefault="00582842" w:rsidP="00EC6184">
            <w:pPr>
              <w:spacing w:after="0" w:line="240" w:lineRule="auto"/>
              <w:rPr>
                <w:rFonts w:cs="Arial"/>
                <w:b/>
                <w:bCs/>
                <w:color w:val="000000"/>
                <w:sz w:val="18"/>
                <w:szCs w:val="18"/>
                <w:u w:val="single"/>
                <w:lang w:val="en-GB" w:eastAsia="de-DE"/>
              </w:rPr>
            </w:pPr>
            <w:r>
              <w:rPr>
                <w:rFonts w:cs="Arial"/>
                <w:sz w:val="18"/>
                <w:szCs w:val="18"/>
                <w:lang w:val="en-GB" w:eastAsia="de-DE"/>
              </w:rPr>
              <w:t>2400-2483 MHz</w:t>
            </w:r>
          </w:p>
        </w:tc>
        <w:tc>
          <w:tcPr>
            <w:tcW w:w="0" w:type="auto"/>
            <w:vMerge/>
          </w:tcPr>
          <w:p w14:paraId="0A7D7A97" w14:textId="77777777" w:rsidR="00582842" w:rsidRDefault="00582842" w:rsidP="00EC6184">
            <w:pPr>
              <w:spacing w:after="0" w:line="240" w:lineRule="auto"/>
              <w:rPr>
                <w:rFonts w:cs="Arial"/>
                <w:b/>
                <w:bCs/>
                <w:color w:val="000000"/>
                <w:sz w:val="18"/>
                <w:szCs w:val="18"/>
                <w:u w:val="single"/>
                <w:lang w:val="en-GB" w:eastAsia="de-DE"/>
              </w:rPr>
            </w:pPr>
          </w:p>
        </w:tc>
        <w:tc>
          <w:tcPr>
            <w:tcW w:w="0" w:type="auto"/>
            <w:vMerge/>
          </w:tcPr>
          <w:p w14:paraId="0A7D7A98" w14:textId="77777777" w:rsidR="00582842" w:rsidRDefault="00582842" w:rsidP="00EC6184">
            <w:pPr>
              <w:spacing w:after="0" w:line="240" w:lineRule="auto"/>
              <w:rPr>
                <w:rFonts w:cs="Arial"/>
                <w:b/>
                <w:bCs/>
                <w:color w:val="000000"/>
                <w:sz w:val="18"/>
                <w:szCs w:val="18"/>
                <w:u w:val="single"/>
                <w:lang w:val="en-GB" w:eastAsia="de-DE"/>
              </w:rPr>
            </w:pPr>
          </w:p>
        </w:tc>
        <w:tc>
          <w:tcPr>
            <w:tcW w:w="0" w:type="auto"/>
            <w:vMerge/>
          </w:tcPr>
          <w:p w14:paraId="0A7D7A99" w14:textId="77777777" w:rsidR="00582842" w:rsidRDefault="00582842" w:rsidP="00EC6184">
            <w:pPr>
              <w:spacing w:after="0" w:line="240" w:lineRule="auto"/>
              <w:rPr>
                <w:rFonts w:cs="Arial"/>
                <w:b/>
                <w:bCs/>
                <w:sz w:val="18"/>
                <w:szCs w:val="18"/>
                <w:u w:val="single"/>
                <w:lang w:val="en-GB" w:eastAsia="de-DE"/>
              </w:rPr>
            </w:pPr>
          </w:p>
        </w:tc>
        <w:tc>
          <w:tcPr>
            <w:tcW w:w="0" w:type="auto"/>
            <w:vMerge/>
          </w:tcPr>
          <w:p w14:paraId="0A7D7A9A" w14:textId="77777777" w:rsidR="00582842" w:rsidRDefault="00582842" w:rsidP="00EC6184">
            <w:pPr>
              <w:spacing w:after="0" w:line="240" w:lineRule="auto"/>
              <w:rPr>
                <w:rFonts w:cs="Arial"/>
                <w:b/>
                <w:bCs/>
                <w:sz w:val="18"/>
                <w:szCs w:val="18"/>
                <w:u w:val="single"/>
                <w:lang w:val="en-GB" w:eastAsia="de-DE"/>
              </w:rPr>
            </w:pPr>
          </w:p>
        </w:tc>
      </w:tr>
      <w:tr w:rsidR="00912C5C" w14:paraId="0A7D7AA5" w14:textId="77777777" w:rsidTr="005E3C1D">
        <w:trPr>
          <w:trHeight w:val="900"/>
        </w:trPr>
        <w:tc>
          <w:tcPr>
            <w:tcW w:w="0" w:type="auto"/>
          </w:tcPr>
          <w:p w14:paraId="0A7D7A9C" w14:textId="77777777" w:rsidR="00582842" w:rsidRDefault="00582842" w:rsidP="00EC6184">
            <w:pPr>
              <w:spacing w:after="0" w:line="240" w:lineRule="auto"/>
              <w:rPr>
                <w:rFonts w:cs="Arial"/>
                <w:b/>
                <w:bCs/>
                <w:color w:val="000000"/>
                <w:sz w:val="18"/>
                <w:szCs w:val="18"/>
                <w:lang w:val="en-GB" w:eastAsia="de-DE"/>
              </w:rPr>
            </w:pPr>
            <w:r>
              <w:rPr>
                <w:rFonts w:cs="Arial"/>
                <w:color w:val="000000"/>
                <w:sz w:val="18"/>
                <w:szCs w:val="18"/>
                <w:lang w:val="en-GB" w:eastAsia="de-DE"/>
              </w:rPr>
              <w:t>UK</w:t>
            </w:r>
          </w:p>
        </w:tc>
        <w:tc>
          <w:tcPr>
            <w:tcW w:w="0" w:type="auto"/>
          </w:tcPr>
          <w:p w14:paraId="0A7D7A9D" w14:textId="77777777" w:rsidR="00582842" w:rsidRDefault="00582842" w:rsidP="00EC6184">
            <w:pPr>
              <w:spacing w:after="0" w:line="240" w:lineRule="auto"/>
              <w:rPr>
                <w:rFonts w:cs="Arial"/>
                <w:b/>
                <w:bCs/>
                <w:color w:val="000000"/>
                <w:sz w:val="18"/>
                <w:szCs w:val="18"/>
                <w:lang w:val="en-GB" w:eastAsia="de-DE"/>
              </w:rPr>
            </w:pPr>
            <w:r>
              <w:rPr>
                <w:rFonts w:cs="Arial"/>
                <w:color w:val="000000"/>
                <w:sz w:val="18"/>
                <w:szCs w:val="18"/>
                <w:lang w:val="en-GB" w:eastAsia="de-DE"/>
              </w:rPr>
              <w:t>London Metropolitan</w:t>
            </w:r>
          </w:p>
        </w:tc>
        <w:tc>
          <w:tcPr>
            <w:tcW w:w="0" w:type="auto"/>
          </w:tcPr>
          <w:p w14:paraId="0A7D7A9E" w14:textId="77777777" w:rsidR="00582842" w:rsidRDefault="00582842" w:rsidP="00EC6184">
            <w:pPr>
              <w:spacing w:after="0" w:line="240" w:lineRule="auto"/>
              <w:rPr>
                <w:rFonts w:cs="Arial"/>
                <w:b/>
                <w:bCs/>
                <w:color w:val="000000"/>
                <w:sz w:val="18"/>
                <w:szCs w:val="18"/>
                <w:u w:val="single"/>
                <w:lang w:val="en-GB" w:eastAsia="de-DE"/>
              </w:rPr>
            </w:pPr>
            <w:r>
              <w:rPr>
                <w:rFonts w:cs="Arial"/>
                <w:color w:val="000000"/>
                <w:sz w:val="18"/>
                <w:szCs w:val="18"/>
                <w:lang w:val="en-GB" w:eastAsia="de-DE"/>
              </w:rPr>
              <w:t>Already in operation</w:t>
            </w:r>
          </w:p>
        </w:tc>
        <w:tc>
          <w:tcPr>
            <w:tcW w:w="0" w:type="auto"/>
          </w:tcPr>
          <w:p w14:paraId="0A7D7A9F" w14:textId="77777777" w:rsidR="00582842" w:rsidRDefault="00582842" w:rsidP="00EC6184">
            <w:pPr>
              <w:spacing w:after="0" w:line="240" w:lineRule="auto"/>
              <w:rPr>
                <w:rFonts w:cs="Arial"/>
                <w:b/>
                <w:bCs/>
                <w:color w:val="000000"/>
                <w:sz w:val="18"/>
                <w:szCs w:val="18"/>
                <w:u w:val="single"/>
                <w:lang w:val="en-GB" w:eastAsia="de-DE"/>
              </w:rPr>
            </w:pPr>
            <w:r>
              <w:rPr>
                <w:rFonts w:cs="Arial"/>
                <w:sz w:val="18"/>
                <w:szCs w:val="18"/>
                <w:lang w:val="en-GB" w:eastAsia="de-DE"/>
              </w:rPr>
              <w:t>2018</w:t>
            </w:r>
          </w:p>
        </w:tc>
        <w:tc>
          <w:tcPr>
            <w:tcW w:w="0" w:type="auto"/>
          </w:tcPr>
          <w:p w14:paraId="0A7D7AA0" w14:textId="77777777" w:rsidR="00582842" w:rsidRDefault="00582842" w:rsidP="00EC6184">
            <w:pPr>
              <w:spacing w:after="0" w:line="240" w:lineRule="auto"/>
              <w:rPr>
                <w:rFonts w:cs="Arial"/>
                <w:b/>
                <w:bCs/>
                <w:color w:val="000000"/>
                <w:sz w:val="18"/>
                <w:szCs w:val="18"/>
                <w:u w:val="single"/>
                <w:lang w:val="en-GB" w:eastAsia="de-DE"/>
              </w:rPr>
            </w:pPr>
            <w:r>
              <w:rPr>
                <w:rFonts w:cs="Arial"/>
                <w:sz w:val="18"/>
                <w:szCs w:val="18"/>
                <w:lang w:val="en-GB" w:eastAsia="de-DE"/>
              </w:rPr>
              <w:t>2400-2483 MHz</w:t>
            </w:r>
          </w:p>
        </w:tc>
        <w:tc>
          <w:tcPr>
            <w:tcW w:w="0" w:type="auto"/>
            <w:vMerge/>
          </w:tcPr>
          <w:p w14:paraId="0A7D7AA1" w14:textId="77777777" w:rsidR="00582842" w:rsidRDefault="00582842" w:rsidP="00EC6184">
            <w:pPr>
              <w:spacing w:after="0" w:line="240" w:lineRule="auto"/>
              <w:rPr>
                <w:rFonts w:cs="Arial"/>
                <w:b/>
                <w:bCs/>
                <w:color w:val="000000"/>
                <w:sz w:val="18"/>
                <w:szCs w:val="18"/>
                <w:u w:val="single"/>
                <w:lang w:val="en-GB" w:eastAsia="de-DE"/>
              </w:rPr>
            </w:pPr>
          </w:p>
        </w:tc>
        <w:tc>
          <w:tcPr>
            <w:tcW w:w="0" w:type="auto"/>
            <w:vMerge/>
          </w:tcPr>
          <w:p w14:paraId="0A7D7AA2" w14:textId="77777777" w:rsidR="00582842" w:rsidRDefault="00582842" w:rsidP="00EC6184">
            <w:pPr>
              <w:spacing w:after="0" w:line="240" w:lineRule="auto"/>
              <w:rPr>
                <w:rFonts w:cs="Arial"/>
                <w:b/>
                <w:bCs/>
                <w:color w:val="000000"/>
                <w:sz w:val="18"/>
                <w:szCs w:val="18"/>
                <w:u w:val="single"/>
                <w:lang w:val="en-GB" w:eastAsia="de-DE"/>
              </w:rPr>
            </w:pPr>
          </w:p>
        </w:tc>
        <w:tc>
          <w:tcPr>
            <w:tcW w:w="0" w:type="auto"/>
            <w:vMerge/>
          </w:tcPr>
          <w:p w14:paraId="0A7D7AA3" w14:textId="77777777" w:rsidR="00582842" w:rsidRDefault="00582842" w:rsidP="00EC6184">
            <w:pPr>
              <w:spacing w:after="0" w:line="240" w:lineRule="auto"/>
              <w:rPr>
                <w:rFonts w:cs="Arial"/>
                <w:b/>
                <w:bCs/>
                <w:sz w:val="18"/>
                <w:szCs w:val="18"/>
                <w:u w:val="single"/>
                <w:lang w:val="en-GB" w:eastAsia="de-DE"/>
              </w:rPr>
            </w:pPr>
          </w:p>
        </w:tc>
        <w:tc>
          <w:tcPr>
            <w:tcW w:w="0" w:type="auto"/>
            <w:vMerge/>
          </w:tcPr>
          <w:p w14:paraId="0A7D7AA4" w14:textId="77777777" w:rsidR="00582842" w:rsidRDefault="00582842" w:rsidP="00EC6184">
            <w:pPr>
              <w:spacing w:after="0" w:line="240" w:lineRule="auto"/>
              <w:rPr>
                <w:rFonts w:cs="Arial"/>
                <w:b/>
                <w:bCs/>
                <w:sz w:val="18"/>
                <w:szCs w:val="18"/>
                <w:u w:val="single"/>
                <w:lang w:val="en-GB" w:eastAsia="de-DE"/>
              </w:rPr>
            </w:pPr>
          </w:p>
        </w:tc>
      </w:tr>
      <w:tr w:rsidR="00912C5C" w14:paraId="0A7D7AAF" w14:textId="77777777" w:rsidTr="005E3C1D">
        <w:trPr>
          <w:trHeight w:val="900"/>
        </w:trPr>
        <w:tc>
          <w:tcPr>
            <w:tcW w:w="0" w:type="auto"/>
          </w:tcPr>
          <w:p w14:paraId="0A7D7AA6" w14:textId="77777777" w:rsidR="00582842" w:rsidRDefault="00582842" w:rsidP="00EC6184">
            <w:pPr>
              <w:spacing w:after="0" w:line="240" w:lineRule="auto"/>
              <w:rPr>
                <w:rFonts w:cs="Arial"/>
                <w:b/>
                <w:bCs/>
                <w:color w:val="000000"/>
                <w:sz w:val="18"/>
                <w:szCs w:val="18"/>
                <w:lang w:val="en-GB" w:eastAsia="de-DE"/>
              </w:rPr>
            </w:pPr>
            <w:r>
              <w:rPr>
                <w:rFonts w:cs="Arial"/>
                <w:color w:val="000000"/>
                <w:sz w:val="18"/>
                <w:szCs w:val="18"/>
                <w:lang w:val="en-GB" w:eastAsia="de-DE"/>
              </w:rPr>
              <w:t>UK</w:t>
            </w:r>
          </w:p>
        </w:tc>
        <w:tc>
          <w:tcPr>
            <w:tcW w:w="0" w:type="auto"/>
          </w:tcPr>
          <w:p w14:paraId="0A7D7AA7" w14:textId="77777777" w:rsidR="00582842" w:rsidRDefault="00582842" w:rsidP="00EC6184">
            <w:pPr>
              <w:spacing w:after="0" w:line="240" w:lineRule="auto"/>
              <w:rPr>
                <w:rFonts w:cs="Arial"/>
                <w:b/>
                <w:bCs/>
                <w:color w:val="000000"/>
                <w:sz w:val="18"/>
                <w:szCs w:val="18"/>
                <w:lang w:val="en-GB" w:eastAsia="de-DE"/>
              </w:rPr>
            </w:pPr>
            <w:r>
              <w:rPr>
                <w:rFonts w:cs="Arial"/>
                <w:color w:val="000000"/>
                <w:sz w:val="18"/>
                <w:szCs w:val="18"/>
                <w:lang w:val="en-GB" w:eastAsia="de-DE"/>
              </w:rPr>
              <w:t>London Hammersmith and City</w:t>
            </w:r>
          </w:p>
        </w:tc>
        <w:tc>
          <w:tcPr>
            <w:tcW w:w="0" w:type="auto"/>
          </w:tcPr>
          <w:p w14:paraId="0A7D7AA8" w14:textId="77777777" w:rsidR="00582842" w:rsidRDefault="00582842" w:rsidP="00EC6184">
            <w:pPr>
              <w:spacing w:after="0" w:line="240" w:lineRule="auto"/>
              <w:rPr>
                <w:rFonts w:cs="Arial"/>
                <w:b/>
                <w:bCs/>
                <w:color w:val="000000"/>
                <w:sz w:val="18"/>
                <w:szCs w:val="18"/>
                <w:u w:val="single"/>
                <w:lang w:val="en-GB" w:eastAsia="de-DE"/>
              </w:rPr>
            </w:pPr>
            <w:r>
              <w:rPr>
                <w:rFonts w:cs="Arial"/>
                <w:color w:val="000000"/>
                <w:sz w:val="18"/>
                <w:szCs w:val="18"/>
                <w:lang w:val="en-GB" w:eastAsia="de-DE"/>
              </w:rPr>
              <w:t>Already in operation</w:t>
            </w:r>
          </w:p>
        </w:tc>
        <w:tc>
          <w:tcPr>
            <w:tcW w:w="0" w:type="auto"/>
          </w:tcPr>
          <w:p w14:paraId="0A7D7AA9" w14:textId="77777777" w:rsidR="00582842" w:rsidRDefault="00582842" w:rsidP="00EC6184">
            <w:pPr>
              <w:spacing w:after="0" w:line="240" w:lineRule="auto"/>
              <w:rPr>
                <w:rFonts w:cs="Arial"/>
                <w:b/>
                <w:bCs/>
                <w:color w:val="000000"/>
                <w:sz w:val="18"/>
                <w:szCs w:val="18"/>
                <w:u w:val="single"/>
                <w:lang w:val="en-GB" w:eastAsia="de-DE"/>
              </w:rPr>
            </w:pPr>
            <w:r>
              <w:rPr>
                <w:rFonts w:cs="Arial"/>
                <w:sz w:val="18"/>
                <w:szCs w:val="18"/>
                <w:lang w:val="en-GB" w:eastAsia="de-DE"/>
              </w:rPr>
              <w:t>2018</w:t>
            </w:r>
          </w:p>
        </w:tc>
        <w:tc>
          <w:tcPr>
            <w:tcW w:w="0" w:type="auto"/>
          </w:tcPr>
          <w:p w14:paraId="0A7D7AAA" w14:textId="77777777" w:rsidR="00582842" w:rsidRDefault="00582842" w:rsidP="00EC6184">
            <w:pPr>
              <w:spacing w:after="0" w:line="240" w:lineRule="auto"/>
              <w:rPr>
                <w:rFonts w:cs="Arial"/>
                <w:b/>
                <w:bCs/>
                <w:color w:val="000000"/>
                <w:sz w:val="18"/>
                <w:szCs w:val="18"/>
                <w:u w:val="single"/>
                <w:lang w:val="en-GB" w:eastAsia="de-DE"/>
              </w:rPr>
            </w:pPr>
            <w:r>
              <w:rPr>
                <w:rFonts w:cs="Arial"/>
                <w:sz w:val="18"/>
                <w:szCs w:val="18"/>
                <w:lang w:val="en-GB" w:eastAsia="de-DE"/>
              </w:rPr>
              <w:t>2400-2483 MHz</w:t>
            </w:r>
          </w:p>
        </w:tc>
        <w:tc>
          <w:tcPr>
            <w:tcW w:w="0" w:type="auto"/>
            <w:vMerge/>
          </w:tcPr>
          <w:p w14:paraId="0A7D7AAB" w14:textId="77777777" w:rsidR="00582842" w:rsidRDefault="00582842" w:rsidP="00EC6184">
            <w:pPr>
              <w:spacing w:after="0" w:line="240" w:lineRule="auto"/>
              <w:rPr>
                <w:rFonts w:cs="Arial"/>
                <w:b/>
                <w:bCs/>
                <w:color w:val="000000"/>
                <w:sz w:val="18"/>
                <w:szCs w:val="18"/>
                <w:u w:val="single"/>
                <w:lang w:val="en-GB" w:eastAsia="de-DE"/>
              </w:rPr>
            </w:pPr>
          </w:p>
        </w:tc>
        <w:tc>
          <w:tcPr>
            <w:tcW w:w="0" w:type="auto"/>
            <w:vMerge/>
          </w:tcPr>
          <w:p w14:paraId="0A7D7AAC" w14:textId="77777777" w:rsidR="00582842" w:rsidRDefault="00582842" w:rsidP="00EC6184">
            <w:pPr>
              <w:spacing w:after="0" w:line="240" w:lineRule="auto"/>
              <w:rPr>
                <w:rFonts w:cs="Arial"/>
                <w:b/>
                <w:bCs/>
                <w:color w:val="000000"/>
                <w:sz w:val="18"/>
                <w:szCs w:val="18"/>
                <w:u w:val="single"/>
                <w:lang w:val="en-GB" w:eastAsia="de-DE"/>
              </w:rPr>
            </w:pPr>
          </w:p>
        </w:tc>
        <w:tc>
          <w:tcPr>
            <w:tcW w:w="0" w:type="auto"/>
            <w:vMerge/>
          </w:tcPr>
          <w:p w14:paraId="0A7D7AAD" w14:textId="77777777" w:rsidR="00582842" w:rsidRDefault="00582842" w:rsidP="00EC6184">
            <w:pPr>
              <w:spacing w:after="0" w:line="240" w:lineRule="auto"/>
              <w:rPr>
                <w:rFonts w:cs="Arial"/>
                <w:b/>
                <w:bCs/>
                <w:sz w:val="18"/>
                <w:szCs w:val="18"/>
                <w:u w:val="single"/>
                <w:lang w:val="en-GB" w:eastAsia="de-DE"/>
              </w:rPr>
            </w:pPr>
          </w:p>
        </w:tc>
        <w:tc>
          <w:tcPr>
            <w:tcW w:w="0" w:type="auto"/>
            <w:vMerge/>
          </w:tcPr>
          <w:p w14:paraId="0A7D7AAE" w14:textId="77777777" w:rsidR="00582842" w:rsidRDefault="00582842" w:rsidP="00EC6184">
            <w:pPr>
              <w:spacing w:after="0" w:line="240" w:lineRule="auto"/>
              <w:rPr>
                <w:rFonts w:cs="Arial"/>
                <w:b/>
                <w:bCs/>
                <w:sz w:val="18"/>
                <w:szCs w:val="18"/>
                <w:u w:val="single"/>
                <w:lang w:val="en-GB" w:eastAsia="de-DE"/>
              </w:rPr>
            </w:pPr>
          </w:p>
        </w:tc>
      </w:tr>
      <w:tr w:rsidR="00912C5C" w14:paraId="0A7D7AB9" w14:textId="77777777" w:rsidTr="005E3C1D">
        <w:trPr>
          <w:trHeight w:val="900"/>
        </w:trPr>
        <w:tc>
          <w:tcPr>
            <w:tcW w:w="0" w:type="auto"/>
          </w:tcPr>
          <w:p w14:paraId="0A7D7AB0" w14:textId="77777777" w:rsidR="00582842" w:rsidRDefault="00582842" w:rsidP="00EC6184">
            <w:pPr>
              <w:spacing w:after="0" w:line="240" w:lineRule="auto"/>
              <w:rPr>
                <w:rFonts w:cs="Arial"/>
                <w:b/>
                <w:bCs/>
                <w:color w:val="000000"/>
                <w:sz w:val="18"/>
                <w:szCs w:val="18"/>
                <w:lang w:val="en-GB" w:eastAsia="de-DE"/>
              </w:rPr>
            </w:pPr>
            <w:r>
              <w:rPr>
                <w:rFonts w:cs="Arial"/>
                <w:color w:val="000000"/>
                <w:sz w:val="18"/>
                <w:szCs w:val="18"/>
                <w:lang w:val="en-GB" w:eastAsia="de-DE"/>
              </w:rPr>
              <w:t>UK</w:t>
            </w:r>
          </w:p>
        </w:tc>
        <w:tc>
          <w:tcPr>
            <w:tcW w:w="0" w:type="auto"/>
          </w:tcPr>
          <w:p w14:paraId="0A7D7AB1" w14:textId="77777777" w:rsidR="00582842" w:rsidRDefault="00582842" w:rsidP="00EC6184">
            <w:pPr>
              <w:spacing w:after="0" w:line="240" w:lineRule="auto"/>
              <w:rPr>
                <w:rFonts w:cs="Arial"/>
                <w:b/>
                <w:bCs/>
                <w:color w:val="000000"/>
                <w:sz w:val="18"/>
                <w:szCs w:val="18"/>
                <w:lang w:val="en-GB" w:eastAsia="de-DE"/>
              </w:rPr>
            </w:pPr>
            <w:r>
              <w:rPr>
                <w:rFonts w:cs="Arial"/>
                <w:color w:val="000000"/>
                <w:sz w:val="18"/>
                <w:szCs w:val="18"/>
                <w:lang w:val="en-GB" w:eastAsia="de-DE"/>
              </w:rPr>
              <w:t>London Circle</w:t>
            </w:r>
          </w:p>
        </w:tc>
        <w:tc>
          <w:tcPr>
            <w:tcW w:w="0" w:type="auto"/>
          </w:tcPr>
          <w:p w14:paraId="0A7D7AB2" w14:textId="77777777" w:rsidR="00582842" w:rsidRDefault="00582842" w:rsidP="00EC6184">
            <w:pPr>
              <w:spacing w:after="0" w:line="240" w:lineRule="auto"/>
              <w:rPr>
                <w:rFonts w:cs="Arial"/>
                <w:b/>
                <w:bCs/>
                <w:color w:val="000000"/>
                <w:sz w:val="18"/>
                <w:szCs w:val="18"/>
                <w:u w:val="single"/>
                <w:lang w:val="en-GB" w:eastAsia="de-DE"/>
              </w:rPr>
            </w:pPr>
            <w:r>
              <w:rPr>
                <w:rFonts w:cs="Arial"/>
                <w:color w:val="000000"/>
                <w:sz w:val="18"/>
                <w:szCs w:val="18"/>
                <w:lang w:val="en-GB" w:eastAsia="de-DE"/>
              </w:rPr>
              <w:t>Already in operation</w:t>
            </w:r>
          </w:p>
        </w:tc>
        <w:tc>
          <w:tcPr>
            <w:tcW w:w="0" w:type="auto"/>
          </w:tcPr>
          <w:p w14:paraId="0A7D7AB3" w14:textId="77777777" w:rsidR="00582842" w:rsidRDefault="00582842" w:rsidP="00EC6184">
            <w:pPr>
              <w:spacing w:after="0" w:line="240" w:lineRule="auto"/>
              <w:rPr>
                <w:rFonts w:cs="Arial"/>
                <w:b/>
                <w:bCs/>
                <w:color w:val="000000"/>
                <w:sz w:val="18"/>
                <w:szCs w:val="18"/>
                <w:u w:val="single"/>
                <w:lang w:val="en-GB" w:eastAsia="de-DE"/>
              </w:rPr>
            </w:pPr>
            <w:r>
              <w:rPr>
                <w:rFonts w:cs="Arial"/>
                <w:sz w:val="18"/>
                <w:szCs w:val="18"/>
                <w:lang w:val="en-GB" w:eastAsia="de-DE"/>
              </w:rPr>
              <w:t>2018</w:t>
            </w:r>
          </w:p>
        </w:tc>
        <w:tc>
          <w:tcPr>
            <w:tcW w:w="0" w:type="auto"/>
          </w:tcPr>
          <w:p w14:paraId="0A7D7AB4" w14:textId="77777777" w:rsidR="00582842" w:rsidRDefault="00582842" w:rsidP="00EC6184">
            <w:pPr>
              <w:spacing w:after="0" w:line="240" w:lineRule="auto"/>
              <w:rPr>
                <w:rFonts w:cs="Arial"/>
                <w:b/>
                <w:bCs/>
                <w:color w:val="000000"/>
                <w:sz w:val="18"/>
                <w:szCs w:val="18"/>
                <w:u w:val="single"/>
                <w:lang w:val="en-GB" w:eastAsia="de-DE"/>
              </w:rPr>
            </w:pPr>
            <w:r>
              <w:rPr>
                <w:rFonts w:cs="Arial"/>
                <w:sz w:val="18"/>
                <w:szCs w:val="18"/>
                <w:lang w:val="en-GB" w:eastAsia="de-DE"/>
              </w:rPr>
              <w:t>2400-2483 MHz</w:t>
            </w:r>
          </w:p>
        </w:tc>
        <w:tc>
          <w:tcPr>
            <w:tcW w:w="0" w:type="auto"/>
            <w:vMerge/>
          </w:tcPr>
          <w:p w14:paraId="0A7D7AB5" w14:textId="77777777" w:rsidR="00582842" w:rsidRDefault="00582842" w:rsidP="00EC6184">
            <w:pPr>
              <w:spacing w:after="0" w:line="240" w:lineRule="auto"/>
              <w:rPr>
                <w:rFonts w:cs="Arial"/>
                <w:b/>
                <w:bCs/>
                <w:color w:val="000000"/>
                <w:sz w:val="18"/>
                <w:szCs w:val="18"/>
                <w:u w:val="single"/>
                <w:lang w:val="en-GB" w:eastAsia="de-DE"/>
              </w:rPr>
            </w:pPr>
          </w:p>
        </w:tc>
        <w:tc>
          <w:tcPr>
            <w:tcW w:w="0" w:type="auto"/>
            <w:vMerge/>
          </w:tcPr>
          <w:p w14:paraId="0A7D7AB6" w14:textId="77777777" w:rsidR="00582842" w:rsidRDefault="00582842" w:rsidP="00EC6184">
            <w:pPr>
              <w:spacing w:after="0" w:line="240" w:lineRule="auto"/>
              <w:rPr>
                <w:rFonts w:cs="Arial"/>
                <w:b/>
                <w:bCs/>
                <w:color w:val="000000"/>
                <w:sz w:val="18"/>
                <w:szCs w:val="18"/>
                <w:u w:val="single"/>
                <w:lang w:val="en-GB" w:eastAsia="de-DE"/>
              </w:rPr>
            </w:pPr>
          </w:p>
        </w:tc>
        <w:tc>
          <w:tcPr>
            <w:tcW w:w="0" w:type="auto"/>
            <w:vMerge/>
          </w:tcPr>
          <w:p w14:paraId="0A7D7AB7" w14:textId="77777777" w:rsidR="00582842" w:rsidRDefault="00582842" w:rsidP="00EC6184">
            <w:pPr>
              <w:spacing w:after="0" w:line="240" w:lineRule="auto"/>
              <w:rPr>
                <w:rFonts w:cs="Arial"/>
                <w:b/>
                <w:bCs/>
                <w:sz w:val="18"/>
                <w:szCs w:val="18"/>
                <w:u w:val="single"/>
                <w:lang w:val="en-GB" w:eastAsia="de-DE"/>
              </w:rPr>
            </w:pPr>
          </w:p>
        </w:tc>
        <w:tc>
          <w:tcPr>
            <w:tcW w:w="0" w:type="auto"/>
            <w:vMerge/>
          </w:tcPr>
          <w:p w14:paraId="0A7D7AB8" w14:textId="77777777" w:rsidR="00582842" w:rsidRDefault="00582842" w:rsidP="00EC6184">
            <w:pPr>
              <w:spacing w:after="0" w:line="240" w:lineRule="auto"/>
              <w:rPr>
                <w:rFonts w:cs="Arial"/>
                <w:b/>
                <w:bCs/>
                <w:sz w:val="18"/>
                <w:szCs w:val="18"/>
                <w:u w:val="single"/>
                <w:lang w:val="en-GB" w:eastAsia="de-DE"/>
              </w:rPr>
            </w:pPr>
          </w:p>
        </w:tc>
      </w:tr>
      <w:tr w:rsidR="00912C5C" w14:paraId="0A7D7AC3" w14:textId="77777777" w:rsidTr="005E3C1D">
        <w:trPr>
          <w:trHeight w:val="900"/>
        </w:trPr>
        <w:tc>
          <w:tcPr>
            <w:tcW w:w="0" w:type="auto"/>
          </w:tcPr>
          <w:p w14:paraId="0A7D7ABA" w14:textId="77777777" w:rsidR="00582842" w:rsidRDefault="00582842" w:rsidP="00EC6184">
            <w:pPr>
              <w:spacing w:after="0" w:line="240" w:lineRule="auto"/>
              <w:rPr>
                <w:rFonts w:cs="Arial"/>
                <w:b/>
                <w:bCs/>
                <w:color w:val="000000"/>
                <w:sz w:val="18"/>
                <w:szCs w:val="18"/>
                <w:lang w:val="en-GB" w:eastAsia="de-DE"/>
              </w:rPr>
            </w:pPr>
            <w:r>
              <w:rPr>
                <w:rFonts w:cs="Arial"/>
                <w:color w:val="000000"/>
                <w:sz w:val="18"/>
                <w:szCs w:val="18"/>
                <w:lang w:val="en-GB" w:eastAsia="de-DE"/>
              </w:rPr>
              <w:t>UK</w:t>
            </w:r>
          </w:p>
        </w:tc>
        <w:tc>
          <w:tcPr>
            <w:tcW w:w="0" w:type="auto"/>
          </w:tcPr>
          <w:p w14:paraId="0A7D7ABB" w14:textId="77777777" w:rsidR="00582842" w:rsidRDefault="00582842" w:rsidP="00EC6184">
            <w:pPr>
              <w:spacing w:after="0" w:line="240" w:lineRule="auto"/>
              <w:rPr>
                <w:rFonts w:cs="Arial"/>
                <w:b/>
                <w:bCs/>
                <w:color w:val="000000"/>
                <w:sz w:val="18"/>
                <w:szCs w:val="18"/>
                <w:lang w:val="en-GB" w:eastAsia="de-DE"/>
              </w:rPr>
            </w:pPr>
            <w:r>
              <w:rPr>
                <w:rFonts w:cs="Arial"/>
                <w:color w:val="000000"/>
                <w:sz w:val="18"/>
                <w:szCs w:val="18"/>
                <w:lang w:val="en-GB" w:eastAsia="de-DE"/>
              </w:rPr>
              <w:t>London District</w:t>
            </w:r>
          </w:p>
        </w:tc>
        <w:tc>
          <w:tcPr>
            <w:tcW w:w="0" w:type="auto"/>
          </w:tcPr>
          <w:p w14:paraId="0A7D7ABC" w14:textId="77777777" w:rsidR="00582842" w:rsidRDefault="00582842" w:rsidP="00EC6184">
            <w:pPr>
              <w:spacing w:after="0" w:line="240" w:lineRule="auto"/>
              <w:rPr>
                <w:rFonts w:cs="Arial"/>
                <w:b/>
                <w:bCs/>
                <w:color w:val="000000"/>
                <w:sz w:val="18"/>
                <w:szCs w:val="18"/>
                <w:u w:val="single"/>
                <w:lang w:val="en-GB" w:eastAsia="de-DE"/>
              </w:rPr>
            </w:pPr>
            <w:r>
              <w:rPr>
                <w:rFonts w:cs="Arial"/>
                <w:color w:val="000000"/>
                <w:sz w:val="18"/>
                <w:szCs w:val="18"/>
                <w:lang w:val="en-GB" w:eastAsia="de-DE"/>
              </w:rPr>
              <w:t>Already in operation</w:t>
            </w:r>
          </w:p>
        </w:tc>
        <w:tc>
          <w:tcPr>
            <w:tcW w:w="0" w:type="auto"/>
          </w:tcPr>
          <w:p w14:paraId="0A7D7ABD" w14:textId="77777777" w:rsidR="00582842" w:rsidRDefault="00582842" w:rsidP="00EC6184">
            <w:pPr>
              <w:spacing w:after="0" w:line="240" w:lineRule="auto"/>
              <w:rPr>
                <w:rFonts w:cs="Arial"/>
                <w:b/>
                <w:bCs/>
                <w:color w:val="000000"/>
                <w:sz w:val="18"/>
                <w:szCs w:val="18"/>
                <w:u w:val="single"/>
                <w:lang w:val="en-GB" w:eastAsia="de-DE"/>
              </w:rPr>
            </w:pPr>
            <w:r>
              <w:rPr>
                <w:rFonts w:cs="Arial"/>
                <w:sz w:val="18"/>
                <w:szCs w:val="18"/>
                <w:lang w:val="en-GB" w:eastAsia="de-DE"/>
              </w:rPr>
              <w:t>2018</w:t>
            </w:r>
          </w:p>
        </w:tc>
        <w:tc>
          <w:tcPr>
            <w:tcW w:w="0" w:type="auto"/>
          </w:tcPr>
          <w:p w14:paraId="0A7D7ABE" w14:textId="77777777" w:rsidR="00582842" w:rsidRDefault="00582842" w:rsidP="00EC6184">
            <w:pPr>
              <w:spacing w:after="0" w:line="240" w:lineRule="auto"/>
              <w:rPr>
                <w:rFonts w:cs="Arial"/>
                <w:b/>
                <w:bCs/>
                <w:color w:val="000000"/>
                <w:sz w:val="18"/>
                <w:szCs w:val="18"/>
                <w:u w:val="single"/>
                <w:lang w:val="en-GB" w:eastAsia="de-DE"/>
              </w:rPr>
            </w:pPr>
            <w:r>
              <w:rPr>
                <w:rFonts w:cs="Arial"/>
                <w:sz w:val="18"/>
                <w:szCs w:val="18"/>
                <w:lang w:val="en-GB" w:eastAsia="de-DE"/>
              </w:rPr>
              <w:t>2400-2483 MHz</w:t>
            </w:r>
          </w:p>
        </w:tc>
        <w:tc>
          <w:tcPr>
            <w:tcW w:w="0" w:type="auto"/>
            <w:vMerge/>
          </w:tcPr>
          <w:p w14:paraId="0A7D7ABF" w14:textId="77777777" w:rsidR="00582842" w:rsidRDefault="00582842" w:rsidP="00BB544A">
            <w:pPr>
              <w:spacing w:after="0" w:line="240" w:lineRule="auto"/>
              <w:jc w:val="center"/>
              <w:rPr>
                <w:rFonts w:cs="Arial"/>
                <w:b/>
                <w:bCs/>
                <w:color w:val="000000"/>
                <w:sz w:val="18"/>
                <w:szCs w:val="18"/>
                <w:u w:val="single"/>
                <w:lang w:val="en-GB" w:eastAsia="de-DE"/>
              </w:rPr>
            </w:pPr>
          </w:p>
        </w:tc>
        <w:tc>
          <w:tcPr>
            <w:tcW w:w="0" w:type="auto"/>
            <w:vMerge/>
          </w:tcPr>
          <w:p w14:paraId="0A7D7AC0" w14:textId="77777777" w:rsidR="00582842" w:rsidRDefault="00582842" w:rsidP="00BB544A">
            <w:pPr>
              <w:spacing w:after="0" w:line="240" w:lineRule="auto"/>
              <w:jc w:val="center"/>
              <w:rPr>
                <w:rFonts w:cs="Arial"/>
                <w:b/>
                <w:bCs/>
                <w:color w:val="000000"/>
                <w:sz w:val="18"/>
                <w:szCs w:val="18"/>
                <w:u w:val="single"/>
                <w:lang w:val="en-GB" w:eastAsia="de-DE"/>
              </w:rPr>
            </w:pPr>
          </w:p>
        </w:tc>
        <w:tc>
          <w:tcPr>
            <w:tcW w:w="0" w:type="auto"/>
            <w:vMerge/>
          </w:tcPr>
          <w:p w14:paraId="0A7D7AC1" w14:textId="77777777" w:rsidR="00582842" w:rsidRDefault="00582842" w:rsidP="00BB544A">
            <w:pPr>
              <w:spacing w:after="0" w:line="240" w:lineRule="auto"/>
              <w:jc w:val="center"/>
              <w:rPr>
                <w:rFonts w:cs="Arial"/>
                <w:b/>
                <w:bCs/>
                <w:sz w:val="18"/>
                <w:szCs w:val="18"/>
                <w:u w:val="single"/>
                <w:lang w:val="en-GB" w:eastAsia="de-DE"/>
              </w:rPr>
            </w:pPr>
          </w:p>
        </w:tc>
        <w:tc>
          <w:tcPr>
            <w:tcW w:w="0" w:type="auto"/>
            <w:vMerge/>
          </w:tcPr>
          <w:p w14:paraId="0A7D7AC2" w14:textId="77777777" w:rsidR="00582842" w:rsidRDefault="00582842" w:rsidP="00BB544A">
            <w:pPr>
              <w:spacing w:after="0" w:line="240" w:lineRule="auto"/>
              <w:jc w:val="center"/>
              <w:rPr>
                <w:rFonts w:cs="Arial"/>
                <w:b/>
                <w:bCs/>
                <w:sz w:val="18"/>
                <w:szCs w:val="18"/>
                <w:u w:val="single"/>
                <w:lang w:val="en-GB" w:eastAsia="de-DE"/>
              </w:rPr>
            </w:pPr>
          </w:p>
        </w:tc>
      </w:tr>
    </w:tbl>
    <w:p w14:paraId="0A7D7AC4" w14:textId="77777777" w:rsidR="00582842" w:rsidRDefault="00582842" w:rsidP="00582842">
      <w:pPr>
        <w:rPr>
          <w:b/>
          <w:bCs/>
          <w:color w:val="D2232A"/>
          <w:szCs w:val="20"/>
          <w:lang w:val="en-GB"/>
        </w:rPr>
      </w:pPr>
    </w:p>
    <w:p w14:paraId="0A7D7AC5" w14:textId="77777777" w:rsidR="00EC6184" w:rsidRDefault="00EC6184">
      <w:pPr>
        <w:rPr>
          <w:b/>
          <w:bCs/>
          <w:color w:val="D2232A"/>
          <w:szCs w:val="20"/>
          <w:lang w:val="en-GB"/>
        </w:rPr>
      </w:pPr>
      <w:r>
        <w:rPr>
          <w:lang w:val="en-GB"/>
        </w:rPr>
        <w:br w:type="page"/>
      </w:r>
    </w:p>
    <w:p w14:paraId="0A7D7AC6" w14:textId="49B29A80" w:rsidR="00C12AB8" w:rsidRDefault="00155EB5">
      <w:pPr>
        <w:pStyle w:val="Caption"/>
        <w:rPr>
          <w:rFonts w:eastAsiaTheme="minorHAnsi"/>
          <w:lang w:val="en-GB"/>
        </w:rPr>
      </w:pPr>
      <w:r>
        <w:rPr>
          <w:lang w:val="en-GB"/>
        </w:rPr>
        <w:lastRenderedPageBreak/>
        <w:t xml:space="preserve">Table </w:t>
      </w:r>
      <w:r w:rsidR="00872902">
        <w:rPr>
          <w:lang w:val="en-GB"/>
        </w:rPr>
        <w:t>2</w:t>
      </w:r>
      <w:r w:rsidR="005B4F42">
        <w:rPr>
          <w:lang w:val="en-GB"/>
        </w:rPr>
        <w:t>b</w:t>
      </w:r>
      <w:r>
        <w:rPr>
          <w:rFonts w:eastAsiaTheme="minorHAnsi"/>
          <w:lang w:val="en-GB"/>
        </w:rPr>
        <w:t>: Use of CBTC systems</w:t>
      </w:r>
      <w:r w:rsidR="00F1583D">
        <w:rPr>
          <w:rFonts w:eastAsiaTheme="minorHAnsi"/>
          <w:lang w:val="en-GB"/>
        </w:rPr>
        <w:t xml:space="preserve"> in 5.9 GHz bands</w:t>
      </w:r>
    </w:p>
    <w:tbl>
      <w:tblPr>
        <w:tblStyle w:val="ECCTable-redheader"/>
        <w:tblW w:w="9216" w:type="dxa"/>
        <w:tblLayout w:type="fixed"/>
        <w:tblLook w:val="04A0" w:firstRow="1" w:lastRow="0" w:firstColumn="1" w:lastColumn="0" w:noHBand="0" w:noVBand="1"/>
      </w:tblPr>
      <w:tblGrid>
        <w:gridCol w:w="947"/>
        <w:gridCol w:w="1533"/>
        <w:gridCol w:w="1191"/>
        <w:gridCol w:w="946"/>
        <w:gridCol w:w="1057"/>
        <w:gridCol w:w="1017"/>
        <w:gridCol w:w="769"/>
        <w:gridCol w:w="857"/>
        <w:gridCol w:w="899"/>
      </w:tblGrid>
      <w:tr w:rsidR="00C12AB8" w14:paraId="0A7D7AC8" w14:textId="77777777" w:rsidTr="00F1583D">
        <w:trPr>
          <w:cnfStyle w:val="100000000000" w:firstRow="1" w:lastRow="0" w:firstColumn="0" w:lastColumn="0" w:oddVBand="0" w:evenVBand="0" w:oddHBand="0" w:evenHBand="0" w:firstRowFirstColumn="0" w:firstRowLastColumn="0" w:lastRowFirstColumn="0" w:lastRowLastColumn="0"/>
          <w:trHeight w:val="585"/>
        </w:trPr>
        <w:tc>
          <w:tcPr>
            <w:tcW w:w="9216" w:type="dxa"/>
            <w:gridSpan w:val="9"/>
          </w:tcPr>
          <w:p w14:paraId="0A7D7AC7" w14:textId="77777777" w:rsidR="00C12AB8" w:rsidRPr="00582842" w:rsidRDefault="00155EB5" w:rsidP="00F1583D">
            <w:pPr>
              <w:spacing w:before="0" w:after="0"/>
              <w:rPr>
                <w:rFonts w:cs="Arial"/>
                <w:bCs/>
                <w:color w:val="000000"/>
                <w:sz w:val="22"/>
                <w:szCs w:val="22"/>
                <w:lang w:val="en-GB" w:eastAsia="de-DE"/>
              </w:rPr>
            </w:pPr>
            <w:r w:rsidRPr="00582842">
              <w:rPr>
                <w:rFonts w:cs="Arial"/>
                <w:bCs/>
                <w:color w:val="FFFFFF" w:themeColor="background1"/>
                <w:sz w:val="22"/>
                <w:szCs w:val="22"/>
                <w:lang w:val="en-GB" w:eastAsia="de-DE"/>
              </w:rPr>
              <w:t>Lines already deployed or under construction</w:t>
            </w:r>
          </w:p>
        </w:tc>
      </w:tr>
      <w:tr w:rsidR="00C12AB8" w14:paraId="0A7D7AD2" w14:textId="77777777" w:rsidTr="00F1583D">
        <w:trPr>
          <w:trHeight w:val="900"/>
        </w:trPr>
        <w:tc>
          <w:tcPr>
            <w:tcW w:w="947" w:type="dxa"/>
          </w:tcPr>
          <w:p w14:paraId="0A7D7AC9" w14:textId="77777777" w:rsidR="00C12AB8" w:rsidRDefault="00155EB5">
            <w:pPr>
              <w:spacing w:after="0" w:line="240" w:lineRule="auto"/>
              <w:jc w:val="center"/>
              <w:rPr>
                <w:rFonts w:cs="Arial"/>
                <w:b/>
                <w:bCs/>
                <w:color w:val="000000"/>
                <w:sz w:val="18"/>
                <w:szCs w:val="18"/>
                <w:lang w:val="en-GB" w:eastAsia="de-DE"/>
              </w:rPr>
            </w:pPr>
            <w:r>
              <w:rPr>
                <w:rFonts w:cs="Arial"/>
                <w:b/>
                <w:bCs/>
                <w:color w:val="000000"/>
                <w:sz w:val="18"/>
                <w:szCs w:val="18"/>
                <w:lang w:val="en-GB" w:eastAsia="de-DE"/>
              </w:rPr>
              <w:t>Country</w:t>
            </w:r>
          </w:p>
        </w:tc>
        <w:tc>
          <w:tcPr>
            <w:tcW w:w="1533" w:type="dxa"/>
          </w:tcPr>
          <w:p w14:paraId="0A7D7ACA" w14:textId="77777777" w:rsidR="00C12AB8" w:rsidRDefault="00155EB5">
            <w:pPr>
              <w:spacing w:after="0" w:line="240" w:lineRule="auto"/>
              <w:jc w:val="center"/>
              <w:rPr>
                <w:rFonts w:cs="Arial"/>
                <w:b/>
                <w:bCs/>
                <w:color w:val="000000"/>
                <w:sz w:val="18"/>
                <w:szCs w:val="18"/>
                <w:lang w:val="en-GB" w:eastAsia="de-DE"/>
              </w:rPr>
            </w:pPr>
            <w:r>
              <w:rPr>
                <w:rFonts w:cs="Arial"/>
                <w:b/>
                <w:bCs/>
                <w:color w:val="000000"/>
                <w:sz w:val="18"/>
                <w:szCs w:val="18"/>
                <w:lang w:val="en-GB" w:eastAsia="de-DE"/>
              </w:rPr>
              <w:t>City</w:t>
            </w:r>
          </w:p>
        </w:tc>
        <w:tc>
          <w:tcPr>
            <w:tcW w:w="1191" w:type="dxa"/>
          </w:tcPr>
          <w:p w14:paraId="0A7D7ACB" w14:textId="77777777" w:rsidR="00C12AB8" w:rsidRDefault="00155EB5">
            <w:pPr>
              <w:spacing w:after="0" w:line="240" w:lineRule="auto"/>
              <w:jc w:val="center"/>
              <w:rPr>
                <w:rFonts w:cs="Arial"/>
                <w:b/>
                <w:bCs/>
                <w:color w:val="000000"/>
                <w:sz w:val="18"/>
                <w:szCs w:val="18"/>
                <w:u w:val="single"/>
                <w:lang w:val="en-GB" w:eastAsia="de-DE"/>
              </w:rPr>
            </w:pPr>
            <w:r>
              <w:rPr>
                <w:rFonts w:cs="Arial"/>
                <w:b/>
                <w:bCs/>
                <w:color w:val="000000"/>
                <w:sz w:val="18"/>
                <w:szCs w:val="18"/>
                <w:u w:val="single"/>
                <w:lang w:val="en-GB" w:eastAsia="de-DE"/>
              </w:rPr>
              <w:t>Situation</w:t>
            </w:r>
          </w:p>
        </w:tc>
        <w:tc>
          <w:tcPr>
            <w:tcW w:w="946" w:type="dxa"/>
          </w:tcPr>
          <w:p w14:paraId="0A7D7ACC" w14:textId="77777777" w:rsidR="00C12AB8" w:rsidRDefault="00155EB5">
            <w:pPr>
              <w:spacing w:after="0" w:line="240" w:lineRule="auto"/>
              <w:jc w:val="center"/>
              <w:rPr>
                <w:rFonts w:cs="Arial"/>
                <w:b/>
                <w:bCs/>
                <w:color w:val="000000"/>
                <w:sz w:val="18"/>
                <w:szCs w:val="18"/>
                <w:u w:val="single"/>
                <w:lang w:val="en-GB" w:eastAsia="de-DE"/>
              </w:rPr>
            </w:pPr>
            <w:r>
              <w:rPr>
                <w:rFonts w:cs="Arial"/>
                <w:b/>
                <w:bCs/>
                <w:color w:val="000000"/>
                <w:sz w:val="18"/>
                <w:szCs w:val="18"/>
                <w:u w:val="single"/>
                <w:lang w:val="en-GB" w:eastAsia="de-DE"/>
              </w:rPr>
              <w:t>Opening to Public</w:t>
            </w:r>
          </w:p>
        </w:tc>
        <w:tc>
          <w:tcPr>
            <w:tcW w:w="1057" w:type="dxa"/>
          </w:tcPr>
          <w:p w14:paraId="0A7D7ACD" w14:textId="77777777" w:rsidR="00C12AB8" w:rsidRDefault="00155EB5">
            <w:pPr>
              <w:spacing w:after="0" w:line="240" w:lineRule="auto"/>
              <w:jc w:val="center"/>
              <w:rPr>
                <w:rFonts w:cs="Arial"/>
                <w:b/>
                <w:bCs/>
                <w:color w:val="000000"/>
                <w:sz w:val="18"/>
                <w:szCs w:val="18"/>
                <w:u w:val="single"/>
                <w:lang w:val="en-GB" w:eastAsia="de-DE"/>
              </w:rPr>
            </w:pPr>
            <w:r>
              <w:rPr>
                <w:rFonts w:cs="Arial"/>
                <w:b/>
                <w:bCs/>
                <w:color w:val="000000"/>
                <w:sz w:val="18"/>
                <w:szCs w:val="18"/>
                <w:u w:val="single"/>
                <w:lang w:val="en-GB" w:eastAsia="de-DE"/>
              </w:rPr>
              <w:t>Band</w:t>
            </w:r>
          </w:p>
        </w:tc>
        <w:tc>
          <w:tcPr>
            <w:tcW w:w="1017" w:type="dxa"/>
          </w:tcPr>
          <w:p w14:paraId="0A7D7ACE" w14:textId="63DE05F3" w:rsidR="00C12AB8" w:rsidRDefault="00155EB5">
            <w:pPr>
              <w:spacing w:after="0" w:line="240" w:lineRule="auto"/>
              <w:jc w:val="center"/>
              <w:rPr>
                <w:rFonts w:cs="Arial"/>
                <w:b/>
                <w:bCs/>
                <w:color w:val="000000"/>
                <w:sz w:val="18"/>
                <w:szCs w:val="18"/>
                <w:u w:val="single"/>
                <w:lang w:val="en-GB" w:eastAsia="de-DE"/>
              </w:rPr>
            </w:pPr>
            <w:r>
              <w:rPr>
                <w:rFonts w:cs="Arial"/>
                <w:b/>
                <w:bCs/>
                <w:color w:val="000000"/>
                <w:sz w:val="18"/>
                <w:szCs w:val="18"/>
                <w:u w:val="single"/>
                <w:lang w:val="en-GB" w:eastAsia="de-DE"/>
              </w:rPr>
              <w:t xml:space="preserve">Trips per day </w:t>
            </w:r>
          </w:p>
        </w:tc>
        <w:tc>
          <w:tcPr>
            <w:tcW w:w="769" w:type="dxa"/>
          </w:tcPr>
          <w:p w14:paraId="0A7D7ACF" w14:textId="77777777" w:rsidR="00C12AB8" w:rsidRDefault="00155EB5" w:rsidP="00A756AB">
            <w:pPr>
              <w:spacing w:after="0" w:line="240" w:lineRule="auto"/>
              <w:jc w:val="center"/>
              <w:rPr>
                <w:rFonts w:cs="Arial"/>
                <w:b/>
                <w:bCs/>
                <w:color w:val="000000"/>
                <w:sz w:val="18"/>
                <w:szCs w:val="18"/>
                <w:u w:val="single"/>
                <w:lang w:val="en-GB" w:eastAsia="de-DE"/>
              </w:rPr>
            </w:pPr>
            <w:r>
              <w:rPr>
                <w:rFonts w:cs="Arial"/>
                <w:b/>
                <w:bCs/>
                <w:color w:val="000000"/>
                <w:sz w:val="18"/>
                <w:szCs w:val="18"/>
                <w:u w:val="single"/>
                <w:lang w:val="en-GB" w:eastAsia="de-DE"/>
              </w:rPr>
              <w:t>Full length (</w:t>
            </w:r>
            <w:r w:rsidR="00314346">
              <w:rPr>
                <w:rFonts w:cs="Arial"/>
                <w:b/>
                <w:bCs/>
                <w:color w:val="000000"/>
                <w:sz w:val="18"/>
                <w:szCs w:val="18"/>
                <w:u w:val="single"/>
                <w:lang w:val="en-GB" w:eastAsia="de-DE"/>
              </w:rPr>
              <w:t>k</w:t>
            </w:r>
            <w:r>
              <w:rPr>
                <w:rFonts w:cs="Arial"/>
                <w:b/>
                <w:bCs/>
                <w:color w:val="000000"/>
                <w:sz w:val="18"/>
                <w:szCs w:val="18"/>
                <w:u w:val="single"/>
                <w:lang w:val="en-GB" w:eastAsia="de-DE"/>
              </w:rPr>
              <w:t>m)</w:t>
            </w:r>
          </w:p>
        </w:tc>
        <w:tc>
          <w:tcPr>
            <w:tcW w:w="857" w:type="dxa"/>
          </w:tcPr>
          <w:p w14:paraId="0A7D7AD0" w14:textId="77777777" w:rsidR="00C12AB8" w:rsidRDefault="00155EB5">
            <w:pPr>
              <w:spacing w:after="0" w:line="240" w:lineRule="auto"/>
              <w:jc w:val="center"/>
              <w:rPr>
                <w:rFonts w:cs="Arial"/>
                <w:b/>
                <w:bCs/>
                <w:sz w:val="18"/>
                <w:szCs w:val="18"/>
                <w:u w:val="single"/>
                <w:lang w:val="en-GB" w:eastAsia="de-DE"/>
              </w:rPr>
            </w:pPr>
            <w:r>
              <w:rPr>
                <w:rFonts w:cs="Arial"/>
                <w:b/>
                <w:bCs/>
                <w:sz w:val="18"/>
                <w:szCs w:val="18"/>
                <w:u w:val="single"/>
                <w:lang w:val="en-GB" w:eastAsia="de-DE"/>
              </w:rPr>
              <w:t>Portion of the line outside (m)</w:t>
            </w:r>
          </w:p>
        </w:tc>
        <w:tc>
          <w:tcPr>
            <w:tcW w:w="899" w:type="dxa"/>
          </w:tcPr>
          <w:p w14:paraId="0A7D7AD1" w14:textId="77777777" w:rsidR="00C12AB8" w:rsidRDefault="00155EB5">
            <w:pPr>
              <w:spacing w:after="0" w:line="240" w:lineRule="auto"/>
              <w:jc w:val="center"/>
              <w:rPr>
                <w:rFonts w:cs="Arial"/>
                <w:b/>
                <w:bCs/>
                <w:sz w:val="18"/>
                <w:szCs w:val="18"/>
                <w:u w:val="single"/>
                <w:lang w:val="en-GB" w:eastAsia="de-DE"/>
              </w:rPr>
            </w:pPr>
            <w:r>
              <w:rPr>
                <w:rFonts w:cs="Arial"/>
                <w:b/>
                <w:bCs/>
                <w:sz w:val="18"/>
                <w:szCs w:val="18"/>
                <w:u w:val="single"/>
                <w:lang w:val="en-GB" w:eastAsia="de-DE"/>
              </w:rPr>
              <w:t>% of outdoor part</w:t>
            </w:r>
          </w:p>
        </w:tc>
      </w:tr>
      <w:tr w:rsidR="00F1583D" w14:paraId="0A7D7ADC" w14:textId="77777777" w:rsidTr="00F1583D">
        <w:trPr>
          <w:trHeight w:val="600"/>
        </w:trPr>
        <w:tc>
          <w:tcPr>
            <w:tcW w:w="947" w:type="dxa"/>
          </w:tcPr>
          <w:p w14:paraId="0A7D7AD3"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France</w:t>
            </w:r>
          </w:p>
        </w:tc>
        <w:tc>
          <w:tcPr>
            <w:tcW w:w="1533" w:type="dxa"/>
          </w:tcPr>
          <w:p w14:paraId="0A7D7AD4"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Paris L1</w:t>
            </w:r>
          </w:p>
        </w:tc>
        <w:tc>
          <w:tcPr>
            <w:tcW w:w="1191" w:type="dxa"/>
          </w:tcPr>
          <w:p w14:paraId="0A7D7AD5"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Already in operation</w:t>
            </w:r>
          </w:p>
        </w:tc>
        <w:tc>
          <w:tcPr>
            <w:tcW w:w="946" w:type="dxa"/>
          </w:tcPr>
          <w:p w14:paraId="0A7D7AD6"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2011</w:t>
            </w:r>
          </w:p>
        </w:tc>
        <w:tc>
          <w:tcPr>
            <w:tcW w:w="1057" w:type="dxa"/>
          </w:tcPr>
          <w:p w14:paraId="0A7D7AD7" w14:textId="5797393B" w:rsidR="00F1583D" w:rsidRDefault="00F1583D" w:rsidP="005E3C1D">
            <w:pPr>
              <w:spacing w:after="0" w:line="240" w:lineRule="auto"/>
              <w:rPr>
                <w:rFonts w:cs="Arial"/>
                <w:sz w:val="18"/>
                <w:szCs w:val="18"/>
                <w:lang w:val="en-GB" w:eastAsia="de-DE"/>
              </w:rPr>
            </w:pPr>
            <w:r>
              <w:rPr>
                <w:rFonts w:cs="Arial"/>
                <w:sz w:val="18"/>
                <w:szCs w:val="18"/>
                <w:lang w:val="en-GB" w:eastAsia="de-DE"/>
              </w:rPr>
              <w:t>5915</w:t>
            </w:r>
            <w:r w:rsidR="005E3C1D">
              <w:rPr>
                <w:rFonts w:cs="Arial"/>
                <w:sz w:val="18"/>
                <w:szCs w:val="18"/>
                <w:lang w:val="en-GB" w:eastAsia="de-DE"/>
              </w:rPr>
              <w:t>-</w:t>
            </w:r>
            <w:r>
              <w:rPr>
                <w:rFonts w:cs="Arial"/>
                <w:sz w:val="18"/>
                <w:szCs w:val="18"/>
                <w:lang w:val="en-GB" w:eastAsia="de-DE"/>
              </w:rPr>
              <w:t>5935 MHz</w:t>
            </w:r>
          </w:p>
        </w:tc>
        <w:tc>
          <w:tcPr>
            <w:tcW w:w="1017" w:type="dxa"/>
          </w:tcPr>
          <w:p w14:paraId="0A7D7AD8" w14:textId="1E00A6BB" w:rsidR="00F1583D" w:rsidRDefault="00F1583D" w:rsidP="004C19D7">
            <w:pPr>
              <w:spacing w:after="0" w:line="240" w:lineRule="auto"/>
              <w:rPr>
                <w:rFonts w:cs="Arial"/>
                <w:sz w:val="18"/>
                <w:szCs w:val="18"/>
                <w:lang w:val="en-GB" w:eastAsia="de-DE"/>
              </w:rPr>
            </w:pPr>
            <w:r>
              <w:rPr>
                <w:rFonts w:cs="Arial"/>
                <w:sz w:val="18"/>
                <w:szCs w:val="18"/>
                <w:lang w:val="en-GB" w:eastAsia="de-DE"/>
              </w:rPr>
              <w:t>750.000</w:t>
            </w:r>
          </w:p>
        </w:tc>
        <w:tc>
          <w:tcPr>
            <w:tcW w:w="769" w:type="dxa"/>
          </w:tcPr>
          <w:p w14:paraId="0A7D7AD9" w14:textId="69C11E0B" w:rsidR="00F1583D" w:rsidRDefault="00F1583D">
            <w:pPr>
              <w:spacing w:after="0" w:line="240" w:lineRule="auto"/>
              <w:rPr>
                <w:rFonts w:cs="Arial"/>
                <w:color w:val="000000"/>
                <w:sz w:val="18"/>
                <w:szCs w:val="18"/>
                <w:lang w:val="en-GB" w:eastAsia="de-DE"/>
              </w:rPr>
            </w:pPr>
            <w:r>
              <w:rPr>
                <w:rFonts w:cs="Arial"/>
                <w:color w:val="000000"/>
                <w:sz w:val="18"/>
                <w:szCs w:val="18"/>
                <w:lang w:val="en-GB" w:eastAsia="de-DE"/>
              </w:rPr>
              <w:t>18.000</w:t>
            </w:r>
          </w:p>
        </w:tc>
        <w:tc>
          <w:tcPr>
            <w:tcW w:w="857" w:type="dxa"/>
          </w:tcPr>
          <w:p w14:paraId="0A7D7ADA"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920m (in 2 places)</w:t>
            </w:r>
          </w:p>
        </w:tc>
        <w:tc>
          <w:tcPr>
            <w:tcW w:w="899" w:type="dxa"/>
          </w:tcPr>
          <w:p w14:paraId="0A7D7ADB"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6%</w:t>
            </w:r>
          </w:p>
        </w:tc>
      </w:tr>
      <w:tr w:rsidR="00F1583D" w14:paraId="0A7D7AE6" w14:textId="77777777" w:rsidTr="00F1583D">
        <w:trPr>
          <w:trHeight w:val="300"/>
        </w:trPr>
        <w:tc>
          <w:tcPr>
            <w:tcW w:w="947" w:type="dxa"/>
          </w:tcPr>
          <w:p w14:paraId="0A7D7ADD"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France</w:t>
            </w:r>
          </w:p>
        </w:tc>
        <w:tc>
          <w:tcPr>
            <w:tcW w:w="1533" w:type="dxa"/>
          </w:tcPr>
          <w:p w14:paraId="0A7D7ADE"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Paris L3</w:t>
            </w:r>
          </w:p>
        </w:tc>
        <w:tc>
          <w:tcPr>
            <w:tcW w:w="1191" w:type="dxa"/>
          </w:tcPr>
          <w:p w14:paraId="0A7D7ADF"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Already in operation</w:t>
            </w:r>
          </w:p>
        </w:tc>
        <w:tc>
          <w:tcPr>
            <w:tcW w:w="946" w:type="dxa"/>
          </w:tcPr>
          <w:p w14:paraId="0A7D7AE0"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2010</w:t>
            </w:r>
          </w:p>
        </w:tc>
        <w:tc>
          <w:tcPr>
            <w:tcW w:w="1057" w:type="dxa"/>
          </w:tcPr>
          <w:p w14:paraId="0A7D7AE1" w14:textId="30AA82AF" w:rsidR="00F1583D" w:rsidRDefault="00F1583D" w:rsidP="005E3C1D">
            <w:pPr>
              <w:spacing w:after="0" w:line="240" w:lineRule="auto"/>
              <w:rPr>
                <w:rFonts w:cs="Arial"/>
                <w:sz w:val="18"/>
                <w:szCs w:val="18"/>
                <w:lang w:val="en-GB" w:eastAsia="de-DE"/>
              </w:rPr>
            </w:pPr>
            <w:r>
              <w:rPr>
                <w:rFonts w:cs="Arial"/>
                <w:sz w:val="18"/>
                <w:szCs w:val="18"/>
                <w:lang w:val="en-GB" w:eastAsia="de-DE"/>
              </w:rPr>
              <w:t>5915</w:t>
            </w:r>
            <w:r w:rsidR="005E3C1D">
              <w:rPr>
                <w:rFonts w:cs="Arial"/>
                <w:sz w:val="18"/>
                <w:szCs w:val="18"/>
                <w:lang w:val="en-GB" w:eastAsia="de-DE"/>
              </w:rPr>
              <w:t>-</w:t>
            </w:r>
            <w:r>
              <w:rPr>
                <w:rFonts w:cs="Arial"/>
                <w:sz w:val="18"/>
                <w:szCs w:val="18"/>
                <w:lang w:val="en-GB" w:eastAsia="de-DE"/>
              </w:rPr>
              <w:t>5935 MHz</w:t>
            </w:r>
          </w:p>
        </w:tc>
        <w:tc>
          <w:tcPr>
            <w:tcW w:w="1017" w:type="dxa"/>
          </w:tcPr>
          <w:p w14:paraId="0A7D7AE2" w14:textId="595CBFCD" w:rsidR="00F1583D" w:rsidRDefault="00F1583D" w:rsidP="004C19D7">
            <w:pPr>
              <w:spacing w:after="0" w:line="240" w:lineRule="auto"/>
              <w:rPr>
                <w:rFonts w:cs="Arial"/>
                <w:sz w:val="18"/>
                <w:szCs w:val="18"/>
                <w:lang w:val="en-GB" w:eastAsia="de-DE"/>
              </w:rPr>
            </w:pPr>
            <w:r>
              <w:rPr>
                <w:rFonts w:cs="Arial"/>
                <w:sz w:val="18"/>
                <w:szCs w:val="18"/>
                <w:lang w:val="en-GB" w:eastAsia="de-DE"/>
              </w:rPr>
              <w:t>350.000</w:t>
            </w:r>
          </w:p>
        </w:tc>
        <w:tc>
          <w:tcPr>
            <w:tcW w:w="769" w:type="dxa"/>
          </w:tcPr>
          <w:p w14:paraId="0A7D7AE3" w14:textId="180E717A" w:rsidR="00F1583D" w:rsidRDefault="00F1583D">
            <w:pPr>
              <w:spacing w:after="0" w:line="240" w:lineRule="auto"/>
              <w:rPr>
                <w:rFonts w:cs="Arial"/>
                <w:color w:val="000000"/>
                <w:sz w:val="18"/>
                <w:szCs w:val="18"/>
                <w:lang w:val="en-GB" w:eastAsia="de-DE"/>
              </w:rPr>
            </w:pPr>
            <w:r>
              <w:rPr>
                <w:rFonts w:cs="Arial"/>
                <w:color w:val="000000"/>
                <w:sz w:val="18"/>
                <w:szCs w:val="18"/>
                <w:lang w:val="en-GB" w:eastAsia="de-DE"/>
              </w:rPr>
              <w:t>13.000</w:t>
            </w:r>
          </w:p>
        </w:tc>
        <w:tc>
          <w:tcPr>
            <w:tcW w:w="857" w:type="dxa"/>
          </w:tcPr>
          <w:p w14:paraId="0A7D7AE4"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0</w:t>
            </w:r>
          </w:p>
        </w:tc>
        <w:tc>
          <w:tcPr>
            <w:tcW w:w="899" w:type="dxa"/>
          </w:tcPr>
          <w:p w14:paraId="0A7D7AE5"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0%</w:t>
            </w:r>
          </w:p>
        </w:tc>
      </w:tr>
      <w:tr w:rsidR="00F1583D" w14:paraId="0A7D7AF0" w14:textId="77777777" w:rsidTr="00F1583D">
        <w:trPr>
          <w:trHeight w:val="300"/>
        </w:trPr>
        <w:tc>
          <w:tcPr>
            <w:tcW w:w="947" w:type="dxa"/>
          </w:tcPr>
          <w:p w14:paraId="0A7D7AE7"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France</w:t>
            </w:r>
          </w:p>
        </w:tc>
        <w:tc>
          <w:tcPr>
            <w:tcW w:w="1533" w:type="dxa"/>
          </w:tcPr>
          <w:p w14:paraId="0A7D7AE8"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Paris L5  </w:t>
            </w:r>
          </w:p>
        </w:tc>
        <w:tc>
          <w:tcPr>
            <w:tcW w:w="1191" w:type="dxa"/>
          </w:tcPr>
          <w:p w14:paraId="0A7D7AE9"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Already in operation</w:t>
            </w:r>
          </w:p>
        </w:tc>
        <w:tc>
          <w:tcPr>
            <w:tcW w:w="946" w:type="dxa"/>
          </w:tcPr>
          <w:p w14:paraId="0A7D7AEA"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2013</w:t>
            </w:r>
          </w:p>
        </w:tc>
        <w:tc>
          <w:tcPr>
            <w:tcW w:w="1057" w:type="dxa"/>
          </w:tcPr>
          <w:p w14:paraId="0A7D7AEB" w14:textId="7D240319" w:rsidR="00F1583D" w:rsidRDefault="00F1583D" w:rsidP="005E3C1D">
            <w:pPr>
              <w:spacing w:after="0" w:line="240" w:lineRule="auto"/>
              <w:rPr>
                <w:rFonts w:cs="Arial"/>
                <w:sz w:val="18"/>
                <w:szCs w:val="18"/>
                <w:lang w:val="en-GB" w:eastAsia="de-DE"/>
              </w:rPr>
            </w:pPr>
            <w:r>
              <w:rPr>
                <w:rFonts w:cs="Arial"/>
                <w:sz w:val="18"/>
                <w:szCs w:val="18"/>
                <w:lang w:val="en-GB" w:eastAsia="de-DE"/>
              </w:rPr>
              <w:t>5915</w:t>
            </w:r>
            <w:r w:rsidR="005E3C1D">
              <w:rPr>
                <w:rFonts w:cs="Arial"/>
                <w:sz w:val="18"/>
                <w:szCs w:val="18"/>
                <w:lang w:val="en-GB" w:eastAsia="de-DE"/>
              </w:rPr>
              <w:t>-</w:t>
            </w:r>
            <w:r>
              <w:rPr>
                <w:rFonts w:cs="Arial"/>
                <w:sz w:val="18"/>
                <w:szCs w:val="18"/>
                <w:lang w:val="en-GB" w:eastAsia="de-DE"/>
              </w:rPr>
              <w:t>5935 MHz</w:t>
            </w:r>
          </w:p>
        </w:tc>
        <w:tc>
          <w:tcPr>
            <w:tcW w:w="1017" w:type="dxa"/>
          </w:tcPr>
          <w:p w14:paraId="0A7D7AEC" w14:textId="443CF82D" w:rsidR="00F1583D" w:rsidRDefault="00F1583D" w:rsidP="004C19D7">
            <w:pPr>
              <w:spacing w:after="0" w:line="240" w:lineRule="auto"/>
              <w:rPr>
                <w:rFonts w:cs="Arial"/>
                <w:sz w:val="18"/>
                <w:szCs w:val="18"/>
                <w:lang w:val="en-GB" w:eastAsia="de-DE"/>
              </w:rPr>
            </w:pPr>
            <w:r>
              <w:rPr>
                <w:rFonts w:cs="Arial"/>
                <w:sz w:val="18"/>
                <w:szCs w:val="18"/>
                <w:lang w:val="en-GB" w:eastAsia="de-DE"/>
              </w:rPr>
              <w:t>450.000</w:t>
            </w:r>
          </w:p>
        </w:tc>
        <w:tc>
          <w:tcPr>
            <w:tcW w:w="769" w:type="dxa"/>
          </w:tcPr>
          <w:p w14:paraId="0A7D7AED" w14:textId="767A1870" w:rsidR="00F1583D" w:rsidRDefault="00F1583D">
            <w:pPr>
              <w:spacing w:after="0" w:line="240" w:lineRule="auto"/>
              <w:rPr>
                <w:rFonts w:cs="Arial"/>
                <w:color w:val="000000"/>
                <w:sz w:val="18"/>
                <w:szCs w:val="18"/>
                <w:lang w:val="en-GB" w:eastAsia="de-DE"/>
              </w:rPr>
            </w:pPr>
            <w:r>
              <w:rPr>
                <w:rFonts w:cs="Arial"/>
                <w:color w:val="000000"/>
                <w:sz w:val="18"/>
                <w:szCs w:val="18"/>
                <w:lang w:val="en-GB" w:eastAsia="de-DE"/>
              </w:rPr>
              <w:t>16.000</w:t>
            </w:r>
          </w:p>
        </w:tc>
        <w:tc>
          <w:tcPr>
            <w:tcW w:w="857" w:type="dxa"/>
          </w:tcPr>
          <w:p w14:paraId="0A7D7AEE"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3200</w:t>
            </w:r>
          </w:p>
        </w:tc>
        <w:tc>
          <w:tcPr>
            <w:tcW w:w="899" w:type="dxa"/>
          </w:tcPr>
          <w:p w14:paraId="0A7D7AEF"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20%</w:t>
            </w:r>
          </w:p>
        </w:tc>
      </w:tr>
      <w:tr w:rsidR="00F1583D" w14:paraId="0A7D7AFA" w14:textId="77777777" w:rsidTr="00F1583D">
        <w:trPr>
          <w:trHeight w:val="300"/>
        </w:trPr>
        <w:tc>
          <w:tcPr>
            <w:tcW w:w="947" w:type="dxa"/>
          </w:tcPr>
          <w:p w14:paraId="0A7D7AF1"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France</w:t>
            </w:r>
          </w:p>
        </w:tc>
        <w:tc>
          <w:tcPr>
            <w:tcW w:w="1533" w:type="dxa"/>
          </w:tcPr>
          <w:p w14:paraId="0A7D7AF2"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Paris L9 </w:t>
            </w:r>
          </w:p>
        </w:tc>
        <w:tc>
          <w:tcPr>
            <w:tcW w:w="1191" w:type="dxa"/>
          </w:tcPr>
          <w:p w14:paraId="0A7D7AF3"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Already in operation</w:t>
            </w:r>
          </w:p>
        </w:tc>
        <w:tc>
          <w:tcPr>
            <w:tcW w:w="946" w:type="dxa"/>
          </w:tcPr>
          <w:p w14:paraId="0A7D7AF4"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2015</w:t>
            </w:r>
          </w:p>
        </w:tc>
        <w:tc>
          <w:tcPr>
            <w:tcW w:w="1057" w:type="dxa"/>
          </w:tcPr>
          <w:p w14:paraId="0A7D7AF5" w14:textId="450864B7" w:rsidR="00F1583D" w:rsidRDefault="00F1583D" w:rsidP="005E3C1D">
            <w:pPr>
              <w:spacing w:after="0" w:line="240" w:lineRule="auto"/>
              <w:rPr>
                <w:rFonts w:cs="Arial"/>
                <w:sz w:val="18"/>
                <w:szCs w:val="18"/>
                <w:lang w:val="en-GB" w:eastAsia="de-DE"/>
              </w:rPr>
            </w:pPr>
            <w:r>
              <w:rPr>
                <w:rFonts w:cs="Arial"/>
                <w:sz w:val="18"/>
                <w:szCs w:val="18"/>
                <w:lang w:val="en-GB" w:eastAsia="de-DE"/>
              </w:rPr>
              <w:t>5915</w:t>
            </w:r>
            <w:r w:rsidR="005E3C1D">
              <w:rPr>
                <w:rFonts w:cs="Arial"/>
                <w:sz w:val="18"/>
                <w:szCs w:val="18"/>
                <w:lang w:val="en-GB" w:eastAsia="de-DE"/>
              </w:rPr>
              <w:t>-</w:t>
            </w:r>
            <w:r>
              <w:rPr>
                <w:rFonts w:cs="Arial"/>
                <w:sz w:val="18"/>
                <w:szCs w:val="18"/>
                <w:lang w:val="en-GB" w:eastAsia="de-DE"/>
              </w:rPr>
              <w:t>5935 MHz</w:t>
            </w:r>
          </w:p>
        </w:tc>
        <w:tc>
          <w:tcPr>
            <w:tcW w:w="1017" w:type="dxa"/>
          </w:tcPr>
          <w:p w14:paraId="0A7D7AF6" w14:textId="775D6CDE" w:rsidR="00F1583D" w:rsidRDefault="00F1583D" w:rsidP="004C19D7">
            <w:pPr>
              <w:spacing w:after="0" w:line="240" w:lineRule="auto"/>
              <w:rPr>
                <w:rFonts w:cs="Arial"/>
                <w:sz w:val="18"/>
                <w:szCs w:val="18"/>
                <w:lang w:val="en-GB" w:eastAsia="de-DE"/>
              </w:rPr>
            </w:pPr>
            <w:r>
              <w:rPr>
                <w:rFonts w:cs="Arial"/>
                <w:sz w:val="18"/>
                <w:szCs w:val="18"/>
                <w:lang w:val="en-GB" w:eastAsia="de-DE"/>
              </w:rPr>
              <w:t>550.000</w:t>
            </w:r>
          </w:p>
        </w:tc>
        <w:tc>
          <w:tcPr>
            <w:tcW w:w="769" w:type="dxa"/>
          </w:tcPr>
          <w:p w14:paraId="0A7D7AF7" w14:textId="1DB14260" w:rsidR="00F1583D" w:rsidRDefault="00F1583D">
            <w:pPr>
              <w:spacing w:after="0" w:line="240" w:lineRule="auto"/>
              <w:rPr>
                <w:rFonts w:cs="Arial"/>
                <w:color w:val="000000"/>
                <w:sz w:val="18"/>
                <w:szCs w:val="18"/>
                <w:lang w:val="en-GB" w:eastAsia="de-DE"/>
              </w:rPr>
            </w:pPr>
            <w:r>
              <w:rPr>
                <w:rFonts w:cs="Arial"/>
                <w:color w:val="000000"/>
                <w:sz w:val="18"/>
                <w:szCs w:val="18"/>
                <w:lang w:val="en-GB" w:eastAsia="de-DE"/>
              </w:rPr>
              <w:t>21.000</w:t>
            </w:r>
          </w:p>
        </w:tc>
        <w:tc>
          <w:tcPr>
            <w:tcW w:w="857" w:type="dxa"/>
          </w:tcPr>
          <w:p w14:paraId="0A7D7AF8"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0</w:t>
            </w:r>
          </w:p>
        </w:tc>
        <w:tc>
          <w:tcPr>
            <w:tcW w:w="899" w:type="dxa"/>
          </w:tcPr>
          <w:p w14:paraId="0A7D7AF9"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0%</w:t>
            </w:r>
          </w:p>
        </w:tc>
      </w:tr>
      <w:tr w:rsidR="00F1583D" w14:paraId="0A7D7B04" w14:textId="77777777" w:rsidTr="00F1583D">
        <w:trPr>
          <w:trHeight w:val="300"/>
        </w:trPr>
        <w:tc>
          <w:tcPr>
            <w:tcW w:w="947" w:type="dxa"/>
          </w:tcPr>
          <w:p w14:paraId="0A7D7AFB"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Spain</w:t>
            </w:r>
          </w:p>
        </w:tc>
        <w:tc>
          <w:tcPr>
            <w:tcW w:w="1533" w:type="dxa"/>
          </w:tcPr>
          <w:p w14:paraId="0A7D7AFC"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Malaga L1</w:t>
            </w:r>
          </w:p>
        </w:tc>
        <w:tc>
          <w:tcPr>
            <w:tcW w:w="1191" w:type="dxa"/>
          </w:tcPr>
          <w:p w14:paraId="0A7D7AFD"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Already in operation</w:t>
            </w:r>
          </w:p>
        </w:tc>
        <w:tc>
          <w:tcPr>
            <w:tcW w:w="946" w:type="dxa"/>
          </w:tcPr>
          <w:p w14:paraId="0A7D7AFE"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w:t>
            </w:r>
          </w:p>
        </w:tc>
        <w:tc>
          <w:tcPr>
            <w:tcW w:w="1057" w:type="dxa"/>
          </w:tcPr>
          <w:p w14:paraId="0A7D7AFF" w14:textId="344C2A80" w:rsidR="00F1583D" w:rsidRDefault="00F1583D" w:rsidP="005E3C1D">
            <w:pPr>
              <w:spacing w:after="0" w:line="240" w:lineRule="auto"/>
              <w:rPr>
                <w:rFonts w:cs="Arial"/>
                <w:sz w:val="18"/>
                <w:szCs w:val="18"/>
                <w:lang w:val="en-GB" w:eastAsia="de-DE"/>
              </w:rPr>
            </w:pPr>
            <w:r>
              <w:rPr>
                <w:rFonts w:cs="Arial"/>
                <w:sz w:val="18"/>
                <w:szCs w:val="18"/>
                <w:lang w:val="en-GB" w:eastAsia="de-DE"/>
              </w:rPr>
              <w:t>5905</w:t>
            </w:r>
            <w:r w:rsidR="005E3C1D">
              <w:rPr>
                <w:rFonts w:cs="Arial"/>
                <w:sz w:val="18"/>
                <w:szCs w:val="18"/>
                <w:lang w:val="en-GB" w:eastAsia="de-DE"/>
              </w:rPr>
              <w:t>-</w:t>
            </w:r>
            <w:r>
              <w:rPr>
                <w:rFonts w:cs="Arial"/>
                <w:sz w:val="18"/>
                <w:szCs w:val="18"/>
                <w:lang w:val="en-GB" w:eastAsia="de-DE"/>
              </w:rPr>
              <w:t>5925 MHz</w:t>
            </w:r>
          </w:p>
        </w:tc>
        <w:tc>
          <w:tcPr>
            <w:tcW w:w="1017" w:type="dxa"/>
          </w:tcPr>
          <w:p w14:paraId="0A7D7B00"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w:t>
            </w:r>
          </w:p>
        </w:tc>
        <w:tc>
          <w:tcPr>
            <w:tcW w:w="769" w:type="dxa"/>
          </w:tcPr>
          <w:p w14:paraId="0A7D7B01" w14:textId="58C43161" w:rsidR="00F1583D" w:rsidRDefault="00F1583D" w:rsidP="004C19D7">
            <w:pPr>
              <w:spacing w:after="0" w:line="240" w:lineRule="auto"/>
              <w:rPr>
                <w:rFonts w:cs="Arial"/>
                <w:color w:val="000000"/>
                <w:sz w:val="18"/>
                <w:szCs w:val="18"/>
                <w:lang w:val="en-GB" w:eastAsia="de-DE"/>
              </w:rPr>
            </w:pPr>
            <w:r>
              <w:rPr>
                <w:rFonts w:cs="Arial"/>
                <w:color w:val="000000"/>
                <w:sz w:val="18"/>
                <w:szCs w:val="18"/>
                <w:lang w:val="en-GB" w:eastAsia="de-DE"/>
              </w:rPr>
              <w:t>9.400</w:t>
            </w:r>
          </w:p>
        </w:tc>
        <w:tc>
          <w:tcPr>
            <w:tcW w:w="857" w:type="dxa"/>
          </w:tcPr>
          <w:p w14:paraId="0A7D7B02"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1500</w:t>
            </w:r>
          </w:p>
        </w:tc>
        <w:tc>
          <w:tcPr>
            <w:tcW w:w="899" w:type="dxa"/>
          </w:tcPr>
          <w:p w14:paraId="0A7D7B03"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16%</w:t>
            </w:r>
          </w:p>
        </w:tc>
      </w:tr>
      <w:tr w:rsidR="00F1583D" w14:paraId="0A7D7B0E" w14:textId="77777777" w:rsidTr="00F1583D">
        <w:trPr>
          <w:trHeight w:val="300"/>
        </w:trPr>
        <w:tc>
          <w:tcPr>
            <w:tcW w:w="947" w:type="dxa"/>
          </w:tcPr>
          <w:p w14:paraId="0A7D7B05"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Spain</w:t>
            </w:r>
          </w:p>
        </w:tc>
        <w:tc>
          <w:tcPr>
            <w:tcW w:w="1533" w:type="dxa"/>
          </w:tcPr>
          <w:p w14:paraId="0A7D7B06"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Malaga L2 </w:t>
            </w:r>
          </w:p>
        </w:tc>
        <w:tc>
          <w:tcPr>
            <w:tcW w:w="1191" w:type="dxa"/>
          </w:tcPr>
          <w:p w14:paraId="0A7D7B07"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Already in operation</w:t>
            </w:r>
          </w:p>
        </w:tc>
        <w:tc>
          <w:tcPr>
            <w:tcW w:w="946" w:type="dxa"/>
          </w:tcPr>
          <w:p w14:paraId="0A7D7B08"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w:t>
            </w:r>
          </w:p>
        </w:tc>
        <w:tc>
          <w:tcPr>
            <w:tcW w:w="1057" w:type="dxa"/>
          </w:tcPr>
          <w:p w14:paraId="0A7D7B09" w14:textId="79A7341F" w:rsidR="00F1583D" w:rsidRDefault="00F1583D" w:rsidP="005E3C1D">
            <w:pPr>
              <w:spacing w:after="0" w:line="240" w:lineRule="auto"/>
              <w:rPr>
                <w:rFonts w:cs="Arial"/>
                <w:sz w:val="18"/>
                <w:szCs w:val="18"/>
                <w:lang w:val="en-GB" w:eastAsia="de-DE"/>
              </w:rPr>
            </w:pPr>
            <w:r>
              <w:rPr>
                <w:rFonts w:cs="Arial"/>
                <w:sz w:val="18"/>
                <w:szCs w:val="18"/>
                <w:lang w:val="en-GB" w:eastAsia="de-DE"/>
              </w:rPr>
              <w:t>5905</w:t>
            </w:r>
            <w:r w:rsidR="005E3C1D">
              <w:rPr>
                <w:rFonts w:cs="Arial"/>
                <w:sz w:val="18"/>
                <w:szCs w:val="18"/>
                <w:lang w:val="en-GB" w:eastAsia="de-DE"/>
              </w:rPr>
              <w:t>-</w:t>
            </w:r>
            <w:r>
              <w:rPr>
                <w:rFonts w:cs="Arial"/>
                <w:sz w:val="18"/>
                <w:szCs w:val="18"/>
                <w:lang w:val="en-GB" w:eastAsia="de-DE"/>
              </w:rPr>
              <w:t>5925 MHz</w:t>
            </w:r>
          </w:p>
        </w:tc>
        <w:tc>
          <w:tcPr>
            <w:tcW w:w="1017" w:type="dxa"/>
          </w:tcPr>
          <w:p w14:paraId="0A7D7B0A"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w:t>
            </w:r>
          </w:p>
        </w:tc>
        <w:tc>
          <w:tcPr>
            <w:tcW w:w="769" w:type="dxa"/>
          </w:tcPr>
          <w:p w14:paraId="0A7D7B0B" w14:textId="4E5E66AC" w:rsidR="00F1583D" w:rsidRDefault="00F1583D" w:rsidP="004C19D7">
            <w:pPr>
              <w:spacing w:after="0" w:line="240" w:lineRule="auto"/>
              <w:rPr>
                <w:rFonts w:cs="Arial"/>
                <w:color w:val="000000"/>
                <w:sz w:val="18"/>
                <w:szCs w:val="18"/>
                <w:lang w:val="en-GB" w:eastAsia="de-DE"/>
              </w:rPr>
            </w:pPr>
            <w:r>
              <w:rPr>
                <w:rFonts w:cs="Arial"/>
                <w:color w:val="000000"/>
                <w:sz w:val="18"/>
                <w:szCs w:val="18"/>
                <w:lang w:val="en-GB" w:eastAsia="de-DE"/>
              </w:rPr>
              <w:t>5.300</w:t>
            </w:r>
          </w:p>
        </w:tc>
        <w:tc>
          <w:tcPr>
            <w:tcW w:w="857" w:type="dxa"/>
          </w:tcPr>
          <w:p w14:paraId="0A7D7B0C"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5300</w:t>
            </w:r>
          </w:p>
        </w:tc>
        <w:tc>
          <w:tcPr>
            <w:tcW w:w="899" w:type="dxa"/>
          </w:tcPr>
          <w:p w14:paraId="0A7D7B0D"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100%</w:t>
            </w:r>
          </w:p>
        </w:tc>
      </w:tr>
      <w:tr w:rsidR="00F1583D" w14:paraId="0A7D7B18" w14:textId="77777777" w:rsidTr="00F1583D">
        <w:trPr>
          <w:trHeight w:val="300"/>
        </w:trPr>
        <w:tc>
          <w:tcPr>
            <w:tcW w:w="947" w:type="dxa"/>
          </w:tcPr>
          <w:p w14:paraId="0A7D7B0F"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France</w:t>
            </w:r>
          </w:p>
        </w:tc>
        <w:tc>
          <w:tcPr>
            <w:tcW w:w="1533" w:type="dxa"/>
          </w:tcPr>
          <w:p w14:paraId="0A7D7B10"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Paris L4</w:t>
            </w:r>
          </w:p>
        </w:tc>
        <w:tc>
          <w:tcPr>
            <w:tcW w:w="1191" w:type="dxa"/>
          </w:tcPr>
          <w:p w14:paraId="0A7D7B11"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xml:space="preserve">Contract awarded </w:t>
            </w:r>
          </w:p>
        </w:tc>
        <w:tc>
          <w:tcPr>
            <w:tcW w:w="946" w:type="dxa"/>
          </w:tcPr>
          <w:p w14:paraId="0A7D7B12"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Planned 2020</w:t>
            </w:r>
          </w:p>
        </w:tc>
        <w:tc>
          <w:tcPr>
            <w:tcW w:w="1057" w:type="dxa"/>
          </w:tcPr>
          <w:p w14:paraId="0A7D7B13" w14:textId="1695B6F1" w:rsidR="00F1583D" w:rsidRDefault="00F1583D" w:rsidP="005E3C1D">
            <w:pPr>
              <w:spacing w:after="0" w:line="240" w:lineRule="auto"/>
              <w:rPr>
                <w:rFonts w:cs="Arial"/>
                <w:sz w:val="18"/>
                <w:szCs w:val="18"/>
                <w:lang w:val="en-GB" w:eastAsia="de-DE"/>
              </w:rPr>
            </w:pPr>
            <w:r>
              <w:rPr>
                <w:rFonts w:cs="Arial"/>
                <w:sz w:val="18"/>
                <w:szCs w:val="18"/>
                <w:lang w:val="en-GB" w:eastAsia="de-DE"/>
              </w:rPr>
              <w:t>5915</w:t>
            </w:r>
            <w:r w:rsidR="005E3C1D">
              <w:rPr>
                <w:rFonts w:cs="Arial"/>
                <w:sz w:val="18"/>
                <w:szCs w:val="18"/>
                <w:lang w:val="en-GB" w:eastAsia="de-DE"/>
              </w:rPr>
              <w:t>-</w:t>
            </w:r>
            <w:r>
              <w:rPr>
                <w:rFonts w:cs="Arial"/>
                <w:sz w:val="18"/>
                <w:szCs w:val="18"/>
                <w:lang w:val="en-GB" w:eastAsia="de-DE"/>
              </w:rPr>
              <w:t>5935 MHz</w:t>
            </w:r>
          </w:p>
        </w:tc>
        <w:tc>
          <w:tcPr>
            <w:tcW w:w="1017" w:type="dxa"/>
          </w:tcPr>
          <w:p w14:paraId="0A7D7B14" w14:textId="4B9C4478" w:rsidR="00F1583D" w:rsidRDefault="00F1583D" w:rsidP="004C19D7">
            <w:pPr>
              <w:spacing w:after="0" w:line="240" w:lineRule="auto"/>
              <w:rPr>
                <w:rFonts w:cs="Arial"/>
                <w:sz w:val="18"/>
                <w:szCs w:val="18"/>
                <w:lang w:val="en-GB" w:eastAsia="de-DE"/>
              </w:rPr>
            </w:pPr>
            <w:r>
              <w:rPr>
                <w:rFonts w:cs="Arial"/>
                <w:sz w:val="18"/>
                <w:szCs w:val="18"/>
                <w:lang w:val="en-GB" w:eastAsia="de-DE"/>
              </w:rPr>
              <w:t>780.000</w:t>
            </w:r>
          </w:p>
        </w:tc>
        <w:tc>
          <w:tcPr>
            <w:tcW w:w="769" w:type="dxa"/>
          </w:tcPr>
          <w:p w14:paraId="0A7D7B15" w14:textId="7FCBC4E4" w:rsidR="00F1583D" w:rsidRDefault="00F1583D">
            <w:pPr>
              <w:spacing w:after="0" w:line="240" w:lineRule="auto"/>
              <w:rPr>
                <w:rFonts w:cs="Arial"/>
                <w:color w:val="000000"/>
                <w:sz w:val="18"/>
                <w:szCs w:val="18"/>
                <w:lang w:val="en-GB" w:eastAsia="de-DE"/>
              </w:rPr>
            </w:pPr>
            <w:r>
              <w:rPr>
                <w:rFonts w:cs="Arial"/>
                <w:color w:val="000000"/>
                <w:sz w:val="18"/>
                <w:szCs w:val="18"/>
                <w:lang w:val="en-GB" w:eastAsia="de-DE"/>
              </w:rPr>
              <w:t>13.000</w:t>
            </w:r>
          </w:p>
        </w:tc>
        <w:tc>
          <w:tcPr>
            <w:tcW w:w="857" w:type="dxa"/>
          </w:tcPr>
          <w:p w14:paraId="0A7D7B16"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Only depot</w:t>
            </w:r>
          </w:p>
        </w:tc>
        <w:tc>
          <w:tcPr>
            <w:tcW w:w="899" w:type="dxa"/>
          </w:tcPr>
          <w:p w14:paraId="0A7D7B17"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w:t>
            </w:r>
          </w:p>
        </w:tc>
      </w:tr>
      <w:tr w:rsidR="00F1583D" w14:paraId="0A7D7B22" w14:textId="77777777" w:rsidTr="00F1583D">
        <w:trPr>
          <w:trHeight w:val="570"/>
        </w:trPr>
        <w:tc>
          <w:tcPr>
            <w:tcW w:w="947" w:type="dxa"/>
          </w:tcPr>
          <w:p w14:paraId="0A7D7B19"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France</w:t>
            </w:r>
          </w:p>
        </w:tc>
        <w:tc>
          <w:tcPr>
            <w:tcW w:w="1533" w:type="dxa"/>
          </w:tcPr>
          <w:p w14:paraId="0A7D7B1A"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Rennes LB</w:t>
            </w:r>
          </w:p>
        </w:tc>
        <w:tc>
          <w:tcPr>
            <w:tcW w:w="1191" w:type="dxa"/>
          </w:tcPr>
          <w:p w14:paraId="0A7D7B1B"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xml:space="preserve">Roll-out </w:t>
            </w:r>
          </w:p>
        </w:tc>
        <w:tc>
          <w:tcPr>
            <w:tcW w:w="946" w:type="dxa"/>
          </w:tcPr>
          <w:p w14:paraId="0A7D7B1C"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Planned 2020</w:t>
            </w:r>
          </w:p>
        </w:tc>
        <w:tc>
          <w:tcPr>
            <w:tcW w:w="1057" w:type="dxa"/>
          </w:tcPr>
          <w:p w14:paraId="0A7D7B1D" w14:textId="474D5A16" w:rsidR="00F1583D" w:rsidRDefault="00F1583D" w:rsidP="004C19D7">
            <w:pPr>
              <w:spacing w:after="0" w:line="240" w:lineRule="auto"/>
              <w:rPr>
                <w:rFonts w:cs="Arial"/>
                <w:sz w:val="18"/>
                <w:szCs w:val="18"/>
                <w:lang w:val="en-GB" w:eastAsia="de-DE"/>
              </w:rPr>
            </w:pPr>
            <w:r>
              <w:rPr>
                <w:rFonts w:cs="Arial"/>
                <w:sz w:val="18"/>
                <w:szCs w:val="18"/>
                <w:lang w:val="en-GB" w:eastAsia="de-DE"/>
              </w:rPr>
              <w:t>5872,5</w:t>
            </w:r>
            <w:r w:rsidR="005E3C1D">
              <w:rPr>
                <w:rFonts w:cs="Arial"/>
                <w:sz w:val="18"/>
                <w:szCs w:val="18"/>
                <w:lang w:val="en-GB" w:eastAsia="de-DE"/>
              </w:rPr>
              <w:t>-</w:t>
            </w:r>
            <w:r>
              <w:rPr>
                <w:rFonts w:cs="Arial"/>
                <w:sz w:val="18"/>
                <w:szCs w:val="18"/>
                <w:lang w:val="en-GB" w:eastAsia="de-DE"/>
              </w:rPr>
              <w:t>5927,5 MHz</w:t>
            </w:r>
          </w:p>
        </w:tc>
        <w:tc>
          <w:tcPr>
            <w:tcW w:w="1017" w:type="dxa"/>
          </w:tcPr>
          <w:p w14:paraId="0A7D7B1E"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w:t>
            </w:r>
          </w:p>
        </w:tc>
        <w:tc>
          <w:tcPr>
            <w:tcW w:w="769" w:type="dxa"/>
          </w:tcPr>
          <w:p w14:paraId="0A7D7B1F" w14:textId="1190A53F" w:rsidR="00F1583D" w:rsidRDefault="00F1583D" w:rsidP="004C19D7">
            <w:pPr>
              <w:spacing w:after="0" w:line="240" w:lineRule="auto"/>
              <w:rPr>
                <w:rFonts w:cs="Arial"/>
                <w:color w:val="000000"/>
                <w:sz w:val="18"/>
                <w:szCs w:val="18"/>
                <w:lang w:val="en-GB" w:eastAsia="de-DE"/>
              </w:rPr>
            </w:pPr>
            <w:r>
              <w:rPr>
                <w:rFonts w:cs="Arial"/>
                <w:color w:val="000000"/>
                <w:sz w:val="18"/>
                <w:szCs w:val="18"/>
                <w:lang w:val="en-GB" w:eastAsia="de-DE"/>
              </w:rPr>
              <w:t>13.700</w:t>
            </w:r>
          </w:p>
        </w:tc>
        <w:tc>
          <w:tcPr>
            <w:tcW w:w="857" w:type="dxa"/>
          </w:tcPr>
          <w:p w14:paraId="0A7D7B20"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2330 + depot</w:t>
            </w:r>
          </w:p>
        </w:tc>
        <w:tc>
          <w:tcPr>
            <w:tcW w:w="899" w:type="dxa"/>
          </w:tcPr>
          <w:p w14:paraId="0A7D7B21"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17%</w:t>
            </w:r>
          </w:p>
        </w:tc>
      </w:tr>
      <w:tr w:rsidR="00F1583D" w14:paraId="0A7D7B2C" w14:textId="77777777" w:rsidTr="00F1583D">
        <w:trPr>
          <w:trHeight w:val="300"/>
        </w:trPr>
        <w:tc>
          <w:tcPr>
            <w:tcW w:w="947" w:type="dxa"/>
          </w:tcPr>
          <w:p w14:paraId="0A7D7B23"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France</w:t>
            </w:r>
          </w:p>
        </w:tc>
        <w:tc>
          <w:tcPr>
            <w:tcW w:w="1533" w:type="dxa"/>
          </w:tcPr>
          <w:p w14:paraId="0A7D7B24"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Lyon line B</w:t>
            </w:r>
          </w:p>
        </w:tc>
        <w:tc>
          <w:tcPr>
            <w:tcW w:w="1191" w:type="dxa"/>
          </w:tcPr>
          <w:p w14:paraId="0A7D7B25"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xml:space="preserve">Roll-out </w:t>
            </w:r>
          </w:p>
        </w:tc>
        <w:tc>
          <w:tcPr>
            <w:tcW w:w="946" w:type="dxa"/>
          </w:tcPr>
          <w:p w14:paraId="0A7D7B26"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Planned 2020</w:t>
            </w:r>
          </w:p>
        </w:tc>
        <w:tc>
          <w:tcPr>
            <w:tcW w:w="1057" w:type="dxa"/>
          </w:tcPr>
          <w:p w14:paraId="0A7D7B27" w14:textId="75201343" w:rsidR="00F1583D" w:rsidRDefault="00F1583D" w:rsidP="004C19D7">
            <w:pPr>
              <w:spacing w:after="0" w:line="240" w:lineRule="auto"/>
              <w:rPr>
                <w:rFonts w:cs="Arial"/>
                <w:sz w:val="18"/>
                <w:szCs w:val="18"/>
                <w:lang w:val="en-GB" w:eastAsia="de-DE"/>
              </w:rPr>
            </w:pPr>
            <w:r>
              <w:rPr>
                <w:rFonts w:cs="Arial"/>
                <w:sz w:val="18"/>
                <w:szCs w:val="18"/>
                <w:lang w:val="en-GB" w:eastAsia="de-DE"/>
              </w:rPr>
              <w:t>5905</w:t>
            </w:r>
            <w:r w:rsidR="005E3C1D">
              <w:rPr>
                <w:rFonts w:cs="Arial"/>
                <w:sz w:val="18"/>
                <w:szCs w:val="18"/>
                <w:lang w:val="en-GB" w:eastAsia="de-DE"/>
              </w:rPr>
              <w:t>-</w:t>
            </w:r>
            <w:r>
              <w:rPr>
                <w:rFonts w:cs="Arial"/>
                <w:sz w:val="18"/>
                <w:szCs w:val="18"/>
                <w:lang w:val="en-GB" w:eastAsia="de-DE"/>
              </w:rPr>
              <w:t>5925 MHz</w:t>
            </w:r>
          </w:p>
        </w:tc>
        <w:tc>
          <w:tcPr>
            <w:tcW w:w="1017" w:type="dxa"/>
          </w:tcPr>
          <w:p w14:paraId="0A7D7B28"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w:t>
            </w:r>
          </w:p>
        </w:tc>
        <w:tc>
          <w:tcPr>
            <w:tcW w:w="769" w:type="dxa"/>
          </w:tcPr>
          <w:p w14:paraId="0A7D7B29" w14:textId="2D7A66F5" w:rsidR="00F1583D" w:rsidRDefault="00F1583D" w:rsidP="004C19D7">
            <w:pPr>
              <w:spacing w:after="0" w:line="240" w:lineRule="auto"/>
              <w:rPr>
                <w:rFonts w:cs="Arial"/>
                <w:color w:val="000000"/>
                <w:sz w:val="18"/>
                <w:szCs w:val="18"/>
                <w:lang w:val="en-GB" w:eastAsia="de-DE"/>
              </w:rPr>
            </w:pPr>
            <w:r>
              <w:rPr>
                <w:rFonts w:cs="Arial"/>
                <w:color w:val="000000"/>
                <w:sz w:val="18"/>
                <w:szCs w:val="18"/>
                <w:lang w:val="en-GB" w:eastAsia="de-DE"/>
              </w:rPr>
              <w:t>8.700</w:t>
            </w:r>
          </w:p>
        </w:tc>
        <w:tc>
          <w:tcPr>
            <w:tcW w:w="857" w:type="dxa"/>
          </w:tcPr>
          <w:p w14:paraId="0A7D7B2A"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1000</w:t>
            </w:r>
          </w:p>
        </w:tc>
        <w:tc>
          <w:tcPr>
            <w:tcW w:w="899" w:type="dxa"/>
          </w:tcPr>
          <w:p w14:paraId="0A7D7B2B"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11%</w:t>
            </w:r>
          </w:p>
        </w:tc>
      </w:tr>
      <w:tr w:rsidR="00F1583D" w14:paraId="0A7D7B36" w14:textId="77777777" w:rsidTr="00F1583D">
        <w:trPr>
          <w:trHeight w:val="300"/>
        </w:trPr>
        <w:tc>
          <w:tcPr>
            <w:tcW w:w="947" w:type="dxa"/>
          </w:tcPr>
          <w:p w14:paraId="0A7D7B2D" w14:textId="77777777" w:rsidR="00F1583D" w:rsidRDefault="00F1583D" w:rsidP="003D6E6A">
            <w:pPr>
              <w:spacing w:after="0" w:line="240" w:lineRule="auto"/>
              <w:rPr>
                <w:rFonts w:cs="Arial"/>
                <w:color w:val="7030A0"/>
                <w:sz w:val="18"/>
                <w:szCs w:val="18"/>
                <w:lang w:val="en-GB" w:eastAsia="de-DE"/>
              </w:rPr>
            </w:pPr>
            <w:r>
              <w:rPr>
                <w:rFonts w:cs="Arial"/>
                <w:color w:val="000000"/>
                <w:sz w:val="18"/>
                <w:szCs w:val="18"/>
                <w:lang w:val="en-GB" w:eastAsia="de-DE"/>
              </w:rPr>
              <w:t>France</w:t>
            </w:r>
          </w:p>
        </w:tc>
        <w:tc>
          <w:tcPr>
            <w:tcW w:w="1533" w:type="dxa"/>
          </w:tcPr>
          <w:p w14:paraId="0A7D7B2E"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Lyon line D</w:t>
            </w:r>
          </w:p>
        </w:tc>
        <w:tc>
          <w:tcPr>
            <w:tcW w:w="1191" w:type="dxa"/>
          </w:tcPr>
          <w:p w14:paraId="0A7D7B2F"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xml:space="preserve">Roll-out </w:t>
            </w:r>
          </w:p>
        </w:tc>
        <w:tc>
          <w:tcPr>
            <w:tcW w:w="946" w:type="dxa"/>
          </w:tcPr>
          <w:p w14:paraId="0A7D7B30"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Planned 2020</w:t>
            </w:r>
          </w:p>
        </w:tc>
        <w:tc>
          <w:tcPr>
            <w:tcW w:w="1057" w:type="dxa"/>
          </w:tcPr>
          <w:p w14:paraId="0A7D7B31" w14:textId="4BCC88BD" w:rsidR="00F1583D" w:rsidRDefault="00F1583D" w:rsidP="004C19D7">
            <w:pPr>
              <w:spacing w:after="0" w:line="240" w:lineRule="auto"/>
              <w:rPr>
                <w:rFonts w:cs="Arial"/>
                <w:sz w:val="18"/>
                <w:szCs w:val="18"/>
                <w:lang w:val="en-GB" w:eastAsia="de-DE"/>
              </w:rPr>
            </w:pPr>
            <w:r>
              <w:rPr>
                <w:rFonts w:cs="Arial"/>
                <w:sz w:val="18"/>
                <w:szCs w:val="18"/>
                <w:lang w:val="en-GB" w:eastAsia="de-DE"/>
              </w:rPr>
              <w:t>5905</w:t>
            </w:r>
            <w:r w:rsidR="005E3C1D">
              <w:rPr>
                <w:rFonts w:cs="Arial"/>
                <w:sz w:val="18"/>
                <w:szCs w:val="18"/>
                <w:lang w:val="en-GB" w:eastAsia="de-DE"/>
              </w:rPr>
              <w:t>-</w:t>
            </w:r>
            <w:r>
              <w:rPr>
                <w:rFonts w:cs="Arial"/>
                <w:sz w:val="18"/>
                <w:szCs w:val="18"/>
                <w:lang w:val="en-GB" w:eastAsia="de-DE"/>
              </w:rPr>
              <w:t>5925 MHz</w:t>
            </w:r>
          </w:p>
        </w:tc>
        <w:tc>
          <w:tcPr>
            <w:tcW w:w="1017" w:type="dxa"/>
          </w:tcPr>
          <w:p w14:paraId="0A7D7B32" w14:textId="77777777" w:rsidR="00F1583D" w:rsidRDefault="00F1583D" w:rsidP="003D6E6A">
            <w:pPr>
              <w:spacing w:after="0" w:line="240" w:lineRule="auto"/>
              <w:rPr>
                <w:rFonts w:cs="Arial"/>
                <w:color w:val="7030A0"/>
                <w:sz w:val="18"/>
                <w:szCs w:val="18"/>
                <w:lang w:val="en-GB" w:eastAsia="de-DE"/>
              </w:rPr>
            </w:pPr>
            <w:r>
              <w:rPr>
                <w:rFonts w:cs="Arial"/>
                <w:color w:val="7030A0"/>
                <w:sz w:val="18"/>
                <w:szCs w:val="18"/>
                <w:lang w:val="en-GB" w:eastAsia="de-DE"/>
              </w:rPr>
              <w:t> </w:t>
            </w:r>
          </w:p>
        </w:tc>
        <w:tc>
          <w:tcPr>
            <w:tcW w:w="769" w:type="dxa"/>
          </w:tcPr>
          <w:p w14:paraId="0A7D7B33" w14:textId="12C6B6BA" w:rsidR="00F1583D" w:rsidRDefault="00F1583D" w:rsidP="004C19D7">
            <w:pPr>
              <w:spacing w:after="0" w:line="240" w:lineRule="auto"/>
              <w:rPr>
                <w:rFonts w:cs="Arial"/>
                <w:color w:val="000000"/>
                <w:sz w:val="18"/>
                <w:szCs w:val="18"/>
                <w:lang w:val="en-GB" w:eastAsia="de-DE"/>
              </w:rPr>
            </w:pPr>
            <w:r>
              <w:rPr>
                <w:rFonts w:cs="Arial"/>
                <w:color w:val="000000"/>
                <w:sz w:val="18"/>
                <w:szCs w:val="18"/>
                <w:lang w:val="en-GB" w:eastAsia="de-DE"/>
              </w:rPr>
              <w:t>13.600</w:t>
            </w:r>
          </w:p>
        </w:tc>
        <w:tc>
          <w:tcPr>
            <w:tcW w:w="857" w:type="dxa"/>
          </w:tcPr>
          <w:p w14:paraId="0A7D7B34"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1000</w:t>
            </w:r>
          </w:p>
        </w:tc>
        <w:tc>
          <w:tcPr>
            <w:tcW w:w="899" w:type="dxa"/>
          </w:tcPr>
          <w:p w14:paraId="0A7D7B35"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7%</w:t>
            </w:r>
          </w:p>
        </w:tc>
      </w:tr>
      <w:tr w:rsidR="00F1583D" w14:paraId="0A7D7B40" w14:textId="77777777" w:rsidTr="00F1583D">
        <w:trPr>
          <w:trHeight w:val="570"/>
        </w:trPr>
        <w:tc>
          <w:tcPr>
            <w:tcW w:w="947" w:type="dxa"/>
          </w:tcPr>
          <w:p w14:paraId="0A7D7B37"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France</w:t>
            </w:r>
          </w:p>
        </w:tc>
        <w:tc>
          <w:tcPr>
            <w:tcW w:w="1533" w:type="dxa"/>
          </w:tcPr>
          <w:p w14:paraId="0A7D7B38"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xml:space="preserve">Lille LM1 (refurbishment of existing lines) </w:t>
            </w:r>
          </w:p>
        </w:tc>
        <w:tc>
          <w:tcPr>
            <w:tcW w:w="1191" w:type="dxa"/>
          </w:tcPr>
          <w:p w14:paraId="0A7D7B39"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xml:space="preserve">Roll-out </w:t>
            </w:r>
          </w:p>
        </w:tc>
        <w:tc>
          <w:tcPr>
            <w:tcW w:w="946" w:type="dxa"/>
          </w:tcPr>
          <w:p w14:paraId="0A7D7B3A"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Planned 2020</w:t>
            </w:r>
          </w:p>
        </w:tc>
        <w:tc>
          <w:tcPr>
            <w:tcW w:w="1057" w:type="dxa"/>
          </w:tcPr>
          <w:p w14:paraId="0A7D7B3B" w14:textId="6C5CAA00" w:rsidR="00F1583D" w:rsidRDefault="00F1583D" w:rsidP="004C19D7">
            <w:pPr>
              <w:spacing w:after="0" w:line="240" w:lineRule="auto"/>
              <w:rPr>
                <w:rFonts w:cs="Arial"/>
                <w:sz w:val="18"/>
                <w:szCs w:val="18"/>
                <w:lang w:val="en-GB" w:eastAsia="de-DE"/>
              </w:rPr>
            </w:pPr>
            <w:r>
              <w:rPr>
                <w:rFonts w:cs="Arial"/>
                <w:sz w:val="18"/>
                <w:szCs w:val="18"/>
                <w:lang w:val="en-GB" w:eastAsia="de-DE"/>
              </w:rPr>
              <w:t>5915</w:t>
            </w:r>
            <w:r w:rsidR="005E3C1D">
              <w:rPr>
                <w:rFonts w:cs="Arial"/>
                <w:sz w:val="18"/>
                <w:szCs w:val="18"/>
                <w:lang w:val="en-GB" w:eastAsia="de-DE"/>
              </w:rPr>
              <w:t>-</w:t>
            </w:r>
            <w:r>
              <w:rPr>
                <w:rFonts w:cs="Arial"/>
                <w:sz w:val="18"/>
                <w:szCs w:val="18"/>
                <w:lang w:val="en-GB" w:eastAsia="de-DE"/>
              </w:rPr>
              <w:t>5935 MHz</w:t>
            </w:r>
          </w:p>
        </w:tc>
        <w:tc>
          <w:tcPr>
            <w:tcW w:w="1017" w:type="dxa"/>
          </w:tcPr>
          <w:p w14:paraId="0A7D7B3C"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w:t>
            </w:r>
          </w:p>
        </w:tc>
        <w:tc>
          <w:tcPr>
            <w:tcW w:w="769" w:type="dxa"/>
          </w:tcPr>
          <w:p w14:paraId="0A7D7B3D" w14:textId="3123C5C3" w:rsidR="00F1583D" w:rsidRDefault="00F1583D" w:rsidP="004C19D7">
            <w:pPr>
              <w:spacing w:after="0" w:line="240" w:lineRule="auto"/>
              <w:rPr>
                <w:rFonts w:cs="Arial"/>
                <w:color w:val="000000"/>
                <w:sz w:val="18"/>
                <w:szCs w:val="18"/>
                <w:lang w:val="en-GB" w:eastAsia="de-DE"/>
              </w:rPr>
            </w:pPr>
            <w:r>
              <w:rPr>
                <w:rFonts w:cs="Arial"/>
                <w:color w:val="000000"/>
                <w:sz w:val="18"/>
                <w:szCs w:val="18"/>
                <w:lang w:val="en-GB" w:eastAsia="de-DE"/>
              </w:rPr>
              <w:t>13.900</w:t>
            </w:r>
          </w:p>
        </w:tc>
        <w:tc>
          <w:tcPr>
            <w:tcW w:w="857" w:type="dxa"/>
          </w:tcPr>
          <w:p w14:paraId="0A7D7B3E"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4200</w:t>
            </w:r>
          </w:p>
        </w:tc>
        <w:tc>
          <w:tcPr>
            <w:tcW w:w="899" w:type="dxa"/>
          </w:tcPr>
          <w:p w14:paraId="0A7D7B3F"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30%</w:t>
            </w:r>
          </w:p>
        </w:tc>
      </w:tr>
      <w:tr w:rsidR="00F1583D" w14:paraId="0A7D7B4A" w14:textId="77777777" w:rsidTr="00F1583D">
        <w:trPr>
          <w:trHeight w:val="300"/>
        </w:trPr>
        <w:tc>
          <w:tcPr>
            <w:tcW w:w="947" w:type="dxa"/>
          </w:tcPr>
          <w:p w14:paraId="0A7D7B41"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Belgium</w:t>
            </w:r>
          </w:p>
        </w:tc>
        <w:tc>
          <w:tcPr>
            <w:tcW w:w="1533" w:type="dxa"/>
          </w:tcPr>
          <w:p w14:paraId="0A7D7B42"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Brussels L1*</w:t>
            </w:r>
          </w:p>
        </w:tc>
        <w:tc>
          <w:tcPr>
            <w:tcW w:w="1191" w:type="dxa"/>
          </w:tcPr>
          <w:p w14:paraId="0A7D7B43"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xml:space="preserve">Contract awarded </w:t>
            </w:r>
          </w:p>
        </w:tc>
        <w:tc>
          <w:tcPr>
            <w:tcW w:w="946" w:type="dxa"/>
          </w:tcPr>
          <w:p w14:paraId="0A7D7B44"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Planned 2021</w:t>
            </w:r>
          </w:p>
        </w:tc>
        <w:tc>
          <w:tcPr>
            <w:tcW w:w="1057" w:type="dxa"/>
          </w:tcPr>
          <w:p w14:paraId="0A7D7B45" w14:textId="44668BED" w:rsidR="00F1583D" w:rsidRDefault="00F1583D" w:rsidP="004C19D7">
            <w:pPr>
              <w:spacing w:after="0" w:line="240" w:lineRule="auto"/>
              <w:rPr>
                <w:rFonts w:cs="Arial"/>
                <w:sz w:val="18"/>
                <w:szCs w:val="18"/>
                <w:lang w:val="en-GB" w:eastAsia="de-DE"/>
              </w:rPr>
            </w:pPr>
            <w:r>
              <w:rPr>
                <w:rFonts w:cs="Arial"/>
                <w:sz w:val="18"/>
                <w:szCs w:val="18"/>
                <w:lang w:val="en-GB" w:eastAsia="de-DE"/>
              </w:rPr>
              <w:t>5905</w:t>
            </w:r>
            <w:r w:rsidR="005E3C1D">
              <w:rPr>
                <w:rFonts w:cs="Arial"/>
                <w:sz w:val="18"/>
                <w:szCs w:val="18"/>
                <w:lang w:val="en-GB" w:eastAsia="de-DE"/>
              </w:rPr>
              <w:t>-</w:t>
            </w:r>
            <w:r>
              <w:rPr>
                <w:rFonts w:cs="Arial"/>
                <w:sz w:val="18"/>
                <w:szCs w:val="18"/>
                <w:lang w:val="en-GB" w:eastAsia="de-DE"/>
              </w:rPr>
              <w:t>5925 MHz</w:t>
            </w:r>
          </w:p>
        </w:tc>
        <w:tc>
          <w:tcPr>
            <w:tcW w:w="1017" w:type="dxa"/>
            <w:vMerge w:val="restart"/>
          </w:tcPr>
          <w:p w14:paraId="0A7D7B46" w14:textId="48E36727" w:rsidR="00F1583D" w:rsidRDefault="00F1583D">
            <w:pPr>
              <w:spacing w:after="0" w:line="240" w:lineRule="auto"/>
              <w:rPr>
                <w:rFonts w:cs="Arial"/>
                <w:sz w:val="18"/>
                <w:szCs w:val="18"/>
                <w:lang w:val="en-GB" w:eastAsia="de-DE"/>
              </w:rPr>
            </w:pPr>
            <w:r>
              <w:rPr>
                <w:rFonts w:cs="Arial"/>
                <w:sz w:val="18"/>
                <w:szCs w:val="18"/>
                <w:lang w:val="en-GB" w:eastAsia="de-DE"/>
              </w:rPr>
              <w:t>220.000</w:t>
            </w:r>
          </w:p>
        </w:tc>
        <w:tc>
          <w:tcPr>
            <w:tcW w:w="769" w:type="dxa"/>
          </w:tcPr>
          <w:p w14:paraId="0A7D7B47" w14:textId="2B9041C8" w:rsidR="00F1583D" w:rsidRDefault="00F1583D">
            <w:pPr>
              <w:spacing w:after="0" w:line="240" w:lineRule="auto"/>
              <w:rPr>
                <w:rFonts w:cs="Arial"/>
                <w:color w:val="000000"/>
                <w:sz w:val="18"/>
                <w:szCs w:val="18"/>
                <w:lang w:val="en-GB" w:eastAsia="de-DE"/>
              </w:rPr>
            </w:pPr>
            <w:r>
              <w:rPr>
                <w:rFonts w:cs="Arial"/>
                <w:color w:val="000000"/>
                <w:sz w:val="18"/>
                <w:szCs w:val="18"/>
                <w:lang w:val="en-GB" w:eastAsia="de-DE"/>
              </w:rPr>
              <w:t>47.500</w:t>
            </w:r>
          </w:p>
        </w:tc>
        <w:tc>
          <w:tcPr>
            <w:tcW w:w="857" w:type="dxa"/>
          </w:tcPr>
          <w:p w14:paraId="0A7D7B48"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5700</w:t>
            </w:r>
          </w:p>
        </w:tc>
        <w:tc>
          <w:tcPr>
            <w:tcW w:w="899" w:type="dxa"/>
            <w:vMerge w:val="restart"/>
          </w:tcPr>
          <w:p w14:paraId="0A7D7B49"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12%</w:t>
            </w:r>
          </w:p>
        </w:tc>
      </w:tr>
      <w:tr w:rsidR="00F1583D" w14:paraId="0A7D7B54" w14:textId="77777777" w:rsidTr="00F1583D">
        <w:trPr>
          <w:trHeight w:val="300"/>
        </w:trPr>
        <w:tc>
          <w:tcPr>
            <w:tcW w:w="947" w:type="dxa"/>
          </w:tcPr>
          <w:p w14:paraId="0A7D7B4B"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Belgium</w:t>
            </w:r>
          </w:p>
        </w:tc>
        <w:tc>
          <w:tcPr>
            <w:tcW w:w="1533" w:type="dxa"/>
          </w:tcPr>
          <w:p w14:paraId="0A7D7B4C"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Brussels L5*</w:t>
            </w:r>
          </w:p>
        </w:tc>
        <w:tc>
          <w:tcPr>
            <w:tcW w:w="1191" w:type="dxa"/>
          </w:tcPr>
          <w:p w14:paraId="0A7D7B4D"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xml:space="preserve">Contract awarded </w:t>
            </w:r>
          </w:p>
        </w:tc>
        <w:tc>
          <w:tcPr>
            <w:tcW w:w="946" w:type="dxa"/>
          </w:tcPr>
          <w:p w14:paraId="0A7D7B4E"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Planned 2021</w:t>
            </w:r>
          </w:p>
        </w:tc>
        <w:tc>
          <w:tcPr>
            <w:tcW w:w="1057" w:type="dxa"/>
          </w:tcPr>
          <w:p w14:paraId="0A7D7B4F" w14:textId="58386BBF" w:rsidR="00F1583D" w:rsidRDefault="00F1583D" w:rsidP="004C19D7">
            <w:pPr>
              <w:spacing w:after="0" w:line="240" w:lineRule="auto"/>
              <w:rPr>
                <w:rFonts w:cs="Arial"/>
                <w:sz w:val="18"/>
                <w:szCs w:val="18"/>
                <w:lang w:val="en-GB" w:eastAsia="de-DE"/>
              </w:rPr>
            </w:pPr>
            <w:r>
              <w:rPr>
                <w:rFonts w:cs="Arial"/>
                <w:sz w:val="18"/>
                <w:szCs w:val="18"/>
                <w:lang w:val="en-GB" w:eastAsia="de-DE"/>
              </w:rPr>
              <w:t>5905</w:t>
            </w:r>
            <w:r w:rsidR="005E3C1D">
              <w:rPr>
                <w:rFonts w:cs="Arial"/>
                <w:sz w:val="18"/>
                <w:szCs w:val="18"/>
                <w:lang w:val="en-GB" w:eastAsia="de-DE"/>
              </w:rPr>
              <w:t>-</w:t>
            </w:r>
            <w:r>
              <w:rPr>
                <w:rFonts w:cs="Arial"/>
                <w:sz w:val="18"/>
                <w:szCs w:val="18"/>
                <w:lang w:val="en-GB" w:eastAsia="de-DE"/>
              </w:rPr>
              <w:t>5925 MHz</w:t>
            </w:r>
          </w:p>
        </w:tc>
        <w:tc>
          <w:tcPr>
            <w:tcW w:w="1017" w:type="dxa"/>
            <w:vMerge/>
          </w:tcPr>
          <w:p w14:paraId="0A7D7B50" w14:textId="77777777" w:rsidR="00F1583D" w:rsidRDefault="00F1583D" w:rsidP="003D6E6A">
            <w:pPr>
              <w:spacing w:after="0" w:line="240" w:lineRule="auto"/>
              <w:rPr>
                <w:rFonts w:cs="Arial"/>
                <w:sz w:val="18"/>
                <w:szCs w:val="18"/>
                <w:lang w:val="en-GB" w:eastAsia="de-DE"/>
              </w:rPr>
            </w:pPr>
          </w:p>
        </w:tc>
        <w:tc>
          <w:tcPr>
            <w:tcW w:w="769" w:type="dxa"/>
          </w:tcPr>
          <w:p w14:paraId="0A7D7B51"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 </w:t>
            </w:r>
          </w:p>
        </w:tc>
        <w:tc>
          <w:tcPr>
            <w:tcW w:w="857" w:type="dxa"/>
          </w:tcPr>
          <w:p w14:paraId="0A7D7B52"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w:t>
            </w:r>
          </w:p>
        </w:tc>
        <w:tc>
          <w:tcPr>
            <w:tcW w:w="899" w:type="dxa"/>
            <w:vMerge/>
          </w:tcPr>
          <w:p w14:paraId="0A7D7B53" w14:textId="77777777" w:rsidR="00F1583D" w:rsidRDefault="00F1583D" w:rsidP="003D6E6A">
            <w:pPr>
              <w:spacing w:after="0" w:line="240" w:lineRule="auto"/>
              <w:rPr>
                <w:rFonts w:cs="Arial"/>
                <w:sz w:val="18"/>
                <w:szCs w:val="18"/>
                <w:lang w:val="en-GB" w:eastAsia="de-DE"/>
              </w:rPr>
            </w:pPr>
          </w:p>
        </w:tc>
      </w:tr>
      <w:tr w:rsidR="00F1583D" w14:paraId="0A7D7B5E" w14:textId="77777777" w:rsidTr="00F1583D">
        <w:trPr>
          <w:trHeight w:val="300"/>
        </w:trPr>
        <w:tc>
          <w:tcPr>
            <w:tcW w:w="947" w:type="dxa"/>
          </w:tcPr>
          <w:p w14:paraId="0A7D7B55"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Belgium</w:t>
            </w:r>
          </w:p>
        </w:tc>
        <w:tc>
          <w:tcPr>
            <w:tcW w:w="1533" w:type="dxa"/>
          </w:tcPr>
          <w:p w14:paraId="0A7D7B56"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Brussels L2**</w:t>
            </w:r>
          </w:p>
        </w:tc>
        <w:tc>
          <w:tcPr>
            <w:tcW w:w="1191" w:type="dxa"/>
          </w:tcPr>
          <w:p w14:paraId="0A7D7B57"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xml:space="preserve">Contract awarded </w:t>
            </w:r>
          </w:p>
        </w:tc>
        <w:tc>
          <w:tcPr>
            <w:tcW w:w="946" w:type="dxa"/>
          </w:tcPr>
          <w:p w14:paraId="0A7D7B58"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Planned 2021</w:t>
            </w:r>
          </w:p>
        </w:tc>
        <w:tc>
          <w:tcPr>
            <w:tcW w:w="1057" w:type="dxa"/>
          </w:tcPr>
          <w:p w14:paraId="0A7D7B59" w14:textId="078A7347" w:rsidR="00F1583D" w:rsidRDefault="00F1583D" w:rsidP="004C19D7">
            <w:pPr>
              <w:spacing w:after="0" w:line="240" w:lineRule="auto"/>
              <w:rPr>
                <w:rFonts w:cs="Arial"/>
                <w:sz w:val="18"/>
                <w:szCs w:val="18"/>
                <w:lang w:val="en-GB" w:eastAsia="de-DE"/>
              </w:rPr>
            </w:pPr>
            <w:r>
              <w:rPr>
                <w:rFonts w:cs="Arial"/>
                <w:sz w:val="18"/>
                <w:szCs w:val="18"/>
                <w:lang w:val="en-GB" w:eastAsia="de-DE"/>
              </w:rPr>
              <w:t>5905</w:t>
            </w:r>
            <w:r w:rsidR="005E3C1D">
              <w:rPr>
                <w:rFonts w:cs="Arial"/>
                <w:sz w:val="18"/>
                <w:szCs w:val="18"/>
                <w:lang w:val="en-GB" w:eastAsia="de-DE"/>
              </w:rPr>
              <w:t>-</w:t>
            </w:r>
            <w:r>
              <w:rPr>
                <w:rFonts w:cs="Arial"/>
                <w:sz w:val="18"/>
                <w:szCs w:val="18"/>
                <w:lang w:val="en-GB" w:eastAsia="de-DE"/>
              </w:rPr>
              <w:t>5925 MHz</w:t>
            </w:r>
          </w:p>
        </w:tc>
        <w:tc>
          <w:tcPr>
            <w:tcW w:w="1017" w:type="dxa"/>
            <w:vMerge w:val="restart"/>
          </w:tcPr>
          <w:p w14:paraId="0A7D7B5A" w14:textId="5B27F6F1" w:rsidR="00F1583D" w:rsidRDefault="00F1583D">
            <w:pPr>
              <w:spacing w:after="0" w:line="240" w:lineRule="auto"/>
              <w:rPr>
                <w:rFonts w:cs="Arial"/>
                <w:sz w:val="18"/>
                <w:szCs w:val="18"/>
                <w:lang w:val="en-GB" w:eastAsia="de-DE"/>
              </w:rPr>
            </w:pPr>
            <w:r>
              <w:rPr>
                <w:rFonts w:cs="Arial"/>
                <w:sz w:val="18"/>
                <w:szCs w:val="18"/>
                <w:lang w:val="en-GB" w:eastAsia="de-DE"/>
              </w:rPr>
              <w:t>180.000</w:t>
            </w:r>
          </w:p>
        </w:tc>
        <w:tc>
          <w:tcPr>
            <w:tcW w:w="769" w:type="dxa"/>
          </w:tcPr>
          <w:p w14:paraId="0A7D7B5B" w14:textId="5ED56041" w:rsidR="00F1583D" w:rsidRDefault="00F1583D">
            <w:pPr>
              <w:spacing w:after="0" w:line="240" w:lineRule="auto"/>
              <w:rPr>
                <w:rFonts w:cs="Arial"/>
                <w:color w:val="000000"/>
                <w:sz w:val="18"/>
                <w:szCs w:val="18"/>
                <w:lang w:val="en-GB" w:eastAsia="de-DE"/>
              </w:rPr>
            </w:pPr>
            <w:r>
              <w:rPr>
                <w:rFonts w:cs="Arial"/>
                <w:color w:val="000000"/>
                <w:sz w:val="18"/>
                <w:szCs w:val="18"/>
                <w:lang w:val="en-GB" w:eastAsia="de-DE"/>
              </w:rPr>
              <w:t>32.500</w:t>
            </w:r>
          </w:p>
        </w:tc>
        <w:tc>
          <w:tcPr>
            <w:tcW w:w="857" w:type="dxa"/>
          </w:tcPr>
          <w:p w14:paraId="0A7D7B5C"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2900</w:t>
            </w:r>
          </w:p>
        </w:tc>
        <w:tc>
          <w:tcPr>
            <w:tcW w:w="899" w:type="dxa"/>
            <w:vMerge w:val="restart"/>
          </w:tcPr>
          <w:p w14:paraId="0A7D7B5D"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9%</w:t>
            </w:r>
          </w:p>
        </w:tc>
      </w:tr>
      <w:tr w:rsidR="00F1583D" w14:paraId="0A7D7B68" w14:textId="77777777" w:rsidTr="00F1583D">
        <w:trPr>
          <w:trHeight w:val="300"/>
        </w:trPr>
        <w:tc>
          <w:tcPr>
            <w:tcW w:w="947" w:type="dxa"/>
          </w:tcPr>
          <w:p w14:paraId="0A7D7B5F"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Belgium</w:t>
            </w:r>
          </w:p>
        </w:tc>
        <w:tc>
          <w:tcPr>
            <w:tcW w:w="1533" w:type="dxa"/>
          </w:tcPr>
          <w:p w14:paraId="0A7D7B60"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Brussels L6**</w:t>
            </w:r>
          </w:p>
        </w:tc>
        <w:tc>
          <w:tcPr>
            <w:tcW w:w="1191" w:type="dxa"/>
          </w:tcPr>
          <w:p w14:paraId="0A7D7B61"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xml:space="preserve">Contract awarded </w:t>
            </w:r>
          </w:p>
        </w:tc>
        <w:tc>
          <w:tcPr>
            <w:tcW w:w="946" w:type="dxa"/>
          </w:tcPr>
          <w:p w14:paraId="0A7D7B62"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Planned 2021</w:t>
            </w:r>
          </w:p>
        </w:tc>
        <w:tc>
          <w:tcPr>
            <w:tcW w:w="1057" w:type="dxa"/>
          </w:tcPr>
          <w:p w14:paraId="0A7D7B63" w14:textId="3ADA93ED" w:rsidR="00F1583D" w:rsidRDefault="00F1583D" w:rsidP="004C19D7">
            <w:pPr>
              <w:spacing w:after="0" w:line="240" w:lineRule="auto"/>
              <w:rPr>
                <w:rFonts w:cs="Arial"/>
                <w:sz w:val="18"/>
                <w:szCs w:val="18"/>
                <w:lang w:val="en-GB" w:eastAsia="de-DE"/>
              </w:rPr>
            </w:pPr>
            <w:r>
              <w:rPr>
                <w:rFonts w:cs="Arial"/>
                <w:sz w:val="18"/>
                <w:szCs w:val="18"/>
                <w:lang w:val="en-GB" w:eastAsia="de-DE"/>
              </w:rPr>
              <w:t>5905</w:t>
            </w:r>
            <w:r w:rsidR="005E3C1D">
              <w:rPr>
                <w:rFonts w:cs="Arial"/>
                <w:sz w:val="18"/>
                <w:szCs w:val="18"/>
                <w:lang w:val="en-GB" w:eastAsia="de-DE"/>
              </w:rPr>
              <w:t>-</w:t>
            </w:r>
            <w:r>
              <w:rPr>
                <w:rFonts w:cs="Arial"/>
                <w:sz w:val="18"/>
                <w:szCs w:val="18"/>
                <w:lang w:val="en-GB" w:eastAsia="de-DE"/>
              </w:rPr>
              <w:t>5925 MHz</w:t>
            </w:r>
          </w:p>
        </w:tc>
        <w:tc>
          <w:tcPr>
            <w:tcW w:w="1017" w:type="dxa"/>
            <w:vMerge/>
          </w:tcPr>
          <w:p w14:paraId="0A7D7B64" w14:textId="77777777" w:rsidR="00F1583D" w:rsidRDefault="00F1583D" w:rsidP="003D6E6A">
            <w:pPr>
              <w:spacing w:after="0" w:line="240" w:lineRule="auto"/>
              <w:rPr>
                <w:rFonts w:cs="Arial"/>
                <w:sz w:val="18"/>
                <w:szCs w:val="18"/>
                <w:lang w:val="en-GB" w:eastAsia="de-DE"/>
              </w:rPr>
            </w:pPr>
          </w:p>
        </w:tc>
        <w:tc>
          <w:tcPr>
            <w:tcW w:w="769" w:type="dxa"/>
          </w:tcPr>
          <w:p w14:paraId="0A7D7B65"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 </w:t>
            </w:r>
          </w:p>
        </w:tc>
        <w:tc>
          <w:tcPr>
            <w:tcW w:w="857" w:type="dxa"/>
          </w:tcPr>
          <w:p w14:paraId="0A7D7B66"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w:t>
            </w:r>
          </w:p>
        </w:tc>
        <w:tc>
          <w:tcPr>
            <w:tcW w:w="899" w:type="dxa"/>
            <w:vMerge/>
          </w:tcPr>
          <w:p w14:paraId="0A7D7B67" w14:textId="77777777" w:rsidR="00F1583D" w:rsidRDefault="00F1583D" w:rsidP="003D6E6A">
            <w:pPr>
              <w:spacing w:after="0" w:line="240" w:lineRule="auto"/>
              <w:rPr>
                <w:rFonts w:cs="Arial"/>
                <w:sz w:val="18"/>
                <w:szCs w:val="18"/>
                <w:lang w:val="en-GB" w:eastAsia="de-DE"/>
              </w:rPr>
            </w:pPr>
          </w:p>
        </w:tc>
      </w:tr>
      <w:tr w:rsidR="00F1583D" w14:paraId="0A7D7B72" w14:textId="77777777" w:rsidTr="00F1583D">
        <w:trPr>
          <w:trHeight w:val="300"/>
        </w:trPr>
        <w:tc>
          <w:tcPr>
            <w:tcW w:w="947" w:type="dxa"/>
          </w:tcPr>
          <w:p w14:paraId="0A7D7B69"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France</w:t>
            </w:r>
          </w:p>
        </w:tc>
        <w:tc>
          <w:tcPr>
            <w:tcW w:w="1533" w:type="dxa"/>
          </w:tcPr>
          <w:p w14:paraId="0A7D7B6A"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Paris L11</w:t>
            </w:r>
          </w:p>
        </w:tc>
        <w:tc>
          <w:tcPr>
            <w:tcW w:w="1191" w:type="dxa"/>
          </w:tcPr>
          <w:p w14:paraId="0A7D7B6B"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xml:space="preserve">Contract awarded </w:t>
            </w:r>
          </w:p>
        </w:tc>
        <w:tc>
          <w:tcPr>
            <w:tcW w:w="946" w:type="dxa"/>
          </w:tcPr>
          <w:p w14:paraId="0A7D7B6C"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Planned 2022</w:t>
            </w:r>
          </w:p>
        </w:tc>
        <w:tc>
          <w:tcPr>
            <w:tcW w:w="1057" w:type="dxa"/>
          </w:tcPr>
          <w:p w14:paraId="0A7D7B6D" w14:textId="6E69BDAB" w:rsidR="00F1583D" w:rsidRDefault="00F1583D" w:rsidP="004C19D7">
            <w:pPr>
              <w:spacing w:after="0" w:line="240" w:lineRule="auto"/>
              <w:rPr>
                <w:rFonts w:cs="Arial"/>
                <w:sz w:val="18"/>
                <w:szCs w:val="18"/>
                <w:lang w:val="en-GB" w:eastAsia="de-DE"/>
              </w:rPr>
            </w:pPr>
            <w:r>
              <w:rPr>
                <w:rFonts w:cs="Arial"/>
                <w:sz w:val="18"/>
                <w:szCs w:val="18"/>
                <w:lang w:val="en-GB" w:eastAsia="de-DE"/>
              </w:rPr>
              <w:t>5915</w:t>
            </w:r>
            <w:r w:rsidR="005E3C1D">
              <w:rPr>
                <w:rFonts w:cs="Arial"/>
                <w:sz w:val="18"/>
                <w:szCs w:val="18"/>
                <w:lang w:val="en-GB" w:eastAsia="de-DE"/>
              </w:rPr>
              <w:t>-</w:t>
            </w:r>
            <w:r>
              <w:rPr>
                <w:rFonts w:cs="Arial"/>
                <w:sz w:val="18"/>
                <w:szCs w:val="18"/>
                <w:lang w:val="en-GB" w:eastAsia="de-DE"/>
              </w:rPr>
              <w:t>5935 MHz</w:t>
            </w:r>
          </w:p>
        </w:tc>
        <w:tc>
          <w:tcPr>
            <w:tcW w:w="1017" w:type="dxa"/>
          </w:tcPr>
          <w:p w14:paraId="0A7D7B6E" w14:textId="73A73DFD" w:rsidR="00F1583D" w:rsidRDefault="00F1583D">
            <w:pPr>
              <w:spacing w:after="0" w:line="240" w:lineRule="auto"/>
              <w:rPr>
                <w:rFonts w:cs="Arial"/>
                <w:sz w:val="18"/>
                <w:szCs w:val="18"/>
                <w:lang w:val="en-GB" w:eastAsia="de-DE"/>
              </w:rPr>
            </w:pPr>
            <w:r>
              <w:rPr>
                <w:rFonts w:cs="Arial"/>
                <w:sz w:val="18"/>
                <w:szCs w:val="18"/>
                <w:lang w:val="en-GB" w:eastAsia="de-DE"/>
              </w:rPr>
              <w:t>300.000</w:t>
            </w:r>
          </w:p>
        </w:tc>
        <w:tc>
          <w:tcPr>
            <w:tcW w:w="769" w:type="dxa"/>
          </w:tcPr>
          <w:p w14:paraId="0A7D7B6F" w14:textId="543F75BC" w:rsidR="00F1583D" w:rsidRDefault="00F1583D">
            <w:pPr>
              <w:spacing w:after="0" w:line="240" w:lineRule="auto"/>
              <w:rPr>
                <w:rFonts w:cs="Arial"/>
                <w:color w:val="000000"/>
                <w:sz w:val="18"/>
                <w:szCs w:val="18"/>
                <w:lang w:val="en-GB" w:eastAsia="de-DE"/>
              </w:rPr>
            </w:pPr>
            <w:r>
              <w:rPr>
                <w:rFonts w:cs="Arial"/>
                <w:color w:val="000000"/>
                <w:sz w:val="18"/>
                <w:szCs w:val="18"/>
                <w:lang w:val="en-GB" w:eastAsia="de-DE"/>
              </w:rPr>
              <w:t>8.000</w:t>
            </w:r>
          </w:p>
        </w:tc>
        <w:tc>
          <w:tcPr>
            <w:tcW w:w="857" w:type="dxa"/>
          </w:tcPr>
          <w:p w14:paraId="0A7D7B70"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0</w:t>
            </w:r>
          </w:p>
        </w:tc>
        <w:tc>
          <w:tcPr>
            <w:tcW w:w="899" w:type="dxa"/>
          </w:tcPr>
          <w:p w14:paraId="0A7D7B71"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0%</w:t>
            </w:r>
          </w:p>
        </w:tc>
      </w:tr>
      <w:tr w:rsidR="00F1583D" w14:paraId="0A7D7B7C" w14:textId="77777777" w:rsidTr="00F1583D">
        <w:trPr>
          <w:trHeight w:val="570"/>
        </w:trPr>
        <w:tc>
          <w:tcPr>
            <w:tcW w:w="947" w:type="dxa"/>
          </w:tcPr>
          <w:p w14:paraId="0A7D7B73"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Denmark</w:t>
            </w:r>
          </w:p>
        </w:tc>
        <w:tc>
          <w:tcPr>
            <w:tcW w:w="1533" w:type="dxa"/>
          </w:tcPr>
          <w:p w14:paraId="0A7D7B74"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Copenhagen S-bane (6 phases) </w:t>
            </w:r>
          </w:p>
        </w:tc>
        <w:tc>
          <w:tcPr>
            <w:tcW w:w="1191" w:type="dxa"/>
          </w:tcPr>
          <w:p w14:paraId="0A7D7B75"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First phase in operation – Roll out in several phases</w:t>
            </w:r>
          </w:p>
        </w:tc>
        <w:tc>
          <w:tcPr>
            <w:tcW w:w="946" w:type="dxa"/>
          </w:tcPr>
          <w:p w14:paraId="0A7D7B76"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Last phase planned 2022</w:t>
            </w:r>
          </w:p>
        </w:tc>
        <w:tc>
          <w:tcPr>
            <w:tcW w:w="1057" w:type="dxa"/>
          </w:tcPr>
          <w:p w14:paraId="0A7D7B77" w14:textId="21947D8C" w:rsidR="00F1583D" w:rsidRDefault="00F1583D" w:rsidP="004C19D7">
            <w:pPr>
              <w:spacing w:after="0" w:line="240" w:lineRule="auto"/>
              <w:rPr>
                <w:rFonts w:cs="Arial"/>
                <w:color w:val="000000"/>
                <w:sz w:val="18"/>
                <w:szCs w:val="18"/>
                <w:lang w:val="en-GB" w:eastAsia="de-DE"/>
              </w:rPr>
            </w:pPr>
            <w:r>
              <w:rPr>
                <w:rFonts w:cs="Arial"/>
                <w:color w:val="000000"/>
                <w:sz w:val="18"/>
                <w:szCs w:val="18"/>
                <w:lang w:val="en-GB" w:eastAsia="de-DE"/>
              </w:rPr>
              <w:t>5925</w:t>
            </w:r>
            <w:r w:rsidR="005E3C1D">
              <w:rPr>
                <w:rFonts w:cs="Arial"/>
                <w:color w:val="000000"/>
                <w:sz w:val="18"/>
                <w:szCs w:val="18"/>
                <w:lang w:val="en-GB" w:eastAsia="de-DE"/>
              </w:rPr>
              <w:t>-</w:t>
            </w:r>
            <w:r>
              <w:rPr>
                <w:rFonts w:cs="Arial"/>
                <w:color w:val="000000"/>
                <w:sz w:val="18"/>
                <w:szCs w:val="18"/>
                <w:lang w:val="en-GB" w:eastAsia="de-DE"/>
              </w:rPr>
              <w:t>5975 MHz</w:t>
            </w:r>
          </w:p>
        </w:tc>
        <w:tc>
          <w:tcPr>
            <w:tcW w:w="1017" w:type="dxa"/>
          </w:tcPr>
          <w:p w14:paraId="0A7D7B78"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 </w:t>
            </w:r>
          </w:p>
        </w:tc>
        <w:tc>
          <w:tcPr>
            <w:tcW w:w="769" w:type="dxa"/>
          </w:tcPr>
          <w:p w14:paraId="0A7D7B79"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 </w:t>
            </w:r>
          </w:p>
        </w:tc>
        <w:tc>
          <w:tcPr>
            <w:tcW w:w="857" w:type="dxa"/>
          </w:tcPr>
          <w:p w14:paraId="0A7D7B7A"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w:t>
            </w:r>
          </w:p>
        </w:tc>
        <w:tc>
          <w:tcPr>
            <w:tcW w:w="899" w:type="dxa"/>
          </w:tcPr>
          <w:p w14:paraId="0A7D7B7B"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w:t>
            </w:r>
          </w:p>
        </w:tc>
      </w:tr>
      <w:tr w:rsidR="00F1583D" w14:paraId="0A7D7B86" w14:textId="77777777" w:rsidTr="00F1583D">
        <w:trPr>
          <w:trHeight w:val="855"/>
        </w:trPr>
        <w:tc>
          <w:tcPr>
            <w:tcW w:w="947" w:type="dxa"/>
          </w:tcPr>
          <w:p w14:paraId="0A7D7B7D"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Austria</w:t>
            </w:r>
          </w:p>
        </w:tc>
        <w:tc>
          <w:tcPr>
            <w:tcW w:w="1533" w:type="dxa"/>
          </w:tcPr>
          <w:p w14:paraId="0A7D7B7E"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Vienna (</w:t>
            </w:r>
            <w:proofErr w:type="spellStart"/>
            <w:r>
              <w:rPr>
                <w:rFonts w:cs="Arial"/>
                <w:color w:val="000000"/>
                <w:sz w:val="18"/>
                <w:szCs w:val="18"/>
                <w:lang w:val="en-GB" w:eastAsia="de-DE"/>
              </w:rPr>
              <w:t>resignalling</w:t>
            </w:r>
            <w:proofErr w:type="spellEnd"/>
            <w:r>
              <w:rPr>
                <w:rFonts w:cs="Arial"/>
                <w:color w:val="000000"/>
                <w:sz w:val="18"/>
                <w:szCs w:val="18"/>
                <w:lang w:val="en-GB" w:eastAsia="de-DE"/>
              </w:rPr>
              <w:t xml:space="preserve"> project)</w:t>
            </w:r>
          </w:p>
        </w:tc>
        <w:tc>
          <w:tcPr>
            <w:tcW w:w="1191" w:type="dxa"/>
          </w:tcPr>
          <w:p w14:paraId="0A7D7B7F"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Contract awarded</w:t>
            </w:r>
          </w:p>
        </w:tc>
        <w:tc>
          <w:tcPr>
            <w:tcW w:w="946" w:type="dxa"/>
          </w:tcPr>
          <w:p w14:paraId="0A7D7B80" w14:textId="58A12BF0"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Opening planned 2024 (</w:t>
            </w:r>
            <w:r w:rsidR="00354FF2">
              <w:rPr>
                <w:rFonts w:cs="Arial"/>
                <w:color w:val="000000"/>
                <w:sz w:val="18"/>
                <w:szCs w:val="18"/>
                <w:lang w:val="en-GB" w:eastAsia="de-DE"/>
              </w:rPr>
              <w:t>start</w:t>
            </w:r>
            <w:r>
              <w:rPr>
                <w:rFonts w:cs="Arial"/>
                <w:color w:val="000000"/>
                <w:sz w:val="18"/>
                <w:szCs w:val="18"/>
                <w:lang w:val="en-GB" w:eastAsia="de-DE"/>
              </w:rPr>
              <w:t xml:space="preserve"> with test </w:t>
            </w:r>
            <w:r>
              <w:rPr>
                <w:rFonts w:cs="Arial"/>
                <w:color w:val="000000"/>
                <w:sz w:val="18"/>
                <w:szCs w:val="18"/>
                <w:lang w:val="en-GB" w:eastAsia="de-DE"/>
              </w:rPr>
              <w:lastRenderedPageBreak/>
              <w:t>run in 2020)</w:t>
            </w:r>
          </w:p>
        </w:tc>
        <w:tc>
          <w:tcPr>
            <w:tcW w:w="1057" w:type="dxa"/>
          </w:tcPr>
          <w:p w14:paraId="0A7D7B81"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lastRenderedPageBreak/>
              <w:t>Under discussion with regulator</w:t>
            </w:r>
          </w:p>
        </w:tc>
        <w:tc>
          <w:tcPr>
            <w:tcW w:w="1017" w:type="dxa"/>
          </w:tcPr>
          <w:p w14:paraId="0A7D7B82" w14:textId="77777777" w:rsidR="00F1583D" w:rsidRDefault="00F1583D" w:rsidP="003D6E6A">
            <w:pPr>
              <w:spacing w:after="0" w:line="240" w:lineRule="auto"/>
              <w:rPr>
                <w:rFonts w:cs="Arial"/>
                <w:color w:val="0070C0"/>
                <w:sz w:val="18"/>
                <w:szCs w:val="18"/>
                <w:lang w:val="en-GB" w:eastAsia="de-DE"/>
              </w:rPr>
            </w:pPr>
            <w:r>
              <w:rPr>
                <w:rFonts w:cs="Arial"/>
                <w:color w:val="0070C0"/>
                <w:sz w:val="18"/>
                <w:szCs w:val="18"/>
                <w:lang w:val="en-GB" w:eastAsia="de-DE"/>
              </w:rPr>
              <w:t> </w:t>
            </w:r>
          </w:p>
        </w:tc>
        <w:tc>
          <w:tcPr>
            <w:tcW w:w="769" w:type="dxa"/>
          </w:tcPr>
          <w:p w14:paraId="0A7D7B83" w14:textId="67581D54" w:rsidR="00F1583D" w:rsidRDefault="00F1583D" w:rsidP="004C19D7">
            <w:pPr>
              <w:spacing w:after="0" w:line="240" w:lineRule="auto"/>
              <w:rPr>
                <w:rFonts w:cs="Arial"/>
                <w:color w:val="000000"/>
                <w:sz w:val="18"/>
                <w:szCs w:val="18"/>
                <w:lang w:val="en-GB" w:eastAsia="de-DE"/>
              </w:rPr>
            </w:pPr>
            <w:r>
              <w:rPr>
                <w:rFonts w:cs="Arial"/>
                <w:color w:val="000000"/>
                <w:sz w:val="18"/>
                <w:szCs w:val="18"/>
                <w:lang w:val="en-GB" w:eastAsia="de-DE"/>
              </w:rPr>
              <w:t>8.000</w:t>
            </w:r>
          </w:p>
        </w:tc>
        <w:tc>
          <w:tcPr>
            <w:tcW w:w="857" w:type="dxa"/>
          </w:tcPr>
          <w:p w14:paraId="0A7D7B84"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1600</w:t>
            </w:r>
          </w:p>
        </w:tc>
        <w:tc>
          <w:tcPr>
            <w:tcW w:w="899" w:type="dxa"/>
          </w:tcPr>
          <w:p w14:paraId="0A7D7B85"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20%</w:t>
            </w:r>
          </w:p>
        </w:tc>
      </w:tr>
      <w:tr w:rsidR="00F1583D" w14:paraId="0A7D7B90" w14:textId="77777777" w:rsidTr="00F1583D">
        <w:trPr>
          <w:trHeight w:val="300"/>
        </w:trPr>
        <w:tc>
          <w:tcPr>
            <w:tcW w:w="947" w:type="dxa"/>
          </w:tcPr>
          <w:p w14:paraId="0A7D7B87"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lastRenderedPageBreak/>
              <w:t>France</w:t>
            </w:r>
          </w:p>
        </w:tc>
        <w:tc>
          <w:tcPr>
            <w:tcW w:w="1533" w:type="dxa"/>
          </w:tcPr>
          <w:p w14:paraId="0A7D7B88"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Marseilles L1</w:t>
            </w:r>
          </w:p>
        </w:tc>
        <w:tc>
          <w:tcPr>
            <w:tcW w:w="1191" w:type="dxa"/>
          </w:tcPr>
          <w:p w14:paraId="0A7D7B89"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Contract awarded</w:t>
            </w:r>
          </w:p>
        </w:tc>
        <w:tc>
          <w:tcPr>
            <w:tcW w:w="946" w:type="dxa"/>
          </w:tcPr>
          <w:p w14:paraId="0A7D7B8A"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Planned 2023</w:t>
            </w:r>
          </w:p>
        </w:tc>
        <w:tc>
          <w:tcPr>
            <w:tcW w:w="1057" w:type="dxa"/>
          </w:tcPr>
          <w:p w14:paraId="0A7D7B8B"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 </w:t>
            </w:r>
          </w:p>
        </w:tc>
        <w:tc>
          <w:tcPr>
            <w:tcW w:w="1017" w:type="dxa"/>
          </w:tcPr>
          <w:p w14:paraId="0A7D7B8C"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 </w:t>
            </w:r>
          </w:p>
        </w:tc>
        <w:tc>
          <w:tcPr>
            <w:tcW w:w="769" w:type="dxa"/>
          </w:tcPr>
          <w:p w14:paraId="0A7D7B8D"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 </w:t>
            </w:r>
          </w:p>
        </w:tc>
        <w:tc>
          <w:tcPr>
            <w:tcW w:w="857" w:type="dxa"/>
          </w:tcPr>
          <w:p w14:paraId="0A7D7B8E"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w:t>
            </w:r>
          </w:p>
        </w:tc>
        <w:tc>
          <w:tcPr>
            <w:tcW w:w="899" w:type="dxa"/>
          </w:tcPr>
          <w:p w14:paraId="0A7D7B8F"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w:t>
            </w:r>
          </w:p>
        </w:tc>
      </w:tr>
      <w:tr w:rsidR="00F1583D" w14:paraId="0A7D7B9A" w14:textId="77777777" w:rsidTr="00F1583D">
        <w:trPr>
          <w:trHeight w:val="300"/>
        </w:trPr>
        <w:tc>
          <w:tcPr>
            <w:tcW w:w="947" w:type="dxa"/>
          </w:tcPr>
          <w:p w14:paraId="0A7D7B91"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France</w:t>
            </w:r>
          </w:p>
        </w:tc>
        <w:tc>
          <w:tcPr>
            <w:tcW w:w="1533" w:type="dxa"/>
          </w:tcPr>
          <w:p w14:paraId="0A7D7B92"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Marseilles L2</w:t>
            </w:r>
          </w:p>
        </w:tc>
        <w:tc>
          <w:tcPr>
            <w:tcW w:w="1191" w:type="dxa"/>
          </w:tcPr>
          <w:p w14:paraId="0A7D7B93"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Contract awarded</w:t>
            </w:r>
          </w:p>
        </w:tc>
        <w:tc>
          <w:tcPr>
            <w:tcW w:w="946" w:type="dxa"/>
          </w:tcPr>
          <w:p w14:paraId="0A7D7B94"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Planned 2023</w:t>
            </w:r>
          </w:p>
        </w:tc>
        <w:tc>
          <w:tcPr>
            <w:tcW w:w="1057" w:type="dxa"/>
          </w:tcPr>
          <w:p w14:paraId="0A7D7B95"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 </w:t>
            </w:r>
          </w:p>
        </w:tc>
        <w:tc>
          <w:tcPr>
            <w:tcW w:w="1017" w:type="dxa"/>
          </w:tcPr>
          <w:p w14:paraId="0A7D7B96"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 </w:t>
            </w:r>
          </w:p>
        </w:tc>
        <w:tc>
          <w:tcPr>
            <w:tcW w:w="769" w:type="dxa"/>
          </w:tcPr>
          <w:p w14:paraId="0A7D7B97"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 </w:t>
            </w:r>
          </w:p>
        </w:tc>
        <w:tc>
          <w:tcPr>
            <w:tcW w:w="857" w:type="dxa"/>
          </w:tcPr>
          <w:p w14:paraId="0A7D7B98"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w:t>
            </w:r>
          </w:p>
        </w:tc>
        <w:tc>
          <w:tcPr>
            <w:tcW w:w="899" w:type="dxa"/>
          </w:tcPr>
          <w:p w14:paraId="0A7D7B99"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w:t>
            </w:r>
          </w:p>
        </w:tc>
      </w:tr>
      <w:tr w:rsidR="00F1583D" w14:paraId="0A7D7BA4" w14:textId="77777777" w:rsidTr="00F1583D">
        <w:trPr>
          <w:trHeight w:val="300"/>
        </w:trPr>
        <w:tc>
          <w:tcPr>
            <w:tcW w:w="947" w:type="dxa"/>
          </w:tcPr>
          <w:p w14:paraId="0A7D7B9B"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France</w:t>
            </w:r>
          </w:p>
        </w:tc>
        <w:tc>
          <w:tcPr>
            <w:tcW w:w="1533" w:type="dxa"/>
          </w:tcPr>
          <w:p w14:paraId="0A7D7B9C"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Paris L6</w:t>
            </w:r>
          </w:p>
        </w:tc>
        <w:tc>
          <w:tcPr>
            <w:tcW w:w="1191" w:type="dxa"/>
          </w:tcPr>
          <w:p w14:paraId="0A7D7B9D"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Contract awarded</w:t>
            </w:r>
          </w:p>
        </w:tc>
        <w:tc>
          <w:tcPr>
            <w:tcW w:w="946" w:type="dxa"/>
          </w:tcPr>
          <w:p w14:paraId="0A7D7B9E"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Planned 2023</w:t>
            </w:r>
          </w:p>
        </w:tc>
        <w:tc>
          <w:tcPr>
            <w:tcW w:w="1057" w:type="dxa"/>
          </w:tcPr>
          <w:p w14:paraId="0A7D7B9F" w14:textId="3A6A080B" w:rsidR="00F1583D" w:rsidRDefault="00F1583D" w:rsidP="001B293C">
            <w:pPr>
              <w:spacing w:after="0" w:line="240" w:lineRule="auto"/>
              <w:rPr>
                <w:rFonts w:cs="Arial"/>
                <w:sz w:val="18"/>
                <w:szCs w:val="18"/>
                <w:lang w:val="en-GB" w:eastAsia="de-DE"/>
              </w:rPr>
            </w:pPr>
            <w:r>
              <w:rPr>
                <w:rFonts w:cs="Arial"/>
                <w:sz w:val="18"/>
                <w:szCs w:val="18"/>
                <w:lang w:val="en-GB" w:eastAsia="de-DE"/>
              </w:rPr>
              <w:t>5915</w:t>
            </w:r>
            <w:r w:rsidR="001B293C">
              <w:rPr>
                <w:rFonts w:cs="Arial"/>
                <w:sz w:val="18"/>
                <w:szCs w:val="18"/>
                <w:lang w:val="en-GB" w:eastAsia="de-DE"/>
              </w:rPr>
              <w:t>-</w:t>
            </w:r>
            <w:r>
              <w:rPr>
                <w:rFonts w:cs="Arial"/>
                <w:sz w:val="18"/>
                <w:szCs w:val="18"/>
                <w:lang w:val="en-GB" w:eastAsia="de-DE"/>
              </w:rPr>
              <w:t>5935 MHz</w:t>
            </w:r>
          </w:p>
        </w:tc>
        <w:tc>
          <w:tcPr>
            <w:tcW w:w="1017" w:type="dxa"/>
          </w:tcPr>
          <w:p w14:paraId="0A7D7BA0" w14:textId="2FEF96E5" w:rsidR="00F1583D" w:rsidRDefault="00F1583D">
            <w:pPr>
              <w:spacing w:after="0" w:line="240" w:lineRule="auto"/>
              <w:rPr>
                <w:rFonts w:cs="Arial"/>
                <w:sz w:val="18"/>
                <w:szCs w:val="18"/>
                <w:lang w:val="en-GB" w:eastAsia="de-DE"/>
              </w:rPr>
            </w:pPr>
            <w:r>
              <w:rPr>
                <w:rFonts w:cs="Arial"/>
                <w:sz w:val="18"/>
                <w:szCs w:val="18"/>
                <w:lang w:val="en-GB" w:eastAsia="de-DE"/>
              </w:rPr>
              <w:t>600.000</w:t>
            </w:r>
          </w:p>
        </w:tc>
        <w:tc>
          <w:tcPr>
            <w:tcW w:w="769" w:type="dxa"/>
          </w:tcPr>
          <w:p w14:paraId="0A7D7BA1" w14:textId="157C9A1F" w:rsidR="00F1583D" w:rsidRDefault="00F1583D">
            <w:pPr>
              <w:spacing w:after="0" w:line="240" w:lineRule="auto"/>
              <w:rPr>
                <w:rFonts w:cs="Arial"/>
                <w:color w:val="000000"/>
                <w:sz w:val="18"/>
                <w:szCs w:val="18"/>
                <w:lang w:val="en-GB" w:eastAsia="de-DE"/>
              </w:rPr>
            </w:pPr>
            <w:r>
              <w:rPr>
                <w:rFonts w:cs="Arial"/>
                <w:color w:val="000000"/>
                <w:sz w:val="18"/>
                <w:szCs w:val="18"/>
                <w:lang w:val="en-GB" w:eastAsia="de-DE"/>
              </w:rPr>
              <w:t xml:space="preserve">13.000   </w:t>
            </w:r>
          </w:p>
        </w:tc>
        <w:tc>
          <w:tcPr>
            <w:tcW w:w="857" w:type="dxa"/>
          </w:tcPr>
          <w:p w14:paraId="0A7D7BA2"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6100</w:t>
            </w:r>
          </w:p>
        </w:tc>
        <w:tc>
          <w:tcPr>
            <w:tcW w:w="899" w:type="dxa"/>
          </w:tcPr>
          <w:p w14:paraId="0A7D7BA3"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47%</w:t>
            </w:r>
          </w:p>
        </w:tc>
      </w:tr>
      <w:tr w:rsidR="00F1583D" w14:paraId="0A7D7BAE" w14:textId="77777777" w:rsidTr="00F1583D">
        <w:trPr>
          <w:trHeight w:val="300"/>
        </w:trPr>
        <w:tc>
          <w:tcPr>
            <w:tcW w:w="947" w:type="dxa"/>
          </w:tcPr>
          <w:p w14:paraId="0A7D7BA5"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France</w:t>
            </w:r>
          </w:p>
        </w:tc>
        <w:tc>
          <w:tcPr>
            <w:tcW w:w="1533" w:type="dxa"/>
          </w:tcPr>
          <w:p w14:paraId="0A7D7BA6"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Lyon line D</w:t>
            </w:r>
          </w:p>
        </w:tc>
        <w:tc>
          <w:tcPr>
            <w:tcW w:w="1191" w:type="dxa"/>
          </w:tcPr>
          <w:p w14:paraId="0A7D7BA7"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xml:space="preserve">Roll-out </w:t>
            </w:r>
          </w:p>
        </w:tc>
        <w:tc>
          <w:tcPr>
            <w:tcW w:w="946" w:type="dxa"/>
          </w:tcPr>
          <w:p w14:paraId="0A7D7BA8"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Planned 2023</w:t>
            </w:r>
          </w:p>
        </w:tc>
        <w:tc>
          <w:tcPr>
            <w:tcW w:w="1057" w:type="dxa"/>
          </w:tcPr>
          <w:p w14:paraId="0A7D7BA9" w14:textId="68316350" w:rsidR="00F1583D" w:rsidRDefault="00F1583D" w:rsidP="001B293C">
            <w:pPr>
              <w:spacing w:after="0" w:line="240" w:lineRule="auto"/>
              <w:rPr>
                <w:rFonts w:cs="Arial"/>
                <w:sz w:val="18"/>
                <w:szCs w:val="18"/>
                <w:lang w:val="en-GB" w:eastAsia="de-DE"/>
              </w:rPr>
            </w:pPr>
            <w:r>
              <w:rPr>
                <w:rFonts w:cs="Arial"/>
                <w:sz w:val="18"/>
                <w:szCs w:val="18"/>
                <w:lang w:val="en-GB" w:eastAsia="de-DE"/>
              </w:rPr>
              <w:t>5905</w:t>
            </w:r>
            <w:r w:rsidR="001B293C">
              <w:rPr>
                <w:rFonts w:cs="Arial"/>
                <w:sz w:val="18"/>
                <w:szCs w:val="18"/>
                <w:lang w:val="en-GB" w:eastAsia="de-DE"/>
              </w:rPr>
              <w:t>-</w:t>
            </w:r>
            <w:r>
              <w:rPr>
                <w:rFonts w:cs="Arial"/>
                <w:sz w:val="18"/>
                <w:szCs w:val="18"/>
                <w:lang w:val="en-GB" w:eastAsia="de-DE"/>
              </w:rPr>
              <w:t>5925 MHz</w:t>
            </w:r>
          </w:p>
        </w:tc>
        <w:tc>
          <w:tcPr>
            <w:tcW w:w="1017" w:type="dxa"/>
          </w:tcPr>
          <w:p w14:paraId="0A7D7BAA"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w:t>
            </w:r>
          </w:p>
        </w:tc>
        <w:tc>
          <w:tcPr>
            <w:tcW w:w="769" w:type="dxa"/>
          </w:tcPr>
          <w:p w14:paraId="0A7D7BAB"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 </w:t>
            </w:r>
          </w:p>
        </w:tc>
        <w:tc>
          <w:tcPr>
            <w:tcW w:w="857" w:type="dxa"/>
          </w:tcPr>
          <w:p w14:paraId="0A7D7BAC"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w:t>
            </w:r>
          </w:p>
        </w:tc>
        <w:tc>
          <w:tcPr>
            <w:tcW w:w="899" w:type="dxa"/>
          </w:tcPr>
          <w:p w14:paraId="0A7D7BAD"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w:t>
            </w:r>
          </w:p>
        </w:tc>
      </w:tr>
      <w:tr w:rsidR="00F1583D" w14:paraId="0A7D7BB8" w14:textId="77777777" w:rsidTr="00F1583D">
        <w:trPr>
          <w:trHeight w:val="300"/>
        </w:trPr>
        <w:tc>
          <w:tcPr>
            <w:tcW w:w="947" w:type="dxa"/>
          </w:tcPr>
          <w:p w14:paraId="0A7D7BAF"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France</w:t>
            </w:r>
          </w:p>
        </w:tc>
        <w:tc>
          <w:tcPr>
            <w:tcW w:w="1533" w:type="dxa"/>
          </w:tcPr>
          <w:p w14:paraId="0A7D7BB0"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Paris L14 (</w:t>
            </w:r>
            <w:proofErr w:type="spellStart"/>
            <w:r>
              <w:rPr>
                <w:rFonts w:cs="Arial"/>
                <w:sz w:val="18"/>
                <w:szCs w:val="18"/>
                <w:lang w:val="en-GB" w:eastAsia="de-DE"/>
              </w:rPr>
              <w:t>Orly-Pleyel</w:t>
            </w:r>
            <w:proofErr w:type="spellEnd"/>
            <w:r>
              <w:rPr>
                <w:rFonts w:cs="Arial"/>
                <w:sz w:val="18"/>
                <w:szCs w:val="18"/>
                <w:lang w:val="en-GB" w:eastAsia="de-DE"/>
              </w:rPr>
              <w:t>)</w:t>
            </w:r>
          </w:p>
        </w:tc>
        <w:tc>
          <w:tcPr>
            <w:tcW w:w="1191" w:type="dxa"/>
          </w:tcPr>
          <w:p w14:paraId="0A7D7BB1"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Contract awarded</w:t>
            </w:r>
          </w:p>
        </w:tc>
        <w:tc>
          <w:tcPr>
            <w:tcW w:w="946" w:type="dxa"/>
          </w:tcPr>
          <w:p w14:paraId="0A7D7BB2"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Planned 2024</w:t>
            </w:r>
          </w:p>
        </w:tc>
        <w:tc>
          <w:tcPr>
            <w:tcW w:w="1057" w:type="dxa"/>
          </w:tcPr>
          <w:p w14:paraId="0A7D7BB3" w14:textId="49BBDBEA" w:rsidR="00F1583D" w:rsidRDefault="00F1583D" w:rsidP="001B293C">
            <w:pPr>
              <w:spacing w:after="0" w:line="240" w:lineRule="auto"/>
              <w:rPr>
                <w:rFonts w:cs="Arial"/>
                <w:sz w:val="18"/>
                <w:szCs w:val="18"/>
                <w:lang w:val="en-GB" w:eastAsia="de-DE"/>
              </w:rPr>
            </w:pPr>
            <w:r>
              <w:rPr>
                <w:rFonts w:cs="Arial"/>
                <w:sz w:val="18"/>
                <w:szCs w:val="18"/>
                <w:lang w:val="en-GB" w:eastAsia="de-DE"/>
              </w:rPr>
              <w:t>5915</w:t>
            </w:r>
            <w:r w:rsidR="001B293C">
              <w:rPr>
                <w:rFonts w:cs="Arial"/>
                <w:sz w:val="18"/>
                <w:szCs w:val="18"/>
                <w:lang w:val="en-GB" w:eastAsia="de-DE"/>
              </w:rPr>
              <w:t>-</w:t>
            </w:r>
            <w:r>
              <w:rPr>
                <w:rFonts w:cs="Arial"/>
                <w:sz w:val="18"/>
                <w:szCs w:val="18"/>
                <w:lang w:val="en-GB" w:eastAsia="de-DE"/>
              </w:rPr>
              <w:t>5935 MHz</w:t>
            </w:r>
          </w:p>
        </w:tc>
        <w:tc>
          <w:tcPr>
            <w:tcW w:w="1017" w:type="dxa"/>
          </w:tcPr>
          <w:p w14:paraId="0A7D7BB4" w14:textId="46F07068" w:rsidR="00F1583D" w:rsidRDefault="00F1583D">
            <w:pPr>
              <w:spacing w:after="0" w:line="240" w:lineRule="auto"/>
              <w:rPr>
                <w:rFonts w:cs="Arial"/>
                <w:sz w:val="18"/>
                <w:szCs w:val="18"/>
                <w:lang w:val="en-GB" w:eastAsia="de-DE"/>
              </w:rPr>
            </w:pPr>
            <w:r>
              <w:rPr>
                <w:rFonts w:cs="Arial"/>
                <w:sz w:val="18"/>
                <w:szCs w:val="18"/>
                <w:lang w:val="en-GB" w:eastAsia="de-DE"/>
              </w:rPr>
              <w:t xml:space="preserve">1.100.000   </w:t>
            </w:r>
          </w:p>
        </w:tc>
        <w:tc>
          <w:tcPr>
            <w:tcW w:w="769" w:type="dxa"/>
          </w:tcPr>
          <w:p w14:paraId="0A7D7BB5"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 </w:t>
            </w:r>
          </w:p>
        </w:tc>
        <w:tc>
          <w:tcPr>
            <w:tcW w:w="857" w:type="dxa"/>
          </w:tcPr>
          <w:p w14:paraId="0A7D7BB6"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w:t>
            </w:r>
          </w:p>
        </w:tc>
        <w:tc>
          <w:tcPr>
            <w:tcW w:w="899" w:type="dxa"/>
          </w:tcPr>
          <w:p w14:paraId="0A7D7BB7"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w:t>
            </w:r>
          </w:p>
        </w:tc>
      </w:tr>
      <w:tr w:rsidR="00F1583D" w14:paraId="0A7D7BC2" w14:textId="77777777" w:rsidTr="00F1583D">
        <w:trPr>
          <w:trHeight w:val="855"/>
        </w:trPr>
        <w:tc>
          <w:tcPr>
            <w:tcW w:w="947" w:type="dxa"/>
          </w:tcPr>
          <w:p w14:paraId="0A7D7BB9"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France</w:t>
            </w:r>
          </w:p>
        </w:tc>
        <w:tc>
          <w:tcPr>
            <w:tcW w:w="1533" w:type="dxa"/>
          </w:tcPr>
          <w:p w14:paraId="0A7D7BBA"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 xml:space="preserve">Paris </w:t>
            </w:r>
            <w:proofErr w:type="spellStart"/>
            <w:r>
              <w:rPr>
                <w:rFonts w:cs="Arial"/>
                <w:color w:val="000000"/>
                <w:sz w:val="18"/>
                <w:szCs w:val="18"/>
                <w:lang w:val="en-GB" w:eastAsia="de-DE"/>
              </w:rPr>
              <w:t>NExTEO</w:t>
            </w:r>
            <w:proofErr w:type="spellEnd"/>
            <w:r>
              <w:rPr>
                <w:rFonts w:cs="Arial"/>
                <w:color w:val="000000"/>
                <w:sz w:val="18"/>
                <w:szCs w:val="18"/>
                <w:lang w:val="en-GB" w:eastAsia="de-DE"/>
              </w:rPr>
              <w:t xml:space="preserve"> EOLE</w:t>
            </w:r>
          </w:p>
        </w:tc>
        <w:tc>
          <w:tcPr>
            <w:tcW w:w="1191" w:type="dxa"/>
          </w:tcPr>
          <w:p w14:paraId="0A7D7BBB"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Contract awarded</w:t>
            </w:r>
          </w:p>
        </w:tc>
        <w:tc>
          <w:tcPr>
            <w:tcW w:w="946" w:type="dxa"/>
          </w:tcPr>
          <w:p w14:paraId="0A7D7BBC" w14:textId="11151BCD" w:rsidR="00F1583D" w:rsidRDefault="00F1583D" w:rsidP="003D6E6A">
            <w:pPr>
              <w:spacing w:after="0" w:line="240" w:lineRule="auto"/>
              <w:rPr>
                <w:rFonts w:cs="Arial"/>
                <w:sz w:val="18"/>
                <w:szCs w:val="18"/>
                <w:lang w:val="en-GB" w:eastAsia="de-DE"/>
              </w:rPr>
            </w:pPr>
            <w:r>
              <w:rPr>
                <w:rFonts w:cs="Arial"/>
                <w:sz w:val="18"/>
                <w:szCs w:val="18"/>
                <w:lang w:val="en-GB" w:eastAsia="de-DE"/>
              </w:rPr>
              <w:t xml:space="preserve">Planned between 2021 and 2023 </w:t>
            </w:r>
          </w:p>
        </w:tc>
        <w:tc>
          <w:tcPr>
            <w:tcW w:w="1057" w:type="dxa"/>
          </w:tcPr>
          <w:p w14:paraId="0A7D7BBD" w14:textId="71D84F07" w:rsidR="00F1583D" w:rsidRDefault="00F1583D" w:rsidP="001B293C">
            <w:pPr>
              <w:spacing w:after="0" w:line="240" w:lineRule="auto"/>
              <w:rPr>
                <w:rFonts w:cs="Arial"/>
                <w:sz w:val="18"/>
                <w:szCs w:val="18"/>
                <w:lang w:val="en-GB" w:eastAsia="de-DE"/>
              </w:rPr>
            </w:pPr>
            <w:r>
              <w:rPr>
                <w:rFonts w:cs="Arial"/>
                <w:sz w:val="18"/>
                <w:szCs w:val="18"/>
                <w:lang w:val="en-GB" w:eastAsia="de-DE"/>
              </w:rPr>
              <w:t>5905</w:t>
            </w:r>
            <w:r w:rsidR="001B293C">
              <w:rPr>
                <w:rFonts w:cs="Arial"/>
                <w:sz w:val="18"/>
                <w:szCs w:val="18"/>
                <w:lang w:val="en-GB" w:eastAsia="de-DE"/>
              </w:rPr>
              <w:t>-</w:t>
            </w:r>
            <w:r>
              <w:rPr>
                <w:rFonts w:cs="Arial"/>
                <w:sz w:val="18"/>
                <w:szCs w:val="18"/>
                <w:lang w:val="en-GB" w:eastAsia="de-DE"/>
              </w:rPr>
              <w:t>5925 MHz</w:t>
            </w:r>
          </w:p>
        </w:tc>
        <w:tc>
          <w:tcPr>
            <w:tcW w:w="1017" w:type="dxa"/>
          </w:tcPr>
          <w:p w14:paraId="0A7D7BBE"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w:t>
            </w:r>
          </w:p>
        </w:tc>
        <w:tc>
          <w:tcPr>
            <w:tcW w:w="769" w:type="dxa"/>
          </w:tcPr>
          <w:p w14:paraId="0A7D7BBF" w14:textId="125CAB4B"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 xml:space="preserve">27.600   </w:t>
            </w:r>
          </w:p>
        </w:tc>
        <w:tc>
          <w:tcPr>
            <w:tcW w:w="857" w:type="dxa"/>
          </w:tcPr>
          <w:p w14:paraId="0A7D7BC0"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9.000</w:t>
            </w:r>
          </w:p>
        </w:tc>
        <w:tc>
          <w:tcPr>
            <w:tcW w:w="899" w:type="dxa"/>
          </w:tcPr>
          <w:p w14:paraId="0A7D7BC1"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33%</w:t>
            </w:r>
          </w:p>
        </w:tc>
      </w:tr>
      <w:tr w:rsidR="00F1583D" w14:paraId="0A7D7BCC" w14:textId="77777777" w:rsidTr="00F1583D">
        <w:trPr>
          <w:trHeight w:val="570"/>
        </w:trPr>
        <w:tc>
          <w:tcPr>
            <w:tcW w:w="947" w:type="dxa"/>
          </w:tcPr>
          <w:p w14:paraId="0A7D7BC3"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France</w:t>
            </w:r>
          </w:p>
        </w:tc>
        <w:tc>
          <w:tcPr>
            <w:tcW w:w="1533" w:type="dxa"/>
          </w:tcPr>
          <w:p w14:paraId="0A7D7BC4"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Grand Paris line 15</w:t>
            </w:r>
          </w:p>
        </w:tc>
        <w:tc>
          <w:tcPr>
            <w:tcW w:w="1191" w:type="dxa"/>
          </w:tcPr>
          <w:p w14:paraId="0A7D7BC5" w14:textId="0824175E" w:rsidR="00F1583D" w:rsidRDefault="00F1583D" w:rsidP="003D6E6A">
            <w:pPr>
              <w:spacing w:after="0" w:line="240" w:lineRule="auto"/>
              <w:rPr>
                <w:rFonts w:cs="Arial"/>
                <w:sz w:val="18"/>
                <w:szCs w:val="18"/>
                <w:lang w:val="en-GB" w:eastAsia="de-DE"/>
              </w:rPr>
            </w:pPr>
            <w:r>
              <w:rPr>
                <w:rFonts w:cs="Arial"/>
                <w:sz w:val="18"/>
                <w:szCs w:val="18"/>
                <w:lang w:val="en-GB" w:eastAsia="de-DE"/>
              </w:rPr>
              <w:t>Contract awarded Q3 2018</w:t>
            </w:r>
          </w:p>
        </w:tc>
        <w:tc>
          <w:tcPr>
            <w:tcW w:w="946" w:type="dxa"/>
          </w:tcPr>
          <w:p w14:paraId="0A7D7BC6"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Planned between 2024 to 2030</w:t>
            </w:r>
          </w:p>
        </w:tc>
        <w:tc>
          <w:tcPr>
            <w:tcW w:w="1057" w:type="dxa"/>
          </w:tcPr>
          <w:p w14:paraId="0A7D7BC7"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5905-5925 MHz</w:t>
            </w:r>
          </w:p>
        </w:tc>
        <w:tc>
          <w:tcPr>
            <w:tcW w:w="1017" w:type="dxa"/>
          </w:tcPr>
          <w:p w14:paraId="0A7D7BC8"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w:t>
            </w:r>
          </w:p>
        </w:tc>
        <w:tc>
          <w:tcPr>
            <w:tcW w:w="769" w:type="dxa"/>
          </w:tcPr>
          <w:p w14:paraId="0A7D7BC9" w14:textId="6BA130AF"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 xml:space="preserve">77.000   </w:t>
            </w:r>
          </w:p>
        </w:tc>
        <w:tc>
          <w:tcPr>
            <w:tcW w:w="857" w:type="dxa"/>
          </w:tcPr>
          <w:p w14:paraId="0A7D7BCA"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Only depot</w:t>
            </w:r>
          </w:p>
        </w:tc>
        <w:tc>
          <w:tcPr>
            <w:tcW w:w="899" w:type="dxa"/>
          </w:tcPr>
          <w:p w14:paraId="0A7D7BCB"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0%</w:t>
            </w:r>
          </w:p>
        </w:tc>
      </w:tr>
      <w:tr w:rsidR="00F1583D" w14:paraId="0A7D7BD7" w14:textId="77777777" w:rsidTr="00F1583D">
        <w:trPr>
          <w:trHeight w:val="585"/>
        </w:trPr>
        <w:tc>
          <w:tcPr>
            <w:tcW w:w="947" w:type="dxa"/>
          </w:tcPr>
          <w:p w14:paraId="0A7D7BCD"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France</w:t>
            </w:r>
          </w:p>
        </w:tc>
        <w:tc>
          <w:tcPr>
            <w:tcW w:w="1533" w:type="dxa"/>
          </w:tcPr>
          <w:p w14:paraId="0A7D7BCE" w14:textId="77777777"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Grand Paris line 16</w:t>
            </w:r>
          </w:p>
        </w:tc>
        <w:tc>
          <w:tcPr>
            <w:tcW w:w="1191" w:type="dxa"/>
          </w:tcPr>
          <w:p w14:paraId="0A7D7BCF" w14:textId="21D5AAFA" w:rsidR="00F1583D" w:rsidRDefault="00F1583D" w:rsidP="003D6E6A">
            <w:pPr>
              <w:spacing w:after="0" w:line="240" w:lineRule="auto"/>
              <w:rPr>
                <w:rFonts w:cs="Arial"/>
                <w:sz w:val="18"/>
                <w:szCs w:val="18"/>
                <w:lang w:val="en-GB" w:eastAsia="de-DE"/>
              </w:rPr>
            </w:pPr>
            <w:r>
              <w:rPr>
                <w:rFonts w:cs="Arial"/>
                <w:sz w:val="18"/>
                <w:szCs w:val="18"/>
                <w:lang w:val="en-GB" w:eastAsia="de-DE"/>
              </w:rPr>
              <w:t>Contract awarded Q3 2018</w:t>
            </w:r>
          </w:p>
        </w:tc>
        <w:tc>
          <w:tcPr>
            <w:tcW w:w="946" w:type="dxa"/>
          </w:tcPr>
          <w:p w14:paraId="0A7D7BD0" w14:textId="77777777" w:rsidR="00F1583D" w:rsidRPr="007069F9" w:rsidRDefault="00F1583D" w:rsidP="003D6E6A">
            <w:pPr>
              <w:spacing w:after="0" w:line="240" w:lineRule="auto"/>
              <w:rPr>
                <w:rFonts w:cs="Arial"/>
                <w:sz w:val="18"/>
                <w:szCs w:val="18"/>
                <w:lang w:val="en-GB" w:eastAsia="de-DE"/>
              </w:rPr>
            </w:pPr>
            <w:r>
              <w:rPr>
                <w:rFonts w:cs="Arial"/>
                <w:sz w:val="18"/>
                <w:szCs w:val="18"/>
                <w:lang w:val="en-GB" w:eastAsia="de-DE"/>
              </w:rPr>
              <w:t>Planned between 2024 to 2030</w:t>
            </w:r>
            <w:r>
              <w:t xml:space="preserve"> </w:t>
            </w:r>
          </w:p>
          <w:p w14:paraId="0A7D7BD1" w14:textId="77777777" w:rsidR="00F1583D" w:rsidRDefault="00F1583D" w:rsidP="003D6E6A">
            <w:pPr>
              <w:spacing w:after="0" w:line="240" w:lineRule="auto"/>
              <w:rPr>
                <w:rFonts w:cs="Arial"/>
                <w:sz w:val="18"/>
                <w:szCs w:val="18"/>
                <w:lang w:val="en-GB" w:eastAsia="de-DE"/>
              </w:rPr>
            </w:pPr>
            <w:r w:rsidRPr="007069F9">
              <w:rPr>
                <w:rFonts w:cs="Arial"/>
                <w:sz w:val="18"/>
                <w:szCs w:val="18"/>
                <w:lang w:val="en-GB" w:eastAsia="de-DE"/>
              </w:rPr>
              <w:t>1st area in 2024 for Olympic Games</w:t>
            </w:r>
          </w:p>
        </w:tc>
        <w:tc>
          <w:tcPr>
            <w:tcW w:w="1057" w:type="dxa"/>
          </w:tcPr>
          <w:p w14:paraId="0A7D7BD2"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5905-5925 MHz</w:t>
            </w:r>
          </w:p>
        </w:tc>
        <w:tc>
          <w:tcPr>
            <w:tcW w:w="1017" w:type="dxa"/>
          </w:tcPr>
          <w:p w14:paraId="0A7D7BD3"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 </w:t>
            </w:r>
          </w:p>
        </w:tc>
        <w:tc>
          <w:tcPr>
            <w:tcW w:w="769" w:type="dxa"/>
          </w:tcPr>
          <w:p w14:paraId="0A7D7BD4" w14:textId="1D0D06F9" w:rsidR="00F1583D" w:rsidRDefault="00F1583D" w:rsidP="003D6E6A">
            <w:pPr>
              <w:spacing w:after="0" w:line="240" w:lineRule="auto"/>
              <w:rPr>
                <w:rFonts w:cs="Arial"/>
                <w:color w:val="000000"/>
                <w:sz w:val="18"/>
                <w:szCs w:val="18"/>
                <w:lang w:val="en-GB" w:eastAsia="de-DE"/>
              </w:rPr>
            </w:pPr>
            <w:r>
              <w:rPr>
                <w:rFonts w:cs="Arial"/>
                <w:color w:val="000000"/>
                <w:sz w:val="18"/>
                <w:szCs w:val="18"/>
                <w:lang w:val="en-GB" w:eastAsia="de-DE"/>
              </w:rPr>
              <w:t xml:space="preserve">29.000   </w:t>
            </w:r>
          </w:p>
        </w:tc>
        <w:tc>
          <w:tcPr>
            <w:tcW w:w="857" w:type="dxa"/>
          </w:tcPr>
          <w:p w14:paraId="0A7D7BD5"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Only depot</w:t>
            </w:r>
          </w:p>
        </w:tc>
        <w:tc>
          <w:tcPr>
            <w:tcW w:w="899" w:type="dxa"/>
          </w:tcPr>
          <w:p w14:paraId="0A7D7BD6" w14:textId="77777777" w:rsidR="00F1583D" w:rsidRDefault="00F1583D" w:rsidP="003D6E6A">
            <w:pPr>
              <w:spacing w:after="0" w:line="240" w:lineRule="auto"/>
              <w:rPr>
                <w:rFonts w:cs="Arial"/>
                <w:sz w:val="18"/>
                <w:szCs w:val="18"/>
                <w:lang w:val="en-GB" w:eastAsia="de-DE"/>
              </w:rPr>
            </w:pPr>
            <w:r>
              <w:rPr>
                <w:rFonts w:cs="Arial"/>
                <w:sz w:val="18"/>
                <w:szCs w:val="18"/>
                <w:lang w:val="en-GB" w:eastAsia="de-DE"/>
              </w:rPr>
              <w:t>0%</w:t>
            </w:r>
          </w:p>
        </w:tc>
      </w:tr>
      <w:tr w:rsidR="00F1583D" w14:paraId="0A7D7BDA" w14:textId="77777777" w:rsidTr="00F1583D">
        <w:trPr>
          <w:trHeight w:val="585"/>
        </w:trPr>
        <w:tc>
          <w:tcPr>
            <w:tcW w:w="9216" w:type="dxa"/>
            <w:gridSpan w:val="9"/>
          </w:tcPr>
          <w:p w14:paraId="0A7D7BD8" w14:textId="77777777" w:rsidR="00F1583D" w:rsidRDefault="00F1583D" w:rsidP="003D6E6A">
            <w:pPr>
              <w:pStyle w:val="ECCTablenote"/>
              <w:jc w:val="left"/>
              <w:rPr>
                <w:lang w:eastAsia="fr-FR"/>
              </w:rPr>
            </w:pPr>
            <w:r>
              <w:rPr>
                <w:lang w:eastAsia="fr-FR"/>
              </w:rPr>
              <w:t>*L1 and L5 in Brussels have a common part</w:t>
            </w:r>
          </w:p>
          <w:p w14:paraId="0A7D7BD9" w14:textId="77777777" w:rsidR="00F1583D" w:rsidRDefault="00F1583D" w:rsidP="003D6E6A">
            <w:pPr>
              <w:pStyle w:val="ECCTablenote"/>
              <w:jc w:val="left"/>
              <w:rPr>
                <w:rFonts w:cs="Arial"/>
                <w:sz w:val="18"/>
                <w:szCs w:val="18"/>
                <w:lang w:eastAsia="de-DE"/>
              </w:rPr>
            </w:pPr>
            <w:r>
              <w:rPr>
                <w:lang w:eastAsia="fr-FR"/>
              </w:rPr>
              <w:t>**L2 and L6 in Brussels have a common part</w:t>
            </w:r>
          </w:p>
        </w:tc>
      </w:tr>
    </w:tbl>
    <w:p w14:paraId="0A7D7BDB" w14:textId="77777777" w:rsidR="00C12AB8" w:rsidRDefault="00155EB5">
      <w:pPr>
        <w:rPr>
          <w:lang w:val="en-GB"/>
        </w:rPr>
      </w:pPr>
      <w:r>
        <w:rPr>
          <w:lang w:val="en-GB"/>
        </w:rPr>
        <w:br w:type="page"/>
      </w:r>
    </w:p>
    <w:p w14:paraId="0A7D7BDC" w14:textId="17D1433E" w:rsidR="00C12AB8" w:rsidRDefault="00155EB5" w:rsidP="00912C5C">
      <w:pPr>
        <w:pStyle w:val="Caption"/>
        <w:keepNext/>
        <w:rPr>
          <w:lang w:val="en-GB"/>
        </w:rPr>
      </w:pPr>
      <w:r>
        <w:rPr>
          <w:lang w:val="en-GB"/>
        </w:rPr>
        <w:lastRenderedPageBreak/>
        <w:t xml:space="preserve">Table </w:t>
      </w:r>
      <w:r>
        <w:rPr>
          <w:lang w:val="en-GB"/>
        </w:rPr>
        <w:fldChar w:fldCharType="begin"/>
      </w:r>
      <w:r>
        <w:rPr>
          <w:lang w:val="en-GB"/>
        </w:rPr>
        <w:instrText xml:space="preserve"> SEQ Table \* ARABIC </w:instrText>
      </w:r>
      <w:r>
        <w:rPr>
          <w:lang w:val="en-GB"/>
        </w:rPr>
        <w:fldChar w:fldCharType="separate"/>
      </w:r>
      <w:r w:rsidR="00F908C9">
        <w:rPr>
          <w:noProof/>
          <w:lang w:val="en-GB"/>
        </w:rPr>
        <w:t>3</w:t>
      </w:r>
      <w:r>
        <w:rPr>
          <w:lang w:val="en-GB"/>
        </w:rPr>
        <w:fldChar w:fldCharType="end"/>
      </w:r>
      <w:r>
        <w:rPr>
          <w:lang w:val="en-GB"/>
        </w:rPr>
        <w:t>:</w:t>
      </w:r>
      <w:r>
        <w:rPr>
          <w:rFonts w:eastAsiaTheme="minorHAnsi"/>
          <w:lang w:val="en-GB"/>
        </w:rPr>
        <w:t xml:space="preserve"> Future projects waiting for regulator authorisation for a frequency band and needing urgent decision</w:t>
      </w:r>
    </w:p>
    <w:tbl>
      <w:tblPr>
        <w:tblStyle w:val="ECCTable-redheader"/>
        <w:tblW w:w="9855" w:type="dxa"/>
        <w:tblLayout w:type="fixed"/>
        <w:tblLook w:val="04A0" w:firstRow="1" w:lastRow="0" w:firstColumn="1" w:lastColumn="0" w:noHBand="0" w:noVBand="1"/>
      </w:tblPr>
      <w:tblGrid>
        <w:gridCol w:w="1107"/>
        <w:gridCol w:w="1259"/>
        <w:gridCol w:w="2282"/>
        <w:gridCol w:w="1701"/>
        <w:gridCol w:w="1472"/>
        <w:gridCol w:w="1194"/>
        <w:gridCol w:w="840"/>
      </w:tblGrid>
      <w:tr w:rsidR="00C12AB8" w14:paraId="0A7D7BDE" w14:textId="77777777" w:rsidTr="00C12AB8">
        <w:trPr>
          <w:cnfStyle w:val="100000000000" w:firstRow="1" w:lastRow="0" w:firstColumn="0" w:lastColumn="0" w:oddVBand="0" w:evenVBand="0" w:oddHBand="0" w:evenHBand="0" w:firstRowFirstColumn="0" w:firstRowLastColumn="0" w:lastRowFirstColumn="0" w:lastRowLastColumn="0"/>
          <w:trHeight w:val="645"/>
        </w:trPr>
        <w:tc>
          <w:tcPr>
            <w:tcW w:w="9855" w:type="dxa"/>
            <w:gridSpan w:val="7"/>
            <w:shd w:val="clear" w:color="auto" w:fill="D2232A"/>
          </w:tcPr>
          <w:p w14:paraId="0A7D7BDD" w14:textId="77777777" w:rsidR="00C12AB8" w:rsidRPr="00597A18" w:rsidRDefault="00155EB5">
            <w:pPr>
              <w:rPr>
                <w:rFonts w:cs="Arial"/>
                <w:bCs/>
                <w:color w:val="000000"/>
                <w:szCs w:val="20"/>
                <w:lang w:val="en-GB"/>
              </w:rPr>
            </w:pPr>
            <w:r w:rsidRPr="00EC6184">
              <w:rPr>
                <w:rFonts w:cs="Arial"/>
                <w:bCs/>
                <w:color w:val="FFFFFF" w:themeColor="background1"/>
                <w:szCs w:val="20"/>
                <w:lang w:val="en-GB"/>
              </w:rPr>
              <w:t>Projects waiting for regulator authorisation for a frequency band and needing urgent decision</w:t>
            </w:r>
          </w:p>
        </w:tc>
      </w:tr>
      <w:tr w:rsidR="00C12AB8" w14:paraId="0A7D7BE6" w14:textId="77777777" w:rsidTr="00C12AB8">
        <w:trPr>
          <w:trHeight w:val="1200"/>
        </w:trPr>
        <w:tc>
          <w:tcPr>
            <w:tcW w:w="1107" w:type="dxa"/>
          </w:tcPr>
          <w:p w14:paraId="0A7D7BDF" w14:textId="77777777" w:rsidR="00C12AB8" w:rsidRDefault="00155EB5">
            <w:pPr>
              <w:jc w:val="center"/>
              <w:rPr>
                <w:rFonts w:cs="Arial"/>
                <w:b/>
                <w:bCs/>
                <w:color w:val="000000"/>
                <w:sz w:val="18"/>
                <w:szCs w:val="18"/>
                <w:lang w:val="en-GB"/>
              </w:rPr>
            </w:pPr>
            <w:r>
              <w:rPr>
                <w:rFonts w:cs="Arial"/>
                <w:b/>
                <w:bCs/>
                <w:color w:val="000000"/>
                <w:sz w:val="18"/>
                <w:szCs w:val="18"/>
                <w:lang w:val="en-GB"/>
              </w:rPr>
              <w:t>Country</w:t>
            </w:r>
          </w:p>
        </w:tc>
        <w:tc>
          <w:tcPr>
            <w:tcW w:w="1259" w:type="dxa"/>
          </w:tcPr>
          <w:p w14:paraId="0A7D7BE0" w14:textId="77777777" w:rsidR="00C12AB8" w:rsidRDefault="00155EB5">
            <w:pPr>
              <w:jc w:val="center"/>
              <w:rPr>
                <w:rFonts w:cs="Arial"/>
                <w:b/>
                <w:bCs/>
                <w:color w:val="000000"/>
                <w:sz w:val="18"/>
                <w:szCs w:val="18"/>
                <w:lang w:val="en-GB"/>
              </w:rPr>
            </w:pPr>
            <w:r>
              <w:rPr>
                <w:rFonts w:cs="Arial"/>
                <w:b/>
                <w:bCs/>
                <w:color w:val="000000"/>
                <w:sz w:val="18"/>
                <w:szCs w:val="18"/>
                <w:lang w:val="en-GB"/>
              </w:rPr>
              <w:t>City</w:t>
            </w:r>
          </w:p>
        </w:tc>
        <w:tc>
          <w:tcPr>
            <w:tcW w:w="2282" w:type="dxa"/>
          </w:tcPr>
          <w:p w14:paraId="0A7D7BE1" w14:textId="77777777" w:rsidR="00C12AB8" w:rsidRDefault="00155EB5">
            <w:pPr>
              <w:jc w:val="center"/>
              <w:rPr>
                <w:rFonts w:cs="Arial"/>
                <w:b/>
                <w:bCs/>
                <w:color w:val="000000"/>
                <w:sz w:val="18"/>
                <w:szCs w:val="18"/>
                <w:u w:val="single"/>
                <w:lang w:val="en-GB"/>
              </w:rPr>
            </w:pPr>
            <w:r>
              <w:rPr>
                <w:rFonts w:cs="Arial"/>
                <w:b/>
                <w:bCs/>
                <w:color w:val="000000"/>
                <w:sz w:val="18"/>
                <w:szCs w:val="18"/>
                <w:u w:val="single"/>
                <w:lang w:val="en-GB"/>
              </w:rPr>
              <w:t>Situation</w:t>
            </w:r>
          </w:p>
        </w:tc>
        <w:tc>
          <w:tcPr>
            <w:tcW w:w="1701" w:type="dxa"/>
          </w:tcPr>
          <w:p w14:paraId="0A7D7BE2" w14:textId="77777777" w:rsidR="00C12AB8" w:rsidRDefault="00155EB5">
            <w:pPr>
              <w:jc w:val="center"/>
              <w:rPr>
                <w:rFonts w:cs="Arial"/>
                <w:b/>
                <w:bCs/>
                <w:color w:val="000000"/>
                <w:sz w:val="18"/>
                <w:szCs w:val="18"/>
                <w:u w:val="single"/>
                <w:lang w:val="en-GB"/>
              </w:rPr>
            </w:pPr>
            <w:r>
              <w:rPr>
                <w:rFonts w:cs="Arial"/>
                <w:b/>
                <w:bCs/>
                <w:color w:val="000000"/>
                <w:sz w:val="18"/>
                <w:szCs w:val="18"/>
                <w:u w:val="single"/>
                <w:lang w:val="en-GB"/>
              </w:rPr>
              <w:t>Opening to Public</w:t>
            </w:r>
          </w:p>
        </w:tc>
        <w:tc>
          <w:tcPr>
            <w:tcW w:w="1472" w:type="dxa"/>
          </w:tcPr>
          <w:p w14:paraId="0A7D7BE3" w14:textId="520D719F" w:rsidR="00C12AB8" w:rsidRDefault="00155EB5" w:rsidP="00A756AB">
            <w:pPr>
              <w:jc w:val="center"/>
              <w:rPr>
                <w:rFonts w:cs="Arial"/>
                <w:b/>
                <w:bCs/>
                <w:color w:val="000000"/>
                <w:sz w:val="18"/>
                <w:szCs w:val="18"/>
                <w:u w:val="single"/>
                <w:lang w:val="en-GB"/>
              </w:rPr>
            </w:pPr>
            <w:r>
              <w:rPr>
                <w:rFonts w:cs="Arial"/>
                <w:b/>
                <w:bCs/>
                <w:color w:val="000000"/>
                <w:sz w:val="18"/>
                <w:szCs w:val="18"/>
                <w:u w:val="single"/>
                <w:lang w:val="en-GB"/>
              </w:rPr>
              <w:t>Full length (</w:t>
            </w:r>
            <w:r w:rsidR="00CF6C43">
              <w:rPr>
                <w:rFonts w:cs="Arial"/>
                <w:b/>
                <w:bCs/>
                <w:color w:val="000000"/>
                <w:sz w:val="18"/>
                <w:szCs w:val="18"/>
                <w:u w:val="single"/>
                <w:lang w:val="en-GB"/>
              </w:rPr>
              <w:t>k</w:t>
            </w:r>
            <w:r>
              <w:rPr>
                <w:rFonts w:cs="Arial"/>
                <w:b/>
                <w:bCs/>
                <w:color w:val="000000"/>
                <w:sz w:val="18"/>
                <w:szCs w:val="18"/>
                <w:u w:val="single"/>
                <w:lang w:val="en-GB"/>
              </w:rPr>
              <w:t>m)</w:t>
            </w:r>
          </w:p>
        </w:tc>
        <w:tc>
          <w:tcPr>
            <w:tcW w:w="1194" w:type="dxa"/>
          </w:tcPr>
          <w:p w14:paraId="0A7D7BE4" w14:textId="77777777" w:rsidR="00C12AB8" w:rsidRDefault="00155EB5">
            <w:pPr>
              <w:jc w:val="center"/>
              <w:rPr>
                <w:rFonts w:cs="Arial"/>
                <w:b/>
                <w:bCs/>
                <w:sz w:val="18"/>
                <w:szCs w:val="18"/>
                <w:u w:val="single"/>
                <w:lang w:val="en-GB"/>
              </w:rPr>
            </w:pPr>
            <w:r>
              <w:rPr>
                <w:rFonts w:cs="Arial"/>
                <w:b/>
                <w:bCs/>
                <w:sz w:val="18"/>
                <w:szCs w:val="18"/>
                <w:u w:val="single"/>
                <w:lang w:val="en-GB"/>
              </w:rPr>
              <w:t>Portion of the line outside (m)</w:t>
            </w:r>
          </w:p>
        </w:tc>
        <w:tc>
          <w:tcPr>
            <w:tcW w:w="840" w:type="dxa"/>
          </w:tcPr>
          <w:p w14:paraId="0A7D7BE5" w14:textId="77777777" w:rsidR="00C12AB8" w:rsidRDefault="00155EB5">
            <w:pPr>
              <w:jc w:val="center"/>
              <w:rPr>
                <w:rFonts w:cs="Arial"/>
                <w:b/>
                <w:bCs/>
                <w:sz w:val="18"/>
                <w:szCs w:val="18"/>
                <w:u w:val="single"/>
                <w:lang w:val="en-GB"/>
              </w:rPr>
            </w:pPr>
            <w:r>
              <w:rPr>
                <w:rFonts w:cs="Arial"/>
                <w:b/>
                <w:bCs/>
                <w:sz w:val="18"/>
                <w:szCs w:val="18"/>
                <w:u w:val="single"/>
                <w:lang w:val="en-GB"/>
              </w:rPr>
              <w:t>% of outdoor part</w:t>
            </w:r>
          </w:p>
        </w:tc>
      </w:tr>
      <w:tr w:rsidR="00C12AB8" w14:paraId="0A7D7BEE" w14:textId="77777777" w:rsidTr="00C12AB8">
        <w:trPr>
          <w:trHeight w:val="300"/>
        </w:trPr>
        <w:tc>
          <w:tcPr>
            <w:tcW w:w="1107" w:type="dxa"/>
          </w:tcPr>
          <w:p w14:paraId="0A7D7BE7" w14:textId="77777777" w:rsidR="00C12AB8" w:rsidRDefault="00155EB5" w:rsidP="00582842">
            <w:pPr>
              <w:spacing w:after="60"/>
              <w:rPr>
                <w:rFonts w:cs="Arial"/>
                <w:color w:val="000000"/>
                <w:sz w:val="18"/>
                <w:szCs w:val="18"/>
                <w:lang w:val="en-GB"/>
              </w:rPr>
            </w:pPr>
            <w:r>
              <w:rPr>
                <w:rFonts w:cs="Arial"/>
                <w:color w:val="000000"/>
                <w:sz w:val="18"/>
                <w:szCs w:val="18"/>
                <w:lang w:val="en-GB"/>
              </w:rPr>
              <w:t>Germany</w:t>
            </w:r>
          </w:p>
        </w:tc>
        <w:tc>
          <w:tcPr>
            <w:tcW w:w="1259" w:type="dxa"/>
          </w:tcPr>
          <w:p w14:paraId="0A7D7BE8" w14:textId="77777777" w:rsidR="00C12AB8" w:rsidRDefault="00155EB5" w:rsidP="00582842">
            <w:pPr>
              <w:spacing w:after="60"/>
              <w:rPr>
                <w:rFonts w:cs="Arial"/>
                <w:color w:val="000000"/>
                <w:sz w:val="18"/>
                <w:szCs w:val="18"/>
                <w:lang w:val="en-GB"/>
              </w:rPr>
            </w:pPr>
            <w:r>
              <w:rPr>
                <w:rFonts w:cs="Arial"/>
                <w:color w:val="000000"/>
                <w:sz w:val="18"/>
                <w:szCs w:val="18"/>
                <w:lang w:val="en-GB"/>
              </w:rPr>
              <w:t>Frankfurt Airport</w:t>
            </w:r>
          </w:p>
        </w:tc>
        <w:tc>
          <w:tcPr>
            <w:tcW w:w="2282" w:type="dxa"/>
          </w:tcPr>
          <w:p w14:paraId="0A7D7BE9" w14:textId="68CCC144" w:rsidR="00C12AB8" w:rsidRDefault="00155EB5" w:rsidP="00582842">
            <w:pPr>
              <w:spacing w:after="60"/>
              <w:rPr>
                <w:rFonts w:cs="Arial"/>
                <w:sz w:val="18"/>
                <w:szCs w:val="18"/>
                <w:lang w:val="en-GB"/>
              </w:rPr>
            </w:pPr>
            <w:r>
              <w:rPr>
                <w:rFonts w:cs="Arial"/>
                <w:sz w:val="18"/>
                <w:szCs w:val="18"/>
                <w:lang w:val="en-GB"/>
              </w:rPr>
              <w:t>Contract  awarded</w:t>
            </w:r>
          </w:p>
        </w:tc>
        <w:tc>
          <w:tcPr>
            <w:tcW w:w="1701" w:type="dxa"/>
          </w:tcPr>
          <w:p w14:paraId="0A7D7BEA" w14:textId="77777777" w:rsidR="00C12AB8" w:rsidRDefault="00155EB5" w:rsidP="00582842">
            <w:pPr>
              <w:spacing w:after="60"/>
              <w:rPr>
                <w:rFonts w:cs="Arial"/>
                <w:sz w:val="18"/>
                <w:szCs w:val="18"/>
                <w:lang w:val="en-GB"/>
              </w:rPr>
            </w:pPr>
            <w:r>
              <w:rPr>
                <w:rFonts w:cs="Arial"/>
                <w:sz w:val="18"/>
                <w:szCs w:val="18"/>
                <w:lang w:val="en-GB"/>
              </w:rPr>
              <w:t>Planned 2023</w:t>
            </w:r>
          </w:p>
        </w:tc>
        <w:tc>
          <w:tcPr>
            <w:tcW w:w="1472" w:type="dxa"/>
          </w:tcPr>
          <w:p w14:paraId="0A7D7BEB" w14:textId="77777777" w:rsidR="00C12AB8" w:rsidRDefault="00155EB5" w:rsidP="00582842">
            <w:pPr>
              <w:spacing w:after="60"/>
              <w:rPr>
                <w:rFonts w:cs="Arial"/>
                <w:sz w:val="18"/>
                <w:szCs w:val="18"/>
                <w:lang w:val="en-GB"/>
              </w:rPr>
            </w:pPr>
            <w:r>
              <w:rPr>
                <w:rFonts w:cs="Arial"/>
                <w:sz w:val="18"/>
                <w:szCs w:val="18"/>
                <w:lang w:val="en-GB"/>
              </w:rPr>
              <w:t> </w:t>
            </w:r>
          </w:p>
        </w:tc>
        <w:tc>
          <w:tcPr>
            <w:tcW w:w="1194" w:type="dxa"/>
          </w:tcPr>
          <w:p w14:paraId="0A7D7BEC" w14:textId="77777777" w:rsidR="00C12AB8" w:rsidRDefault="00155EB5" w:rsidP="00582842">
            <w:pPr>
              <w:spacing w:after="60"/>
              <w:rPr>
                <w:rFonts w:cs="Arial"/>
                <w:color w:val="0070C0"/>
                <w:sz w:val="18"/>
                <w:szCs w:val="18"/>
                <w:lang w:val="en-GB"/>
              </w:rPr>
            </w:pPr>
            <w:r>
              <w:rPr>
                <w:rFonts w:cs="Arial"/>
                <w:color w:val="0070C0"/>
                <w:sz w:val="18"/>
                <w:szCs w:val="18"/>
                <w:lang w:val="en-GB"/>
              </w:rPr>
              <w:t> </w:t>
            </w:r>
          </w:p>
        </w:tc>
        <w:tc>
          <w:tcPr>
            <w:tcW w:w="840" w:type="dxa"/>
          </w:tcPr>
          <w:p w14:paraId="0A7D7BED" w14:textId="77777777" w:rsidR="00C12AB8" w:rsidRDefault="00155EB5" w:rsidP="00582842">
            <w:pPr>
              <w:spacing w:after="60"/>
              <w:rPr>
                <w:rFonts w:cs="Arial"/>
                <w:sz w:val="18"/>
                <w:szCs w:val="18"/>
                <w:lang w:val="en-GB"/>
              </w:rPr>
            </w:pPr>
            <w:r>
              <w:rPr>
                <w:rFonts w:cs="Arial"/>
                <w:sz w:val="18"/>
                <w:szCs w:val="18"/>
                <w:lang w:val="en-GB"/>
              </w:rPr>
              <w:t> </w:t>
            </w:r>
          </w:p>
        </w:tc>
      </w:tr>
      <w:tr w:rsidR="00C12AB8" w14:paraId="0A7D7BF6" w14:textId="77777777" w:rsidTr="00C12AB8">
        <w:trPr>
          <w:trHeight w:val="300"/>
        </w:trPr>
        <w:tc>
          <w:tcPr>
            <w:tcW w:w="1107" w:type="dxa"/>
          </w:tcPr>
          <w:p w14:paraId="0A7D7BEF" w14:textId="77777777" w:rsidR="00C12AB8" w:rsidRDefault="00155EB5" w:rsidP="00582842">
            <w:pPr>
              <w:spacing w:after="60"/>
              <w:rPr>
                <w:rFonts w:cs="Arial"/>
                <w:color w:val="000000"/>
                <w:sz w:val="18"/>
                <w:szCs w:val="18"/>
                <w:lang w:val="en-GB"/>
              </w:rPr>
            </w:pPr>
            <w:r>
              <w:rPr>
                <w:rFonts w:cs="Arial"/>
                <w:color w:val="000000"/>
                <w:sz w:val="18"/>
                <w:szCs w:val="18"/>
                <w:lang w:val="en-GB"/>
              </w:rPr>
              <w:t>France</w:t>
            </w:r>
          </w:p>
        </w:tc>
        <w:tc>
          <w:tcPr>
            <w:tcW w:w="1259" w:type="dxa"/>
          </w:tcPr>
          <w:p w14:paraId="0A7D7BF0" w14:textId="77777777" w:rsidR="00C12AB8" w:rsidRDefault="00155EB5" w:rsidP="00582842">
            <w:pPr>
              <w:spacing w:after="60"/>
              <w:rPr>
                <w:rFonts w:cs="Arial"/>
                <w:color w:val="000000"/>
                <w:sz w:val="18"/>
                <w:szCs w:val="18"/>
                <w:lang w:val="en-GB"/>
              </w:rPr>
            </w:pPr>
            <w:r>
              <w:rPr>
                <w:rFonts w:cs="Arial"/>
                <w:color w:val="000000"/>
                <w:sz w:val="18"/>
                <w:szCs w:val="18"/>
                <w:lang w:val="en-GB"/>
              </w:rPr>
              <w:t>Paris line 10</w:t>
            </w:r>
          </w:p>
        </w:tc>
        <w:tc>
          <w:tcPr>
            <w:tcW w:w="2282" w:type="dxa"/>
          </w:tcPr>
          <w:p w14:paraId="0A7D7BF1" w14:textId="77777777" w:rsidR="00C12AB8" w:rsidRDefault="00155EB5" w:rsidP="00582842">
            <w:pPr>
              <w:spacing w:after="60"/>
              <w:rPr>
                <w:rFonts w:cs="Arial"/>
                <w:color w:val="000000"/>
                <w:sz w:val="18"/>
                <w:szCs w:val="18"/>
                <w:lang w:val="en-GB"/>
              </w:rPr>
            </w:pPr>
            <w:r>
              <w:rPr>
                <w:rFonts w:cs="Arial"/>
                <w:color w:val="000000"/>
                <w:sz w:val="18"/>
                <w:szCs w:val="18"/>
                <w:lang w:val="en-GB"/>
              </w:rPr>
              <w:t>To be awarded Q3 2018</w:t>
            </w:r>
          </w:p>
        </w:tc>
        <w:tc>
          <w:tcPr>
            <w:tcW w:w="1701" w:type="dxa"/>
          </w:tcPr>
          <w:p w14:paraId="0A7D7BF2" w14:textId="77777777" w:rsidR="00C12AB8" w:rsidRDefault="00155EB5" w:rsidP="00582842">
            <w:pPr>
              <w:spacing w:after="60"/>
              <w:rPr>
                <w:rFonts w:cs="Arial"/>
                <w:color w:val="000000"/>
                <w:sz w:val="18"/>
                <w:szCs w:val="18"/>
                <w:lang w:val="en-GB"/>
              </w:rPr>
            </w:pPr>
            <w:r>
              <w:rPr>
                <w:rFonts w:cs="Arial"/>
                <w:color w:val="000000"/>
                <w:sz w:val="18"/>
                <w:szCs w:val="18"/>
                <w:lang w:val="en-GB"/>
              </w:rPr>
              <w:t>Planned 2024</w:t>
            </w:r>
          </w:p>
        </w:tc>
        <w:tc>
          <w:tcPr>
            <w:tcW w:w="1472" w:type="dxa"/>
          </w:tcPr>
          <w:p w14:paraId="0A7D7BF3" w14:textId="121F4C1C" w:rsidR="00C12AB8" w:rsidRDefault="00155EB5" w:rsidP="00582842">
            <w:pPr>
              <w:spacing w:after="60"/>
              <w:rPr>
                <w:rFonts w:cs="Arial"/>
                <w:color w:val="000000"/>
                <w:sz w:val="18"/>
                <w:szCs w:val="18"/>
                <w:lang w:val="en-GB"/>
              </w:rPr>
            </w:pPr>
            <w:r>
              <w:rPr>
                <w:rFonts w:cs="Arial"/>
                <w:color w:val="000000"/>
                <w:sz w:val="18"/>
                <w:szCs w:val="18"/>
                <w:lang w:val="en-GB"/>
              </w:rPr>
              <w:t xml:space="preserve">20.000   </w:t>
            </w:r>
          </w:p>
        </w:tc>
        <w:tc>
          <w:tcPr>
            <w:tcW w:w="1194" w:type="dxa"/>
          </w:tcPr>
          <w:p w14:paraId="0A7D7BF4" w14:textId="7E6B12A7" w:rsidR="00C12AB8" w:rsidRDefault="00155EB5" w:rsidP="00307454">
            <w:pPr>
              <w:spacing w:after="60"/>
              <w:rPr>
                <w:rFonts w:cs="Arial"/>
                <w:sz w:val="18"/>
                <w:szCs w:val="18"/>
                <w:lang w:val="en-GB"/>
              </w:rPr>
            </w:pPr>
            <w:r>
              <w:rPr>
                <w:rFonts w:cs="Arial"/>
                <w:sz w:val="18"/>
                <w:szCs w:val="18"/>
                <w:lang w:val="en-GB"/>
              </w:rPr>
              <w:t>-</w:t>
            </w:r>
          </w:p>
        </w:tc>
        <w:tc>
          <w:tcPr>
            <w:tcW w:w="840" w:type="dxa"/>
          </w:tcPr>
          <w:p w14:paraId="0A7D7BF5" w14:textId="77777777" w:rsidR="00C12AB8" w:rsidRDefault="00155EB5" w:rsidP="00582842">
            <w:pPr>
              <w:spacing w:after="60"/>
              <w:rPr>
                <w:rFonts w:cs="Arial"/>
                <w:sz w:val="18"/>
                <w:szCs w:val="18"/>
                <w:lang w:val="en-GB"/>
              </w:rPr>
            </w:pPr>
            <w:r>
              <w:rPr>
                <w:rFonts w:cs="Arial"/>
                <w:sz w:val="18"/>
                <w:szCs w:val="18"/>
                <w:lang w:val="en-GB"/>
              </w:rPr>
              <w:t>0%</w:t>
            </w:r>
          </w:p>
        </w:tc>
      </w:tr>
      <w:tr w:rsidR="00C12AB8" w14:paraId="0A7D7BFE" w14:textId="77777777" w:rsidTr="00C12AB8">
        <w:trPr>
          <w:trHeight w:val="300"/>
        </w:trPr>
        <w:tc>
          <w:tcPr>
            <w:tcW w:w="1107" w:type="dxa"/>
          </w:tcPr>
          <w:p w14:paraId="0A7D7BF7" w14:textId="77777777" w:rsidR="00C12AB8" w:rsidRDefault="00155EB5" w:rsidP="00582842">
            <w:pPr>
              <w:spacing w:after="60"/>
              <w:rPr>
                <w:rFonts w:cs="Arial"/>
                <w:color w:val="000000"/>
                <w:sz w:val="18"/>
                <w:szCs w:val="18"/>
                <w:lang w:val="en-GB"/>
              </w:rPr>
            </w:pPr>
            <w:r>
              <w:rPr>
                <w:rFonts w:cs="Arial"/>
                <w:color w:val="000000"/>
                <w:sz w:val="18"/>
                <w:szCs w:val="18"/>
                <w:lang w:val="en-GB"/>
              </w:rPr>
              <w:t>France</w:t>
            </w:r>
          </w:p>
        </w:tc>
        <w:tc>
          <w:tcPr>
            <w:tcW w:w="1259" w:type="dxa"/>
          </w:tcPr>
          <w:p w14:paraId="0A7D7BF8" w14:textId="77777777" w:rsidR="00C12AB8" w:rsidRDefault="00155EB5" w:rsidP="00582842">
            <w:pPr>
              <w:spacing w:after="60"/>
              <w:rPr>
                <w:rFonts w:cs="Arial"/>
                <w:sz w:val="18"/>
                <w:szCs w:val="18"/>
                <w:lang w:val="en-GB"/>
              </w:rPr>
            </w:pPr>
            <w:r>
              <w:rPr>
                <w:rFonts w:cs="Arial"/>
                <w:sz w:val="18"/>
                <w:szCs w:val="18"/>
                <w:lang w:val="en-GB"/>
              </w:rPr>
              <w:t>Toulouse</w:t>
            </w:r>
          </w:p>
        </w:tc>
        <w:tc>
          <w:tcPr>
            <w:tcW w:w="2282" w:type="dxa"/>
          </w:tcPr>
          <w:p w14:paraId="0A7D7BF9" w14:textId="77777777" w:rsidR="00C12AB8" w:rsidRDefault="00155EB5" w:rsidP="00582842">
            <w:pPr>
              <w:spacing w:after="60"/>
              <w:rPr>
                <w:rFonts w:cs="Arial"/>
                <w:color w:val="000000"/>
                <w:sz w:val="18"/>
                <w:szCs w:val="18"/>
                <w:lang w:val="en-GB"/>
              </w:rPr>
            </w:pPr>
            <w:r>
              <w:rPr>
                <w:rFonts w:cs="Arial"/>
                <w:color w:val="000000"/>
                <w:sz w:val="18"/>
                <w:szCs w:val="18"/>
                <w:lang w:val="en-GB"/>
              </w:rPr>
              <w:t>Project</w:t>
            </w:r>
          </w:p>
        </w:tc>
        <w:tc>
          <w:tcPr>
            <w:tcW w:w="1701" w:type="dxa"/>
          </w:tcPr>
          <w:p w14:paraId="0A7D7BFA" w14:textId="77777777" w:rsidR="00C12AB8" w:rsidRDefault="00155EB5" w:rsidP="00582842">
            <w:pPr>
              <w:spacing w:after="60"/>
              <w:rPr>
                <w:rFonts w:cs="Arial"/>
                <w:sz w:val="18"/>
                <w:szCs w:val="18"/>
                <w:lang w:val="en-GB"/>
              </w:rPr>
            </w:pPr>
            <w:r>
              <w:rPr>
                <w:rFonts w:cs="Arial"/>
                <w:sz w:val="18"/>
                <w:szCs w:val="18"/>
                <w:lang w:val="en-GB"/>
              </w:rPr>
              <w:t>Planned 2024</w:t>
            </w:r>
          </w:p>
        </w:tc>
        <w:tc>
          <w:tcPr>
            <w:tcW w:w="1472" w:type="dxa"/>
          </w:tcPr>
          <w:p w14:paraId="0A7D7BFB" w14:textId="77777777" w:rsidR="00C12AB8" w:rsidRDefault="00155EB5" w:rsidP="00582842">
            <w:pPr>
              <w:spacing w:after="60"/>
              <w:rPr>
                <w:rFonts w:cs="Arial"/>
                <w:color w:val="000000"/>
                <w:sz w:val="18"/>
                <w:szCs w:val="18"/>
                <w:lang w:val="en-GB"/>
              </w:rPr>
            </w:pPr>
            <w:r>
              <w:rPr>
                <w:rFonts w:cs="Arial"/>
                <w:color w:val="000000"/>
                <w:sz w:val="18"/>
                <w:szCs w:val="18"/>
                <w:lang w:val="en-GB"/>
              </w:rPr>
              <w:t> </w:t>
            </w:r>
          </w:p>
        </w:tc>
        <w:tc>
          <w:tcPr>
            <w:tcW w:w="1194" w:type="dxa"/>
          </w:tcPr>
          <w:p w14:paraId="0A7D7BFC" w14:textId="77777777" w:rsidR="00C12AB8" w:rsidRDefault="00155EB5" w:rsidP="00582842">
            <w:pPr>
              <w:spacing w:after="60"/>
              <w:rPr>
                <w:rFonts w:cs="Arial"/>
                <w:sz w:val="18"/>
                <w:szCs w:val="18"/>
                <w:lang w:val="en-GB"/>
              </w:rPr>
            </w:pPr>
            <w:r>
              <w:rPr>
                <w:rFonts w:cs="Arial"/>
                <w:sz w:val="18"/>
                <w:szCs w:val="18"/>
                <w:lang w:val="en-GB"/>
              </w:rPr>
              <w:t> </w:t>
            </w:r>
          </w:p>
        </w:tc>
        <w:tc>
          <w:tcPr>
            <w:tcW w:w="840" w:type="dxa"/>
          </w:tcPr>
          <w:p w14:paraId="0A7D7BFD" w14:textId="77777777" w:rsidR="00C12AB8" w:rsidRDefault="00155EB5" w:rsidP="00582842">
            <w:pPr>
              <w:spacing w:after="60"/>
              <w:rPr>
                <w:rFonts w:cs="Arial"/>
                <w:sz w:val="18"/>
                <w:szCs w:val="18"/>
                <w:lang w:val="en-GB"/>
              </w:rPr>
            </w:pPr>
            <w:r>
              <w:rPr>
                <w:rFonts w:cs="Arial"/>
                <w:sz w:val="18"/>
                <w:szCs w:val="18"/>
                <w:lang w:val="en-GB"/>
              </w:rPr>
              <w:t> </w:t>
            </w:r>
          </w:p>
        </w:tc>
      </w:tr>
      <w:tr w:rsidR="00C12AB8" w14:paraId="0A7D7C06" w14:textId="77777777" w:rsidTr="00C12AB8">
        <w:trPr>
          <w:trHeight w:val="300"/>
        </w:trPr>
        <w:tc>
          <w:tcPr>
            <w:tcW w:w="1107" w:type="dxa"/>
          </w:tcPr>
          <w:p w14:paraId="0A7D7BFF" w14:textId="77777777" w:rsidR="00C12AB8" w:rsidRDefault="00155EB5" w:rsidP="00582842">
            <w:pPr>
              <w:spacing w:after="60"/>
              <w:rPr>
                <w:rFonts w:cs="Arial"/>
                <w:color w:val="000000"/>
                <w:sz w:val="18"/>
                <w:szCs w:val="18"/>
                <w:lang w:val="en-GB"/>
              </w:rPr>
            </w:pPr>
            <w:r>
              <w:rPr>
                <w:rFonts w:cs="Arial"/>
                <w:color w:val="000000"/>
                <w:sz w:val="18"/>
                <w:szCs w:val="18"/>
                <w:lang w:val="en-GB"/>
              </w:rPr>
              <w:t>France</w:t>
            </w:r>
          </w:p>
        </w:tc>
        <w:tc>
          <w:tcPr>
            <w:tcW w:w="1259" w:type="dxa"/>
          </w:tcPr>
          <w:p w14:paraId="0A7D7C00" w14:textId="77777777" w:rsidR="00C12AB8" w:rsidRDefault="00155EB5" w:rsidP="00582842">
            <w:pPr>
              <w:spacing w:after="60"/>
              <w:rPr>
                <w:rFonts w:cs="Arial"/>
                <w:color w:val="000000"/>
                <w:sz w:val="18"/>
                <w:szCs w:val="18"/>
                <w:lang w:val="en-GB"/>
              </w:rPr>
            </w:pPr>
            <w:r>
              <w:rPr>
                <w:rFonts w:cs="Arial"/>
                <w:color w:val="000000"/>
                <w:sz w:val="18"/>
                <w:szCs w:val="18"/>
                <w:lang w:val="en-GB"/>
              </w:rPr>
              <w:t>Paris line 12</w:t>
            </w:r>
          </w:p>
        </w:tc>
        <w:tc>
          <w:tcPr>
            <w:tcW w:w="2282" w:type="dxa"/>
          </w:tcPr>
          <w:p w14:paraId="0A7D7C01" w14:textId="77777777" w:rsidR="00C12AB8" w:rsidRDefault="00155EB5" w:rsidP="00582842">
            <w:pPr>
              <w:spacing w:after="60"/>
              <w:rPr>
                <w:rFonts w:cs="Arial"/>
                <w:color w:val="000000"/>
                <w:sz w:val="18"/>
                <w:szCs w:val="18"/>
                <w:lang w:val="en-GB"/>
              </w:rPr>
            </w:pPr>
            <w:r>
              <w:rPr>
                <w:rFonts w:cs="Arial"/>
                <w:color w:val="000000"/>
                <w:sz w:val="18"/>
                <w:szCs w:val="18"/>
                <w:lang w:val="en-GB"/>
              </w:rPr>
              <w:t>To be awarded Q1 2019</w:t>
            </w:r>
          </w:p>
        </w:tc>
        <w:tc>
          <w:tcPr>
            <w:tcW w:w="1701" w:type="dxa"/>
          </w:tcPr>
          <w:p w14:paraId="0A7D7C02" w14:textId="77777777" w:rsidR="00C12AB8" w:rsidRDefault="00155EB5" w:rsidP="00582842">
            <w:pPr>
              <w:spacing w:after="60"/>
              <w:rPr>
                <w:rFonts w:cs="Arial"/>
                <w:color w:val="000000"/>
                <w:sz w:val="18"/>
                <w:szCs w:val="18"/>
                <w:lang w:val="en-GB"/>
              </w:rPr>
            </w:pPr>
            <w:r>
              <w:rPr>
                <w:rFonts w:cs="Arial"/>
                <w:color w:val="000000"/>
                <w:sz w:val="18"/>
                <w:szCs w:val="18"/>
                <w:lang w:val="en-GB"/>
              </w:rPr>
              <w:t>Planned 2026</w:t>
            </w:r>
          </w:p>
        </w:tc>
        <w:tc>
          <w:tcPr>
            <w:tcW w:w="1472" w:type="dxa"/>
          </w:tcPr>
          <w:p w14:paraId="0A7D7C03" w14:textId="6CB77C43" w:rsidR="00C12AB8" w:rsidRDefault="00155EB5" w:rsidP="00582842">
            <w:pPr>
              <w:spacing w:after="60"/>
              <w:rPr>
                <w:rFonts w:cs="Arial"/>
                <w:color w:val="000000"/>
                <w:sz w:val="18"/>
                <w:szCs w:val="18"/>
                <w:lang w:val="en-GB"/>
              </w:rPr>
            </w:pPr>
            <w:r>
              <w:rPr>
                <w:rFonts w:cs="Arial"/>
                <w:color w:val="000000"/>
                <w:sz w:val="18"/>
                <w:szCs w:val="18"/>
                <w:lang w:val="en-GB"/>
              </w:rPr>
              <w:t xml:space="preserve">17.000   </w:t>
            </w:r>
          </w:p>
        </w:tc>
        <w:tc>
          <w:tcPr>
            <w:tcW w:w="1194" w:type="dxa"/>
          </w:tcPr>
          <w:p w14:paraId="0A7D7C04" w14:textId="33A72F1B" w:rsidR="00C12AB8" w:rsidRDefault="00155EB5" w:rsidP="00307454">
            <w:pPr>
              <w:spacing w:after="60"/>
              <w:rPr>
                <w:rFonts w:cs="Arial"/>
                <w:sz w:val="18"/>
                <w:szCs w:val="18"/>
                <w:lang w:val="en-GB"/>
              </w:rPr>
            </w:pPr>
            <w:r>
              <w:rPr>
                <w:rFonts w:cs="Arial"/>
                <w:sz w:val="18"/>
                <w:szCs w:val="18"/>
                <w:lang w:val="en-GB"/>
              </w:rPr>
              <w:t xml:space="preserve">- </w:t>
            </w:r>
          </w:p>
        </w:tc>
        <w:tc>
          <w:tcPr>
            <w:tcW w:w="840" w:type="dxa"/>
          </w:tcPr>
          <w:p w14:paraId="0A7D7C05" w14:textId="77777777" w:rsidR="00C12AB8" w:rsidRDefault="00155EB5" w:rsidP="00582842">
            <w:pPr>
              <w:spacing w:after="60"/>
              <w:rPr>
                <w:rFonts w:cs="Arial"/>
                <w:sz w:val="18"/>
                <w:szCs w:val="18"/>
                <w:lang w:val="en-GB"/>
              </w:rPr>
            </w:pPr>
            <w:r>
              <w:rPr>
                <w:rFonts w:cs="Arial"/>
                <w:sz w:val="18"/>
                <w:szCs w:val="18"/>
                <w:lang w:val="en-GB"/>
              </w:rPr>
              <w:t>0%</w:t>
            </w:r>
          </w:p>
        </w:tc>
      </w:tr>
      <w:tr w:rsidR="00C12AB8" w14:paraId="0A7D7C0E" w14:textId="77777777" w:rsidTr="00C12AB8">
        <w:trPr>
          <w:trHeight w:val="825"/>
        </w:trPr>
        <w:tc>
          <w:tcPr>
            <w:tcW w:w="1107" w:type="dxa"/>
          </w:tcPr>
          <w:p w14:paraId="0A7D7C07" w14:textId="77777777" w:rsidR="00C12AB8" w:rsidRDefault="00155EB5" w:rsidP="00582842">
            <w:pPr>
              <w:spacing w:after="60"/>
              <w:rPr>
                <w:rFonts w:cs="Arial"/>
                <w:color w:val="000000"/>
                <w:sz w:val="18"/>
                <w:szCs w:val="18"/>
                <w:lang w:val="en-GB"/>
              </w:rPr>
            </w:pPr>
            <w:r>
              <w:rPr>
                <w:rFonts w:cs="Arial"/>
                <w:color w:val="000000"/>
                <w:sz w:val="18"/>
                <w:szCs w:val="18"/>
                <w:lang w:val="en-GB"/>
              </w:rPr>
              <w:t>Germany</w:t>
            </w:r>
          </w:p>
        </w:tc>
        <w:tc>
          <w:tcPr>
            <w:tcW w:w="1259" w:type="dxa"/>
          </w:tcPr>
          <w:p w14:paraId="0A7D7C08" w14:textId="77777777" w:rsidR="00C12AB8" w:rsidRDefault="00155EB5" w:rsidP="00582842">
            <w:pPr>
              <w:spacing w:after="60"/>
              <w:rPr>
                <w:rFonts w:cs="Arial"/>
                <w:color w:val="000000"/>
                <w:sz w:val="18"/>
                <w:szCs w:val="18"/>
                <w:lang w:val="en-GB"/>
              </w:rPr>
            </w:pPr>
            <w:r>
              <w:rPr>
                <w:rFonts w:cs="Arial"/>
                <w:color w:val="000000"/>
                <w:sz w:val="18"/>
                <w:szCs w:val="18"/>
                <w:lang w:val="en-GB"/>
              </w:rPr>
              <w:t>Hamburg line U5</w:t>
            </w:r>
          </w:p>
        </w:tc>
        <w:tc>
          <w:tcPr>
            <w:tcW w:w="2282" w:type="dxa"/>
          </w:tcPr>
          <w:p w14:paraId="0A7D7C09" w14:textId="77777777" w:rsidR="00C12AB8" w:rsidRDefault="00155EB5" w:rsidP="00582842">
            <w:pPr>
              <w:spacing w:after="60"/>
              <w:rPr>
                <w:rFonts w:cs="Arial"/>
                <w:color w:val="000000"/>
                <w:sz w:val="18"/>
                <w:szCs w:val="18"/>
                <w:lang w:val="en-GB"/>
              </w:rPr>
            </w:pPr>
            <w:r>
              <w:rPr>
                <w:rFonts w:cs="Arial"/>
                <w:color w:val="000000"/>
                <w:sz w:val="18"/>
                <w:szCs w:val="18"/>
                <w:lang w:val="en-GB"/>
              </w:rPr>
              <w:t>Project</w:t>
            </w:r>
          </w:p>
        </w:tc>
        <w:tc>
          <w:tcPr>
            <w:tcW w:w="1701" w:type="dxa"/>
          </w:tcPr>
          <w:p w14:paraId="0A7D7C0A" w14:textId="77777777" w:rsidR="00C12AB8" w:rsidRDefault="00155EB5" w:rsidP="00582842">
            <w:pPr>
              <w:spacing w:after="60"/>
              <w:rPr>
                <w:rFonts w:cs="Arial"/>
                <w:color w:val="000000"/>
                <w:sz w:val="18"/>
                <w:szCs w:val="18"/>
                <w:lang w:val="en-GB"/>
              </w:rPr>
            </w:pPr>
            <w:r>
              <w:rPr>
                <w:rFonts w:cs="Arial"/>
                <w:color w:val="000000"/>
                <w:sz w:val="18"/>
                <w:szCs w:val="18"/>
                <w:lang w:val="en-GB"/>
              </w:rPr>
              <w:t xml:space="preserve">First part </w:t>
            </w:r>
            <w:r>
              <w:rPr>
                <w:rFonts w:cs="Arial"/>
                <w:color w:val="000000"/>
                <w:sz w:val="18"/>
                <w:szCs w:val="18"/>
                <w:lang w:val="en-GB"/>
              </w:rPr>
              <w:br/>
              <w:t>planned 2028</w:t>
            </w:r>
          </w:p>
        </w:tc>
        <w:tc>
          <w:tcPr>
            <w:tcW w:w="1472" w:type="dxa"/>
          </w:tcPr>
          <w:p w14:paraId="0A7D7C0B" w14:textId="2FC70011" w:rsidR="00C12AB8" w:rsidRDefault="00155EB5" w:rsidP="00582842">
            <w:pPr>
              <w:spacing w:after="60"/>
              <w:rPr>
                <w:rFonts w:cs="Arial"/>
                <w:color w:val="000000"/>
                <w:sz w:val="18"/>
                <w:szCs w:val="18"/>
                <w:lang w:val="en-GB"/>
              </w:rPr>
            </w:pPr>
            <w:r>
              <w:rPr>
                <w:rFonts w:cs="Arial"/>
                <w:color w:val="000000"/>
                <w:sz w:val="18"/>
                <w:szCs w:val="18"/>
                <w:lang w:val="en-GB"/>
              </w:rPr>
              <w:t xml:space="preserve">26.000   </w:t>
            </w:r>
          </w:p>
        </w:tc>
        <w:tc>
          <w:tcPr>
            <w:tcW w:w="1194" w:type="dxa"/>
          </w:tcPr>
          <w:p w14:paraId="0A7D7C0C" w14:textId="25B54863" w:rsidR="00C12AB8" w:rsidRDefault="00155EB5" w:rsidP="00582842">
            <w:pPr>
              <w:spacing w:after="60"/>
              <w:rPr>
                <w:rFonts w:cs="Arial"/>
                <w:sz w:val="18"/>
                <w:szCs w:val="18"/>
                <w:lang w:val="en-GB"/>
              </w:rPr>
            </w:pPr>
            <w:r>
              <w:rPr>
                <w:rFonts w:cs="Arial"/>
                <w:sz w:val="18"/>
                <w:szCs w:val="18"/>
                <w:lang w:val="en-GB"/>
              </w:rPr>
              <w:t>1.000</w:t>
            </w:r>
          </w:p>
        </w:tc>
        <w:tc>
          <w:tcPr>
            <w:tcW w:w="840" w:type="dxa"/>
          </w:tcPr>
          <w:p w14:paraId="0A7D7C0D" w14:textId="77777777" w:rsidR="00C12AB8" w:rsidRDefault="00155EB5" w:rsidP="00582842">
            <w:pPr>
              <w:spacing w:after="60"/>
              <w:rPr>
                <w:rFonts w:cs="Arial"/>
                <w:sz w:val="18"/>
                <w:szCs w:val="18"/>
                <w:lang w:val="en-GB"/>
              </w:rPr>
            </w:pPr>
            <w:r>
              <w:rPr>
                <w:rFonts w:cs="Arial"/>
                <w:sz w:val="18"/>
                <w:szCs w:val="18"/>
                <w:lang w:val="en-GB"/>
              </w:rPr>
              <w:t>4%</w:t>
            </w:r>
          </w:p>
        </w:tc>
      </w:tr>
      <w:tr w:rsidR="00C12AB8" w14:paraId="0A7D7C16" w14:textId="77777777" w:rsidTr="00C12AB8">
        <w:trPr>
          <w:trHeight w:val="825"/>
        </w:trPr>
        <w:tc>
          <w:tcPr>
            <w:tcW w:w="1107" w:type="dxa"/>
          </w:tcPr>
          <w:p w14:paraId="0A7D7C0F" w14:textId="77777777" w:rsidR="00C12AB8" w:rsidRDefault="00155EB5" w:rsidP="00582842">
            <w:pPr>
              <w:spacing w:after="60"/>
              <w:rPr>
                <w:rFonts w:cs="Arial"/>
                <w:color w:val="000000"/>
                <w:sz w:val="18"/>
                <w:szCs w:val="18"/>
                <w:lang w:val="en-GB"/>
              </w:rPr>
            </w:pPr>
            <w:r>
              <w:rPr>
                <w:rFonts w:cs="Arial"/>
                <w:color w:val="000000"/>
                <w:sz w:val="18"/>
                <w:szCs w:val="18"/>
                <w:lang w:val="en-GB"/>
              </w:rPr>
              <w:t>France</w:t>
            </w:r>
          </w:p>
        </w:tc>
        <w:tc>
          <w:tcPr>
            <w:tcW w:w="1259" w:type="dxa"/>
          </w:tcPr>
          <w:p w14:paraId="0A7D7C10" w14:textId="77777777" w:rsidR="00C12AB8" w:rsidRDefault="00155EB5" w:rsidP="00582842">
            <w:pPr>
              <w:spacing w:after="60"/>
              <w:rPr>
                <w:rFonts w:cs="Arial"/>
                <w:color w:val="000000"/>
                <w:sz w:val="18"/>
                <w:szCs w:val="18"/>
                <w:lang w:val="en-GB"/>
              </w:rPr>
            </w:pPr>
            <w:r>
              <w:rPr>
                <w:rFonts w:cs="Arial"/>
                <w:color w:val="000000"/>
                <w:sz w:val="18"/>
                <w:szCs w:val="18"/>
                <w:lang w:val="en-GB"/>
              </w:rPr>
              <w:t xml:space="preserve">Paris </w:t>
            </w:r>
            <w:proofErr w:type="spellStart"/>
            <w:r>
              <w:rPr>
                <w:rFonts w:cs="Arial"/>
                <w:color w:val="000000"/>
                <w:sz w:val="18"/>
                <w:szCs w:val="18"/>
                <w:lang w:val="en-GB"/>
              </w:rPr>
              <w:t>NExTEO</w:t>
            </w:r>
            <w:proofErr w:type="spellEnd"/>
            <w:r>
              <w:rPr>
                <w:rFonts w:cs="Arial"/>
                <w:color w:val="000000"/>
                <w:sz w:val="18"/>
                <w:szCs w:val="18"/>
                <w:lang w:val="en-GB"/>
              </w:rPr>
              <w:t xml:space="preserve"> B</w:t>
            </w:r>
          </w:p>
        </w:tc>
        <w:tc>
          <w:tcPr>
            <w:tcW w:w="2282" w:type="dxa"/>
          </w:tcPr>
          <w:p w14:paraId="0A7D7C11" w14:textId="77777777" w:rsidR="00C12AB8" w:rsidRDefault="00155EB5" w:rsidP="00582842">
            <w:pPr>
              <w:spacing w:after="60"/>
              <w:rPr>
                <w:rFonts w:cs="Arial"/>
                <w:sz w:val="18"/>
                <w:szCs w:val="18"/>
                <w:lang w:val="en-GB"/>
              </w:rPr>
            </w:pPr>
            <w:r>
              <w:rPr>
                <w:rFonts w:cs="Arial"/>
                <w:sz w:val="18"/>
                <w:szCs w:val="18"/>
                <w:lang w:val="en-GB"/>
              </w:rPr>
              <w:t>To be awarded</w:t>
            </w:r>
          </w:p>
        </w:tc>
        <w:tc>
          <w:tcPr>
            <w:tcW w:w="1701" w:type="dxa"/>
          </w:tcPr>
          <w:p w14:paraId="0A7D7C12" w14:textId="77777777" w:rsidR="00C12AB8" w:rsidRDefault="00155EB5" w:rsidP="00582842">
            <w:pPr>
              <w:spacing w:after="60"/>
              <w:rPr>
                <w:rFonts w:cs="Arial"/>
                <w:sz w:val="18"/>
                <w:szCs w:val="18"/>
                <w:lang w:val="en-GB"/>
              </w:rPr>
            </w:pPr>
            <w:r>
              <w:rPr>
                <w:rFonts w:cs="Arial"/>
                <w:sz w:val="18"/>
                <w:szCs w:val="18"/>
                <w:lang w:val="en-GB"/>
              </w:rPr>
              <w:t>Planned between 2024 and 2029</w:t>
            </w:r>
          </w:p>
        </w:tc>
        <w:tc>
          <w:tcPr>
            <w:tcW w:w="1472" w:type="dxa"/>
          </w:tcPr>
          <w:p w14:paraId="0A7D7C13" w14:textId="36A6CAEB" w:rsidR="00C12AB8" w:rsidRDefault="00155EB5" w:rsidP="00582842">
            <w:pPr>
              <w:spacing w:after="60"/>
              <w:rPr>
                <w:rFonts w:cs="Arial"/>
                <w:color w:val="000000"/>
                <w:sz w:val="18"/>
                <w:szCs w:val="18"/>
                <w:lang w:val="en-GB"/>
              </w:rPr>
            </w:pPr>
            <w:r>
              <w:rPr>
                <w:rFonts w:cs="Arial"/>
                <w:color w:val="000000"/>
                <w:sz w:val="18"/>
                <w:szCs w:val="18"/>
                <w:lang w:val="en-GB"/>
              </w:rPr>
              <w:t xml:space="preserve">80.000   </w:t>
            </w:r>
          </w:p>
        </w:tc>
        <w:tc>
          <w:tcPr>
            <w:tcW w:w="1194" w:type="dxa"/>
          </w:tcPr>
          <w:p w14:paraId="0A7D7C14" w14:textId="5FB1D597" w:rsidR="00C12AB8" w:rsidRDefault="00155EB5" w:rsidP="00582842">
            <w:pPr>
              <w:spacing w:after="60"/>
              <w:rPr>
                <w:rFonts w:cs="Arial"/>
                <w:sz w:val="18"/>
                <w:szCs w:val="18"/>
                <w:lang w:val="en-GB"/>
              </w:rPr>
            </w:pPr>
            <w:r>
              <w:rPr>
                <w:rFonts w:cs="Arial"/>
                <w:sz w:val="18"/>
                <w:szCs w:val="18"/>
                <w:lang w:val="en-GB"/>
              </w:rPr>
              <w:t>44.000</w:t>
            </w:r>
          </w:p>
        </w:tc>
        <w:tc>
          <w:tcPr>
            <w:tcW w:w="840" w:type="dxa"/>
          </w:tcPr>
          <w:p w14:paraId="0A7D7C15" w14:textId="77777777" w:rsidR="00C12AB8" w:rsidRDefault="00155EB5" w:rsidP="00582842">
            <w:pPr>
              <w:spacing w:after="60"/>
              <w:rPr>
                <w:rFonts w:cs="Arial"/>
                <w:sz w:val="18"/>
                <w:szCs w:val="18"/>
                <w:lang w:val="en-GB"/>
              </w:rPr>
            </w:pPr>
            <w:r>
              <w:rPr>
                <w:rFonts w:cs="Arial"/>
                <w:sz w:val="18"/>
                <w:szCs w:val="18"/>
                <w:lang w:val="en-GB"/>
              </w:rPr>
              <w:t>55%</w:t>
            </w:r>
          </w:p>
        </w:tc>
      </w:tr>
      <w:tr w:rsidR="00C12AB8" w14:paraId="0A7D7C1E" w14:textId="77777777" w:rsidTr="00C12AB8">
        <w:trPr>
          <w:trHeight w:val="570"/>
        </w:trPr>
        <w:tc>
          <w:tcPr>
            <w:tcW w:w="1107" w:type="dxa"/>
          </w:tcPr>
          <w:p w14:paraId="0A7D7C17" w14:textId="77777777" w:rsidR="00C12AB8" w:rsidRDefault="00155EB5" w:rsidP="00582842">
            <w:pPr>
              <w:spacing w:after="60"/>
              <w:rPr>
                <w:rFonts w:cs="Arial"/>
                <w:color w:val="000000"/>
                <w:sz w:val="18"/>
                <w:szCs w:val="18"/>
                <w:lang w:val="en-GB"/>
              </w:rPr>
            </w:pPr>
            <w:r>
              <w:rPr>
                <w:rFonts w:cs="Arial"/>
                <w:color w:val="000000"/>
                <w:sz w:val="18"/>
                <w:szCs w:val="18"/>
                <w:lang w:val="en-GB"/>
              </w:rPr>
              <w:t>France</w:t>
            </w:r>
          </w:p>
        </w:tc>
        <w:tc>
          <w:tcPr>
            <w:tcW w:w="1259" w:type="dxa"/>
          </w:tcPr>
          <w:p w14:paraId="0A7D7C18" w14:textId="77777777" w:rsidR="00C12AB8" w:rsidRDefault="00155EB5" w:rsidP="00582842">
            <w:pPr>
              <w:spacing w:after="60"/>
              <w:rPr>
                <w:rFonts w:cs="Arial"/>
                <w:color w:val="000000"/>
                <w:sz w:val="18"/>
                <w:szCs w:val="18"/>
                <w:lang w:val="en-GB"/>
              </w:rPr>
            </w:pPr>
            <w:r>
              <w:rPr>
                <w:rFonts w:cs="Arial"/>
                <w:color w:val="000000"/>
                <w:sz w:val="18"/>
                <w:szCs w:val="18"/>
                <w:lang w:val="en-GB"/>
              </w:rPr>
              <w:t xml:space="preserve">Paris </w:t>
            </w:r>
            <w:proofErr w:type="spellStart"/>
            <w:r>
              <w:rPr>
                <w:rFonts w:cs="Arial"/>
                <w:color w:val="000000"/>
                <w:sz w:val="18"/>
                <w:szCs w:val="18"/>
                <w:lang w:val="en-GB"/>
              </w:rPr>
              <w:t>NExTEO</w:t>
            </w:r>
            <w:proofErr w:type="spellEnd"/>
            <w:r>
              <w:rPr>
                <w:rFonts w:cs="Arial"/>
                <w:color w:val="000000"/>
                <w:sz w:val="18"/>
                <w:szCs w:val="18"/>
                <w:lang w:val="en-GB"/>
              </w:rPr>
              <w:t xml:space="preserve"> D</w:t>
            </w:r>
          </w:p>
        </w:tc>
        <w:tc>
          <w:tcPr>
            <w:tcW w:w="2282" w:type="dxa"/>
          </w:tcPr>
          <w:p w14:paraId="0A7D7C19" w14:textId="77777777" w:rsidR="00C12AB8" w:rsidRDefault="00155EB5" w:rsidP="00582842">
            <w:pPr>
              <w:spacing w:after="60"/>
              <w:rPr>
                <w:rFonts w:cs="Arial"/>
                <w:sz w:val="18"/>
                <w:szCs w:val="18"/>
                <w:lang w:val="en-GB"/>
              </w:rPr>
            </w:pPr>
            <w:r>
              <w:rPr>
                <w:rFonts w:cs="Arial"/>
                <w:sz w:val="18"/>
                <w:szCs w:val="18"/>
                <w:lang w:val="en-GB"/>
              </w:rPr>
              <w:t>To be awarded</w:t>
            </w:r>
          </w:p>
        </w:tc>
        <w:tc>
          <w:tcPr>
            <w:tcW w:w="1701" w:type="dxa"/>
          </w:tcPr>
          <w:p w14:paraId="0A7D7C1A" w14:textId="77777777" w:rsidR="00C12AB8" w:rsidRDefault="00155EB5" w:rsidP="00582842">
            <w:pPr>
              <w:spacing w:after="60"/>
              <w:rPr>
                <w:rFonts w:cs="Arial"/>
                <w:sz w:val="18"/>
                <w:szCs w:val="18"/>
                <w:lang w:val="en-GB"/>
              </w:rPr>
            </w:pPr>
            <w:r>
              <w:rPr>
                <w:rFonts w:cs="Arial"/>
                <w:sz w:val="18"/>
                <w:szCs w:val="18"/>
                <w:lang w:val="en-GB"/>
              </w:rPr>
              <w:t>Planned between 2024 and 2029</w:t>
            </w:r>
          </w:p>
        </w:tc>
        <w:tc>
          <w:tcPr>
            <w:tcW w:w="1472" w:type="dxa"/>
          </w:tcPr>
          <w:p w14:paraId="0A7D7C1B" w14:textId="445BEAC1" w:rsidR="00C12AB8" w:rsidRDefault="00155EB5" w:rsidP="00582842">
            <w:pPr>
              <w:spacing w:after="60"/>
              <w:rPr>
                <w:rFonts w:cs="Arial"/>
                <w:color w:val="000000"/>
                <w:sz w:val="18"/>
                <w:szCs w:val="18"/>
                <w:lang w:val="en-GB"/>
              </w:rPr>
            </w:pPr>
            <w:r>
              <w:rPr>
                <w:rFonts w:cs="Arial"/>
                <w:color w:val="000000"/>
                <w:sz w:val="18"/>
                <w:szCs w:val="18"/>
                <w:lang w:val="en-GB"/>
              </w:rPr>
              <w:t xml:space="preserve">24.500   </w:t>
            </w:r>
          </w:p>
        </w:tc>
        <w:tc>
          <w:tcPr>
            <w:tcW w:w="1194" w:type="dxa"/>
          </w:tcPr>
          <w:p w14:paraId="0A7D7C1C" w14:textId="4C3D99A8" w:rsidR="00C12AB8" w:rsidRDefault="00155EB5" w:rsidP="00582842">
            <w:pPr>
              <w:spacing w:after="60"/>
              <w:rPr>
                <w:rFonts w:cs="Arial"/>
                <w:sz w:val="18"/>
                <w:szCs w:val="18"/>
                <w:lang w:val="en-GB"/>
              </w:rPr>
            </w:pPr>
            <w:r>
              <w:rPr>
                <w:rFonts w:cs="Arial"/>
                <w:sz w:val="18"/>
                <w:szCs w:val="18"/>
                <w:lang w:val="en-GB"/>
              </w:rPr>
              <w:t>17.000</w:t>
            </w:r>
          </w:p>
        </w:tc>
        <w:tc>
          <w:tcPr>
            <w:tcW w:w="840" w:type="dxa"/>
          </w:tcPr>
          <w:p w14:paraId="0A7D7C1D" w14:textId="77777777" w:rsidR="00C12AB8" w:rsidRDefault="00155EB5" w:rsidP="00582842">
            <w:pPr>
              <w:spacing w:after="60"/>
              <w:rPr>
                <w:rFonts w:cs="Arial"/>
                <w:sz w:val="18"/>
                <w:szCs w:val="18"/>
                <w:lang w:val="en-GB"/>
              </w:rPr>
            </w:pPr>
            <w:r>
              <w:rPr>
                <w:rFonts w:cs="Arial"/>
                <w:sz w:val="18"/>
                <w:szCs w:val="18"/>
                <w:lang w:val="en-GB"/>
              </w:rPr>
              <w:t>69%</w:t>
            </w:r>
          </w:p>
        </w:tc>
      </w:tr>
      <w:tr w:rsidR="00C12AB8" w14:paraId="0A7D7C26" w14:textId="77777777" w:rsidTr="00C12AB8">
        <w:trPr>
          <w:trHeight w:val="570"/>
        </w:trPr>
        <w:tc>
          <w:tcPr>
            <w:tcW w:w="1107" w:type="dxa"/>
          </w:tcPr>
          <w:p w14:paraId="0A7D7C1F" w14:textId="77777777" w:rsidR="00C12AB8" w:rsidRDefault="00155EB5" w:rsidP="00582842">
            <w:pPr>
              <w:spacing w:after="60"/>
              <w:rPr>
                <w:rFonts w:cs="Arial"/>
                <w:color w:val="000000"/>
                <w:sz w:val="18"/>
                <w:szCs w:val="18"/>
                <w:lang w:val="en-GB"/>
              </w:rPr>
            </w:pPr>
            <w:r>
              <w:rPr>
                <w:rFonts w:cs="Arial"/>
                <w:color w:val="000000"/>
                <w:sz w:val="18"/>
                <w:szCs w:val="18"/>
                <w:lang w:val="en-GB"/>
              </w:rPr>
              <w:t>France</w:t>
            </w:r>
          </w:p>
        </w:tc>
        <w:tc>
          <w:tcPr>
            <w:tcW w:w="1259" w:type="dxa"/>
          </w:tcPr>
          <w:p w14:paraId="0A7D7C20" w14:textId="77777777" w:rsidR="00C12AB8" w:rsidRDefault="00155EB5" w:rsidP="00582842">
            <w:pPr>
              <w:spacing w:after="60"/>
              <w:rPr>
                <w:rFonts w:cs="Arial"/>
                <w:color w:val="000000"/>
                <w:sz w:val="18"/>
                <w:szCs w:val="18"/>
                <w:lang w:val="en-GB"/>
              </w:rPr>
            </w:pPr>
            <w:r>
              <w:rPr>
                <w:rFonts w:cs="Arial"/>
                <w:color w:val="000000"/>
                <w:sz w:val="18"/>
                <w:szCs w:val="18"/>
                <w:lang w:val="en-GB"/>
              </w:rPr>
              <w:t>Paris line 17</w:t>
            </w:r>
          </w:p>
        </w:tc>
        <w:tc>
          <w:tcPr>
            <w:tcW w:w="2282" w:type="dxa"/>
          </w:tcPr>
          <w:p w14:paraId="0A7D7C21" w14:textId="18406230" w:rsidR="00C12AB8" w:rsidRDefault="00CF6C43" w:rsidP="00582842">
            <w:pPr>
              <w:spacing w:after="60"/>
              <w:rPr>
                <w:rFonts w:cs="Arial"/>
                <w:sz w:val="18"/>
                <w:szCs w:val="18"/>
                <w:lang w:val="en-GB"/>
              </w:rPr>
            </w:pPr>
            <w:r>
              <w:rPr>
                <w:rFonts w:cs="Arial"/>
                <w:sz w:val="18"/>
                <w:szCs w:val="18"/>
                <w:lang w:val="en-GB"/>
              </w:rPr>
              <w:t xml:space="preserve">Contract </w:t>
            </w:r>
            <w:r w:rsidR="00155EB5">
              <w:rPr>
                <w:rFonts w:cs="Arial"/>
                <w:sz w:val="18"/>
                <w:szCs w:val="18"/>
                <w:lang w:val="en-GB"/>
              </w:rPr>
              <w:t xml:space="preserve">awarded </w:t>
            </w:r>
          </w:p>
        </w:tc>
        <w:tc>
          <w:tcPr>
            <w:tcW w:w="1701" w:type="dxa"/>
          </w:tcPr>
          <w:p w14:paraId="0A7D7C22" w14:textId="77777777" w:rsidR="00C12AB8" w:rsidRDefault="00155EB5" w:rsidP="00582842">
            <w:pPr>
              <w:spacing w:after="60"/>
              <w:rPr>
                <w:rFonts w:cs="Arial"/>
                <w:sz w:val="18"/>
                <w:szCs w:val="18"/>
                <w:lang w:val="en-GB"/>
              </w:rPr>
            </w:pPr>
            <w:r>
              <w:rPr>
                <w:rFonts w:cs="Arial"/>
                <w:sz w:val="18"/>
                <w:szCs w:val="18"/>
                <w:lang w:val="en-GB"/>
              </w:rPr>
              <w:t>Planned between 2024 to 2030</w:t>
            </w:r>
          </w:p>
        </w:tc>
        <w:tc>
          <w:tcPr>
            <w:tcW w:w="1472" w:type="dxa"/>
          </w:tcPr>
          <w:p w14:paraId="0A7D7C23" w14:textId="790398FC" w:rsidR="00C12AB8" w:rsidRDefault="00155EB5" w:rsidP="00582842">
            <w:pPr>
              <w:spacing w:after="60"/>
              <w:rPr>
                <w:rFonts w:cs="Arial"/>
                <w:color w:val="000000"/>
                <w:sz w:val="18"/>
                <w:szCs w:val="18"/>
                <w:lang w:val="en-GB"/>
              </w:rPr>
            </w:pPr>
            <w:r>
              <w:rPr>
                <w:rFonts w:cs="Arial"/>
                <w:color w:val="000000"/>
                <w:sz w:val="18"/>
                <w:szCs w:val="18"/>
                <w:lang w:val="en-GB"/>
              </w:rPr>
              <w:t xml:space="preserve">20.000   </w:t>
            </w:r>
          </w:p>
        </w:tc>
        <w:tc>
          <w:tcPr>
            <w:tcW w:w="1194" w:type="dxa"/>
          </w:tcPr>
          <w:p w14:paraId="0A7D7C24" w14:textId="1893E68E" w:rsidR="00C12AB8" w:rsidRDefault="00155EB5" w:rsidP="00582842">
            <w:pPr>
              <w:spacing w:after="60"/>
              <w:rPr>
                <w:rFonts w:cs="Arial"/>
                <w:sz w:val="18"/>
                <w:szCs w:val="18"/>
                <w:lang w:val="en-GB"/>
              </w:rPr>
            </w:pPr>
            <w:r>
              <w:rPr>
                <w:rFonts w:cs="Arial"/>
                <w:sz w:val="18"/>
                <w:szCs w:val="18"/>
                <w:lang w:val="en-GB"/>
              </w:rPr>
              <w:t>6.000</w:t>
            </w:r>
          </w:p>
        </w:tc>
        <w:tc>
          <w:tcPr>
            <w:tcW w:w="840" w:type="dxa"/>
          </w:tcPr>
          <w:p w14:paraId="0A7D7C25" w14:textId="77777777" w:rsidR="00C12AB8" w:rsidRDefault="00155EB5" w:rsidP="00582842">
            <w:pPr>
              <w:spacing w:after="60"/>
              <w:rPr>
                <w:rFonts w:cs="Arial"/>
                <w:sz w:val="18"/>
                <w:szCs w:val="18"/>
                <w:lang w:val="en-GB"/>
              </w:rPr>
            </w:pPr>
            <w:r>
              <w:rPr>
                <w:rFonts w:cs="Arial"/>
                <w:sz w:val="18"/>
                <w:szCs w:val="18"/>
                <w:lang w:val="en-GB"/>
              </w:rPr>
              <w:t>30%</w:t>
            </w:r>
          </w:p>
        </w:tc>
      </w:tr>
      <w:tr w:rsidR="00C12AB8" w14:paraId="0A7D7C2E" w14:textId="77777777" w:rsidTr="00C12AB8">
        <w:trPr>
          <w:trHeight w:val="570"/>
        </w:trPr>
        <w:tc>
          <w:tcPr>
            <w:tcW w:w="1107" w:type="dxa"/>
          </w:tcPr>
          <w:p w14:paraId="0A7D7C27" w14:textId="77777777" w:rsidR="00C12AB8" w:rsidRDefault="00155EB5" w:rsidP="00582842">
            <w:pPr>
              <w:spacing w:after="60"/>
              <w:rPr>
                <w:rFonts w:cs="Arial"/>
                <w:color w:val="000000"/>
                <w:sz w:val="18"/>
                <w:szCs w:val="18"/>
                <w:lang w:val="en-GB"/>
              </w:rPr>
            </w:pPr>
            <w:r>
              <w:rPr>
                <w:rFonts w:cs="Arial"/>
                <w:color w:val="000000"/>
                <w:sz w:val="18"/>
                <w:szCs w:val="18"/>
                <w:lang w:val="en-GB"/>
              </w:rPr>
              <w:t>France</w:t>
            </w:r>
          </w:p>
        </w:tc>
        <w:tc>
          <w:tcPr>
            <w:tcW w:w="1259" w:type="dxa"/>
          </w:tcPr>
          <w:p w14:paraId="0A7D7C28" w14:textId="77777777" w:rsidR="00C12AB8" w:rsidRDefault="00155EB5" w:rsidP="00582842">
            <w:pPr>
              <w:spacing w:after="60"/>
              <w:rPr>
                <w:rFonts w:cs="Arial"/>
                <w:color w:val="000000"/>
                <w:sz w:val="18"/>
                <w:szCs w:val="18"/>
                <w:lang w:val="en-GB"/>
              </w:rPr>
            </w:pPr>
            <w:r>
              <w:rPr>
                <w:rFonts w:cs="Arial"/>
                <w:color w:val="000000"/>
                <w:sz w:val="18"/>
                <w:szCs w:val="18"/>
                <w:lang w:val="en-GB"/>
              </w:rPr>
              <w:t>Paris line 18</w:t>
            </w:r>
          </w:p>
        </w:tc>
        <w:tc>
          <w:tcPr>
            <w:tcW w:w="2282" w:type="dxa"/>
          </w:tcPr>
          <w:p w14:paraId="0A7D7C29" w14:textId="77777777" w:rsidR="00C12AB8" w:rsidRDefault="00155EB5" w:rsidP="00582842">
            <w:pPr>
              <w:spacing w:after="60"/>
              <w:rPr>
                <w:rFonts w:cs="Arial"/>
                <w:sz w:val="18"/>
                <w:szCs w:val="18"/>
                <w:lang w:val="en-GB"/>
              </w:rPr>
            </w:pPr>
            <w:r>
              <w:rPr>
                <w:rFonts w:cs="Arial"/>
                <w:sz w:val="18"/>
                <w:szCs w:val="18"/>
                <w:lang w:val="en-GB"/>
              </w:rPr>
              <w:t>Tender to launch in 2019</w:t>
            </w:r>
          </w:p>
        </w:tc>
        <w:tc>
          <w:tcPr>
            <w:tcW w:w="1701" w:type="dxa"/>
          </w:tcPr>
          <w:p w14:paraId="0A7D7C2A" w14:textId="77777777" w:rsidR="00C12AB8" w:rsidRDefault="00155EB5" w:rsidP="00582842">
            <w:pPr>
              <w:spacing w:after="60"/>
              <w:rPr>
                <w:rFonts w:cs="Arial"/>
                <w:sz w:val="18"/>
                <w:szCs w:val="18"/>
                <w:lang w:val="en-GB"/>
              </w:rPr>
            </w:pPr>
            <w:r>
              <w:rPr>
                <w:rFonts w:cs="Arial"/>
                <w:sz w:val="18"/>
                <w:szCs w:val="18"/>
                <w:lang w:val="en-GB"/>
              </w:rPr>
              <w:t>Planned between 2025 to 2030</w:t>
            </w:r>
          </w:p>
        </w:tc>
        <w:tc>
          <w:tcPr>
            <w:tcW w:w="1472" w:type="dxa"/>
          </w:tcPr>
          <w:p w14:paraId="0A7D7C2B" w14:textId="7D008CBB" w:rsidR="00C12AB8" w:rsidRDefault="00155EB5" w:rsidP="00582842">
            <w:pPr>
              <w:spacing w:after="60"/>
              <w:rPr>
                <w:rFonts w:cs="Arial"/>
                <w:color w:val="000000"/>
                <w:sz w:val="18"/>
                <w:szCs w:val="18"/>
                <w:lang w:val="en-GB"/>
              </w:rPr>
            </w:pPr>
            <w:r>
              <w:rPr>
                <w:rFonts w:cs="Arial"/>
                <w:color w:val="000000"/>
                <w:sz w:val="18"/>
                <w:szCs w:val="18"/>
                <w:lang w:val="en-GB"/>
              </w:rPr>
              <w:t xml:space="preserve">35.000   </w:t>
            </w:r>
          </w:p>
        </w:tc>
        <w:tc>
          <w:tcPr>
            <w:tcW w:w="1194" w:type="dxa"/>
          </w:tcPr>
          <w:p w14:paraId="0A7D7C2C" w14:textId="0EDB3F28" w:rsidR="00C12AB8" w:rsidRDefault="00155EB5" w:rsidP="00582842">
            <w:pPr>
              <w:spacing w:after="60"/>
              <w:rPr>
                <w:rFonts w:cs="Arial"/>
                <w:sz w:val="18"/>
                <w:szCs w:val="18"/>
                <w:lang w:val="en-GB"/>
              </w:rPr>
            </w:pPr>
            <w:r>
              <w:rPr>
                <w:rFonts w:cs="Arial"/>
                <w:sz w:val="18"/>
                <w:szCs w:val="18"/>
                <w:lang w:val="en-GB"/>
              </w:rPr>
              <w:t>13.000</w:t>
            </w:r>
          </w:p>
        </w:tc>
        <w:tc>
          <w:tcPr>
            <w:tcW w:w="840" w:type="dxa"/>
          </w:tcPr>
          <w:p w14:paraId="0A7D7C2D" w14:textId="77777777" w:rsidR="00C12AB8" w:rsidRDefault="00155EB5" w:rsidP="00582842">
            <w:pPr>
              <w:spacing w:after="60"/>
              <w:rPr>
                <w:rFonts w:cs="Arial"/>
                <w:sz w:val="18"/>
                <w:szCs w:val="18"/>
                <w:lang w:val="en-GB"/>
              </w:rPr>
            </w:pPr>
            <w:r>
              <w:rPr>
                <w:rFonts w:cs="Arial"/>
                <w:sz w:val="18"/>
                <w:szCs w:val="18"/>
                <w:lang w:val="en-GB"/>
              </w:rPr>
              <w:t>37%</w:t>
            </w:r>
          </w:p>
        </w:tc>
      </w:tr>
      <w:tr w:rsidR="00C12AB8" w14:paraId="0A7D7C36" w14:textId="77777777" w:rsidTr="00C12AB8">
        <w:trPr>
          <w:trHeight w:val="300"/>
        </w:trPr>
        <w:tc>
          <w:tcPr>
            <w:tcW w:w="1107" w:type="dxa"/>
          </w:tcPr>
          <w:p w14:paraId="0A7D7C2F" w14:textId="77777777" w:rsidR="00C12AB8" w:rsidRDefault="00155EB5" w:rsidP="00582842">
            <w:pPr>
              <w:spacing w:after="60"/>
              <w:rPr>
                <w:rFonts w:cs="Arial"/>
                <w:color w:val="000000"/>
                <w:sz w:val="18"/>
                <w:szCs w:val="18"/>
                <w:lang w:val="en-GB"/>
              </w:rPr>
            </w:pPr>
            <w:r>
              <w:rPr>
                <w:rFonts w:cs="Arial"/>
                <w:color w:val="000000"/>
                <w:sz w:val="18"/>
                <w:szCs w:val="18"/>
                <w:lang w:val="en-GB"/>
              </w:rPr>
              <w:t>France</w:t>
            </w:r>
          </w:p>
        </w:tc>
        <w:tc>
          <w:tcPr>
            <w:tcW w:w="1259" w:type="dxa"/>
          </w:tcPr>
          <w:p w14:paraId="0A7D7C30" w14:textId="77777777" w:rsidR="00C12AB8" w:rsidRDefault="00155EB5" w:rsidP="00582842">
            <w:pPr>
              <w:spacing w:after="60"/>
              <w:rPr>
                <w:rFonts w:cs="Arial"/>
                <w:color w:val="000000"/>
                <w:sz w:val="18"/>
                <w:szCs w:val="18"/>
                <w:lang w:val="en-GB"/>
              </w:rPr>
            </w:pPr>
            <w:r>
              <w:rPr>
                <w:rFonts w:cs="Arial"/>
                <w:color w:val="000000"/>
                <w:sz w:val="18"/>
                <w:szCs w:val="18"/>
                <w:lang w:val="en-GB"/>
              </w:rPr>
              <w:t>Paris  line 3</w:t>
            </w:r>
          </w:p>
        </w:tc>
        <w:tc>
          <w:tcPr>
            <w:tcW w:w="2282" w:type="dxa"/>
          </w:tcPr>
          <w:p w14:paraId="0A7D7C31" w14:textId="77777777" w:rsidR="00C12AB8" w:rsidRDefault="00155EB5" w:rsidP="00582842">
            <w:pPr>
              <w:spacing w:after="60"/>
              <w:rPr>
                <w:rFonts w:cs="Arial"/>
                <w:color w:val="000000"/>
                <w:sz w:val="18"/>
                <w:szCs w:val="18"/>
                <w:lang w:val="en-GB"/>
              </w:rPr>
            </w:pPr>
            <w:r>
              <w:rPr>
                <w:rFonts w:cs="Arial"/>
                <w:color w:val="000000"/>
                <w:sz w:val="18"/>
                <w:szCs w:val="18"/>
                <w:lang w:val="en-GB"/>
              </w:rPr>
              <w:t>To be awarded 2025</w:t>
            </w:r>
          </w:p>
        </w:tc>
        <w:tc>
          <w:tcPr>
            <w:tcW w:w="1701" w:type="dxa"/>
          </w:tcPr>
          <w:p w14:paraId="0A7D7C32" w14:textId="77777777" w:rsidR="00C12AB8" w:rsidRDefault="00155EB5" w:rsidP="00582842">
            <w:pPr>
              <w:spacing w:after="60"/>
              <w:rPr>
                <w:rFonts w:cs="Arial"/>
                <w:color w:val="000000"/>
                <w:sz w:val="18"/>
                <w:szCs w:val="18"/>
                <w:lang w:val="en-GB"/>
              </w:rPr>
            </w:pPr>
            <w:r>
              <w:rPr>
                <w:rFonts w:cs="Arial"/>
                <w:color w:val="000000"/>
                <w:sz w:val="18"/>
                <w:szCs w:val="18"/>
                <w:lang w:val="en-GB"/>
              </w:rPr>
              <w:t>Planned 2029</w:t>
            </w:r>
          </w:p>
        </w:tc>
        <w:tc>
          <w:tcPr>
            <w:tcW w:w="1472" w:type="dxa"/>
          </w:tcPr>
          <w:p w14:paraId="0A7D7C33" w14:textId="0C12A2B9" w:rsidR="00C12AB8" w:rsidRDefault="00155EB5" w:rsidP="00582842">
            <w:pPr>
              <w:spacing w:after="60"/>
              <w:rPr>
                <w:rFonts w:cs="Arial"/>
                <w:color w:val="000000"/>
                <w:sz w:val="18"/>
                <w:szCs w:val="18"/>
                <w:lang w:val="en-GB"/>
              </w:rPr>
            </w:pPr>
            <w:r>
              <w:rPr>
                <w:rFonts w:cs="Arial"/>
                <w:color w:val="000000"/>
                <w:sz w:val="18"/>
                <w:szCs w:val="18"/>
                <w:lang w:val="en-GB"/>
              </w:rPr>
              <w:t xml:space="preserve">13.000   </w:t>
            </w:r>
          </w:p>
        </w:tc>
        <w:tc>
          <w:tcPr>
            <w:tcW w:w="1194" w:type="dxa"/>
          </w:tcPr>
          <w:p w14:paraId="0A7D7C34" w14:textId="1341B770" w:rsidR="00C12AB8" w:rsidRDefault="00155EB5" w:rsidP="00582842">
            <w:pPr>
              <w:spacing w:after="60"/>
              <w:rPr>
                <w:rFonts w:cs="Arial"/>
                <w:sz w:val="18"/>
                <w:szCs w:val="18"/>
                <w:lang w:val="en-GB"/>
              </w:rPr>
            </w:pPr>
            <w:r>
              <w:rPr>
                <w:rFonts w:cs="Arial"/>
                <w:sz w:val="18"/>
                <w:szCs w:val="18"/>
                <w:lang w:val="en-GB"/>
              </w:rPr>
              <w:t>-</w:t>
            </w:r>
          </w:p>
        </w:tc>
        <w:tc>
          <w:tcPr>
            <w:tcW w:w="840" w:type="dxa"/>
          </w:tcPr>
          <w:p w14:paraId="0A7D7C35" w14:textId="77777777" w:rsidR="00C12AB8" w:rsidRDefault="00155EB5" w:rsidP="00582842">
            <w:pPr>
              <w:spacing w:after="60"/>
              <w:rPr>
                <w:rFonts w:cs="Arial"/>
                <w:sz w:val="18"/>
                <w:szCs w:val="18"/>
                <w:lang w:val="en-GB"/>
              </w:rPr>
            </w:pPr>
            <w:r>
              <w:rPr>
                <w:rFonts w:cs="Arial"/>
                <w:sz w:val="18"/>
                <w:szCs w:val="18"/>
                <w:lang w:val="en-GB"/>
              </w:rPr>
              <w:t>0%</w:t>
            </w:r>
          </w:p>
        </w:tc>
      </w:tr>
      <w:tr w:rsidR="00C12AB8" w14:paraId="0A7D7C3E" w14:textId="77777777" w:rsidTr="00C12AB8">
        <w:trPr>
          <w:trHeight w:val="300"/>
        </w:trPr>
        <w:tc>
          <w:tcPr>
            <w:tcW w:w="1107" w:type="dxa"/>
          </w:tcPr>
          <w:p w14:paraId="0A7D7C37" w14:textId="77777777" w:rsidR="00C12AB8" w:rsidRDefault="00155EB5" w:rsidP="00582842">
            <w:pPr>
              <w:spacing w:after="60"/>
              <w:rPr>
                <w:rFonts w:cs="Arial"/>
                <w:color w:val="000000"/>
                <w:sz w:val="18"/>
                <w:szCs w:val="18"/>
                <w:lang w:val="en-GB"/>
              </w:rPr>
            </w:pPr>
            <w:r>
              <w:rPr>
                <w:rFonts w:cs="Arial"/>
                <w:color w:val="000000"/>
                <w:sz w:val="18"/>
                <w:szCs w:val="18"/>
                <w:lang w:val="en-GB"/>
              </w:rPr>
              <w:t>France</w:t>
            </w:r>
          </w:p>
        </w:tc>
        <w:tc>
          <w:tcPr>
            <w:tcW w:w="1259" w:type="dxa"/>
          </w:tcPr>
          <w:p w14:paraId="0A7D7C38" w14:textId="77777777" w:rsidR="00C12AB8" w:rsidRDefault="00155EB5" w:rsidP="00582842">
            <w:pPr>
              <w:spacing w:after="60"/>
              <w:rPr>
                <w:rFonts w:cs="Arial"/>
                <w:color w:val="000000"/>
                <w:sz w:val="18"/>
                <w:szCs w:val="18"/>
                <w:lang w:val="en-GB"/>
              </w:rPr>
            </w:pPr>
            <w:r>
              <w:rPr>
                <w:rFonts w:cs="Arial"/>
                <w:color w:val="000000"/>
                <w:sz w:val="18"/>
                <w:szCs w:val="18"/>
                <w:lang w:val="en-GB"/>
              </w:rPr>
              <w:t>Paris line 8</w:t>
            </w:r>
          </w:p>
        </w:tc>
        <w:tc>
          <w:tcPr>
            <w:tcW w:w="2282" w:type="dxa"/>
          </w:tcPr>
          <w:p w14:paraId="0A7D7C39" w14:textId="77777777" w:rsidR="00C12AB8" w:rsidRDefault="00155EB5" w:rsidP="00582842">
            <w:pPr>
              <w:spacing w:after="60"/>
              <w:rPr>
                <w:rFonts w:cs="Arial"/>
                <w:color w:val="000000"/>
                <w:sz w:val="18"/>
                <w:szCs w:val="18"/>
                <w:lang w:val="en-GB"/>
              </w:rPr>
            </w:pPr>
            <w:r>
              <w:rPr>
                <w:rFonts w:cs="Arial"/>
                <w:color w:val="000000"/>
                <w:sz w:val="18"/>
                <w:szCs w:val="18"/>
                <w:lang w:val="en-GB"/>
              </w:rPr>
              <w:t>To be awarded 2025</w:t>
            </w:r>
          </w:p>
        </w:tc>
        <w:tc>
          <w:tcPr>
            <w:tcW w:w="1701" w:type="dxa"/>
          </w:tcPr>
          <w:p w14:paraId="0A7D7C3A" w14:textId="77777777" w:rsidR="00C12AB8" w:rsidRDefault="00155EB5" w:rsidP="00582842">
            <w:pPr>
              <w:spacing w:after="60"/>
              <w:rPr>
                <w:rFonts w:cs="Arial"/>
                <w:color w:val="000000"/>
                <w:sz w:val="18"/>
                <w:szCs w:val="18"/>
                <w:lang w:val="en-GB"/>
              </w:rPr>
            </w:pPr>
            <w:r>
              <w:rPr>
                <w:rFonts w:cs="Arial"/>
                <w:color w:val="000000"/>
                <w:sz w:val="18"/>
                <w:szCs w:val="18"/>
                <w:lang w:val="en-GB"/>
              </w:rPr>
              <w:t>Planned 2029</w:t>
            </w:r>
          </w:p>
        </w:tc>
        <w:tc>
          <w:tcPr>
            <w:tcW w:w="1472" w:type="dxa"/>
          </w:tcPr>
          <w:p w14:paraId="0A7D7C3B" w14:textId="5B2709BE" w:rsidR="00C12AB8" w:rsidRDefault="00155EB5" w:rsidP="00582842">
            <w:pPr>
              <w:spacing w:after="60"/>
              <w:rPr>
                <w:rFonts w:cs="Arial"/>
                <w:color w:val="000000"/>
                <w:sz w:val="18"/>
                <w:szCs w:val="18"/>
                <w:lang w:val="en-GB"/>
              </w:rPr>
            </w:pPr>
            <w:r>
              <w:rPr>
                <w:rFonts w:cs="Arial"/>
                <w:color w:val="000000"/>
                <w:sz w:val="18"/>
                <w:szCs w:val="18"/>
                <w:lang w:val="en-GB"/>
              </w:rPr>
              <w:t xml:space="preserve">25.000   </w:t>
            </w:r>
          </w:p>
        </w:tc>
        <w:tc>
          <w:tcPr>
            <w:tcW w:w="1194" w:type="dxa"/>
          </w:tcPr>
          <w:p w14:paraId="0A7D7C3C" w14:textId="03ADB7DC" w:rsidR="00C12AB8" w:rsidRDefault="00155EB5" w:rsidP="00582842">
            <w:pPr>
              <w:spacing w:after="60"/>
              <w:rPr>
                <w:rFonts w:cs="Arial"/>
                <w:sz w:val="18"/>
                <w:szCs w:val="18"/>
                <w:lang w:val="en-GB"/>
              </w:rPr>
            </w:pPr>
            <w:r>
              <w:rPr>
                <w:rFonts w:cs="Arial"/>
                <w:sz w:val="18"/>
                <w:szCs w:val="18"/>
                <w:lang w:val="en-GB"/>
              </w:rPr>
              <w:t xml:space="preserve">4.100   </w:t>
            </w:r>
          </w:p>
        </w:tc>
        <w:tc>
          <w:tcPr>
            <w:tcW w:w="840" w:type="dxa"/>
          </w:tcPr>
          <w:p w14:paraId="0A7D7C3D" w14:textId="77777777" w:rsidR="00C12AB8" w:rsidRDefault="00155EB5" w:rsidP="00582842">
            <w:pPr>
              <w:spacing w:after="60"/>
              <w:rPr>
                <w:rFonts w:cs="Arial"/>
                <w:sz w:val="18"/>
                <w:szCs w:val="18"/>
                <w:lang w:val="en-GB"/>
              </w:rPr>
            </w:pPr>
            <w:r>
              <w:rPr>
                <w:rFonts w:cs="Arial"/>
                <w:sz w:val="18"/>
                <w:szCs w:val="18"/>
                <w:lang w:val="en-GB"/>
              </w:rPr>
              <w:t>16%</w:t>
            </w:r>
          </w:p>
        </w:tc>
      </w:tr>
      <w:tr w:rsidR="00C12AB8" w14:paraId="0A7D7C46" w14:textId="77777777" w:rsidTr="00C12AB8">
        <w:trPr>
          <w:trHeight w:val="300"/>
        </w:trPr>
        <w:tc>
          <w:tcPr>
            <w:tcW w:w="1107" w:type="dxa"/>
          </w:tcPr>
          <w:p w14:paraId="0A7D7C3F" w14:textId="77777777" w:rsidR="00C12AB8" w:rsidRDefault="00155EB5" w:rsidP="00582842">
            <w:pPr>
              <w:spacing w:after="60"/>
              <w:rPr>
                <w:rFonts w:cs="Arial"/>
                <w:color w:val="000000"/>
                <w:sz w:val="18"/>
                <w:szCs w:val="18"/>
                <w:lang w:val="en-GB"/>
              </w:rPr>
            </w:pPr>
            <w:r>
              <w:rPr>
                <w:rFonts w:cs="Arial"/>
                <w:color w:val="000000"/>
                <w:sz w:val="18"/>
                <w:szCs w:val="18"/>
                <w:lang w:val="en-GB"/>
              </w:rPr>
              <w:t>Belgium</w:t>
            </w:r>
          </w:p>
        </w:tc>
        <w:tc>
          <w:tcPr>
            <w:tcW w:w="1259" w:type="dxa"/>
          </w:tcPr>
          <w:p w14:paraId="0A7D7C40" w14:textId="77777777" w:rsidR="00C12AB8" w:rsidRDefault="00155EB5" w:rsidP="00582842">
            <w:pPr>
              <w:spacing w:after="60"/>
              <w:rPr>
                <w:rFonts w:cs="Arial"/>
                <w:color w:val="000000"/>
                <w:sz w:val="18"/>
                <w:szCs w:val="18"/>
                <w:lang w:val="en-GB"/>
              </w:rPr>
            </w:pPr>
            <w:r>
              <w:rPr>
                <w:rFonts w:cs="Arial"/>
                <w:color w:val="000000"/>
                <w:sz w:val="18"/>
                <w:szCs w:val="18"/>
                <w:lang w:val="en-GB"/>
              </w:rPr>
              <w:t>Brussels Line 3</w:t>
            </w:r>
          </w:p>
        </w:tc>
        <w:tc>
          <w:tcPr>
            <w:tcW w:w="2282" w:type="dxa"/>
          </w:tcPr>
          <w:p w14:paraId="0A7D7C41" w14:textId="77777777" w:rsidR="00C12AB8" w:rsidRDefault="00155EB5" w:rsidP="00582842">
            <w:pPr>
              <w:spacing w:after="60"/>
              <w:rPr>
                <w:rFonts w:cs="Arial"/>
                <w:color w:val="000000"/>
                <w:sz w:val="18"/>
                <w:szCs w:val="18"/>
                <w:lang w:val="en-GB"/>
              </w:rPr>
            </w:pPr>
            <w:r>
              <w:rPr>
                <w:rFonts w:cs="Arial"/>
                <w:color w:val="000000"/>
                <w:sz w:val="18"/>
                <w:szCs w:val="18"/>
                <w:lang w:val="en-GB"/>
              </w:rPr>
              <w:t>Extension of awarded contract</w:t>
            </w:r>
          </w:p>
        </w:tc>
        <w:tc>
          <w:tcPr>
            <w:tcW w:w="1701" w:type="dxa"/>
          </w:tcPr>
          <w:p w14:paraId="0A7D7C42" w14:textId="77777777" w:rsidR="00C12AB8" w:rsidRDefault="00155EB5" w:rsidP="00582842">
            <w:pPr>
              <w:spacing w:after="60"/>
              <w:rPr>
                <w:rFonts w:cs="Arial"/>
                <w:color w:val="000000"/>
                <w:sz w:val="18"/>
                <w:szCs w:val="18"/>
                <w:lang w:val="en-GB"/>
              </w:rPr>
            </w:pPr>
            <w:r>
              <w:rPr>
                <w:rFonts w:cs="Arial"/>
                <w:color w:val="000000"/>
                <w:sz w:val="18"/>
                <w:szCs w:val="18"/>
                <w:lang w:val="en-GB"/>
              </w:rPr>
              <w:t>Planned 2030</w:t>
            </w:r>
          </w:p>
        </w:tc>
        <w:tc>
          <w:tcPr>
            <w:tcW w:w="1472" w:type="dxa"/>
          </w:tcPr>
          <w:p w14:paraId="0A7D7C43" w14:textId="3A7333BC" w:rsidR="00C12AB8" w:rsidRDefault="00155EB5" w:rsidP="00582842">
            <w:pPr>
              <w:spacing w:after="60"/>
              <w:rPr>
                <w:rFonts w:cs="Arial"/>
                <w:color w:val="000000"/>
                <w:sz w:val="18"/>
                <w:szCs w:val="18"/>
                <w:lang w:val="en-GB"/>
              </w:rPr>
            </w:pPr>
            <w:r>
              <w:rPr>
                <w:rFonts w:cs="Arial"/>
                <w:color w:val="000000"/>
                <w:sz w:val="18"/>
                <w:szCs w:val="18"/>
                <w:lang w:val="en-GB"/>
              </w:rPr>
              <w:t xml:space="preserve">20.000   </w:t>
            </w:r>
          </w:p>
        </w:tc>
        <w:tc>
          <w:tcPr>
            <w:tcW w:w="1194" w:type="dxa"/>
          </w:tcPr>
          <w:p w14:paraId="0A7D7C44" w14:textId="0EA6A180" w:rsidR="00C12AB8" w:rsidRDefault="00155EB5" w:rsidP="00307454">
            <w:pPr>
              <w:spacing w:after="60"/>
              <w:rPr>
                <w:rFonts w:cs="Arial"/>
                <w:color w:val="000000"/>
                <w:sz w:val="18"/>
                <w:szCs w:val="18"/>
                <w:lang w:val="en-GB"/>
              </w:rPr>
            </w:pPr>
            <w:r>
              <w:rPr>
                <w:rFonts w:cs="Arial"/>
                <w:color w:val="000000"/>
                <w:sz w:val="18"/>
                <w:szCs w:val="18"/>
                <w:lang w:val="en-GB"/>
              </w:rPr>
              <w:t>-</w:t>
            </w:r>
          </w:p>
        </w:tc>
        <w:tc>
          <w:tcPr>
            <w:tcW w:w="840" w:type="dxa"/>
          </w:tcPr>
          <w:p w14:paraId="0A7D7C45" w14:textId="77777777" w:rsidR="00C12AB8" w:rsidRDefault="00155EB5" w:rsidP="00582842">
            <w:pPr>
              <w:spacing w:after="60"/>
              <w:rPr>
                <w:rFonts w:cs="Arial"/>
                <w:sz w:val="18"/>
                <w:szCs w:val="18"/>
                <w:lang w:val="en-GB"/>
              </w:rPr>
            </w:pPr>
            <w:r>
              <w:rPr>
                <w:rFonts w:cs="Arial"/>
                <w:sz w:val="18"/>
                <w:szCs w:val="18"/>
                <w:lang w:val="en-GB"/>
              </w:rPr>
              <w:t>0%</w:t>
            </w:r>
          </w:p>
        </w:tc>
      </w:tr>
      <w:tr w:rsidR="00C12AB8" w14:paraId="0A7D7C4E" w14:textId="77777777" w:rsidTr="00C12AB8">
        <w:trPr>
          <w:trHeight w:val="300"/>
        </w:trPr>
        <w:tc>
          <w:tcPr>
            <w:tcW w:w="1107" w:type="dxa"/>
          </w:tcPr>
          <w:p w14:paraId="0A7D7C47" w14:textId="77777777" w:rsidR="00C12AB8" w:rsidRDefault="00155EB5" w:rsidP="00582842">
            <w:pPr>
              <w:spacing w:after="60"/>
              <w:rPr>
                <w:rFonts w:cs="Arial"/>
                <w:color w:val="000000"/>
                <w:sz w:val="18"/>
                <w:szCs w:val="18"/>
                <w:lang w:val="en-GB"/>
              </w:rPr>
            </w:pPr>
            <w:r>
              <w:rPr>
                <w:rFonts w:cs="Arial"/>
                <w:color w:val="000000"/>
                <w:sz w:val="18"/>
                <w:szCs w:val="18"/>
                <w:lang w:val="en-GB"/>
              </w:rPr>
              <w:t>France</w:t>
            </w:r>
          </w:p>
        </w:tc>
        <w:tc>
          <w:tcPr>
            <w:tcW w:w="1259" w:type="dxa"/>
          </w:tcPr>
          <w:p w14:paraId="0A7D7C48" w14:textId="77777777" w:rsidR="00C12AB8" w:rsidRDefault="00155EB5" w:rsidP="00582842">
            <w:pPr>
              <w:spacing w:after="60"/>
              <w:rPr>
                <w:rFonts w:cs="Arial"/>
                <w:color w:val="000000"/>
                <w:sz w:val="18"/>
                <w:szCs w:val="18"/>
                <w:lang w:val="en-GB"/>
              </w:rPr>
            </w:pPr>
            <w:r>
              <w:rPr>
                <w:rFonts w:cs="Arial"/>
                <w:color w:val="000000"/>
                <w:sz w:val="18"/>
                <w:szCs w:val="18"/>
                <w:lang w:val="en-GB"/>
              </w:rPr>
              <w:t>Paris line 9</w:t>
            </w:r>
          </w:p>
        </w:tc>
        <w:tc>
          <w:tcPr>
            <w:tcW w:w="2282" w:type="dxa"/>
          </w:tcPr>
          <w:p w14:paraId="0A7D7C49" w14:textId="77777777" w:rsidR="00C12AB8" w:rsidRDefault="00155EB5" w:rsidP="00582842">
            <w:pPr>
              <w:spacing w:after="60"/>
              <w:rPr>
                <w:rFonts w:cs="Arial"/>
                <w:color w:val="000000"/>
                <w:sz w:val="18"/>
                <w:szCs w:val="18"/>
                <w:lang w:val="en-GB"/>
              </w:rPr>
            </w:pPr>
            <w:r>
              <w:rPr>
                <w:rFonts w:cs="Arial"/>
                <w:color w:val="000000"/>
                <w:sz w:val="18"/>
                <w:szCs w:val="18"/>
                <w:lang w:val="en-GB"/>
              </w:rPr>
              <w:t>To be awarded 2027</w:t>
            </w:r>
          </w:p>
        </w:tc>
        <w:tc>
          <w:tcPr>
            <w:tcW w:w="1701" w:type="dxa"/>
          </w:tcPr>
          <w:p w14:paraId="0A7D7C4A" w14:textId="77777777" w:rsidR="00C12AB8" w:rsidRDefault="00155EB5" w:rsidP="00582842">
            <w:pPr>
              <w:spacing w:after="60"/>
              <w:rPr>
                <w:rFonts w:cs="Arial"/>
                <w:color w:val="000000"/>
                <w:sz w:val="18"/>
                <w:szCs w:val="18"/>
                <w:lang w:val="en-GB"/>
              </w:rPr>
            </w:pPr>
            <w:r>
              <w:rPr>
                <w:rFonts w:cs="Arial"/>
                <w:color w:val="000000"/>
                <w:sz w:val="18"/>
                <w:szCs w:val="18"/>
                <w:lang w:val="en-GB"/>
              </w:rPr>
              <w:t>Planned 2031</w:t>
            </w:r>
          </w:p>
        </w:tc>
        <w:tc>
          <w:tcPr>
            <w:tcW w:w="1472" w:type="dxa"/>
          </w:tcPr>
          <w:p w14:paraId="0A7D7C4B" w14:textId="298E6FC3" w:rsidR="00C12AB8" w:rsidRDefault="00155EB5" w:rsidP="00582842">
            <w:pPr>
              <w:spacing w:after="60"/>
              <w:rPr>
                <w:rFonts w:cs="Arial"/>
                <w:color w:val="000000"/>
                <w:sz w:val="18"/>
                <w:szCs w:val="18"/>
                <w:lang w:val="en-GB"/>
              </w:rPr>
            </w:pPr>
            <w:r>
              <w:rPr>
                <w:rFonts w:cs="Arial"/>
                <w:color w:val="000000"/>
                <w:sz w:val="18"/>
                <w:szCs w:val="18"/>
                <w:lang w:val="en-GB"/>
              </w:rPr>
              <w:t xml:space="preserve">21.000   </w:t>
            </w:r>
          </w:p>
        </w:tc>
        <w:tc>
          <w:tcPr>
            <w:tcW w:w="1194" w:type="dxa"/>
          </w:tcPr>
          <w:p w14:paraId="0A7D7C4C" w14:textId="4EDE58AC" w:rsidR="00C12AB8" w:rsidRDefault="00155EB5" w:rsidP="00307454">
            <w:pPr>
              <w:spacing w:after="60"/>
              <w:rPr>
                <w:rFonts w:cs="Arial"/>
                <w:sz w:val="18"/>
                <w:szCs w:val="18"/>
                <w:lang w:val="en-GB"/>
              </w:rPr>
            </w:pPr>
            <w:r>
              <w:rPr>
                <w:rFonts w:cs="Arial"/>
                <w:sz w:val="18"/>
                <w:szCs w:val="18"/>
                <w:lang w:val="en-GB"/>
              </w:rPr>
              <w:t>-</w:t>
            </w:r>
          </w:p>
        </w:tc>
        <w:tc>
          <w:tcPr>
            <w:tcW w:w="840" w:type="dxa"/>
          </w:tcPr>
          <w:p w14:paraId="0A7D7C4D" w14:textId="77777777" w:rsidR="00C12AB8" w:rsidRDefault="00155EB5" w:rsidP="00582842">
            <w:pPr>
              <w:spacing w:after="60"/>
              <w:rPr>
                <w:rFonts w:cs="Arial"/>
                <w:sz w:val="18"/>
                <w:szCs w:val="18"/>
                <w:lang w:val="en-GB"/>
              </w:rPr>
            </w:pPr>
            <w:r>
              <w:rPr>
                <w:rFonts w:cs="Arial"/>
                <w:sz w:val="18"/>
                <w:szCs w:val="18"/>
                <w:lang w:val="en-GB"/>
              </w:rPr>
              <w:t>0%</w:t>
            </w:r>
          </w:p>
        </w:tc>
      </w:tr>
      <w:tr w:rsidR="00C12AB8" w14:paraId="0A7D7C57" w14:textId="77777777" w:rsidTr="00C12AB8">
        <w:trPr>
          <w:trHeight w:val="585"/>
        </w:trPr>
        <w:tc>
          <w:tcPr>
            <w:tcW w:w="1107" w:type="dxa"/>
          </w:tcPr>
          <w:p w14:paraId="0A7D7C4F" w14:textId="77777777" w:rsidR="00C12AB8" w:rsidRDefault="00155EB5" w:rsidP="00582842">
            <w:pPr>
              <w:spacing w:after="60"/>
              <w:rPr>
                <w:rFonts w:cs="Arial"/>
                <w:color w:val="000000"/>
                <w:sz w:val="18"/>
                <w:szCs w:val="18"/>
                <w:lang w:val="en-GB"/>
              </w:rPr>
            </w:pPr>
            <w:r>
              <w:rPr>
                <w:rFonts w:cs="Arial"/>
                <w:color w:val="000000"/>
                <w:sz w:val="18"/>
                <w:szCs w:val="18"/>
                <w:lang w:val="en-GB"/>
              </w:rPr>
              <w:t>Germany</w:t>
            </w:r>
          </w:p>
        </w:tc>
        <w:tc>
          <w:tcPr>
            <w:tcW w:w="1259" w:type="dxa"/>
          </w:tcPr>
          <w:p w14:paraId="0A7D7C50" w14:textId="77777777" w:rsidR="001A13B5" w:rsidRDefault="00155EB5" w:rsidP="00582842">
            <w:pPr>
              <w:spacing w:after="60"/>
              <w:rPr>
                <w:rFonts w:cs="Arial"/>
                <w:color w:val="000000"/>
                <w:sz w:val="18"/>
                <w:szCs w:val="18"/>
                <w:lang w:val="en-GB"/>
              </w:rPr>
            </w:pPr>
            <w:r>
              <w:rPr>
                <w:rFonts w:cs="Arial"/>
                <w:color w:val="000000"/>
                <w:sz w:val="18"/>
                <w:szCs w:val="18"/>
                <w:lang w:val="en-GB"/>
              </w:rPr>
              <w:t xml:space="preserve">Cologne </w:t>
            </w:r>
            <w:proofErr w:type="spellStart"/>
            <w:r>
              <w:rPr>
                <w:rFonts w:cs="Arial"/>
                <w:color w:val="000000"/>
                <w:sz w:val="18"/>
                <w:szCs w:val="18"/>
                <w:lang w:val="en-GB"/>
              </w:rPr>
              <w:t>Innenstadt</w:t>
            </w:r>
            <w:proofErr w:type="spellEnd"/>
          </w:p>
          <w:p w14:paraId="0A7D7C51" w14:textId="77777777" w:rsidR="00C12AB8" w:rsidRDefault="00155EB5" w:rsidP="00582842">
            <w:pPr>
              <w:spacing w:after="60"/>
              <w:rPr>
                <w:rFonts w:cs="Arial"/>
                <w:color w:val="000000"/>
                <w:sz w:val="18"/>
                <w:szCs w:val="18"/>
                <w:lang w:val="en-GB"/>
              </w:rPr>
            </w:pPr>
            <w:r>
              <w:rPr>
                <w:rFonts w:cs="Arial"/>
                <w:color w:val="000000"/>
                <w:sz w:val="18"/>
                <w:szCs w:val="18"/>
                <w:lang w:val="en-GB"/>
              </w:rPr>
              <w:t>tunnel</w:t>
            </w:r>
          </w:p>
        </w:tc>
        <w:tc>
          <w:tcPr>
            <w:tcW w:w="2282" w:type="dxa"/>
          </w:tcPr>
          <w:p w14:paraId="0A7D7C52" w14:textId="77777777" w:rsidR="00C12AB8" w:rsidRDefault="00155EB5" w:rsidP="00582842">
            <w:pPr>
              <w:spacing w:after="60"/>
              <w:rPr>
                <w:rFonts w:cs="Arial"/>
                <w:color w:val="000000"/>
                <w:sz w:val="18"/>
                <w:szCs w:val="18"/>
                <w:lang w:val="en-GB"/>
              </w:rPr>
            </w:pPr>
            <w:r>
              <w:rPr>
                <w:rFonts w:cs="Arial"/>
                <w:color w:val="000000"/>
                <w:sz w:val="18"/>
                <w:szCs w:val="18"/>
                <w:lang w:val="en-GB"/>
              </w:rPr>
              <w:t>Pre-Project (Note 1)</w:t>
            </w:r>
          </w:p>
        </w:tc>
        <w:tc>
          <w:tcPr>
            <w:tcW w:w="1701" w:type="dxa"/>
          </w:tcPr>
          <w:p w14:paraId="0A7D7C53" w14:textId="77777777" w:rsidR="00C12AB8" w:rsidRDefault="00155EB5" w:rsidP="00582842">
            <w:pPr>
              <w:spacing w:after="60"/>
              <w:rPr>
                <w:rFonts w:cs="Arial"/>
                <w:color w:val="000000"/>
                <w:sz w:val="18"/>
                <w:szCs w:val="18"/>
                <w:lang w:val="en-GB"/>
              </w:rPr>
            </w:pPr>
            <w:r>
              <w:rPr>
                <w:rFonts w:cs="Arial"/>
                <w:color w:val="000000"/>
                <w:sz w:val="18"/>
                <w:szCs w:val="18"/>
                <w:lang w:val="en-GB"/>
              </w:rPr>
              <w:t>First part planned between 2035 to 2040</w:t>
            </w:r>
          </w:p>
        </w:tc>
        <w:tc>
          <w:tcPr>
            <w:tcW w:w="1472" w:type="dxa"/>
          </w:tcPr>
          <w:p w14:paraId="0A7D7C54" w14:textId="42FC93E7" w:rsidR="00C12AB8" w:rsidRDefault="00155EB5" w:rsidP="00582842">
            <w:pPr>
              <w:spacing w:after="60"/>
              <w:rPr>
                <w:rFonts w:cs="Arial"/>
                <w:color w:val="000000"/>
                <w:sz w:val="18"/>
                <w:szCs w:val="18"/>
                <w:lang w:val="en-GB"/>
              </w:rPr>
            </w:pPr>
            <w:r>
              <w:rPr>
                <w:rFonts w:cs="Arial"/>
                <w:color w:val="000000"/>
                <w:sz w:val="18"/>
                <w:szCs w:val="18"/>
                <w:lang w:val="en-GB"/>
              </w:rPr>
              <w:t xml:space="preserve">6.000   </w:t>
            </w:r>
          </w:p>
        </w:tc>
        <w:tc>
          <w:tcPr>
            <w:tcW w:w="1194" w:type="dxa"/>
          </w:tcPr>
          <w:p w14:paraId="0A7D7C55" w14:textId="4550057E" w:rsidR="00C12AB8" w:rsidRDefault="00155EB5" w:rsidP="00307454">
            <w:pPr>
              <w:spacing w:after="60"/>
              <w:rPr>
                <w:rFonts w:cs="Arial"/>
                <w:sz w:val="18"/>
                <w:szCs w:val="18"/>
                <w:lang w:val="en-GB"/>
              </w:rPr>
            </w:pPr>
            <w:r>
              <w:rPr>
                <w:rFonts w:cs="Arial"/>
                <w:sz w:val="18"/>
                <w:szCs w:val="18"/>
                <w:lang w:val="en-GB"/>
              </w:rPr>
              <w:t>-</w:t>
            </w:r>
          </w:p>
        </w:tc>
        <w:tc>
          <w:tcPr>
            <w:tcW w:w="840" w:type="dxa"/>
          </w:tcPr>
          <w:p w14:paraId="0A7D7C56" w14:textId="77777777" w:rsidR="00C12AB8" w:rsidRDefault="00155EB5" w:rsidP="00582842">
            <w:pPr>
              <w:spacing w:after="60"/>
              <w:rPr>
                <w:rFonts w:cs="Arial"/>
                <w:sz w:val="18"/>
                <w:szCs w:val="18"/>
                <w:lang w:val="en-GB"/>
              </w:rPr>
            </w:pPr>
            <w:r>
              <w:rPr>
                <w:rFonts w:cs="Arial"/>
                <w:sz w:val="18"/>
                <w:szCs w:val="18"/>
                <w:lang w:val="en-GB"/>
              </w:rPr>
              <w:t>0%</w:t>
            </w:r>
          </w:p>
        </w:tc>
      </w:tr>
      <w:tr w:rsidR="002D7262" w14:paraId="0A7D7C5F" w14:textId="77777777" w:rsidTr="00C12AB8">
        <w:trPr>
          <w:trHeight w:val="585"/>
        </w:trPr>
        <w:tc>
          <w:tcPr>
            <w:tcW w:w="1107" w:type="dxa"/>
          </w:tcPr>
          <w:p w14:paraId="0A7D7C58" w14:textId="77777777" w:rsidR="002D7262" w:rsidRDefault="002D7262" w:rsidP="00582842">
            <w:pPr>
              <w:spacing w:after="60"/>
              <w:rPr>
                <w:rFonts w:cs="Arial"/>
                <w:color w:val="000000"/>
                <w:sz w:val="18"/>
                <w:szCs w:val="18"/>
                <w:lang w:val="en-GB"/>
              </w:rPr>
            </w:pPr>
            <w:r>
              <w:rPr>
                <w:rFonts w:cs="Arial"/>
                <w:color w:val="000000"/>
                <w:sz w:val="18"/>
                <w:szCs w:val="18"/>
                <w:lang w:val="en-GB"/>
              </w:rPr>
              <w:t>Germany</w:t>
            </w:r>
          </w:p>
        </w:tc>
        <w:tc>
          <w:tcPr>
            <w:tcW w:w="1259" w:type="dxa"/>
          </w:tcPr>
          <w:p w14:paraId="0A7D7C59" w14:textId="77777777" w:rsidR="002D7262" w:rsidRDefault="002D7262" w:rsidP="00582842">
            <w:pPr>
              <w:spacing w:after="60"/>
              <w:rPr>
                <w:rFonts w:cs="Arial"/>
                <w:color w:val="000000"/>
                <w:sz w:val="18"/>
                <w:szCs w:val="18"/>
                <w:lang w:val="en-GB"/>
              </w:rPr>
            </w:pPr>
            <w:r>
              <w:rPr>
                <w:rFonts w:cs="Arial"/>
                <w:color w:val="000000"/>
                <w:sz w:val="18"/>
                <w:szCs w:val="18"/>
                <w:lang w:val="en-GB"/>
              </w:rPr>
              <w:t>Berlin Line 5 &amp; 8</w:t>
            </w:r>
          </w:p>
        </w:tc>
        <w:tc>
          <w:tcPr>
            <w:tcW w:w="2282" w:type="dxa"/>
          </w:tcPr>
          <w:p w14:paraId="0A7D7C5A" w14:textId="77777777" w:rsidR="002D7262" w:rsidRDefault="002D7262" w:rsidP="00EC6184">
            <w:pPr>
              <w:spacing w:after="60"/>
              <w:rPr>
                <w:rFonts w:cs="Arial"/>
                <w:color w:val="000000"/>
                <w:sz w:val="18"/>
                <w:szCs w:val="18"/>
                <w:lang w:val="en-GB"/>
              </w:rPr>
            </w:pPr>
            <w:r>
              <w:rPr>
                <w:rFonts w:cs="Arial"/>
                <w:color w:val="000000"/>
                <w:sz w:val="18"/>
                <w:szCs w:val="18"/>
                <w:lang w:val="en-GB"/>
              </w:rPr>
              <w:t>Pre-Project</w:t>
            </w:r>
          </w:p>
        </w:tc>
        <w:tc>
          <w:tcPr>
            <w:tcW w:w="1701" w:type="dxa"/>
          </w:tcPr>
          <w:p w14:paraId="0A7D7C5B" w14:textId="77777777" w:rsidR="002D7262" w:rsidRDefault="002D7262" w:rsidP="00582842">
            <w:pPr>
              <w:spacing w:after="60"/>
              <w:rPr>
                <w:rFonts w:cs="Arial"/>
                <w:color w:val="000000"/>
                <w:sz w:val="18"/>
                <w:szCs w:val="18"/>
                <w:lang w:val="en-GB"/>
              </w:rPr>
            </w:pPr>
            <w:r>
              <w:rPr>
                <w:rFonts w:cs="Arial"/>
                <w:color w:val="000000"/>
                <w:sz w:val="18"/>
                <w:szCs w:val="18"/>
                <w:lang w:val="en-GB"/>
              </w:rPr>
              <w:t>First part planned 2026</w:t>
            </w:r>
          </w:p>
        </w:tc>
        <w:tc>
          <w:tcPr>
            <w:tcW w:w="1472" w:type="dxa"/>
          </w:tcPr>
          <w:p w14:paraId="0A7D7C5C" w14:textId="29EF9142" w:rsidR="002D7262" w:rsidRDefault="002D7262" w:rsidP="00DB3762">
            <w:pPr>
              <w:spacing w:after="60"/>
              <w:rPr>
                <w:rFonts w:cs="Arial"/>
                <w:color w:val="000000"/>
                <w:sz w:val="18"/>
                <w:szCs w:val="18"/>
                <w:lang w:val="en-GB"/>
              </w:rPr>
            </w:pPr>
            <w:r>
              <w:rPr>
                <w:rFonts w:cs="Arial"/>
                <w:color w:val="000000"/>
                <w:sz w:val="18"/>
                <w:szCs w:val="18"/>
                <w:lang w:val="en-GB"/>
              </w:rPr>
              <w:t>41</w:t>
            </w:r>
            <w:r w:rsidR="001A13B5">
              <w:rPr>
                <w:rFonts w:cs="Arial"/>
                <w:color w:val="000000"/>
                <w:sz w:val="18"/>
                <w:szCs w:val="18"/>
                <w:lang w:val="en-GB"/>
              </w:rPr>
              <w:t>.</w:t>
            </w:r>
            <w:r>
              <w:rPr>
                <w:rFonts w:cs="Arial"/>
                <w:color w:val="000000"/>
                <w:sz w:val="18"/>
                <w:szCs w:val="18"/>
                <w:lang w:val="en-GB"/>
              </w:rPr>
              <w:t>000</w:t>
            </w:r>
          </w:p>
        </w:tc>
        <w:tc>
          <w:tcPr>
            <w:tcW w:w="1194" w:type="dxa"/>
          </w:tcPr>
          <w:p w14:paraId="0A7D7C5D" w14:textId="77777777" w:rsidR="002D7262" w:rsidRDefault="002D7262" w:rsidP="00582842">
            <w:pPr>
              <w:spacing w:after="60"/>
              <w:rPr>
                <w:rFonts w:cs="Arial"/>
                <w:sz w:val="18"/>
                <w:szCs w:val="18"/>
                <w:lang w:val="en-GB"/>
              </w:rPr>
            </w:pPr>
            <w:r>
              <w:rPr>
                <w:rFonts w:cs="Arial"/>
                <w:sz w:val="18"/>
                <w:szCs w:val="18"/>
                <w:lang w:val="en-GB"/>
              </w:rPr>
              <w:t>7100</w:t>
            </w:r>
          </w:p>
        </w:tc>
        <w:tc>
          <w:tcPr>
            <w:tcW w:w="840" w:type="dxa"/>
          </w:tcPr>
          <w:p w14:paraId="0A7D7C5E" w14:textId="77777777" w:rsidR="002D7262" w:rsidRDefault="002D7262" w:rsidP="00582842">
            <w:pPr>
              <w:spacing w:after="60"/>
              <w:rPr>
                <w:rFonts w:cs="Arial"/>
                <w:sz w:val="18"/>
                <w:szCs w:val="18"/>
                <w:lang w:val="en-GB"/>
              </w:rPr>
            </w:pPr>
            <w:r>
              <w:rPr>
                <w:rFonts w:cs="Arial"/>
                <w:sz w:val="18"/>
                <w:szCs w:val="18"/>
                <w:lang w:val="en-GB"/>
              </w:rPr>
              <w:t>17%</w:t>
            </w:r>
          </w:p>
        </w:tc>
      </w:tr>
      <w:tr w:rsidR="00C12AB8" w14:paraId="0A7D7C61" w14:textId="77777777" w:rsidTr="00C12AB8">
        <w:trPr>
          <w:trHeight w:val="300"/>
        </w:trPr>
        <w:tc>
          <w:tcPr>
            <w:tcW w:w="9855" w:type="dxa"/>
            <w:gridSpan w:val="7"/>
          </w:tcPr>
          <w:p w14:paraId="0A7D7C60" w14:textId="77777777" w:rsidR="00C12AB8" w:rsidRPr="00331BBE" w:rsidRDefault="00155EB5" w:rsidP="00331BBE">
            <w:pPr>
              <w:pStyle w:val="ECCTablenote"/>
            </w:pPr>
            <w:r w:rsidRPr="008D3C32">
              <w:t>Note 1: The project is in a very early planning phase and therefore does not require any urgent decisions</w:t>
            </w:r>
          </w:p>
        </w:tc>
      </w:tr>
    </w:tbl>
    <w:p w14:paraId="0A7D7C62" w14:textId="77777777" w:rsidR="00C12AB8" w:rsidRDefault="00155EB5">
      <w:pPr>
        <w:pStyle w:val="ECCAnnexheading1"/>
        <w:rPr>
          <w:szCs w:val="20"/>
        </w:rPr>
      </w:pPr>
      <w:bookmarkStart w:id="40" w:name="_Toc856048"/>
      <w:r>
        <w:lastRenderedPageBreak/>
        <w:t>CBTC DESCRIPTION AND CHARACTERISTICS</w:t>
      </w:r>
      <w:bookmarkEnd w:id="40"/>
    </w:p>
    <w:p w14:paraId="0A7D7C63" w14:textId="66A46CB0" w:rsidR="001536C3" w:rsidRPr="001536C3" w:rsidRDefault="001536C3" w:rsidP="001536C3">
      <w:pPr>
        <w:pStyle w:val="ECCParagraph"/>
        <w:spacing w:line="240" w:lineRule="auto"/>
      </w:pPr>
      <w:r w:rsidRPr="001536C3">
        <w:t xml:space="preserve">As per CEN-CENELEC Guide 26 </w:t>
      </w:r>
      <w:r w:rsidRPr="001536C3">
        <w:fldChar w:fldCharType="begin"/>
      </w:r>
      <w:r w:rsidRPr="001536C3">
        <w:instrText xml:space="preserve"> REF _Ref528320529 \r \h </w:instrText>
      </w:r>
      <w:r w:rsidRPr="001536C3">
        <w:fldChar w:fldCharType="separate"/>
      </w:r>
      <w:r w:rsidR="00307454">
        <w:t>[44]</w:t>
      </w:r>
      <w:r w:rsidRPr="001536C3">
        <w:fldChar w:fldCharType="end"/>
      </w:r>
      <w:r w:rsidRPr="001536C3">
        <w:t>, a Urban Rail system is a public transport system permanently guided at least by one rail, intended for the operation of local, urban and suburban passenger services with self-propelled vehicles and operated either segregated or not from general road and pedestrian traffic.</w:t>
      </w:r>
    </w:p>
    <w:p w14:paraId="0A7D7C64" w14:textId="77777777" w:rsidR="00C12AB8" w:rsidRPr="003C7C2F" w:rsidRDefault="00155EB5" w:rsidP="00306CBE">
      <w:pPr>
        <w:pStyle w:val="ECCParagraph"/>
        <w:spacing w:line="240" w:lineRule="auto"/>
      </w:pPr>
      <w:r w:rsidRPr="00961D90">
        <w:t>Mass transport metro lines which are operated at a high level of performance with short intervals between successive trains are now using C</w:t>
      </w:r>
      <w:r w:rsidRPr="003C7C2F">
        <w:t>ommunications-Based Train Control systems, in short CBTC. CBTC systems have been deployed for more than 15 years in several European countries under national exclusive agreements in the upper 5 GHz range.</w:t>
      </w:r>
    </w:p>
    <w:p w14:paraId="0A7D7C65" w14:textId="77777777" w:rsidR="00C12AB8" w:rsidRPr="00764F27" w:rsidRDefault="00155EB5" w:rsidP="00306CBE">
      <w:pPr>
        <w:pStyle w:val="ECCParagraph"/>
        <w:spacing w:line="240" w:lineRule="auto"/>
      </w:pPr>
      <w:r w:rsidRPr="003C7C2F">
        <w:t>CBTC systems typically allow running trains only 90 seconds (or less) apart ("headway" 90 s or less) with total safety for the passengers and the staff. The headway depends upon: the train "dwell time" (time spent by the train at every station for passengers to leave and board trains); the distance between stations; and the profile of the line as well as the possible acceleration, maximum speed and deceleration of the train.</w:t>
      </w:r>
    </w:p>
    <w:p w14:paraId="0A7D7C66" w14:textId="77777777" w:rsidR="00C12AB8" w:rsidRPr="00DF04EA" w:rsidRDefault="00155EB5" w:rsidP="00306CBE">
      <w:pPr>
        <w:pStyle w:val="ECCParagraph"/>
        <w:spacing w:line="240" w:lineRule="auto"/>
      </w:pPr>
      <w:r w:rsidRPr="006C4EA9">
        <w:t>CBTC is providing automatic train control with and without driver. To drive automatically a train, a Data Communication System (DCS) i</w:t>
      </w:r>
      <w:r w:rsidRPr="00950ED4">
        <w:t>s needed. When trains are moving the wireless system allows communication with a central system. The wireless system is used to transmit traction orders or braking orders in a safe mode. If trains cannot transmit messages, they will not be authorised to mo</w:t>
      </w:r>
      <w:r w:rsidRPr="00DF04EA">
        <w:t>ve.</w:t>
      </w:r>
    </w:p>
    <w:p w14:paraId="0A7D7C67" w14:textId="77777777" w:rsidR="00C12AB8" w:rsidRPr="00170C29" w:rsidRDefault="00155EB5" w:rsidP="00306CBE">
      <w:pPr>
        <w:pStyle w:val="ECCParagraph"/>
        <w:spacing w:line="240" w:lineRule="auto"/>
      </w:pPr>
      <w:r w:rsidRPr="00170C29">
        <w:t xml:space="preserve">The main spectrum requirements for Urban Rail systems cover the needs for: </w:t>
      </w:r>
    </w:p>
    <w:p w14:paraId="0A7D7C68" w14:textId="77777777" w:rsidR="00C12AB8" w:rsidRDefault="00155EB5" w:rsidP="0005124A">
      <w:pPr>
        <w:pStyle w:val="ECCBulletsLv1"/>
        <w:ind w:left="357" w:hanging="357"/>
      </w:pPr>
      <w:r>
        <w:t>fundamental time-critical and safety-relevant applications with very low latency;</w:t>
      </w:r>
    </w:p>
    <w:p w14:paraId="0A7D7C69" w14:textId="77777777" w:rsidR="00C12AB8" w:rsidRDefault="00155EB5" w:rsidP="0005124A">
      <w:pPr>
        <w:pStyle w:val="ECCBulletsLv1"/>
        <w:ind w:left="357" w:hanging="357"/>
      </w:pPr>
      <w:proofErr w:type="gramStart"/>
      <w:r>
        <w:t>non-safety-relevant</w:t>
      </w:r>
      <w:proofErr w:type="gramEnd"/>
      <w:r>
        <w:t xml:space="preserve"> applications, extending the applicability of the communications equipment towards railway traffic management tasks and other applications. </w:t>
      </w:r>
    </w:p>
    <w:p w14:paraId="0A7D7C6A" w14:textId="77777777" w:rsidR="0005124A" w:rsidRDefault="0005124A" w:rsidP="00306CBE">
      <w:pPr>
        <w:pStyle w:val="ECCParagraph"/>
        <w:spacing w:line="240" w:lineRule="auto"/>
      </w:pPr>
    </w:p>
    <w:p w14:paraId="0A7D7C6B" w14:textId="77777777" w:rsidR="00C12AB8" w:rsidRPr="003C7C2F" w:rsidRDefault="00155EB5" w:rsidP="00306CBE">
      <w:pPr>
        <w:pStyle w:val="ECCParagraph"/>
        <w:spacing w:line="240" w:lineRule="auto"/>
      </w:pPr>
      <w:r w:rsidRPr="003C7C2F">
        <w:t xml:space="preserve">Non-safety-related Urban Rail ITS applications include Internet access, passenger information systems, Urban Rail maintenance applications, </w:t>
      </w:r>
      <w:proofErr w:type="gramStart"/>
      <w:r w:rsidRPr="003C7C2F">
        <w:t>video</w:t>
      </w:r>
      <w:proofErr w:type="gramEnd"/>
      <w:r w:rsidRPr="003C7C2F">
        <w:t xml:space="preserve">, audio and </w:t>
      </w:r>
      <w:proofErr w:type="spellStart"/>
      <w:r w:rsidRPr="003C7C2F">
        <w:t>telecommand</w:t>
      </w:r>
      <w:proofErr w:type="spellEnd"/>
      <w:r w:rsidRPr="003C7C2F">
        <w:t>/telemetry applications. Both types of applications might indirectly enhance the urban rail traffic safety and system operation. All these functionalities are described in the ETSI system reference documents [1]. Non safety-related CBTC applications are in 5855 to 5875 MHz.</w:t>
      </w:r>
    </w:p>
    <w:p w14:paraId="0A7D7C6C" w14:textId="77777777" w:rsidR="00C12AB8" w:rsidRPr="003C7C2F" w:rsidRDefault="00155EB5" w:rsidP="00306CBE">
      <w:pPr>
        <w:pStyle w:val="ECCParagraph"/>
        <w:spacing w:line="240" w:lineRule="auto"/>
      </w:pPr>
      <w:r w:rsidRPr="003C7C2F">
        <w:t>CBTC is defined as a continuous, automatic train control system utilising:</w:t>
      </w:r>
    </w:p>
    <w:p w14:paraId="0A7D7C6D" w14:textId="77777777" w:rsidR="00C12AB8" w:rsidRDefault="00155EB5" w:rsidP="0005124A">
      <w:pPr>
        <w:pStyle w:val="ECCBulletsLv1"/>
        <w:ind w:left="357" w:hanging="357"/>
      </w:pPr>
      <w:r>
        <w:t>high-resolution train location determination, independent of track circuits;</w:t>
      </w:r>
    </w:p>
    <w:p w14:paraId="0A7D7C6E" w14:textId="77777777" w:rsidR="00C12AB8" w:rsidRDefault="00155EB5" w:rsidP="0005124A">
      <w:pPr>
        <w:pStyle w:val="ECCBulletsLv1"/>
        <w:ind w:left="357" w:hanging="357"/>
      </w:pPr>
      <w:r>
        <w:t>continuous, high-capacity, bidirectional train-to-wayside data communications;</w:t>
      </w:r>
    </w:p>
    <w:p w14:paraId="0A7D7C6F" w14:textId="77777777" w:rsidR="00C12AB8" w:rsidRDefault="00155EB5" w:rsidP="0005124A">
      <w:pPr>
        <w:pStyle w:val="ECCBulletsLv1"/>
        <w:ind w:left="357" w:hanging="357"/>
      </w:pPr>
      <w:proofErr w:type="gramStart"/>
      <w:r>
        <w:t>train-borne</w:t>
      </w:r>
      <w:proofErr w:type="gramEnd"/>
      <w:r>
        <w:t xml:space="preserve"> and wayside processors capable of implementing automatic train protection (ATP) functions, as well as optional automatic train operation (ATO) and automatic train supervision (ATS) functions. </w:t>
      </w:r>
    </w:p>
    <w:p w14:paraId="0A7D7C70" w14:textId="77777777" w:rsidR="00945360" w:rsidRDefault="00945360" w:rsidP="00306CBE">
      <w:pPr>
        <w:pStyle w:val="ECCParagraph"/>
        <w:spacing w:line="240" w:lineRule="auto"/>
      </w:pPr>
    </w:p>
    <w:p w14:paraId="0A7D7C71" w14:textId="13DEA28E" w:rsidR="00C12AB8" w:rsidRPr="003C7C2F" w:rsidRDefault="00155EB5" w:rsidP="00306CBE">
      <w:pPr>
        <w:pStyle w:val="ECCParagraph"/>
        <w:spacing w:line="240" w:lineRule="auto"/>
      </w:pPr>
      <w:r w:rsidRPr="003C7C2F">
        <w:t xml:space="preserve">Since it is related to mass transport, CBTC has critical requirements which are classified at the highest Safety Integrity Level (SIL4). This level is equivalent to the highest one in aeronautics and nuclear plants, and exceeds the current classification of the automotive industry (ASIL-A to D). This level implies enforcing formal methods for specifications, development, and validation of hardware and software parts, then of the whole systems. CBTC system ensures safety operation for a complete metro line based on, EN 50126 </w:t>
      </w:r>
      <w:r w:rsidR="007B2268">
        <w:fldChar w:fldCharType="begin"/>
      </w:r>
      <w:r w:rsidR="007B2268">
        <w:instrText xml:space="preserve"> REF _Ref528320259 \r \h </w:instrText>
      </w:r>
      <w:r w:rsidR="007B2268">
        <w:fldChar w:fldCharType="separate"/>
      </w:r>
      <w:r w:rsidR="00307454">
        <w:t>[32]</w:t>
      </w:r>
      <w:r w:rsidR="007B2268">
        <w:fldChar w:fldCharType="end"/>
      </w:r>
      <w:r w:rsidRPr="003C7C2F">
        <w:t xml:space="preserve">, EN 50128 </w:t>
      </w:r>
      <w:r w:rsidR="007B2268">
        <w:fldChar w:fldCharType="begin"/>
      </w:r>
      <w:r w:rsidR="007B2268">
        <w:instrText xml:space="preserve"> REF _Ref528320274 \r \h </w:instrText>
      </w:r>
      <w:r w:rsidR="007B2268">
        <w:fldChar w:fldCharType="separate"/>
      </w:r>
      <w:r w:rsidR="00307454">
        <w:t>[33]</w:t>
      </w:r>
      <w:r w:rsidR="007B2268">
        <w:fldChar w:fldCharType="end"/>
      </w:r>
      <w:r w:rsidRPr="003C7C2F">
        <w:t xml:space="preserve"> and EN 50129 </w:t>
      </w:r>
      <w:r w:rsidRPr="003C7C2F">
        <w:fldChar w:fldCharType="begin"/>
      </w:r>
      <w:r w:rsidRPr="00E27762">
        <w:instrText xml:space="preserve"> REF _Ref525303451 \r \h </w:instrText>
      </w:r>
      <w:r w:rsidR="003C7C2F">
        <w:instrText xml:space="preserve"> \* MERGEFORMAT </w:instrText>
      </w:r>
      <w:r w:rsidRPr="003C7C2F">
        <w:fldChar w:fldCharType="separate"/>
      </w:r>
      <w:r w:rsidR="00307454">
        <w:t>[34]</w:t>
      </w:r>
      <w:r w:rsidRPr="003C7C2F">
        <w:fldChar w:fldCharType="end"/>
      </w:r>
      <w:r w:rsidRPr="003C7C2F">
        <w:t xml:space="preserve"> demonstration. </w:t>
      </w:r>
    </w:p>
    <w:p w14:paraId="0A7D7C72" w14:textId="77777777" w:rsidR="00C12AB8" w:rsidRPr="003C7C2F" w:rsidRDefault="00155EB5" w:rsidP="00306CBE">
      <w:pPr>
        <w:pStyle w:val="ECCParagraph"/>
        <w:spacing w:line="240" w:lineRule="auto"/>
      </w:pPr>
      <w:r w:rsidRPr="003C7C2F">
        <w:t>Proper functioning of CBTC and therefore efficiency of the transport system and the safety of passengers are based on highly reliable communication links between wayside and on-board CBTC. External interference on the frequency band used by CBTC can cause repeated disturbances reducing the public transport capacity.</w:t>
      </w:r>
    </w:p>
    <w:p w14:paraId="0A7D7C73" w14:textId="77777777" w:rsidR="00C12AB8" w:rsidRPr="00764F27" w:rsidRDefault="00155EB5" w:rsidP="00306CBE">
      <w:pPr>
        <w:pStyle w:val="ECCParagraph"/>
        <w:spacing w:line="240" w:lineRule="auto"/>
      </w:pPr>
      <w:r w:rsidRPr="003C7C2F">
        <w:t xml:space="preserve">Safe train protection involves a number of operational functions; noticeably the emergency </w:t>
      </w:r>
      <w:proofErr w:type="gramStart"/>
      <w:r w:rsidRPr="003C7C2F">
        <w:t>braking</w:t>
      </w:r>
      <w:proofErr w:type="gramEnd"/>
      <w:r w:rsidRPr="003C7C2F">
        <w:t xml:space="preserve"> that must be anticipated to guarantee the safety of standing passengers: indeed emergency braking from 80 km/h to a full stop will occur if one-way latency time is greater than 1 second. Emergency braking causes huge </w:t>
      </w:r>
      <w:r w:rsidRPr="003C7C2F">
        <w:lastRenderedPageBreak/>
        <w:t>discomfort and may even lead to injury to metro passengers. There is no seat belt in metro systems. For this reason, CBTC's radio must provide a low latency or delay, even under a significant load of the radio. It is of course very important for the train to be sure that the message received is valid, that i</w:t>
      </w:r>
      <w:r w:rsidRPr="00764F27">
        <w:t>s to say up to date.</w:t>
      </w:r>
    </w:p>
    <w:p w14:paraId="0A7D7C74" w14:textId="77777777" w:rsidR="00C12AB8" w:rsidRPr="00950ED4" w:rsidRDefault="00155EB5" w:rsidP="00306CBE">
      <w:pPr>
        <w:pStyle w:val="ECCParagraph"/>
        <w:spacing w:line="240" w:lineRule="auto"/>
      </w:pPr>
      <w:r w:rsidRPr="006C4EA9">
        <w:t>CBTC applications must stay fully independent from the communication system. Therefore no constraints should come from the communication system regarding repartition of data in messages, recurrences of these messages, etc.</w:t>
      </w:r>
    </w:p>
    <w:p w14:paraId="0A7D7C75" w14:textId="5F0EDD27" w:rsidR="00C12AB8" w:rsidRPr="00170C29" w:rsidRDefault="00155EB5" w:rsidP="00306CBE">
      <w:pPr>
        <w:pStyle w:val="ECCParagraph"/>
        <w:spacing w:line="240" w:lineRule="auto"/>
      </w:pPr>
      <w:r w:rsidRPr="00DF04EA">
        <w:t xml:space="preserve">The technical harmonisation of spectrum for Urban Rail would be beneficial from the pan-European market harmonisation perspective. </w:t>
      </w:r>
      <w:r w:rsidR="00142E87">
        <w:t xml:space="preserve">Some existing Urban Rail CBTC roll-outs use different frequency ranges including 2.4 GHz. </w:t>
      </w:r>
      <w:r w:rsidRPr="00DF04EA">
        <w:t xml:space="preserve">The approach is to include Urban Rail systems 'under the umbrella' of the </w:t>
      </w:r>
      <w:r w:rsidRPr="00170C29">
        <w:t>5.9 GHz ITS regulation which is already harmonised in Europe. This approach is considered to have the benefit of being available at an acceptable time-to-market throughout Europe.</w:t>
      </w:r>
    </w:p>
    <w:p w14:paraId="0A7D7C76" w14:textId="58470A84" w:rsidR="00C12AB8" w:rsidRPr="003C7C2F" w:rsidRDefault="00155EB5" w:rsidP="00306CBE">
      <w:pPr>
        <w:pStyle w:val="ECCParagraph"/>
        <w:spacing w:line="240" w:lineRule="auto"/>
        <w:rPr>
          <w:rFonts w:eastAsia="Calibri"/>
        </w:rPr>
      </w:pPr>
      <w:r w:rsidRPr="00A84999">
        <w:rPr>
          <w:rFonts w:eastAsia="Calibri"/>
        </w:rPr>
        <w:t>The safe operation of CBTC systems requires a redundancy of the communicatio</w:t>
      </w:r>
      <w:r w:rsidRPr="009A69DB">
        <w:rPr>
          <w:rFonts w:eastAsia="Calibri"/>
        </w:rPr>
        <w:t xml:space="preserve">n (see section 8.2.1 of ETSI TR 103 111 </w:t>
      </w:r>
      <w:r w:rsidR="00E27762">
        <w:rPr>
          <w:rFonts w:eastAsia="Calibri"/>
        </w:rPr>
        <w:fldChar w:fldCharType="begin"/>
      </w:r>
      <w:r w:rsidR="00E27762">
        <w:rPr>
          <w:rFonts w:eastAsia="Calibri"/>
        </w:rPr>
        <w:instrText xml:space="preserve"> REF _Ref528315448 \r \h </w:instrText>
      </w:r>
      <w:r w:rsidR="00E27762">
        <w:rPr>
          <w:rFonts w:eastAsia="Calibri"/>
        </w:rPr>
      </w:r>
      <w:r w:rsidR="00E27762">
        <w:rPr>
          <w:rFonts w:eastAsia="Calibri"/>
        </w:rPr>
        <w:fldChar w:fldCharType="separate"/>
      </w:r>
      <w:r w:rsidR="00307454">
        <w:rPr>
          <w:rFonts w:eastAsia="Calibri"/>
        </w:rPr>
        <w:t>[35]</w:t>
      </w:r>
      <w:r w:rsidR="00E27762">
        <w:rPr>
          <w:rFonts w:eastAsia="Calibri"/>
        </w:rPr>
        <w:fldChar w:fldCharType="end"/>
      </w:r>
      <w:r w:rsidRPr="003C7C2F">
        <w:rPr>
          <w:rFonts w:eastAsia="Calibri"/>
        </w:rPr>
        <w:t xml:space="preserve">). This redundancy must be continuous in space and permanent in time. To ensure redundancy a single train contains 2 radio transmitters, both transmitting in parallel the same data towards two different trackside radio equipment on 2 different channels. On the other side, each trackside transmitter has most of the time multiple trains to communicate with, from a nominal value of 4 trains in operational lines up to typically a dozen trains in dense areas such as multiple-platform stations, multiple tracks in parallel, branches and train yards/depots. </w:t>
      </w:r>
    </w:p>
    <w:p w14:paraId="0A7D7C77" w14:textId="77777777" w:rsidR="00C12AB8" w:rsidRDefault="00155EB5">
      <w:pPr>
        <w:rPr>
          <w:rFonts w:cs="Arial"/>
          <w:b/>
          <w:bCs/>
          <w:caps/>
          <w:color w:val="D2232A"/>
          <w:kern w:val="32"/>
          <w:szCs w:val="32"/>
          <w:lang w:val="en-GB"/>
        </w:rPr>
      </w:pPr>
      <w:r>
        <w:rPr>
          <w:lang w:val="en-GB"/>
        </w:rPr>
        <w:br w:type="page"/>
      </w:r>
    </w:p>
    <w:p w14:paraId="0A7D7C78" w14:textId="77777777" w:rsidR="00C12AB8" w:rsidRDefault="00155EB5">
      <w:pPr>
        <w:pStyle w:val="ECCAnnexheading1"/>
      </w:pPr>
      <w:bookmarkStart w:id="41" w:name="_Toc856049"/>
      <w:r>
        <w:lastRenderedPageBreak/>
        <w:t>MANDATE TO CEPT</w:t>
      </w:r>
      <w:bookmarkEnd w:id="41"/>
    </w:p>
    <w:p w14:paraId="0A7D7C7A" w14:textId="235D6BCC" w:rsidR="00B52D8F" w:rsidRDefault="0005124A">
      <w:pPr>
        <w:rPr>
          <w:rFonts w:eastAsia="Calibri"/>
          <w:szCs w:val="22"/>
        </w:rPr>
      </w:pPr>
      <w:bookmarkStart w:id="42" w:name="1._Purpose"/>
      <w:bookmarkStart w:id="43" w:name="2._EU_Policy_context"/>
      <w:bookmarkStart w:id="44" w:name="3._Justification"/>
      <w:bookmarkStart w:id="45" w:name="4._Task_order_and_schedule"/>
      <w:bookmarkEnd w:id="42"/>
      <w:bookmarkEnd w:id="43"/>
      <w:bookmarkEnd w:id="44"/>
      <w:bookmarkEnd w:id="45"/>
      <w:r>
        <w:rPr>
          <w:rFonts w:eastAsia="Calibri"/>
          <w:szCs w:val="22"/>
        </w:rPr>
        <w:br w:type="page"/>
      </w:r>
    </w:p>
    <w:p w14:paraId="1DA576B8" w14:textId="77777777" w:rsidR="002A4706" w:rsidRDefault="002A4706">
      <w:pPr>
        <w:rPr>
          <w:rFonts w:eastAsia="Calibri"/>
          <w:szCs w:val="22"/>
        </w:rPr>
        <w:sectPr w:rsidR="002A4706">
          <w:headerReference w:type="even" r:id="rId28"/>
          <w:headerReference w:type="default" r:id="rId29"/>
          <w:footerReference w:type="default" r:id="rId30"/>
          <w:headerReference w:type="first" r:id="rId31"/>
          <w:pgSz w:w="11907" w:h="16840"/>
          <w:pgMar w:top="1440" w:right="1134" w:bottom="1440" w:left="1134" w:header="709" w:footer="709" w:gutter="0"/>
          <w:cols w:space="708"/>
          <w:docGrid w:linePitch="360"/>
        </w:sectPr>
      </w:pPr>
    </w:p>
    <w:p w14:paraId="0A7D7C7B" w14:textId="77777777" w:rsidR="00B52D8F" w:rsidRDefault="00B52D8F" w:rsidP="002A4706">
      <w:pPr>
        <w:spacing w:before="1"/>
        <w:rPr>
          <w:rFonts w:ascii="Times New Roman" w:hAnsi="Times New Roman"/>
          <w:sz w:val="7"/>
          <w:szCs w:val="7"/>
        </w:rPr>
      </w:pPr>
    </w:p>
    <w:p w14:paraId="0A7D7C7C" w14:textId="77777777" w:rsidR="00B52D8F" w:rsidRDefault="00B52D8F" w:rsidP="00B52D8F">
      <w:pPr>
        <w:spacing w:line="180" w:lineRule="atLeast"/>
        <w:ind w:left="7200"/>
        <w:rPr>
          <w:rFonts w:ascii="Times New Roman" w:hAnsi="Times New Roman"/>
          <w:sz w:val="18"/>
          <w:szCs w:val="18"/>
        </w:rPr>
      </w:pPr>
      <w:r>
        <w:rPr>
          <w:rFonts w:ascii="Times New Roman" w:hAnsi="Times New Roman"/>
          <w:noProof/>
          <w:sz w:val="18"/>
          <w:szCs w:val="18"/>
          <w:lang w:val="da-DK" w:eastAsia="da-DK"/>
        </w:rPr>
        <w:drawing>
          <wp:inline distT="0" distB="0" distL="0" distR="0" wp14:anchorId="0A7D7D55" wp14:editId="0A7D7D56">
            <wp:extent cx="168401" cy="116585"/>
            <wp:effectExtent l="0" t="0" r="0" b="0"/>
            <wp:docPr id="30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2" cstate="print"/>
                    <a:stretch>
                      <a:fillRect/>
                    </a:stretch>
                  </pic:blipFill>
                  <pic:spPr>
                    <a:xfrm>
                      <a:off x="0" y="0"/>
                      <a:ext cx="168401" cy="116585"/>
                    </a:xfrm>
                    <a:prstGeom prst="rect">
                      <a:avLst/>
                    </a:prstGeom>
                  </pic:spPr>
                </pic:pic>
              </a:graphicData>
            </a:graphic>
          </wp:inline>
        </w:drawing>
      </w:r>
    </w:p>
    <w:p w14:paraId="0A7D7C7D" w14:textId="77777777" w:rsidR="00B52D8F" w:rsidRDefault="00B52D8F" w:rsidP="00B52D8F">
      <w:pPr>
        <w:pStyle w:val="BodyText"/>
        <w:spacing w:before="144"/>
        <w:ind w:left="2268"/>
        <w:rPr>
          <w:rFonts w:ascii="Arial" w:eastAsia="Arial" w:hAnsi="Arial" w:cs="Arial"/>
        </w:rPr>
      </w:pPr>
      <w:r>
        <w:rPr>
          <w:rFonts w:cstheme="minorBidi"/>
          <w:noProof/>
          <w:lang w:val="da-DK" w:eastAsia="da-DK"/>
        </w:rPr>
        <w:drawing>
          <wp:anchor distT="0" distB="0" distL="114300" distR="114300" simplePos="0" relativeHeight="251665408" behindDoc="0" locked="0" layoutInCell="1" allowOverlap="1" wp14:anchorId="0A7D7D57" wp14:editId="0A7D7D58">
            <wp:simplePos x="0" y="0"/>
            <wp:positionH relativeFrom="page">
              <wp:posOffset>1008380</wp:posOffset>
            </wp:positionH>
            <wp:positionV relativeFrom="paragraph">
              <wp:posOffset>93345</wp:posOffset>
            </wp:positionV>
            <wp:extent cx="1082040" cy="577850"/>
            <wp:effectExtent l="0" t="0" r="381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204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spacing w:val="-1"/>
        </w:rPr>
        <w:t>EUROPEAN</w:t>
      </w:r>
      <w:r>
        <w:rPr>
          <w:rFonts w:ascii="Arial"/>
        </w:rPr>
        <w:t xml:space="preserve"> </w:t>
      </w:r>
      <w:r>
        <w:rPr>
          <w:rFonts w:ascii="Arial"/>
          <w:spacing w:val="-1"/>
        </w:rPr>
        <w:t>COMMISSION</w:t>
      </w:r>
    </w:p>
    <w:p w14:paraId="0A7D7C7E" w14:textId="77777777" w:rsidR="00B52D8F" w:rsidRDefault="00B52D8F" w:rsidP="00B52D8F">
      <w:pPr>
        <w:ind w:left="2312"/>
        <w:rPr>
          <w:rFonts w:eastAsia="Arial" w:cs="Arial"/>
          <w:sz w:val="16"/>
          <w:szCs w:val="16"/>
        </w:rPr>
      </w:pPr>
      <w:r>
        <w:rPr>
          <w:sz w:val="16"/>
        </w:rPr>
        <w:t>Communications</w:t>
      </w:r>
      <w:r>
        <w:rPr>
          <w:spacing w:val="-10"/>
          <w:sz w:val="16"/>
        </w:rPr>
        <w:t xml:space="preserve"> </w:t>
      </w:r>
      <w:r>
        <w:rPr>
          <w:sz w:val="16"/>
        </w:rPr>
        <w:t>Networks</w:t>
      </w:r>
      <w:r>
        <w:rPr>
          <w:spacing w:val="-10"/>
          <w:sz w:val="16"/>
        </w:rPr>
        <w:t xml:space="preserve"> </w:t>
      </w:r>
      <w:r>
        <w:rPr>
          <w:sz w:val="16"/>
        </w:rPr>
        <w:t>Content</w:t>
      </w:r>
      <w:r>
        <w:rPr>
          <w:spacing w:val="-10"/>
          <w:sz w:val="16"/>
        </w:rPr>
        <w:t xml:space="preserve"> </w:t>
      </w:r>
      <w:r>
        <w:rPr>
          <w:sz w:val="16"/>
        </w:rPr>
        <w:t>&amp;</w:t>
      </w:r>
      <w:r>
        <w:rPr>
          <w:spacing w:val="-10"/>
          <w:sz w:val="16"/>
        </w:rPr>
        <w:t xml:space="preserve"> </w:t>
      </w:r>
      <w:r>
        <w:rPr>
          <w:sz w:val="16"/>
        </w:rPr>
        <w:t>Technology</w:t>
      </w:r>
      <w:r>
        <w:rPr>
          <w:spacing w:val="-10"/>
          <w:sz w:val="16"/>
        </w:rPr>
        <w:t xml:space="preserve"> </w:t>
      </w:r>
      <w:r>
        <w:rPr>
          <w:sz w:val="16"/>
        </w:rPr>
        <w:t>Directorate-General</w:t>
      </w:r>
    </w:p>
    <w:p w14:paraId="0A7D7C7F" w14:textId="77777777" w:rsidR="00B52D8F" w:rsidRDefault="00B52D8F" w:rsidP="00B52D8F">
      <w:pPr>
        <w:rPr>
          <w:rFonts w:eastAsia="Arial" w:cs="Arial"/>
          <w:sz w:val="16"/>
          <w:szCs w:val="16"/>
        </w:rPr>
      </w:pPr>
    </w:p>
    <w:p w14:paraId="0A7D7C80" w14:textId="77777777" w:rsidR="00B52D8F" w:rsidRDefault="00B52D8F" w:rsidP="00B52D8F">
      <w:pPr>
        <w:spacing w:line="184" w:lineRule="exact"/>
        <w:ind w:left="2312"/>
        <w:rPr>
          <w:rFonts w:eastAsia="Arial" w:cs="Arial"/>
          <w:sz w:val="16"/>
          <w:szCs w:val="16"/>
        </w:rPr>
      </w:pPr>
      <w:r>
        <w:rPr>
          <w:sz w:val="16"/>
        </w:rPr>
        <w:t>Electronic</w:t>
      </w:r>
      <w:r>
        <w:rPr>
          <w:spacing w:val="-9"/>
          <w:sz w:val="16"/>
        </w:rPr>
        <w:t xml:space="preserve"> </w:t>
      </w:r>
      <w:r>
        <w:rPr>
          <w:sz w:val="16"/>
        </w:rPr>
        <w:t>Communications</w:t>
      </w:r>
      <w:r>
        <w:rPr>
          <w:spacing w:val="-8"/>
          <w:sz w:val="16"/>
        </w:rPr>
        <w:t xml:space="preserve"> </w:t>
      </w:r>
      <w:r>
        <w:rPr>
          <w:spacing w:val="-1"/>
          <w:sz w:val="16"/>
        </w:rPr>
        <w:t>Networks</w:t>
      </w:r>
      <w:r>
        <w:rPr>
          <w:spacing w:val="-8"/>
          <w:sz w:val="16"/>
        </w:rPr>
        <w:t xml:space="preserve"> </w:t>
      </w:r>
      <w:r>
        <w:rPr>
          <w:sz w:val="16"/>
        </w:rPr>
        <w:t>&amp;</w:t>
      </w:r>
      <w:r>
        <w:rPr>
          <w:spacing w:val="-9"/>
          <w:sz w:val="16"/>
        </w:rPr>
        <w:t xml:space="preserve"> </w:t>
      </w:r>
      <w:r>
        <w:rPr>
          <w:sz w:val="16"/>
        </w:rPr>
        <w:t>Services</w:t>
      </w:r>
    </w:p>
    <w:p w14:paraId="0A7D7C81" w14:textId="77777777" w:rsidR="00B52D8F" w:rsidRDefault="00B52D8F" w:rsidP="00B52D8F">
      <w:pPr>
        <w:ind w:left="2312"/>
        <w:rPr>
          <w:rFonts w:eastAsia="Arial" w:cs="Arial"/>
          <w:sz w:val="16"/>
          <w:szCs w:val="16"/>
        </w:rPr>
      </w:pPr>
      <w:r>
        <w:rPr>
          <w:b/>
          <w:sz w:val="16"/>
        </w:rPr>
        <w:t>Spectrum</w:t>
      </w:r>
    </w:p>
    <w:p w14:paraId="0A7D7C82" w14:textId="77777777" w:rsidR="00B52D8F" w:rsidRDefault="00B52D8F" w:rsidP="00B52D8F">
      <w:pPr>
        <w:spacing w:before="71"/>
        <w:ind w:left="40"/>
        <w:rPr>
          <w:rFonts w:eastAsia="Arial" w:cs="Arial"/>
          <w:sz w:val="16"/>
          <w:szCs w:val="16"/>
        </w:rPr>
      </w:pPr>
      <w:r>
        <w:br w:type="column"/>
      </w:r>
      <w:r>
        <w:rPr>
          <w:spacing w:val="-6"/>
          <w:sz w:val="16"/>
        </w:rPr>
        <w:lastRenderedPageBreak/>
        <w:t>Ref.</w:t>
      </w:r>
      <w:r>
        <w:rPr>
          <w:spacing w:val="-19"/>
          <w:sz w:val="16"/>
        </w:rPr>
        <w:t xml:space="preserve"> </w:t>
      </w:r>
      <w:proofErr w:type="gramStart"/>
      <w:r>
        <w:rPr>
          <w:spacing w:val="-10"/>
          <w:sz w:val="16"/>
        </w:rPr>
        <w:t>Ares(</w:t>
      </w:r>
      <w:proofErr w:type="gramEnd"/>
      <w:r>
        <w:rPr>
          <w:spacing w:val="-10"/>
          <w:sz w:val="16"/>
        </w:rPr>
        <w:t>2017)5251971</w:t>
      </w:r>
      <w:r>
        <w:rPr>
          <w:spacing w:val="-19"/>
          <w:sz w:val="16"/>
        </w:rPr>
        <w:t xml:space="preserve"> </w:t>
      </w:r>
      <w:r>
        <w:rPr>
          <w:sz w:val="16"/>
        </w:rPr>
        <w:t>-</w:t>
      </w:r>
      <w:r>
        <w:rPr>
          <w:spacing w:val="-19"/>
          <w:sz w:val="16"/>
        </w:rPr>
        <w:t xml:space="preserve"> </w:t>
      </w:r>
      <w:r>
        <w:rPr>
          <w:spacing w:val="-10"/>
          <w:sz w:val="16"/>
        </w:rPr>
        <w:t>27/10/2017</w:t>
      </w:r>
    </w:p>
    <w:p w14:paraId="0A7D7C83" w14:textId="77777777" w:rsidR="00B52D8F" w:rsidRDefault="00B52D8F" w:rsidP="00B52D8F">
      <w:pPr>
        <w:rPr>
          <w:rFonts w:eastAsia="Arial" w:cs="Arial"/>
          <w:sz w:val="16"/>
          <w:szCs w:val="16"/>
        </w:rPr>
        <w:sectPr w:rsidR="00B52D8F" w:rsidSect="00B52D8F">
          <w:pgSz w:w="11910" w:h="16840"/>
          <w:pgMar w:top="560" w:right="520" w:bottom="280" w:left="1360" w:header="708" w:footer="708" w:gutter="0"/>
          <w:cols w:num="2" w:space="708" w:equalWidth="0">
            <w:col w:w="7460" w:space="40"/>
            <w:col w:w="2530"/>
          </w:cols>
        </w:sectPr>
      </w:pPr>
    </w:p>
    <w:p w14:paraId="0A7D7C84" w14:textId="77777777" w:rsidR="00B52D8F" w:rsidRDefault="00B52D8F" w:rsidP="00B52D8F">
      <w:pPr>
        <w:pStyle w:val="BodyText"/>
        <w:spacing w:before="69"/>
        <w:ind w:left="5330"/>
      </w:pPr>
      <w:r>
        <w:lastRenderedPageBreak/>
        <w:t>Brussels, 18</w:t>
      </w:r>
      <w:r>
        <w:rPr>
          <w:spacing w:val="-2"/>
        </w:rPr>
        <w:t xml:space="preserve"> </w:t>
      </w:r>
      <w:r>
        <w:t>October</w:t>
      </w:r>
      <w:r>
        <w:rPr>
          <w:spacing w:val="1"/>
        </w:rPr>
        <w:t xml:space="preserve"> </w:t>
      </w:r>
      <w:r>
        <w:rPr>
          <w:spacing w:val="-1"/>
        </w:rPr>
        <w:t>2017</w:t>
      </w:r>
    </w:p>
    <w:p w14:paraId="0A7D7C85" w14:textId="77777777" w:rsidR="00B52D8F" w:rsidRDefault="00B52D8F" w:rsidP="00D3450D">
      <w:pPr>
        <w:ind w:left="5330"/>
        <w:rPr>
          <w:b/>
          <w:bCs/>
        </w:rPr>
      </w:pPr>
      <w:r>
        <w:rPr>
          <w:rFonts w:ascii="Times New Roman"/>
        </w:rPr>
        <w:t xml:space="preserve">G </w:t>
      </w:r>
      <w:r>
        <w:rPr>
          <w:rFonts w:ascii="Times New Roman"/>
          <w:spacing w:val="-1"/>
        </w:rPr>
        <w:t>CONNECT/B4</w:t>
      </w:r>
      <w:r>
        <w:rPr>
          <w:spacing w:val="-1"/>
        </w:rPr>
        <w:t>RSCOM17-26</w:t>
      </w:r>
      <w:r>
        <w:t xml:space="preserve"> rev.3 </w:t>
      </w:r>
      <w:r>
        <w:rPr>
          <w:spacing w:val="-1"/>
        </w:rPr>
        <w:t>(Final)</w:t>
      </w:r>
    </w:p>
    <w:p w14:paraId="0A7D7C86" w14:textId="77777777" w:rsidR="00B52D8F" w:rsidRDefault="00B52D8F" w:rsidP="00B52D8F">
      <w:pPr>
        <w:spacing w:line="200" w:lineRule="atLeast"/>
        <w:ind w:left="5208"/>
        <w:rPr>
          <w:rFonts w:ascii="Times New Roman" w:hAnsi="Times New Roman"/>
          <w:szCs w:val="20"/>
        </w:rPr>
      </w:pPr>
      <w:r>
        <w:rPr>
          <w:rFonts w:ascii="Times New Roman" w:hAnsi="Times New Roman"/>
          <w:noProof/>
          <w:szCs w:val="20"/>
          <w:lang w:val="da-DK" w:eastAsia="da-DK"/>
        </w:rPr>
        <mc:AlternateContent>
          <mc:Choice Requires="wps">
            <w:drawing>
              <wp:inline distT="0" distB="0" distL="0" distR="0" wp14:anchorId="0A7D7D59" wp14:editId="0A7D7D5A">
                <wp:extent cx="2389505" cy="571500"/>
                <wp:effectExtent l="17780" t="14605" r="12065" b="13970"/>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571500"/>
                        </a:xfrm>
                        <a:prstGeom prst="rect">
                          <a:avLst/>
                        </a:prstGeom>
                        <a:noFill/>
                        <a:ln w="19559"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7D7D96" w14:textId="77777777" w:rsidR="00296B1B" w:rsidRDefault="00296B1B" w:rsidP="00B52D8F">
                            <w:pPr>
                              <w:spacing w:before="8"/>
                              <w:rPr>
                                <w:rFonts w:ascii="Times New Roman" w:hAnsi="Times New Roman"/>
                                <w:b/>
                                <w:bCs/>
                                <w:sz w:val="25"/>
                                <w:szCs w:val="25"/>
                              </w:rPr>
                            </w:pPr>
                          </w:p>
                          <w:p w14:paraId="0A7D7D97" w14:textId="77777777" w:rsidR="00296B1B" w:rsidRDefault="00296B1B" w:rsidP="00B52D8F">
                            <w:pPr>
                              <w:ind w:left="668"/>
                              <w:rPr>
                                <w:rFonts w:ascii="Times New Roman" w:hAnsi="Times New Roman"/>
                                <w:sz w:val="24"/>
                              </w:rPr>
                            </w:pPr>
                            <w:r>
                              <w:rPr>
                                <w:rFonts w:ascii="Times New Roman"/>
                                <w:b/>
                                <w:spacing w:val="-1"/>
                                <w:sz w:val="24"/>
                              </w:rPr>
                              <w:t>PUBLIC</w:t>
                            </w:r>
                            <w:r>
                              <w:rPr>
                                <w:rFonts w:ascii="Times New Roman"/>
                                <w:b/>
                                <w:sz w:val="24"/>
                              </w:rPr>
                              <w:t xml:space="preserve"> </w:t>
                            </w:r>
                            <w:r>
                              <w:rPr>
                                <w:rFonts w:ascii="Times New Roman"/>
                                <w:b/>
                                <w:spacing w:val="-1"/>
                                <w:sz w:val="24"/>
                              </w:rPr>
                              <w:t>DOCUMENT</w:t>
                            </w:r>
                          </w:p>
                        </w:txbxContent>
                      </wps:txbx>
                      <wps:bodyPr rot="0" vert="horz" wrap="square" lIns="0" tIns="0" rIns="0" bIns="0" anchor="t" anchorCtr="0" upright="1">
                        <a:noAutofit/>
                      </wps:bodyPr>
                    </wps:wsp>
                  </a:graphicData>
                </a:graphic>
              </wp:inline>
            </w:drawing>
          </mc:Choice>
          <mc:Fallback>
            <w:pict>
              <v:shape id="Text Box 320" o:spid="_x0000_s1035" type="#_x0000_t202" style="width:188.1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4hgIAABYFAAAOAAAAZHJzL2Uyb0RvYy54bWysVF1v2yAUfZ+0/4B4T20ncZtYdaosTqZJ&#10;3YfU7gdgg2M0DAxI7G7af98Fx2m6vkzT/ICvzeVwzuVcbu/6VqAjM5YrmePkKsaIyUpRLvc5/vq4&#10;mywwso5ISoSSLMdPzOK71ds3t53O2FQ1SlBmEIBIm3U6x41zOosiWzWsJfZKaSZhslamJQ4+zT6i&#10;hnSA3opoGsfXUacM1UZVzFr4WwyTeBXw65pV7nNdW+aQyDFwc2E0YSz9GK1uSbY3RDe8OtEg/8Ci&#10;JVzCpmeogjiCDoa/gmp5ZZRVtbuqVBupuuYVCxpATRL/oeahIZoFLVAcq89lsv8Ptvp0/GIQpzme&#10;TaE+krRwSI+sd+id6pH/BxXqtM0g8UFDquthAk46qLX6XlXfLJJq0xC5Z2tjVNcwQoFh4ldGF0sH&#10;HOtByu6jorAROTgVgPratL58UBAE6MDk6Xw6nkwFP6ezxTKNU4wqmEtvkjQO5CKSjau1se49Uy3y&#10;QY4NnH5AJ8d76zwbko0pfjOpdlyI4AAhUQeUl2m6BPxWQz1oKQaNSnDqE/0Sa/blRhh0JN5P4Qky&#10;YeYyreUOXC14m+PFOYlkvjJbScOOjnAxxMBKSA8OQoHnKRrc83MZL7eL7WI+mU+vt5N5XBST9W4z&#10;n1zvkpu0mBWbTZH88jyTedZwSpn0VEcnJ/O/c8qppwYPnr38QtIL5bvwvFYevaQRKg6qxndQFyzh&#10;XTD4wfVlH/wX/OLtUir6BB4xCo4QjACXCwSNMj8w6qBRc2y/H4hhGIkPEnzmu3oMzBiUY0BkBUtz&#10;7DAawo0buv+gDd83gDw4Wao1eLHmwSbPLE4OhuYLGk4Xhe/uy++Q9XydrX4DAAD//wMAUEsDBBQA&#10;BgAIAAAAIQBAzbM32gAAAAQBAAAPAAAAZHJzL2Rvd25yZXYueG1sTI/NTsMwEITvSLyDtUjcqA0V&#10;KYQ4VUEgcW3pgd628eYH4nUUb9vw9hgucFlpNKOZb4vl5Ht1pDF2gS1czwwo4iq4jhsL27eXqztQ&#10;UZAd9oHJwhdFWJbnZwXmLpx4TceNNCqVcMzRQisy5FrHqiWPcRYG4uTVYfQoSY6NdiOeUrnv9Y0x&#10;mfbYcVpocaCnlqrPzcFb6J6z3eN7tXjF7Wr8CCL1bn1bW3t5Ma0eQAlN8heGH/yEDmVi2ocDu6h6&#10;C+kR+b3Jmy+yOai9hXtjQJeF/g9ffgMAAP//AwBQSwECLQAUAAYACAAAACEAtoM4kv4AAADhAQAA&#10;EwAAAAAAAAAAAAAAAAAAAAAAW0NvbnRlbnRfVHlwZXNdLnhtbFBLAQItABQABgAIAAAAIQA4/SH/&#10;1gAAAJQBAAALAAAAAAAAAAAAAAAAAC8BAABfcmVscy8ucmVsc1BLAQItABQABgAIAAAAIQB/fvX4&#10;hgIAABYFAAAOAAAAAAAAAAAAAAAAAC4CAABkcnMvZTJvRG9jLnhtbFBLAQItABQABgAIAAAAIQBA&#10;zbM32gAAAAQBAAAPAAAAAAAAAAAAAAAAAOAEAABkcnMvZG93bnJldi54bWxQSwUGAAAAAAQABADz&#10;AAAA5wUAAAAA&#10;" filled="f" strokeweight=".54331mm">
                <v:stroke linestyle="thinThin"/>
                <v:textbox inset="0,0,0,0">
                  <w:txbxContent>
                    <w:p w14:paraId="0A7D7D96" w14:textId="77777777" w:rsidR="00296B1B" w:rsidRDefault="00296B1B" w:rsidP="00B52D8F">
                      <w:pPr>
                        <w:spacing w:before="8"/>
                        <w:rPr>
                          <w:rFonts w:ascii="Times New Roman" w:hAnsi="Times New Roman"/>
                          <w:b/>
                          <w:bCs/>
                          <w:sz w:val="25"/>
                          <w:szCs w:val="25"/>
                        </w:rPr>
                      </w:pPr>
                    </w:p>
                    <w:p w14:paraId="0A7D7D97" w14:textId="77777777" w:rsidR="00296B1B" w:rsidRDefault="00296B1B" w:rsidP="00B52D8F">
                      <w:pPr>
                        <w:ind w:left="668"/>
                        <w:rPr>
                          <w:rFonts w:ascii="Times New Roman" w:hAnsi="Times New Roman"/>
                          <w:sz w:val="24"/>
                        </w:rPr>
                      </w:pPr>
                      <w:r>
                        <w:rPr>
                          <w:rFonts w:ascii="Times New Roman"/>
                          <w:b/>
                          <w:spacing w:val="-1"/>
                          <w:sz w:val="24"/>
                        </w:rPr>
                        <w:t>PUBLIC</w:t>
                      </w:r>
                      <w:r>
                        <w:rPr>
                          <w:rFonts w:ascii="Times New Roman"/>
                          <w:b/>
                          <w:sz w:val="24"/>
                        </w:rPr>
                        <w:t xml:space="preserve"> </w:t>
                      </w:r>
                      <w:r>
                        <w:rPr>
                          <w:rFonts w:ascii="Times New Roman"/>
                          <w:b/>
                          <w:spacing w:val="-1"/>
                          <w:sz w:val="24"/>
                        </w:rPr>
                        <w:t>DOCUMENT</w:t>
                      </w:r>
                    </w:p>
                  </w:txbxContent>
                </v:textbox>
                <w10:anchorlock/>
              </v:shape>
            </w:pict>
          </mc:Fallback>
        </mc:AlternateContent>
      </w:r>
    </w:p>
    <w:p w14:paraId="0A7D7C87" w14:textId="77777777" w:rsidR="00B52D8F" w:rsidRDefault="00B52D8F" w:rsidP="00B52D8F">
      <w:pPr>
        <w:spacing w:before="59"/>
        <w:ind w:left="1983" w:right="2933"/>
        <w:jc w:val="center"/>
        <w:rPr>
          <w:rFonts w:ascii="Times New Roman" w:hAnsi="Times New Roman"/>
          <w:sz w:val="32"/>
          <w:szCs w:val="32"/>
        </w:rPr>
      </w:pPr>
      <w:r>
        <w:rPr>
          <w:rFonts w:ascii="Times New Roman"/>
          <w:b/>
          <w:sz w:val="32"/>
        </w:rPr>
        <w:t xml:space="preserve">RADIO </w:t>
      </w:r>
      <w:r>
        <w:rPr>
          <w:rFonts w:ascii="Times New Roman"/>
          <w:b/>
          <w:spacing w:val="-1"/>
          <w:sz w:val="32"/>
        </w:rPr>
        <w:t>SPECTRUM</w:t>
      </w:r>
      <w:r>
        <w:rPr>
          <w:rFonts w:ascii="Times New Roman"/>
          <w:b/>
          <w:sz w:val="32"/>
        </w:rPr>
        <w:t xml:space="preserve"> </w:t>
      </w:r>
      <w:r>
        <w:rPr>
          <w:rFonts w:ascii="Times New Roman"/>
          <w:b/>
          <w:spacing w:val="-1"/>
          <w:sz w:val="32"/>
        </w:rPr>
        <w:t>COMMITTEE</w:t>
      </w:r>
    </w:p>
    <w:p w14:paraId="0A7D7C88" w14:textId="77777777" w:rsidR="00B52D8F" w:rsidRDefault="00B52D8F" w:rsidP="00B52D8F">
      <w:pPr>
        <w:spacing w:before="240"/>
        <w:ind w:left="1980" w:right="2933"/>
        <w:jc w:val="center"/>
        <w:rPr>
          <w:rFonts w:ascii="Times New Roman"/>
          <w:b/>
          <w:sz w:val="28"/>
        </w:rPr>
      </w:pPr>
      <w:r>
        <w:rPr>
          <w:rFonts w:ascii="Times New Roman"/>
          <w:b/>
          <w:spacing w:val="-1"/>
          <w:sz w:val="28"/>
        </w:rPr>
        <w:t>Working</w:t>
      </w:r>
      <w:r>
        <w:rPr>
          <w:rFonts w:ascii="Times New Roman"/>
          <w:b/>
          <w:spacing w:val="-23"/>
          <w:sz w:val="28"/>
        </w:rPr>
        <w:t xml:space="preserve"> </w:t>
      </w:r>
      <w:r>
        <w:rPr>
          <w:rFonts w:ascii="Times New Roman"/>
          <w:b/>
          <w:sz w:val="28"/>
        </w:rPr>
        <w:t>Document</w:t>
      </w:r>
      <w:r w:rsidR="00D3450D">
        <w:rPr>
          <w:rFonts w:ascii="Times New Roman"/>
          <w:b/>
          <w:sz w:val="28"/>
        </w:rPr>
        <w:t xml:space="preserve"> </w:t>
      </w:r>
    </w:p>
    <w:p w14:paraId="0A7D7C89" w14:textId="77777777" w:rsidR="00B52D8F" w:rsidRPr="00D3450D" w:rsidRDefault="00B52D8F" w:rsidP="00D3450D">
      <w:pPr>
        <w:ind w:left="1440" w:hanging="1440"/>
        <w:rPr>
          <w:b/>
        </w:rPr>
      </w:pPr>
      <w:r w:rsidRPr="00D3450D">
        <w:rPr>
          <w:b/>
        </w:rPr>
        <w:t>Subject:</w:t>
      </w:r>
      <w:r w:rsidRPr="00D3450D">
        <w:rPr>
          <w:b/>
        </w:rPr>
        <w:tab/>
        <w:t>Mandate to CEPT to study the extension of the Intelligent Transport Systems (ITS) safety-related band at 5.9 GHz</w:t>
      </w:r>
    </w:p>
    <w:p w14:paraId="0A7D7C8A" w14:textId="77777777" w:rsidR="00B52D8F" w:rsidRDefault="00B52D8F" w:rsidP="00B52D8F">
      <w:pPr>
        <w:spacing w:line="200" w:lineRule="atLeast"/>
        <w:ind w:left="104"/>
        <w:rPr>
          <w:rFonts w:ascii="Times New Roman" w:hAnsi="Times New Roman"/>
          <w:szCs w:val="20"/>
        </w:rPr>
      </w:pPr>
      <w:r>
        <w:rPr>
          <w:rFonts w:ascii="Times New Roman" w:hAnsi="Times New Roman"/>
          <w:noProof/>
          <w:szCs w:val="20"/>
          <w:lang w:val="da-DK" w:eastAsia="da-DK"/>
        </w:rPr>
        <mc:AlternateContent>
          <mc:Choice Requires="wps">
            <w:drawing>
              <wp:inline distT="0" distB="0" distL="0" distR="0" wp14:anchorId="0A7D7D5B" wp14:editId="0A7D7D5C">
                <wp:extent cx="5630545" cy="839972"/>
                <wp:effectExtent l="0" t="0" r="27305" b="17780"/>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0545" cy="839972"/>
                        </a:xfrm>
                        <a:prstGeom prst="rect">
                          <a:avLst/>
                        </a:prstGeom>
                        <a:noFill/>
                        <a:ln w="19559"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7D7D98" w14:textId="77777777" w:rsidR="00296B1B" w:rsidRDefault="00296B1B" w:rsidP="00B52D8F">
                            <w:pPr>
                              <w:spacing w:before="19"/>
                              <w:ind w:left="-1"/>
                              <w:jc w:val="center"/>
                              <w:rPr>
                                <w:rFonts w:ascii="Times New Roman" w:hAnsi="Times New Roman"/>
                                <w:sz w:val="24"/>
                              </w:rPr>
                            </w:pPr>
                            <w:r>
                              <w:rPr>
                                <w:rFonts w:ascii="Times New Roman"/>
                                <w:b/>
                                <w:sz w:val="24"/>
                              </w:rPr>
                              <w:t>Opinion of</w:t>
                            </w:r>
                            <w:r>
                              <w:rPr>
                                <w:rFonts w:ascii="Times New Roman"/>
                                <w:b/>
                                <w:spacing w:val="-1"/>
                                <w:sz w:val="24"/>
                              </w:rPr>
                              <w:t xml:space="preserve"> </w:t>
                            </w:r>
                            <w:r>
                              <w:rPr>
                                <w:rFonts w:ascii="Times New Roman"/>
                                <w:b/>
                                <w:sz w:val="24"/>
                              </w:rPr>
                              <w:t>the RSC</w:t>
                            </w:r>
                          </w:p>
                          <w:p w14:paraId="0A7D7D99" w14:textId="77777777" w:rsidR="00296B1B" w:rsidRDefault="00296B1B" w:rsidP="00B52D8F">
                            <w:pPr>
                              <w:spacing w:line="242" w:lineRule="auto"/>
                              <w:ind w:left="323" w:right="323"/>
                              <w:jc w:val="center"/>
                              <w:rPr>
                                <w:rFonts w:ascii="Times New Roman" w:hAnsi="Times New Roman"/>
                                <w:sz w:val="24"/>
                              </w:rPr>
                            </w:pPr>
                            <w:proofErr w:type="gramStart"/>
                            <w:r>
                              <w:rPr>
                                <w:rFonts w:ascii="Times New Roman"/>
                                <w:b/>
                                <w:sz w:val="24"/>
                              </w:rPr>
                              <w:t>pursuant</w:t>
                            </w:r>
                            <w:proofErr w:type="gramEnd"/>
                            <w:r>
                              <w:rPr>
                                <w:rFonts w:ascii="Times New Roman"/>
                                <w:b/>
                                <w:sz w:val="24"/>
                              </w:rPr>
                              <w:t xml:space="preserve"> to Advisory Procedure under Article 4 of </w:t>
                            </w:r>
                            <w:r>
                              <w:rPr>
                                <w:rFonts w:ascii="Times New Roman"/>
                                <w:b/>
                                <w:spacing w:val="-1"/>
                                <w:sz w:val="24"/>
                              </w:rPr>
                              <w:t>Regulation</w:t>
                            </w:r>
                            <w:r>
                              <w:rPr>
                                <w:rFonts w:ascii="Times New Roman"/>
                                <w:b/>
                                <w:sz w:val="24"/>
                              </w:rPr>
                              <w:t xml:space="preserve"> </w:t>
                            </w:r>
                            <w:r>
                              <w:rPr>
                                <w:rFonts w:ascii="Times New Roman"/>
                                <w:b/>
                                <w:spacing w:val="-1"/>
                                <w:sz w:val="24"/>
                              </w:rPr>
                              <w:t>182/2011/EU</w:t>
                            </w:r>
                            <w:r>
                              <w:rPr>
                                <w:rFonts w:ascii="Times New Roman"/>
                                <w:b/>
                                <w:sz w:val="24"/>
                              </w:rPr>
                              <w:t xml:space="preserve"> and</w:t>
                            </w:r>
                            <w:r>
                              <w:rPr>
                                <w:rFonts w:ascii="Times New Roman"/>
                                <w:b/>
                                <w:spacing w:val="38"/>
                                <w:sz w:val="24"/>
                              </w:rPr>
                              <w:t xml:space="preserve"> </w:t>
                            </w:r>
                            <w:r>
                              <w:rPr>
                                <w:rFonts w:ascii="Times New Roman"/>
                                <w:b/>
                                <w:sz w:val="24"/>
                              </w:rPr>
                              <w:t>Article 4.2</w:t>
                            </w:r>
                            <w:r>
                              <w:rPr>
                                <w:rFonts w:ascii="Times New Roman"/>
                                <w:b/>
                                <w:spacing w:val="-2"/>
                                <w:sz w:val="24"/>
                              </w:rPr>
                              <w:t xml:space="preserve"> </w:t>
                            </w:r>
                            <w:r>
                              <w:rPr>
                                <w:rFonts w:ascii="Times New Roman"/>
                                <w:b/>
                                <w:sz w:val="24"/>
                              </w:rPr>
                              <w:t xml:space="preserve">of Radio Spectrum Decision </w:t>
                            </w:r>
                            <w:r>
                              <w:rPr>
                                <w:rFonts w:ascii="Times New Roman"/>
                                <w:b/>
                                <w:spacing w:val="-1"/>
                                <w:sz w:val="24"/>
                              </w:rPr>
                              <w:t>676/2002/EC</w:t>
                            </w:r>
                          </w:p>
                        </w:txbxContent>
                      </wps:txbx>
                      <wps:bodyPr rot="0" vert="horz" wrap="square" lIns="0" tIns="0" rIns="0" bIns="0" anchor="t" anchorCtr="0" upright="1">
                        <a:noAutofit/>
                      </wps:bodyPr>
                    </wps:wsp>
                  </a:graphicData>
                </a:graphic>
              </wp:inline>
            </w:drawing>
          </mc:Choice>
          <mc:Fallback>
            <w:pict>
              <v:shape id="Text Box 319" o:spid="_x0000_s1036" type="#_x0000_t202" style="width:443.35pt;height:6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qghgIAABYFAAAOAAAAZHJzL2Uyb0RvYy54bWysVF1v2yAUfZ+0/4B4T20nTppYdaouTqZJ&#10;3YfU7gdgjGM0DAxI7G7af98Fx2m6vkzT/ICvzeVwzr0Hbm77VqAjM5YrmePkKsaISaoqLvc5/vq4&#10;mywxso7IigglWY6fmMW367dvbjqdsalqlKiYQQAibdbpHDfO6SyKLG1YS+yV0kzCZK1MSxx8mn1U&#10;GdIBeiuiaRwvok6ZShtFmbXwtxgm8Trg1zWj7nNdW+aQyDFwc2E0YSz9GK1vSLY3RDecnmiQf2DR&#10;Ei5h0zNUQRxBB8NfQbWcGmVV7a6oaiNV15yyoAHUJPEfah4aolnQAsWx+lwm+/9g6afjF4N4leNZ&#10;ssJIkhaa9Mh6h96pHvl/UKFO2wwSHzSkuh4moNNBrdX3in6zSKpNQ+Se3RmjuoaRChgmfmV0sXTA&#10;sR6k7D6qCjYiB6cCUF+b1pcPCoIAHTr1dO6OJ0Ph53wxi+fpHCMKc8vZanU9DVuQbFytjXXvmWqR&#10;D3JsoPsBnRzvrfNsSDam+M2k2nEhggOERB1QXs3nUATaaqhHVYpBoxK88ol+iTX7ciMMOhLvp/Cc&#10;ONjLtJY7cLXgLRA9J5HMV2Yrq7CjI1wMMbAS0oODUOB5igb3/FzFq+1yu0wn6XSxnaRxUUzudpt0&#10;stgl1/NiVmw2RfLL80zSrOFVxaSnOjo5Sf/OKaczNXjw7OUXkl4o34XntfLoJY1QcVA1voO6YAnv&#10;gsEPri/74L/QTG+XUlVP4BGjoIVgBLhcIGiU+YFRBwc1x/b7gRiGkfggwWf+VI+BGYNyDIiksDTH&#10;DqMh3Ljh9B+04fsGkAcnS3UHXqx5sMkzi5OD4fAFDaeLwp/uy++Q9XydrX8DAAD//wMAUEsDBBQA&#10;BgAIAAAAIQCvaOUq2wAAAAUBAAAPAAAAZHJzL2Rvd25yZXYueG1sTI/NTsMwEITvSLyDtUjcqEMr&#10;0ijEqQoCiWtLD/S2jTc/EK+j2G3D27NwoZeRVjOa+bZYTa5XJxpD59nA/SwBRVx523FjYPf+epeB&#10;ChHZYu+ZDHxTgFV5fVVgbv2ZN3TaxkZJCYccDbQxDrnWoWrJYZj5gVi82o8Oo5xjo+2IZyl3vZ4n&#10;SaoddiwLLQ703FL1tT06A91Lun/6qJZvuFuPnz7Ger95qI25vZnWj6AiTfE/DL/4gg6lMB38kW1Q&#10;vQF5JP6peFmWLkEdJLSYL0CXhb6kL38AAAD//wMAUEsBAi0AFAAGAAgAAAAhALaDOJL+AAAA4QEA&#10;ABMAAAAAAAAAAAAAAAAAAAAAAFtDb250ZW50X1R5cGVzXS54bWxQSwECLQAUAAYACAAAACEAOP0h&#10;/9YAAACUAQAACwAAAAAAAAAAAAAAAAAvAQAAX3JlbHMvLnJlbHNQSwECLQAUAAYACAAAACEAZ9D6&#10;oIYCAAAWBQAADgAAAAAAAAAAAAAAAAAuAgAAZHJzL2Uyb0RvYy54bWxQSwECLQAUAAYACAAAACEA&#10;r2jlKtsAAAAFAQAADwAAAAAAAAAAAAAAAADgBAAAZHJzL2Rvd25yZXYueG1sUEsFBgAAAAAEAAQA&#10;8wAAAOgFAAAAAA==&#10;" filled="f" strokeweight=".54331mm">
                <v:stroke linestyle="thinThin"/>
                <v:textbox inset="0,0,0,0">
                  <w:txbxContent>
                    <w:p w14:paraId="0A7D7D98" w14:textId="77777777" w:rsidR="00296B1B" w:rsidRDefault="00296B1B" w:rsidP="00B52D8F">
                      <w:pPr>
                        <w:spacing w:before="19"/>
                        <w:ind w:left="-1"/>
                        <w:jc w:val="center"/>
                        <w:rPr>
                          <w:rFonts w:ascii="Times New Roman" w:hAnsi="Times New Roman"/>
                          <w:sz w:val="24"/>
                        </w:rPr>
                      </w:pPr>
                      <w:r>
                        <w:rPr>
                          <w:rFonts w:ascii="Times New Roman"/>
                          <w:b/>
                          <w:sz w:val="24"/>
                        </w:rPr>
                        <w:t>Opinion of</w:t>
                      </w:r>
                      <w:r>
                        <w:rPr>
                          <w:rFonts w:ascii="Times New Roman"/>
                          <w:b/>
                          <w:spacing w:val="-1"/>
                          <w:sz w:val="24"/>
                        </w:rPr>
                        <w:t xml:space="preserve"> </w:t>
                      </w:r>
                      <w:r>
                        <w:rPr>
                          <w:rFonts w:ascii="Times New Roman"/>
                          <w:b/>
                          <w:sz w:val="24"/>
                        </w:rPr>
                        <w:t>the RSC</w:t>
                      </w:r>
                    </w:p>
                    <w:p w14:paraId="0A7D7D99" w14:textId="77777777" w:rsidR="00296B1B" w:rsidRDefault="00296B1B" w:rsidP="00B52D8F">
                      <w:pPr>
                        <w:spacing w:line="242" w:lineRule="auto"/>
                        <w:ind w:left="323" w:right="323"/>
                        <w:jc w:val="center"/>
                        <w:rPr>
                          <w:rFonts w:ascii="Times New Roman" w:hAnsi="Times New Roman"/>
                          <w:sz w:val="24"/>
                        </w:rPr>
                      </w:pPr>
                      <w:r>
                        <w:rPr>
                          <w:rFonts w:ascii="Times New Roman"/>
                          <w:b/>
                          <w:sz w:val="24"/>
                        </w:rPr>
                        <w:t xml:space="preserve">pursuant to Advisory Procedure under Article 4 of </w:t>
                      </w:r>
                      <w:r>
                        <w:rPr>
                          <w:rFonts w:ascii="Times New Roman"/>
                          <w:b/>
                          <w:spacing w:val="-1"/>
                          <w:sz w:val="24"/>
                        </w:rPr>
                        <w:t>Regulation</w:t>
                      </w:r>
                      <w:r>
                        <w:rPr>
                          <w:rFonts w:ascii="Times New Roman"/>
                          <w:b/>
                          <w:sz w:val="24"/>
                        </w:rPr>
                        <w:t xml:space="preserve"> </w:t>
                      </w:r>
                      <w:r>
                        <w:rPr>
                          <w:rFonts w:ascii="Times New Roman"/>
                          <w:b/>
                          <w:spacing w:val="-1"/>
                          <w:sz w:val="24"/>
                        </w:rPr>
                        <w:t>182/2011/EU</w:t>
                      </w:r>
                      <w:r>
                        <w:rPr>
                          <w:rFonts w:ascii="Times New Roman"/>
                          <w:b/>
                          <w:sz w:val="24"/>
                        </w:rPr>
                        <w:t xml:space="preserve"> and</w:t>
                      </w:r>
                      <w:r>
                        <w:rPr>
                          <w:rFonts w:ascii="Times New Roman"/>
                          <w:b/>
                          <w:spacing w:val="38"/>
                          <w:sz w:val="24"/>
                        </w:rPr>
                        <w:t xml:space="preserve"> </w:t>
                      </w:r>
                      <w:r>
                        <w:rPr>
                          <w:rFonts w:ascii="Times New Roman"/>
                          <w:b/>
                          <w:sz w:val="24"/>
                        </w:rPr>
                        <w:t>Article 4.2</w:t>
                      </w:r>
                      <w:r>
                        <w:rPr>
                          <w:rFonts w:ascii="Times New Roman"/>
                          <w:b/>
                          <w:spacing w:val="-2"/>
                          <w:sz w:val="24"/>
                        </w:rPr>
                        <w:t xml:space="preserve"> </w:t>
                      </w:r>
                      <w:r>
                        <w:rPr>
                          <w:rFonts w:ascii="Times New Roman"/>
                          <w:b/>
                          <w:sz w:val="24"/>
                        </w:rPr>
                        <w:t xml:space="preserve">of Radio Spectrum Decision </w:t>
                      </w:r>
                      <w:r>
                        <w:rPr>
                          <w:rFonts w:ascii="Times New Roman"/>
                          <w:b/>
                          <w:spacing w:val="-1"/>
                          <w:sz w:val="24"/>
                        </w:rPr>
                        <w:t>676/2002/EC</w:t>
                      </w:r>
                    </w:p>
                  </w:txbxContent>
                </v:textbox>
                <w10:anchorlock/>
              </v:shape>
            </w:pict>
          </mc:Fallback>
        </mc:AlternateContent>
      </w:r>
    </w:p>
    <w:p w14:paraId="0A7D7C8B" w14:textId="77777777" w:rsidR="00B52D8F" w:rsidRDefault="00B52D8F" w:rsidP="00B52D8F">
      <w:pPr>
        <w:spacing w:before="5"/>
        <w:rPr>
          <w:rFonts w:ascii="Times New Roman" w:hAnsi="Times New Roman"/>
          <w:b/>
          <w:bCs/>
          <w:sz w:val="27"/>
          <w:szCs w:val="27"/>
        </w:rPr>
      </w:pPr>
    </w:p>
    <w:p w14:paraId="0A7D7C8C" w14:textId="77777777" w:rsidR="00B52D8F" w:rsidRDefault="00B52D8F" w:rsidP="00B52D8F">
      <w:pPr>
        <w:spacing w:line="200" w:lineRule="atLeast"/>
        <w:ind w:left="113"/>
        <w:rPr>
          <w:rFonts w:ascii="Times New Roman" w:hAnsi="Times New Roman"/>
          <w:szCs w:val="20"/>
        </w:rPr>
      </w:pPr>
      <w:r>
        <w:rPr>
          <w:rFonts w:ascii="Times New Roman" w:hAnsi="Times New Roman"/>
          <w:noProof/>
          <w:szCs w:val="20"/>
          <w:lang w:val="da-DK" w:eastAsia="da-DK"/>
        </w:rPr>
        <mc:AlternateContent>
          <mc:Choice Requires="wps">
            <w:drawing>
              <wp:inline distT="0" distB="0" distL="0" distR="0" wp14:anchorId="0A7D7D5D" wp14:editId="0A7D7D5E">
                <wp:extent cx="5618480" cy="1222745"/>
                <wp:effectExtent l="0" t="0" r="20320" b="15875"/>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8480" cy="122274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7D7D9A" w14:textId="77777777" w:rsidR="00296B1B" w:rsidRDefault="00296B1B" w:rsidP="00B52D8F">
                            <w:pPr>
                              <w:spacing w:before="17"/>
                              <w:ind w:left="160" w:right="162" w:hanging="3"/>
                              <w:jc w:val="center"/>
                              <w:rPr>
                                <w:rFonts w:ascii="Times New Roman" w:hAnsi="Times New Roman"/>
                                <w:sz w:val="24"/>
                              </w:rPr>
                            </w:pPr>
                            <w:r>
                              <w:rPr>
                                <w:rFonts w:ascii="Times New Roman"/>
                                <w:i/>
                                <w:sz w:val="24"/>
                              </w:rPr>
                              <w:t xml:space="preserve">This is a </w:t>
                            </w:r>
                            <w:r>
                              <w:rPr>
                                <w:rFonts w:ascii="Times New Roman"/>
                                <w:i/>
                                <w:spacing w:val="-1"/>
                                <w:sz w:val="24"/>
                              </w:rPr>
                              <w:t>Committee</w:t>
                            </w:r>
                            <w:r>
                              <w:rPr>
                                <w:rFonts w:ascii="Times New Roman"/>
                                <w:i/>
                                <w:sz w:val="24"/>
                              </w:rPr>
                              <w:t xml:space="preserve"> </w:t>
                            </w:r>
                            <w:r>
                              <w:rPr>
                                <w:rFonts w:ascii="Times New Roman"/>
                                <w:i/>
                                <w:spacing w:val="-1"/>
                                <w:sz w:val="24"/>
                              </w:rPr>
                              <w:t>working</w:t>
                            </w:r>
                            <w:r>
                              <w:rPr>
                                <w:rFonts w:ascii="Times New Roman"/>
                                <w:i/>
                                <w:sz w:val="24"/>
                              </w:rPr>
                              <w:t xml:space="preserve"> </w:t>
                            </w:r>
                            <w:r>
                              <w:rPr>
                                <w:rFonts w:ascii="Times New Roman"/>
                                <w:i/>
                                <w:spacing w:val="-1"/>
                                <w:sz w:val="24"/>
                              </w:rPr>
                              <w:t>document</w:t>
                            </w:r>
                            <w:r>
                              <w:rPr>
                                <w:rFonts w:ascii="Times New Roman"/>
                                <w:i/>
                                <w:sz w:val="24"/>
                              </w:rPr>
                              <w:t xml:space="preserve"> which </w:t>
                            </w:r>
                            <w:r>
                              <w:rPr>
                                <w:rFonts w:ascii="Times New Roman"/>
                                <w:i/>
                                <w:spacing w:val="-1"/>
                                <w:sz w:val="24"/>
                              </w:rPr>
                              <w:t>does</w:t>
                            </w:r>
                            <w:r>
                              <w:rPr>
                                <w:rFonts w:ascii="Times New Roman"/>
                                <w:i/>
                                <w:sz w:val="24"/>
                              </w:rPr>
                              <w:t xml:space="preserve"> not </w:t>
                            </w:r>
                            <w:r>
                              <w:rPr>
                                <w:rFonts w:ascii="Times New Roman"/>
                                <w:i/>
                                <w:spacing w:val="-1"/>
                                <w:sz w:val="24"/>
                              </w:rPr>
                              <w:t>necessarily</w:t>
                            </w:r>
                            <w:r>
                              <w:rPr>
                                <w:rFonts w:ascii="Times New Roman"/>
                                <w:i/>
                                <w:sz w:val="24"/>
                              </w:rPr>
                              <w:t xml:space="preserve"> </w:t>
                            </w:r>
                            <w:r>
                              <w:rPr>
                                <w:rFonts w:ascii="Times New Roman"/>
                                <w:i/>
                                <w:spacing w:val="-1"/>
                                <w:sz w:val="24"/>
                              </w:rPr>
                              <w:t xml:space="preserve">reflect </w:t>
                            </w:r>
                            <w:r>
                              <w:rPr>
                                <w:rFonts w:ascii="Times New Roman"/>
                                <w:i/>
                                <w:sz w:val="24"/>
                              </w:rPr>
                              <w:t xml:space="preserve">the </w:t>
                            </w:r>
                            <w:r>
                              <w:rPr>
                                <w:rFonts w:ascii="Times New Roman"/>
                                <w:i/>
                                <w:spacing w:val="-1"/>
                                <w:sz w:val="24"/>
                              </w:rPr>
                              <w:t>official</w:t>
                            </w:r>
                            <w:r>
                              <w:rPr>
                                <w:rFonts w:ascii="Times New Roman"/>
                                <w:i/>
                                <w:spacing w:val="81"/>
                                <w:sz w:val="24"/>
                              </w:rPr>
                              <w:t xml:space="preserve"> </w:t>
                            </w:r>
                            <w:r>
                              <w:rPr>
                                <w:rFonts w:ascii="Times New Roman"/>
                                <w:i/>
                                <w:sz w:val="24"/>
                              </w:rPr>
                              <w:t xml:space="preserve">position </w:t>
                            </w:r>
                            <w:r>
                              <w:rPr>
                                <w:rFonts w:ascii="Times New Roman"/>
                                <w:i/>
                                <w:spacing w:val="-1"/>
                                <w:sz w:val="24"/>
                              </w:rPr>
                              <w:t>of</w:t>
                            </w:r>
                            <w:r>
                              <w:rPr>
                                <w:rFonts w:ascii="Times New Roman"/>
                                <w:i/>
                                <w:sz w:val="24"/>
                              </w:rPr>
                              <w:t xml:space="preserve"> the </w:t>
                            </w:r>
                            <w:r>
                              <w:rPr>
                                <w:rFonts w:ascii="Times New Roman"/>
                                <w:i/>
                                <w:spacing w:val="-1"/>
                                <w:sz w:val="24"/>
                              </w:rPr>
                              <w:t>Commission.</w:t>
                            </w:r>
                            <w:r>
                              <w:rPr>
                                <w:rFonts w:ascii="Times New Roman"/>
                                <w:i/>
                                <w:sz w:val="24"/>
                              </w:rPr>
                              <w:t xml:space="preserve"> No </w:t>
                            </w:r>
                            <w:r>
                              <w:rPr>
                                <w:rFonts w:ascii="Times New Roman"/>
                                <w:i/>
                                <w:spacing w:val="-1"/>
                                <w:sz w:val="24"/>
                              </w:rPr>
                              <w:t>inferences</w:t>
                            </w:r>
                            <w:r>
                              <w:rPr>
                                <w:rFonts w:ascii="Times New Roman"/>
                                <w:i/>
                                <w:sz w:val="24"/>
                              </w:rPr>
                              <w:t xml:space="preserve"> should be drawn from this </w:t>
                            </w:r>
                            <w:r>
                              <w:rPr>
                                <w:rFonts w:ascii="Times New Roman"/>
                                <w:i/>
                                <w:spacing w:val="-1"/>
                                <w:sz w:val="24"/>
                              </w:rPr>
                              <w:t>document</w:t>
                            </w:r>
                            <w:r>
                              <w:rPr>
                                <w:rFonts w:ascii="Times New Roman"/>
                                <w:i/>
                                <w:sz w:val="24"/>
                              </w:rPr>
                              <w:t xml:space="preserve"> as to</w:t>
                            </w:r>
                            <w:r>
                              <w:rPr>
                                <w:rFonts w:ascii="Times New Roman"/>
                                <w:i/>
                                <w:spacing w:val="-2"/>
                                <w:sz w:val="24"/>
                              </w:rPr>
                              <w:t xml:space="preserve"> </w:t>
                            </w:r>
                            <w:r>
                              <w:rPr>
                                <w:rFonts w:ascii="Times New Roman"/>
                                <w:i/>
                                <w:sz w:val="24"/>
                              </w:rPr>
                              <w:t>the</w:t>
                            </w:r>
                            <w:r>
                              <w:rPr>
                                <w:rFonts w:ascii="Times New Roman"/>
                                <w:i/>
                                <w:spacing w:val="53"/>
                                <w:sz w:val="24"/>
                              </w:rPr>
                              <w:t xml:space="preserve"> </w:t>
                            </w:r>
                            <w:r>
                              <w:rPr>
                                <w:rFonts w:ascii="Times New Roman"/>
                                <w:i/>
                                <w:sz w:val="24"/>
                              </w:rPr>
                              <w:t>precise</w:t>
                            </w:r>
                            <w:r>
                              <w:rPr>
                                <w:rFonts w:ascii="Times New Roman"/>
                                <w:i/>
                                <w:spacing w:val="-1"/>
                                <w:sz w:val="24"/>
                              </w:rPr>
                              <w:t xml:space="preserve"> </w:t>
                            </w:r>
                            <w:r>
                              <w:rPr>
                                <w:rFonts w:ascii="Times New Roman"/>
                                <w:i/>
                                <w:sz w:val="24"/>
                              </w:rPr>
                              <w:t>form</w:t>
                            </w:r>
                            <w:r>
                              <w:rPr>
                                <w:rFonts w:ascii="Times New Roman"/>
                                <w:i/>
                                <w:spacing w:val="-1"/>
                                <w:sz w:val="24"/>
                              </w:rPr>
                              <w:t xml:space="preserve"> </w:t>
                            </w:r>
                            <w:r>
                              <w:rPr>
                                <w:rFonts w:ascii="Times New Roman"/>
                                <w:i/>
                                <w:sz w:val="24"/>
                              </w:rPr>
                              <w:t xml:space="preserve">or </w:t>
                            </w:r>
                            <w:r>
                              <w:rPr>
                                <w:rFonts w:ascii="Times New Roman"/>
                                <w:i/>
                                <w:spacing w:val="-1"/>
                                <w:sz w:val="24"/>
                              </w:rPr>
                              <w:t>content</w:t>
                            </w:r>
                            <w:r>
                              <w:rPr>
                                <w:rFonts w:ascii="Times New Roman"/>
                                <w:i/>
                                <w:sz w:val="24"/>
                              </w:rPr>
                              <w:t xml:space="preserve"> </w:t>
                            </w:r>
                            <w:r>
                              <w:rPr>
                                <w:rFonts w:ascii="Times New Roman"/>
                                <w:i/>
                                <w:spacing w:val="-1"/>
                                <w:sz w:val="24"/>
                              </w:rPr>
                              <w:t>of</w:t>
                            </w:r>
                            <w:r>
                              <w:rPr>
                                <w:rFonts w:ascii="Times New Roman"/>
                                <w:i/>
                                <w:sz w:val="24"/>
                              </w:rPr>
                              <w:t xml:space="preserve"> future </w:t>
                            </w:r>
                            <w:r>
                              <w:rPr>
                                <w:rFonts w:ascii="Times New Roman"/>
                                <w:i/>
                                <w:spacing w:val="-1"/>
                                <w:sz w:val="24"/>
                              </w:rPr>
                              <w:t>measures</w:t>
                            </w:r>
                            <w:r>
                              <w:rPr>
                                <w:rFonts w:ascii="Times New Roman"/>
                                <w:i/>
                                <w:sz w:val="24"/>
                              </w:rPr>
                              <w:t xml:space="preserve"> to be</w:t>
                            </w:r>
                            <w:r>
                              <w:rPr>
                                <w:rFonts w:ascii="Times New Roman"/>
                                <w:i/>
                                <w:spacing w:val="-1"/>
                                <w:sz w:val="24"/>
                              </w:rPr>
                              <w:t xml:space="preserve"> submitted</w:t>
                            </w:r>
                            <w:r>
                              <w:rPr>
                                <w:rFonts w:ascii="Times New Roman"/>
                                <w:i/>
                                <w:sz w:val="24"/>
                              </w:rPr>
                              <w:t xml:space="preserve"> by the </w:t>
                            </w:r>
                            <w:r>
                              <w:rPr>
                                <w:rFonts w:ascii="Times New Roman"/>
                                <w:i/>
                                <w:spacing w:val="-1"/>
                                <w:sz w:val="24"/>
                              </w:rPr>
                              <w:t>Commission.</w:t>
                            </w:r>
                            <w:r>
                              <w:rPr>
                                <w:rFonts w:ascii="Times New Roman"/>
                                <w:i/>
                                <w:sz w:val="24"/>
                              </w:rPr>
                              <w:t xml:space="preserve"> The</w:t>
                            </w:r>
                            <w:r>
                              <w:rPr>
                                <w:rFonts w:ascii="Times New Roman"/>
                                <w:i/>
                                <w:spacing w:val="65"/>
                                <w:sz w:val="24"/>
                              </w:rPr>
                              <w:t xml:space="preserve"> </w:t>
                            </w:r>
                            <w:r>
                              <w:rPr>
                                <w:rFonts w:ascii="Times New Roman"/>
                                <w:i/>
                                <w:spacing w:val="-1"/>
                                <w:sz w:val="24"/>
                              </w:rPr>
                              <w:t>Commission</w:t>
                            </w:r>
                            <w:r>
                              <w:rPr>
                                <w:rFonts w:ascii="Times New Roman"/>
                                <w:i/>
                                <w:sz w:val="24"/>
                              </w:rPr>
                              <w:t xml:space="preserve"> accepts no</w:t>
                            </w:r>
                            <w:r>
                              <w:rPr>
                                <w:rFonts w:ascii="Times New Roman"/>
                                <w:i/>
                                <w:spacing w:val="-1"/>
                                <w:sz w:val="24"/>
                              </w:rPr>
                              <w:t xml:space="preserve"> responsibility</w:t>
                            </w:r>
                            <w:r>
                              <w:rPr>
                                <w:rFonts w:ascii="Times New Roman"/>
                                <w:i/>
                                <w:sz w:val="24"/>
                              </w:rPr>
                              <w:t xml:space="preserve"> or </w:t>
                            </w:r>
                            <w:r>
                              <w:rPr>
                                <w:rFonts w:ascii="Times New Roman"/>
                                <w:i/>
                                <w:spacing w:val="-1"/>
                                <w:sz w:val="24"/>
                              </w:rPr>
                              <w:t xml:space="preserve">liability </w:t>
                            </w:r>
                            <w:r>
                              <w:rPr>
                                <w:rFonts w:ascii="Times New Roman"/>
                                <w:i/>
                                <w:sz w:val="24"/>
                              </w:rPr>
                              <w:t>whatsoever</w:t>
                            </w:r>
                            <w:r>
                              <w:rPr>
                                <w:rFonts w:ascii="Times New Roman"/>
                                <w:i/>
                                <w:spacing w:val="-1"/>
                                <w:sz w:val="24"/>
                              </w:rPr>
                              <w:t xml:space="preserve"> </w:t>
                            </w:r>
                            <w:r>
                              <w:rPr>
                                <w:rFonts w:ascii="Times New Roman"/>
                                <w:i/>
                                <w:sz w:val="24"/>
                              </w:rPr>
                              <w:t>with regard</w:t>
                            </w:r>
                            <w:r>
                              <w:rPr>
                                <w:rFonts w:ascii="Times New Roman"/>
                                <w:i/>
                                <w:spacing w:val="-1"/>
                                <w:sz w:val="24"/>
                              </w:rPr>
                              <w:t xml:space="preserve"> </w:t>
                            </w:r>
                            <w:r>
                              <w:rPr>
                                <w:rFonts w:ascii="Times New Roman"/>
                                <w:i/>
                                <w:sz w:val="24"/>
                              </w:rPr>
                              <w:t>to any</w:t>
                            </w:r>
                            <w:r>
                              <w:rPr>
                                <w:rFonts w:ascii="Times New Roman"/>
                                <w:i/>
                                <w:spacing w:val="59"/>
                                <w:sz w:val="24"/>
                              </w:rPr>
                              <w:t xml:space="preserve"> </w:t>
                            </w:r>
                            <w:r>
                              <w:rPr>
                                <w:rFonts w:ascii="Times New Roman"/>
                                <w:i/>
                                <w:sz w:val="24"/>
                              </w:rPr>
                              <w:t>information</w:t>
                            </w:r>
                            <w:r>
                              <w:rPr>
                                <w:rFonts w:ascii="Times New Roman"/>
                                <w:i/>
                                <w:spacing w:val="-2"/>
                                <w:sz w:val="24"/>
                              </w:rPr>
                              <w:t xml:space="preserve"> </w:t>
                            </w:r>
                            <w:r>
                              <w:rPr>
                                <w:rFonts w:ascii="Times New Roman"/>
                                <w:i/>
                                <w:sz w:val="24"/>
                              </w:rPr>
                              <w:t xml:space="preserve">or data </w:t>
                            </w:r>
                            <w:r>
                              <w:rPr>
                                <w:rFonts w:ascii="Times New Roman"/>
                                <w:i/>
                                <w:spacing w:val="-1"/>
                                <w:sz w:val="24"/>
                              </w:rPr>
                              <w:t>referred</w:t>
                            </w:r>
                            <w:r>
                              <w:rPr>
                                <w:rFonts w:ascii="Times New Roman"/>
                                <w:i/>
                                <w:sz w:val="24"/>
                              </w:rPr>
                              <w:t xml:space="preserve"> to in</w:t>
                            </w:r>
                            <w:r>
                              <w:rPr>
                                <w:rFonts w:ascii="Times New Roman"/>
                                <w:i/>
                                <w:spacing w:val="-1"/>
                                <w:sz w:val="24"/>
                              </w:rPr>
                              <w:t xml:space="preserve"> </w:t>
                            </w:r>
                            <w:r>
                              <w:rPr>
                                <w:rFonts w:ascii="Times New Roman"/>
                                <w:i/>
                                <w:sz w:val="24"/>
                              </w:rPr>
                              <w:t>this</w:t>
                            </w:r>
                            <w:r>
                              <w:rPr>
                                <w:rFonts w:ascii="Times New Roman"/>
                                <w:i/>
                                <w:spacing w:val="-1"/>
                                <w:sz w:val="24"/>
                              </w:rPr>
                              <w:t xml:space="preserve"> </w:t>
                            </w:r>
                            <w:r>
                              <w:rPr>
                                <w:rFonts w:ascii="Times New Roman"/>
                                <w:i/>
                                <w:sz w:val="24"/>
                              </w:rPr>
                              <w:t>document.</w:t>
                            </w:r>
                          </w:p>
                        </w:txbxContent>
                      </wps:txbx>
                      <wps:bodyPr rot="0" vert="horz" wrap="square" lIns="0" tIns="0" rIns="0" bIns="0" anchor="t" anchorCtr="0" upright="1">
                        <a:noAutofit/>
                      </wps:bodyPr>
                    </wps:wsp>
                  </a:graphicData>
                </a:graphic>
              </wp:inline>
            </w:drawing>
          </mc:Choice>
          <mc:Fallback>
            <w:pict>
              <v:shape id="Text Box 318" o:spid="_x0000_s1037" type="#_x0000_t202" style="width:442.4pt;height:9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UYfgIAAAsFAAAOAAAAZHJzL2Uyb0RvYy54bWysVNtu2zAMfR+wfxD0njpO3TQ16hRdnAwD&#10;ugvQ7gMUSY6FyaInKbG7Yf8+So7Tdn0ZhvlBpi3qkIc81PVN32hykNYpMAVNz6aUSMNBKLMr6NeH&#10;zWRBifPMCKbByII+Skdvlm/fXHdtLmdQgxbSEgQxLu/agtbet3mSOF7LhrkzaKXBzQpswzx+2l0i&#10;LOsQvdHJbDqdJx1Y0Vrg0jn8Ww6bdBnxq0py/7mqnPREFxRz83G1cd2GNVles3xnWVsrfkyD/UMW&#10;DVMGg56gSuYZ2Vv1CqpR3IKDyp9xaBKoKsVl5IBs0ukfbO5r1srIBYvj2lOZ3P+D5Z8OXyxRoqDn&#10;KbbKsAab9CB7T95BT8I/rFDXuhwd71t09T1uYKcjW9feAf/miIFVzcxO3loLXS2ZwAzTcDJ5dnTA&#10;cQFk230EgYHY3kME6ivbhPJhQQiiY6ceT90JyXD8eTFPF9kCtzjupbPZ7DK7iDFYPh5vrfPvJTQk&#10;GAW12P4Izw53zod0WD66hGgGNkrrKAFtSFfQy/P5fCAGWomwGdyc3W1X2pIDCyKKzzGue+7WKI9S&#10;1qop6OLkxPJQjrURMYpnSg82ZqJNAEd2mNvRGiTz82p6tV6sF9kkm83Xk2xalpPbzSqbzDfp5UV5&#10;Xq5WZfor5Jlmea2EkCakOso3zf5OHsdBGoR3EvALSi+Yb+LzmnnyMo1YZWQ1viO7qIPQ+kEEvt/2&#10;g+gCXNDIFsQjCsPCMKF4o6BRg/1BSYfTWVD3fc+spER/MCiuMMqjYUdjOxrMcDxaUE/JYK78MPL7&#10;1qpdjciDfA3cogArFaXxlMVRtjhxkcPxdggj/fw7ej3dYcvfAAAA//8DAFBLAwQUAAYACAAAACEA&#10;M7/CwtsAAAAFAQAADwAAAGRycy9kb3ducmV2LnhtbEyPQUvDQBCF74L/YRnBm920lJDGbIoIggeh&#10;2nrxNk3GJJidDdndNO2vd/Sil4HHe7z5XrGdba8mGn3n2MBykYAirlzdcWPg/fB0l4HyAbnG3jEZ&#10;OJOHbXl9VWBeuxO/0bQPjZIS9jkaaEMYcq191ZJFv3ADsXifbrQYRI6Nrkc8Sbnt9SpJUm2xY/nQ&#10;4kCPLVVf+2gNxBg/dpuEdLwsX/DyOq3Pu/TZmNub+eEeVKA5/IXhB1/QoRSmo4tce9UbkCHh94qX&#10;ZWuZcZTQZpWCLgv9n778BgAA//8DAFBLAQItABQABgAIAAAAIQC2gziS/gAAAOEBAAATAAAAAAAA&#10;AAAAAAAAAAAAAABbQ29udGVudF9UeXBlc10ueG1sUEsBAi0AFAAGAAgAAAAhADj9If/WAAAAlAEA&#10;AAsAAAAAAAAAAAAAAAAALwEAAF9yZWxzLy5yZWxzUEsBAi0AFAAGAAgAAAAhAOLOJRh+AgAACwUA&#10;AA4AAAAAAAAAAAAAAAAALgIAAGRycy9lMm9Eb2MueG1sUEsBAi0AFAAGAAgAAAAhADO/wsLbAAAA&#10;BQEAAA8AAAAAAAAAAAAAAAAA2AQAAGRycy9kb3ducmV2LnhtbFBLBQYAAAAABAAEAPMAAADgBQAA&#10;AAA=&#10;" filled="f" strokeweight=".58pt">
                <v:textbox inset="0,0,0,0">
                  <w:txbxContent>
                    <w:p w14:paraId="0A7D7D9A" w14:textId="77777777" w:rsidR="00296B1B" w:rsidRDefault="00296B1B" w:rsidP="00B52D8F">
                      <w:pPr>
                        <w:spacing w:before="17"/>
                        <w:ind w:left="160" w:right="162" w:hanging="3"/>
                        <w:jc w:val="center"/>
                        <w:rPr>
                          <w:rFonts w:ascii="Times New Roman" w:hAnsi="Times New Roman"/>
                          <w:sz w:val="24"/>
                        </w:rPr>
                      </w:pPr>
                      <w:r>
                        <w:rPr>
                          <w:rFonts w:ascii="Times New Roman"/>
                          <w:i/>
                          <w:sz w:val="24"/>
                        </w:rPr>
                        <w:t xml:space="preserve">This is a </w:t>
                      </w:r>
                      <w:r>
                        <w:rPr>
                          <w:rFonts w:ascii="Times New Roman"/>
                          <w:i/>
                          <w:spacing w:val="-1"/>
                          <w:sz w:val="24"/>
                        </w:rPr>
                        <w:t>Committee</w:t>
                      </w:r>
                      <w:r>
                        <w:rPr>
                          <w:rFonts w:ascii="Times New Roman"/>
                          <w:i/>
                          <w:sz w:val="24"/>
                        </w:rPr>
                        <w:t xml:space="preserve"> </w:t>
                      </w:r>
                      <w:r>
                        <w:rPr>
                          <w:rFonts w:ascii="Times New Roman"/>
                          <w:i/>
                          <w:spacing w:val="-1"/>
                          <w:sz w:val="24"/>
                        </w:rPr>
                        <w:t>working</w:t>
                      </w:r>
                      <w:r>
                        <w:rPr>
                          <w:rFonts w:ascii="Times New Roman"/>
                          <w:i/>
                          <w:sz w:val="24"/>
                        </w:rPr>
                        <w:t xml:space="preserve"> </w:t>
                      </w:r>
                      <w:r>
                        <w:rPr>
                          <w:rFonts w:ascii="Times New Roman"/>
                          <w:i/>
                          <w:spacing w:val="-1"/>
                          <w:sz w:val="24"/>
                        </w:rPr>
                        <w:t>document</w:t>
                      </w:r>
                      <w:r>
                        <w:rPr>
                          <w:rFonts w:ascii="Times New Roman"/>
                          <w:i/>
                          <w:sz w:val="24"/>
                        </w:rPr>
                        <w:t xml:space="preserve"> which </w:t>
                      </w:r>
                      <w:r>
                        <w:rPr>
                          <w:rFonts w:ascii="Times New Roman"/>
                          <w:i/>
                          <w:spacing w:val="-1"/>
                          <w:sz w:val="24"/>
                        </w:rPr>
                        <w:t>does</w:t>
                      </w:r>
                      <w:r>
                        <w:rPr>
                          <w:rFonts w:ascii="Times New Roman"/>
                          <w:i/>
                          <w:sz w:val="24"/>
                        </w:rPr>
                        <w:t xml:space="preserve"> not </w:t>
                      </w:r>
                      <w:r>
                        <w:rPr>
                          <w:rFonts w:ascii="Times New Roman"/>
                          <w:i/>
                          <w:spacing w:val="-1"/>
                          <w:sz w:val="24"/>
                        </w:rPr>
                        <w:t>necessarily</w:t>
                      </w:r>
                      <w:r>
                        <w:rPr>
                          <w:rFonts w:ascii="Times New Roman"/>
                          <w:i/>
                          <w:sz w:val="24"/>
                        </w:rPr>
                        <w:t xml:space="preserve"> </w:t>
                      </w:r>
                      <w:r>
                        <w:rPr>
                          <w:rFonts w:ascii="Times New Roman"/>
                          <w:i/>
                          <w:spacing w:val="-1"/>
                          <w:sz w:val="24"/>
                        </w:rPr>
                        <w:t xml:space="preserve">reflect </w:t>
                      </w:r>
                      <w:r>
                        <w:rPr>
                          <w:rFonts w:ascii="Times New Roman"/>
                          <w:i/>
                          <w:sz w:val="24"/>
                        </w:rPr>
                        <w:t xml:space="preserve">the </w:t>
                      </w:r>
                      <w:r>
                        <w:rPr>
                          <w:rFonts w:ascii="Times New Roman"/>
                          <w:i/>
                          <w:spacing w:val="-1"/>
                          <w:sz w:val="24"/>
                        </w:rPr>
                        <w:t>official</w:t>
                      </w:r>
                      <w:r>
                        <w:rPr>
                          <w:rFonts w:ascii="Times New Roman"/>
                          <w:i/>
                          <w:spacing w:val="81"/>
                          <w:sz w:val="24"/>
                        </w:rPr>
                        <w:t xml:space="preserve"> </w:t>
                      </w:r>
                      <w:r>
                        <w:rPr>
                          <w:rFonts w:ascii="Times New Roman"/>
                          <w:i/>
                          <w:sz w:val="24"/>
                        </w:rPr>
                        <w:t xml:space="preserve">position </w:t>
                      </w:r>
                      <w:r>
                        <w:rPr>
                          <w:rFonts w:ascii="Times New Roman"/>
                          <w:i/>
                          <w:spacing w:val="-1"/>
                          <w:sz w:val="24"/>
                        </w:rPr>
                        <w:t>of</w:t>
                      </w:r>
                      <w:r>
                        <w:rPr>
                          <w:rFonts w:ascii="Times New Roman"/>
                          <w:i/>
                          <w:sz w:val="24"/>
                        </w:rPr>
                        <w:t xml:space="preserve"> the </w:t>
                      </w:r>
                      <w:r>
                        <w:rPr>
                          <w:rFonts w:ascii="Times New Roman"/>
                          <w:i/>
                          <w:spacing w:val="-1"/>
                          <w:sz w:val="24"/>
                        </w:rPr>
                        <w:t>Commission.</w:t>
                      </w:r>
                      <w:r>
                        <w:rPr>
                          <w:rFonts w:ascii="Times New Roman"/>
                          <w:i/>
                          <w:sz w:val="24"/>
                        </w:rPr>
                        <w:t xml:space="preserve"> No </w:t>
                      </w:r>
                      <w:r>
                        <w:rPr>
                          <w:rFonts w:ascii="Times New Roman"/>
                          <w:i/>
                          <w:spacing w:val="-1"/>
                          <w:sz w:val="24"/>
                        </w:rPr>
                        <w:t>inferences</w:t>
                      </w:r>
                      <w:r>
                        <w:rPr>
                          <w:rFonts w:ascii="Times New Roman"/>
                          <w:i/>
                          <w:sz w:val="24"/>
                        </w:rPr>
                        <w:t xml:space="preserve"> should be drawn from this </w:t>
                      </w:r>
                      <w:r>
                        <w:rPr>
                          <w:rFonts w:ascii="Times New Roman"/>
                          <w:i/>
                          <w:spacing w:val="-1"/>
                          <w:sz w:val="24"/>
                        </w:rPr>
                        <w:t>document</w:t>
                      </w:r>
                      <w:r>
                        <w:rPr>
                          <w:rFonts w:ascii="Times New Roman"/>
                          <w:i/>
                          <w:sz w:val="24"/>
                        </w:rPr>
                        <w:t xml:space="preserve"> as to</w:t>
                      </w:r>
                      <w:r>
                        <w:rPr>
                          <w:rFonts w:ascii="Times New Roman"/>
                          <w:i/>
                          <w:spacing w:val="-2"/>
                          <w:sz w:val="24"/>
                        </w:rPr>
                        <w:t xml:space="preserve"> </w:t>
                      </w:r>
                      <w:r>
                        <w:rPr>
                          <w:rFonts w:ascii="Times New Roman"/>
                          <w:i/>
                          <w:sz w:val="24"/>
                        </w:rPr>
                        <w:t>the</w:t>
                      </w:r>
                      <w:r>
                        <w:rPr>
                          <w:rFonts w:ascii="Times New Roman"/>
                          <w:i/>
                          <w:spacing w:val="53"/>
                          <w:sz w:val="24"/>
                        </w:rPr>
                        <w:t xml:space="preserve"> </w:t>
                      </w:r>
                      <w:r>
                        <w:rPr>
                          <w:rFonts w:ascii="Times New Roman"/>
                          <w:i/>
                          <w:sz w:val="24"/>
                        </w:rPr>
                        <w:t>precise</w:t>
                      </w:r>
                      <w:r>
                        <w:rPr>
                          <w:rFonts w:ascii="Times New Roman"/>
                          <w:i/>
                          <w:spacing w:val="-1"/>
                          <w:sz w:val="24"/>
                        </w:rPr>
                        <w:t xml:space="preserve"> </w:t>
                      </w:r>
                      <w:r>
                        <w:rPr>
                          <w:rFonts w:ascii="Times New Roman"/>
                          <w:i/>
                          <w:sz w:val="24"/>
                        </w:rPr>
                        <w:t>form</w:t>
                      </w:r>
                      <w:r>
                        <w:rPr>
                          <w:rFonts w:ascii="Times New Roman"/>
                          <w:i/>
                          <w:spacing w:val="-1"/>
                          <w:sz w:val="24"/>
                        </w:rPr>
                        <w:t xml:space="preserve"> </w:t>
                      </w:r>
                      <w:r>
                        <w:rPr>
                          <w:rFonts w:ascii="Times New Roman"/>
                          <w:i/>
                          <w:sz w:val="24"/>
                        </w:rPr>
                        <w:t xml:space="preserve">or </w:t>
                      </w:r>
                      <w:r>
                        <w:rPr>
                          <w:rFonts w:ascii="Times New Roman"/>
                          <w:i/>
                          <w:spacing w:val="-1"/>
                          <w:sz w:val="24"/>
                        </w:rPr>
                        <w:t>content</w:t>
                      </w:r>
                      <w:r>
                        <w:rPr>
                          <w:rFonts w:ascii="Times New Roman"/>
                          <w:i/>
                          <w:sz w:val="24"/>
                        </w:rPr>
                        <w:t xml:space="preserve"> </w:t>
                      </w:r>
                      <w:r>
                        <w:rPr>
                          <w:rFonts w:ascii="Times New Roman"/>
                          <w:i/>
                          <w:spacing w:val="-1"/>
                          <w:sz w:val="24"/>
                        </w:rPr>
                        <w:t>of</w:t>
                      </w:r>
                      <w:r>
                        <w:rPr>
                          <w:rFonts w:ascii="Times New Roman"/>
                          <w:i/>
                          <w:sz w:val="24"/>
                        </w:rPr>
                        <w:t xml:space="preserve"> future </w:t>
                      </w:r>
                      <w:r>
                        <w:rPr>
                          <w:rFonts w:ascii="Times New Roman"/>
                          <w:i/>
                          <w:spacing w:val="-1"/>
                          <w:sz w:val="24"/>
                        </w:rPr>
                        <w:t>measures</w:t>
                      </w:r>
                      <w:r>
                        <w:rPr>
                          <w:rFonts w:ascii="Times New Roman"/>
                          <w:i/>
                          <w:sz w:val="24"/>
                        </w:rPr>
                        <w:t xml:space="preserve"> to be</w:t>
                      </w:r>
                      <w:r>
                        <w:rPr>
                          <w:rFonts w:ascii="Times New Roman"/>
                          <w:i/>
                          <w:spacing w:val="-1"/>
                          <w:sz w:val="24"/>
                        </w:rPr>
                        <w:t xml:space="preserve"> submitted</w:t>
                      </w:r>
                      <w:r>
                        <w:rPr>
                          <w:rFonts w:ascii="Times New Roman"/>
                          <w:i/>
                          <w:sz w:val="24"/>
                        </w:rPr>
                        <w:t xml:space="preserve"> by the </w:t>
                      </w:r>
                      <w:r>
                        <w:rPr>
                          <w:rFonts w:ascii="Times New Roman"/>
                          <w:i/>
                          <w:spacing w:val="-1"/>
                          <w:sz w:val="24"/>
                        </w:rPr>
                        <w:t>Commission.</w:t>
                      </w:r>
                      <w:r>
                        <w:rPr>
                          <w:rFonts w:ascii="Times New Roman"/>
                          <w:i/>
                          <w:sz w:val="24"/>
                        </w:rPr>
                        <w:t xml:space="preserve"> The</w:t>
                      </w:r>
                      <w:r>
                        <w:rPr>
                          <w:rFonts w:ascii="Times New Roman"/>
                          <w:i/>
                          <w:spacing w:val="65"/>
                          <w:sz w:val="24"/>
                        </w:rPr>
                        <w:t xml:space="preserve"> </w:t>
                      </w:r>
                      <w:r>
                        <w:rPr>
                          <w:rFonts w:ascii="Times New Roman"/>
                          <w:i/>
                          <w:spacing w:val="-1"/>
                          <w:sz w:val="24"/>
                        </w:rPr>
                        <w:t>Commission</w:t>
                      </w:r>
                      <w:r>
                        <w:rPr>
                          <w:rFonts w:ascii="Times New Roman"/>
                          <w:i/>
                          <w:sz w:val="24"/>
                        </w:rPr>
                        <w:t xml:space="preserve"> accepts no</w:t>
                      </w:r>
                      <w:r>
                        <w:rPr>
                          <w:rFonts w:ascii="Times New Roman"/>
                          <w:i/>
                          <w:spacing w:val="-1"/>
                          <w:sz w:val="24"/>
                        </w:rPr>
                        <w:t xml:space="preserve"> responsibility</w:t>
                      </w:r>
                      <w:r>
                        <w:rPr>
                          <w:rFonts w:ascii="Times New Roman"/>
                          <w:i/>
                          <w:sz w:val="24"/>
                        </w:rPr>
                        <w:t xml:space="preserve"> or </w:t>
                      </w:r>
                      <w:r>
                        <w:rPr>
                          <w:rFonts w:ascii="Times New Roman"/>
                          <w:i/>
                          <w:spacing w:val="-1"/>
                          <w:sz w:val="24"/>
                        </w:rPr>
                        <w:t xml:space="preserve">liability </w:t>
                      </w:r>
                      <w:r>
                        <w:rPr>
                          <w:rFonts w:ascii="Times New Roman"/>
                          <w:i/>
                          <w:sz w:val="24"/>
                        </w:rPr>
                        <w:t>whatsoever</w:t>
                      </w:r>
                      <w:r>
                        <w:rPr>
                          <w:rFonts w:ascii="Times New Roman"/>
                          <w:i/>
                          <w:spacing w:val="-1"/>
                          <w:sz w:val="24"/>
                        </w:rPr>
                        <w:t xml:space="preserve"> </w:t>
                      </w:r>
                      <w:r>
                        <w:rPr>
                          <w:rFonts w:ascii="Times New Roman"/>
                          <w:i/>
                          <w:sz w:val="24"/>
                        </w:rPr>
                        <w:t>with regard</w:t>
                      </w:r>
                      <w:r>
                        <w:rPr>
                          <w:rFonts w:ascii="Times New Roman"/>
                          <w:i/>
                          <w:spacing w:val="-1"/>
                          <w:sz w:val="24"/>
                        </w:rPr>
                        <w:t xml:space="preserve"> </w:t>
                      </w:r>
                      <w:r>
                        <w:rPr>
                          <w:rFonts w:ascii="Times New Roman"/>
                          <w:i/>
                          <w:sz w:val="24"/>
                        </w:rPr>
                        <w:t>to any</w:t>
                      </w:r>
                      <w:r>
                        <w:rPr>
                          <w:rFonts w:ascii="Times New Roman"/>
                          <w:i/>
                          <w:spacing w:val="59"/>
                          <w:sz w:val="24"/>
                        </w:rPr>
                        <w:t xml:space="preserve"> </w:t>
                      </w:r>
                      <w:r>
                        <w:rPr>
                          <w:rFonts w:ascii="Times New Roman"/>
                          <w:i/>
                          <w:sz w:val="24"/>
                        </w:rPr>
                        <w:t>information</w:t>
                      </w:r>
                      <w:r>
                        <w:rPr>
                          <w:rFonts w:ascii="Times New Roman"/>
                          <w:i/>
                          <w:spacing w:val="-2"/>
                          <w:sz w:val="24"/>
                        </w:rPr>
                        <w:t xml:space="preserve"> </w:t>
                      </w:r>
                      <w:r>
                        <w:rPr>
                          <w:rFonts w:ascii="Times New Roman"/>
                          <w:i/>
                          <w:sz w:val="24"/>
                        </w:rPr>
                        <w:t xml:space="preserve">or data </w:t>
                      </w:r>
                      <w:r>
                        <w:rPr>
                          <w:rFonts w:ascii="Times New Roman"/>
                          <w:i/>
                          <w:spacing w:val="-1"/>
                          <w:sz w:val="24"/>
                        </w:rPr>
                        <w:t>referred</w:t>
                      </w:r>
                      <w:r>
                        <w:rPr>
                          <w:rFonts w:ascii="Times New Roman"/>
                          <w:i/>
                          <w:sz w:val="24"/>
                        </w:rPr>
                        <w:t xml:space="preserve"> to in</w:t>
                      </w:r>
                      <w:r>
                        <w:rPr>
                          <w:rFonts w:ascii="Times New Roman"/>
                          <w:i/>
                          <w:spacing w:val="-1"/>
                          <w:sz w:val="24"/>
                        </w:rPr>
                        <w:t xml:space="preserve"> </w:t>
                      </w:r>
                      <w:r>
                        <w:rPr>
                          <w:rFonts w:ascii="Times New Roman"/>
                          <w:i/>
                          <w:sz w:val="24"/>
                        </w:rPr>
                        <w:t>this</w:t>
                      </w:r>
                      <w:r>
                        <w:rPr>
                          <w:rFonts w:ascii="Times New Roman"/>
                          <w:i/>
                          <w:spacing w:val="-1"/>
                          <w:sz w:val="24"/>
                        </w:rPr>
                        <w:t xml:space="preserve"> </w:t>
                      </w:r>
                      <w:r>
                        <w:rPr>
                          <w:rFonts w:ascii="Times New Roman"/>
                          <w:i/>
                          <w:sz w:val="24"/>
                        </w:rPr>
                        <w:t>document.</w:t>
                      </w:r>
                    </w:p>
                  </w:txbxContent>
                </v:textbox>
                <w10:anchorlock/>
              </v:shape>
            </w:pict>
          </mc:Fallback>
        </mc:AlternateContent>
      </w:r>
    </w:p>
    <w:p w14:paraId="0A7D7C8D" w14:textId="77777777" w:rsidR="00B52D8F" w:rsidRDefault="00B52D8F" w:rsidP="00B52D8F">
      <w:pPr>
        <w:rPr>
          <w:rFonts w:ascii="Times New Roman" w:hAnsi="Times New Roman"/>
          <w:b/>
          <w:bCs/>
          <w:szCs w:val="20"/>
        </w:rPr>
      </w:pPr>
    </w:p>
    <w:p w14:paraId="0A7D7C8E" w14:textId="77777777" w:rsidR="00B52D8F" w:rsidRDefault="00B52D8F" w:rsidP="00B52D8F">
      <w:pPr>
        <w:rPr>
          <w:rFonts w:ascii="Times New Roman" w:hAnsi="Times New Roman"/>
          <w:b/>
          <w:bCs/>
          <w:szCs w:val="20"/>
        </w:rPr>
      </w:pPr>
    </w:p>
    <w:p w14:paraId="0A7D7C8F" w14:textId="77777777" w:rsidR="00B52D8F" w:rsidRDefault="00B52D8F" w:rsidP="00B52D8F">
      <w:pPr>
        <w:rPr>
          <w:rFonts w:ascii="Times New Roman" w:hAnsi="Times New Roman"/>
          <w:b/>
          <w:bCs/>
          <w:szCs w:val="20"/>
        </w:rPr>
      </w:pPr>
    </w:p>
    <w:p w14:paraId="0A7D7C90" w14:textId="77777777" w:rsidR="00B52D8F" w:rsidRDefault="00B52D8F" w:rsidP="00B52D8F">
      <w:pPr>
        <w:spacing w:before="8"/>
        <w:rPr>
          <w:rFonts w:ascii="Times New Roman" w:hAnsi="Times New Roman"/>
          <w:b/>
          <w:bCs/>
          <w:sz w:val="17"/>
          <w:szCs w:val="17"/>
        </w:rPr>
      </w:pPr>
    </w:p>
    <w:p w14:paraId="0A7D7C91" w14:textId="77777777" w:rsidR="00B52D8F" w:rsidRDefault="00B52D8F" w:rsidP="00B52D8F">
      <w:pPr>
        <w:spacing w:before="79"/>
        <w:ind w:left="512" w:right="1296"/>
        <w:rPr>
          <w:rFonts w:eastAsia="Arial" w:cs="Arial"/>
          <w:sz w:val="16"/>
          <w:szCs w:val="16"/>
        </w:rPr>
      </w:pPr>
      <w:r>
        <w:rPr>
          <w:sz w:val="16"/>
        </w:rPr>
        <w:t>European</w:t>
      </w:r>
      <w:r>
        <w:rPr>
          <w:spacing w:val="-5"/>
          <w:sz w:val="16"/>
        </w:rPr>
        <w:t xml:space="preserve"> </w:t>
      </w:r>
      <w:r>
        <w:rPr>
          <w:sz w:val="16"/>
        </w:rPr>
        <w:t>Commission,</w:t>
      </w:r>
      <w:r>
        <w:rPr>
          <w:spacing w:val="-5"/>
          <w:sz w:val="16"/>
        </w:rPr>
        <w:t xml:space="preserve"> </w:t>
      </w:r>
      <w:r>
        <w:rPr>
          <w:sz w:val="16"/>
        </w:rPr>
        <w:t>DG</w:t>
      </w:r>
      <w:r>
        <w:rPr>
          <w:spacing w:val="-6"/>
          <w:sz w:val="16"/>
        </w:rPr>
        <w:t xml:space="preserve"> </w:t>
      </w:r>
      <w:r>
        <w:rPr>
          <w:sz w:val="16"/>
        </w:rPr>
        <w:t>Communications</w:t>
      </w:r>
      <w:r>
        <w:rPr>
          <w:spacing w:val="-5"/>
          <w:sz w:val="16"/>
        </w:rPr>
        <w:t xml:space="preserve"> </w:t>
      </w:r>
      <w:r>
        <w:rPr>
          <w:spacing w:val="-1"/>
          <w:sz w:val="16"/>
        </w:rPr>
        <w:t>Networks</w:t>
      </w:r>
      <w:r>
        <w:rPr>
          <w:spacing w:val="-5"/>
          <w:sz w:val="16"/>
        </w:rPr>
        <w:t xml:space="preserve"> </w:t>
      </w:r>
      <w:r>
        <w:rPr>
          <w:sz w:val="16"/>
        </w:rPr>
        <w:t>Content</w:t>
      </w:r>
      <w:r>
        <w:rPr>
          <w:spacing w:val="-6"/>
          <w:sz w:val="16"/>
        </w:rPr>
        <w:t xml:space="preserve"> </w:t>
      </w:r>
      <w:r>
        <w:rPr>
          <w:sz w:val="16"/>
        </w:rPr>
        <w:t>&amp;</w:t>
      </w:r>
      <w:r>
        <w:rPr>
          <w:spacing w:val="-4"/>
          <w:sz w:val="16"/>
        </w:rPr>
        <w:t xml:space="preserve"> </w:t>
      </w:r>
      <w:r>
        <w:rPr>
          <w:sz w:val="16"/>
        </w:rPr>
        <w:t>Technology,</w:t>
      </w:r>
      <w:r>
        <w:rPr>
          <w:spacing w:val="-4"/>
          <w:sz w:val="16"/>
        </w:rPr>
        <w:t xml:space="preserve"> </w:t>
      </w:r>
      <w:r>
        <w:rPr>
          <w:sz w:val="16"/>
        </w:rPr>
        <w:t>200</w:t>
      </w:r>
      <w:r>
        <w:rPr>
          <w:spacing w:val="-4"/>
          <w:sz w:val="16"/>
        </w:rPr>
        <w:t xml:space="preserve"> </w:t>
      </w:r>
      <w:r>
        <w:rPr>
          <w:sz w:val="16"/>
        </w:rPr>
        <w:t>Rue</w:t>
      </w:r>
      <w:r>
        <w:rPr>
          <w:spacing w:val="-6"/>
          <w:sz w:val="16"/>
        </w:rPr>
        <w:t xml:space="preserve"> </w:t>
      </w:r>
      <w:r>
        <w:rPr>
          <w:sz w:val="16"/>
        </w:rPr>
        <w:t>de</w:t>
      </w:r>
      <w:r>
        <w:rPr>
          <w:spacing w:val="-6"/>
          <w:sz w:val="16"/>
        </w:rPr>
        <w:t xml:space="preserve"> </w:t>
      </w:r>
      <w:r>
        <w:rPr>
          <w:sz w:val="16"/>
        </w:rPr>
        <w:t>la</w:t>
      </w:r>
      <w:r>
        <w:rPr>
          <w:spacing w:val="-6"/>
          <w:sz w:val="16"/>
        </w:rPr>
        <w:t xml:space="preserve"> </w:t>
      </w:r>
      <w:proofErr w:type="spellStart"/>
      <w:r>
        <w:rPr>
          <w:sz w:val="16"/>
        </w:rPr>
        <w:t>Loi</w:t>
      </w:r>
      <w:proofErr w:type="spellEnd"/>
      <w:r>
        <w:rPr>
          <w:sz w:val="16"/>
        </w:rPr>
        <w:t>,</w:t>
      </w:r>
      <w:r>
        <w:rPr>
          <w:spacing w:val="-6"/>
          <w:sz w:val="16"/>
        </w:rPr>
        <w:t xml:space="preserve"> </w:t>
      </w:r>
      <w:r>
        <w:rPr>
          <w:sz w:val="16"/>
        </w:rPr>
        <w:t>B-1049</w:t>
      </w:r>
      <w:r>
        <w:rPr>
          <w:spacing w:val="34"/>
          <w:sz w:val="16"/>
        </w:rPr>
        <w:t xml:space="preserve"> </w:t>
      </w:r>
      <w:proofErr w:type="spellStart"/>
      <w:r>
        <w:rPr>
          <w:spacing w:val="-1"/>
          <w:sz w:val="16"/>
        </w:rPr>
        <w:t>Bruxelles</w:t>
      </w:r>
      <w:proofErr w:type="spellEnd"/>
      <w:r>
        <w:rPr>
          <w:spacing w:val="36"/>
          <w:w w:val="99"/>
          <w:sz w:val="16"/>
        </w:rPr>
        <w:t xml:space="preserve"> </w:t>
      </w:r>
      <w:r>
        <w:rPr>
          <w:sz w:val="16"/>
        </w:rPr>
        <w:t>RSC</w:t>
      </w:r>
      <w:r>
        <w:rPr>
          <w:spacing w:val="-5"/>
          <w:sz w:val="16"/>
        </w:rPr>
        <w:t xml:space="preserve"> </w:t>
      </w:r>
      <w:r>
        <w:rPr>
          <w:spacing w:val="-1"/>
          <w:sz w:val="16"/>
        </w:rPr>
        <w:t>Secretariat,</w:t>
      </w:r>
      <w:r>
        <w:rPr>
          <w:spacing w:val="-4"/>
          <w:sz w:val="16"/>
        </w:rPr>
        <w:t xml:space="preserve"> </w:t>
      </w:r>
      <w:r>
        <w:rPr>
          <w:sz w:val="16"/>
        </w:rPr>
        <w:t>Avenue</w:t>
      </w:r>
      <w:r>
        <w:rPr>
          <w:spacing w:val="-5"/>
          <w:sz w:val="16"/>
        </w:rPr>
        <w:t xml:space="preserve"> </w:t>
      </w:r>
      <w:r>
        <w:rPr>
          <w:sz w:val="16"/>
        </w:rPr>
        <w:t>de</w:t>
      </w:r>
      <w:r>
        <w:rPr>
          <w:spacing w:val="-5"/>
          <w:sz w:val="16"/>
        </w:rPr>
        <w:t xml:space="preserve"> </w:t>
      </w:r>
      <w:r>
        <w:rPr>
          <w:sz w:val="16"/>
        </w:rPr>
        <w:t>Beaulieu</w:t>
      </w:r>
      <w:r>
        <w:rPr>
          <w:spacing w:val="-5"/>
          <w:sz w:val="16"/>
        </w:rPr>
        <w:t xml:space="preserve"> </w:t>
      </w:r>
      <w:r>
        <w:rPr>
          <w:sz w:val="16"/>
        </w:rPr>
        <w:t>33,</w:t>
      </w:r>
      <w:r>
        <w:rPr>
          <w:spacing w:val="-5"/>
          <w:sz w:val="16"/>
        </w:rPr>
        <w:t xml:space="preserve"> </w:t>
      </w:r>
      <w:r>
        <w:rPr>
          <w:sz w:val="16"/>
        </w:rPr>
        <w:t>B-1160</w:t>
      </w:r>
      <w:r>
        <w:rPr>
          <w:spacing w:val="38"/>
          <w:sz w:val="16"/>
        </w:rPr>
        <w:t xml:space="preserve"> </w:t>
      </w:r>
      <w:r>
        <w:rPr>
          <w:sz w:val="16"/>
        </w:rPr>
        <w:t>Brussels</w:t>
      </w:r>
      <w:r>
        <w:rPr>
          <w:spacing w:val="-3"/>
          <w:sz w:val="16"/>
        </w:rPr>
        <w:t xml:space="preserve"> </w:t>
      </w:r>
      <w:r>
        <w:rPr>
          <w:sz w:val="16"/>
        </w:rPr>
        <w:t>-</w:t>
      </w:r>
      <w:r>
        <w:rPr>
          <w:spacing w:val="-5"/>
          <w:sz w:val="16"/>
        </w:rPr>
        <w:t xml:space="preserve"> </w:t>
      </w:r>
      <w:r>
        <w:rPr>
          <w:spacing w:val="-1"/>
          <w:sz w:val="16"/>
        </w:rPr>
        <w:t>Belgium</w:t>
      </w:r>
      <w:r>
        <w:rPr>
          <w:spacing w:val="-5"/>
          <w:sz w:val="16"/>
        </w:rPr>
        <w:t xml:space="preserve"> </w:t>
      </w:r>
      <w:r>
        <w:rPr>
          <w:sz w:val="16"/>
        </w:rPr>
        <w:t>-</w:t>
      </w:r>
      <w:r>
        <w:rPr>
          <w:spacing w:val="-5"/>
          <w:sz w:val="16"/>
        </w:rPr>
        <w:t xml:space="preserve"> </w:t>
      </w:r>
      <w:r>
        <w:rPr>
          <w:spacing w:val="-1"/>
          <w:sz w:val="16"/>
        </w:rPr>
        <w:t>Office</w:t>
      </w:r>
      <w:r>
        <w:rPr>
          <w:spacing w:val="-4"/>
          <w:sz w:val="16"/>
        </w:rPr>
        <w:t xml:space="preserve"> </w:t>
      </w:r>
      <w:r>
        <w:rPr>
          <w:sz w:val="16"/>
        </w:rPr>
        <w:t>BU33</w:t>
      </w:r>
      <w:r>
        <w:rPr>
          <w:spacing w:val="-4"/>
          <w:sz w:val="16"/>
        </w:rPr>
        <w:t xml:space="preserve"> </w:t>
      </w:r>
      <w:r>
        <w:rPr>
          <w:sz w:val="16"/>
        </w:rPr>
        <w:t>7/09</w:t>
      </w:r>
    </w:p>
    <w:p w14:paraId="0A7D7C92" w14:textId="77777777" w:rsidR="00B52D8F" w:rsidRDefault="00B52D8F" w:rsidP="00B52D8F">
      <w:pPr>
        <w:spacing w:before="1"/>
        <w:ind w:left="512" w:right="2811"/>
        <w:rPr>
          <w:rFonts w:eastAsia="Arial" w:cs="Arial"/>
          <w:sz w:val="16"/>
          <w:szCs w:val="16"/>
        </w:rPr>
      </w:pPr>
      <w:r>
        <w:rPr>
          <w:sz w:val="16"/>
        </w:rPr>
        <w:t>Telephone:</w:t>
      </w:r>
      <w:r>
        <w:rPr>
          <w:spacing w:val="-8"/>
          <w:sz w:val="16"/>
        </w:rPr>
        <w:t xml:space="preserve"> </w:t>
      </w:r>
      <w:r>
        <w:rPr>
          <w:sz w:val="16"/>
        </w:rPr>
        <w:t>direct</w:t>
      </w:r>
      <w:r>
        <w:rPr>
          <w:spacing w:val="-9"/>
          <w:sz w:val="16"/>
        </w:rPr>
        <w:t xml:space="preserve"> </w:t>
      </w:r>
      <w:r>
        <w:rPr>
          <w:sz w:val="16"/>
        </w:rPr>
        <w:t>line</w:t>
      </w:r>
      <w:r>
        <w:rPr>
          <w:spacing w:val="-9"/>
          <w:sz w:val="16"/>
        </w:rPr>
        <w:t xml:space="preserve"> </w:t>
      </w:r>
      <w:r>
        <w:rPr>
          <w:sz w:val="16"/>
        </w:rPr>
        <w:t>(+32-2)295.6512,</w:t>
      </w:r>
      <w:r>
        <w:rPr>
          <w:spacing w:val="-8"/>
          <w:sz w:val="16"/>
        </w:rPr>
        <w:t xml:space="preserve"> </w:t>
      </w:r>
      <w:r>
        <w:rPr>
          <w:spacing w:val="-1"/>
          <w:sz w:val="16"/>
        </w:rPr>
        <w:t>switchboard</w:t>
      </w:r>
      <w:r>
        <w:rPr>
          <w:spacing w:val="-9"/>
          <w:sz w:val="16"/>
        </w:rPr>
        <w:t xml:space="preserve"> </w:t>
      </w:r>
      <w:r>
        <w:rPr>
          <w:sz w:val="16"/>
        </w:rPr>
        <w:t>(+32-2)299.11.11.</w:t>
      </w:r>
      <w:r>
        <w:rPr>
          <w:spacing w:val="-8"/>
          <w:sz w:val="16"/>
        </w:rPr>
        <w:t xml:space="preserve"> </w:t>
      </w:r>
      <w:r>
        <w:rPr>
          <w:spacing w:val="-1"/>
          <w:sz w:val="16"/>
        </w:rPr>
        <w:t>Fax:</w:t>
      </w:r>
      <w:r>
        <w:rPr>
          <w:spacing w:val="-8"/>
          <w:sz w:val="16"/>
        </w:rPr>
        <w:t xml:space="preserve"> </w:t>
      </w:r>
      <w:r>
        <w:rPr>
          <w:spacing w:val="-1"/>
          <w:sz w:val="16"/>
        </w:rPr>
        <w:t>(+32-2)</w:t>
      </w:r>
      <w:r>
        <w:rPr>
          <w:spacing w:val="-8"/>
          <w:sz w:val="16"/>
        </w:rPr>
        <w:t xml:space="preserve"> </w:t>
      </w:r>
      <w:r>
        <w:rPr>
          <w:sz w:val="16"/>
        </w:rPr>
        <w:t>296.38.95</w:t>
      </w:r>
      <w:r>
        <w:rPr>
          <w:spacing w:val="44"/>
          <w:w w:val="99"/>
          <w:sz w:val="16"/>
        </w:rPr>
        <w:t xml:space="preserve"> </w:t>
      </w:r>
      <w:r>
        <w:rPr>
          <w:spacing w:val="-1"/>
          <w:sz w:val="16"/>
        </w:rPr>
        <w:t>E-</w:t>
      </w:r>
      <w:proofErr w:type="gramStart"/>
      <w:r>
        <w:rPr>
          <w:spacing w:val="-1"/>
          <w:sz w:val="16"/>
        </w:rPr>
        <w:t>mail</w:t>
      </w:r>
      <w:r>
        <w:rPr>
          <w:spacing w:val="-12"/>
          <w:sz w:val="16"/>
        </w:rPr>
        <w:t xml:space="preserve"> </w:t>
      </w:r>
      <w:r>
        <w:rPr>
          <w:sz w:val="16"/>
        </w:rPr>
        <w:t>:</w:t>
      </w:r>
      <w:proofErr w:type="gramEnd"/>
      <w:r>
        <w:rPr>
          <w:spacing w:val="-11"/>
          <w:sz w:val="16"/>
        </w:rPr>
        <w:t xml:space="preserve"> </w:t>
      </w:r>
      <w:hyperlink r:id="rId34">
        <w:r>
          <w:rPr>
            <w:color w:val="0000FF"/>
            <w:spacing w:val="-1"/>
            <w:sz w:val="16"/>
            <w:u w:val="single" w:color="0000FF"/>
          </w:rPr>
          <w:t>cnect-rsc@ec.europa.eu</w:t>
        </w:r>
      </w:hyperlink>
    </w:p>
    <w:p w14:paraId="0A7D7C93" w14:textId="77777777" w:rsidR="00B52D8F" w:rsidRDefault="00B52D8F" w:rsidP="00B52D8F">
      <w:pPr>
        <w:rPr>
          <w:rFonts w:eastAsia="Arial" w:cs="Arial"/>
          <w:sz w:val="16"/>
          <w:szCs w:val="16"/>
        </w:rPr>
        <w:sectPr w:rsidR="00B52D8F">
          <w:type w:val="continuous"/>
          <w:pgSz w:w="11910" w:h="16840"/>
          <w:pgMar w:top="560" w:right="520" w:bottom="280" w:left="1360" w:header="708" w:footer="708" w:gutter="0"/>
          <w:cols w:space="708"/>
        </w:sectPr>
      </w:pPr>
    </w:p>
    <w:p w14:paraId="0A7D7C94" w14:textId="77777777" w:rsidR="00B52D8F" w:rsidRDefault="00B52D8F" w:rsidP="00B52D8F">
      <w:pPr>
        <w:widowControl w:val="0"/>
        <w:numPr>
          <w:ilvl w:val="0"/>
          <w:numId w:val="36"/>
        </w:numPr>
        <w:tabs>
          <w:tab w:val="left" w:pos="588"/>
        </w:tabs>
        <w:spacing w:before="58" w:after="0" w:line="240" w:lineRule="auto"/>
        <w:rPr>
          <w:rFonts w:ascii="Times New Roman" w:hAnsi="Times New Roman"/>
          <w:sz w:val="19"/>
          <w:szCs w:val="19"/>
        </w:rPr>
      </w:pPr>
      <w:r>
        <w:rPr>
          <w:rFonts w:ascii="Times New Roman"/>
          <w:b/>
          <w:spacing w:val="-1"/>
          <w:sz w:val="24"/>
        </w:rPr>
        <w:lastRenderedPageBreak/>
        <w:t>P</w:t>
      </w:r>
      <w:r>
        <w:rPr>
          <w:rFonts w:ascii="Times New Roman"/>
          <w:b/>
          <w:spacing w:val="-1"/>
          <w:sz w:val="19"/>
        </w:rPr>
        <w:t>URPOSE</w:t>
      </w:r>
    </w:p>
    <w:p w14:paraId="0A7D7C95" w14:textId="77777777" w:rsidR="00B52D8F" w:rsidRDefault="00B52D8F" w:rsidP="00B52D8F">
      <w:pPr>
        <w:spacing w:before="8"/>
        <w:rPr>
          <w:rFonts w:ascii="Times New Roman" w:hAnsi="Times New Roman"/>
          <w:b/>
          <w:bCs/>
          <w:szCs w:val="20"/>
        </w:rPr>
      </w:pPr>
    </w:p>
    <w:p w14:paraId="0A7D7C96" w14:textId="77777777" w:rsidR="00B52D8F" w:rsidRDefault="00B52D8F" w:rsidP="00B52D8F">
      <w:pPr>
        <w:pStyle w:val="BodyText"/>
        <w:ind w:left="590" w:right="117"/>
      </w:pPr>
      <w:r>
        <w:t>The</w:t>
      </w:r>
      <w:r>
        <w:rPr>
          <w:spacing w:val="47"/>
        </w:rPr>
        <w:t xml:space="preserve"> </w:t>
      </w:r>
      <w:r>
        <w:rPr>
          <w:spacing w:val="-1"/>
        </w:rPr>
        <w:t>underlying</w:t>
      </w:r>
      <w:r>
        <w:rPr>
          <w:spacing w:val="48"/>
        </w:rPr>
        <w:t xml:space="preserve"> </w:t>
      </w:r>
      <w:r>
        <w:rPr>
          <w:spacing w:val="-1"/>
        </w:rPr>
        <w:t>objective</w:t>
      </w:r>
      <w:r>
        <w:rPr>
          <w:spacing w:val="48"/>
        </w:rPr>
        <w:t xml:space="preserve"> </w:t>
      </w:r>
      <w:r>
        <w:t>of</w:t>
      </w:r>
      <w:r>
        <w:rPr>
          <w:spacing w:val="47"/>
        </w:rPr>
        <w:t xml:space="preserve"> </w:t>
      </w:r>
      <w:r>
        <w:t>this</w:t>
      </w:r>
      <w:r>
        <w:rPr>
          <w:spacing w:val="46"/>
        </w:rPr>
        <w:t xml:space="preserve"> </w:t>
      </w:r>
      <w:r>
        <w:rPr>
          <w:spacing w:val="-1"/>
        </w:rPr>
        <w:t>Mandate</w:t>
      </w:r>
      <w:r>
        <w:rPr>
          <w:spacing w:val="46"/>
        </w:rPr>
        <w:t xml:space="preserve"> </w:t>
      </w:r>
      <w:r>
        <w:t>is</w:t>
      </w:r>
      <w:r>
        <w:rPr>
          <w:spacing w:val="47"/>
        </w:rPr>
        <w:t xml:space="preserve"> </w:t>
      </w:r>
      <w:r>
        <w:t>to</w:t>
      </w:r>
      <w:r>
        <w:rPr>
          <w:spacing w:val="47"/>
        </w:rPr>
        <w:t xml:space="preserve"> </w:t>
      </w:r>
      <w:r>
        <w:t>provide</w:t>
      </w:r>
      <w:r>
        <w:rPr>
          <w:spacing w:val="46"/>
        </w:rPr>
        <w:t xml:space="preserve"> </w:t>
      </w:r>
      <w:r>
        <w:rPr>
          <w:spacing w:val="-1"/>
        </w:rPr>
        <w:t>the</w:t>
      </w:r>
      <w:r>
        <w:rPr>
          <w:spacing w:val="48"/>
        </w:rPr>
        <w:t xml:space="preserve"> </w:t>
      </w:r>
      <w:r>
        <w:rPr>
          <w:spacing w:val="-1"/>
        </w:rPr>
        <w:t>Commission</w:t>
      </w:r>
      <w:r>
        <w:rPr>
          <w:spacing w:val="47"/>
        </w:rPr>
        <w:t xml:space="preserve"> </w:t>
      </w:r>
      <w:r>
        <w:t>with</w:t>
      </w:r>
      <w:r>
        <w:rPr>
          <w:spacing w:val="47"/>
        </w:rPr>
        <w:t xml:space="preserve"> </w:t>
      </w:r>
      <w:r>
        <w:t>the</w:t>
      </w:r>
      <w:r>
        <w:rPr>
          <w:spacing w:val="65"/>
        </w:rPr>
        <w:t xml:space="preserve"> </w:t>
      </w:r>
      <w:r>
        <w:t>necessary</w:t>
      </w:r>
      <w:r>
        <w:rPr>
          <w:spacing w:val="10"/>
        </w:rPr>
        <w:t xml:space="preserve"> </w:t>
      </w:r>
      <w:r>
        <w:rPr>
          <w:spacing w:val="-1"/>
        </w:rPr>
        <w:t>information</w:t>
      </w:r>
      <w:r>
        <w:rPr>
          <w:spacing w:val="12"/>
        </w:rPr>
        <w:t xml:space="preserve"> </w:t>
      </w:r>
      <w:r>
        <w:t>to</w:t>
      </w:r>
      <w:r>
        <w:rPr>
          <w:spacing w:val="11"/>
        </w:rPr>
        <w:t xml:space="preserve"> </w:t>
      </w:r>
      <w:r>
        <w:rPr>
          <w:spacing w:val="-1"/>
        </w:rPr>
        <w:t>consider</w:t>
      </w:r>
      <w:r>
        <w:rPr>
          <w:spacing w:val="11"/>
        </w:rPr>
        <w:t xml:space="preserve"> </w:t>
      </w:r>
      <w:r>
        <w:t>the</w:t>
      </w:r>
      <w:r>
        <w:rPr>
          <w:spacing w:val="14"/>
        </w:rPr>
        <w:t xml:space="preserve"> </w:t>
      </w:r>
      <w:r>
        <w:rPr>
          <w:spacing w:val="-1"/>
        </w:rPr>
        <w:t>amendment</w:t>
      </w:r>
      <w:r>
        <w:rPr>
          <w:spacing w:val="12"/>
        </w:rPr>
        <w:t xml:space="preserve"> </w:t>
      </w:r>
      <w:r>
        <w:t>of</w:t>
      </w:r>
      <w:r>
        <w:rPr>
          <w:spacing w:val="12"/>
        </w:rPr>
        <w:t xml:space="preserve"> </w:t>
      </w:r>
      <w:r>
        <w:rPr>
          <w:spacing w:val="-1"/>
        </w:rPr>
        <w:t>Commission</w:t>
      </w:r>
      <w:r>
        <w:rPr>
          <w:spacing w:val="12"/>
        </w:rPr>
        <w:t xml:space="preserve"> </w:t>
      </w:r>
      <w:r>
        <w:rPr>
          <w:spacing w:val="-1"/>
        </w:rPr>
        <w:t>Decision</w:t>
      </w:r>
      <w:r>
        <w:rPr>
          <w:spacing w:val="67"/>
        </w:rPr>
        <w:t xml:space="preserve"> </w:t>
      </w:r>
      <w:r>
        <w:rPr>
          <w:spacing w:val="-1"/>
        </w:rPr>
        <w:t>2008/671/EC,</w:t>
      </w:r>
      <w:r>
        <w:rPr>
          <w:spacing w:val="43"/>
        </w:rPr>
        <w:t xml:space="preserve"> </w:t>
      </w:r>
      <w:r>
        <w:t>of</w:t>
      </w:r>
      <w:r>
        <w:rPr>
          <w:spacing w:val="43"/>
        </w:rPr>
        <w:t xml:space="preserve"> </w:t>
      </w:r>
      <w:r>
        <w:t>5</w:t>
      </w:r>
      <w:r>
        <w:rPr>
          <w:spacing w:val="45"/>
        </w:rPr>
        <w:t xml:space="preserve"> </w:t>
      </w:r>
      <w:r>
        <w:t>August</w:t>
      </w:r>
      <w:r>
        <w:rPr>
          <w:spacing w:val="44"/>
        </w:rPr>
        <w:t xml:space="preserve"> </w:t>
      </w:r>
      <w:r>
        <w:t>2008,</w:t>
      </w:r>
      <w:r>
        <w:rPr>
          <w:spacing w:val="42"/>
        </w:rPr>
        <w:t xml:space="preserve"> </w:t>
      </w:r>
      <w:r>
        <w:t>on</w:t>
      </w:r>
      <w:r>
        <w:rPr>
          <w:spacing w:val="44"/>
        </w:rPr>
        <w:t xml:space="preserve"> </w:t>
      </w:r>
      <w:r>
        <w:t>the</w:t>
      </w:r>
      <w:r>
        <w:rPr>
          <w:spacing w:val="44"/>
        </w:rPr>
        <w:t xml:space="preserve"> </w:t>
      </w:r>
      <w:r>
        <w:rPr>
          <w:spacing w:val="-1"/>
        </w:rPr>
        <w:t>harmonised</w:t>
      </w:r>
      <w:r>
        <w:rPr>
          <w:spacing w:val="44"/>
        </w:rPr>
        <w:t xml:space="preserve"> </w:t>
      </w:r>
      <w:r>
        <w:t>use</w:t>
      </w:r>
      <w:r>
        <w:rPr>
          <w:spacing w:val="44"/>
        </w:rPr>
        <w:t xml:space="preserve"> </w:t>
      </w:r>
      <w:r>
        <w:t>of</w:t>
      </w:r>
      <w:r>
        <w:rPr>
          <w:spacing w:val="43"/>
        </w:rPr>
        <w:t xml:space="preserve"> </w:t>
      </w:r>
      <w:r>
        <w:t>radio</w:t>
      </w:r>
      <w:r>
        <w:rPr>
          <w:spacing w:val="44"/>
        </w:rPr>
        <w:t xml:space="preserve"> </w:t>
      </w:r>
      <w:r>
        <w:rPr>
          <w:spacing w:val="-1"/>
        </w:rPr>
        <w:t>spectrum</w:t>
      </w:r>
      <w:r>
        <w:rPr>
          <w:spacing w:val="42"/>
        </w:rPr>
        <w:t xml:space="preserve"> </w:t>
      </w:r>
      <w:r>
        <w:t>in</w:t>
      </w:r>
      <w:r>
        <w:rPr>
          <w:spacing w:val="44"/>
        </w:rPr>
        <w:t xml:space="preserve"> </w:t>
      </w:r>
      <w:r>
        <w:t>the</w:t>
      </w:r>
      <w:r>
        <w:rPr>
          <w:spacing w:val="51"/>
        </w:rPr>
        <w:t xml:space="preserve"> </w:t>
      </w:r>
      <w:r>
        <w:t>5 875-5 905 MHz</w:t>
      </w:r>
      <w:r>
        <w:rPr>
          <w:spacing w:val="52"/>
        </w:rPr>
        <w:t xml:space="preserve"> </w:t>
      </w:r>
      <w:r>
        <w:t>frequency</w:t>
      </w:r>
      <w:r>
        <w:rPr>
          <w:spacing w:val="53"/>
        </w:rPr>
        <w:t xml:space="preserve"> </w:t>
      </w:r>
      <w:r>
        <w:t>band</w:t>
      </w:r>
      <w:r>
        <w:rPr>
          <w:spacing w:val="51"/>
        </w:rPr>
        <w:t xml:space="preserve"> </w:t>
      </w:r>
      <w:r>
        <w:t>for</w:t>
      </w:r>
      <w:r>
        <w:rPr>
          <w:spacing w:val="52"/>
        </w:rPr>
        <w:t xml:space="preserve"> </w:t>
      </w:r>
      <w:r>
        <w:t>safety-related</w:t>
      </w:r>
      <w:r>
        <w:rPr>
          <w:spacing w:val="51"/>
        </w:rPr>
        <w:t xml:space="preserve"> </w:t>
      </w:r>
      <w:r>
        <w:rPr>
          <w:spacing w:val="-1"/>
        </w:rPr>
        <w:t>applications</w:t>
      </w:r>
      <w:r>
        <w:rPr>
          <w:spacing w:val="51"/>
        </w:rPr>
        <w:t xml:space="preserve"> </w:t>
      </w:r>
      <w:r>
        <w:rPr>
          <w:spacing w:val="-1"/>
        </w:rPr>
        <w:t>of</w:t>
      </w:r>
      <w:r>
        <w:rPr>
          <w:spacing w:val="51"/>
        </w:rPr>
        <w:t xml:space="preserve"> </w:t>
      </w:r>
      <w:r>
        <w:rPr>
          <w:spacing w:val="-1"/>
        </w:rPr>
        <w:t>Intelligent</w:t>
      </w:r>
      <w:r>
        <w:rPr>
          <w:spacing w:val="41"/>
        </w:rPr>
        <w:t xml:space="preserve"> </w:t>
      </w:r>
      <w:r>
        <w:t xml:space="preserve">Transport </w:t>
      </w:r>
      <w:r>
        <w:rPr>
          <w:spacing w:val="-1"/>
        </w:rPr>
        <w:t>Systems</w:t>
      </w:r>
      <w:r>
        <w:t xml:space="preserve"> (ITS).</w:t>
      </w:r>
    </w:p>
    <w:p w14:paraId="0A7D7C97" w14:textId="77777777" w:rsidR="00B52D8F" w:rsidRDefault="00B52D8F" w:rsidP="00B52D8F">
      <w:pPr>
        <w:spacing w:before="10"/>
        <w:rPr>
          <w:rFonts w:ascii="Times New Roman" w:hAnsi="Times New Roman"/>
          <w:szCs w:val="20"/>
        </w:rPr>
      </w:pPr>
    </w:p>
    <w:p w14:paraId="0A7D7C98" w14:textId="77777777" w:rsidR="00B52D8F" w:rsidRDefault="00B52D8F" w:rsidP="005F5E47">
      <w:pPr>
        <w:pStyle w:val="BodyText"/>
        <w:ind w:firstLine="590"/>
      </w:pPr>
      <w:r>
        <w:t xml:space="preserve">In </w:t>
      </w:r>
      <w:r>
        <w:rPr>
          <w:spacing w:val="-1"/>
        </w:rPr>
        <w:t>particular,</w:t>
      </w:r>
      <w:r>
        <w:t xml:space="preserve"> the </w:t>
      </w:r>
      <w:r>
        <w:rPr>
          <w:spacing w:val="-1"/>
        </w:rPr>
        <w:t>purpose</w:t>
      </w:r>
      <w:r>
        <w:t xml:space="preserve"> of this </w:t>
      </w:r>
      <w:r>
        <w:rPr>
          <w:spacing w:val="-1"/>
        </w:rPr>
        <w:t>mandate</w:t>
      </w:r>
      <w:r>
        <w:t xml:space="preserve"> is to </w:t>
      </w:r>
      <w:r>
        <w:rPr>
          <w:spacing w:val="-1"/>
        </w:rPr>
        <w:t>study</w:t>
      </w:r>
      <w:r>
        <w:t xml:space="preserve"> the possibility</w:t>
      </w:r>
      <w:r>
        <w:rPr>
          <w:spacing w:val="1"/>
        </w:rPr>
        <w:t xml:space="preserve"> </w:t>
      </w:r>
      <w:r>
        <w:rPr>
          <w:spacing w:val="-1"/>
        </w:rPr>
        <w:t>of:</w:t>
      </w:r>
    </w:p>
    <w:p w14:paraId="0A7D7C99" w14:textId="77777777" w:rsidR="00B52D8F" w:rsidRDefault="00B52D8F" w:rsidP="00B52D8F">
      <w:pPr>
        <w:pStyle w:val="BodyText"/>
        <w:widowControl w:val="0"/>
        <w:numPr>
          <w:ilvl w:val="1"/>
          <w:numId w:val="36"/>
        </w:numPr>
        <w:tabs>
          <w:tab w:val="left" w:pos="1308"/>
        </w:tabs>
        <w:spacing w:after="0" w:line="240" w:lineRule="auto"/>
        <w:ind w:right="116"/>
      </w:pPr>
      <w:r>
        <w:t>Extending</w:t>
      </w:r>
      <w:r>
        <w:rPr>
          <w:spacing w:val="2"/>
        </w:rPr>
        <w:t xml:space="preserve"> </w:t>
      </w:r>
      <w:r>
        <w:rPr>
          <w:spacing w:val="-1"/>
        </w:rPr>
        <w:t>the</w:t>
      </w:r>
      <w:r>
        <w:rPr>
          <w:spacing w:val="2"/>
        </w:rPr>
        <w:t xml:space="preserve"> </w:t>
      </w:r>
      <w:proofErr w:type="gramStart"/>
      <w:r>
        <w:t xml:space="preserve">upper </w:t>
      </w:r>
      <w:r>
        <w:rPr>
          <w:spacing w:val="2"/>
        </w:rPr>
        <w:t xml:space="preserve"> </w:t>
      </w:r>
      <w:r>
        <w:t>edge</w:t>
      </w:r>
      <w:proofErr w:type="gramEnd"/>
      <w:r>
        <w:t xml:space="preserve"> </w:t>
      </w:r>
      <w:r>
        <w:rPr>
          <w:spacing w:val="2"/>
        </w:rPr>
        <w:t xml:space="preserve"> </w:t>
      </w:r>
      <w:r>
        <w:t xml:space="preserve">of </w:t>
      </w:r>
      <w:r>
        <w:rPr>
          <w:spacing w:val="1"/>
        </w:rPr>
        <w:t xml:space="preserve"> </w:t>
      </w:r>
      <w:r>
        <w:t xml:space="preserve">the </w:t>
      </w:r>
      <w:r>
        <w:rPr>
          <w:spacing w:val="3"/>
        </w:rPr>
        <w:t xml:space="preserve"> </w:t>
      </w:r>
      <w:r>
        <w:t xml:space="preserve">EC </w:t>
      </w:r>
      <w:r>
        <w:rPr>
          <w:spacing w:val="1"/>
        </w:rPr>
        <w:t xml:space="preserve"> </w:t>
      </w:r>
      <w:r>
        <w:rPr>
          <w:spacing w:val="-1"/>
        </w:rPr>
        <w:t>harmonised</w:t>
      </w:r>
      <w:r>
        <w:t xml:space="preserve"> </w:t>
      </w:r>
      <w:r>
        <w:rPr>
          <w:spacing w:val="5"/>
        </w:rPr>
        <w:t xml:space="preserve"> </w:t>
      </w:r>
      <w:r>
        <w:rPr>
          <w:spacing w:val="-1"/>
        </w:rPr>
        <w:t>safety-related</w:t>
      </w:r>
      <w:r>
        <w:t xml:space="preserve"> </w:t>
      </w:r>
      <w:r>
        <w:rPr>
          <w:spacing w:val="2"/>
        </w:rPr>
        <w:t xml:space="preserve"> </w:t>
      </w:r>
      <w:r>
        <w:t>ITS  band</w:t>
      </w:r>
      <w:r>
        <w:rPr>
          <w:spacing w:val="49"/>
        </w:rPr>
        <w:t xml:space="preserve"> </w:t>
      </w:r>
      <w:r>
        <w:t xml:space="preserve">(5 875-5 </w:t>
      </w:r>
      <w:r>
        <w:rPr>
          <w:spacing w:val="-1"/>
        </w:rPr>
        <w:t>905</w:t>
      </w:r>
      <w:r>
        <w:t xml:space="preserve"> MHz) by 20 MHz up to 5 925 MHz.</w:t>
      </w:r>
    </w:p>
    <w:p w14:paraId="0A7D7C9A" w14:textId="77777777" w:rsidR="00B52D8F" w:rsidRDefault="00B52D8F" w:rsidP="00B52D8F">
      <w:pPr>
        <w:pStyle w:val="BodyText"/>
        <w:widowControl w:val="0"/>
        <w:numPr>
          <w:ilvl w:val="1"/>
          <w:numId w:val="36"/>
        </w:numPr>
        <w:tabs>
          <w:tab w:val="left" w:pos="1308"/>
        </w:tabs>
        <w:spacing w:before="16" w:after="0" w:line="224" w:lineRule="auto"/>
        <w:ind w:right="116"/>
      </w:pPr>
      <w:r>
        <w:t>In</w:t>
      </w:r>
      <w:r>
        <w:rPr>
          <w:spacing w:val="7"/>
        </w:rPr>
        <w:t xml:space="preserve"> </w:t>
      </w:r>
      <w:r>
        <w:t>addition</w:t>
      </w:r>
      <w:r>
        <w:rPr>
          <w:spacing w:val="6"/>
        </w:rPr>
        <w:t xml:space="preserve"> </w:t>
      </w:r>
      <w:r>
        <w:t>to</w:t>
      </w:r>
      <w:r>
        <w:rPr>
          <w:spacing w:val="6"/>
        </w:rPr>
        <w:t xml:space="preserve"> </w:t>
      </w:r>
      <w:r>
        <w:t>road</w:t>
      </w:r>
      <w:r>
        <w:rPr>
          <w:spacing w:val="6"/>
        </w:rPr>
        <w:t xml:space="preserve"> </w:t>
      </w:r>
      <w:r>
        <w:rPr>
          <w:spacing w:val="-1"/>
        </w:rPr>
        <w:t>transport,</w:t>
      </w:r>
      <w:r>
        <w:rPr>
          <w:spacing w:val="6"/>
        </w:rPr>
        <w:t xml:space="preserve"> </w:t>
      </w:r>
      <w:r>
        <w:t>allowing</w:t>
      </w:r>
      <w:r>
        <w:rPr>
          <w:spacing w:val="7"/>
        </w:rPr>
        <w:t xml:space="preserve"> </w:t>
      </w:r>
      <w:r>
        <w:t>other</w:t>
      </w:r>
      <w:r>
        <w:rPr>
          <w:spacing w:val="7"/>
        </w:rPr>
        <w:t xml:space="preserve"> </w:t>
      </w:r>
      <w:r>
        <w:rPr>
          <w:spacing w:val="-1"/>
        </w:rPr>
        <w:t>means</w:t>
      </w:r>
      <w:r>
        <w:rPr>
          <w:spacing w:val="7"/>
        </w:rPr>
        <w:t xml:space="preserve"> </w:t>
      </w:r>
      <w:r>
        <w:t>of</w:t>
      </w:r>
      <w:r>
        <w:rPr>
          <w:spacing w:val="6"/>
        </w:rPr>
        <w:t xml:space="preserve"> </w:t>
      </w:r>
      <w:r>
        <w:rPr>
          <w:spacing w:val="-1"/>
        </w:rPr>
        <w:t>transport</w:t>
      </w:r>
      <w:r>
        <w:rPr>
          <w:spacing w:val="7"/>
        </w:rPr>
        <w:t xml:space="preserve"> </w:t>
      </w:r>
      <w:r>
        <w:t>such</w:t>
      </w:r>
      <w:r>
        <w:rPr>
          <w:spacing w:val="7"/>
        </w:rPr>
        <w:t xml:space="preserve"> </w:t>
      </w:r>
      <w:r>
        <w:rPr>
          <w:spacing w:val="-1"/>
        </w:rPr>
        <w:t>as</w:t>
      </w:r>
      <w:r>
        <w:rPr>
          <w:spacing w:val="8"/>
        </w:rPr>
        <w:t xml:space="preserve"> </w:t>
      </w:r>
      <w:r>
        <w:t>Urban</w:t>
      </w:r>
      <w:r>
        <w:rPr>
          <w:spacing w:val="43"/>
        </w:rPr>
        <w:t xml:space="preserve"> </w:t>
      </w:r>
      <w:r>
        <w:rPr>
          <w:spacing w:val="-1"/>
        </w:rPr>
        <w:t>Rail</w:t>
      </w:r>
      <w:r>
        <w:rPr>
          <w:spacing w:val="-1"/>
          <w:position w:val="11"/>
          <w:sz w:val="16"/>
        </w:rPr>
        <w:t>1</w:t>
      </w:r>
      <w:r>
        <w:rPr>
          <w:spacing w:val="33"/>
          <w:position w:val="11"/>
          <w:sz w:val="16"/>
        </w:rPr>
        <w:t xml:space="preserve"> </w:t>
      </w:r>
      <w:r>
        <w:t>(using</w:t>
      </w:r>
      <w:r>
        <w:rPr>
          <w:spacing w:val="33"/>
        </w:rPr>
        <w:t xml:space="preserve"> </w:t>
      </w:r>
      <w:r>
        <w:rPr>
          <w:spacing w:val="-1"/>
        </w:rPr>
        <w:t>Communication</w:t>
      </w:r>
      <w:r>
        <w:rPr>
          <w:spacing w:val="35"/>
        </w:rPr>
        <w:t xml:space="preserve"> </w:t>
      </w:r>
      <w:r>
        <w:rPr>
          <w:spacing w:val="-1"/>
        </w:rPr>
        <w:t>Based</w:t>
      </w:r>
      <w:r>
        <w:rPr>
          <w:spacing w:val="31"/>
        </w:rPr>
        <w:t xml:space="preserve"> </w:t>
      </w:r>
      <w:r>
        <w:rPr>
          <w:spacing w:val="-1"/>
        </w:rPr>
        <w:t>Train</w:t>
      </w:r>
      <w:r>
        <w:rPr>
          <w:spacing w:val="34"/>
        </w:rPr>
        <w:t xml:space="preserve"> </w:t>
      </w:r>
      <w:r>
        <w:rPr>
          <w:spacing w:val="-1"/>
        </w:rPr>
        <w:t>Control,</w:t>
      </w:r>
      <w:r>
        <w:rPr>
          <w:spacing w:val="33"/>
        </w:rPr>
        <w:t xml:space="preserve"> </w:t>
      </w:r>
      <w:r>
        <w:rPr>
          <w:spacing w:val="-1"/>
        </w:rPr>
        <w:t>(CBTC))</w:t>
      </w:r>
      <w:r>
        <w:rPr>
          <w:spacing w:val="34"/>
        </w:rPr>
        <w:t xml:space="preserve"> </w:t>
      </w:r>
      <w:r>
        <w:t>in</w:t>
      </w:r>
      <w:r>
        <w:rPr>
          <w:spacing w:val="32"/>
        </w:rPr>
        <w:t xml:space="preserve"> </w:t>
      </w:r>
      <w:r>
        <w:t>the</w:t>
      </w:r>
      <w:r>
        <w:rPr>
          <w:spacing w:val="32"/>
        </w:rPr>
        <w:t xml:space="preserve"> </w:t>
      </w:r>
      <w:r>
        <w:t>EC</w:t>
      </w:r>
      <w:r>
        <w:rPr>
          <w:spacing w:val="65"/>
        </w:rPr>
        <w:t xml:space="preserve"> </w:t>
      </w:r>
      <w:r>
        <w:rPr>
          <w:spacing w:val="-1"/>
        </w:rPr>
        <w:t>harmonised</w:t>
      </w:r>
      <w:r>
        <w:t xml:space="preserve"> </w:t>
      </w:r>
      <w:r>
        <w:rPr>
          <w:spacing w:val="-1"/>
        </w:rPr>
        <w:t>safety-related</w:t>
      </w:r>
      <w:r>
        <w:t xml:space="preserve"> ITS band.</w:t>
      </w:r>
    </w:p>
    <w:p w14:paraId="0A7D7C9B" w14:textId="77777777" w:rsidR="00B52D8F" w:rsidRDefault="00B52D8F" w:rsidP="00B52D8F">
      <w:pPr>
        <w:rPr>
          <w:rFonts w:ascii="Times New Roman" w:hAnsi="Times New Roman"/>
          <w:sz w:val="24"/>
        </w:rPr>
      </w:pPr>
    </w:p>
    <w:p w14:paraId="0A7D7C9C" w14:textId="77777777" w:rsidR="00B52D8F" w:rsidRDefault="00B52D8F" w:rsidP="00B52D8F">
      <w:pPr>
        <w:widowControl w:val="0"/>
        <w:numPr>
          <w:ilvl w:val="0"/>
          <w:numId w:val="36"/>
        </w:numPr>
        <w:tabs>
          <w:tab w:val="left" w:pos="588"/>
        </w:tabs>
        <w:spacing w:before="209" w:after="0" w:line="240" w:lineRule="auto"/>
        <w:rPr>
          <w:rFonts w:ascii="Times New Roman" w:hAnsi="Times New Roman"/>
          <w:sz w:val="19"/>
          <w:szCs w:val="19"/>
        </w:rPr>
      </w:pPr>
      <w:r>
        <w:rPr>
          <w:rFonts w:ascii="Times New Roman"/>
          <w:b/>
          <w:spacing w:val="-1"/>
          <w:sz w:val="24"/>
        </w:rPr>
        <w:t>EU</w:t>
      </w:r>
      <w:r>
        <w:rPr>
          <w:rFonts w:ascii="Times New Roman"/>
          <w:b/>
          <w:spacing w:val="-21"/>
          <w:sz w:val="24"/>
        </w:rPr>
        <w:t xml:space="preserve"> </w:t>
      </w:r>
      <w:r>
        <w:rPr>
          <w:rFonts w:ascii="Times New Roman"/>
          <w:b/>
          <w:spacing w:val="-1"/>
          <w:sz w:val="24"/>
        </w:rPr>
        <w:t>P</w:t>
      </w:r>
      <w:r>
        <w:rPr>
          <w:rFonts w:ascii="Times New Roman"/>
          <w:b/>
          <w:spacing w:val="-1"/>
          <w:sz w:val="19"/>
        </w:rPr>
        <w:t>OLICY</w:t>
      </w:r>
      <w:r>
        <w:rPr>
          <w:rFonts w:ascii="Times New Roman"/>
          <w:b/>
          <w:spacing w:val="-7"/>
          <w:sz w:val="19"/>
        </w:rPr>
        <w:t xml:space="preserve"> </w:t>
      </w:r>
      <w:r>
        <w:rPr>
          <w:rFonts w:ascii="Times New Roman"/>
          <w:b/>
          <w:sz w:val="19"/>
        </w:rPr>
        <w:t>CONTEXT</w:t>
      </w:r>
    </w:p>
    <w:p w14:paraId="0A7D7C9D" w14:textId="77777777" w:rsidR="00B52D8F" w:rsidRDefault="00B52D8F" w:rsidP="00B52D8F">
      <w:pPr>
        <w:pStyle w:val="BodyText"/>
        <w:spacing w:line="276" w:lineRule="exact"/>
        <w:ind w:left="590" w:right="116"/>
      </w:pPr>
      <w:r>
        <w:t>Mobility</w:t>
      </w:r>
      <w:r>
        <w:rPr>
          <w:spacing w:val="24"/>
        </w:rPr>
        <w:t xml:space="preserve"> </w:t>
      </w:r>
      <w:r>
        <w:rPr>
          <w:spacing w:val="-1"/>
        </w:rPr>
        <w:t>has</w:t>
      </w:r>
      <w:r>
        <w:rPr>
          <w:spacing w:val="24"/>
        </w:rPr>
        <w:t xml:space="preserve"> </w:t>
      </w:r>
      <w:r>
        <w:t>an</w:t>
      </w:r>
      <w:r>
        <w:rPr>
          <w:spacing w:val="24"/>
        </w:rPr>
        <w:t xml:space="preserve"> </w:t>
      </w:r>
      <w:r>
        <w:rPr>
          <w:spacing w:val="-1"/>
        </w:rPr>
        <w:t>important</w:t>
      </w:r>
      <w:r>
        <w:rPr>
          <w:spacing w:val="24"/>
        </w:rPr>
        <w:t xml:space="preserve"> </w:t>
      </w:r>
      <w:r>
        <w:t>role</w:t>
      </w:r>
      <w:r>
        <w:rPr>
          <w:spacing w:val="24"/>
        </w:rPr>
        <w:t xml:space="preserve"> </w:t>
      </w:r>
      <w:r>
        <w:t>in</w:t>
      </w:r>
      <w:r>
        <w:rPr>
          <w:spacing w:val="24"/>
        </w:rPr>
        <w:t xml:space="preserve"> </w:t>
      </w:r>
      <w:r>
        <w:t>modern</w:t>
      </w:r>
      <w:r>
        <w:rPr>
          <w:spacing w:val="23"/>
        </w:rPr>
        <w:t xml:space="preserve"> </w:t>
      </w:r>
      <w:r>
        <w:t>day</w:t>
      </w:r>
      <w:r>
        <w:rPr>
          <w:spacing w:val="24"/>
        </w:rPr>
        <w:t xml:space="preserve"> </w:t>
      </w:r>
      <w:r>
        <w:t>society</w:t>
      </w:r>
      <w:r>
        <w:rPr>
          <w:spacing w:val="25"/>
        </w:rPr>
        <w:t xml:space="preserve"> </w:t>
      </w:r>
      <w:r>
        <w:t>and</w:t>
      </w:r>
      <w:r>
        <w:rPr>
          <w:spacing w:val="22"/>
        </w:rPr>
        <w:t xml:space="preserve"> </w:t>
      </w:r>
      <w:r>
        <w:rPr>
          <w:spacing w:val="-1"/>
        </w:rPr>
        <w:t>substantially</w:t>
      </w:r>
      <w:r>
        <w:rPr>
          <w:spacing w:val="23"/>
        </w:rPr>
        <w:t xml:space="preserve"> </w:t>
      </w:r>
      <w:r>
        <w:rPr>
          <w:spacing w:val="-1"/>
        </w:rPr>
        <w:t>impacts</w:t>
      </w:r>
      <w:r>
        <w:rPr>
          <w:spacing w:val="24"/>
        </w:rPr>
        <w:t xml:space="preserve"> </w:t>
      </w:r>
      <w:r>
        <w:t>our</w:t>
      </w:r>
      <w:r>
        <w:rPr>
          <w:spacing w:val="51"/>
        </w:rPr>
        <w:t xml:space="preserve"> </w:t>
      </w:r>
      <w:r>
        <w:t>lives</w:t>
      </w:r>
      <w:r>
        <w:rPr>
          <w:spacing w:val="26"/>
        </w:rPr>
        <w:t xml:space="preserve"> </w:t>
      </w:r>
      <w:r>
        <w:t>and</w:t>
      </w:r>
      <w:r>
        <w:rPr>
          <w:spacing w:val="26"/>
        </w:rPr>
        <w:t xml:space="preserve"> </w:t>
      </w:r>
      <w:r>
        <w:rPr>
          <w:spacing w:val="-1"/>
        </w:rPr>
        <w:t>the</w:t>
      </w:r>
      <w:r>
        <w:rPr>
          <w:spacing w:val="27"/>
        </w:rPr>
        <w:t xml:space="preserve"> </w:t>
      </w:r>
      <w:r>
        <w:t>EU</w:t>
      </w:r>
      <w:r>
        <w:rPr>
          <w:spacing w:val="27"/>
        </w:rPr>
        <w:t xml:space="preserve"> </w:t>
      </w:r>
      <w:r>
        <w:rPr>
          <w:spacing w:val="-1"/>
        </w:rPr>
        <w:t>economy.</w:t>
      </w:r>
      <w:r>
        <w:rPr>
          <w:spacing w:val="27"/>
        </w:rPr>
        <w:t xml:space="preserve"> </w:t>
      </w:r>
      <w:r>
        <w:rPr>
          <w:spacing w:val="-1"/>
        </w:rPr>
        <w:t>Among</w:t>
      </w:r>
      <w:r>
        <w:rPr>
          <w:spacing w:val="28"/>
        </w:rPr>
        <w:t xml:space="preserve"> </w:t>
      </w:r>
      <w:r>
        <w:t>the</w:t>
      </w:r>
      <w:r>
        <w:rPr>
          <w:spacing w:val="26"/>
        </w:rPr>
        <w:t xml:space="preserve"> </w:t>
      </w:r>
      <w:r>
        <w:t>top</w:t>
      </w:r>
      <w:r>
        <w:rPr>
          <w:spacing w:val="26"/>
        </w:rPr>
        <w:t xml:space="preserve"> </w:t>
      </w:r>
      <w:r>
        <w:t>challenges</w:t>
      </w:r>
      <w:r>
        <w:rPr>
          <w:spacing w:val="27"/>
        </w:rPr>
        <w:t xml:space="preserve"> </w:t>
      </w:r>
      <w:r>
        <w:rPr>
          <w:spacing w:val="-1"/>
        </w:rPr>
        <w:t>are</w:t>
      </w:r>
      <w:r>
        <w:rPr>
          <w:spacing w:val="26"/>
        </w:rPr>
        <w:t xml:space="preserve"> </w:t>
      </w:r>
      <w:r>
        <w:t>road</w:t>
      </w:r>
      <w:r>
        <w:rPr>
          <w:spacing w:val="26"/>
        </w:rPr>
        <w:t xml:space="preserve"> </w:t>
      </w:r>
      <w:r>
        <w:t>safety</w:t>
      </w:r>
      <w:r>
        <w:rPr>
          <w:spacing w:val="26"/>
        </w:rPr>
        <w:t xml:space="preserve"> </w:t>
      </w:r>
      <w:r>
        <w:t>(over</w:t>
      </w:r>
      <w:r>
        <w:rPr>
          <w:spacing w:val="28"/>
        </w:rPr>
        <w:t xml:space="preserve"> </w:t>
      </w:r>
      <w:r>
        <w:t>26 000</w:t>
      </w:r>
      <w:r>
        <w:rPr>
          <w:spacing w:val="31"/>
        </w:rPr>
        <w:t xml:space="preserve"> </w:t>
      </w:r>
      <w:r>
        <w:t>people</w:t>
      </w:r>
      <w:r>
        <w:rPr>
          <w:spacing w:val="6"/>
        </w:rPr>
        <w:t xml:space="preserve"> </w:t>
      </w:r>
      <w:r>
        <w:rPr>
          <w:spacing w:val="-1"/>
        </w:rPr>
        <w:t>died</w:t>
      </w:r>
      <w:r>
        <w:rPr>
          <w:spacing w:val="6"/>
        </w:rPr>
        <w:t xml:space="preserve"> </w:t>
      </w:r>
      <w:r>
        <w:t>on</w:t>
      </w:r>
      <w:r>
        <w:rPr>
          <w:spacing w:val="6"/>
        </w:rPr>
        <w:t xml:space="preserve"> </w:t>
      </w:r>
      <w:r>
        <w:t>European</w:t>
      </w:r>
      <w:r>
        <w:rPr>
          <w:spacing w:val="5"/>
        </w:rPr>
        <w:t xml:space="preserve"> </w:t>
      </w:r>
      <w:r>
        <w:t>roads</w:t>
      </w:r>
      <w:r>
        <w:rPr>
          <w:spacing w:val="7"/>
        </w:rPr>
        <w:t xml:space="preserve"> </w:t>
      </w:r>
      <w:r>
        <w:t>in</w:t>
      </w:r>
      <w:r>
        <w:rPr>
          <w:spacing w:val="7"/>
        </w:rPr>
        <w:t xml:space="preserve"> </w:t>
      </w:r>
      <w:r>
        <w:t>2015</w:t>
      </w:r>
      <w:r>
        <w:rPr>
          <w:position w:val="11"/>
          <w:sz w:val="16"/>
        </w:rPr>
        <w:t>2</w:t>
      </w:r>
      <w:r>
        <w:t>),</w:t>
      </w:r>
      <w:r>
        <w:rPr>
          <w:spacing w:val="7"/>
        </w:rPr>
        <w:t xml:space="preserve"> </w:t>
      </w:r>
      <w:r>
        <w:t>the</w:t>
      </w:r>
      <w:r>
        <w:rPr>
          <w:spacing w:val="7"/>
        </w:rPr>
        <w:t xml:space="preserve"> </w:t>
      </w:r>
      <w:r>
        <w:rPr>
          <w:spacing w:val="-1"/>
        </w:rPr>
        <w:t>environmental</w:t>
      </w:r>
      <w:r>
        <w:rPr>
          <w:spacing w:val="7"/>
        </w:rPr>
        <w:t xml:space="preserve"> </w:t>
      </w:r>
      <w:r>
        <w:rPr>
          <w:spacing w:val="-1"/>
        </w:rPr>
        <w:t>impact</w:t>
      </w:r>
      <w:r>
        <w:rPr>
          <w:spacing w:val="7"/>
        </w:rPr>
        <w:t xml:space="preserve"> </w:t>
      </w:r>
      <w:r>
        <w:t>(road</w:t>
      </w:r>
      <w:r>
        <w:rPr>
          <w:spacing w:val="6"/>
        </w:rPr>
        <w:t xml:space="preserve"> </w:t>
      </w:r>
      <w:r>
        <w:rPr>
          <w:spacing w:val="-1"/>
        </w:rPr>
        <w:t>transport</w:t>
      </w:r>
      <w:r>
        <w:rPr>
          <w:spacing w:val="6"/>
        </w:rPr>
        <w:t xml:space="preserve"> </w:t>
      </w:r>
      <w:r>
        <w:t>is</w:t>
      </w:r>
      <w:r>
        <w:rPr>
          <w:spacing w:val="53"/>
        </w:rPr>
        <w:t xml:space="preserve"> </w:t>
      </w:r>
      <w:r>
        <w:t>the</w:t>
      </w:r>
      <w:r>
        <w:rPr>
          <w:spacing w:val="36"/>
        </w:rPr>
        <w:t xml:space="preserve"> </w:t>
      </w:r>
      <w:r>
        <w:rPr>
          <w:spacing w:val="-1"/>
        </w:rPr>
        <w:t>main</w:t>
      </w:r>
      <w:r>
        <w:rPr>
          <w:spacing w:val="37"/>
        </w:rPr>
        <w:t xml:space="preserve"> </w:t>
      </w:r>
      <w:r>
        <w:t>responsible</w:t>
      </w:r>
      <w:r>
        <w:rPr>
          <w:spacing w:val="37"/>
        </w:rPr>
        <w:t xml:space="preserve"> </w:t>
      </w:r>
      <w:r>
        <w:rPr>
          <w:spacing w:val="-1"/>
        </w:rPr>
        <w:t>for</w:t>
      </w:r>
      <w:r>
        <w:rPr>
          <w:spacing w:val="38"/>
        </w:rPr>
        <w:t xml:space="preserve"> </w:t>
      </w:r>
      <w:r>
        <w:t>Nitrogen</w:t>
      </w:r>
      <w:r>
        <w:rPr>
          <w:spacing w:val="36"/>
        </w:rPr>
        <w:t xml:space="preserve"> </w:t>
      </w:r>
      <w:r>
        <w:t>Oxides</w:t>
      </w:r>
      <w:r>
        <w:rPr>
          <w:spacing w:val="37"/>
        </w:rPr>
        <w:t xml:space="preserve"> </w:t>
      </w:r>
      <w:r>
        <w:rPr>
          <w:spacing w:val="-1"/>
        </w:rPr>
        <w:t>(NOx)</w:t>
      </w:r>
      <w:r>
        <w:rPr>
          <w:spacing w:val="37"/>
        </w:rPr>
        <w:t xml:space="preserve"> </w:t>
      </w:r>
      <w:r>
        <w:rPr>
          <w:spacing w:val="-1"/>
        </w:rPr>
        <w:t>emissions</w:t>
      </w:r>
      <w:r>
        <w:rPr>
          <w:spacing w:val="37"/>
        </w:rPr>
        <w:t xml:space="preserve"> </w:t>
      </w:r>
      <w:r>
        <w:t>in</w:t>
      </w:r>
      <w:r>
        <w:rPr>
          <w:spacing w:val="37"/>
        </w:rPr>
        <w:t xml:space="preserve"> </w:t>
      </w:r>
      <w:r>
        <w:t>the</w:t>
      </w:r>
      <w:r>
        <w:rPr>
          <w:spacing w:val="37"/>
        </w:rPr>
        <w:t xml:space="preserve"> </w:t>
      </w:r>
      <w:r>
        <w:t>EU</w:t>
      </w:r>
      <w:proofErr w:type="gramStart"/>
      <w:r>
        <w:t>)</w:t>
      </w:r>
      <w:r>
        <w:rPr>
          <w:position w:val="11"/>
          <w:sz w:val="16"/>
        </w:rPr>
        <w:t>3</w:t>
      </w:r>
      <w:proofErr w:type="gramEnd"/>
      <w:r>
        <w:t>,</w:t>
      </w:r>
      <w:r>
        <w:rPr>
          <w:spacing w:val="36"/>
        </w:rPr>
        <w:t xml:space="preserve"> </w:t>
      </w:r>
      <w:r>
        <w:rPr>
          <w:spacing w:val="-1"/>
        </w:rPr>
        <w:t>economic</w:t>
      </w:r>
      <w:r>
        <w:rPr>
          <w:spacing w:val="43"/>
        </w:rPr>
        <w:t xml:space="preserve"> </w:t>
      </w:r>
      <w:r>
        <w:t>concerns</w:t>
      </w:r>
      <w:r>
        <w:rPr>
          <w:spacing w:val="26"/>
        </w:rPr>
        <w:t xml:space="preserve"> </w:t>
      </w:r>
      <w:r>
        <w:rPr>
          <w:spacing w:val="-1"/>
        </w:rPr>
        <w:t>(every</w:t>
      </w:r>
      <w:r>
        <w:rPr>
          <w:spacing w:val="26"/>
        </w:rPr>
        <w:t xml:space="preserve"> </w:t>
      </w:r>
      <w:r>
        <w:t>day,</w:t>
      </w:r>
      <w:r>
        <w:rPr>
          <w:spacing w:val="26"/>
        </w:rPr>
        <w:t xml:space="preserve"> </w:t>
      </w:r>
      <w:r>
        <w:t>congested</w:t>
      </w:r>
      <w:r>
        <w:rPr>
          <w:spacing w:val="26"/>
        </w:rPr>
        <w:t xml:space="preserve"> </w:t>
      </w:r>
      <w:r>
        <w:t>roads</w:t>
      </w:r>
      <w:r>
        <w:rPr>
          <w:spacing w:val="25"/>
        </w:rPr>
        <w:t xml:space="preserve"> </w:t>
      </w:r>
      <w:r>
        <w:t>are</w:t>
      </w:r>
      <w:r>
        <w:rPr>
          <w:spacing w:val="26"/>
        </w:rPr>
        <w:t xml:space="preserve"> </w:t>
      </w:r>
      <w:r>
        <w:t>a</w:t>
      </w:r>
      <w:r>
        <w:rPr>
          <w:spacing w:val="26"/>
        </w:rPr>
        <w:t xml:space="preserve"> </w:t>
      </w:r>
      <w:r>
        <w:rPr>
          <w:spacing w:val="-1"/>
        </w:rPr>
        <w:t>huge</w:t>
      </w:r>
      <w:r>
        <w:rPr>
          <w:spacing w:val="26"/>
        </w:rPr>
        <w:t xml:space="preserve"> </w:t>
      </w:r>
      <w:r>
        <w:t>cost</w:t>
      </w:r>
      <w:r>
        <w:rPr>
          <w:spacing w:val="26"/>
        </w:rPr>
        <w:t xml:space="preserve"> </w:t>
      </w:r>
      <w:r>
        <w:t>to</w:t>
      </w:r>
      <w:r>
        <w:rPr>
          <w:spacing w:val="26"/>
        </w:rPr>
        <w:t xml:space="preserve"> </w:t>
      </w:r>
      <w:r>
        <w:rPr>
          <w:spacing w:val="-1"/>
        </w:rPr>
        <w:t>the</w:t>
      </w:r>
      <w:r>
        <w:rPr>
          <w:spacing w:val="26"/>
        </w:rPr>
        <w:t xml:space="preserve"> </w:t>
      </w:r>
      <w:r>
        <w:t>EU</w:t>
      </w:r>
      <w:r>
        <w:rPr>
          <w:spacing w:val="25"/>
        </w:rPr>
        <w:t xml:space="preserve"> </w:t>
      </w:r>
      <w:r>
        <w:rPr>
          <w:spacing w:val="-1"/>
        </w:rPr>
        <w:t>economy),</w:t>
      </w:r>
      <w:r>
        <w:rPr>
          <w:spacing w:val="26"/>
        </w:rPr>
        <w:t xml:space="preserve"> </w:t>
      </w:r>
      <w:r>
        <w:t>and</w:t>
      </w:r>
      <w:r>
        <w:rPr>
          <w:spacing w:val="26"/>
        </w:rPr>
        <w:t xml:space="preserve"> </w:t>
      </w:r>
      <w:r>
        <w:t>the</w:t>
      </w:r>
      <w:r>
        <w:rPr>
          <w:spacing w:val="35"/>
        </w:rPr>
        <w:t xml:space="preserve"> </w:t>
      </w:r>
      <w:r>
        <w:t xml:space="preserve">global </w:t>
      </w:r>
      <w:r>
        <w:rPr>
          <w:spacing w:val="-1"/>
        </w:rPr>
        <w:t>competitive</w:t>
      </w:r>
      <w:r>
        <w:t xml:space="preserve"> </w:t>
      </w:r>
      <w:r>
        <w:rPr>
          <w:spacing w:val="-1"/>
        </w:rPr>
        <w:t>position</w:t>
      </w:r>
      <w:r>
        <w:t xml:space="preserve"> of</w:t>
      </w:r>
      <w:r>
        <w:rPr>
          <w:spacing w:val="-1"/>
        </w:rPr>
        <w:t xml:space="preserve"> </w:t>
      </w:r>
      <w:r>
        <w:t xml:space="preserve">the EU </w:t>
      </w:r>
      <w:r>
        <w:rPr>
          <w:spacing w:val="-1"/>
        </w:rPr>
        <w:t>automotive</w:t>
      </w:r>
      <w:r>
        <w:rPr>
          <w:spacing w:val="1"/>
        </w:rPr>
        <w:t xml:space="preserve"> </w:t>
      </w:r>
      <w:r>
        <w:t xml:space="preserve">and </w:t>
      </w:r>
      <w:r>
        <w:rPr>
          <w:spacing w:val="-1"/>
        </w:rPr>
        <w:t>rail</w:t>
      </w:r>
      <w:r>
        <w:rPr>
          <w:spacing w:val="1"/>
        </w:rPr>
        <w:t xml:space="preserve"> </w:t>
      </w:r>
      <w:r>
        <w:rPr>
          <w:spacing w:val="-1"/>
        </w:rPr>
        <w:t>industry.</w:t>
      </w:r>
    </w:p>
    <w:p w14:paraId="0A7D7C9E" w14:textId="77777777" w:rsidR="00B52D8F" w:rsidRDefault="00B52D8F" w:rsidP="00B52D8F">
      <w:pPr>
        <w:spacing w:before="5"/>
        <w:rPr>
          <w:rFonts w:ascii="Times New Roman" w:hAnsi="Times New Roman"/>
          <w:sz w:val="21"/>
          <w:szCs w:val="21"/>
        </w:rPr>
      </w:pPr>
    </w:p>
    <w:p w14:paraId="0A7D7C9F" w14:textId="77777777" w:rsidR="00B52D8F" w:rsidRDefault="00B52D8F" w:rsidP="00B52D8F">
      <w:pPr>
        <w:pStyle w:val="BodyText"/>
        <w:spacing w:line="229" w:lineRule="auto"/>
        <w:ind w:left="590" w:right="115"/>
      </w:pPr>
      <w:r>
        <w:t>In</w:t>
      </w:r>
      <w:r>
        <w:rPr>
          <w:spacing w:val="12"/>
        </w:rPr>
        <w:t xml:space="preserve"> </w:t>
      </w:r>
      <w:r>
        <w:t>line</w:t>
      </w:r>
      <w:r>
        <w:rPr>
          <w:spacing w:val="11"/>
        </w:rPr>
        <w:t xml:space="preserve"> </w:t>
      </w:r>
      <w:r>
        <w:rPr>
          <w:spacing w:val="-1"/>
        </w:rPr>
        <w:t>with</w:t>
      </w:r>
      <w:r>
        <w:rPr>
          <w:spacing w:val="11"/>
        </w:rPr>
        <w:t xml:space="preserve"> </w:t>
      </w:r>
      <w:r>
        <w:t>the</w:t>
      </w:r>
      <w:r>
        <w:rPr>
          <w:spacing w:val="12"/>
        </w:rPr>
        <w:t xml:space="preserve"> </w:t>
      </w:r>
      <w:r>
        <w:rPr>
          <w:spacing w:val="-1"/>
        </w:rPr>
        <w:t>Declaration</w:t>
      </w:r>
      <w:r>
        <w:rPr>
          <w:spacing w:val="12"/>
        </w:rPr>
        <w:t xml:space="preserve"> </w:t>
      </w:r>
      <w:r>
        <w:t>of</w:t>
      </w:r>
      <w:r>
        <w:rPr>
          <w:spacing w:val="11"/>
        </w:rPr>
        <w:t xml:space="preserve"> </w:t>
      </w:r>
      <w:r>
        <w:rPr>
          <w:spacing w:val="-1"/>
        </w:rPr>
        <w:t>Amsterdam,</w:t>
      </w:r>
      <w:r>
        <w:rPr>
          <w:spacing w:val="11"/>
        </w:rPr>
        <w:t xml:space="preserve"> </w:t>
      </w:r>
      <w:r>
        <w:t>endorsed</w:t>
      </w:r>
      <w:r>
        <w:rPr>
          <w:spacing w:val="12"/>
        </w:rPr>
        <w:t xml:space="preserve"> </w:t>
      </w:r>
      <w:r>
        <w:t>by</w:t>
      </w:r>
      <w:r>
        <w:rPr>
          <w:spacing w:val="10"/>
        </w:rPr>
        <w:t xml:space="preserve"> </w:t>
      </w:r>
      <w:r>
        <w:rPr>
          <w:spacing w:val="-1"/>
        </w:rPr>
        <w:t>Transport</w:t>
      </w:r>
      <w:r>
        <w:rPr>
          <w:spacing w:val="11"/>
        </w:rPr>
        <w:t xml:space="preserve"> </w:t>
      </w:r>
      <w:r>
        <w:rPr>
          <w:spacing w:val="-1"/>
        </w:rPr>
        <w:t>Ministers</w:t>
      </w:r>
      <w:r>
        <w:rPr>
          <w:spacing w:val="11"/>
        </w:rPr>
        <w:t xml:space="preserve"> </w:t>
      </w:r>
      <w:r>
        <w:t>in</w:t>
      </w:r>
      <w:r>
        <w:rPr>
          <w:spacing w:val="11"/>
        </w:rPr>
        <w:t xml:space="preserve"> </w:t>
      </w:r>
      <w:r>
        <w:rPr>
          <w:spacing w:val="-1"/>
        </w:rPr>
        <w:t>April</w:t>
      </w:r>
      <w:r>
        <w:rPr>
          <w:spacing w:val="71"/>
        </w:rPr>
        <w:t xml:space="preserve"> </w:t>
      </w:r>
      <w:r>
        <w:t>2016</w:t>
      </w:r>
      <w:r>
        <w:rPr>
          <w:position w:val="11"/>
          <w:sz w:val="16"/>
        </w:rPr>
        <w:t>4</w:t>
      </w:r>
      <w:r>
        <w:t>,</w:t>
      </w:r>
      <w:r>
        <w:rPr>
          <w:spacing w:val="11"/>
        </w:rPr>
        <w:t xml:space="preserve"> </w:t>
      </w:r>
      <w:r>
        <w:t>the</w:t>
      </w:r>
      <w:r>
        <w:rPr>
          <w:spacing w:val="13"/>
        </w:rPr>
        <w:t xml:space="preserve"> </w:t>
      </w:r>
      <w:r>
        <w:rPr>
          <w:spacing w:val="-1"/>
        </w:rPr>
        <w:t>Commission</w:t>
      </w:r>
      <w:r>
        <w:rPr>
          <w:spacing w:val="13"/>
        </w:rPr>
        <w:t xml:space="preserve"> </w:t>
      </w:r>
      <w:r>
        <w:t>has</w:t>
      </w:r>
      <w:r>
        <w:rPr>
          <w:spacing w:val="13"/>
        </w:rPr>
        <w:t xml:space="preserve"> </w:t>
      </w:r>
      <w:r>
        <w:t>announced</w:t>
      </w:r>
      <w:r>
        <w:rPr>
          <w:spacing w:val="12"/>
        </w:rPr>
        <w:t xml:space="preserve"> </w:t>
      </w:r>
      <w:r>
        <w:t>in</w:t>
      </w:r>
      <w:r>
        <w:rPr>
          <w:spacing w:val="13"/>
        </w:rPr>
        <w:t xml:space="preserve"> </w:t>
      </w:r>
      <w:r>
        <w:t>the</w:t>
      </w:r>
      <w:r>
        <w:rPr>
          <w:spacing w:val="13"/>
        </w:rPr>
        <w:t xml:space="preserve"> </w:t>
      </w:r>
      <w:r>
        <w:t>2017</w:t>
      </w:r>
      <w:r>
        <w:rPr>
          <w:spacing w:val="11"/>
        </w:rPr>
        <w:t xml:space="preserve"> </w:t>
      </w:r>
      <w:r>
        <w:t>work</w:t>
      </w:r>
      <w:r>
        <w:rPr>
          <w:spacing w:val="12"/>
        </w:rPr>
        <w:t xml:space="preserve"> </w:t>
      </w:r>
      <w:r>
        <w:rPr>
          <w:spacing w:val="-1"/>
        </w:rPr>
        <w:t>programme</w:t>
      </w:r>
      <w:r>
        <w:rPr>
          <w:spacing w:val="-1"/>
          <w:position w:val="11"/>
          <w:sz w:val="16"/>
        </w:rPr>
        <w:t>5</w:t>
      </w:r>
      <w:r>
        <w:rPr>
          <w:spacing w:val="33"/>
          <w:position w:val="11"/>
          <w:sz w:val="16"/>
        </w:rPr>
        <w:t xml:space="preserve"> </w:t>
      </w:r>
      <w:r>
        <w:t>its</w:t>
      </w:r>
      <w:r>
        <w:rPr>
          <w:spacing w:val="13"/>
        </w:rPr>
        <w:t xml:space="preserve"> </w:t>
      </w:r>
      <w:r>
        <w:t>intention</w:t>
      </w:r>
      <w:r>
        <w:rPr>
          <w:spacing w:val="12"/>
        </w:rPr>
        <w:t xml:space="preserve"> </w:t>
      </w:r>
      <w:r>
        <w:t>to</w:t>
      </w:r>
      <w:r>
        <w:rPr>
          <w:spacing w:val="38"/>
        </w:rPr>
        <w:t xml:space="preserve"> </w:t>
      </w:r>
      <w:r>
        <w:t>work</w:t>
      </w:r>
      <w:r>
        <w:rPr>
          <w:spacing w:val="10"/>
        </w:rPr>
        <w:t xml:space="preserve"> </w:t>
      </w:r>
      <w:r>
        <w:t>in</w:t>
      </w:r>
      <w:r>
        <w:rPr>
          <w:spacing w:val="11"/>
        </w:rPr>
        <w:t xml:space="preserve"> </w:t>
      </w:r>
      <w:r>
        <w:t>an</w:t>
      </w:r>
      <w:r>
        <w:rPr>
          <w:spacing w:val="10"/>
        </w:rPr>
        <w:t xml:space="preserve"> </w:t>
      </w:r>
      <w:r>
        <w:rPr>
          <w:spacing w:val="-1"/>
        </w:rPr>
        <w:t>integrated</w:t>
      </w:r>
      <w:r>
        <w:rPr>
          <w:spacing w:val="10"/>
        </w:rPr>
        <w:t xml:space="preserve"> </w:t>
      </w:r>
      <w:r>
        <w:t>way</w:t>
      </w:r>
      <w:r>
        <w:rPr>
          <w:spacing w:val="10"/>
        </w:rPr>
        <w:t xml:space="preserve"> </w:t>
      </w:r>
      <w:r>
        <w:t>on</w:t>
      </w:r>
      <w:r>
        <w:rPr>
          <w:spacing w:val="11"/>
        </w:rPr>
        <w:t xml:space="preserve"> </w:t>
      </w:r>
      <w:r>
        <w:rPr>
          <w:spacing w:val="-1"/>
        </w:rPr>
        <w:t>mobility,</w:t>
      </w:r>
      <w:r>
        <w:rPr>
          <w:spacing w:val="10"/>
        </w:rPr>
        <w:t xml:space="preserve"> </w:t>
      </w:r>
      <w:r>
        <w:t>connectivity</w:t>
      </w:r>
      <w:r>
        <w:rPr>
          <w:spacing w:val="10"/>
        </w:rPr>
        <w:t xml:space="preserve"> </w:t>
      </w:r>
      <w:r>
        <w:t>and</w:t>
      </w:r>
      <w:r>
        <w:rPr>
          <w:spacing w:val="10"/>
        </w:rPr>
        <w:t xml:space="preserve"> </w:t>
      </w:r>
      <w:r>
        <w:t>the</w:t>
      </w:r>
      <w:r>
        <w:rPr>
          <w:spacing w:val="9"/>
        </w:rPr>
        <w:t xml:space="preserve"> </w:t>
      </w:r>
      <w:r>
        <w:t>future</w:t>
      </w:r>
      <w:r>
        <w:rPr>
          <w:spacing w:val="11"/>
        </w:rPr>
        <w:t xml:space="preserve"> </w:t>
      </w:r>
      <w:r>
        <w:t>of</w:t>
      </w:r>
      <w:r>
        <w:rPr>
          <w:spacing w:val="9"/>
        </w:rPr>
        <w:t xml:space="preserve"> </w:t>
      </w:r>
      <w:r>
        <w:t>the</w:t>
      </w:r>
      <w:r>
        <w:rPr>
          <w:spacing w:val="11"/>
        </w:rPr>
        <w:t xml:space="preserve"> </w:t>
      </w:r>
      <w:r>
        <w:rPr>
          <w:spacing w:val="-1"/>
        </w:rPr>
        <w:t>automotive</w:t>
      </w:r>
      <w:r>
        <w:rPr>
          <w:spacing w:val="49"/>
        </w:rPr>
        <w:t xml:space="preserve"> </w:t>
      </w:r>
      <w:r>
        <w:t>industry.</w:t>
      </w:r>
    </w:p>
    <w:p w14:paraId="0A7D7CA0" w14:textId="77777777" w:rsidR="00B52D8F" w:rsidRDefault="00B52D8F" w:rsidP="00B52D8F">
      <w:pPr>
        <w:spacing w:before="1"/>
        <w:rPr>
          <w:rFonts w:ascii="Times New Roman" w:hAnsi="Times New Roman"/>
          <w:sz w:val="21"/>
          <w:szCs w:val="21"/>
        </w:rPr>
      </w:pPr>
    </w:p>
    <w:p w14:paraId="0A7D7CA1" w14:textId="77777777" w:rsidR="00B52D8F" w:rsidRDefault="00B52D8F" w:rsidP="00B52D8F">
      <w:pPr>
        <w:pStyle w:val="BodyText"/>
        <w:ind w:left="590" w:right="116"/>
      </w:pPr>
      <w:r>
        <w:t>In</w:t>
      </w:r>
      <w:r>
        <w:rPr>
          <w:spacing w:val="27"/>
        </w:rPr>
        <w:t xml:space="preserve"> </w:t>
      </w:r>
      <w:r>
        <w:t>order</w:t>
      </w:r>
      <w:r>
        <w:rPr>
          <w:spacing w:val="26"/>
        </w:rPr>
        <w:t xml:space="preserve"> </w:t>
      </w:r>
      <w:r>
        <w:t>to</w:t>
      </w:r>
      <w:r>
        <w:rPr>
          <w:spacing w:val="27"/>
        </w:rPr>
        <w:t xml:space="preserve"> </w:t>
      </w:r>
      <w:r>
        <w:rPr>
          <w:spacing w:val="-1"/>
        </w:rPr>
        <w:t>cater</w:t>
      </w:r>
      <w:r>
        <w:rPr>
          <w:spacing w:val="27"/>
        </w:rPr>
        <w:t xml:space="preserve"> </w:t>
      </w:r>
      <w:r>
        <w:t>for</w:t>
      </w:r>
      <w:r>
        <w:rPr>
          <w:spacing w:val="27"/>
        </w:rPr>
        <w:t xml:space="preserve"> </w:t>
      </w:r>
      <w:r>
        <w:t>vehicle</w:t>
      </w:r>
      <w:r>
        <w:rPr>
          <w:spacing w:val="27"/>
        </w:rPr>
        <w:t xml:space="preserve"> </w:t>
      </w:r>
      <w:r>
        <w:rPr>
          <w:spacing w:val="-1"/>
        </w:rPr>
        <w:t>connectivity</w:t>
      </w:r>
      <w:r>
        <w:rPr>
          <w:spacing w:val="27"/>
        </w:rPr>
        <w:t xml:space="preserve"> </w:t>
      </w:r>
      <w:r>
        <w:t>in</w:t>
      </w:r>
      <w:r>
        <w:rPr>
          <w:spacing w:val="26"/>
        </w:rPr>
        <w:t xml:space="preserve"> </w:t>
      </w:r>
      <w:r>
        <w:rPr>
          <w:spacing w:val="-1"/>
        </w:rPr>
        <w:t>terms</w:t>
      </w:r>
      <w:r>
        <w:rPr>
          <w:spacing w:val="27"/>
        </w:rPr>
        <w:t xml:space="preserve"> </w:t>
      </w:r>
      <w:r>
        <w:t>of</w:t>
      </w:r>
      <w:r>
        <w:rPr>
          <w:spacing w:val="26"/>
        </w:rPr>
        <w:t xml:space="preserve"> </w:t>
      </w:r>
      <w:r>
        <w:t>access</w:t>
      </w:r>
      <w:r>
        <w:rPr>
          <w:spacing w:val="27"/>
        </w:rPr>
        <w:t xml:space="preserve"> </w:t>
      </w:r>
      <w:r>
        <w:t>to</w:t>
      </w:r>
      <w:r>
        <w:rPr>
          <w:spacing w:val="27"/>
        </w:rPr>
        <w:t xml:space="preserve"> </w:t>
      </w:r>
      <w:r>
        <w:t>spectrum</w:t>
      </w:r>
      <w:r>
        <w:rPr>
          <w:spacing w:val="25"/>
        </w:rPr>
        <w:t xml:space="preserve"> </w:t>
      </w:r>
      <w:r>
        <w:t>for</w:t>
      </w:r>
      <w:r>
        <w:rPr>
          <w:spacing w:val="27"/>
        </w:rPr>
        <w:t xml:space="preserve"> </w:t>
      </w:r>
      <w:r>
        <w:rPr>
          <w:spacing w:val="1"/>
        </w:rPr>
        <w:t>safety-</w:t>
      </w:r>
      <w:r>
        <w:rPr>
          <w:spacing w:val="33"/>
        </w:rPr>
        <w:t xml:space="preserve"> </w:t>
      </w:r>
      <w:r>
        <w:t>related</w:t>
      </w:r>
      <w:r>
        <w:rPr>
          <w:spacing w:val="23"/>
        </w:rPr>
        <w:t xml:space="preserve"> </w:t>
      </w:r>
      <w:r>
        <w:t>ITS</w:t>
      </w:r>
      <w:r>
        <w:rPr>
          <w:spacing w:val="22"/>
        </w:rPr>
        <w:t xml:space="preserve"> </w:t>
      </w:r>
      <w:r>
        <w:rPr>
          <w:spacing w:val="-1"/>
        </w:rPr>
        <w:t>applications,</w:t>
      </w:r>
      <w:r>
        <w:rPr>
          <w:spacing w:val="22"/>
        </w:rPr>
        <w:t xml:space="preserve"> </w:t>
      </w:r>
      <w:r>
        <w:t>the</w:t>
      </w:r>
      <w:r>
        <w:rPr>
          <w:spacing w:val="23"/>
        </w:rPr>
        <w:t xml:space="preserve"> </w:t>
      </w:r>
      <w:r>
        <w:t>European</w:t>
      </w:r>
      <w:r>
        <w:rPr>
          <w:spacing w:val="22"/>
        </w:rPr>
        <w:t xml:space="preserve"> </w:t>
      </w:r>
      <w:r>
        <w:t>Commission</w:t>
      </w:r>
      <w:r>
        <w:rPr>
          <w:spacing w:val="23"/>
        </w:rPr>
        <w:t xml:space="preserve"> </w:t>
      </w:r>
      <w:r>
        <w:t>adopted</w:t>
      </w:r>
      <w:r>
        <w:rPr>
          <w:spacing w:val="21"/>
        </w:rPr>
        <w:t xml:space="preserve"> </w:t>
      </w:r>
      <w:r>
        <w:t>Decision</w:t>
      </w:r>
      <w:r>
        <w:rPr>
          <w:spacing w:val="23"/>
        </w:rPr>
        <w:t xml:space="preserve"> </w:t>
      </w:r>
      <w:r>
        <w:rPr>
          <w:spacing w:val="-1"/>
        </w:rPr>
        <w:t>2008/671/EC,</w:t>
      </w:r>
      <w:r>
        <w:rPr>
          <w:spacing w:val="45"/>
        </w:rPr>
        <w:t xml:space="preserve"> </w:t>
      </w:r>
      <w:r>
        <w:t>which</w:t>
      </w:r>
      <w:r>
        <w:rPr>
          <w:spacing w:val="58"/>
        </w:rPr>
        <w:t xml:space="preserve"> </w:t>
      </w:r>
      <w:r>
        <w:t>has</w:t>
      </w:r>
      <w:r>
        <w:rPr>
          <w:spacing w:val="59"/>
        </w:rPr>
        <w:t xml:space="preserve"> </w:t>
      </w:r>
      <w:r>
        <w:rPr>
          <w:spacing w:val="-1"/>
        </w:rPr>
        <w:t>facilitated</w:t>
      </w:r>
      <w:r>
        <w:rPr>
          <w:spacing w:val="57"/>
        </w:rPr>
        <w:t xml:space="preserve"> </w:t>
      </w:r>
      <w:r>
        <w:rPr>
          <w:spacing w:val="-1"/>
        </w:rPr>
        <w:t>standardisation</w:t>
      </w:r>
      <w:r>
        <w:rPr>
          <w:spacing w:val="59"/>
        </w:rPr>
        <w:t xml:space="preserve"> </w:t>
      </w:r>
      <w:r>
        <w:t>and</w:t>
      </w:r>
      <w:r>
        <w:rPr>
          <w:spacing w:val="58"/>
        </w:rPr>
        <w:t xml:space="preserve"> </w:t>
      </w:r>
      <w:r>
        <w:rPr>
          <w:spacing w:val="-1"/>
        </w:rPr>
        <w:t>development</w:t>
      </w:r>
      <w:r>
        <w:rPr>
          <w:spacing w:val="59"/>
        </w:rPr>
        <w:t xml:space="preserve"> </w:t>
      </w:r>
      <w:r>
        <w:t>of</w:t>
      </w:r>
      <w:r>
        <w:rPr>
          <w:spacing w:val="57"/>
        </w:rPr>
        <w:t xml:space="preserve"> </w:t>
      </w:r>
      <w:r>
        <w:rPr>
          <w:spacing w:val="-1"/>
        </w:rPr>
        <w:t>equipment.</w:t>
      </w:r>
      <w:r>
        <w:rPr>
          <w:spacing w:val="59"/>
        </w:rPr>
        <w:t xml:space="preserve"> </w:t>
      </w:r>
      <w:r>
        <w:t>Recent</w:t>
      </w:r>
      <w:r>
        <w:rPr>
          <w:spacing w:val="81"/>
        </w:rPr>
        <w:t xml:space="preserve"> </w:t>
      </w:r>
      <w:r>
        <w:rPr>
          <w:spacing w:val="-1"/>
        </w:rPr>
        <w:t>developments</w:t>
      </w:r>
      <w:r>
        <w:rPr>
          <w:spacing w:val="24"/>
        </w:rPr>
        <w:t xml:space="preserve"> </w:t>
      </w:r>
      <w:r>
        <w:t>described</w:t>
      </w:r>
      <w:r>
        <w:rPr>
          <w:spacing w:val="22"/>
        </w:rPr>
        <w:t xml:space="preserve"> </w:t>
      </w:r>
      <w:r>
        <w:t>below</w:t>
      </w:r>
      <w:r>
        <w:rPr>
          <w:spacing w:val="23"/>
        </w:rPr>
        <w:t xml:space="preserve"> </w:t>
      </w:r>
      <w:r>
        <w:t>have</w:t>
      </w:r>
      <w:r>
        <w:rPr>
          <w:spacing w:val="23"/>
        </w:rPr>
        <w:t xml:space="preserve"> </w:t>
      </w:r>
      <w:r>
        <w:t>led</w:t>
      </w:r>
      <w:r>
        <w:rPr>
          <w:spacing w:val="23"/>
        </w:rPr>
        <w:t xml:space="preserve"> </w:t>
      </w:r>
      <w:r>
        <w:t>the</w:t>
      </w:r>
      <w:r>
        <w:rPr>
          <w:spacing w:val="24"/>
        </w:rPr>
        <w:t xml:space="preserve"> </w:t>
      </w:r>
      <w:r>
        <w:rPr>
          <w:spacing w:val="-1"/>
        </w:rPr>
        <w:t>Commission</w:t>
      </w:r>
      <w:r>
        <w:rPr>
          <w:spacing w:val="24"/>
        </w:rPr>
        <w:t xml:space="preserve"> </w:t>
      </w:r>
      <w:r>
        <w:t>to</w:t>
      </w:r>
      <w:r>
        <w:rPr>
          <w:spacing w:val="24"/>
        </w:rPr>
        <w:t xml:space="preserve"> </w:t>
      </w:r>
      <w:r>
        <w:t>consider</w:t>
      </w:r>
      <w:r>
        <w:rPr>
          <w:spacing w:val="28"/>
        </w:rPr>
        <w:t xml:space="preserve"> </w:t>
      </w:r>
      <w:r>
        <w:t>an</w:t>
      </w:r>
      <w:r>
        <w:rPr>
          <w:spacing w:val="22"/>
        </w:rPr>
        <w:t xml:space="preserve"> </w:t>
      </w:r>
      <w:r>
        <w:rPr>
          <w:spacing w:val="-1"/>
        </w:rPr>
        <w:t>amendment</w:t>
      </w:r>
      <w:r>
        <w:rPr>
          <w:spacing w:val="45"/>
        </w:rPr>
        <w:t xml:space="preserve"> </w:t>
      </w:r>
      <w:r>
        <w:t>of</w:t>
      </w:r>
      <w:r>
        <w:rPr>
          <w:spacing w:val="-1"/>
        </w:rPr>
        <w:t xml:space="preserve"> </w:t>
      </w:r>
      <w:r>
        <w:t xml:space="preserve">Decision </w:t>
      </w:r>
      <w:r>
        <w:rPr>
          <w:spacing w:val="-1"/>
        </w:rPr>
        <w:t>2008/671/EC.</w:t>
      </w:r>
    </w:p>
    <w:p w14:paraId="0A7D7CA2" w14:textId="77777777" w:rsidR="00B52D8F" w:rsidRDefault="00B52D8F" w:rsidP="00B52D8F">
      <w:pPr>
        <w:spacing w:before="9"/>
        <w:rPr>
          <w:rFonts w:ascii="Times New Roman" w:hAnsi="Times New Roman"/>
          <w:sz w:val="12"/>
          <w:szCs w:val="12"/>
        </w:rPr>
      </w:pPr>
    </w:p>
    <w:p w14:paraId="0A7D7CA3" w14:textId="77777777" w:rsidR="00B52D8F" w:rsidRDefault="00B52D8F" w:rsidP="00B52D8F">
      <w:pPr>
        <w:spacing w:line="20" w:lineRule="atLeast"/>
        <w:ind w:left="100"/>
        <w:rPr>
          <w:rFonts w:ascii="Times New Roman" w:hAnsi="Times New Roman"/>
          <w:sz w:val="2"/>
          <w:szCs w:val="2"/>
        </w:rPr>
      </w:pPr>
      <w:r>
        <w:rPr>
          <w:rFonts w:ascii="Times New Roman" w:hAnsi="Times New Roman"/>
          <w:noProof/>
          <w:sz w:val="2"/>
          <w:szCs w:val="2"/>
          <w:lang w:val="da-DK" w:eastAsia="da-DK"/>
        </w:rPr>
        <mc:AlternateContent>
          <mc:Choice Requires="wpg">
            <w:drawing>
              <wp:inline distT="0" distB="0" distL="0" distR="0" wp14:anchorId="0A7D7D5F" wp14:editId="0A7D7D60">
                <wp:extent cx="1838325" cy="8890"/>
                <wp:effectExtent l="3175" t="1905" r="6350" b="8255"/>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316" name="Group 35"/>
                        <wpg:cNvGrpSpPr>
                          <a:grpSpLocks/>
                        </wpg:cNvGrpSpPr>
                        <wpg:grpSpPr bwMode="auto">
                          <a:xfrm>
                            <a:off x="7" y="7"/>
                            <a:ext cx="2881" cy="2"/>
                            <a:chOff x="7" y="7"/>
                            <a:chExt cx="2881" cy="2"/>
                          </a:xfrm>
                        </wpg:grpSpPr>
                        <wps:wsp>
                          <wps:cNvPr id="317" name="Freeform 36"/>
                          <wps:cNvSpPr>
                            <a:spLocks/>
                          </wps:cNvSpPr>
                          <wps:spPr bwMode="auto">
                            <a:xfrm>
                              <a:off x="7" y="7"/>
                              <a:ext cx="2881" cy="2"/>
                            </a:xfrm>
                            <a:custGeom>
                              <a:avLst/>
                              <a:gdLst>
                                <a:gd name="T0" fmla="+- 0 7 7"/>
                                <a:gd name="T1" fmla="*/ T0 w 2881"/>
                                <a:gd name="T2" fmla="+- 0 2887 7"/>
                                <a:gd name="T3" fmla="*/ T2 w 2881"/>
                              </a:gdLst>
                              <a:ahLst/>
                              <a:cxnLst>
                                <a:cxn ang="0">
                                  <a:pos x="T1" y="0"/>
                                </a:cxn>
                                <a:cxn ang="0">
                                  <a:pos x="T3" y="0"/>
                                </a:cxn>
                              </a:cxnLst>
                              <a:rect l="0" t="0" r="r" b="b"/>
                              <a:pathLst>
                                <a:path w="2881">
                                  <a:moveTo>
                                    <a:pt x="0" y="0"/>
                                  </a:moveTo>
                                  <a:lnTo>
                                    <a:pt x="2880"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5CC21C" id="Group 315"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0dggMAANkIAAAOAAAAZHJzL2Uyb0RvYy54bWy0Vttu2zgQfV+g/0DwsYWjixVbFqIUhS/B&#10;Ar0BdT+ApqgLKpEqSVtOi/33HZKSIjsb7KKL6kEeaobDc4Zz8d3bc1OjE5OqEjzFwY2PEeNUZBUv&#10;Uvx1v5vFGClNeEZqwVmKH5nCb+9f/XHXtQkLRSnqjEkETrhKujbFpdZt4nmKlqwh6ka0jIMyF7Ih&#10;Gpay8DJJOvDe1F7o+wuvEzJrpaBMKfi6cUp8b/3nOaP6U54rplGdYsCm7Vva98G8vfs7khSStGVF&#10;exjkF1A0pOJw6OhqQzRBR1k9c9VUVAolcn1DReOJPK8osxyATeBfsXmQ4thaLkXSFe0YJgjtVZx+&#10;2S39ePosUZWleB7cYsRJA5dkz0XmA4Sna4sErB5k+6X9LB1HEN8L+k2B2rvWm3XhjNGh+yAycEiO&#10;WtjwnHPZGBdAHJ3tLTyOt8DOGlH4GMTzeB4CGAq6OF71l0RLuMlnm2i57beF8arfE0QGt0cSd5pF&#10;2CNydOxiZDbyX1zx/+30lxgBxaVLwoF+GMeB4x46xUj8wnxK/GLDi7yhwNRTDqn/l0NfStIym5rK&#10;ZMcYQ8DocmgnGTNli+YLl0XWbkghNc2fiaZrVaIgzf41cy5i8ULoxkiQhB6VfmDC5h45vVfa1X0G&#10;ks3orEe9hx6RNzW0gDcz5KMl6i+nGA3gbpzBaw/tfdQhe1+9u8FLOBhZL2DxD47mg41xFE4cAexi&#10;AEbKASs98x4sSIiY9urbkmqFMlWxB2BDLYEHMDLEXrCFs69t3Z7+CAl987pjSoygYx5cTrZEG2Tm&#10;CCOiLsU2DuZDI05sL6xKX9UrHPKkrfnUCrZD7CeonBp2mANsOY+HGqyTC+ViV9W1vYKaGyjQNAIb&#10;GyXqKjNKg0bJ4rCuJToRMwvsY8iAswsz6Lk8s85KRrJtL2tS1U4G+9rGFrKuD4HJP9vsf6781Tbe&#10;xtEsChfbWeRvNrN3u3U0W+yC5e1mvlmvN8FfBloQJWWVZYwbdMPgCaL/VpT9CHQjYxw9FywuyO7s&#10;85ysdwnDxgK4DL+WHXRPV5KmX6rkILJHKE8p3CSFyQ9CKeQPjDqYoilW349EMozqPzm0mFUQRWbs&#10;2kV0uwxhIaeaw1RDOAVXKdYYEtyIa+1G9bGVVVHCSe5auXgHAyWvTBVbfA5Vv4AuZ6V+DPUyzE+Q&#10;Lgb0dG2tnv6R3P8NAAD//wMAUEsDBBQABgAIAAAAIQD+4uSY2wAAAAMBAAAPAAAAZHJzL2Rvd25y&#10;ZXYueG1sTI9BS8NAEIXvgv9hGcGb3aRaaWM2pRT1VIS2gvQ2TaZJaHY2ZLdJ+u8dvejlwfAe732T&#10;LkfbqJ46Xzs2EE8iUMS5K2ouDXzu3x7moHxALrBxTAau5GGZ3d6kmBRu4C31u1AqKWGfoIEqhDbR&#10;2ucVWfQT1xKLd3KdxSBnV+qiw0HKbaOnUfSsLdYsCxW2tK4oP+8u1sD7gMPqMX7tN+fT+nrYzz6+&#10;NjEZc383rl5ABRrDXxh+8AUdMmE6ugsXXjUG5JHwq+JN54sZqKOEnkBnqf7Pnn0DAAD//wMAUEsB&#10;Ai0AFAAGAAgAAAAhALaDOJL+AAAA4QEAABMAAAAAAAAAAAAAAAAAAAAAAFtDb250ZW50X1R5cGVz&#10;XS54bWxQSwECLQAUAAYACAAAACEAOP0h/9YAAACUAQAACwAAAAAAAAAAAAAAAAAvAQAAX3JlbHMv&#10;LnJlbHNQSwECLQAUAAYACAAAACEAryI9HYIDAADZCAAADgAAAAAAAAAAAAAAAAAuAgAAZHJzL2Uy&#10;b0RvYy54bWxQSwECLQAUAAYACAAAACEA/uLkmNsAAAADAQAADwAAAAAAAAAAAAAAAADcBQAAZHJz&#10;L2Rvd25yZXYueG1sUEsFBgAAAAAEAAQA8wAAAOQGAAAAAA==&#10;">
                <v:group id="Group 35" o:spid="_x0000_s1027" style="position:absolute;left:7;top:7;width:2881;height:2" coordorigin="7,7"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36" o:spid="_x0000_s1028" style="position:absolute;left:7;top: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zcwgAAANwAAAAPAAAAZHJzL2Rvd25yZXYueG1sRI9RS8Mw&#10;FIXfBf9DuIIvsqWzoKMuLW449LVV3y/NtYk2NzWJW/fvjSDs8XDO+Q5n08xuFAcK0XpWsFoWIIh7&#10;ry0PCt5e94s1iJiQNY6eScGJIjT15cUGK+2P3NKhS4PIEI4VKjApTZWUsTfkMC79RJy9Dx8cpizD&#10;IHXAY4a7Ud4WxZ10aDkvGJxoZ6j/6n6cgvfOuNk+2ZvPsn0u0YSt/KZWqeur+fEBRKI5ncP/7Ret&#10;oFzdw9+ZfARk/QsAAP//AwBQSwECLQAUAAYACAAAACEA2+H2y+4AAACFAQAAEwAAAAAAAAAAAAAA&#10;AAAAAAAAW0NvbnRlbnRfVHlwZXNdLnhtbFBLAQItABQABgAIAAAAIQBa9CxbvwAAABUBAAALAAAA&#10;AAAAAAAAAAAAAB8BAABfcmVscy8ucmVsc1BLAQItABQABgAIAAAAIQCHYEzcwgAAANwAAAAPAAAA&#10;AAAAAAAAAAAAAAcCAABkcnMvZG93bnJldi54bWxQSwUGAAAAAAMAAwC3AAAA9gIAAAAA&#10;" path="m,l2880,e" filled="f" strokeweight=".24697mm">
                    <v:path arrowok="t" o:connecttype="custom" o:connectlocs="0,0;2880,0" o:connectangles="0,0"/>
                  </v:shape>
                </v:group>
                <w10:anchorlock/>
              </v:group>
            </w:pict>
          </mc:Fallback>
        </mc:AlternateContent>
      </w:r>
    </w:p>
    <w:p w14:paraId="0A7D7CA4" w14:textId="77777777" w:rsidR="00B52D8F" w:rsidRDefault="00B52D8F" w:rsidP="00B52D8F">
      <w:pPr>
        <w:tabs>
          <w:tab w:val="left" w:pos="465"/>
        </w:tabs>
        <w:spacing w:before="83"/>
        <w:ind w:left="465" w:right="177" w:hanging="358"/>
        <w:rPr>
          <w:rFonts w:ascii="Times New Roman" w:hAnsi="Times New Roman"/>
          <w:szCs w:val="20"/>
        </w:rPr>
      </w:pPr>
      <w:r>
        <w:rPr>
          <w:rFonts w:ascii="Times New Roman"/>
          <w:w w:val="95"/>
          <w:position w:val="9"/>
          <w:sz w:val="13"/>
        </w:rPr>
        <w:t>1</w:t>
      </w:r>
      <w:r>
        <w:rPr>
          <w:rFonts w:ascii="Times New Roman"/>
          <w:w w:val="95"/>
          <w:position w:val="9"/>
          <w:sz w:val="13"/>
        </w:rPr>
        <w:tab/>
      </w:r>
      <w:r>
        <w:rPr>
          <w:rFonts w:ascii="Times New Roman"/>
        </w:rPr>
        <w:t>This</w:t>
      </w:r>
      <w:r>
        <w:rPr>
          <w:rFonts w:ascii="Times New Roman"/>
          <w:spacing w:val="31"/>
        </w:rPr>
        <w:t xml:space="preserve"> </w:t>
      </w:r>
      <w:r>
        <w:rPr>
          <w:rFonts w:ascii="Times New Roman"/>
          <w:spacing w:val="-1"/>
        </w:rPr>
        <w:t>type</w:t>
      </w:r>
      <w:r>
        <w:rPr>
          <w:rFonts w:ascii="Times New Roman"/>
          <w:spacing w:val="31"/>
        </w:rPr>
        <w:t xml:space="preserve"> </w:t>
      </w:r>
      <w:r>
        <w:rPr>
          <w:rFonts w:ascii="Times New Roman"/>
        </w:rPr>
        <w:t>of</w:t>
      </w:r>
      <w:r>
        <w:rPr>
          <w:rFonts w:ascii="Times New Roman"/>
          <w:spacing w:val="32"/>
        </w:rPr>
        <w:t xml:space="preserve"> </w:t>
      </w:r>
      <w:r>
        <w:rPr>
          <w:rFonts w:ascii="Times New Roman"/>
          <w:spacing w:val="-1"/>
        </w:rPr>
        <w:t>communication</w:t>
      </w:r>
      <w:r>
        <w:rPr>
          <w:rFonts w:ascii="Times New Roman"/>
          <w:spacing w:val="31"/>
        </w:rPr>
        <w:t xml:space="preserve"> </w:t>
      </w:r>
      <w:r>
        <w:rPr>
          <w:rFonts w:ascii="Times New Roman"/>
          <w:spacing w:val="-1"/>
        </w:rPr>
        <w:t>encompasses</w:t>
      </w:r>
      <w:r>
        <w:rPr>
          <w:rFonts w:ascii="Times New Roman"/>
          <w:spacing w:val="31"/>
        </w:rPr>
        <w:t xml:space="preserve"> </w:t>
      </w:r>
      <w:r>
        <w:rPr>
          <w:rFonts w:ascii="Times New Roman"/>
          <w:spacing w:val="-1"/>
        </w:rPr>
        <w:t>urban</w:t>
      </w:r>
      <w:r>
        <w:rPr>
          <w:rFonts w:ascii="Times New Roman"/>
          <w:spacing w:val="31"/>
        </w:rPr>
        <w:t xml:space="preserve"> </w:t>
      </w:r>
      <w:r>
        <w:rPr>
          <w:rFonts w:ascii="Times New Roman"/>
          <w:spacing w:val="-1"/>
        </w:rPr>
        <w:t>and</w:t>
      </w:r>
      <w:r>
        <w:rPr>
          <w:rFonts w:ascii="Times New Roman"/>
          <w:spacing w:val="31"/>
        </w:rPr>
        <w:t xml:space="preserve"> </w:t>
      </w:r>
      <w:r>
        <w:rPr>
          <w:rFonts w:ascii="Times New Roman"/>
          <w:spacing w:val="-1"/>
        </w:rPr>
        <w:t>suburban</w:t>
      </w:r>
      <w:r>
        <w:rPr>
          <w:rFonts w:ascii="Times New Roman"/>
          <w:spacing w:val="31"/>
        </w:rPr>
        <w:t xml:space="preserve"> </w:t>
      </w:r>
      <w:r>
        <w:rPr>
          <w:rFonts w:ascii="Times New Roman"/>
          <w:spacing w:val="-1"/>
        </w:rPr>
        <w:t>usages</w:t>
      </w:r>
      <w:r>
        <w:rPr>
          <w:rFonts w:ascii="Times New Roman"/>
          <w:spacing w:val="30"/>
        </w:rPr>
        <w:t xml:space="preserve"> </w:t>
      </w:r>
      <w:r>
        <w:rPr>
          <w:rFonts w:ascii="Times New Roman"/>
          <w:spacing w:val="-1"/>
        </w:rPr>
        <w:t>which</w:t>
      </w:r>
      <w:r>
        <w:rPr>
          <w:rFonts w:ascii="Times New Roman"/>
          <w:spacing w:val="31"/>
        </w:rPr>
        <w:t xml:space="preserve"> </w:t>
      </w:r>
      <w:r>
        <w:rPr>
          <w:rFonts w:ascii="Times New Roman"/>
          <w:spacing w:val="-1"/>
        </w:rPr>
        <w:t>shall</w:t>
      </w:r>
      <w:r>
        <w:rPr>
          <w:rFonts w:ascii="Times New Roman"/>
          <w:spacing w:val="30"/>
        </w:rPr>
        <w:t xml:space="preserve"> </w:t>
      </w:r>
      <w:r>
        <w:rPr>
          <w:rFonts w:ascii="Times New Roman"/>
        </w:rPr>
        <w:t>be</w:t>
      </w:r>
      <w:r>
        <w:rPr>
          <w:rFonts w:ascii="Times New Roman"/>
          <w:spacing w:val="30"/>
        </w:rPr>
        <w:t xml:space="preserve"> </w:t>
      </w:r>
      <w:r>
        <w:rPr>
          <w:rFonts w:ascii="Times New Roman"/>
          <w:spacing w:val="-1"/>
        </w:rPr>
        <w:t>taken</w:t>
      </w:r>
      <w:r>
        <w:rPr>
          <w:rFonts w:ascii="Times New Roman"/>
          <w:spacing w:val="32"/>
        </w:rPr>
        <w:t xml:space="preserve"> </w:t>
      </w:r>
      <w:r>
        <w:rPr>
          <w:rFonts w:ascii="Times New Roman"/>
        </w:rPr>
        <w:t>into</w:t>
      </w:r>
      <w:r>
        <w:rPr>
          <w:rFonts w:ascii="Times New Roman"/>
          <w:spacing w:val="31"/>
        </w:rPr>
        <w:t xml:space="preserve"> </w:t>
      </w:r>
      <w:r>
        <w:rPr>
          <w:rFonts w:ascii="Times New Roman"/>
          <w:spacing w:val="-1"/>
        </w:rPr>
        <w:t>due</w:t>
      </w:r>
      <w:r>
        <w:rPr>
          <w:rFonts w:ascii="Times New Roman"/>
          <w:spacing w:val="91"/>
        </w:rPr>
        <w:t xml:space="preserve"> </w:t>
      </w:r>
      <w:r>
        <w:rPr>
          <w:rFonts w:ascii="Times New Roman"/>
          <w:spacing w:val="-1"/>
        </w:rPr>
        <w:t>consideration</w:t>
      </w:r>
      <w:r>
        <w:rPr>
          <w:rFonts w:ascii="Times New Roman"/>
          <w:spacing w:val="-2"/>
        </w:rPr>
        <w:t xml:space="preserve"> </w:t>
      </w:r>
      <w:r>
        <w:rPr>
          <w:rFonts w:ascii="Times New Roman"/>
          <w:spacing w:val="-1"/>
        </w:rPr>
        <w:t>when</w:t>
      </w:r>
      <w:r>
        <w:rPr>
          <w:rFonts w:ascii="Times New Roman"/>
        </w:rPr>
        <w:t xml:space="preserve"> </w:t>
      </w:r>
      <w:r>
        <w:rPr>
          <w:rFonts w:ascii="Times New Roman"/>
          <w:spacing w:val="-1"/>
        </w:rPr>
        <w:t>conducting</w:t>
      </w:r>
      <w:r>
        <w:rPr>
          <w:rFonts w:ascii="Times New Roman"/>
        </w:rPr>
        <w:t xml:space="preserve"> </w:t>
      </w:r>
      <w:r>
        <w:rPr>
          <w:rFonts w:ascii="Times New Roman"/>
          <w:spacing w:val="-1"/>
        </w:rPr>
        <w:t>relevant</w:t>
      </w:r>
      <w:r>
        <w:rPr>
          <w:rFonts w:ascii="Times New Roman"/>
        </w:rPr>
        <w:t xml:space="preserve"> </w:t>
      </w:r>
      <w:r>
        <w:rPr>
          <w:rFonts w:ascii="Times New Roman"/>
          <w:spacing w:val="-1"/>
        </w:rPr>
        <w:t>studies.</w:t>
      </w:r>
    </w:p>
    <w:p w14:paraId="0A7D7CA5" w14:textId="77777777" w:rsidR="00B52D8F" w:rsidRDefault="00B52D8F" w:rsidP="00B52D8F">
      <w:pPr>
        <w:tabs>
          <w:tab w:val="left" w:pos="465"/>
        </w:tabs>
        <w:ind w:left="107"/>
        <w:rPr>
          <w:rFonts w:ascii="Times New Roman" w:hAnsi="Times New Roman"/>
          <w:szCs w:val="20"/>
        </w:rPr>
      </w:pPr>
      <w:r>
        <w:rPr>
          <w:rFonts w:ascii="Times New Roman"/>
          <w:w w:val="95"/>
          <w:position w:val="9"/>
          <w:sz w:val="13"/>
        </w:rPr>
        <w:t>2</w:t>
      </w:r>
      <w:r>
        <w:rPr>
          <w:rFonts w:ascii="Times New Roman"/>
          <w:w w:val="95"/>
          <w:position w:val="9"/>
          <w:sz w:val="13"/>
        </w:rPr>
        <w:tab/>
      </w:r>
      <w:hyperlink r:id="rId35">
        <w:r>
          <w:rPr>
            <w:rFonts w:ascii="Times New Roman"/>
            <w:color w:val="0000FF"/>
            <w:spacing w:val="-1"/>
            <w:u w:val="single" w:color="0000FF"/>
          </w:rPr>
          <w:t>https://ec.europa.eu/transport/road_safety/sites/roadsafety/files/pdf/observatory/trends_figures.pdf</w:t>
        </w:r>
      </w:hyperlink>
    </w:p>
    <w:p w14:paraId="0A7D7CA6" w14:textId="77777777" w:rsidR="00B52D8F" w:rsidRDefault="00B52D8F" w:rsidP="00B52D8F">
      <w:pPr>
        <w:tabs>
          <w:tab w:val="left" w:pos="465"/>
        </w:tabs>
        <w:spacing w:before="83"/>
        <w:ind w:left="465" w:right="314" w:hanging="358"/>
        <w:rPr>
          <w:rFonts w:ascii="Times New Roman" w:hAnsi="Times New Roman"/>
          <w:szCs w:val="20"/>
        </w:rPr>
      </w:pPr>
      <w:proofErr w:type="gramStart"/>
      <w:r>
        <w:rPr>
          <w:rFonts w:ascii="Times New Roman"/>
          <w:w w:val="95"/>
          <w:position w:val="9"/>
          <w:sz w:val="13"/>
        </w:rPr>
        <w:t>3</w:t>
      </w:r>
      <w:r>
        <w:rPr>
          <w:rFonts w:ascii="Times New Roman"/>
          <w:w w:val="95"/>
          <w:position w:val="9"/>
          <w:sz w:val="13"/>
        </w:rPr>
        <w:tab/>
      </w:r>
      <w:hyperlink r:id="rId36">
        <w:r>
          <w:rPr>
            <w:rFonts w:ascii="Times New Roman"/>
            <w:color w:val="0000FF"/>
            <w:spacing w:val="-1"/>
            <w:u w:val="single" w:color="0000FF"/>
          </w:rPr>
          <w:t>https://www.eea.europa.eu/data-and-maps/indicators/transport-emissions-of-air-pollutants-8/transport-</w:t>
        </w:r>
      </w:hyperlink>
      <w:r>
        <w:rPr>
          <w:rFonts w:ascii="Times New Roman"/>
          <w:color w:val="0000FF"/>
        </w:rPr>
        <w:t xml:space="preserve"> </w:t>
      </w:r>
      <w:hyperlink r:id="rId37">
        <w:r>
          <w:rPr>
            <w:rFonts w:ascii="Times New Roman"/>
            <w:color w:val="0000FF"/>
          </w:rPr>
          <w:t xml:space="preserve">  </w:t>
        </w:r>
        <w:r>
          <w:rPr>
            <w:rFonts w:ascii="Times New Roman"/>
            <w:color w:val="0000FF"/>
            <w:spacing w:val="-1"/>
            <w:u w:val="single" w:color="0000FF"/>
          </w:rPr>
          <w:t>emissions-of-air-pollutants-4</w:t>
        </w:r>
        <w:proofErr w:type="gramEnd"/>
      </w:hyperlink>
    </w:p>
    <w:p w14:paraId="0A7D7CA7" w14:textId="77777777" w:rsidR="00B52D8F" w:rsidRDefault="00B52D8F" w:rsidP="00B52D8F">
      <w:pPr>
        <w:tabs>
          <w:tab w:val="left" w:pos="465"/>
        </w:tabs>
        <w:spacing w:before="83"/>
        <w:ind w:left="465" w:right="1053" w:hanging="358"/>
        <w:rPr>
          <w:rFonts w:ascii="Times New Roman" w:hAnsi="Times New Roman"/>
          <w:szCs w:val="20"/>
        </w:rPr>
      </w:pPr>
      <w:r>
        <w:rPr>
          <w:rFonts w:ascii="Times New Roman"/>
          <w:w w:val="95"/>
          <w:position w:val="9"/>
          <w:sz w:val="13"/>
        </w:rPr>
        <w:t>4</w:t>
      </w:r>
      <w:r>
        <w:rPr>
          <w:rFonts w:ascii="Times New Roman"/>
          <w:w w:val="95"/>
          <w:position w:val="9"/>
          <w:sz w:val="13"/>
        </w:rPr>
        <w:tab/>
      </w:r>
      <w:hyperlink r:id="rId38">
        <w:proofErr w:type="gramStart"/>
        <w:r>
          <w:rPr>
            <w:rFonts w:ascii="Times New Roman"/>
            <w:color w:val="0000FF"/>
            <w:spacing w:val="-1"/>
            <w:u w:val="single" w:color="0000FF"/>
          </w:rPr>
          <w:t>https://www.regjeringen.no/contentassets/ba7ab6e2a0e14e39baa77f5b76f59d14/2016-04-08-</w:t>
        </w:r>
      </w:hyperlink>
      <w:r>
        <w:rPr>
          <w:rFonts w:ascii="Times New Roman"/>
          <w:color w:val="0000FF"/>
        </w:rPr>
        <w:t xml:space="preserve"> </w:t>
      </w:r>
      <w:hyperlink r:id="rId39">
        <w:r>
          <w:rPr>
            <w:rFonts w:ascii="Times New Roman"/>
            <w:color w:val="0000FF"/>
          </w:rPr>
          <w:t xml:space="preserve">  </w:t>
        </w:r>
        <w:r>
          <w:rPr>
            <w:rFonts w:ascii="Times New Roman"/>
            <w:color w:val="0000FF"/>
            <w:spacing w:val="-1"/>
            <w:u w:val="single" w:color="0000FF"/>
          </w:rPr>
          <w:t>declaration-of-</w:t>
        </w:r>
        <w:proofErr w:type="spellStart"/>
        <w:r>
          <w:rPr>
            <w:rFonts w:ascii="Times New Roman"/>
            <w:color w:val="0000FF"/>
            <w:spacing w:val="-1"/>
            <w:u w:val="single" w:color="0000FF"/>
          </w:rPr>
          <w:t>amsterdam</w:t>
        </w:r>
        <w:proofErr w:type="spellEnd"/>
        <w:proofErr w:type="gramEnd"/>
        <w:r>
          <w:rPr>
            <w:rFonts w:ascii="Times New Roman"/>
            <w:color w:val="0000FF"/>
            <w:spacing w:val="-1"/>
            <w:u w:val="single" w:color="0000FF"/>
          </w:rPr>
          <w:t>---final1400661.pdf</w:t>
        </w:r>
      </w:hyperlink>
    </w:p>
    <w:p w14:paraId="0A7D7CA8" w14:textId="77777777" w:rsidR="00B52D8F" w:rsidRDefault="00B52D8F" w:rsidP="00B52D8F">
      <w:pPr>
        <w:tabs>
          <w:tab w:val="left" w:pos="465"/>
        </w:tabs>
        <w:spacing w:before="83"/>
        <w:ind w:left="107"/>
        <w:rPr>
          <w:rFonts w:ascii="Times New Roman" w:hAnsi="Times New Roman"/>
          <w:szCs w:val="20"/>
        </w:rPr>
      </w:pPr>
      <w:r>
        <w:rPr>
          <w:rFonts w:ascii="Times New Roman"/>
          <w:w w:val="95"/>
          <w:position w:val="9"/>
          <w:sz w:val="13"/>
        </w:rPr>
        <w:t>5</w:t>
      </w:r>
      <w:r>
        <w:rPr>
          <w:rFonts w:ascii="Times New Roman"/>
          <w:w w:val="95"/>
          <w:position w:val="9"/>
          <w:sz w:val="13"/>
        </w:rPr>
        <w:tab/>
      </w:r>
      <w:hyperlink r:id="rId40">
        <w:r>
          <w:rPr>
            <w:rFonts w:ascii="Times New Roman"/>
            <w:color w:val="0000FF"/>
            <w:spacing w:val="-1"/>
            <w:u w:val="single" w:color="0000FF"/>
          </w:rPr>
          <w:t>https://ec.europa.eu/commission/work-programme-2017_en</w:t>
        </w:r>
      </w:hyperlink>
    </w:p>
    <w:p w14:paraId="0A7D7CA9" w14:textId="77777777" w:rsidR="00B52D8F" w:rsidRDefault="00B52D8F" w:rsidP="00B52D8F">
      <w:pPr>
        <w:spacing w:before="60"/>
        <w:ind w:left="588" w:right="116"/>
        <w:jc w:val="both"/>
        <w:rPr>
          <w:rFonts w:ascii="Times New Roman"/>
          <w:i/>
          <w:sz w:val="24"/>
        </w:rPr>
      </w:pPr>
      <w:r>
        <w:rPr>
          <w:rFonts w:ascii="Times New Roman"/>
          <w:sz w:val="24"/>
        </w:rPr>
        <w:lastRenderedPageBreak/>
        <w:t>In</w:t>
      </w:r>
      <w:r>
        <w:rPr>
          <w:rFonts w:ascii="Times New Roman"/>
          <w:spacing w:val="20"/>
          <w:sz w:val="24"/>
        </w:rPr>
        <w:t xml:space="preserve"> </w:t>
      </w:r>
      <w:r>
        <w:rPr>
          <w:rFonts w:ascii="Times New Roman"/>
          <w:sz w:val="24"/>
        </w:rPr>
        <w:t>its</w:t>
      </w:r>
      <w:r>
        <w:rPr>
          <w:rFonts w:ascii="Times New Roman"/>
          <w:spacing w:val="21"/>
          <w:sz w:val="24"/>
        </w:rPr>
        <w:t xml:space="preserve"> </w:t>
      </w:r>
      <w:r>
        <w:rPr>
          <w:rFonts w:ascii="Times New Roman"/>
          <w:sz w:val="24"/>
        </w:rPr>
        <w:t>Opinion</w:t>
      </w:r>
      <w:r>
        <w:rPr>
          <w:rFonts w:ascii="Times New Roman"/>
          <w:spacing w:val="20"/>
          <w:sz w:val="24"/>
        </w:rPr>
        <w:t xml:space="preserve"> </w:t>
      </w:r>
      <w:r>
        <w:rPr>
          <w:rFonts w:ascii="Times New Roman"/>
          <w:sz w:val="24"/>
        </w:rPr>
        <w:t>on</w:t>
      </w:r>
      <w:r>
        <w:rPr>
          <w:rFonts w:ascii="Times New Roman"/>
          <w:spacing w:val="21"/>
          <w:sz w:val="24"/>
        </w:rPr>
        <w:t xml:space="preserve"> </w:t>
      </w:r>
      <w:r>
        <w:rPr>
          <w:rFonts w:ascii="Times New Roman"/>
          <w:spacing w:val="-1"/>
          <w:sz w:val="24"/>
        </w:rPr>
        <w:t>Intelligent</w:t>
      </w:r>
      <w:r>
        <w:rPr>
          <w:rFonts w:ascii="Times New Roman"/>
          <w:spacing w:val="22"/>
          <w:sz w:val="24"/>
        </w:rPr>
        <w:t xml:space="preserve"> </w:t>
      </w:r>
      <w:r>
        <w:rPr>
          <w:rFonts w:ascii="Times New Roman"/>
          <w:spacing w:val="-1"/>
          <w:sz w:val="24"/>
        </w:rPr>
        <w:t>Transport</w:t>
      </w:r>
      <w:r>
        <w:rPr>
          <w:rFonts w:ascii="Times New Roman"/>
          <w:spacing w:val="22"/>
          <w:sz w:val="24"/>
        </w:rPr>
        <w:t xml:space="preserve"> </w:t>
      </w:r>
      <w:r>
        <w:rPr>
          <w:rFonts w:ascii="Times New Roman"/>
          <w:sz w:val="24"/>
        </w:rPr>
        <w:t>Systems</w:t>
      </w:r>
      <w:r>
        <w:rPr>
          <w:rFonts w:ascii="Times New Roman"/>
          <w:position w:val="11"/>
          <w:sz w:val="16"/>
        </w:rPr>
        <w:t>6</w:t>
      </w:r>
      <w:r>
        <w:rPr>
          <w:rFonts w:ascii="Times New Roman"/>
          <w:sz w:val="24"/>
        </w:rPr>
        <w:t>,</w:t>
      </w:r>
      <w:r>
        <w:rPr>
          <w:rFonts w:ascii="Times New Roman"/>
          <w:spacing w:val="21"/>
          <w:sz w:val="24"/>
        </w:rPr>
        <w:t xml:space="preserve"> </w:t>
      </w:r>
      <w:r>
        <w:rPr>
          <w:rFonts w:ascii="Times New Roman"/>
          <w:sz w:val="24"/>
        </w:rPr>
        <w:t>the</w:t>
      </w:r>
      <w:r>
        <w:rPr>
          <w:rFonts w:ascii="Times New Roman"/>
          <w:spacing w:val="21"/>
          <w:sz w:val="24"/>
        </w:rPr>
        <w:t xml:space="preserve"> </w:t>
      </w:r>
      <w:r>
        <w:rPr>
          <w:rFonts w:ascii="Times New Roman"/>
          <w:spacing w:val="-1"/>
          <w:sz w:val="24"/>
        </w:rPr>
        <w:t>RSPG</w:t>
      </w:r>
      <w:r>
        <w:rPr>
          <w:rFonts w:ascii="Times New Roman"/>
          <w:spacing w:val="23"/>
          <w:sz w:val="24"/>
        </w:rPr>
        <w:t xml:space="preserve"> </w:t>
      </w:r>
      <w:r>
        <w:rPr>
          <w:rFonts w:ascii="Times New Roman"/>
          <w:sz w:val="24"/>
        </w:rPr>
        <w:t>considers</w:t>
      </w:r>
      <w:r>
        <w:rPr>
          <w:rFonts w:ascii="Times New Roman"/>
          <w:spacing w:val="21"/>
          <w:sz w:val="24"/>
        </w:rPr>
        <w:t xml:space="preserve"> </w:t>
      </w:r>
      <w:r>
        <w:rPr>
          <w:rFonts w:ascii="Times New Roman"/>
          <w:spacing w:val="-1"/>
          <w:sz w:val="24"/>
        </w:rPr>
        <w:t>that</w:t>
      </w:r>
      <w:r>
        <w:rPr>
          <w:rFonts w:ascii="Times New Roman"/>
          <w:spacing w:val="24"/>
          <w:sz w:val="24"/>
        </w:rPr>
        <w:t xml:space="preserve"> </w:t>
      </w:r>
      <w:r>
        <w:rPr>
          <w:rFonts w:ascii="Times New Roman"/>
          <w:i/>
          <w:sz w:val="24"/>
        </w:rPr>
        <w:t>"There</w:t>
      </w:r>
      <w:r>
        <w:rPr>
          <w:rFonts w:ascii="Times New Roman"/>
          <w:i/>
          <w:spacing w:val="21"/>
          <w:sz w:val="24"/>
        </w:rPr>
        <w:t xml:space="preserve"> </w:t>
      </w:r>
      <w:r>
        <w:rPr>
          <w:rFonts w:ascii="Times New Roman"/>
          <w:i/>
          <w:sz w:val="24"/>
        </w:rPr>
        <w:t>is</w:t>
      </w:r>
      <w:r>
        <w:rPr>
          <w:rFonts w:ascii="Times New Roman"/>
          <w:i/>
          <w:spacing w:val="47"/>
          <w:sz w:val="24"/>
        </w:rPr>
        <w:t xml:space="preserve"> </w:t>
      </w:r>
      <w:r>
        <w:rPr>
          <w:rFonts w:ascii="Times New Roman"/>
          <w:i/>
          <w:sz w:val="24"/>
        </w:rPr>
        <w:t>no</w:t>
      </w:r>
      <w:r>
        <w:rPr>
          <w:rFonts w:ascii="Times New Roman"/>
          <w:i/>
          <w:spacing w:val="5"/>
          <w:sz w:val="24"/>
        </w:rPr>
        <w:t xml:space="preserve"> </w:t>
      </w:r>
      <w:r>
        <w:rPr>
          <w:rFonts w:ascii="Times New Roman"/>
          <w:i/>
          <w:spacing w:val="-1"/>
          <w:sz w:val="24"/>
        </w:rPr>
        <w:t>evidence</w:t>
      </w:r>
      <w:r>
        <w:rPr>
          <w:rFonts w:ascii="Times New Roman"/>
          <w:i/>
          <w:spacing w:val="5"/>
          <w:sz w:val="24"/>
        </w:rPr>
        <w:t xml:space="preserve"> </w:t>
      </w:r>
      <w:r>
        <w:rPr>
          <w:rFonts w:ascii="Times New Roman"/>
          <w:i/>
          <w:sz w:val="24"/>
        </w:rPr>
        <w:t>that</w:t>
      </w:r>
      <w:r>
        <w:rPr>
          <w:rFonts w:ascii="Times New Roman"/>
          <w:i/>
          <w:spacing w:val="6"/>
          <w:sz w:val="24"/>
        </w:rPr>
        <w:t xml:space="preserve"> </w:t>
      </w:r>
      <w:r>
        <w:rPr>
          <w:rFonts w:ascii="Times New Roman"/>
          <w:i/>
          <w:spacing w:val="-1"/>
          <w:sz w:val="24"/>
        </w:rPr>
        <w:t>spectrum</w:t>
      </w:r>
      <w:r>
        <w:rPr>
          <w:rFonts w:ascii="Times New Roman"/>
          <w:i/>
          <w:spacing w:val="5"/>
          <w:sz w:val="24"/>
        </w:rPr>
        <w:t xml:space="preserve"> </w:t>
      </w:r>
      <w:r>
        <w:rPr>
          <w:rFonts w:ascii="Times New Roman"/>
          <w:i/>
          <w:spacing w:val="-1"/>
          <w:sz w:val="24"/>
        </w:rPr>
        <w:t>availability</w:t>
      </w:r>
      <w:r>
        <w:rPr>
          <w:rFonts w:ascii="Times New Roman"/>
          <w:i/>
          <w:spacing w:val="6"/>
          <w:sz w:val="24"/>
        </w:rPr>
        <w:t xml:space="preserve"> </w:t>
      </w:r>
      <w:r>
        <w:rPr>
          <w:rFonts w:ascii="Times New Roman"/>
          <w:i/>
          <w:sz w:val="24"/>
        </w:rPr>
        <w:t>is</w:t>
      </w:r>
      <w:r>
        <w:rPr>
          <w:rFonts w:ascii="Times New Roman"/>
          <w:i/>
          <w:spacing w:val="5"/>
          <w:sz w:val="24"/>
        </w:rPr>
        <w:t xml:space="preserve"> </w:t>
      </w:r>
      <w:r>
        <w:rPr>
          <w:rFonts w:ascii="Times New Roman"/>
          <w:i/>
          <w:spacing w:val="-1"/>
          <w:sz w:val="24"/>
        </w:rPr>
        <w:t>currently</w:t>
      </w:r>
      <w:r>
        <w:rPr>
          <w:rFonts w:ascii="Times New Roman"/>
          <w:i/>
          <w:spacing w:val="5"/>
          <w:sz w:val="24"/>
        </w:rPr>
        <w:t xml:space="preserve"> </w:t>
      </w:r>
      <w:r>
        <w:rPr>
          <w:rFonts w:ascii="Times New Roman"/>
          <w:i/>
          <w:sz w:val="24"/>
        </w:rPr>
        <w:t>a</w:t>
      </w:r>
      <w:r>
        <w:rPr>
          <w:rFonts w:ascii="Times New Roman"/>
          <w:i/>
          <w:spacing w:val="5"/>
          <w:sz w:val="24"/>
        </w:rPr>
        <w:t xml:space="preserve"> </w:t>
      </w:r>
      <w:r>
        <w:rPr>
          <w:rFonts w:ascii="Times New Roman"/>
          <w:i/>
          <w:sz w:val="24"/>
        </w:rPr>
        <w:t>constraint</w:t>
      </w:r>
      <w:r>
        <w:rPr>
          <w:rFonts w:ascii="Times New Roman"/>
          <w:i/>
          <w:spacing w:val="5"/>
          <w:sz w:val="24"/>
        </w:rPr>
        <w:t xml:space="preserve"> </w:t>
      </w:r>
      <w:r>
        <w:rPr>
          <w:rFonts w:ascii="Times New Roman"/>
          <w:i/>
          <w:sz w:val="24"/>
        </w:rPr>
        <w:t>on</w:t>
      </w:r>
      <w:r>
        <w:rPr>
          <w:rFonts w:ascii="Times New Roman"/>
          <w:i/>
          <w:spacing w:val="4"/>
          <w:sz w:val="24"/>
        </w:rPr>
        <w:t xml:space="preserve"> </w:t>
      </w:r>
      <w:r>
        <w:rPr>
          <w:rFonts w:ascii="Times New Roman"/>
          <w:i/>
          <w:sz w:val="24"/>
        </w:rPr>
        <w:t>the</w:t>
      </w:r>
      <w:r>
        <w:rPr>
          <w:rFonts w:ascii="Times New Roman"/>
          <w:i/>
          <w:spacing w:val="6"/>
          <w:sz w:val="24"/>
        </w:rPr>
        <w:t xml:space="preserve"> </w:t>
      </w:r>
      <w:r>
        <w:rPr>
          <w:rFonts w:ascii="Times New Roman"/>
          <w:i/>
          <w:spacing w:val="-1"/>
          <w:sz w:val="24"/>
        </w:rPr>
        <w:t>development</w:t>
      </w:r>
      <w:r>
        <w:rPr>
          <w:rFonts w:ascii="Times New Roman"/>
          <w:i/>
          <w:spacing w:val="4"/>
          <w:sz w:val="24"/>
        </w:rPr>
        <w:t xml:space="preserve"> </w:t>
      </w:r>
      <w:r>
        <w:rPr>
          <w:rFonts w:ascii="Times New Roman"/>
          <w:i/>
          <w:spacing w:val="-1"/>
          <w:sz w:val="24"/>
        </w:rPr>
        <w:t>of</w:t>
      </w:r>
      <w:r>
        <w:rPr>
          <w:rFonts w:ascii="Times New Roman"/>
          <w:i/>
          <w:spacing w:val="83"/>
          <w:sz w:val="24"/>
        </w:rPr>
        <w:t xml:space="preserve"> </w:t>
      </w:r>
      <w:proofErr w:type="gramStart"/>
      <w:r>
        <w:rPr>
          <w:rFonts w:ascii="Times New Roman"/>
          <w:i/>
          <w:sz w:val="24"/>
        </w:rPr>
        <w:t>ITS</w:t>
      </w:r>
      <w:proofErr w:type="gramEnd"/>
      <w:r>
        <w:rPr>
          <w:rFonts w:ascii="Times New Roman"/>
          <w:i/>
          <w:sz w:val="24"/>
        </w:rPr>
        <w:t>,</w:t>
      </w:r>
      <w:r>
        <w:rPr>
          <w:rFonts w:ascii="Times New Roman"/>
          <w:i/>
          <w:spacing w:val="12"/>
          <w:sz w:val="24"/>
        </w:rPr>
        <w:t xml:space="preserve"> </w:t>
      </w:r>
      <w:r>
        <w:rPr>
          <w:rFonts w:ascii="Times New Roman"/>
          <w:i/>
          <w:sz w:val="24"/>
        </w:rPr>
        <w:t>and</w:t>
      </w:r>
      <w:r>
        <w:rPr>
          <w:rFonts w:ascii="Times New Roman"/>
          <w:i/>
          <w:spacing w:val="12"/>
          <w:sz w:val="24"/>
        </w:rPr>
        <w:t xml:space="preserve"> </w:t>
      </w:r>
      <w:r>
        <w:rPr>
          <w:rFonts w:ascii="Times New Roman"/>
          <w:i/>
          <w:sz w:val="24"/>
        </w:rPr>
        <w:t>there</w:t>
      </w:r>
      <w:r>
        <w:rPr>
          <w:rFonts w:ascii="Times New Roman"/>
          <w:i/>
          <w:spacing w:val="13"/>
          <w:sz w:val="24"/>
        </w:rPr>
        <w:t xml:space="preserve"> </w:t>
      </w:r>
      <w:r>
        <w:rPr>
          <w:rFonts w:ascii="Times New Roman"/>
          <w:i/>
          <w:sz w:val="24"/>
        </w:rPr>
        <w:t>is</w:t>
      </w:r>
      <w:r>
        <w:rPr>
          <w:rFonts w:ascii="Times New Roman"/>
          <w:i/>
          <w:spacing w:val="13"/>
          <w:sz w:val="24"/>
        </w:rPr>
        <w:t xml:space="preserve"> </w:t>
      </w:r>
      <w:r>
        <w:rPr>
          <w:rFonts w:ascii="Times New Roman"/>
          <w:i/>
          <w:sz w:val="24"/>
        </w:rPr>
        <w:t>no</w:t>
      </w:r>
      <w:r>
        <w:rPr>
          <w:rFonts w:ascii="Times New Roman"/>
          <w:i/>
          <w:spacing w:val="12"/>
          <w:sz w:val="24"/>
        </w:rPr>
        <w:t xml:space="preserve"> </w:t>
      </w:r>
      <w:r>
        <w:rPr>
          <w:rFonts w:ascii="Times New Roman"/>
          <w:i/>
          <w:spacing w:val="-1"/>
          <w:sz w:val="24"/>
        </w:rPr>
        <w:t>immediate</w:t>
      </w:r>
      <w:r>
        <w:rPr>
          <w:rFonts w:ascii="Times New Roman"/>
          <w:i/>
          <w:spacing w:val="13"/>
          <w:sz w:val="24"/>
        </w:rPr>
        <w:t xml:space="preserve"> </w:t>
      </w:r>
      <w:r>
        <w:rPr>
          <w:rFonts w:ascii="Times New Roman"/>
          <w:i/>
          <w:sz w:val="24"/>
        </w:rPr>
        <w:t>need</w:t>
      </w:r>
      <w:r>
        <w:rPr>
          <w:rFonts w:ascii="Times New Roman"/>
          <w:i/>
          <w:spacing w:val="13"/>
          <w:sz w:val="24"/>
        </w:rPr>
        <w:t xml:space="preserve"> </w:t>
      </w:r>
      <w:r>
        <w:rPr>
          <w:rFonts w:ascii="Times New Roman"/>
          <w:i/>
          <w:sz w:val="24"/>
        </w:rPr>
        <w:t>to</w:t>
      </w:r>
      <w:r>
        <w:rPr>
          <w:rFonts w:ascii="Times New Roman"/>
          <w:i/>
          <w:spacing w:val="13"/>
          <w:sz w:val="24"/>
        </w:rPr>
        <w:t xml:space="preserve"> </w:t>
      </w:r>
      <w:r>
        <w:rPr>
          <w:rFonts w:ascii="Times New Roman"/>
          <w:i/>
          <w:sz w:val="24"/>
        </w:rPr>
        <w:t>take</w:t>
      </w:r>
      <w:r>
        <w:rPr>
          <w:rFonts w:ascii="Times New Roman"/>
          <w:i/>
          <w:spacing w:val="11"/>
          <w:sz w:val="24"/>
        </w:rPr>
        <w:t xml:space="preserve"> </w:t>
      </w:r>
      <w:r>
        <w:rPr>
          <w:rFonts w:ascii="Times New Roman"/>
          <w:i/>
          <w:sz w:val="24"/>
        </w:rPr>
        <w:t>regulatory</w:t>
      </w:r>
      <w:r>
        <w:rPr>
          <w:rFonts w:ascii="Times New Roman"/>
          <w:i/>
          <w:spacing w:val="11"/>
          <w:sz w:val="24"/>
        </w:rPr>
        <w:t xml:space="preserve"> </w:t>
      </w:r>
      <w:r>
        <w:rPr>
          <w:rFonts w:ascii="Times New Roman"/>
          <w:i/>
          <w:sz w:val="24"/>
        </w:rPr>
        <w:t>action</w:t>
      </w:r>
      <w:r>
        <w:rPr>
          <w:rFonts w:ascii="Times New Roman"/>
          <w:i/>
          <w:spacing w:val="13"/>
          <w:sz w:val="24"/>
        </w:rPr>
        <w:t xml:space="preserve"> </w:t>
      </w:r>
      <w:r>
        <w:rPr>
          <w:rFonts w:ascii="Times New Roman"/>
          <w:i/>
          <w:sz w:val="24"/>
        </w:rPr>
        <w:t>in</w:t>
      </w:r>
      <w:r>
        <w:rPr>
          <w:rFonts w:ascii="Times New Roman"/>
          <w:i/>
          <w:spacing w:val="12"/>
          <w:sz w:val="24"/>
        </w:rPr>
        <w:t xml:space="preserve"> </w:t>
      </w:r>
      <w:r>
        <w:rPr>
          <w:rFonts w:ascii="Times New Roman"/>
          <w:i/>
          <w:sz w:val="24"/>
        </w:rPr>
        <w:t>this</w:t>
      </w:r>
      <w:r>
        <w:rPr>
          <w:rFonts w:ascii="Times New Roman"/>
          <w:i/>
          <w:spacing w:val="13"/>
          <w:sz w:val="24"/>
        </w:rPr>
        <w:t xml:space="preserve"> </w:t>
      </w:r>
      <w:r>
        <w:rPr>
          <w:rFonts w:ascii="Times New Roman"/>
          <w:i/>
          <w:sz w:val="24"/>
        </w:rPr>
        <w:t>regard.</w:t>
      </w:r>
      <w:r>
        <w:rPr>
          <w:rFonts w:ascii="Times New Roman"/>
          <w:i/>
          <w:spacing w:val="27"/>
          <w:sz w:val="24"/>
        </w:rPr>
        <w:t xml:space="preserve"> </w:t>
      </w:r>
      <w:r>
        <w:rPr>
          <w:rFonts w:ascii="Times New Roman"/>
          <w:i/>
          <w:spacing w:val="-1"/>
          <w:sz w:val="24"/>
        </w:rPr>
        <w:t>However,</w:t>
      </w:r>
      <w:r>
        <w:rPr>
          <w:rFonts w:ascii="Times New Roman"/>
          <w:i/>
          <w:spacing w:val="8"/>
          <w:sz w:val="24"/>
        </w:rPr>
        <w:t xml:space="preserve"> </w:t>
      </w:r>
      <w:r>
        <w:rPr>
          <w:rFonts w:ascii="Times New Roman"/>
          <w:i/>
          <w:sz w:val="24"/>
        </w:rPr>
        <w:t>given</w:t>
      </w:r>
      <w:r>
        <w:rPr>
          <w:rFonts w:ascii="Times New Roman"/>
          <w:i/>
          <w:spacing w:val="8"/>
          <w:sz w:val="24"/>
        </w:rPr>
        <w:t xml:space="preserve"> </w:t>
      </w:r>
      <w:r>
        <w:rPr>
          <w:rFonts w:ascii="Times New Roman"/>
          <w:i/>
          <w:sz w:val="24"/>
        </w:rPr>
        <w:t>the</w:t>
      </w:r>
      <w:r>
        <w:rPr>
          <w:rFonts w:ascii="Times New Roman"/>
          <w:i/>
          <w:spacing w:val="8"/>
          <w:sz w:val="24"/>
        </w:rPr>
        <w:t xml:space="preserve"> </w:t>
      </w:r>
      <w:r>
        <w:rPr>
          <w:rFonts w:ascii="Times New Roman"/>
          <w:i/>
          <w:spacing w:val="-1"/>
          <w:sz w:val="24"/>
        </w:rPr>
        <w:t>momentum</w:t>
      </w:r>
      <w:r>
        <w:rPr>
          <w:rFonts w:ascii="Times New Roman"/>
          <w:i/>
          <w:spacing w:val="7"/>
          <w:sz w:val="24"/>
        </w:rPr>
        <w:t xml:space="preserve"> </w:t>
      </w:r>
      <w:r>
        <w:rPr>
          <w:rFonts w:ascii="Times New Roman"/>
          <w:i/>
          <w:sz w:val="24"/>
        </w:rPr>
        <w:t>of</w:t>
      </w:r>
      <w:r>
        <w:rPr>
          <w:rFonts w:ascii="Times New Roman"/>
          <w:i/>
          <w:spacing w:val="8"/>
          <w:sz w:val="24"/>
        </w:rPr>
        <w:t xml:space="preserve"> </w:t>
      </w:r>
      <w:r>
        <w:rPr>
          <w:rFonts w:ascii="Times New Roman"/>
          <w:i/>
          <w:sz w:val="24"/>
        </w:rPr>
        <w:t>policy</w:t>
      </w:r>
      <w:r>
        <w:rPr>
          <w:rFonts w:ascii="Times New Roman"/>
          <w:i/>
          <w:spacing w:val="8"/>
          <w:sz w:val="24"/>
        </w:rPr>
        <w:t xml:space="preserve"> </w:t>
      </w:r>
      <w:r>
        <w:rPr>
          <w:rFonts w:ascii="Times New Roman"/>
          <w:i/>
          <w:sz w:val="24"/>
        </w:rPr>
        <w:t>and</w:t>
      </w:r>
      <w:r>
        <w:rPr>
          <w:rFonts w:ascii="Times New Roman"/>
          <w:i/>
          <w:spacing w:val="8"/>
          <w:sz w:val="24"/>
        </w:rPr>
        <w:t xml:space="preserve"> </w:t>
      </w:r>
      <w:r>
        <w:rPr>
          <w:rFonts w:ascii="Times New Roman"/>
          <w:i/>
          <w:spacing w:val="-1"/>
          <w:sz w:val="24"/>
        </w:rPr>
        <w:t>standardization</w:t>
      </w:r>
      <w:r>
        <w:rPr>
          <w:rFonts w:ascii="Times New Roman"/>
          <w:i/>
          <w:spacing w:val="8"/>
          <w:sz w:val="24"/>
        </w:rPr>
        <w:t xml:space="preserve"> </w:t>
      </w:r>
      <w:r>
        <w:rPr>
          <w:rFonts w:ascii="Times New Roman"/>
          <w:i/>
          <w:spacing w:val="-1"/>
          <w:sz w:val="24"/>
        </w:rPr>
        <w:t>development</w:t>
      </w:r>
      <w:r>
        <w:rPr>
          <w:rFonts w:ascii="Times New Roman"/>
          <w:i/>
          <w:spacing w:val="8"/>
          <w:sz w:val="24"/>
        </w:rPr>
        <w:t xml:space="preserve"> </w:t>
      </w:r>
      <w:r>
        <w:rPr>
          <w:rFonts w:ascii="Times New Roman"/>
          <w:i/>
          <w:sz w:val="24"/>
        </w:rPr>
        <w:t>for</w:t>
      </w:r>
      <w:r>
        <w:rPr>
          <w:rFonts w:ascii="Times New Roman"/>
          <w:i/>
          <w:spacing w:val="8"/>
          <w:sz w:val="24"/>
        </w:rPr>
        <w:t xml:space="preserve"> </w:t>
      </w:r>
      <w:proofErr w:type="gramStart"/>
      <w:r>
        <w:rPr>
          <w:rFonts w:ascii="Times New Roman"/>
          <w:i/>
          <w:sz w:val="24"/>
        </w:rPr>
        <w:t>ITS</w:t>
      </w:r>
      <w:proofErr w:type="gramEnd"/>
      <w:r>
        <w:rPr>
          <w:rFonts w:ascii="Times New Roman"/>
          <w:i/>
          <w:spacing w:val="8"/>
          <w:sz w:val="24"/>
        </w:rPr>
        <w:t xml:space="preserve"> </w:t>
      </w:r>
      <w:r>
        <w:rPr>
          <w:rFonts w:ascii="Times New Roman"/>
          <w:i/>
          <w:spacing w:val="-1"/>
          <w:sz w:val="24"/>
        </w:rPr>
        <w:t>we</w:t>
      </w:r>
      <w:r>
        <w:rPr>
          <w:rFonts w:ascii="Times New Roman"/>
          <w:i/>
          <w:spacing w:val="69"/>
          <w:sz w:val="24"/>
        </w:rPr>
        <w:t xml:space="preserve"> </w:t>
      </w:r>
      <w:r>
        <w:rPr>
          <w:rFonts w:ascii="Times New Roman"/>
          <w:i/>
          <w:spacing w:val="-1"/>
          <w:sz w:val="24"/>
        </w:rPr>
        <w:t>recommend</w:t>
      </w:r>
      <w:r>
        <w:rPr>
          <w:rFonts w:ascii="Times New Roman"/>
          <w:i/>
          <w:spacing w:val="31"/>
          <w:sz w:val="24"/>
        </w:rPr>
        <w:t xml:space="preserve"> </w:t>
      </w:r>
      <w:r>
        <w:rPr>
          <w:rFonts w:ascii="Times New Roman"/>
          <w:i/>
          <w:sz w:val="24"/>
        </w:rPr>
        <w:t>that</w:t>
      </w:r>
      <w:r>
        <w:rPr>
          <w:rFonts w:ascii="Times New Roman"/>
          <w:i/>
          <w:spacing w:val="31"/>
          <w:sz w:val="24"/>
        </w:rPr>
        <w:t xml:space="preserve"> </w:t>
      </w:r>
      <w:r>
        <w:rPr>
          <w:rFonts w:ascii="Times New Roman"/>
          <w:i/>
          <w:spacing w:val="-1"/>
          <w:sz w:val="24"/>
        </w:rPr>
        <w:t>the</w:t>
      </w:r>
      <w:r>
        <w:rPr>
          <w:rFonts w:ascii="Times New Roman"/>
          <w:i/>
          <w:spacing w:val="31"/>
          <w:sz w:val="24"/>
        </w:rPr>
        <w:t xml:space="preserve"> </w:t>
      </w:r>
      <w:r>
        <w:rPr>
          <w:rFonts w:ascii="Times New Roman"/>
          <w:i/>
          <w:spacing w:val="-1"/>
          <w:sz w:val="24"/>
        </w:rPr>
        <w:t>options</w:t>
      </w:r>
      <w:r>
        <w:rPr>
          <w:rFonts w:ascii="Times New Roman"/>
          <w:i/>
          <w:spacing w:val="31"/>
          <w:sz w:val="24"/>
        </w:rPr>
        <w:t xml:space="preserve"> </w:t>
      </w:r>
      <w:r>
        <w:rPr>
          <w:rFonts w:ascii="Times New Roman"/>
          <w:i/>
          <w:sz w:val="24"/>
        </w:rPr>
        <w:t>for</w:t>
      </w:r>
      <w:r>
        <w:rPr>
          <w:rFonts w:ascii="Times New Roman"/>
          <w:i/>
          <w:spacing w:val="31"/>
          <w:sz w:val="24"/>
        </w:rPr>
        <w:t xml:space="preserve"> </w:t>
      </w:r>
      <w:r>
        <w:rPr>
          <w:rFonts w:ascii="Times New Roman"/>
          <w:i/>
          <w:sz w:val="24"/>
        </w:rPr>
        <w:t>ITS</w:t>
      </w:r>
      <w:r>
        <w:rPr>
          <w:rFonts w:ascii="Times New Roman"/>
          <w:i/>
          <w:spacing w:val="30"/>
          <w:sz w:val="24"/>
        </w:rPr>
        <w:t xml:space="preserve"> </w:t>
      </w:r>
      <w:r>
        <w:rPr>
          <w:rFonts w:ascii="Times New Roman"/>
          <w:i/>
          <w:sz w:val="24"/>
        </w:rPr>
        <w:t>to</w:t>
      </w:r>
      <w:r>
        <w:rPr>
          <w:rFonts w:ascii="Times New Roman"/>
          <w:i/>
          <w:spacing w:val="31"/>
          <w:sz w:val="24"/>
        </w:rPr>
        <w:t xml:space="preserve"> </w:t>
      </w:r>
      <w:r>
        <w:rPr>
          <w:rFonts w:ascii="Times New Roman"/>
          <w:i/>
          <w:sz w:val="24"/>
        </w:rPr>
        <w:t>expand</w:t>
      </w:r>
      <w:r>
        <w:rPr>
          <w:rFonts w:ascii="Times New Roman"/>
          <w:i/>
          <w:spacing w:val="30"/>
          <w:sz w:val="24"/>
        </w:rPr>
        <w:t xml:space="preserve"> </w:t>
      </w:r>
      <w:r>
        <w:rPr>
          <w:rFonts w:ascii="Times New Roman"/>
          <w:i/>
          <w:sz w:val="24"/>
        </w:rPr>
        <w:t>to</w:t>
      </w:r>
      <w:r>
        <w:rPr>
          <w:rFonts w:ascii="Times New Roman"/>
          <w:i/>
          <w:spacing w:val="30"/>
          <w:sz w:val="24"/>
        </w:rPr>
        <w:t xml:space="preserve"> </w:t>
      </w:r>
      <w:r>
        <w:rPr>
          <w:rFonts w:ascii="Times New Roman"/>
          <w:i/>
          <w:sz w:val="24"/>
        </w:rPr>
        <w:t>share</w:t>
      </w:r>
      <w:r>
        <w:rPr>
          <w:rFonts w:ascii="Times New Roman"/>
          <w:i/>
          <w:spacing w:val="31"/>
          <w:sz w:val="24"/>
        </w:rPr>
        <w:t xml:space="preserve"> </w:t>
      </w:r>
      <w:r>
        <w:rPr>
          <w:rFonts w:ascii="Times New Roman"/>
          <w:i/>
          <w:sz w:val="24"/>
        </w:rPr>
        <w:t>spectrum</w:t>
      </w:r>
      <w:r>
        <w:rPr>
          <w:rFonts w:ascii="Times New Roman"/>
          <w:i/>
          <w:spacing w:val="30"/>
          <w:sz w:val="24"/>
        </w:rPr>
        <w:t xml:space="preserve"> </w:t>
      </w:r>
      <w:r>
        <w:rPr>
          <w:rFonts w:ascii="Times New Roman"/>
          <w:i/>
          <w:sz w:val="24"/>
        </w:rPr>
        <w:t>for</w:t>
      </w:r>
      <w:r>
        <w:rPr>
          <w:rFonts w:ascii="Times New Roman"/>
          <w:i/>
          <w:spacing w:val="31"/>
          <w:sz w:val="24"/>
        </w:rPr>
        <w:t xml:space="preserve"> </w:t>
      </w:r>
      <w:r>
        <w:rPr>
          <w:rFonts w:ascii="Times New Roman"/>
          <w:i/>
          <w:sz w:val="24"/>
        </w:rPr>
        <w:t>safety-related</w:t>
      </w:r>
      <w:r>
        <w:rPr>
          <w:rFonts w:ascii="Times New Roman"/>
          <w:i/>
          <w:spacing w:val="34"/>
          <w:sz w:val="24"/>
        </w:rPr>
        <w:t xml:space="preserve"> </w:t>
      </w:r>
      <w:r>
        <w:rPr>
          <w:rFonts w:ascii="Times New Roman"/>
          <w:i/>
          <w:sz w:val="24"/>
        </w:rPr>
        <w:t>ITS</w:t>
      </w:r>
      <w:r>
        <w:rPr>
          <w:rFonts w:ascii="Times New Roman"/>
          <w:i/>
          <w:spacing w:val="20"/>
          <w:sz w:val="24"/>
        </w:rPr>
        <w:t xml:space="preserve"> </w:t>
      </w:r>
      <w:r>
        <w:rPr>
          <w:rFonts w:ascii="Times New Roman"/>
          <w:i/>
          <w:sz w:val="24"/>
        </w:rPr>
        <w:t>in</w:t>
      </w:r>
      <w:r>
        <w:rPr>
          <w:rFonts w:ascii="Times New Roman"/>
          <w:i/>
          <w:spacing w:val="20"/>
          <w:sz w:val="24"/>
        </w:rPr>
        <w:t xml:space="preserve"> </w:t>
      </w:r>
      <w:r>
        <w:rPr>
          <w:rFonts w:ascii="Times New Roman"/>
          <w:i/>
          <w:sz w:val="24"/>
        </w:rPr>
        <w:t>the</w:t>
      </w:r>
      <w:r>
        <w:rPr>
          <w:rFonts w:ascii="Times New Roman"/>
          <w:i/>
          <w:spacing w:val="20"/>
          <w:sz w:val="24"/>
        </w:rPr>
        <w:t xml:space="preserve"> </w:t>
      </w:r>
      <w:r>
        <w:rPr>
          <w:rFonts w:ascii="Times New Roman"/>
          <w:i/>
          <w:sz w:val="24"/>
        </w:rPr>
        <w:t>20</w:t>
      </w:r>
      <w:r>
        <w:rPr>
          <w:rFonts w:ascii="Times New Roman"/>
          <w:i/>
          <w:spacing w:val="20"/>
          <w:sz w:val="24"/>
        </w:rPr>
        <w:t xml:space="preserve"> </w:t>
      </w:r>
      <w:r>
        <w:rPr>
          <w:rFonts w:ascii="Times New Roman"/>
          <w:i/>
          <w:sz w:val="24"/>
        </w:rPr>
        <w:t>MHz</w:t>
      </w:r>
      <w:r>
        <w:rPr>
          <w:rFonts w:ascii="Times New Roman"/>
          <w:i/>
          <w:spacing w:val="21"/>
          <w:sz w:val="24"/>
        </w:rPr>
        <w:t xml:space="preserve"> </w:t>
      </w:r>
      <w:r>
        <w:rPr>
          <w:rFonts w:ascii="Times New Roman"/>
          <w:i/>
          <w:sz w:val="24"/>
        </w:rPr>
        <w:t>above</w:t>
      </w:r>
      <w:r>
        <w:rPr>
          <w:rFonts w:ascii="Times New Roman"/>
          <w:i/>
          <w:spacing w:val="20"/>
          <w:sz w:val="24"/>
        </w:rPr>
        <w:t xml:space="preserve"> </w:t>
      </w:r>
      <w:r>
        <w:rPr>
          <w:rFonts w:ascii="Times New Roman"/>
          <w:i/>
          <w:sz w:val="24"/>
        </w:rPr>
        <w:t>the</w:t>
      </w:r>
      <w:r>
        <w:rPr>
          <w:rFonts w:ascii="Times New Roman"/>
          <w:i/>
          <w:spacing w:val="20"/>
          <w:sz w:val="24"/>
        </w:rPr>
        <w:t xml:space="preserve"> </w:t>
      </w:r>
      <w:r>
        <w:rPr>
          <w:rFonts w:ascii="Times New Roman"/>
          <w:i/>
          <w:spacing w:val="-1"/>
          <w:sz w:val="24"/>
        </w:rPr>
        <w:t>existing</w:t>
      </w:r>
      <w:r>
        <w:rPr>
          <w:rFonts w:ascii="Times New Roman"/>
          <w:i/>
          <w:spacing w:val="20"/>
          <w:sz w:val="24"/>
        </w:rPr>
        <w:t xml:space="preserve"> </w:t>
      </w:r>
      <w:r>
        <w:rPr>
          <w:rFonts w:ascii="Times New Roman"/>
          <w:i/>
          <w:spacing w:val="-1"/>
          <w:sz w:val="24"/>
        </w:rPr>
        <w:t>designation</w:t>
      </w:r>
      <w:r>
        <w:rPr>
          <w:rFonts w:ascii="Times New Roman"/>
          <w:i/>
          <w:spacing w:val="20"/>
          <w:sz w:val="24"/>
        </w:rPr>
        <w:t xml:space="preserve"> </w:t>
      </w:r>
      <w:r>
        <w:rPr>
          <w:rFonts w:ascii="Times New Roman"/>
          <w:i/>
          <w:sz w:val="24"/>
        </w:rPr>
        <w:t>and,</w:t>
      </w:r>
      <w:r>
        <w:rPr>
          <w:rFonts w:ascii="Times New Roman"/>
          <w:i/>
          <w:spacing w:val="20"/>
          <w:sz w:val="24"/>
        </w:rPr>
        <w:t xml:space="preserve"> </w:t>
      </w:r>
      <w:r>
        <w:rPr>
          <w:rFonts w:ascii="Times New Roman"/>
          <w:i/>
          <w:sz w:val="24"/>
        </w:rPr>
        <w:t>for</w:t>
      </w:r>
      <w:r>
        <w:rPr>
          <w:rFonts w:ascii="Times New Roman"/>
          <w:i/>
          <w:spacing w:val="20"/>
          <w:sz w:val="24"/>
        </w:rPr>
        <w:t xml:space="preserve"> </w:t>
      </w:r>
      <w:r>
        <w:rPr>
          <w:rFonts w:ascii="Times New Roman"/>
          <w:i/>
          <w:sz w:val="24"/>
        </w:rPr>
        <w:t>non-safety</w:t>
      </w:r>
      <w:r>
        <w:rPr>
          <w:rFonts w:ascii="Times New Roman"/>
          <w:i/>
          <w:spacing w:val="20"/>
          <w:sz w:val="24"/>
        </w:rPr>
        <w:t xml:space="preserve"> </w:t>
      </w:r>
      <w:r>
        <w:rPr>
          <w:rFonts w:ascii="Times New Roman"/>
          <w:i/>
          <w:spacing w:val="-1"/>
          <w:sz w:val="24"/>
        </w:rPr>
        <w:t>ITS,</w:t>
      </w:r>
      <w:r>
        <w:rPr>
          <w:rFonts w:ascii="Times New Roman"/>
          <w:i/>
          <w:spacing w:val="20"/>
          <w:sz w:val="24"/>
        </w:rPr>
        <w:t xml:space="preserve"> </w:t>
      </w:r>
      <w:r>
        <w:rPr>
          <w:rFonts w:ascii="Times New Roman"/>
          <w:i/>
          <w:sz w:val="24"/>
        </w:rPr>
        <w:t>in</w:t>
      </w:r>
      <w:r>
        <w:rPr>
          <w:rFonts w:ascii="Times New Roman"/>
          <w:i/>
          <w:spacing w:val="20"/>
          <w:sz w:val="24"/>
        </w:rPr>
        <w:t xml:space="preserve"> </w:t>
      </w:r>
      <w:r>
        <w:rPr>
          <w:rFonts w:ascii="Times New Roman"/>
          <w:i/>
          <w:sz w:val="24"/>
        </w:rPr>
        <w:t>the</w:t>
      </w:r>
      <w:r>
        <w:rPr>
          <w:rFonts w:ascii="Times New Roman"/>
          <w:i/>
          <w:spacing w:val="20"/>
          <w:sz w:val="24"/>
        </w:rPr>
        <w:t xml:space="preserve"> </w:t>
      </w:r>
      <w:r>
        <w:rPr>
          <w:rFonts w:ascii="Times New Roman"/>
          <w:i/>
          <w:sz w:val="24"/>
        </w:rPr>
        <w:t>20</w:t>
      </w:r>
      <w:r>
        <w:rPr>
          <w:rFonts w:ascii="Times New Roman"/>
          <w:i/>
          <w:spacing w:val="41"/>
          <w:sz w:val="24"/>
        </w:rPr>
        <w:t xml:space="preserve"> </w:t>
      </w:r>
      <w:r>
        <w:rPr>
          <w:rFonts w:ascii="Times New Roman"/>
          <w:i/>
          <w:sz w:val="24"/>
        </w:rPr>
        <w:t xml:space="preserve">MHz below, should be </w:t>
      </w:r>
      <w:r>
        <w:rPr>
          <w:rFonts w:ascii="Times New Roman"/>
          <w:i/>
          <w:spacing w:val="-1"/>
          <w:sz w:val="24"/>
        </w:rPr>
        <w:t>kept</w:t>
      </w:r>
      <w:r>
        <w:rPr>
          <w:rFonts w:ascii="Times New Roman"/>
          <w:i/>
          <w:sz w:val="24"/>
        </w:rPr>
        <w:t xml:space="preserve"> </w:t>
      </w:r>
      <w:r>
        <w:rPr>
          <w:rFonts w:ascii="Times New Roman"/>
          <w:i/>
          <w:spacing w:val="-1"/>
          <w:sz w:val="24"/>
        </w:rPr>
        <w:t xml:space="preserve">available </w:t>
      </w:r>
      <w:r>
        <w:rPr>
          <w:rFonts w:ascii="Times New Roman"/>
          <w:i/>
          <w:sz w:val="24"/>
        </w:rPr>
        <w:t>for the</w:t>
      </w:r>
      <w:r>
        <w:rPr>
          <w:rFonts w:ascii="Times New Roman"/>
          <w:i/>
          <w:spacing w:val="-1"/>
          <w:sz w:val="24"/>
        </w:rPr>
        <w:t xml:space="preserve"> </w:t>
      </w:r>
      <w:r>
        <w:rPr>
          <w:rFonts w:ascii="Times New Roman"/>
          <w:i/>
          <w:sz w:val="24"/>
        </w:rPr>
        <w:t>time</w:t>
      </w:r>
      <w:r>
        <w:rPr>
          <w:rFonts w:ascii="Times New Roman"/>
          <w:i/>
          <w:spacing w:val="-2"/>
          <w:sz w:val="24"/>
        </w:rPr>
        <w:t xml:space="preserve"> </w:t>
      </w:r>
      <w:r>
        <w:rPr>
          <w:rFonts w:ascii="Times New Roman"/>
          <w:i/>
          <w:sz w:val="24"/>
        </w:rPr>
        <w:t>being".</w:t>
      </w:r>
      <w:r w:rsidR="00A30D59">
        <w:rPr>
          <w:rFonts w:ascii="Times New Roman"/>
          <w:i/>
          <w:sz w:val="24"/>
        </w:rPr>
        <w:t xml:space="preserve"> </w:t>
      </w:r>
    </w:p>
    <w:p w14:paraId="0A7D7CAA" w14:textId="77777777" w:rsidR="00A30D59" w:rsidRDefault="00A30D59" w:rsidP="00B52D8F">
      <w:pPr>
        <w:spacing w:before="60"/>
        <w:ind w:left="588" w:right="116"/>
        <w:jc w:val="both"/>
        <w:rPr>
          <w:rFonts w:ascii="Times New Roman" w:hAnsi="Times New Roman"/>
          <w:sz w:val="24"/>
        </w:rPr>
      </w:pPr>
    </w:p>
    <w:p w14:paraId="0A7D7CAB" w14:textId="77777777" w:rsidR="00B52D8F" w:rsidRPr="00A30D59" w:rsidRDefault="00B52D8F" w:rsidP="005F5E47">
      <w:pPr>
        <w:ind w:left="588"/>
        <w:rPr>
          <w:rFonts w:ascii="Times New Roman" w:hAnsi="Times New Roman"/>
          <w:b/>
          <w:sz w:val="24"/>
        </w:rPr>
      </w:pPr>
      <w:proofErr w:type="gramStart"/>
      <w:r w:rsidRPr="00A30D59">
        <w:rPr>
          <w:rFonts w:ascii="Times New Roman" w:hAnsi="Times New Roman"/>
          <w:b/>
          <w:sz w:val="24"/>
        </w:rPr>
        <w:t>ITS</w:t>
      </w:r>
      <w:proofErr w:type="gramEnd"/>
      <w:r w:rsidRPr="00A30D59">
        <w:rPr>
          <w:rFonts w:ascii="Times New Roman" w:hAnsi="Times New Roman"/>
          <w:b/>
          <w:sz w:val="24"/>
        </w:rPr>
        <w:t xml:space="preserve"> in the Automotive industry</w:t>
      </w:r>
    </w:p>
    <w:p w14:paraId="0A7D7CAC" w14:textId="77777777" w:rsidR="00B52D8F" w:rsidRDefault="00B52D8F" w:rsidP="005F5E47">
      <w:pPr>
        <w:pStyle w:val="BodyText"/>
        <w:spacing w:line="231" w:lineRule="auto"/>
        <w:ind w:left="588" w:right="115"/>
      </w:pPr>
      <w:r>
        <w:t>The</w:t>
      </w:r>
      <w:r>
        <w:rPr>
          <w:spacing w:val="39"/>
        </w:rPr>
        <w:t xml:space="preserve"> </w:t>
      </w:r>
      <w:r>
        <w:rPr>
          <w:spacing w:val="-1"/>
        </w:rPr>
        <w:t>automotive</w:t>
      </w:r>
      <w:r>
        <w:rPr>
          <w:spacing w:val="40"/>
        </w:rPr>
        <w:t xml:space="preserve"> </w:t>
      </w:r>
      <w:r>
        <w:rPr>
          <w:spacing w:val="-1"/>
        </w:rPr>
        <w:t>industry</w:t>
      </w:r>
      <w:r>
        <w:rPr>
          <w:spacing w:val="39"/>
        </w:rPr>
        <w:t xml:space="preserve"> </w:t>
      </w:r>
      <w:r>
        <w:t>is</w:t>
      </w:r>
      <w:r>
        <w:rPr>
          <w:spacing w:val="40"/>
        </w:rPr>
        <w:t xml:space="preserve"> </w:t>
      </w:r>
      <w:r>
        <w:rPr>
          <w:spacing w:val="-1"/>
        </w:rPr>
        <w:t>making</w:t>
      </w:r>
      <w:r>
        <w:rPr>
          <w:spacing w:val="39"/>
        </w:rPr>
        <w:t xml:space="preserve"> </w:t>
      </w:r>
      <w:r>
        <w:t>substantial</w:t>
      </w:r>
      <w:r>
        <w:rPr>
          <w:spacing w:val="39"/>
        </w:rPr>
        <w:t xml:space="preserve"> </w:t>
      </w:r>
      <w:r>
        <w:t>progress</w:t>
      </w:r>
      <w:r>
        <w:rPr>
          <w:spacing w:val="38"/>
        </w:rPr>
        <w:t xml:space="preserve"> </w:t>
      </w:r>
      <w:r>
        <w:t>in</w:t>
      </w:r>
      <w:r>
        <w:rPr>
          <w:spacing w:val="39"/>
        </w:rPr>
        <w:t xml:space="preserve"> </w:t>
      </w:r>
      <w:r>
        <w:t>view</w:t>
      </w:r>
      <w:r>
        <w:rPr>
          <w:spacing w:val="38"/>
        </w:rPr>
        <w:t xml:space="preserve"> </w:t>
      </w:r>
      <w:r>
        <w:t>of</w:t>
      </w:r>
      <w:r>
        <w:rPr>
          <w:spacing w:val="38"/>
        </w:rPr>
        <w:t xml:space="preserve"> </w:t>
      </w:r>
      <w:r>
        <w:t>EU-wide</w:t>
      </w:r>
      <w:r>
        <w:rPr>
          <w:spacing w:val="46"/>
        </w:rPr>
        <w:t xml:space="preserve"> </w:t>
      </w:r>
      <w:r>
        <w:rPr>
          <w:spacing w:val="-1"/>
        </w:rPr>
        <w:t>deployment</w:t>
      </w:r>
      <w:r>
        <w:rPr>
          <w:spacing w:val="12"/>
        </w:rPr>
        <w:t xml:space="preserve"> </w:t>
      </w:r>
      <w:r>
        <w:t>of</w:t>
      </w:r>
      <w:r>
        <w:rPr>
          <w:spacing w:val="11"/>
        </w:rPr>
        <w:t xml:space="preserve"> </w:t>
      </w:r>
      <w:r>
        <w:t>ITS</w:t>
      </w:r>
      <w:r>
        <w:rPr>
          <w:spacing w:val="11"/>
        </w:rPr>
        <w:t xml:space="preserve"> </w:t>
      </w:r>
      <w:r>
        <w:t>in</w:t>
      </w:r>
      <w:r>
        <w:rPr>
          <w:spacing w:val="12"/>
        </w:rPr>
        <w:t xml:space="preserve"> </w:t>
      </w:r>
      <w:r>
        <w:t>2019.</w:t>
      </w:r>
      <w:r>
        <w:rPr>
          <w:spacing w:val="12"/>
        </w:rPr>
        <w:t xml:space="preserve"> </w:t>
      </w:r>
      <w:r>
        <w:rPr>
          <w:spacing w:val="-1"/>
        </w:rPr>
        <w:t>ITS</w:t>
      </w:r>
      <w:r>
        <w:rPr>
          <w:spacing w:val="11"/>
        </w:rPr>
        <w:t xml:space="preserve"> </w:t>
      </w:r>
      <w:r>
        <w:t>will</w:t>
      </w:r>
      <w:r>
        <w:rPr>
          <w:spacing w:val="12"/>
        </w:rPr>
        <w:t xml:space="preserve"> </w:t>
      </w:r>
      <w:r>
        <w:rPr>
          <w:spacing w:val="-1"/>
        </w:rPr>
        <w:t>contribute</w:t>
      </w:r>
      <w:r>
        <w:rPr>
          <w:spacing w:val="12"/>
        </w:rPr>
        <w:t xml:space="preserve"> </w:t>
      </w:r>
      <w:r>
        <w:t>to</w:t>
      </w:r>
      <w:r>
        <w:rPr>
          <w:spacing w:val="12"/>
        </w:rPr>
        <w:t xml:space="preserve"> </w:t>
      </w:r>
      <w:r>
        <w:t>connected</w:t>
      </w:r>
      <w:r>
        <w:rPr>
          <w:spacing w:val="10"/>
        </w:rPr>
        <w:t xml:space="preserve"> </w:t>
      </w:r>
      <w:r>
        <w:t>and</w:t>
      </w:r>
      <w:r>
        <w:rPr>
          <w:spacing w:val="12"/>
        </w:rPr>
        <w:t xml:space="preserve"> </w:t>
      </w:r>
      <w:r>
        <w:rPr>
          <w:spacing w:val="-1"/>
        </w:rPr>
        <w:t>driverless</w:t>
      </w:r>
      <w:r>
        <w:rPr>
          <w:spacing w:val="14"/>
        </w:rPr>
        <w:t xml:space="preserve"> </w:t>
      </w:r>
      <w:r>
        <w:t>vehicles,</w:t>
      </w:r>
      <w:r>
        <w:rPr>
          <w:spacing w:val="55"/>
        </w:rPr>
        <w:t xml:space="preserve"> </w:t>
      </w:r>
      <w:r>
        <w:t>notably</w:t>
      </w:r>
      <w:r>
        <w:rPr>
          <w:spacing w:val="49"/>
        </w:rPr>
        <w:t xml:space="preserve"> </w:t>
      </w:r>
      <w:r>
        <w:t>for</w:t>
      </w:r>
      <w:r>
        <w:rPr>
          <w:spacing w:val="47"/>
        </w:rPr>
        <w:t xml:space="preserve"> </w:t>
      </w:r>
      <w:r>
        <w:t>safety-related</w:t>
      </w:r>
      <w:r>
        <w:rPr>
          <w:spacing w:val="48"/>
        </w:rPr>
        <w:t xml:space="preserve"> </w:t>
      </w:r>
      <w:r>
        <w:rPr>
          <w:spacing w:val="-1"/>
        </w:rPr>
        <w:t>applications.</w:t>
      </w:r>
      <w:r>
        <w:rPr>
          <w:spacing w:val="48"/>
        </w:rPr>
        <w:t xml:space="preserve"> </w:t>
      </w:r>
      <w:r>
        <w:t>The</w:t>
      </w:r>
      <w:r>
        <w:rPr>
          <w:spacing w:val="48"/>
        </w:rPr>
        <w:t xml:space="preserve"> </w:t>
      </w:r>
      <w:r>
        <w:rPr>
          <w:spacing w:val="-1"/>
        </w:rPr>
        <w:t>Commission</w:t>
      </w:r>
      <w:r>
        <w:rPr>
          <w:spacing w:val="48"/>
        </w:rPr>
        <w:t xml:space="preserve"> </w:t>
      </w:r>
      <w:r>
        <w:t>notes</w:t>
      </w:r>
      <w:r>
        <w:rPr>
          <w:spacing w:val="49"/>
        </w:rPr>
        <w:t xml:space="preserve"> </w:t>
      </w:r>
      <w:r>
        <w:rPr>
          <w:spacing w:val="-1"/>
        </w:rPr>
        <w:t>the</w:t>
      </w:r>
      <w:r>
        <w:rPr>
          <w:spacing w:val="49"/>
        </w:rPr>
        <w:t xml:space="preserve"> </w:t>
      </w:r>
      <w:r>
        <w:rPr>
          <w:spacing w:val="-1"/>
        </w:rPr>
        <w:t>appreciation</w:t>
      </w:r>
      <w:r>
        <w:rPr>
          <w:spacing w:val="47"/>
        </w:rPr>
        <w:t xml:space="preserve"> </w:t>
      </w:r>
      <w:r>
        <w:rPr>
          <w:spacing w:val="-1"/>
        </w:rPr>
        <w:t>of</w:t>
      </w:r>
      <w:r>
        <w:rPr>
          <w:spacing w:val="65"/>
        </w:rPr>
        <w:t xml:space="preserve"> </w:t>
      </w:r>
      <w:r>
        <w:t>continued</w:t>
      </w:r>
      <w:r>
        <w:rPr>
          <w:spacing w:val="12"/>
        </w:rPr>
        <w:t xml:space="preserve"> </w:t>
      </w:r>
      <w:r>
        <w:t>EU</w:t>
      </w:r>
      <w:r>
        <w:rPr>
          <w:spacing w:val="13"/>
        </w:rPr>
        <w:t xml:space="preserve"> </w:t>
      </w:r>
      <w:r>
        <w:t>support</w:t>
      </w:r>
      <w:r>
        <w:rPr>
          <w:spacing w:val="13"/>
        </w:rPr>
        <w:t xml:space="preserve"> </w:t>
      </w:r>
      <w:r>
        <w:t>expressed</w:t>
      </w:r>
      <w:r>
        <w:rPr>
          <w:spacing w:val="13"/>
        </w:rPr>
        <w:t xml:space="preserve"> </w:t>
      </w:r>
      <w:r>
        <w:rPr>
          <w:spacing w:val="-1"/>
        </w:rPr>
        <w:t>by</w:t>
      </w:r>
      <w:r>
        <w:rPr>
          <w:spacing w:val="14"/>
        </w:rPr>
        <w:t xml:space="preserve"> </w:t>
      </w:r>
      <w:r>
        <w:rPr>
          <w:spacing w:val="-1"/>
        </w:rPr>
        <w:t>EATA,</w:t>
      </w:r>
      <w:r>
        <w:rPr>
          <w:spacing w:val="13"/>
        </w:rPr>
        <w:t xml:space="preserve"> </w:t>
      </w:r>
      <w:r>
        <w:t>the</w:t>
      </w:r>
      <w:r>
        <w:rPr>
          <w:spacing w:val="14"/>
        </w:rPr>
        <w:t xml:space="preserve"> </w:t>
      </w:r>
      <w:r>
        <w:t>European</w:t>
      </w:r>
      <w:r>
        <w:rPr>
          <w:spacing w:val="13"/>
        </w:rPr>
        <w:t xml:space="preserve"> </w:t>
      </w:r>
      <w:r>
        <w:rPr>
          <w:spacing w:val="-1"/>
        </w:rPr>
        <w:t>Automotive</w:t>
      </w:r>
      <w:r>
        <w:rPr>
          <w:spacing w:val="14"/>
        </w:rPr>
        <w:t xml:space="preserve"> </w:t>
      </w:r>
      <w:r>
        <w:t>Telecom</w:t>
      </w:r>
      <w:r>
        <w:rPr>
          <w:spacing w:val="25"/>
        </w:rPr>
        <w:t xml:space="preserve"> </w:t>
      </w:r>
      <w:r>
        <w:t>Alliance</w:t>
      </w:r>
      <w:r>
        <w:rPr>
          <w:spacing w:val="37"/>
        </w:rPr>
        <w:t xml:space="preserve"> </w:t>
      </w:r>
      <w:r>
        <w:t>at</w:t>
      </w:r>
      <w:r>
        <w:rPr>
          <w:spacing w:val="37"/>
        </w:rPr>
        <w:t xml:space="preserve"> </w:t>
      </w:r>
      <w:r>
        <w:t>the</w:t>
      </w:r>
      <w:r>
        <w:rPr>
          <w:spacing w:val="38"/>
        </w:rPr>
        <w:t xml:space="preserve"> </w:t>
      </w:r>
      <w:r>
        <w:t>round</w:t>
      </w:r>
      <w:r>
        <w:rPr>
          <w:spacing w:val="38"/>
        </w:rPr>
        <w:t xml:space="preserve"> </w:t>
      </w:r>
      <w:r>
        <w:t>table</w:t>
      </w:r>
      <w:r>
        <w:rPr>
          <w:spacing w:val="38"/>
        </w:rPr>
        <w:t xml:space="preserve"> </w:t>
      </w:r>
      <w:r>
        <w:t>co-chaired</w:t>
      </w:r>
      <w:r>
        <w:rPr>
          <w:spacing w:val="38"/>
        </w:rPr>
        <w:t xml:space="preserve"> </w:t>
      </w:r>
      <w:r>
        <w:t>by</w:t>
      </w:r>
      <w:r>
        <w:rPr>
          <w:spacing w:val="38"/>
        </w:rPr>
        <w:t xml:space="preserve"> </w:t>
      </w:r>
      <w:r>
        <w:t>Vice</w:t>
      </w:r>
      <w:r>
        <w:rPr>
          <w:spacing w:val="38"/>
        </w:rPr>
        <w:t xml:space="preserve"> </w:t>
      </w:r>
      <w:r>
        <w:rPr>
          <w:spacing w:val="-1"/>
        </w:rPr>
        <w:t>President</w:t>
      </w:r>
      <w:r>
        <w:rPr>
          <w:spacing w:val="38"/>
        </w:rPr>
        <w:t xml:space="preserve"> </w:t>
      </w:r>
      <w:r>
        <w:t>Andrus</w:t>
      </w:r>
      <w:r>
        <w:rPr>
          <w:spacing w:val="38"/>
        </w:rPr>
        <w:t xml:space="preserve"> </w:t>
      </w:r>
      <w:r>
        <w:t>Ansip</w:t>
      </w:r>
      <w:r>
        <w:rPr>
          <w:spacing w:val="38"/>
        </w:rPr>
        <w:t xml:space="preserve"> </w:t>
      </w:r>
      <w:r>
        <w:t>and</w:t>
      </w:r>
      <w:r>
        <w:rPr>
          <w:spacing w:val="30"/>
        </w:rPr>
        <w:t xml:space="preserve"> </w:t>
      </w:r>
      <w:r>
        <w:rPr>
          <w:spacing w:val="-1"/>
        </w:rPr>
        <w:t>Commissioner</w:t>
      </w:r>
      <w:r>
        <w:rPr>
          <w:spacing w:val="36"/>
        </w:rPr>
        <w:t xml:space="preserve"> </w:t>
      </w:r>
      <w:proofErr w:type="spellStart"/>
      <w:r>
        <w:t>Günther</w:t>
      </w:r>
      <w:proofErr w:type="spellEnd"/>
      <w:r>
        <w:rPr>
          <w:spacing w:val="35"/>
        </w:rPr>
        <w:t xml:space="preserve"> </w:t>
      </w:r>
      <w:r>
        <w:t>Oettinger</w:t>
      </w:r>
      <w:r>
        <w:rPr>
          <w:spacing w:val="35"/>
        </w:rPr>
        <w:t xml:space="preserve"> </w:t>
      </w:r>
      <w:r>
        <w:t>at</w:t>
      </w:r>
      <w:r>
        <w:rPr>
          <w:spacing w:val="35"/>
        </w:rPr>
        <w:t xml:space="preserve"> </w:t>
      </w:r>
      <w:r>
        <w:t>the</w:t>
      </w:r>
      <w:r>
        <w:rPr>
          <w:spacing w:val="36"/>
        </w:rPr>
        <w:t xml:space="preserve"> </w:t>
      </w:r>
      <w:r>
        <w:t>Mobile</w:t>
      </w:r>
      <w:r>
        <w:rPr>
          <w:spacing w:val="36"/>
        </w:rPr>
        <w:t xml:space="preserve"> </w:t>
      </w:r>
      <w:r>
        <w:rPr>
          <w:spacing w:val="-1"/>
        </w:rPr>
        <w:t>World</w:t>
      </w:r>
      <w:r>
        <w:rPr>
          <w:spacing w:val="35"/>
        </w:rPr>
        <w:t xml:space="preserve"> </w:t>
      </w:r>
      <w:r>
        <w:rPr>
          <w:spacing w:val="-1"/>
        </w:rPr>
        <w:t>Conference</w:t>
      </w:r>
      <w:r>
        <w:rPr>
          <w:spacing w:val="36"/>
        </w:rPr>
        <w:t xml:space="preserve"> </w:t>
      </w:r>
      <w:r>
        <w:t>on</w:t>
      </w:r>
      <w:r>
        <w:rPr>
          <w:spacing w:val="34"/>
        </w:rPr>
        <w:t xml:space="preserve"> </w:t>
      </w:r>
      <w:r>
        <w:t>27</w:t>
      </w:r>
      <w:r>
        <w:rPr>
          <w:spacing w:val="35"/>
        </w:rPr>
        <w:t xml:space="preserve"> </w:t>
      </w:r>
      <w:r>
        <w:t>February</w:t>
      </w:r>
      <w:r>
        <w:rPr>
          <w:spacing w:val="39"/>
        </w:rPr>
        <w:t xml:space="preserve"> </w:t>
      </w:r>
      <w:r>
        <w:t>2017</w:t>
      </w:r>
      <w:r>
        <w:rPr>
          <w:spacing w:val="17"/>
        </w:rPr>
        <w:t xml:space="preserve"> </w:t>
      </w:r>
      <w:r>
        <w:t>and</w:t>
      </w:r>
      <w:r>
        <w:rPr>
          <w:spacing w:val="18"/>
        </w:rPr>
        <w:t xml:space="preserve"> </w:t>
      </w:r>
      <w:r>
        <w:t>the</w:t>
      </w:r>
      <w:r>
        <w:rPr>
          <w:spacing w:val="18"/>
        </w:rPr>
        <w:t xml:space="preserve"> </w:t>
      </w:r>
      <w:r>
        <w:t>progress</w:t>
      </w:r>
      <w:r>
        <w:rPr>
          <w:spacing w:val="18"/>
        </w:rPr>
        <w:t xml:space="preserve"> </w:t>
      </w:r>
      <w:r>
        <w:rPr>
          <w:spacing w:val="-1"/>
        </w:rPr>
        <w:t>made</w:t>
      </w:r>
      <w:r>
        <w:rPr>
          <w:spacing w:val="18"/>
        </w:rPr>
        <w:t xml:space="preserve"> </w:t>
      </w:r>
      <w:r>
        <w:t>at</w:t>
      </w:r>
      <w:r>
        <w:rPr>
          <w:spacing w:val="18"/>
        </w:rPr>
        <w:t xml:space="preserve"> </w:t>
      </w:r>
      <w:r>
        <w:t>the</w:t>
      </w:r>
      <w:r>
        <w:rPr>
          <w:spacing w:val="18"/>
        </w:rPr>
        <w:t xml:space="preserve"> </w:t>
      </w:r>
      <w:r>
        <w:rPr>
          <w:spacing w:val="-1"/>
        </w:rPr>
        <w:t>latest</w:t>
      </w:r>
      <w:r>
        <w:rPr>
          <w:spacing w:val="18"/>
        </w:rPr>
        <w:t xml:space="preserve"> </w:t>
      </w:r>
      <w:r>
        <w:t>round-table</w:t>
      </w:r>
      <w:r>
        <w:rPr>
          <w:spacing w:val="18"/>
        </w:rPr>
        <w:t xml:space="preserve"> </w:t>
      </w:r>
      <w:r>
        <w:t>of</w:t>
      </w:r>
      <w:r>
        <w:rPr>
          <w:spacing w:val="17"/>
        </w:rPr>
        <w:t xml:space="preserve"> </w:t>
      </w:r>
      <w:r>
        <w:t>15</w:t>
      </w:r>
      <w:r>
        <w:rPr>
          <w:spacing w:val="17"/>
        </w:rPr>
        <w:t xml:space="preserve"> </w:t>
      </w:r>
      <w:r>
        <w:t>September</w:t>
      </w:r>
      <w:r>
        <w:rPr>
          <w:spacing w:val="17"/>
        </w:rPr>
        <w:t xml:space="preserve"> </w:t>
      </w:r>
      <w:r>
        <w:t>2017</w:t>
      </w:r>
      <w:r>
        <w:rPr>
          <w:position w:val="11"/>
          <w:sz w:val="16"/>
        </w:rPr>
        <w:t>7</w:t>
      </w:r>
      <w:r>
        <w:t>.</w:t>
      </w:r>
      <w:r>
        <w:rPr>
          <w:spacing w:val="20"/>
        </w:rPr>
        <w:t xml:space="preserve"> </w:t>
      </w:r>
      <w:r>
        <w:rPr>
          <w:spacing w:val="-1"/>
        </w:rPr>
        <w:t>Furthermore,</w:t>
      </w:r>
      <w:r>
        <w:rPr>
          <w:spacing w:val="50"/>
        </w:rPr>
        <w:t xml:space="preserve"> </w:t>
      </w:r>
      <w:proofErr w:type="gramStart"/>
      <w:r>
        <w:t>an</w:t>
      </w:r>
      <w:proofErr w:type="gramEnd"/>
      <w:r>
        <w:rPr>
          <w:spacing w:val="51"/>
        </w:rPr>
        <w:t xml:space="preserve"> </w:t>
      </w:r>
      <w:r>
        <w:rPr>
          <w:spacing w:val="-1"/>
        </w:rPr>
        <w:t>MoU</w:t>
      </w:r>
      <w:r>
        <w:rPr>
          <w:spacing w:val="-1"/>
          <w:position w:val="11"/>
          <w:sz w:val="16"/>
        </w:rPr>
        <w:t>8</w:t>
      </w:r>
      <w:r>
        <w:rPr>
          <w:spacing w:val="32"/>
          <w:position w:val="11"/>
          <w:sz w:val="16"/>
        </w:rPr>
        <w:t xml:space="preserve"> </w:t>
      </w:r>
      <w:r>
        <w:t>on</w:t>
      </w:r>
      <w:r>
        <w:rPr>
          <w:spacing w:val="51"/>
        </w:rPr>
        <w:t xml:space="preserve"> </w:t>
      </w:r>
      <w:r>
        <w:t>cooperation</w:t>
      </w:r>
      <w:r>
        <w:rPr>
          <w:spacing w:val="51"/>
        </w:rPr>
        <w:t xml:space="preserve"> </w:t>
      </w:r>
      <w:r>
        <w:t>in</w:t>
      </w:r>
      <w:r>
        <w:rPr>
          <w:spacing w:val="50"/>
        </w:rPr>
        <w:t xml:space="preserve"> </w:t>
      </w:r>
      <w:r>
        <w:rPr>
          <w:spacing w:val="-1"/>
        </w:rPr>
        <w:t>the</w:t>
      </w:r>
      <w:r>
        <w:rPr>
          <w:spacing w:val="51"/>
        </w:rPr>
        <w:t xml:space="preserve"> </w:t>
      </w:r>
      <w:r>
        <w:t>field</w:t>
      </w:r>
      <w:r>
        <w:rPr>
          <w:spacing w:val="50"/>
        </w:rPr>
        <w:t xml:space="preserve"> </w:t>
      </w:r>
      <w:r>
        <w:t>of</w:t>
      </w:r>
      <w:r>
        <w:rPr>
          <w:spacing w:val="50"/>
        </w:rPr>
        <w:t xml:space="preserve"> </w:t>
      </w:r>
      <w:r>
        <w:rPr>
          <w:spacing w:val="-1"/>
        </w:rPr>
        <w:t>connected</w:t>
      </w:r>
      <w:r>
        <w:rPr>
          <w:spacing w:val="50"/>
        </w:rPr>
        <w:t xml:space="preserve"> </w:t>
      </w:r>
      <w:r>
        <w:t>and</w:t>
      </w:r>
      <w:r>
        <w:rPr>
          <w:spacing w:val="50"/>
        </w:rPr>
        <w:t xml:space="preserve"> </w:t>
      </w:r>
      <w:r>
        <w:rPr>
          <w:spacing w:val="-1"/>
        </w:rPr>
        <w:t>autonomous</w:t>
      </w:r>
      <w:r>
        <w:rPr>
          <w:spacing w:val="63"/>
        </w:rPr>
        <w:t xml:space="preserve"> </w:t>
      </w:r>
      <w:r>
        <w:t xml:space="preserve">driving </w:t>
      </w:r>
      <w:r>
        <w:rPr>
          <w:spacing w:val="-1"/>
        </w:rPr>
        <w:t>solutions</w:t>
      </w:r>
      <w:r>
        <w:rPr>
          <w:spacing w:val="2"/>
        </w:rPr>
        <w:t xml:space="preserve"> </w:t>
      </w:r>
      <w:r>
        <w:t xml:space="preserve">has </w:t>
      </w:r>
      <w:r>
        <w:rPr>
          <w:spacing w:val="-1"/>
        </w:rPr>
        <w:t>been</w:t>
      </w:r>
      <w:r>
        <w:t xml:space="preserve"> signed</w:t>
      </w:r>
      <w:r>
        <w:rPr>
          <w:spacing w:val="-1"/>
        </w:rPr>
        <w:t xml:space="preserve"> between</w:t>
      </w:r>
      <w:r>
        <w:rPr>
          <w:spacing w:val="1"/>
        </w:rPr>
        <w:t xml:space="preserve"> </w:t>
      </w:r>
      <w:r>
        <w:rPr>
          <w:spacing w:val="-1"/>
        </w:rPr>
        <w:t>EATA</w:t>
      </w:r>
      <w:r>
        <w:rPr>
          <w:spacing w:val="1"/>
        </w:rPr>
        <w:t xml:space="preserve"> </w:t>
      </w:r>
      <w:r>
        <w:t>and the</w:t>
      </w:r>
      <w:r>
        <w:rPr>
          <w:spacing w:val="1"/>
        </w:rPr>
        <w:t xml:space="preserve"> </w:t>
      </w:r>
      <w:r>
        <w:t xml:space="preserve">5G </w:t>
      </w:r>
      <w:r>
        <w:rPr>
          <w:spacing w:val="-1"/>
        </w:rPr>
        <w:t>Automotive</w:t>
      </w:r>
      <w:r>
        <w:t xml:space="preserve"> </w:t>
      </w:r>
      <w:r>
        <w:rPr>
          <w:spacing w:val="-1"/>
        </w:rPr>
        <w:t>Association</w:t>
      </w:r>
      <w:r>
        <w:rPr>
          <w:spacing w:val="73"/>
        </w:rPr>
        <w:t xml:space="preserve"> </w:t>
      </w:r>
      <w:r>
        <w:rPr>
          <w:spacing w:val="-1"/>
        </w:rPr>
        <w:t>(5GAA).</w:t>
      </w:r>
      <w:r>
        <w:rPr>
          <w:spacing w:val="29"/>
        </w:rPr>
        <w:t xml:space="preserve"> </w:t>
      </w:r>
      <w:r>
        <w:t>Also</w:t>
      </w:r>
      <w:r>
        <w:rPr>
          <w:spacing w:val="30"/>
        </w:rPr>
        <w:t xml:space="preserve"> </w:t>
      </w:r>
      <w:proofErr w:type="gramStart"/>
      <w:r>
        <w:t>an</w:t>
      </w:r>
      <w:proofErr w:type="gramEnd"/>
      <w:r>
        <w:rPr>
          <w:spacing w:val="30"/>
        </w:rPr>
        <w:t xml:space="preserve"> </w:t>
      </w:r>
      <w:r>
        <w:t>MoU</w:t>
      </w:r>
      <w:r>
        <w:rPr>
          <w:position w:val="11"/>
          <w:sz w:val="16"/>
        </w:rPr>
        <w:t>9</w:t>
      </w:r>
      <w:r>
        <w:rPr>
          <w:spacing w:val="29"/>
          <w:position w:val="11"/>
          <w:sz w:val="16"/>
        </w:rPr>
        <w:t xml:space="preserve"> </w:t>
      </w:r>
      <w:r>
        <w:t>between</w:t>
      </w:r>
      <w:r>
        <w:rPr>
          <w:spacing w:val="29"/>
        </w:rPr>
        <w:t xml:space="preserve"> </w:t>
      </w:r>
      <w:r>
        <w:t>C-Roads</w:t>
      </w:r>
      <w:r>
        <w:rPr>
          <w:position w:val="11"/>
          <w:sz w:val="16"/>
        </w:rPr>
        <w:t>10</w:t>
      </w:r>
      <w:r>
        <w:rPr>
          <w:spacing w:val="31"/>
          <w:position w:val="11"/>
          <w:sz w:val="16"/>
        </w:rPr>
        <w:t xml:space="preserve"> </w:t>
      </w:r>
      <w:r>
        <w:t>and</w:t>
      </w:r>
      <w:r>
        <w:rPr>
          <w:spacing w:val="30"/>
        </w:rPr>
        <w:t xml:space="preserve"> </w:t>
      </w:r>
      <w:r>
        <w:t>the</w:t>
      </w:r>
      <w:r>
        <w:rPr>
          <w:spacing w:val="29"/>
        </w:rPr>
        <w:t xml:space="preserve"> </w:t>
      </w:r>
      <w:r>
        <w:t>Car2Car</w:t>
      </w:r>
      <w:r>
        <w:rPr>
          <w:spacing w:val="30"/>
        </w:rPr>
        <w:t xml:space="preserve"> </w:t>
      </w:r>
      <w:r>
        <w:rPr>
          <w:spacing w:val="-1"/>
        </w:rPr>
        <w:t>Communication</w:t>
      </w:r>
      <w:r>
        <w:rPr>
          <w:spacing w:val="31"/>
        </w:rPr>
        <w:t xml:space="preserve"> </w:t>
      </w:r>
      <w:r>
        <w:t>Consortium</w:t>
      </w:r>
      <w:r>
        <w:rPr>
          <w:spacing w:val="40"/>
        </w:rPr>
        <w:t xml:space="preserve"> </w:t>
      </w:r>
      <w:r>
        <w:rPr>
          <w:spacing w:val="-1"/>
        </w:rPr>
        <w:t>(C2C-CC)</w:t>
      </w:r>
      <w:r>
        <w:rPr>
          <w:spacing w:val="42"/>
        </w:rPr>
        <w:t xml:space="preserve"> </w:t>
      </w:r>
      <w:r>
        <w:t>has</w:t>
      </w:r>
      <w:r>
        <w:rPr>
          <w:spacing w:val="42"/>
        </w:rPr>
        <w:t xml:space="preserve"> </w:t>
      </w:r>
      <w:r>
        <w:t>been</w:t>
      </w:r>
      <w:r>
        <w:rPr>
          <w:spacing w:val="42"/>
        </w:rPr>
        <w:t xml:space="preserve"> </w:t>
      </w:r>
      <w:r>
        <w:rPr>
          <w:spacing w:val="-1"/>
        </w:rPr>
        <w:t>signed</w:t>
      </w:r>
      <w:r>
        <w:rPr>
          <w:spacing w:val="42"/>
        </w:rPr>
        <w:t xml:space="preserve"> </w:t>
      </w:r>
      <w:r>
        <w:t>at</w:t>
      </w:r>
      <w:r>
        <w:rPr>
          <w:spacing w:val="41"/>
        </w:rPr>
        <w:t xml:space="preserve"> </w:t>
      </w:r>
      <w:r>
        <w:t>the</w:t>
      </w:r>
      <w:r>
        <w:rPr>
          <w:spacing w:val="41"/>
        </w:rPr>
        <w:t xml:space="preserve"> </w:t>
      </w:r>
      <w:r>
        <w:t>ITS</w:t>
      </w:r>
      <w:r>
        <w:rPr>
          <w:spacing w:val="41"/>
        </w:rPr>
        <w:t xml:space="preserve"> </w:t>
      </w:r>
      <w:r>
        <w:rPr>
          <w:spacing w:val="-1"/>
        </w:rPr>
        <w:t>Europe</w:t>
      </w:r>
      <w:r>
        <w:rPr>
          <w:spacing w:val="42"/>
        </w:rPr>
        <w:t xml:space="preserve"> </w:t>
      </w:r>
      <w:r>
        <w:t>Congress</w:t>
      </w:r>
      <w:r>
        <w:rPr>
          <w:spacing w:val="41"/>
        </w:rPr>
        <w:t xml:space="preserve"> </w:t>
      </w:r>
      <w:r>
        <w:t>preparing</w:t>
      </w:r>
      <w:r>
        <w:rPr>
          <w:spacing w:val="41"/>
        </w:rPr>
        <w:t xml:space="preserve"> </w:t>
      </w:r>
      <w:r>
        <w:rPr>
          <w:spacing w:val="-1"/>
        </w:rPr>
        <w:t>the</w:t>
      </w:r>
      <w:r>
        <w:rPr>
          <w:spacing w:val="35"/>
        </w:rPr>
        <w:t xml:space="preserve"> </w:t>
      </w:r>
      <w:r>
        <w:rPr>
          <w:spacing w:val="-1"/>
        </w:rPr>
        <w:t>deployment</w:t>
      </w:r>
      <w:r>
        <w:t xml:space="preserve"> of initial </w:t>
      </w:r>
      <w:r>
        <w:rPr>
          <w:spacing w:val="-1"/>
        </w:rPr>
        <w:t>cooperative</w:t>
      </w:r>
      <w:r>
        <w:t xml:space="preserve"> ITS</w:t>
      </w:r>
      <w:r>
        <w:rPr>
          <w:spacing w:val="-2"/>
        </w:rPr>
        <w:t xml:space="preserve"> </w:t>
      </w:r>
      <w:r>
        <w:t xml:space="preserve">services </w:t>
      </w:r>
      <w:r>
        <w:rPr>
          <w:spacing w:val="-1"/>
        </w:rPr>
        <w:t>across</w:t>
      </w:r>
      <w:r>
        <w:t xml:space="preserve"> Europe</w:t>
      </w:r>
      <w:r>
        <w:rPr>
          <w:spacing w:val="-1"/>
        </w:rPr>
        <w:t xml:space="preserve"> </w:t>
      </w:r>
      <w:r>
        <w:t>by 2019.</w:t>
      </w:r>
    </w:p>
    <w:p w14:paraId="0A7D7CAD" w14:textId="77777777" w:rsidR="00B52D8F" w:rsidRDefault="00B52D8F" w:rsidP="005F5E47">
      <w:pPr>
        <w:spacing w:before="3"/>
        <w:ind w:left="588"/>
        <w:rPr>
          <w:rFonts w:ascii="Times New Roman" w:hAnsi="Times New Roman"/>
        </w:rPr>
      </w:pPr>
    </w:p>
    <w:p w14:paraId="0A7D7CAE" w14:textId="77777777" w:rsidR="00B52D8F" w:rsidRDefault="00B52D8F" w:rsidP="005F5E47">
      <w:pPr>
        <w:pStyle w:val="BodyText"/>
        <w:spacing w:line="224" w:lineRule="auto"/>
        <w:ind w:left="588" w:right="116"/>
      </w:pPr>
      <w:r>
        <w:t>One</w:t>
      </w:r>
      <w:r>
        <w:rPr>
          <w:spacing w:val="9"/>
        </w:rPr>
        <w:t xml:space="preserve"> </w:t>
      </w:r>
      <w:r>
        <w:t>of</w:t>
      </w:r>
      <w:r>
        <w:rPr>
          <w:spacing w:val="8"/>
        </w:rPr>
        <w:t xml:space="preserve"> </w:t>
      </w:r>
      <w:r>
        <w:t>the</w:t>
      </w:r>
      <w:r>
        <w:rPr>
          <w:spacing w:val="10"/>
        </w:rPr>
        <w:t xml:space="preserve"> </w:t>
      </w:r>
      <w:r>
        <w:t>recent</w:t>
      </w:r>
      <w:r>
        <w:rPr>
          <w:spacing w:val="10"/>
        </w:rPr>
        <w:t xml:space="preserve"> </w:t>
      </w:r>
      <w:r>
        <w:rPr>
          <w:spacing w:val="-1"/>
        </w:rPr>
        <w:t>developments</w:t>
      </w:r>
      <w:r>
        <w:rPr>
          <w:spacing w:val="9"/>
        </w:rPr>
        <w:t xml:space="preserve"> </w:t>
      </w:r>
      <w:r>
        <w:t>in</w:t>
      </w:r>
      <w:r>
        <w:rPr>
          <w:spacing w:val="9"/>
        </w:rPr>
        <w:t xml:space="preserve"> </w:t>
      </w:r>
      <w:r>
        <w:rPr>
          <w:spacing w:val="-1"/>
        </w:rPr>
        <w:t>the</w:t>
      </w:r>
      <w:r>
        <w:rPr>
          <w:spacing w:val="9"/>
        </w:rPr>
        <w:t xml:space="preserve"> </w:t>
      </w:r>
      <w:r>
        <w:t>ITS</w:t>
      </w:r>
      <w:r>
        <w:rPr>
          <w:spacing w:val="9"/>
        </w:rPr>
        <w:t xml:space="preserve"> </w:t>
      </w:r>
      <w:r>
        <w:t>scenario</w:t>
      </w:r>
      <w:r>
        <w:rPr>
          <w:spacing w:val="9"/>
        </w:rPr>
        <w:t xml:space="preserve"> </w:t>
      </w:r>
      <w:r>
        <w:t>is</w:t>
      </w:r>
      <w:r>
        <w:rPr>
          <w:spacing w:val="10"/>
        </w:rPr>
        <w:t xml:space="preserve"> </w:t>
      </w:r>
      <w:r>
        <w:rPr>
          <w:spacing w:val="-1"/>
        </w:rPr>
        <w:t>the</w:t>
      </w:r>
      <w:r>
        <w:rPr>
          <w:spacing w:val="12"/>
        </w:rPr>
        <w:t xml:space="preserve"> </w:t>
      </w:r>
      <w:r>
        <w:rPr>
          <w:spacing w:val="-1"/>
        </w:rPr>
        <w:t>standardisation</w:t>
      </w:r>
      <w:r>
        <w:rPr>
          <w:spacing w:val="9"/>
        </w:rPr>
        <w:t xml:space="preserve"> </w:t>
      </w:r>
      <w:r>
        <w:t>of</w:t>
      </w:r>
      <w:r>
        <w:rPr>
          <w:spacing w:val="8"/>
        </w:rPr>
        <w:t xml:space="preserve"> </w:t>
      </w:r>
      <w:r>
        <w:t>an</w:t>
      </w:r>
      <w:r>
        <w:rPr>
          <w:spacing w:val="9"/>
        </w:rPr>
        <w:t xml:space="preserve"> </w:t>
      </w:r>
      <w:r>
        <w:rPr>
          <w:spacing w:val="-1"/>
        </w:rPr>
        <w:t>LTE-</w:t>
      </w:r>
      <w:r>
        <w:rPr>
          <w:spacing w:val="51"/>
        </w:rPr>
        <w:t xml:space="preserve"> </w:t>
      </w:r>
      <w:r>
        <w:t>based</w:t>
      </w:r>
      <w:r>
        <w:rPr>
          <w:spacing w:val="7"/>
        </w:rPr>
        <w:t xml:space="preserve"> </w:t>
      </w:r>
      <w:r>
        <w:t>V2X</w:t>
      </w:r>
      <w:r>
        <w:rPr>
          <w:spacing w:val="6"/>
        </w:rPr>
        <w:t xml:space="preserve"> </w:t>
      </w:r>
      <w:r>
        <w:t>(vehicle</w:t>
      </w:r>
      <w:r>
        <w:rPr>
          <w:spacing w:val="7"/>
        </w:rPr>
        <w:t xml:space="preserve"> </w:t>
      </w:r>
      <w:r>
        <w:t>to</w:t>
      </w:r>
      <w:r>
        <w:rPr>
          <w:spacing w:val="7"/>
        </w:rPr>
        <w:t xml:space="preserve"> </w:t>
      </w:r>
      <w:r>
        <w:rPr>
          <w:spacing w:val="-1"/>
        </w:rPr>
        <w:t>everything)</w:t>
      </w:r>
      <w:r>
        <w:rPr>
          <w:spacing w:val="7"/>
        </w:rPr>
        <w:t xml:space="preserve"> </w:t>
      </w:r>
      <w:r>
        <w:t>technology</w:t>
      </w:r>
      <w:r>
        <w:rPr>
          <w:position w:val="11"/>
          <w:sz w:val="16"/>
        </w:rPr>
        <w:t>11</w:t>
      </w:r>
      <w:r>
        <w:rPr>
          <w:spacing w:val="29"/>
          <w:position w:val="11"/>
          <w:sz w:val="16"/>
        </w:rPr>
        <w:t xml:space="preserve"> </w:t>
      </w:r>
      <w:r>
        <w:t>which</w:t>
      </w:r>
      <w:r>
        <w:rPr>
          <w:spacing w:val="8"/>
        </w:rPr>
        <w:t xml:space="preserve"> </w:t>
      </w:r>
      <w:r>
        <w:t>could</w:t>
      </w:r>
      <w:r>
        <w:rPr>
          <w:spacing w:val="6"/>
        </w:rPr>
        <w:t xml:space="preserve"> </w:t>
      </w:r>
      <w:r>
        <w:rPr>
          <w:spacing w:val="-1"/>
        </w:rPr>
        <w:t>underpin</w:t>
      </w:r>
      <w:r>
        <w:rPr>
          <w:spacing w:val="9"/>
        </w:rPr>
        <w:t xml:space="preserve"> </w:t>
      </w:r>
      <w:r>
        <w:rPr>
          <w:spacing w:val="-1"/>
        </w:rPr>
        <w:t>the</w:t>
      </w:r>
      <w:r>
        <w:rPr>
          <w:spacing w:val="8"/>
        </w:rPr>
        <w:t xml:space="preserve"> </w:t>
      </w:r>
      <w:r>
        <w:t>path</w:t>
      </w:r>
      <w:r>
        <w:rPr>
          <w:spacing w:val="6"/>
        </w:rPr>
        <w:t xml:space="preserve"> </w:t>
      </w:r>
      <w:r>
        <w:t>to</w:t>
      </w:r>
      <w:r>
        <w:rPr>
          <w:spacing w:val="7"/>
        </w:rPr>
        <w:t xml:space="preserve"> </w:t>
      </w:r>
      <w:r>
        <w:t>5G</w:t>
      </w:r>
      <w:r>
        <w:rPr>
          <w:spacing w:val="37"/>
        </w:rPr>
        <w:t xml:space="preserve"> </w:t>
      </w:r>
      <w:r>
        <w:t>connectivity</w:t>
      </w:r>
      <w:r>
        <w:rPr>
          <w:spacing w:val="10"/>
        </w:rPr>
        <w:t xml:space="preserve"> </w:t>
      </w:r>
      <w:r>
        <w:t>for</w:t>
      </w:r>
      <w:r>
        <w:rPr>
          <w:spacing w:val="12"/>
        </w:rPr>
        <w:t xml:space="preserve"> </w:t>
      </w:r>
      <w:r>
        <w:t>the</w:t>
      </w:r>
      <w:r>
        <w:rPr>
          <w:spacing w:val="11"/>
        </w:rPr>
        <w:t xml:space="preserve"> </w:t>
      </w:r>
      <w:r>
        <w:rPr>
          <w:spacing w:val="-1"/>
        </w:rPr>
        <w:t>automotive/road</w:t>
      </w:r>
      <w:r>
        <w:rPr>
          <w:spacing w:val="11"/>
        </w:rPr>
        <w:t xml:space="preserve"> </w:t>
      </w:r>
      <w:r>
        <w:rPr>
          <w:spacing w:val="-1"/>
        </w:rPr>
        <w:t>transport</w:t>
      </w:r>
      <w:r>
        <w:rPr>
          <w:spacing w:val="12"/>
        </w:rPr>
        <w:t xml:space="preserve"> </w:t>
      </w:r>
      <w:r>
        <w:rPr>
          <w:spacing w:val="-1"/>
        </w:rPr>
        <w:t>"vertical"</w:t>
      </w:r>
      <w:r>
        <w:rPr>
          <w:spacing w:val="11"/>
        </w:rPr>
        <w:t xml:space="preserve"> </w:t>
      </w:r>
      <w:r>
        <w:t>sector.</w:t>
      </w:r>
      <w:r>
        <w:rPr>
          <w:spacing w:val="10"/>
        </w:rPr>
        <w:t xml:space="preserve"> </w:t>
      </w:r>
      <w:r>
        <w:t>This</w:t>
      </w:r>
      <w:r>
        <w:rPr>
          <w:spacing w:val="11"/>
        </w:rPr>
        <w:t xml:space="preserve"> </w:t>
      </w:r>
      <w:r>
        <w:rPr>
          <w:spacing w:val="-1"/>
        </w:rPr>
        <w:t>technology</w:t>
      </w:r>
      <w:r>
        <w:rPr>
          <w:spacing w:val="79"/>
        </w:rPr>
        <w:t xml:space="preserve"> </w:t>
      </w:r>
      <w:r>
        <w:t>however</w:t>
      </w:r>
      <w:r>
        <w:rPr>
          <w:spacing w:val="30"/>
        </w:rPr>
        <w:t xml:space="preserve"> </w:t>
      </w:r>
      <w:r>
        <w:rPr>
          <w:spacing w:val="-1"/>
        </w:rPr>
        <w:t>will</w:t>
      </w:r>
      <w:r>
        <w:rPr>
          <w:spacing w:val="30"/>
        </w:rPr>
        <w:t xml:space="preserve"> </w:t>
      </w:r>
      <w:r>
        <w:t>be</w:t>
      </w:r>
      <w:r>
        <w:rPr>
          <w:spacing w:val="28"/>
        </w:rPr>
        <w:t xml:space="preserve"> </w:t>
      </w:r>
      <w:r>
        <w:rPr>
          <w:spacing w:val="-1"/>
        </w:rPr>
        <w:t>commercially</w:t>
      </w:r>
      <w:r>
        <w:rPr>
          <w:spacing w:val="29"/>
        </w:rPr>
        <w:t xml:space="preserve"> </w:t>
      </w:r>
      <w:r>
        <w:rPr>
          <w:spacing w:val="-1"/>
        </w:rPr>
        <w:t>available</w:t>
      </w:r>
      <w:r>
        <w:rPr>
          <w:spacing w:val="28"/>
        </w:rPr>
        <w:t xml:space="preserve"> </w:t>
      </w:r>
      <w:r>
        <w:t>later</w:t>
      </w:r>
      <w:r>
        <w:rPr>
          <w:spacing w:val="28"/>
        </w:rPr>
        <w:t xml:space="preserve"> </w:t>
      </w:r>
      <w:r>
        <w:rPr>
          <w:spacing w:val="-1"/>
        </w:rPr>
        <w:t>than</w:t>
      </w:r>
      <w:r>
        <w:rPr>
          <w:spacing w:val="32"/>
        </w:rPr>
        <w:t xml:space="preserve"> </w:t>
      </w:r>
      <w:r>
        <w:t>the</w:t>
      </w:r>
      <w:r>
        <w:rPr>
          <w:spacing w:val="29"/>
        </w:rPr>
        <w:t xml:space="preserve"> </w:t>
      </w:r>
      <w:r>
        <w:rPr>
          <w:spacing w:val="-1"/>
        </w:rPr>
        <w:t>existing</w:t>
      </w:r>
      <w:r>
        <w:rPr>
          <w:spacing w:val="30"/>
        </w:rPr>
        <w:t xml:space="preserve"> </w:t>
      </w:r>
      <w:r>
        <w:t>IEEE</w:t>
      </w:r>
      <w:r>
        <w:rPr>
          <w:spacing w:val="29"/>
        </w:rPr>
        <w:t xml:space="preserve"> </w:t>
      </w:r>
      <w:r>
        <w:rPr>
          <w:spacing w:val="-1"/>
        </w:rPr>
        <w:t>802.11p</w:t>
      </w:r>
      <w:r>
        <w:rPr>
          <w:spacing w:val="29"/>
        </w:rPr>
        <w:t xml:space="preserve"> </w:t>
      </w:r>
      <w:r>
        <w:rPr>
          <w:spacing w:val="-1"/>
        </w:rPr>
        <w:t>"G5"</w:t>
      </w:r>
      <w:r>
        <w:rPr>
          <w:spacing w:val="79"/>
        </w:rPr>
        <w:t xml:space="preserve"> </w:t>
      </w:r>
      <w:r>
        <w:rPr>
          <w:spacing w:val="-1"/>
        </w:rPr>
        <w:t>Wi-Fi</w:t>
      </w:r>
      <w:r>
        <w:rPr>
          <w:spacing w:val="39"/>
        </w:rPr>
        <w:t xml:space="preserve"> </w:t>
      </w:r>
      <w:r>
        <w:t>based</w:t>
      </w:r>
      <w:r>
        <w:rPr>
          <w:spacing w:val="40"/>
        </w:rPr>
        <w:t xml:space="preserve"> </w:t>
      </w:r>
      <w:r>
        <w:t>ITS</w:t>
      </w:r>
      <w:r>
        <w:rPr>
          <w:spacing w:val="40"/>
        </w:rPr>
        <w:t xml:space="preserve"> </w:t>
      </w:r>
      <w:r>
        <w:t>technology</w:t>
      </w:r>
      <w:r>
        <w:rPr>
          <w:position w:val="11"/>
          <w:sz w:val="16"/>
        </w:rPr>
        <w:t>12</w:t>
      </w:r>
      <w:r>
        <w:t>.</w:t>
      </w:r>
      <w:r>
        <w:rPr>
          <w:spacing w:val="40"/>
        </w:rPr>
        <w:t xml:space="preserve"> </w:t>
      </w:r>
      <w:r>
        <w:rPr>
          <w:spacing w:val="-1"/>
        </w:rPr>
        <w:t>Various</w:t>
      </w:r>
      <w:r>
        <w:rPr>
          <w:spacing w:val="40"/>
        </w:rPr>
        <w:t xml:space="preserve"> </w:t>
      </w:r>
      <w:r>
        <w:t>initiatives</w:t>
      </w:r>
      <w:r>
        <w:rPr>
          <w:spacing w:val="40"/>
        </w:rPr>
        <w:t xml:space="preserve"> </w:t>
      </w:r>
      <w:r>
        <w:t>are</w:t>
      </w:r>
      <w:r>
        <w:rPr>
          <w:spacing w:val="39"/>
        </w:rPr>
        <w:t xml:space="preserve"> </w:t>
      </w:r>
      <w:r>
        <w:rPr>
          <w:spacing w:val="-1"/>
        </w:rPr>
        <w:t>on-going</w:t>
      </w:r>
      <w:r>
        <w:rPr>
          <w:spacing w:val="40"/>
        </w:rPr>
        <w:t xml:space="preserve"> </w:t>
      </w:r>
      <w:r>
        <w:t>in</w:t>
      </w:r>
      <w:r>
        <w:rPr>
          <w:spacing w:val="41"/>
        </w:rPr>
        <w:t xml:space="preserve"> </w:t>
      </w:r>
      <w:r>
        <w:rPr>
          <w:spacing w:val="-1"/>
        </w:rPr>
        <w:t>Europe</w:t>
      </w:r>
      <w:r>
        <w:rPr>
          <w:spacing w:val="40"/>
        </w:rPr>
        <w:t xml:space="preserve"> </w:t>
      </w:r>
      <w:r>
        <w:rPr>
          <w:spacing w:val="-1"/>
        </w:rPr>
        <w:t>towards</w:t>
      </w:r>
      <w:r>
        <w:rPr>
          <w:spacing w:val="51"/>
        </w:rPr>
        <w:t xml:space="preserve"> </w:t>
      </w:r>
      <w:r>
        <w:rPr>
          <w:spacing w:val="-1"/>
        </w:rPr>
        <w:t>implementation</w:t>
      </w:r>
      <w:r>
        <w:rPr>
          <w:spacing w:val="6"/>
        </w:rPr>
        <w:t xml:space="preserve"> </w:t>
      </w:r>
      <w:r>
        <w:t>in</w:t>
      </w:r>
      <w:r>
        <w:rPr>
          <w:spacing w:val="6"/>
        </w:rPr>
        <w:t xml:space="preserve"> </w:t>
      </w:r>
      <w:r>
        <w:rPr>
          <w:spacing w:val="-1"/>
        </w:rPr>
        <w:t>vehicles</w:t>
      </w:r>
      <w:r>
        <w:rPr>
          <w:spacing w:val="5"/>
        </w:rPr>
        <w:t xml:space="preserve"> </w:t>
      </w:r>
      <w:r>
        <w:t>of</w:t>
      </w:r>
      <w:r>
        <w:rPr>
          <w:spacing w:val="5"/>
        </w:rPr>
        <w:t xml:space="preserve"> </w:t>
      </w:r>
      <w:r>
        <w:t>the</w:t>
      </w:r>
      <w:r>
        <w:rPr>
          <w:spacing w:val="6"/>
        </w:rPr>
        <w:t xml:space="preserve"> </w:t>
      </w:r>
      <w:r>
        <w:t>G5</w:t>
      </w:r>
      <w:r>
        <w:rPr>
          <w:spacing w:val="4"/>
        </w:rPr>
        <w:t xml:space="preserve"> </w:t>
      </w:r>
      <w:r>
        <w:rPr>
          <w:spacing w:val="-1"/>
        </w:rPr>
        <w:t>technology</w:t>
      </w:r>
      <w:r>
        <w:rPr>
          <w:spacing w:val="5"/>
        </w:rPr>
        <w:t xml:space="preserve"> </w:t>
      </w:r>
      <w:r>
        <w:t>which</w:t>
      </w:r>
      <w:r>
        <w:rPr>
          <w:spacing w:val="6"/>
        </w:rPr>
        <w:t xml:space="preserve"> </w:t>
      </w:r>
      <w:r>
        <w:t>has</w:t>
      </w:r>
      <w:r>
        <w:rPr>
          <w:spacing w:val="6"/>
        </w:rPr>
        <w:t xml:space="preserve"> </w:t>
      </w:r>
      <w:r>
        <w:t>been</w:t>
      </w:r>
      <w:r>
        <w:rPr>
          <w:spacing w:val="6"/>
        </w:rPr>
        <w:t xml:space="preserve"> </w:t>
      </w:r>
      <w:r>
        <w:t>subject</w:t>
      </w:r>
      <w:r>
        <w:rPr>
          <w:spacing w:val="3"/>
        </w:rPr>
        <w:t xml:space="preserve"> </w:t>
      </w:r>
      <w:r>
        <w:t>of</w:t>
      </w:r>
      <w:r>
        <w:rPr>
          <w:spacing w:val="5"/>
        </w:rPr>
        <w:t xml:space="preserve"> </w:t>
      </w:r>
      <w:r>
        <w:t>European</w:t>
      </w:r>
      <w:r>
        <w:rPr>
          <w:spacing w:val="55"/>
        </w:rPr>
        <w:t xml:space="preserve"> </w:t>
      </w:r>
      <w:r>
        <w:rPr>
          <w:spacing w:val="-1"/>
        </w:rPr>
        <w:t>R&amp;D</w:t>
      </w:r>
      <w:r>
        <w:rPr>
          <w:spacing w:val="-1"/>
          <w:position w:val="11"/>
          <w:sz w:val="16"/>
        </w:rPr>
        <w:t>13</w:t>
      </w:r>
      <w:r>
        <w:rPr>
          <w:spacing w:val="22"/>
          <w:position w:val="11"/>
          <w:sz w:val="16"/>
        </w:rPr>
        <w:t xml:space="preserve"> </w:t>
      </w:r>
      <w:r>
        <w:t>since</w:t>
      </w:r>
      <w:r>
        <w:rPr>
          <w:spacing w:val="1"/>
        </w:rPr>
        <w:t xml:space="preserve"> </w:t>
      </w:r>
      <w:r>
        <w:t>several</w:t>
      </w:r>
      <w:r>
        <w:rPr>
          <w:spacing w:val="2"/>
        </w:rPr>
        <w:t xml:space="preserve"> </w:t>
      </w:r>
      <w:r>
        <w:rPr>
          <w:spacing w:val="-1"/>
        </w:rPr>
        <w:t>years.</w:t>
      </w:r>
      <w:r>
        <w:rPr>
          <w:spacing w:val="2"/>
        </w:rPr>
        <w:t xml:space="preserve"> </w:t>
      </w:r>
      <w:r>
        <w:rPr>
          <w:spacing w:val="-1"/>
        </w:rPr>
        <w:t>However,</w:t>
      </w:r>
      <w:r>
        <w:rPr>
          <w:spacing w:val="1"/>
        </w:rPr>
        <w:t xml:space="preserve"> </w:t>
      </w:r>
      <w:r>
        <w:rPr>
          <w:spacing w:val="-1"/>
        </w:rPr>
        <w:t>stakeholders</w:t>
      </w:r>
      <w:r>
        <w:rPr>
          <w:spacing w:val="1"/>
        </w:rPr>
        <w:t xml:space="preserve"> </w:t>
      </w:r>
      <w:r>
        <w:t xml:space="preserve">appear </w:t>
      </w:r>
      <w:r>
        <w:rPr>
          <w:spacing w:val="-1"/>
        </w:rPr>
        <w:t>quite</w:t>
      </w:r>
      <w:r>
        <w:rPr>
          <w:spacing w:val="1"/>
        </w:rPr>
        <w:t xml:space="preserve"> </w:t>
      </w:r>
      <w:r>
        <w:rPr>
          <w:spacing w:val="-1"/>
        </w:rPr>
        <w:t>divided</w:t>
      </w:r>
      <w:r>
        <w:rPr>
          <w:spacing w:val="2"/>
        </w:rPr>
        <w:t xml:space="preserve"> </w:t>
      </w:r>
      <w:r>
        <w:t>as regards</w:t>
      </w:r>
      <w:r>
        <w:rPr>
          <w:spacing w:val="1"/>
        </w:rPr>
        <w:t xml:space="preserve"> </w:t>
      </w:r>
      <w:r>
        <w:rPr>
          <w:spacing w:val="-1"/>
        </w:rPr>
        <w:t>the</w:t>
      </w:r>
    </w:p>
    <w:p w14:paraId="0A7D7CAF" w14:textId="77777777" w:rsidR="00B52D8F" w:rsidRDefault="00B52D8F" w:rsidP="00B52D8F">
      <w:pPr>
        <w:spacing w:line="20" w:lineRule="atLeast"/>
        <w:ind w:left="100"/>
        <w:rPr>
          <w:rFonts w:ascii="Times New Roman" w:hAnsi="Times New Roman"/>
          <w:sz w:val="2"/>
          <w:szCs w:val="2"/>
        </w:rPr>
      </w:pPr>
      <w:r>
        <w:rPr>
          <w:rFonts w:ascii="Times New Roman" w:hAnsi="Times New Roman"/>
          <w:noProof/>
          <w:sz w:val="2"/>
          <w:szCs w:val="2"/>
          <w:lang w:val="da-DK" w:eastAsia="da-DK"/>
        </w:rPr>
        <mc:AlternateContent>
          <mc:Choice Requires="wpg">
            <w:drawing>
              <wp:inline distT="0" distB="0" distL="0" distR="0" wp14:anchorId="0A7D7D61" wp14:editId="0A7D7D62">
                <wp:extent cx="1838325" cy="8890"/>
                <wp:effectExtent l="3175" t="2540" r="6350" b="7620"/>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313" name="Group 32"/>
                        <wpg:cNvGrpSpPr>
                          <a:grpSpLocks/>
                        </wpg:cNvGrpSpPr>
                        <wpg:grpSpPr bwMode="auto">
                          <a:xfrm>
                            <a:off x="7" y="7"/>
                            <a:ext cx="2881" cy="2"/>
                            <a:chOff x="7" y="7"/>
                            <a:chExt cx="2881" cy="2"/>
                          </a:xfrm>
                        </wpg:grpSpPr>
                        <wps:wsp>
                          <wps:cNvPr id="314" name="Freeform 33"/>
                          <wps:cNvSpPr>
                            <a:spLocks/>
                          </wps:cNvSpPr>
                          <wps:spPr bwMode="auto">
                            <a:xfrm>
                              <a:off x="7" y="7"/>
                              <a:ext cx="2881" cy="2"/>
                            </a:xfrm>
                            <a:custGeom>
                              <a:avLst/>
                              <a:gdLst>
                                <a:gd name="T0" fmla="+- 0 7 7"/>
                                <a:gd name="T1" fmla="*/ T0 w 2881"/>
                                <a:gd name="T2" fmla="+- 0 2887 7"/>
                                <a:gd name="T3" fmla="*/ T2 w 2881"/>
                              </a:gdLst>
                              <a:ahLst/>
                              <a:cxnLst>
                                <a:cxn ang="0">
                                  <a:pos x="T1" y="0"/>
                                </a:cxn>
                                <a:cxn ang="0">
                                  <a:pos x="T3" y="0"/>
                                </a:cxn>
                              </a:cxnLst>
                              <a:rect l="0" t="0" r="r" b="b"/>
                              <a:pathLst>
                                <a:path w="2881">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5B92FA" id="Group 312"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06BgAMAANkIAAAOAAAAZHJzL2Uyb0RvYy54bWy0Vttu4zYQfS/QfyD42MLRxUosC1EWC1+C&#10;Att2gXU/gJaoCyqRKklbTov+e4dDSZGdBi22qB7koWY4M2eufvxwaRty5krXUqQ0uPMp4SKTeS3K&#10;lP5y2C9iSrRhImeNFDylL1zTD0/ffvPYdwkPZSWbnCsCSoRO+i6llTFd4nk6q3jL9J3suABmIVXL&#10;DBxV6eWK9aC9bbzQ9x+8Xqq8UzLjWsPXrWPSJ9RfFDwzPxeF5oY0KQXfDL4Vvo/27T09sqRUrKvq&#10;bHCDfYUXLasFGJ1UbZlh5KTqN6raOlNSy8LcZbL1ZFHUGUcMgCbwb9A8K3nqEEuZ9GU3hQlCexOn&#10;r1ab/XT+rEidp3QZhJQI1kKS0C6xHyA8fVcmIPWsui/dZ+UwAvlJZr9qYHu3fHsunTA59j/KHBSy&#10;k5EYnkuhWqsCgJMLZuFlygK/GJLBxyBexsvwnpIMeHG8HpKUVZDJN5eyajdcC+P1cCeIrN8eS5w1&#10;9HDwyMHBw4Rswr+8wf+/w19RAhBXrghH+GEcBw472mfJBPxKfA786sK7uKHB9GsN6f9WQ18q1nEs&#10;TW2rY4phNMZwrzi3bUuWS1dFKDeWkJ7Xz4zTdzrRUGb/WDlXsXgndFMkIIYnbZ65xNpj50/auL7P&#10;gcKKzofKP8CMKNoGRsD3C+KTFRmSU04CkBsn8J1HDj7pCeZrUDdqgU6aaQGJv1EE1faqKJwpArfL&#10;0TFWjb5mFzE4CxRhdrz62FKd1LYrDuDY2EugAYQssHdkwfatrLszmFAwN28npqIEJubRFWvHjPXM&#10;mrAk6VOKcbAfWnnmB4ksc9OvYOSV24i5FFyH2M+8cmy4YQ1gO09Gra+zhAq5r5sGU9AI6woODeuA&#10;lk2dWyYeVHncNIqcmd0F+Axz4koMZq7IUVnFWb4baMPqxtFgvMHYQtUNIbD1h8P+j7W/3sW7OFpE&#10;4cNuEfnb7eLjfhMtHvbB6n673G422+BPm7YgSqo6z7mw3o2LJ4j+XVMOK9CtjGn1XKHQc7B7fN6C&#10;9a7dwCADlvEX0cH0dC1p56VOjjJ/gfZU0m1S2PxAVFL9TkkPWzSl+rcTU5yS5gcBI2YdRJFdu3iI&#10;7lchHNScc5xzmMhAVUoNhQK35Ma4VX3qVF1WYCnAkhfyIyyUorZdjP45r4YDTDmkhjU00LA/gbpa&#10;0PMzSr3+I3n6CwAA//8DAFBLAwQUAAYACAAAACEA/uLkmNsAAAADAQAADwAAAGRycy9kb3ducmV2&#10;LnhtbEyPQUvDQBCF74L/YRnBm92kWmljNqUU9VSEtoL0Nk2mSWh2NmS3SfrvHb3o5cHwHu99ky5H&#10;26ieOl87NhBPIlDEuStqLg187t8e5qB8QC6wcUwGruRhmd3epJgUbuAt9btQKilhn6CBKoQ20drn&#10;FVn0E9cSi3dyncUgZ1fqosNBym2jp1H0rC3WLAsVtrSuKD/vLtbA+4DD6jF+7Tfn0/p62M8+vjYx&#10;GXN/N65eQAUaw18YfvAFHTJhOroLF141BuSR8KviTeeLGaijhJ5AZ6n+z559AwAA//8DAFBLAQIt&#10;ABQABgAIAAAAIQC2gziS/gAAAOEBAAATAAAAAAAAAAAAAAAAAAAAAABbQ29udGVudF9UeXBlc10u&#10;eG1sUEsBAi0AFAAGAAgAAAAhADj9If/WAAAAlAEAAAsAAAAAAAAAAAAAAAAALwEAAF9yZWxzLy5y&#10;ZWxzUEsBAi0AFAAGAAgAAAAhADBLToGAAwAA2QgAAA4AAAAAAAAAAAAAAAAALgIAAGRycy9lMm9E&#10;b2MueG1sUEsBAi0AFAAGAAgAAAAhAP7i5JjbAAAAAwEAAA8AAAAAAAAAAAAAAAAA2gUAAGRycy9k&#10;b3ducmV2LnhtbFBLBQYAAAAABAAEAPMAAADiBgAAAAA=&#10;">
                <v:group id="Group 32" o:spid="_x0000_s1027" style="position:absolute;left:7;top:7;width:2881;height:2" coordorigin="7,7"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33" o:spid="_x0000_s1028" style="position:absolute;left:7;top: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rbtwwAAANwAAAAPAAAAZHJzL2Rvd25yZXYueG1sRI/NasJA&#10;FIX3Bd9huEJ3dRIrUqKTUASpmy6Mbrq7zFwzoZk7ITPR1Kd3CoUuD+fn42yryXXiSkNoPSvIFxkI&#10;Yu1Ny42C82n/8gYiRGSDnWdS8EMBqnL2tMXC+Bsf6VrHRqQRDgUqsDH2hZRBW3IYFr4nTt7FDw5j&#10;kkMjzYC3NO46ucyytXTYciJY7GlnSX/Xo0sQ+dHXn+PqTvrQ+K9ltFafj0o9z6f3DYhIU/wP/7UP&#10;RsFrvoLfM+kIyPIBAAD//wMAUEsBAi0AFAAGAAgAAAAhANvh9svuAAAAhQEAABMAAAAAAAAAAAAA&#10;AAAAAAAAAFtDb250ZW50X1R5cGVzXS54bWxQSwECLQAUAAYACAAAACEAWvQsW78AAAAVAQAACwAA&#10;AAAAAAAAAAAAAAAfAQAAX3JlbHMvLnJlbHNQSwECLQAUAAYACAAAACEApea27cMAAADcAAAADwAA&#10;AAAAAAAAAAAAAAAHAgAAZHJzL2Rvd25yZXYueG1sUEsFBgAAAAADAAMAtwAAAPcCAAAAAA==&#10;" path="m,l2880,e" filled="f" strokeweight=".7pt">
                    <v:path arrowok="t" o:connecttype="custom" o:connectlocs="0,0;2880,0" o:connectangles="0,0"/>
                  </v:shape>
                </v:group>
                <w10:anchorlock/>
              </v:group>
            </w:pict>
          </mc:Fallback>
        </mc:AlternateContent>
      </w:r>
    </w:p>
    <w:p w14:paraId="0A7D7CB0" w14:textId="77777777" w:rsidR="00B52D8F" w:rsidRDefault="00B52D8F" w:rsidP="00B52D8F">
      <w:pPr>
        <w:tabs>
          <w:tab w:val="left" w:pos="465"/>
        </w:tabs>
        <w:spacing w:before="83"/>
        <w:ind w:left="465" w:right="1518" w:hanging="358"/>
        <w:rPr>
          <w:rFonts w:ascii="Times New Roman" w:hAnsi="Times New Roman"/>
          <w:szCs w:val="20"/>
        </w:rPr>
      </w:pPr>
      <w:r>
        <w:rPr>
          <w:rFonts w:ascii="Times New Roman"/>
          <w:w w:val="95"/>
          <w:position w:val="9"/>
          <w:sz w:val="13"/>
        </w:rPr>
        <w:t>6</w:t>
      </w:r>
      <w:r>
        <w:rPr>
          <w:rFonts w:ascii="Times New Roman"/>
          <w:w w:val="95"/>
          <w:position w:val="9"/>
          <w:sz w:val="13"/>
        </w:rPr>
        <w:tab/>
      </w:r>
      <w:hyperlink r:id="rId41">
        <w:r>
          <w:rPr>
            <w:rFonts w:ascii="Times New Roman"/>
            <w:color w:val="0000FF"/>
            <w:spacing w:val="-1"/>
            <w:u w:val="single" w:color="0000FF"/>
          </w:rPr>
          <w:t>https://circabc.europa.eu/sd/a/b30590d7-5190-480b-b1d1-def24719e061/RSPG17-008-</w:t>
        </w:r>
      </w:hyperlink>
      <w:r>
        <w:rPr>
          <w:rFonts w:ascii="Times New Roman"/>
          <w:color w:val="0000FF"/>
        </w:rPr>
        <w:t xml:space="preserve"> </w:t>
      </w:r>
      <w:hyperlink r:id="rId42">
        <w:r>
          <w:rPr>
            <w:rFonts w:ascii="Times New Roman"/>
            <w:color w:val="0000FF"/>
          </w:rPr>
          <w:t xml:space="preserve">  </w:t>
        </w:r>
        <w:r>
          <w:rPr>
            <w:rFonts w:ascii="Times New Roman"/>
            <w:color w:val="0000FF"/>
            <w:spacing w:val="-1"/>
            <w:u w:val="single" w:color="0000FF"/>
          </w:rPr>
          <w:t>Final_opinion_ITS.pdf</w:t>
        </w:r>
      </w:hyperlink>
    </w:p>
    <w:p w14:paraId="0A7D7CB1" w14:textId="77777777" w:rsidR="00B52D8F" w:rsidRDefault="00B52D8F" w:rsidP="00B52D8F">
      <w:pPr>
        <w:tabs>
          <w:tab w:val="left" w:pos="465"/>
        </w:tabs>
        <w:spacing w:before="83"/>
        <w:ind w:left="107"/>
        <w:rPr>
          <w:rFonts w:ascii="Times New Roman" w:hAnsi="Times New Roman"/>
          <w:szCs w:val="20"/>
        </w:rPr>
      </w:pPr>
      <w:r>
        <w:rPr>
          <w:rFonts w:ascii="Times New Roman"/>
          <w:w w:val="95"/>
          <w:position w:val="9"/>
          <w:sz w:val="13"/>
        </w:rPr>
        <w:t>7</w:t>
      </w:r>
      <w:r>
        <w:rPr>
          <w:rFonts w:ascii="Times New Roman"/>
          <w:w w:val="95"/>
          <w:position w:val="9"/>
          <w:sz w:val="13"/>
        </w:rPr>
        <w:tab/>
      </w:r>
      <w:hyperlink r:id="rId43">
        <w:r>
          <w:rPr>
            <w:rFonts w:ascii="Times New Roman"/>
            <w:color w:val="0000FF"/>
            <w:spacing w:val="-1"/>
            <w:u w:val="single" w:color="0000FF"/>
          </w:rPr>
          <w:t>https://ec.europa.eu/digital-single-market/en/node/88557</w:t>
        </w:r>
      </w:hyperlink>
    </w:p>
    <w:p w14:paraId="0A7D7CB2" w14:textId="77777777" w:rsidR="00B52D8F" w:rsidRDefault="00B52D8F" w:rsidP="00B52D8F">
      <w:pPr>
        <w:tabs>
          <w:tab w:val="left" w:pos="465"/>
        </w:tabs>
        <w:spacing w:before="83"/>
        <w:ind w:left="465" w:right="1208" w:hanging="358"/>
        <w:rPr>
          <w:rFonts w:ascii="Times New Roman" w:hAnsi="Times New Roman"/>
          <w:szCs w:val="20"/>
        </w:rPr>
      </w:pPr>
      <w:r>
        <w:rPr>
          <w:rFonts w:ascii="Times New Roman"/>
          <w:w w:val="95"/>
          <w:position w:val="9"/>
          <w:sz w:val="13"/>
        </w:rPr>
        <w:t>8</w:t>
      </w:r>
      <w:r>
        <w:rPr>
          <w:rFonts w:ascii="Times New Roman"/>
          <w:w w:val="95"/>
          <w:position w:val="9"/>
          <w:sz w:val="13"/>
        </w:rPr>
        <w:tab/>
      </w:r>
      <w:hyperlink r:id="rId44">
        <w:r>
          <w:rPr>
            <w:rFonts w:ascii="Times New Roman"/>
            <w:color w:val="0000FF"/>
            <w:spacing w:val="-1"/>
            <w:u w:val="single" w:color="0000FF"/>
          </w:rPr>
          <w:t>https://www.eurofiber.nl/assets/uploads/2017/02/EATA_5GAA_MOU_final-for-signature-</w:t>
        </w:r>
      </w:hyperlink>
      <w:r>
        <w:rPr>
          <w:rFonts w:ascii="Times New Roman"/>
          <w:color w:val="0000FF"/>
        </w:rPr>
        <w:t xml:space="preserve"> </w:t>
      </w:r>
      <w:hyperlink r:id="rId45">
        <w:r>
          <w:rPr>
            <w:rFonts w:ascii="Times New Roman"/>
            <w:color w:val="0000FF"/>
          </w:rPr>
          <w:t xml:space="preserve">  </w:t>
        </w:r>
        <w:r>
          <w:rPr>
            <w:rFonts w:ascii="Times New Roman"/>
            <w:color w:val="0000FF"/>
            <w:spacing w:val="-1"/>
            <w:u w:val="single" w:color="0000FF"/>
          </w:rPr>
          <w:t>20170227.pdf</w:t>
        </w:r>
      </w:hyperlink>
    </w:p>
    <w:p w14:paraId="0A7D7CB3" w14:textId="77777777" w:rsidR="00B52D8F" w:rsidRDefault="00B52D8F" w:rsidP="00B52D8F">
      <w:pPr>
        <w:tabs>
          <w:tab w:val="left" w:pos="465"/>
        </w:tabs>
        <w:spacing w:before="83"/>
        <w:ind w:left="465" w:right="177" w:hanging="358"/>
        <w:rPr>
          <w:rFonts w:ascii="Times New Roman" w:hAnsi="Times New Roman"/>
          <w:szCs w:val="20"/>
        </w:rPr>
      </w:pPr>
      <w:proofErr w:type="gramStart"/>
      <w:r>
        <w:rPr>
          <w:rFonts w:ascii="Times New Roman"/>
          <w:w w:val="95"/>
          <w:position w:val="9"/>
          <w:sz w:val="13"/>
        </w:rPr>
        <w:t>9</w:t>
      </w:r>
      <w:r>
        <w:rPr>
          <w:rFonts w:ascii="Times New Roman"/>
          <w:w w:val="95"/>
          <w:position w:val="9"/>
          <w:sz w:val="13"/>
        </w:rPr>
        <w:tab/>
      </w:r>
      <w:hyperlink r:id="rId46">
        <w:r>
          <w:rPr>
            <w:rFonts w:ascii="Times New Roman"/>
            <w:color w:val="0000FF"/>
            <w:spacing w:val="-1"/>
            <w:u w:val="single" w:color="0000FF"/>
          </w:rPr>
          <w:t>https://www.c-roads.eu/platform/about/news/News/entry/show/c-its-cooperation-between-c2c-cc-and-c-</w:t>
        </w:r>
      </w:hyperlink>
      <w:r>
        <w:rPr>
          <w:rFonts w:ascii="Times New Roman"/>
          <w:color w:val="0000FF"/>
        </w:rPr>
        <w:t xml:space="preserve"> </w:t>
      </w:r>
      <w:hyperlink r:id="rId47">
        <w:r>
          <w:rPr>
            <w:rFonts w:ascii="Times New Roman"/>
            <w:color w:val="0000FF"/>
          </w:rPr>
          <w:t xml:space="preserve">  </w:t>
        </w:r>
        <w:r>
          <w:rPr>
            <w:rFonts w:ascii="Times New Roman"/>
            <w:color w:val="0000FF"/>
            <w:spacing w:val="-1"/>
            <w:u w:val="single" w:color="0000FF"/>
          </w:rPr>
          <w:t>roads-platform-1.html</w:t>
        </w:r>
        <w:proofErr w:type="gramEnd"/>
      </w:hyperlink>
    </w:p>
    <w:p w14:paraId="0A7D7CB4" w14:textId="77777777" w:rsidR="00B52D8F" w:rsidRDefault="00B52D8F" w:rsidP="00B52D8F">
      <w:pPr>
        <w:tabs>
          <w:tab w:val="left" w:pos="465"/>
        </w:tabs>
        <w:spacing w:before="83"/>
        <w:ind w:left="107"/>
        <w:rPr>
          <w:rFonts w:ascii="Times New Roman" w:hAnsi="Times New Roman"/>
          <w:szCs w:val="20"/>
        </w:rPr>
      </w:pPr>
      <w:r>
        <w:rPr>
          <w:rFonts w:ascii="Times New Roman"/>
          <w:w w:val="95"/>
          <w:position w:val="9"/>
          <w:sz w:val="13"/>
        </w:rPr>
        <w:t>10</w:t>
      </w:r>
      <w:r>
        <w:rPr>
          <w:rFonts w:ascii="Times New Roman"/>
          <w:w w:val="95"/>
          <w:position w:val="9"/>
          <w:sz w:val="13"/>
        </w:rPr>
        <w:tab/>
      </w:r>
      <w:hyperlink r:id="rId48">
        <w:r>
          <w:rPr>
            <w:rFonts w:ascii="Times New Roman"/>
            <w:color w:val="0000FF"/>
            <w:spacing w:val="-1"/>
            <w:u w:val="single" w:color="0000FF"/>
          </w:rPr>
          <w:t>https://www.c-roads.eu/platform.html</w:t>
        </w:r>
      </w:hyperlink>
    </w:p>
    <w:p w14:paraId="0A7D7CB5" w14:textId="77777777" w:rsidR="00B52D8F" w:rsidRDefault="00B52D8F" w:rsidP="00B52D8F">
      <w:pPr>
        <w:tabs>
          <w:tab w:val="left" w:pos="465"/>
        </w:tabs>
        <w:spacing w:before="83"/>
        <w:ind w:left="107"/>
        <w:rPr>
          <w:rFonts w:ascii="Times New Roman" w:hAnsi="Times New Roman"/>
          <w:szCs w:val="20"/>
        </w:rPr>
      </w:pPr>
      <w:r>
        <w:rPr>
          <w:rFonts w:ascii="Times New Roman"/>
          <w:w w:val="95"/>
          <w:position w:val="9"/>
          <w:sz w:val="13"/>
        </w:rPr>
        <w:t>11</w:t>
      </w:r>
      <w:r>
        <w:rPr>
          <w:rFonts w:ascii="Times New Roman"/>
          <w:w w:val="95"/>
          <w:position w:val="9"/>
          <w:sz w:val="13"/>
        </w:rPr>
        <w:tab/>
      </w:r>
      <w:r>
        <w:rPr>
          <w:rFonts w:ascii="Times New Roman"/>
        </w:rPr>
        <w:t xml:space="preserve">3GPP </w:t>
      </w:r>
      <w:r>
        <w:rPr>
          <w:rFonts w:ascii="Times New Roman"/>
          <w:spacing w:val="-1"/>
        </w:rPr>
        <w:t>Release</w:t>
      </w:r>
      <w:r>
        <w:rPr>
          <w:rFonts w:ascii="Times New Roman"/>
          <w:spacing w:val="-2"/>
        </w:rPr>
        <w:t xml:space="preserve"> </w:t>
      </w:r>
      <w:r>
        <w:rPr>
          <w:rFonts w:ascii="Times New Roman"/>
        </w:rPr>
        <w:t xml:space="preserve">14 </w:t>
      </w:r>
      <w:r>
        <w:rPr>
          <w:rFonts w:ascii="Times New Roman"/>
          <w:spacing w:val="-1"/>
        </w:rPr>
        <w:t>(direct</w:t>
      </w:r>
      <w:r>
        <w:rPr>
          <w:rFonts w:ascii="Times New Roman"/>
        </w:rPr>
        <w:t xml:space="preserve"> </w:t>
      </w:r>
      <w:r>
        <w:rPr>
          <w:rFonts w:ascii="Times New Roman"/>
          <w:spacing w:val="-1"/>
        </w:rPr>
        <w:t>communication</w:t>
      </w:r>
      <w:r>
        <w:rPr>
          <w:rFonts w:ascii="Times New Roman"/>
        </w:rPr>
        <w:t xml:space="preserve"> </w:t>
      </w:r>
      <w:r>
        <w:rPr>
          <w:rFonts w:ascii="Times New Roman"/>
          <w:spacing w:val="-1"/>
        </w:rPr>
        <w:t>interface, PC5).</w:t>
      </w:r>
    </w:p>
    <w:p w14:paraId="0A7D7CB6" w14:textId="77777777" w:rsidR="00B52D8F" w:rsidRDefault="00B52D8F" w:rsidP="00B52D8F">
      <w:pPr>
        <w:ind w:left="465" w:right="114" w:hanging="358"/>
        <w:jc w:val="both"/>
        <w:rPr>
          <w:rFonts w:ascii="Times New Roman" w:hAnsi="Times New Roman"/>
          <w:szCs w:val="20"/>
        </w:rPr>
      </w:pPr>
      <w:r>
        <w:rPr>
          <w:rFonts w:ascii="Times New Roman" w:hAnsi="Times New Roman"/>
          <w:position w:val="9"/>
          <w:sz w:val="13"/>
          <w:szCs w:val="13"/>
        </w:rPr>
        <w:t>12</w:t>
      </w:r>
      <w:r>
        <w:rPr>
          <w:rFonts w:ascii="Times New Roman" w:hAnsi="Times New Roman"/>
          <w:spacing w:val="32"/>
          <w:position w:val="9"/>
          <w:sz w:val="13"/>
          <w:szCs w:val="13"/>
        </w:rPr>
        <w:t xml:space="preserve"> </w:t>
      </w:r>
      <w:r>
        <w:rPr>
          <w:rFonts w:ascii="Times New Roman" w:hAnsi="Times New Roman"/>
          <w:szCs w:val="20"/>
        </w:rPr>
        <w:t>In</w:t>
      </w:r>
      <w:r>
        <w:rPr>
          <w:rFonts w:ascii="Times New Roman" w:hAnsi="Times New Roman"/>
          <w:spacing w:val="11"/>
          <w:szCs w:val="20"/>
        </w:rPr>
        <w:t xml:space="preserve"> </w:t>
      </w:r>
      <w:r>
        <w:rPr>
          <w:rFonts w:ascii="Times New Roman" w:hAnsi="Times New Roman"/>
          <w:spacing w:val="-1"/>
          <w:szCs w:val="20"/>
        </w:rPr>
        <w:t>line</w:t>
      </w:r>
      <w:r>
        <w:rPr>
          <w:rFonts w:ascii="Times New Roman" w:hAnsi="Times New Roman"/>
          <w:spacing w:val="10"/>
          <w:szCs w:val="20"/>
        </w:rPr>
        <w:t xml:space="preserve"> </w:t>
      </w:r>
      <w:r>
        <w:rPr>
          <w:rFonts w:ascii="Times New Roman" w:hAnsi="Times New Roman"/>
          <w:szCs w:val="20"/>
        </w:rPr>
        <w:t>with</w:t>
      </w:r>
      <w:r>
        <w:rPr>
          <w:rFonts w:ascii="Times New Roman" w:hAnsi="Times New Roman"/>
          <w:spacing w:val="10"/>
          <w:szCs w:val="20"/>
        </w:rPr>
        <w:t xml:space="preserve"> </w:t>
      </w:r>
      <w:r>
        <w:rPr>
          <w:rFonts w:ascii="Times New Roman" w:hAnsi="Times New Roman"/>
          <w:szCs w:val="20"/>
        </w:rPr>
        <w:t>the</w:t>
      </w:r>
      <w:r>
        <w:rPr>
          <w:rFonts w:ascii="Times New Roman" w:hAnsi="Times New Roman"/>
          <w:spacing w:val="10"/>
          <w:szCs w:val="20"/>
        </w:rPr>
        <w:t xml:space="preserve"> </w:t>
      </w:r>
      <w:r>
        <w:rPr>
          <w:rFonts w:ascii="Times New Roman" w:hAnsi="Times New Roman"/>
          <w:spacing w:val="-1"/>
          <w:szCs w:val="20"/>
        </w:rPr>
        <w:t>C-ITS</w:t>
      </w:r>
      <w:r>
        <w:rPr>
          <w:rFonts w:ascii="Times New Roman" w:hAnsi="Times New Roman"/>
          <w:spacing w:val="9"/>
          <w:szCs w:val="20"/>
        </w:rPr>
        <w:t xml:space="preserve"> </w:t>
      </w:r>
      <w:r>
        <w:rPr>
          <w:rFonts w:ascii="Times New Roman" w:hAnsi="Times New Roman"/>
          <w:spacing w:val="-1"/>
          <w:szCs w:val="20"/>
        </w:rPr>
        <w:t>Strategy</w:t>
      </w:r>
      <w:r>
        <w:rPr>
          <w:rFonts w:ascii="Times New Roman" w:hAnsi="Times New Roman"/>
          <w:spacing w:val="10"/>
          <w:szCs w:val="20"/>
        </w:rPr>
        <w:t xml:space="preserve"> </w:t>
      </w:r>
      <w:r>
        <w:rPr>
          <w:rFonts w:ascii="Times New Roman" w:hAnsi="Times New Roman"/>
          <w:spacing w:val="-1"/>
          <w:szCs w:val="20"/>
        </w:rPr>
        <w:t>COM(2016)</w:t>
      </w:r>
      <w:r>
        <w:rPr>
          <w:rFonts w:ascii="Times New Roman" w:hAnsi="Times New Roman"/>
          <w:spacing w:val="10"/>
          <w:szCs w:val="20"/>
        </w:rPr>
        <w:t xml:space="preserve"> </w:t>
      </w:r>
      <w:r>
        <w:rPr>
          <w:rFonts w:ascii="Times New Roman" w:hAnsi="Times New Roman"/>
          <w:szCs w:val="20"/>
        </w:rPr>
        <w:t>766,</w:t>
      </w:r>
      <w:r>
        <w:rPr>
          <w:rFonts w:ascii="Times New Roman" w:hAnsi="Times New Roman"/>
          <w:spacing w:val="10"/>
          <w:szCs w:val="20"/>
        </w:rPr>
        <w:t xml:space="preserve"> </w:t>
      </w:r>
      <w:r>
        <w:rPr>
          <w:rFonts w:ascii="Times New Roman" w:hAnsi="Times New Roman"/>
          <w:szCs w:val="20"/>
        </w:rPr>
        <w:t>the</w:t>
      </w:r>
      <w:r>
        <w:rPr>
          <w:rFonts w:ascii="Times New Roman" w:hAnsi="Times New Roman"/>
          <w:spacing w:val="9"/>
          <w:szCs w:val="20"/>
        </w:rPr>
        <w:t xml:space="preserve"> </w:t>
      </w:r>
      <w:r>
        <w:rPr>
          <w:rFonts w:ascii="Times New Roman" w:hAnsi="Times New Roman"/>
          <w:szCs w:val="20"/>
        </w:rPr>
        <w:t>ITS</w:t>
      </w:r>
      <w:r>
        <w:rPr>
          <w:rFonts w:ascii="Times New Roman" w:hAnsi="Times New Roman"/>
          <w:spacing w:val="10"/>
          <w:szCs w:val="20"/>
        </w:rPr>
        <w:t xml:space="preserve"> </w:t>
      </w:r>
      <w:r>
        <w:rPr>
          <w:rFonts w:ascii="Times New Roman" w:hAnsi="Times New Roman"/>
          <w:spacing w:val="-1"/>
          <w:szCs w:val="20"/>
        </w:rPr>
        <w:t>Directive</w:t>
      </w:r>
      <w:r>
        <w:rPr>
          <w:rFonts w:ascii="Times New Roman" w:hAnsi="Times New Roman"/>
          <w:spacing w:val="9"/>
          <w:szCs w:val="20"/>
        </w:rPr>
        <w:t xml:space="preserve"> </w:t>
      </w:r>
      <w:r>
        <w:rPr>
          <w:rFonts w:ascii="Times New Roman" w:hAnsi="Times New Roman"/>
          <w:spacing w:val="-1"/>
          <w:szCs w:val="20"/>
        </w:rPr>
        <w:t>2010/40/EU</w:t>
      </w:r>
      <w:r>
        <w:rPr>
          <w:rFonts w:ascii="Times New Roman" w:hAnsi="Times New Roman"/>
          <w:spacing w:val="9"/>
          <w:szCs w:val="20"/>
        </w:rPr>
        <w:t xml:space="preserve"> </w:t>
      </w:r>
      <w:r>
        <w:rPr>
          <w:rFonts w:ascii="Times New Roman" w:hAnsi="Times New Roman"/>
          <w:szCs w:val="20"/>
        </w:rPr>
        <w:t>and</w:t>
      </w:r>
      <w:r>
        <w:rPr>
          <w:rFonts w:ascii="Times New Roman" w:hAnsi="Times New Roman"/>
          <w:spacing w:val="11"/>
          <w:szCs w:val="20"/>
        </w:rPr>
        <w:t xml:space="preserve"> </w:t>
      </w:r>
      <w:r>
        <w:rPr>
          <w:rFonts w:ascii="Times New Roman" w:hAnsi="Times New Roman"/>
          <w:spacing w:val="-1"/>
          <w:szCs w:val="20"/>
        </w:rPr>
        <w:t>subject</w:t>
      </w:r>
      <w:r>
        <w:rPr>
          <w:rFonts w:ascii="Times New Roman" w:hAnsi="Times New Roman"/>
          <w:spacing w:val="9"/>
          <w:szCs w:val="20"/>
        </w:rPr>
        <w:t xml:space="preserve"> </w:t>
      </w:r>
      <w:r>
        <w:rPr>
          <w:rFonts w:ascii="Times New Roman" w:hAnsi="Times New Roman"/>
          <w:szCs w:val="20"/>
        </w:rPr>
        <w:t>to</w:t>
      </w:r>
      <w:r>
        <w:rPr>
          <w:rFonts w:ascii="Times New Roman" w:hAnsi="Times New Roman"/>
          <w:spacing w:val="87"/>
          <w:szCs w:val="20"/>
        </w:rPr>
        <w:t xml:space="preserve"> </w:t>
      </w:r>
      <w:r>
        <w:rPr>
          <w:rFonts w:ascii="Times New Roman" w:hAnsi="Times New Roman"/>
          <w:spacing w:val="-1"/>
          <w:szCs w:val="20"/>
        </w:rPr>
        <w:t>investments</w:t>
      </w:r>
      <w:r>
        <w:rPr>
          <w:rFonts w:ascii="Times New Roman" w:hAnsi="Times New Roman"/>
          <w:spacing w:val="16"/>
          <w:szCs w:val="20"/>
        </w:rPr>
        <w:t xml:space="preserve"> </w:t>
      </w:r>
      <w:r>
        <w:rPr>
          <w:rFonts w:ascii="Times New Roman" w:hAnsi="Times New Roman"/>
          <w:szCs w:val="20"/>
        </w:rPr>
        <w:t>in</w:t>
      </w:r>
      <w:r>
        <w:rPr>
          <w:rFonts w:ascii="Times New Roman" w:hAnsi="Times New Roman"/>
          <w:spacing w:val="17"/>
          <w:szCs w:val="20"/>
        </w:rPr>
        <w:t xml:space="preserve"> </w:t>
      </w:r>
      <w:r>
        <w:rPr>
          <w:rFonts w:ascii="Times New Roman" w:hAnsi="Times New Roman"/>
          <w:szCs w:val="20"/>
        </w:rPr>
        <w:t>16</w:t>
      </w:r>
      <w:r>
        <w:rPr>
          <w:rFonts w:ascii="Times New Roman" w:hAnsi="Times New Roman"/>
          <w:spacing w:val="17"/>
          <w:szCs w:val="20"/>
        </w:rPr>
        <w:t xml:space="preserve"> </w:t>
      </w:r>
      <w:r>
        <w:rPr>
          <w:rFonts w:ascii="Times New Roman" w:hAnsi="Times New Roman"/>
          <w:spacing w:val="-1"/>
          <w:szCs w:val="20"/>
        </w:rPr>
        <w:t>EU</w:t>
      </w:r>
      <w:r>
        <w:rPr>
          <w:rFonts w:ascii="Times New Roman" w:hAnsi="Times New Roman"/>
          <w:spacing w:val="17"/>
          <w:szCs w:val="20"/>
        </w:rPr>
        <w:t xml:space="preserve"> </w:t>
      </w:r>
      <w:r>
        <w:rPr>
          <w:rFonts w:ascii="Times New Roman" w:hAnsi="Times New Roman"/>
          <w:spacing w:val="-1"/>
          <w:szCs w:val="20"/>
        </w:rPr>
        <w:t>Member</w:t>
      </w:r>
      <w:r>
        <w:rPr>
          <w:rFonts w:ascii="Times New Roman" w:hAnsi="Times New Roman"/>
          <w:spacing w:val="17"/>
          <w:szCs w:val="20"/>
        </w:rPr>
        <w:t xml:space="preserve"> </w:t>
      </w:r>
      <w:r>
        <w:rPr>
          <w:rFonts w:ascii="Times New Roman" w:hAnsi="Times New Roman"/>
          <w:spacing w:val="-1"/>
          <w:szCs w:val="20"/>
        </w:rPr>
        <w:t>States</w:t>
      </w:r>
      <w:r>
        <w:rPr>
          <w:rFonts w:ascii="Times New Roman" w:hAnsi="Times New Roman"/>
          <w:spacing w:val="19"/>
          <w:szCs w:val="20"/>
        </w:rPr>
        <w:t xml:space="preserve"> </w:t>
      </w:r>
      <w:r>
        <w:rPr>
          <w:rFonts w:ascii="Times New Roman" w:hAnsi="Times New Roman"/>
          <w:szCs w:val="20"/>
        </w:rPr>
        <w:t>to</w:t>
      </w:r>
      <w:r>
        <w:rPr>
          <w:rFonts w:ascii="Times New Roman" w:hAnsi="Times New Roman"/>
          <w:spacing w:val="17"/>
          <w:szCs w:val="20"/>
        </w:rPr>
        <w:t xml:space="preserve"> </w:t>
      </w:r>
      <w:r>
        <w:rPr>
          <w:rFonts w:ascii="Times New Roman" w:hAnsi="Times New Roman"/>
          <w:spacing w:val="-1"/>
          <w:szCs w:val="20"/>
        </w:rPr>
        <w:t>implement</w:t>
      </w:r>
      <w:r>
        <w:rPr>
          <w:rFonts w:ascii="Times New Roman" w:hAnsi="Times New Roman"/>
          <w:spacing w:val="16"/>
          <w:szCs w:val="20"/>
        </w:rPr>
        <w:t xml:space="preserve"> </w:t>
      </w:r>
      <w:r>
        <w:rPr>
          <w:rFonts w:ascii="Times New Roman" w:hAnsi="Times New Roman"/>
          <w:szCs w:val="20"/>
        </w:rPr>
        <w:t>C-ITS</w:t>
      </w:r>
      <w:r>
        <w:rPr>
          <w:rFonts w:ascii="Times New Roman" w:hAnsi="Times New Roman"/>
          <w:spacing w:val="17"/>
          <w:szCs w:val="20"/>
        </w:rPr>
        <w:t xml:space="preserve"> </w:t>
      </w:r>
      <w:r>
        <w:rPr>
          <w:rFonts w:ascii="Times New Roman" w:hAnsi="Times New Roman"/>
          <w:szCs w:val="20"/>
        </w:rPr>
        <w:t>based</w:t>
      </w:r>
      <w:r>
        <w:rPr>
          <w:rFonts w:ascii="Times New Roman" w:hAnsi="Times New Roman"/>
          <w:spacing w:val="16"/>
          <w:szCs w:val="20"/>
        </w:rPr>
        <w:t xml:space="preserve"> </w:t>
      </w:r>
      <w:r>
        <w:rPr>
          <w:rFonts w:ascii="Times New Roman" w:hAnsi="Times New Roman"/>
          <w:szCs w:val="20"/>
        </w:rPr>
        <w:t>on</w:t>
      </w:r>
      <w:r>
        <w:rPr>
          <w:rFonts w:ascii="Times New Roman" w:hAnsi="Times New Roman"/>
          <w:spacing w:val="16"/>
          <w:szCs w:val="20"/>
        </w:rPr>
        <w:t xml:space="preserve"> </w:t>
      </w:r>
      <w:r>
        <w:rPr>
          <w:rFonts w:ascii="Times New Roman" w:hAnsi="Times New Roman"/>
          <w:szCs w:val="20"/>
        </w:rPr>
        <w:t>the</w:t>
      </w:r>
      <w:r>
        <w:rPr>
          <w:rFonts w:ascii="Times New Roman" w:hAnsi="Times New Roman"/>
          <w:spacing w:val="15"/>
          <w:szCs w:val="20"/>
        </w:rPr>
        <w:t xml:space="preserve"> </w:t>
      </w:r>
      <w:r>
        <w:rPr>
          <w:rFonts w:ascii="Times New Roman" w:hAnsi="Times New Roman"/>
          <w:spacing w:val="-1"/>
          <w:szCs w:val="20"/>
        </w:rPr>
        <w:t>principles</w:t>
      </w:r>
      <w:r>
        <w:rPr>
          <w:rFonts w:ascii="Times New Roman" w:hAnsi="Times New Roman"/>
          <w:spacing w:val="16"/>
          <w:szCs w:val="20"/>
        </w:rPr>
        <w:t xml:space="preserve"> </w:t>
      </w:r>
      <w:r>
        <w:rPr>
          <w:rFonts w:ascii="Times New Roman" w:hAnsi="Times New Roman"/>
          <w:szCs w:val="20"/>
        </w:rPr>
        <w:t>of</w:t>
      </w:r>
      <w:r>
        <w:rPr>
          <w:rFonts w:ascii="Times New Roman" w:hAnsi="Times New Roman"/>
          <w:spacing w:val="16"/>
          <w:szCs w:val="20"/>
        </w:rPr>
        <w:t xml:space="preserve"> </w:t>
      </w:r>
      <w:r>
        <w:rPr>
          <w:rFonts w:ascii="Times New Roman" w:hAnsi="Times New Roman"/>
          <w:szCs w:val="20"/>
        </w:rPr>
        <w:t>the</w:t>
      </w:r>
      <w:r>
        <w:rPr>
          <w:rFonts w:ascii="Times New Roman" w:hAnsi="Times New Roman"/>
          <w:spacing w:val="16"/>
          <w:szCs w:val="20"/>
        </w:rPr>
        <w:t xml:space="preserve"> </w:t>
      </w:r>
      <w:r>
        <w:rPr>
          <w:rFonts w:ascii="Times New Roman" w:hAnsi="Times New Roman"/>
          <w:spacing w:val="-1"/>
          <w:szCs w:val="20"/>
        </w:rPr>
        <w:t>“C-ROADS"</w:t>
      </w:r>
      <w:r>
        <w:rPr>
          <w:rFonts w:ascii="Times New Roman" w:hAnsi="Times New Roman"/>
          <w:spacing w:val="67"/>
          <w:szCs w:val="20"/>
        </w:rPr>
        <w:t xml:space="preserve"> </w:t>
      </w:r>
      <w:r>
        <w:rPr>
          <w:rFonts w:ascii="Times New Roman" w:hAnsi="Times New Roman"/>
          <w:spacing w:val="-1"/>
          <w:szCs w:val="20"/>
        </w:rPr>
        <w:t>platform.</w:t>
      </w:r>
    </w:p>
    <w:p w14:paraId="0A7D7CB7" w14:textId="77777777" w:rsidR="00B52D8F" w:rsidRDefault="00B52D8F" w:rsidP="00B52D8F">
      <w:pPr>
        <w:tabs>
          <w:tab w:val="left" w:pos="465"/>
        </w:tabs>
        <w:ind w:left="465" w:right="531" w:hanging="358"/>
        <w:rPr>
          <w:rFonts w:ascii="Times New Roman" w:hAnsi="Times New Roman"/>
          <w:szCs w:val="20"/>
        </w:rPr>
      </w:pPr>
      <w:r>
        <w:rPr>
          <w:rFonts w:ascii="Times New Roman"/>
          <w:w w:val="95"/>
          <w:position w:val="9"/>
          <w:sz w:val="13"/>
        </w:rPr>
        <w:t>13</w:t>
      </w:r>
      <w:r>
        <w:rPr>
          <w:rFonts w:ascii="Times New Roman"/>
          <w:w w:val="95"/>
          <w:position w:val="9"/>
          <w:sz w:val="13"/>
        </w:rPr>
        <w:tab/>
      </w:r>
      <w:hyperlink r:id="rId49">
        <w:r>
          <w:rPr>
            <w:rFonts w:ascii="Times New Roman"/>
            <w:color w:val="0000FF"/>
            <w:spacing w:val="-1"/>
            <w:u w:val="single" w:color="0000FF"/>
          </w:rPr>
          <w:t>https://ec.europa.eu/transport/sites/transport/files/themes/its/doc/c-its-platform-final-report-january-</w:t>
        </w:r>
      </w:hyperlink>
      <w:r>
        <w:rPr>
          <w:rFonts w:ascii="Times New Roman"/>
          <w:color w:val="0000FF"/>
        </w:rPr>
        <w:t xml:space="preserve"> </w:t>
      </w:r>
      <w:hyperlink r:id="rId50">
        <w:r>
          <w:rPr>
            <w:rFonts w:ascii="Times New Roman"/>
            <w:color w:val="0000FF"/>
          </w:rPr>
          <w:t xml:space="preserve">  </w:t>
        </w:r>
        <w:r>
          <w:rPr>
            <w:rFonts w:ascii="Times New Roman"/>
            <w:color w:val="0000FF"/>
            <w:spacing w:val="-1"/>
            <w:u w:val="single" w:color="0000FF"/>
          </w:rPr>
          <w:t>2016.pdf</w:t>
        </w:r>
      </w:hyperlink>
    </w:p>
    <w:p w14:paraId="0A7D7CB8" w14:textId="77777777" w:rsidR="00B52D8F" w:rsidRDefault="00B52D8F" w:rsidP="00B52D8F">
      <w:pPr>
        <w:rPr>
          <w:rFonts w:ascii="Times New Roman" w:hAnsi="Times New Roman"/>
          <w:szCs w:val="20"/>
        </w:rPr>
        <w:sectPr w:rsidR="00B52D8F" w:rsidSect="00156F1E">
          <w:footerReference w:type="default" r:id="rId51"/>
          <w:pgSz w:w="11910" w:h="16840"/>
          <w:pgMar w:top="1000" w:right="1440" w:bottom="820" w:left="1480" w:header="0" w:footer="633" w:gutter="0"/>
          <w:cols w:space="708"/>
        </w:sectPr>
      </w:pPr>
    </w:p>
    <w:p w14:paraId="0A7D7CB9" w14:textId="77777777" w:rsidR="00B52D8F" w:rsidRDefault="00B52D8F" w:rsidP="00B52D8F">
      <w:pPr>
        <w:pStyle w:val="BodyText"/>
        <w:spacing w:before="58" w:line="276" w:lineRule="exact"/>
        <w:ind w:right="118"/>
      </w:pPr>
      <w:proofErr w:type="gramStart"/>
      <w:r>
        <w:lastRenderedPageBreak/>
        <w:t>choice</w:t>
      </w:r>
      <w:proofErr w:type="gramEnd"/>
      <w:r>
        <w:rPr>
          <w:spacing w:val="36"/>
        </w:rPr>
        <w:t xml:space="preserve"> </w:t>
      </w:r>
      <w:r>
        <w:rPr>
          <w:spacing w:val="-1"/>
        </w:rPr>
        <w:t>among</w:t>
      </w:r>
      <w:r>
        <w:rPr>
          <w:spacing w:val="35"/>
        </w:rPr>
        <w:t xml:space="preserve"> </w:t>
      </w:r>
      <w:r>
        <w:t>the</w:t>
      </w:r>
      <w:r>
        <w:rPr>
          <w:spacing w:val="36"/>
        </w:rPr>
        <w:t xml:space="preserve"> </w:t>
      </w:r>
      <w:r>
        <w:rPr>
          <w:spacing w:val="-1"/>
        </w:rPr>
        <w:t>above</w:t>
      </w:r>
      <w:r>
        <w:rPr>
          <w:spacing w:val="36"/>
        </w:rPr>
        <w:t xml:space="preserve"> </w:t>
      </w:r>
      <w:r>
        <w:rPr>
          <w:spacing w:val="-1"/>
        </w:rPr>
        <w:t>technologies</w:t>
      </w:r>
      <w:r>
        <w:rPr>
          <w:spacing w:val="38"/>
        </w:rPr>
        <w:t xml:space="preserve"> </w:t>
      </w:r>
      <w:r>
        <w:t>as</w:t>
      </w:r>
      <w:r>
        <w:rPr>
          <w:spacing w:val="36"/>
        </w:rPr>
        <w:t xml:space="preserve"> </w:t>
      </w:r>
      <w:r>
        <w:t>was</w:t>
      </w:r>
      <w:r>
        <w:rPr>
          <w:spacing w:val="35"/>
        </w:rPr>
        <w:t xml:space="preserve"> </w:t>
      </w:r>
      <w:r>
        <w:rPr>
          <w:spacing w:val="-1"/>
        </w:rPr>
        <w:t>demonstrated</w:t>
      </w:r>
      <w:r>
        <w:rPr>
          <w:spacing w:val="34"/>
        </w:rPr>
        <w:t xml:space="preserve"> </w:t>
      </w:r>
      <w:r>
        <w:t>at</w:t>
      </w:r>
      <w:r>
        <w:rPr>
          <w:spacing w:val="36"/>
        </w:rPr>
        <w:t xml:space="preserve"> </w:t>
      </w:r>
      <w:r>
        <w:t>the</w:t>
      </w:r>
      <w:r>
        <w:rPr>
          <w:spacing w:val="36"/>
        </w:rPr>
        <w:t xml:space="preserve"> </w:t>
      </w:r>
      <w:r>
        <w:rPr>
          <w:spacing w:val="-1"/>
        </w:rPr>
        <w:t>recent</w:t>
      </w:r>
      <w:r>
        <w:rPr>
          <w:spacing w:val="36"/>
        </w:rPr>
        <w:t xml:space="preserve"> </w:t>
      </w:r>
      <w:r>
        <w:rPr>
          <w:spacing w:val="-1"/>
        </w:rPr>
        <w:t>workshop</w:t>
      </w:r>
      <w:r>
        <w:rPr>
          <w:spacing w:val="75"/>
        </w:rPr>
        <w:t xml:space="preserve"> </w:t>
      </w:r>
      <w:r>
        <w:t>held</w:t>
      </w:r>
      <w:r>
        <w:rPr>
          <w:spacing w:val="-1"/>
        </w:rPr>
        <w:t xml:space="preserve"> </w:t>
      </w:r>
      <w:r>
        <w:t>by the</w:t>
      </w:r>
      <w:r>
        <w:rPr>
          <w:spacing w:val="-1"/>
        </w:rPr>
        <w:t xml:space="preserve"> Commission</w:t>
      </w:r>
      <w:r>
        <w:t xml:space="preserve"> on</w:t>
      </w:r>
      <w:r>
        <w:rPr>
          <w:spacing w:val="-1"/>
        </w:rPr>
        <w:t xml:space="preserve"> </w:t>
      </w:r>
      <w:r>
        <w:t xml:space="preserve">5 </w:t>
      </w:r>
      <w:r>
        <w:rPr>
          <w:spacing w:val="-1"/>
        </w:rPr>
        <w:t>September</w:t>
      </w:r>
      <w:r>
        <w:t xml:space="preserve"> 2017</w:t>
      </w:r>
      <w:r>
        <w:rPr>
          <w:position w:val="11"/>
          <w:sz w:val="16"/>
        </w:rPr>
        <w:t>14</w:t>
      </w:r>
      <w:r>
        <w:t>.</w:t>
      </w:r>
    </w:p>
    <w:p w14:paraId="0A7D7CBA" w14:textId="77777777" w:rsidR="00CB1431" w:rsidRDefault="00CB1431" w:rsidP="00CB1431">
      <w:pPr>
        <w:rPr>
          <w:rFonts w:ascii="Times New Roman" w:hAnsi="Times New Roman"/>
          <w:b/>
          <w:sz w:val="24"/>
        </w:rPr>
      </w:pPr>
    </w:p>
    <w:p w14:paraId="0A7D7CBB" w14:textId="77777777" w:rsidR="00B52D8F" w:rsidRPr="00CB1431" w:rsidRDefault="00B52D8F" w:rsidP="00CB1431">
      <w:pPr>
        <w:rPr>
          <w:rFonts w:ascii="Times New Roman" w:hAnsi="Times New Roman"/>
          <w:b/>
          <w:sz w:val="24"/>
        </w:rPr>
      </w:pPr>
      <w:r w:rsidRPr="00CB1431">
        <w:rPr>
          <w:rFonts w:ascii="Times New Roman" w:hAnsi="Times New Roman"/>
          <w:b/>
          <w:sz w:val="24"/>
        </w:rPr>
        <w:t>ITS projects in the EU</w:t>
      </w:r>
    </w:p>
    <w:p w14:paraId="0A7D7CBC" w14:textId="77777777" w:rsidR="00B52D8F" w:rsidRDefault="00B52D8F" w:rsidP="00B52D8F">
      <w:pPr>
        <w:pStyle w:val="BodyText"/>
        <w:spacing w:line="225" w:lineRule="auto"/>
        <w:ind w:right="115"/>
      </w:pPr>
      <w:r>
        <w:rPr>
          <w:spacing w:val="-1"/>
        </w:rPr>
        <w:t>EU</w:t>
      </w:r>
      <w:r>
        <w:rPr>
          <w:spacing w:val="28"/>
        </w:rPr>
        <w:t xml:space="preserve"> </w:t>
      </w:r>
      <w:r>
        <w:rPr>
          <w:spacing w:val="-1"/>
        </w:rPr>
        <w:t>Member</w:t>
      </w:r>
      <w:r>
        <w:rPr>
          <w:spacing w:val="30"/>
        </w:rPr>
        <w:t xml:space="preserve"> </w:t>
      </w:r>
      <w:r>
        <w:t>States</w:t>
      </w:r>
      <w:r>
        <w:rPr>
          <w:spacing w:val="27"/>
        </w:rPr>
        <w:t xml:space="preserve"> </w:t>
      </w:r>
      <w:r>
        <w:t>in</w:t>
      </w:r>
      <w:r>
        <w:rPr>
          <w:spacing w:val="27"/>
        </w:rPr>
        <w:t xml:space="preserve"> </w:t>
      </w:r>
      <w:r>
        <w:rPr>
          <w:spacing w:val="-1"/>
        </w:rPr>
        <w:t>the</w:t>
      </w:r>
      <w:r>
        <w:rPr>
          <w:spacing w:val="28"/>
        </w:rPr>
        <w:t xml:space="preserve"> </w:t>
      </w:r>
      <w:r>
        <w:t>C-Roads</w:t>
      </w:r>
      <w:r>
        <w:rPr>
          <w:spacing w:val="27"/>
        </w:rPr>
        <w:t xml:space="preserve"> </w:t>
      </w:r>
      <w:r>
        <w:t>project</w:t>
      </w:r>
      <w:r>
        <w:rPr>
          <w:spacing w:val="28"/>
        </w:rPr>
        <w:t xml:space="preserve"> </w:t>
      </w:r>
      <w:r>
        <w:rPr>
          <w:spacing w:val="-1"/>
        </w:rPr>
        <w:t>are</w:t>
      </w:r>
      <w:r>
        <w:rPr>
          <w:spacing w:val="26"/>
        </w:rPr>
        <w:t xml:space="preserve"> </w:t>
      </w:r>
      <w:r>
        <w:t>deploying</w:t>
      </w:r>
      <w:r>
        <w:rPr>
          <w:spacing w:val="27"/>
        </w:rPr>
        <w:t xml:space="preserve"> </w:t>
      </w:r>
      <w:r>
        <w:t>C-</w:t>
      </w:r>
      <w:proofErr w:type="gramStart"/>
      <w:r>
        <w:t>ITS</w:t>
      </w:r>
      <w:proofErr w:type="gramEnd"/>
      <w:r>
        <w:rPr>
          <w:spacing w:val="28"/>
        </w:rPr>
        <w:t xml:space="preserve"> </w:t>
      </w:r>
      <w:r>
        <w:rPr>
          <w:spacing w:val="-1"/>
        </w:rPr>
        <w:t>based</w:t>
      </w:r>
      <w:r>
        <w:rPr>
          <w:spacing w:val="27"/>
        </w:rPr>
        <w:t xml:space="preserve"> </w:t>
      </w:r>
      <w:r>
        <w:t>on</w:t>
      </w:r>
      <w:r>
        <w:rPr>
          <w:spacing w:val="28"/>
        </w:rPr>
        <w:t xml:space="preserve"> </w:t>
      </w:r>
      <w:r>
        <w:t>the</w:t>
      </w:r>
      <w:r>
        <w:rPr>
          <w:spacing w:val="29"/>
        </w:rPr>
        <w:t xml:space="preserve"> </w:t>
      </w:r>
      <w:r>
        <w:rPr>
          <w:spacing w:val="-1"/>
        </w:rPr>
        <w:t>ETSI</w:t>
      </w:r>
      <w:r>
        <w:rPr>
          <w:spacing w:val="33"/>
        </w:rPr>
        <w:t xml:space="preserve"> </w:t>
      </w:r>
      <w:r>
        <w:t>ITS-G5</w:t>
      </w:r>
      <w:r>
        <w:rPr>
          <w:spacing w:val="18"/>
        </w:rPr>
        <w:t xml:space="preserve"> </w:t>
      </w:r>
      <w:r>
        <w:rPr>
          <w:spacing w:val="-1"/>
        </w:rPr>
        <w:t>technology</w:t>
      </w:r>
      <w:r>
        <w:rPr>
          <w:spacing w:val="20"/>
        </w:rPr>
        <w:t xml:space="preserve"> </w:t>
      </w:r>
      <w:r>
        <w:t>as</w:t>
      </w:r>
      <w:r>
        <w:rPr>
          <w:spacing w:val="20"/>
        </w:rPr>
        <w:t xml:space="preserve"> </w:t>
      </w:r>
      <w:r>
        <w:t>of</w:t>
      </w:r>
      <w:r>
        <w:rPr>
          <w:spacing w:val="19"/>
        </w:rPr>
        <w:t xml:space="preserve"> </w:t>
      </w:r>
      <w:r>
        <w:t>2017</w:t>
      </w:r>
      <w:r>
        <w:rPr>
          <w:spacing w:val="22"/>
        </w:rPr>
        <w:t xml:space="preserve"> </w:t>
      </w:r>
      <w:r>
        <w:t>for</w:t>
      </w:r>
      <w:r>
        <w:rPr>
          <w:spacing w:val="20"/>
        </w:rPr>
        <w:t xml:space="preserve"> </w:t>
      </w:r>
      <w:r>
        <w:t>road</w:t>
      </w:r>
      <w:r>
        <w:rPr>
          <w:spacing w:val="20"/>
        </w:rPr>
        <w:t xml:space="preserve"> </w:t>
      </w:r>
      <w:r>
        <w:rPr>
          <w:spacing w:val="-1"/>
        </w:rPr>
        <w:t>infrastructure</w:t>
      </w:r>
      <w:r>
        <w:rPr>
          <w:spacing w:val="-1"/>
          <w:position w:val="11"/>
          <w:sz w:val="16"/>
          <w:szCs w:val="16"/>
        </w:rPr>
        <w:t>15</w:t>
      </w:r>
      <w:r>
        <w:rPr>
          <w:spacing w:val="-1"/>
        </w:rPr>
        <w:t>.</w:t>
      </w:r>
      <w:r>
        <w:rPr>
          <w:spacing w:val="20"/>
        </w:rPr>
        <w:t xml:space="preserve"> </w:t>
      </w:r>
      <w:r>
        <w:t>A</w:t>
      </w:r>
      <w:r>
        <w:rPr>
          <w:spacing w:val="18"/>
        </w:rPr>
        <w:t xml:space="preserve"> </w:t>
      </w:r>
      <w:r>
        <w:t>total</w:t>
      </w:r>
      <w:r>
        <w:rPr>
          <w:spacing w:val="19"/>
        </w:rPr>
        <w:t xml:space="preserve"> </w:t>
      </w:r>
      <w:r>
        <w:t>of</w:t>
      </w:r>
      <w:r>
        <w:rPr>
          <w:spacing w:val="20"/>
        </w:rPr>
        <w:t xml:space="preserve"> </w:t>
      </w:r>
      <w:r>
        <w:t>350</w:t>
      </w:r>
      <w:r>
        <w:rPr>
          <w:spacing w:val="21"/>
        </w:rPr>
        <w:t xml:space="preserve"> </w:t>
      </w:r>
      <w:r>
        <w:rPr>
          <w:spacing w:val="-1"/>
        </w:rPr>
        <w:t>million</w:t>
      </w:r>
      <w:r>
        <w:rPr>
          <w:spacing w:val="20"/>
        </w:rPr>
        <w:t xml:space="preserve"> </w:t>
      </w:r>
      <w:r>
        <w:t>EUR</w:t>
      </w:r>
      <w:r>
        <w:rPr>
          <w:spacing w:val="59"/>
        </w:rPr>
        <w:t xml:space="preserve"> </w:t>
      </w:r>
      <w:r>
        <w:t>are</w:t>
      </w:r>
      <w:r>
        <w:rPr>
          <w:spacing w:val="13"/>
        </w:rPr>
        <w:t xml:space="preserve"> </w:t>
      </w:r>
      <w:r>
        <w:rPr>
          <w:spacing w:val="-1"/>
        </w:rPr>
        <w:t>earmarked</w:t>
      </w:r>
      <w:r>
        <w:rPr>
          <w:spacing w:val="14"/>
        </w:rPr>
        <w:t xml:space="preserve"> </w:t>
      </w:r>
      <w:r>
        <w:t>in</w:t>
      </w:r>
      <w:r>
        <w:rPr>
          <w:spacing w:val="14"/>
        </w:rPr>
        <w:t xml:space="preserve"> </w:t>
      </w:r>
      <w:r>
        <w:t>16</w:t>
      </w:r>
      <w:r>
        <w:rPr>
          <w:position w:val="11"/>
          <w:sz w:val="16"/>
          <w:szCs w:val="16"/>
        </w:rPr>
        <w:t>16</w:t>
      </w:r>
      <w:r>
        <w:rPr>
          <w:spacing w:val="35"/>
          <w:position w:val="11"/>
          <w:sz w:val="16"/>
          <w:szCs w:val="16"/>
        </w:rPr>
        <w:t xml:space="preserve"> </w:t>
      </w:r>
      <w:r>
        <w:rPr>
          <w:spacing w:val="-1"/>
        </w:rPr>
        <w:t>Member</w:t>
      </w:r>
      <w:r>
        <w:rPr>
          <w:spacing w:val="14"/>
        </w:rPr>
        <w:t xml:space="preserve"> </w:t>
      </w:r>
      <w:r>
        <w:t>States</w:t>
      </w:r>
      <w:r>
        <w:rPr>
          <w:spacing w:val="13"/>
        </w:rPr>
        <w:t xml:space="preserve"> </w:t>
      </w:r>
      <w:r>
        <w:t>to</w:t>
      </w:r>
      <w:r>
        <w:rPr>
          <w:spacing w:val="14"/>
        </w:rPr>
        <w:t xml:space="preserve"> </w:t>
      </w:r>
      <w:r>
        <w:rPr>
          <w:spacing w:val="-1"/>
        </w:rPr>
        <w:t>implement</w:t>
      </w:r>
      <w:r>
        <w:rPr>
          <w:spacing w:val="14"/>
        </w:rPr>
        <w:t xml:space="preserve"> </w:t>
      </w:r>
      <w:r>
        <w:t>C-ITS</w:t>
      </w:r>
      <w:r>
        <w:rPr>
          <w:spacing w:val="13"/>
        </w:rPr>
        <w:t xml:space="preserve"> </w:t>
      </w:r>
      <w:r>
        <w:rPr>
          <w:spacing w:val="-1"/>
        </w:rPr>
        <w:t>based</w:t>
      </w:r>
      <w:r>
        <w:rPr>
          <w:spacing w:val="14"/>
        </w:rPr>
        <w:t xml:space="preserve"> </w:t>
      </w:r>
      <w:r>
        <w:t>on</w:t>
      </w:r>
      <w:r>
        <w:rPr>
          <w:spacing w:val="14"/>
        </w:rPr>
        <w:t xml:space="preserve"> </w:t>
      </w:r>
      <w:r>
        <w:rPr>
          <w:spacing w:val="-1"/>
        </w:rPr>
        <w:t>the</w:t>
      </w:r>
      <w:r>
        <w:rPr>
          <w:spacing w:val="14"/>
        </w:rPr>
        <w:t xml:space="preserve"> </w:t>
      </w:r>
      <w:r>
        <w:rPr>
          <w:spacing w:val="-1"/>
        </w:rPr>
        <w:t>principles</w:t>
      </w:r>
      <w:r>
        <w:rPr>
          <w:spacing w:val="14"/>
        </w:rPr>
        <w:t xml:space="preserve"> </w:t>
      </w:r>
      <w:r>
        <w:rPr>
          <w:spacing w:val="-1"/>
        </w:rPr>
        <w:t>of</w:t>
      </w:r>
      <w:r>
        <w:rPr>
          <w:spacing w:val="61"/>
        </w:rPr>
        <w:t xml:space="preserve"> </w:t>
      </w:r>
      <w:r>
        <w:t>the</w:t>
      </w:r>
      <w:r>
        <w:rPr>
          <w:spacing w:val="6"/>
        </w:rPr>
        <w:t xml:space="preserve"> </w:t>
      </w:r>
      <w:r>
        <w:t>“C-Roads</w:t>
      </w:r>
      <w:r>
        <w:rPr>
          <w:spacing w:val="5"/>
        </w:rPr>
        <w:t xml:space="preserve"> </w:t>
      </w:r>
      <w:r>
        <w:t>position</w:t>
      </w:r>
      <w:r>
        <w:rPr>
          <w:spacing w:val="5"/>
        </w:rPr>
        <w:t xml:space="preserve"> </w:t>
      </w:r>
      <w:r>
        <w:rPr>
          <w:spacing w:val="-1"/>
        </w:rPr>
        <w:t>on</w:t>
      </w:r>
      <w:r>
        <w:rPr>
          <w:spacing w:val="5"/>
        </w:rPr>
        <w:t xml:space="preserve"> </w:t>
      </w:r>
      <w:r>
        <w:t>the</w:t>
      </w:r>
      <w:r>
        <w:rPr>
          <w:spacing w:val="6"/>
        </w:rPr>
        <w:t xml:space="preserve"> </w:t>
      </w:r>
      <w:r>
        <w:t>usage</w:t>
      </w:r>
      <w:r>
        <w:rPr>
          <w:spacing w:val="6"/>
        </w:rPr>
        <w:t xml:space="preserve"> </w:t>
      </w:r>
      <w:r>
        <w:t>of</w:t>
      </w:r>
      <w:r>
        <w:rPr>
          <w:spacing w:val="5"/>
        </w:rPr>
        <w:t xml:space="preserve"> </w:t>
      </w:r>
      <w:r>
        <w:t>the</w:t>
      </w:r>
      <w:r>
        <w:rPr>
          <w:spacing w:val="6"/>
        </w:rPr>
        <w:t xml:space="preserve"> </w:t>
      </w:r>
      <w:r>
        <w:t>5.9</w:t>
      </w:r>
      <w:r>
        <w:rPr>
          <w:spacing w:val="5"/>
        </w:rPr>
        <w:t xml:space="preserve"> </w:t>
      </w:r>
      <w:r>
        <w:t>GHz</w:t>
      </w:r>
      <w:r>
        <w:rPr>
          <w:spacing w:val="6"/>
        </w:rPr>
        <w:t xml:space="preserve"> </w:t>
      </w:r>
      <w:r>
        <w:t>band”</w:t>
      </w:r>
      <w:r>
        <w:rPr>
          <w:spacing w:val="6"/>
        </w:rPr>
        <w:t xml:space="preserve"> </w:t>
      </w:r>
      <w:r>
        <w:t>and</w:t>
      </w:r>
      <w:r>
        <w:rPr>
          <w:spacing w:val="6"/>
        </w:rPr>
        <w:t xml:space="preserve"> </w:t>
      </w:r>
      <w:r>
        <w:t>on</w:t>
      </w:r>
      <w:r>
        <w:rPr>
          <w:spacing w:val="5"/>
        </w:rPr>
        <w:t xml:space="preserve"> </w:t>
      </w:r>
      <w:r>
        <w:t>the</w:t>
      </w:r>
      <w:r>
        <w:rPr>
          <w:spacing w:val="6"/>
        </w:rPr>
        <w:t xml:space="preserve"> </w:t>
      </w:r>
      <w:r>
        <w:t>Release</w:t>
      </w:r>
      <w:r>
        <w:rPr>
          <w:spacing w:val="6"/>
        </w:rPr>
        <w:t xml:space="preserve"> </w:t>
      </w:r>
      <w:r>
        <w:t>1</w:t>
      </w:r>
      <w:r>
        <w:rPr>
          <w:spacing w:val="5"/>
        </w:rPr>
        <w:t xml:space="preserve"> </w:t>
      </w:r>
      <w:r>
        <w:t>of</w:t>
      </w:r>
      <w:r>
        <w:rPr>
          <w:spacing w:val="5"/>
        </w:rPr>
        <w:t xml:space="preserve"> </w:t>
      </w:r>
      <w:r>
        <w:t>the</w:t>
      </w:r>
      <w:r>
        <w:rPr>
          <w:spacing w:val="20"/>
        </w:rPr>
        <w:t xml:space="preserve"> </w:t>
      </w:r>
      <w:r>
        <w:rPr>
          <w:spacing w:val="-1"/>
        </w:rPr>
        <w:t>ETSI</w:t>
      </w:r>
      <w:r>
        <w:rPr>
          <w:spacing w:val="29"/>
        </w:rPr>
        <w:t xml:space="preserve"> </w:t>
      </w:r>
      <w:r>
        <w:t>ITS-G5</w:t>
      </w:r>
      <w:r>
        <w:rPr>
          <w:spacing w:val="29"/>
        </w:rPr>
        <w:t xml:space="preserve"> </w:t>
      </w:r>
      <w:r>
        <w:t>System</w:t>
      </w:r>
      <w:r>
        <w:rPr>
          <w:spacing w:val="27"/>
        </w:rPr>
        <w:t xml:space="preserve"> </w:t>
      </w:r>
      <w:r>
        <w:t>Profile</w:t>
      </w:r>
      <w:r>
        <w:rPr>
          <w:position w:val="11"/>
          <w:sz w:val="16"/>
          <w:szCs w:val="16"/>
        </w:rPr>
        <w:t>17</w:t>
      </w:r>
      <w:r>
        <w:rPr>
          <w:spacing w:val="9"/>
          <w:position w:val="11"/>
          <w:sz w:val="16"/>
          <w:szCs w:val="16"/>
        </w:rPr>
        <w:t xml:space="preserve"> </w:t>
      </w:r>
      <w:r>
        <w:t>while</w:t>
      </w:r>
      <w:r>
        <w:rPr>
          <w:spacing w:val="30"/>
        </w:rPr>
        <w:t xml:space="preserve"> </w:t>
      </w:r>
      <w:r>
        <w:t>new</w:t>
      </w:r>
      <w:r>
        <w:rPr>
          <w:spacing w:val="30"/>
        </w:rPr>
        <w:t xml:space="preserve"> </w:t>
      </w:r>
      <w:r>
        <w:t>CEF</w:t>
      </w:r>
      <w:r>
        <w:rPr>
          <w:spacing w:val="29"/>
        </w:rPr>
        <w:t xml:space="preserve"> </w:t>
      </w:r>
      <w:r>
        <w:rPr>
          <w:spacing w:val="-1"/>
        </w:rPr>
        <w:t>initiatives</w:t>
      </w:r>
      <w:r>
        <w:rPr>
          <w:spacing w:val="-1"/>
          <w:position w:val="11"/>
          <w:sz w:val="16"/>
          <w:szCs w:val="16"/>
        </w:rPr>
        <w:t>18</w:t>
      </w:r>
      <w:r>
        <w:rPr>
          <w:spacing w:val="9"/>
          <w:position w:val="11"/>
          <w:sz w:val="16"/>
          <w:szCs w:val="16"/>
        </w:rPr>
        <w:t xml:space="preserve"> </w:t>
      </w:r>
      <w:r>
        <w:t>are</w:t>
      </w:r>
      <w:r>
        <w:rPr>
          <w:spacing w:val="29"/>
        </w:rPr>
        <w:t xml:space="preserve"> </w:t>
      </w:r>
      <w:r>
        <w:t>in</w:t>
      </w:r>
      <w:r>
        <w:rPr>
          <w:spacing w:val="30"/>
        </w:rPr>
        <w:t xml:space="preserve"> </w:t>
      </w:r>
      <w:r>
        <w:t>addition</w:t>
      </w:r>
      <w:r>
        <w:rPr>
          <w:spacing w:val="29"/>
        </w:rPr>
        <w:t xml:space="preserve"> </w:t>
      </w:r>
      <w:r>
        <w:t>to</w:t>
      </w:r>
      <w:r>
        <w:rPr>
          <w:spacing w:val="29"/>
        </w:rPr>
        <w:t xml:space="preserve"> </w:t>
      </w:r>
      <w:r>
        <w:rPr>
          <w:spacing w:val="-1"/>
        </w:rPr>
        <w:t>ETSI</w:t>
      </w:r>
      <w:r>
        <w:rPr>
          <w:spacing w:val="35"/>
        </w:rPr>
        <w:t xml:space="preserve"> </w:t>
      </w:r>
      <w:r>
        <w:t>ITS-G5</w:t>
      </w:r>
      <w:r>
        <w:rPr>
          <w:spacing w:val="2"/>
        </w:rPr>
        <w:t xml:space="preserve"> </w:t>
      </w:r>
      <w:r>
        <w:t>and</w:t>
      </w:r>
      <w:r>
        <w:rPr>
          <w:spacing w:val="3"/>
        </w:rPr>
        <w:t xml:space="preserve"> </w:t>
      </w:r>
      <w:r>
        <w:t>existing</w:t>
      </w:r>
      <w:r>
        <w:rPr>
          <w:spacing w:val="3"/>
        </w:rPr>
        <w:t xml:space="preserve"> </w:t>
      </w:r>
      <w:r>
        <w:rPr>
          <w:spacing w:val="-1"/>
        </w:rPr>
        <w:t>long-range</w:t>
      </w:r>
      <w:r>
        <w:rPr>
          <w:spacing w:val="2"/>
        </w:rPr>
        <w:t xml:space="preserve"> </w:t>
      </w:r>
      <w:r>
        <w:t>cellular</w:t>
      </w:r>
      <w:r>
        <w:rPr>
          <w:spacing w:val="3"/>
        </w:rPr>
        <w:t xml:space="preserve"> </w:t>
      </w:r>
      <w:r>
        <w:rPr>
          <w:spacing w:val="-1"/>
        </w:rPr>
        <w:t>communication</w:t>
      </w:r>
      <w:r>
        <w:rPr>
          <w:spacing w:val="2"/>
        </w:rPr>
        <w:t xml:space="preserve"> </w:t>
      </w:r>
      <w:r>
        <w:t>also</w:t>
      </w:r>
      <w:r>
        <w:rPr>
          <w:spacing w:val="3"/>
        </w:rPr>
        <w:t xml:space="preserve"> </w:t>
      </w:r>
      <w:r>
        <w:t>studying</w:t>
      </w:r>
      <w:r>
        <w:rPr>
          <w:spacing w:val="3"/>
        </w:rPr>
        <w:t xml:space="preserve"> </w:t>
      </w:r>
      <w:r>
        <w:rPr>
          <w:spacing w:val="-1"/>
        </w:rPr>
        <w:t>LTE-V2X</w:t>
      </w:r>
      <w:r>
        <w:rPr>
          <w:spacing w:val="53"/>
        </w:rPr>
        <w:t xml:space="preserve"> </w:t>
      </w:r>
      <w:r>
        <w:t>technology.</w:t>
      </w:r>
    </w:p>
    <w:p w14:paraId="0A7D7CBD" w14:textId="77777777" w:rsidR="00B52D8F" w:rsidRDefault="00B52D8F" w:rsidP="00B52D8F">
      <w:pPr>
        <w:spacing w:before="5"/>
        <w:rPr>
          <w:rFonts w:ascii="Times New Roman" w:hAnsi="Times New Roman"/>
          <w:sz w:val="21"/>
          <w:szCs w:val="21"/>
        </w:rPr>
      </w:pPr>
    </w:p>
    <w:p w14:paraId="0A7D7CBE" w14:textId="77777777" w:rsidR="00B52D8F" w:rsidRDefault="00B52D8F" w:rsidP="00B52D8F">
      <w:pPr>
        <w:pStyle w:val="BodyText"/>
        <w:spacing w:line="276" w:lineRule="exact"/>
        <w:ind w:right="115"/>
      </w:pPr>
      <w:r>
        <w:t>In</w:t>
      </w:r>
      <w:r>
        <w:rPr>
          <w:spacing w:val="44"/>
        </w:rPr>
        <w:t xml:space="preserve"> </w:t>
      </w:r>
      <w:r>
        <w:t>line</w:t>
      </w:r>
      <w:r>
        <w:rPr>
          <w:spacing w:val="44"/>
        </w:rPr>
        <w:t xml:space="preserve"> </w:t>
      </w:r>
      <w:r>
        <w:rPr>
          <w:spacing w:val="-1"/>
        </w:rPr>
        <w:t>with</w:t>
      </w:r>
      <w:r>
        <w:rPr>
          <w:spacing w:val="43"/>
        </w:rPr>
        <w:t xml:space="preserve"> </w:t>
      </w:r>
      <w:r>
        <w:t>the</w:t>
      </w:r>
      <w:r>
        <w:rPr>
          <w:spacing w:val="44"/>
        </w:rPr>
        <w:t xml:space="preserve"> </w:t>
      </w:r>
      <w:r>
        <w:t>EU</w:t>
      </w:r>
      <w:r>
        <w:rPr>
          <w:spacing w:val="43"/>
        </w:rPr>
        <w:t xml:space="preserve"> </w:t>
      </w:r>
      <w:r>
        <w:rPr>
          <w:spacing w:val="-1"/>
        </w:rPr>
        <w:t>principle</w:t>
      </w:r>
      <w:r>
        <w:rPr>
          <w:spacing w:val="43"/>
        </w:rPr>
        <w:t xml:space="preserve"> </w:t>
      </w:r>
      <w:r>
        <w:t>of</w:t>
      </w:r>
      <w:r>
        <w:rPr>
          <w:spacing w:val="43"/>
        </w:rPr>
        <w:t xml:space="preserve"> </w:t>
      </w:r>
      <w:r>
        <w:t>technology</w:t>
      </w:r>
      <w:r>
        <w:rPr>
          <w:spacing w:val="44"/>
        </w:rPr>
        <w:t xml:space="preserve"> </w:t>
      </w:r>
      <w:r>
        <w:rPr>
          <w:spacing w:val="-1"/>
        </w:rPr>
        <w:t>neutrality</w:t>
      </w:r>
      <w:r>
        <w:rPr>
          <w:spacing w:val="46"/>
        </w:rPr>
        <w:t xml:space="preserve"> </w:t>
      </w:r>
      <w:r>
        <w:t>in</w:t>
      </w:r>
      <w:r>
        <w:rPr>
          <w:spacing w:val="43"/>
        </w:rPr>
        <w:t xml:space="preserve"> </w:t>
      </w:r>
      <w:r>
        <w:rPr>
          <w:spacing w:val="-1"/>
        </w:rPr>
        <w:t>spectrum</w:t>
      </w:r>
      <w:r>
        <w:rPr>
          <w:spacing w:val="42"/>
        </w:rPr>
        <w:t xml:space="preserve"> </w:t>
      </w:r>
      <w:r>
        <w:rPr>
          <w:spacing w:val="-1"/>
        </w:rPr>
        <w:t>regulation,</w:t>
      </w:r>
      <w:r>
        <w:rPr>
          <w:spacing w:val="44"/>
        </w:rPr>
        <w:t xml:space="preserve"> </w:t>
      </w:r>
      <w:r>
        <w:rPr>
          <w:spacing w:val="-1"/>
        </w:rPr>
        <w:t>the</w:t>
      </w:r>
      <w:r>
        <w:rPr>
          <w:spacing w:val="73"/>
        </w:rPr>
        <w:t xml:space="preserve"> </w:t>
      </w:r>
      <w:r>
        <w:t>existing</w:t>
      </w:r>
      <w:r>
        <w:rPr>
          <w:spacing w:val="35"/>
        </w:rPr>
        <w:t xml:space="preserve"> </w:t>
      </w:r>
      <w:r>
        <w:rPr>
          <w:spacing w:val="-1"/>
        </w:rPr>
        <w:t>Decision</w:t>
      </w:r>
      <w:r>
        <w:rPr>
          <w:spacing w:val="36"/>
        </w:rPr>
        <w:t xml:space="preserve"> </w:t>
      </w:r>
      <w:r>
        <w:rPr>
          <w:spacing w:val="-1"/>
        </w:rPr>
        <w:t>2008/671/EC</w:t>
      </w:r>
      <w:r>
        <w:rPr>
          <w:spacing w:val="35"/>
        </w:rPr>
        <w:t xml:space="preserve"> </w:t>
      </w:r>
      <w:r>
        <w:t>already</w:t>
      </w:r>
      <w:r>
        <w:rPr>
          <w:spacing w:val="35"/>
        </w:rPr>
        <w:t xml:space="preserve"> </w:t>
      </w:r>
      <w:r>
        <w:t>allows</w:t>
      </w:r>
      <w:r>
        <w:rPr>
          <w:spacing w:val="35"/>
        </w:rPr>
        <w:t xml:space="preserve"> </w:t>
      </w:r>
      <w:r>
        <w:t>the</w:t>
      </w:r>
      <w:r>
        <w:rPr>
          <w:spacing w:val="36"/>
        </w:rPr>
        <w:t xml:space="preserve"> </w:t>
      </w:r>
      <w:r>
        <w:t>use</w:t>
      </w:r>
      <w:r>
        <w:rPr>
          <w:spacing w:val="36"/>
        </w:rPr>
        <w:t xml:space="preserve"> </w:t>
      </w:r>
      <w:r>
        <w:t>of</w:t>
      </w:r>
      <w:r>
        <w:rPr>
          <w:spacing w:val="38"/>
        </w:rPr>
        <w:t xml:space="preserve"> </w:t>
      </w:r>
      <w:r>
        <w:rPr>
          <w:spacing w:val="-1"/>
        </w:rPr>
        <w:t>any</w:t>
      </w:r>
      <w:r>
        <w:rPr>
          <w:spacing w:val="36"/>
        </w:rPr>
        <w:t xml:space="preserve"> </w:t>
      </w:r>
      <w:r>
        <w:rPr>
          <w:spacing w:val="-1"/>
        </w:rPr>
        <w:t>technology</w:t>
      </w:r>
      <w:r>
        <w:rPr>
          <w:spacing w:val="36"/>
        </w:rPr>
        <w:t xml:space="preserve"> </w:t>
      </w:r>
      <w:r>
        <w:t>that</w:t>
      </w:r>
      <w:r>
        <w:rPr>
          <w:spacing w:val="36"/>
        </w:rPr>
        <w:t xml:space="preserve"> </w:t>
      </w:r>
      <w:r>
        <w:rPr>
          <w:spacing w:val="-1"/>
        </w:rPr>
        <w:t>falls</w:t>
      </w:r>
      <w:r>
        <w:rPr>
          <w:spacing w:val="55"/>
        </w:rPr>
        <w:t xml:space="preserve"> </w:t>
      </w:r>
      <w:r>
        <w:t>within</w:t>
      </w:r>
      <w:r>
        <w:rPr>
          <w:spacing w:val="24"/>
        </w:rPr>
        <w:t xml:space="preserve"> </w:t>
      </w:r>
      <w:r>
        <w:t>the</w:t>
      </w:r>
      <w:r>
        <w:rPr>
          <w:spacing w:val="26"/>
        </w:rPr>
        <w:t xml:space="preserve"> </w:t>
      </w:r>
      <w:r>
        <w:rPr>
          <w:spacing w:val="-1"/>
        </w:rPr>
        <w:t>definition</w:t>
      </w:r>
      <w:r>
        <w:rPr>
          <w:spacing w:val="25"/>
        </w:rPr>
        <w:t xml:space="preserve"> </w:t>
      </w:r>
      <w:r>
        <w:t>of</w:t>
      </w:r>
      <w:r>
        <w:rPr>
          <w:spacing w:val="25"/>
        </w:rPr>
        <w:t xml:space="preserve"> </w:t>
      </w:r>
      <w:r>
        <w:t>ITS</w:t>
      </w:r>
      <w:r>
        <w:rPr>
          <w:spacing w:val="28"/>
        </w:rPr>
        <w:t xml:space="preserve"> </w:t>
      </w:r>
      <w:r>
        <w:t>in</w:t>
      </w:r>
      <w:r>
        <w:rPr>
          <w:spacing w:val="26"/>
        </w:rPr>
        <w:t xml:space="preserve"> </w:t>
      </w:r>
      <w:r>
        <w:rPr>
          <w:spacing w:val="-1"/>
        </w:rPr>
        <w:t>compliance</w:t>
      </w:r>
      <w:r>
        <w:rPr>
          <w:spacing w:val="25"/>
        </w:rPr>
        <w:t xml:space="preserve"> </w:t>
      </w:r>
      <w:r>
        <w:t>with</w:t>
      </w:r>
      <w:r>
        <w:rPr>
          <w:spacing w:val="25"/>
        </w:rPr>
        <w:t xml:space="preserve"> </w:t>
      </w:r>
      <w:r>
        <w:t>the</w:t>
      </w:r>
      <w:r>
        <w:rPr>
          <w:spacing w:val="26"/>
        </w:rPr>
        <w:t xml:space="preserve"> </w:t>
      </w:r>
      <w:r>
        <w:rPr>
          <w:spacing w:val="-1"/>
        </w:rPr>
        <w:t>applicable</w:t>
      </w:r>
      <w:r>
        <w:rPr>
          <w:spacing w:val="29"/>
        </w:rPr>
        <w:t xml:space="preserve"> </w:t>
      </w:r>
      <w:r>
        <w:rPr>
          <w:spacing w:val="-1"/>
        </w:rPr>
        <w:t>harmonised</w:t>
      </w:r>
      <w:r>
        <w:rPr>
          <w:spacing w:val="27"/>
        </w:rPr>
        <w:t xml:space="preserve"> </w:t>
      </w:r>
      <w:r>
        <w:rPr>
          <w:spacing w:val="-1"/>
        </w:rPr>
        <w:t>standard</w:t>
      </w:r>
      <w:r>
        <w:rPr>
          <w:spacing w:val="75"/>
        </w:rPr>
        <w:t xml:space="preserve"> </w:t>
      </w:r>
      <w:r>
        <w:t>(EN</w:t>
      </w:r>
      <w:r>
        <w:rPr>
          <w:spacing w:val="-1"/>
        </w:rPr>
        <w:t xml:space="preserve"> </w:t>
      </w:r>
      <w:r>
        <w:t>302 571</w:t>
      </w:r>
      <w:r>
        <w:rPr>
          <w:spacing w:val="-1"/>
        </w:rPr>
        <w:t xml:space="preserve"> </w:t>
      </w:r>
      <w:r>
        <w:t>published</w:t>
      </w:r>
      <w:r>
        <w:rPr>
          <w:spacing w:val="-1"/>
        </w:rPr>
        <w:t xml:space="preserve"> </w:t>
      </w:r>
      <w:r>
        <w:t xml:space="preserve">in the </w:t>
      </w:r>
      <w:r>
        <w:rPr>
          <w:spacing w:val="-1"/>
        </w:rPr>
        <w:t>OJEU</w:t>
      </w:r>
      <w:r>
        <w:rPr>
          <w:spacing w:val="-2"/>
        </w:rPr>
        <w:t xml:space="preserve"> </w:t>
      </w:r>
      <w:r>
        <w:t>on 9 June 2017</w:t>
      </w:r>
      <w:r>
        <w:rPr>
          <w:position w:val="11"/>
          <w:sz w:val="16"/>
        </w:rPr>
        <w:t>19</w:t>
      </w:r>
      <w:r>
        <w:t>)..</w:t>
      </w:r>
    </w:p>
    <w:p w14:paraId="0A7D7CBF" w14:textId="77777777" w:rsidR="00B52D8F" w:rsidRDefault="00B52D8F" w:rsidP="00B52D8F">
      <w:pPr>
        <w:pStyle w:val="BodyText"/>
        <w:spacing w:before="236"/>
        <w:ind w:right="115"/>
      </w:pPr>
      <w:r>
        <w:rPr>
          <w:spacing w:val="-1"/>
        </w:rPr>
        <w:t>Thus</w:t>
      </w:r>
      <w:r>
        <w:rPr>
          <w:spacing w:val="14"/>
        </w:rPr>
        <w:t xml:space="preserve"> </w:t>
      </w:r>
      <w:r>
        <w:t>the</w:t>
      </w:r>
      <w:r>
        <w:rPr>
          <w:spacing w:val="14"/>
        </w:rPr>
        <w:t xml:space="preserve"> </w:t>
      </w:r>
      <w:r>
        <w:t>5.9</w:t>
      </w:r>
      <w:r>
        <w:rPr>
          <w:spacing w:val="-1"/>
        </w:rPr>
        <w:t xml:space="preserve"> GHz</w:t>
      </w:r>
      <w:r>
        <w:rPr>
          <w:spacing w:val="14"/>
        </w:rPr>
        <w:t xml:space="preserve"> </w:t>
      </w:r>
      <w:r>
        <w:t>band</w:t>
      </w:r>
      <w:r>
        <w:rPr>
          <w:spacing w:val="14"/>
        </w:rPr>
        <w:t xml:space="preserve"> </w:t>
      </w:r>
      <w:r>
        <w:rPr>
          <w:spacing w:val="-1"/>
        </w:rPr>
        <w:t>offers</w:t>
      </w:r>
      <w:r>
        <w:rPr>
          <w:spacing w:val="14"/>
        </w:rPr>
        <w:t xml:space="preserve"> </w:t>
      </w:r>
      <w:r>
        <w:t>spectrum</w:t>
      </w:r>
      <w:r>
        <w:rPr>
          <w:spacing w:val="12"/>
        </w:rPr>
        <w:t xml:space="preserve"> </w:t>
      </w:r>
      <w:r>
        <w:t>for</w:t>
      </w:r>
      <w:r>
        <w:rPr>
          <w:spacing w:val="13"/>
        </w:rPr>
        <w:t xml:space="preserve"> </w:t>
      </w:r>
      <w:proofErr w:type="gramStart"/>
      <w:r>
        <w:t>V2V(</w:t>
      </w:r>
      <w:proofErr w:type="gramEnd"/>
      <w:r>
        <w:t>/I)</w:t>
      </w:r>
      <w:r>
        <w:rPr>
          <w:spacing w:val="14"/>
        </w:rPr>
        <w:t xml:space="preserve"> </w:t>
      </w:r>
      <w:r>
        <w:t>in</w:t>
      </w:r>
      <w:r>
        <w:rPr>
          <w:spacing w:val="13"/>
        </w:rPr>
        <w:t xml:space="preserve"> </w:t>
      </w:r>
      <w:r>
        <w:t>a</w:t>
      </w:r>
      <w:r>
        <w:rPr>
          <w:spacing w:val="13"/>
        </w:rPr>
        <w:t xml:space="preserve"> </w:t>
      </w:r>
      <w:r>
        <w:rPr>
          <w:spacing w:val="-1"/>
        </w:rPr>
        <w:t>technology</w:t>
      </w:r>
      <w:r>
        <w:rPr>
          <w:spacing w:val="14"/>
        </w:rPr>
        <w:t xml:space="preserve"> </w:t>
      </w:r>
      <w:r>
        <w:rPr>
          <w:spacing w:val="-1"/>
        </w:rPr>
        <w:t>neutral</w:t>
      </w:r>
      <w:r>
        <w:rPr>
          <w:spacing w:val="14"/>
        </w:rPr>
        <w:t xml:space="preserve"> </w:t>
      </w:r>
      <w:r>
        <w:t>way</w:t>
      </w:r>
      <w:r>
        <w:rPr>
          <w:spacing w:val="14"/>
        </w:rPr>
        <w:t xml:space="preserve"> </w:t>
      </w:r>
      <w:r>
        <w:rPr>
          <w:spacing w:val="-1"/>
        </w:rPr>
        <w:t>and</w:t>
      </w:r>
      <w:r>
        <w:rPr>
          <w:spacing w:val="57"/>
        </w:rPr>
        <w:t xml:space="preserve"> </w:t>
      </w:r>
      <w:r>
        <w:rPr>
          <w:spacing w:val="-1"/>
        </w:rPr>
        <w:t>licence-exempt</w:t>
      </w:r>
      <w:r>
        <w:rPr>
          <w:spacing w:val="7"/>
        </w:rPr>
        <w:t xml:space="preserve"> </w:t>
      </w:r>
      <w:r>
        <w:t>use</w:t>
      </w:r>
      <w:r>
        <w:rPr>
          <w:spacing w:val="8"/>
        </w:rPr>
        <w:t xml:space="preserve"> </w:t>
      </w:r>
      <w:r>
        <w:t>of</w:t>
      </w:r>
      <w:r>
        <w:rPr>
          <w:spacing w:val="8"/>
        </w:rPr>
        <w:t xml:space="preserve"> </w:t>
      </w:r>
      <w:r>
        <w:t>this</w:t>
      </w:r>
      <w:r>
        <w:rPr>
          <w:spacing w:val="8"/>
        </w:rPr>
        <w:t xml:space="preserve"> </w:t>
      </w:r>
      <w:r>
        <w:t>band</w:t>
      </w:r>
      <w:r>
        <w:rPr>
          <w:spacing w:val="7"/>
        </w:rPr>
        <w:t xml:space="preserve"> </w:t>
      </w:r>
      <w:r>
        <w:t>is</w:t>
      </w:r>
      <w:r>
        <w:rPr>
          <w:spacing w:val="8"/>
        </w:rPr>
        <w:t xml:space="preserve"> </w:t>
      </w:r>
      <w:r>
        <w:rPr>
          <w:spacing w:val="-1"/>
        </w:rPr>
        <w:t>recommended</w:t>
      </w:r>
      <w:r>
        <w:rPr>
          <w:spacing w:val="8"/>
        </w:rPr>
        <w:t xml:space="preserve"> </w:t>
      </w:r>
      <w:r>
        <w:t>by</w:t>
      </w:r>
      <w:r>
        <w:rPr>
          <w:spacing w:val="8"/>
        </w:rPr>
        <w:t xml:space="preserve"> </w:t>
      </w:r>
      <w:r>
        <w:rPr>
          <w:spacing w:val="-1"/>
        </w:rPr>
        <w:t>CEPT</w:t>
      </w:r>
      <w:r>
        <w:rPr>
          <w:spacing w:val="11"/>
        </w:rPr>
        <w:t xml:space="preserve"> </w:t>
      </w:r>
      <w:r>
        <w:t>taking</w:t>
      </w:r>
      <w:r>
        <w:rPr>
          <w:spacing w:val="8"/>
        </w:rPr>
        <w:t xml:space="preserve"> </w:t>
      </w:r>
      <w:r>
        <w:t>into</w:t>
      </w:r>
      <w:r>
        <w:rPr>
          <w:spacing w:val="8"/>
        </w:rPr>
        <w:t xml:space="preserve"> </w:t>
      </w:r>
      <w:r>
        <w:rPr>
          <w:spacing w:val="-1"/>
        </w:rPr>
        <w:t>account</w:t>
      </w:r>
      <w:r>
        <w:rPr>
          <w:spacing w:val="57"/>
        </w:rPr>
        <w:t xml:space="preserve"> </w:t>
      </w:r>
      <w:r>
        <w:rPr>
          <w:spacing w:val="-1"/>
        </w:rPr>
        <w:t>coexistence</w:t>
      </w:r>
      <w:r>
        <w:rPr>
          <w:spacing w:val="32"/>
        </w:rPr>
        <w:t xml:space="preserve"> </w:t>
      </w:r>
      <w:r>
        <w:t>with</w:t>
      </w:r>
      <w:r>
        <w:rPr>
          <w:spacing w:val="36"/>
        </w:rPr>
        <w:t xml:space="preserve"> </w:t>
      </w:r>
      <w:r>
        <w:rPr>
          <w:spacing w:val="-1"/>
        </w:rPr>
        <w:t>other</w:t>
      </w:r>
      <w:r>
        <w:rPr>
          <w:spacing w:val="34"/>
        </w:rPr>
        <w:t xml:space="preserve"> </w:t>
      </w:r>
      <w:r>
        <w:rPr>
          <w:spacing w:val="-1"/>
        </w:rPr>
        <w:t>co-primary</w:t>
      </w:r>
      <w:r>
        <w:rPr>
          <w:spacing w:val="34"/>
        </w:rPr>
        <w:t xml:space="preserve"> </w:t>
      </w:r>
      <w:r>
        <w:t>radio</w:t>
      </w:r>
      <w:r>
        <w:rPr>
          <w:spacing w:val="34"/>
        </w:rPr>
        <w:t xml:space="preserve"> </w:t>
      </w:r>
      <w:r>
        <w:rPr>
          <w:spacing w:val="-1"/>
        </w:rPr>
        <w:t>communication</w:t>
      </w:r>
      <w:r>
        <w:rPr>
          <w:spacing w:val="34"/>
        </w:rPr>
        <w:t xml:space="preserve"> </w:t>
      </w:r>
      <w:r>
        <w:t>services.</w:t>
      </w:r>
      <w:r>
        <w:rPr>
          <w:spacing w:val="33"/>
        </w:rPr>
        <w:t xml:space="preserve"> </w:t>
      </w:r>
      <w:r>
        <w:rPr>
          <w:spacing w:val="-1"/>
        </w:rPr>
        <w:t>Based</w:t>
      </w:r>
      <w:r>
        <w:rPr>
          <w:spacing w:val="34"/>
        </w:rPr>
        <w:t xml:space="preserve"> </w:t>
      </w:r>
      <w:r>
        <w:t>on</w:t>
      </w:r>
      <w:r>
        <w:rPr>
          <w:spacing w:val="34"/>
        </w:rPr>
        <w:t xml:space="preserve"> </w:t>
      </w:r>
      <w:r>
        <w:rPr>
          <w:spacing w:val="-1"/>
        </w:rPr>
        <w:t>current</w:t>
      </w:r>
      <w:r>
        <w:rPr>
          <w:spacing w:val="85"/>
        </w:rPr>
        <w:t xml:space="preserve"> </w:t>
      </w:r>
      <w:r>
        <w:t>technology</w:t>
      </w:r>
      <w:r>
        <w:rPr>
          <w:spacing w:val="23"/>
        </w:rPr>
        <w:t xml:space="preserve"> </w:t>
      </w:r>
      <w:r>
        <w:rPr>
          <w:spacing w:val="-1"/>
        </w:rPr>
        <w:t>development</w:t>
      </w:r>
      <w:r>
        <w:rPr>
          <w:spacing w:val="24"/>
        </w:rPr>
        <w:t xml:space="preserve"> </w:t>
      </w:r>
      <w:r>
        <w:t>and</w:t>
      </w:r>
      <w:r>
        <w:rPr>
          <w:spacing w:val="24"/>
        </w:rPr>
        <w:t xml:space="preserve"> </w:t>
      </w:r>
      <w:r>
        <w:rPr>
          <w:spacing w:val="-1"/>
        </w:rPr>
        <w:t>the</w:t>
      </w:r>
      <w:r>
        <w:rPr>
          <w:spacing w:val="24"/>
        </w:rPr>
        <w:t xml:space="preserve"> </w:t>
      </w:r>
      <w:r>
        <w:rPr>
          <w:spacing w:val="-1"/>
        </w:rPr>
        <w:t>applicable</w:t>
      </w:r>
      <w:r>
        <w:rPr>
          <w:spacing w:val="24"/>
        </w:rPr>
        <w:t xml:space="preserve"> </w:t>
      </w:r>
      <w:r>
        <w:rPr>
          <w:spacing w:val="-1"/>
        </w:rPr>
        <w:t>harmonised</w:t>
      </w:r>
      <w:r>
        <w:rPr>
          <w:spacing w:val="23"/>
        </w:rPr>
        <w:t xml:space="preserve"> </w:t>
      </w:r>
      <w:r>
        <w:t>standard,</w:t>
      </w:r>
      <w:r>
        <w:rPr>
          <w:spacing w:val="24"/>
        </w:rPr>
        <w:t xml:space="preserve"> </w:t>
      </w:r>
      <w:r>
        <w:t>a</w:t>
      </w:r>
      <w:r>
        <w:rPr>
          <w:spacing w:val="24"/>
        </w:rPr>
        <w:t xml:space="preserve"> </w:t>
      </w:r>
      <w:r>
        <w:rPr>
          <w:spacing w:val="-1"/>
        </w:rPr>
        <w:t>G5-only</w:t>
      </w:r>
      <w:r>
        <w:rPr>
          <w:spacing w:val="24"/>
        </w:rPr>
        <w:t xml:space="preserve"> </w:t>
      </w:r>
      <w:r>
        <w:rPr>
          <w:spacing w:val="-1"/>
        </w:rPr>
        <w:t>vehicle</w:t>
      </w:r>
      <w:r>
        <w:rPr>
          <w:spacing w:val="79"/>
        </w:rPr>
        <w:t xml:space="preserve"> </w:t>
      </w:r>
      <w:r>
        <w:t xml:space="preserve">and an </w:t>
      </w:r>
      <w:r>
        <w:rPr>
          <w:spacing w:val="-1"/>
        </w:rPr>
        <w:t>LTE-only</w:t>
      </w:r>
      <w:r>
        <w:t xml:space="preserve"> vehicle</w:t>
      </w:r>
      <w:r>
        <w:rPr>
          <w:spacing w:val="-1"/>
        </w:rPr>
        <w:t xml:space="preserve"> </w:t>
      </w:r>
      <w:r>
        <w:t xml:space="preserve">do not </w:t>
      </w:r>
      <w:r>
        <w:rPr>
          <w:spacing w:val="-1"/>
        </w:rPr>
        <w:t>communicate</w:t>
      </w:r>
      <w:r>
        <w:rPr>
          <w:spacing w:val="1"/>
        </w:rPr>
        <w:t xml:space="preserve"> </w:t>
      </w:r>
      <w:r>
        <w:rPr>
          <w:spacing w:val="-1"/>
        </w:rPr>
        <w:t>with</w:t>
      </w:r>
      <w:r>
        <w:t xml:space="preserve"> each </w:t>
      </w:r>
      <w:r>
        <w:rPr>
          <w:spacing w:val="-1"/>
        </w:rPr>
        <w:t>other.</w:t>
      </w:r>
    </w:p>
    <w:p w14:paraId="0A7D7CC0" w14:textId="77777777" w:rsidR="00B52D8F" w:rsidRDefault="00B52D8F" w:rsidP="00B52D8F">
      <w:pPr>
        <w:spacing w:before="10"/>
        <w:rPr>
          <w:rFonts w:ascii="Times New Roman" w:hAnsi="Times New Roman"/>
          <w:szCs w:val="20"/>
        </w:rPr>
      </w:pPr>
    </w:p>
    <w:p w14:paraId="0A7D7CC1" w14:textId="77777777" w:rsidR="00B52D8F" w:rsidRDefault="00B52D8F" w:rsidP="00B52D8F">
      <w:pPr>
        <w:pStyle w:val="BodyText"/>
        <w:ind w:right="115"/>
      </w:pPr>
      <w:r>
        <w:t>Outside</w:t>
      </w:r>
      <w:r>
        <w:rPr>
          <w:spacing w:val="56"/>
        </w:rPr>
        <w:t xml:space="preserve"> </w:t>
      </w:r>
      <w:r>
        <w:t>the</w:t>
      </w:r>
      <w:r>
        <w:rPr>
          <w:spacing w:val="56"/>
        </w:rPr>
        <w:t xml:space="preserve"> </w:t>
      </w:r>
      <w:r>
        <w:t>scope</w:t>
      </w:r>
      <w:r>
        <w:rPr>
          <w:spacing w:val="56"/>
        </w:rPr>
        <w:t xml:space="preserve"> </w:t>
      </w:r>
      <w:r>
        <w:t>of</w:t>
      </w:r>
      <w:r>
        <w:rPr>
          <w:spacing w:val="56"/>
        </w:rPr>
        <w:t xml:space="preserve"> </w:t>
      </w:r>
      <w:r>
        <w:rPr>
          <w:spacing w:val="-1"/>
        </w:rPr>
        <w:t>this</w:t>
      </w:r>
      <w:r>
        <w:rPr>
          <w:spacing w:val="58"/>
        </w:rPr>
        <w:t xml:space="preserve"> </w:t>
      </w:r>
      <w:r>
        <w:rPr>
          <w:spacing w:val="-1"/>
        </w:rPr>
        <w:t>mandate,</w:t>
      </w:r>
      <w:r>
        <w:rPr>
          <w:spacing w:val="59"/>
        </w:rPr>
        <w:t xml:space="preserve"> </w:t>
      </w:r>
      <w:r>
        <w:t>Industry</w:t>
      </w:r>
      <w:r>
        <w:rPr>
          <w:spacing w:val="57"/>
        </w:rPr>
        <w:t xml:space="preserve"> </w:t>
      </w:r>
      <w:r>
        <w:rPr>
          <w:spacing w:val="-1"/>
        </w:rPr>
        <w:t>should</w:t>
      </w:r>
      <w:r>
        <w:rPr>
          <w:spacing w:val="58"/>
        </w:rPr>
        <w:t xml:space="preserve"> </w:t>
      </w:r>
      <w:r>
        <w:rPr>
          <w:spacing w:val="-1"/>
        </w:rPr>
        <w:t>actively</w:t>
      </w:r>
      <w:r>
        <w:rPr>
          <w:spacing w:val="57"/>
        </w:rPr>
        <w:t xml:space="preserve"> </w:t>
      </w:r>
      <w:r>
        <w:rPr>
          <w:spacing w:val="-1"/>
        </w:rPr>
        <w:t>engage</w:t>
      </w:r>
      <w:r>
        <w:rPr>
          <w:spacing w:val="56"/>
        </w:rPr>
        <w:t xml:space="preserve"> </w:t>
      </w:r>
      <w:r>
        <w:t>in</w:t>
      </w:r>
      <w:r>
        <w:rPr>
          <w:spacing w:val="59"/>
        </w:rPr>
        <w:t xml:space="preserve"> </w:t>
      </w:r>
      <w:r>
        <w:t>European</w:t>
      </w:r>
      <w:r>
        <w:rPr>
          <w:spacing w:val="51"/>
        </w:rPr>
        <w:t xml:space="preserve"> </w:t>
      </w:r>
      <w:r>
        <w:t>Standardisation</w:t>
      </w:r>
      <w:r>
        <w:rPr>
          <w:spacing w:val="14"/>
        </w:rPr>
        <w:t xml:space="preserve"> </w:t>
      </w:r>
      <w:r>
        <w:rPr>
          <w:spacing w:val="-1"/>
        </w:rPr>
        <w:t>Organisations</w:t>
      </w:r>
      <w:r>
        <w:rPr>
          <w:spacing w:val="14"/>
        </w:rPr>
        <w:t xml:space="preserve"> </w:t>
      </w:r>
      <w:r>
        <w:t>and</w:t>
      </w:r>
      <w:r>
        <w:rPr>
          <w:spacing w:val="13"/>
        </w:rPr>
        <w:t xml:space="preserve"> </w:t>
      </w:r>
      <w:r>
        <w:t>with</w:t>
      </w:r>
      <w:r>
        <w:rPr>
          <w:spacing w:val="14"/>
        </w:rPr>
        <w:t xml:space="preserve"> </w:t>
      </w:r>
      <w:r>
        <w:rPr>
          <w:spacing w:val="-1"/>
        </w:rPr>
        <w:t>Member</w:t>
      </w:r>
      <w:r>
        <w:rPr>
          <w:spacing w:val="14"/>
        </w:rPr>
        <w:t xml:space="preserve"> </w:t>
      </w:r>
      <w:r>
        <w:t>State</w:t>
      </w:r>
      <w:r>
        <w:rPr>
          <w:spacing w:val="14"/>
        </w:rPr>
        <w:t xml:space="preserve"> </w:t>
      </w:r>
      <w:r>
        <w:rPr>
          <w:spacing w:val="-1"/>
        </w:rPr>
        <w:t>authorities</w:t>
      </w:r>
      <w:r>
        <w:rPr>
          <w:spacing w:val="18"/>
        </w:rPr>
        <w:t xml:space="preserve"> </w:t>
      </w:r>
      <w:r>
        <w:t>in</w:t>
      </w:r>
      <w:r>
        <w:rPr>
          <w:spacing w:val="14"/>
        </w:rPr>
        <w:t xml:space="preserve"> </w:t>
      </w:r>
      <w:r>
        <w:rPr>
          <w:spacing w:val="-1"/>
        </w:rPr>
        <w:t>order</w:t>
      </w:r>
      <w:r>
        <w:rPr>
          <w:spacing w:val="14"/>
        </w:rPr>
        <w:t xml:space="preserve"> </w:t>
      </w:r>
      <w:r>
        <w:t>to</w:t>
      </w:r>
      <w:r>
        <w:rPr>
          <w:spacing w:val="14"/>
        </w:rPr>
        <w:t xml:space="preserve"> </w:t>
      </w:r>
      <w:r>
        <w:rPr>
          <w:spacing w:val="-1"/>
        </w:rPr>
        <w:t>identify</w:t>
      </w:r>
      <w:r>
        <w:rPr>
          <w:spacing w:val="71"/>
        </w:rPr>
        <w:t xml:space="preserve"> </w:t>
      </w:r>
      <w:r>
        <w:t>the</w:t>
      </w:r>
      <w:r>
        <w:rPr>
          <w:spacing w:val="53"/>
        </w:rPr>
        <w:t xml:space="preserve"> </w:t>
      </w:r>
      <w:r>
        <w:t>best</w:t>
      </w:r>
      <w:r>
        <w:rPr>
          <w:spacing w:val="53"/>
        </w:rPr>
        <w:t xml:space="preserve"> </w:t>
      </w:r>
      <w:r>
        <w:rPr>
          <w:spacing w:val="-1"/>
        </w:rPr>
        <w:t>way</w:t>
      </w:r>
      <w:r>
        <w:rPr>
          <w:spacing w:val="52"/>
        </w:rPr>
        <w:t xml:space="preserve"> </w:t>
      </w:r>
      <w:r>
        <w:t>forward</w:t>
      </w:r>
      <w:r>
        <w:rPr>
          <w:spacing w:val="52"/>
        </w:rPr>
        <w:t xml:space="preserve"> </w:t>
      </w:r>
      <w:r>
        <w:t>to</w:t>
      </w:r>
      <w:r>
        <w:rPr>
          <w:spacing w:val="53"/>
        </w:rPr>
        <w:t xml:space="preserve"> </w:t>
      </w:r>
      <w:r>
        <w:t>achieve</w:t>
      </w:r>
      <w:r>
        <w:rPr>
          <w:spacing w:val="51"/>
        </w:rPr>
        <w:t xml:space="preserve"> </w:t>
      </w:r>
      <w:r>
        <w:rPr>
          <w:spacing w:val="-1"/>
        </w:rPr>
        <w:t>interoperability</w:t>
      </w:r>
      <w:r>
        <w:rPr>
          <w:spacing w:val="52"/>
        </w:rPr>
        <w:t xml:space="preserve"> </w:t>
      </w:r>
      <w:r>
        <w:t>between</w:t>
      </w:r>
      <w:r>
        <w:rPr>
          <w:spacing w:val="51"/>
        </w:rPr>
        <w:t xml:space="preserve"> </w:t>
      </w:r>
      <w:r>
        <w:t>various</w:t>
      </w:r>
      <w:r>
        <w:rPr>
          <w:spacing w:val="53"/>
        </w:rPr>
        <w:t xml:space="preserve"> </w:t>
      </w:r>
      <w:r>
        <w:rPr>
          <w:spacing w:val="-1"/>
        </w:rPr>
        <w:t>systems</w:t>
      </w:r>
      <w:r>
        <w:rPr>
          <w:spacing w:val="52"/>
        </w:rPr>
        <w:t xml:space="preserve"> </w:t>
      </w:r>
      <w:r>
        <w:t>in</w:t>
      </w:r>
      <w:r>
        <w:rPr>
          <w:spacing w:val="53"/>
        </w:rPr>
        <w:t xml:space="preserve"> </w:t>
      </w:r>
      <w:r>
        <w:rPr>
          <w:spacing w:val="1"/>
        </w:rPr>
        <w:t>this</w:t>
      </w:r>
      <w:r>
        <w:rPr>
          <w:spacing w:val="41"/>
        </w:rPr>
        <w:t xml:space="preserve"> </w:t>
      </w:r>
      <w:r>
        <w:t>band.</w:t>
      </w:r>
    </w:p>
    <w:p w14:paraId="0A7D7CC2" w14:textId="77777777" w:rsidR="00B52D8F" w:rsidRDefault="00B52D8F" w:rsidP="00B52D8F">
      <w:pPr>
        <w:spacing w:before="10"/>
        <w:rPr>
          <w:rFonts w:ascii="Times New Roman" w:hAnsi="Times New Roman"/>
          <w:szCs w:val="20"/>
        </w:rPr>
      </w:pPr>
    </w:p>
    <w:p w14:paraId="0A7D7CC3" w14:textId="77777777" w:rsidR="00B52D8F" w:rsidRDefault="00B52D8F" w:rsidP="00B52D8F">
      <w:pPr>
        <w:pStyle w:val="BodyText"/>
        <w:ind w:right="116"/>
      </w:pPr>
      <w:r>
        <w:t>Further</w:t>
      </w:r>
      <w:r>
        <w:rPr>
          <w:spacing w:val="17"/>
        </w:rPr>
        <w:t xml:space="preserve"> </w:t>
      </w:r>
      <w:r>
        <w:rPr>
          <w:spacing w:val="-1"/>
        </w:rPr>
        <w:t>work</w:t>
      </w:r>
      <w:r>
        <w:rPr>
          <w:spacing w:val="16"/>
        </w:rPr>
        <w:t xml:space="preserve"> </w:t>
      </w:r>
      <w:r>
        <w:rPr>
          <w:spacing w:val="-1"/>
        </w:rPr>
        <w:t>leading</w:t>
      </w:r>
      <w:r>
        <w:rPr>
          <w:spacing w:val="17"/>
        </w:rPr>
        <w:t xml:space="preserve"> </w:t>
      </w:r>
      <w:r>
        <w:t>to</w:t>
      </w:r>
      <w:r>
        <w:rPr>
          <w:spacing w:val="15"/>
        </w:rPr>
        <w:t xml:space="preserve"> </w:t>
      </w:r>
      <w:r>
        <w:t>coexistence</w:t>
      </w:r>
      <w:r>
        <w:rPr>
          <w:spacing w:val="16"/>
        </w:rPr>
        <w:t xml:space="preserve"> </w:t>
      </w:r>
      <w:r>
        <w:t>and</w:t>
      </w:r>
      <w:r>
        <w:rPr>
          <w:spacing w:val="16"/>
        </w:rPr>
        <w:t xml:space="preserve"> </w:t>
      </w:r>
      <w:r>
        <w:rPr>
          <w:spacing w:val="-1"/>
        </w:rPr>
        <w:t>efficient</w:t>
      </w:r>
      <w:r>
        <w:rPr>
          <w:spacing w:val="16"/>
        </w:rPr>
        <w:t xml:space="preserve"> </w:t>
      </w:r>
      <w:r>
        <w:t>spectrum</w:t>
      </w:r>
      <w:r>
        <w:rPr>
          <w:spacing w:val="15"/>
        </w:rPr>
        <w:t xml:space="preserve"> </w:t>
      </w:r>
      <w:r>
        <w:t>use</w:t>
      </w:r>
      <w:r>
        <w:rPr>
          <w:spacing w:val="17"/>
        </w:rPr>
        <w:t xml:space="preserve"> </w:t>
      </w:r>
      <w:r>
        <w:t>of</w:t>
      </w:r>
      <w:r>
        <w:rPr>
          <w:spacing w:val="15"/>
        </w:rPr>
        <w:t xml:space="preserve"> </w:t>
      </w:r>
      <w:r>
        <w:rPr>
          <w:spacing w:val="-1"/>
        </w:rPr>
        <w:t>safety-related</w:t>
      </w:r>
      <w:r>
        <w:rPr>
          <w:spacing w:val="15"/>
        </w:rPr>
        <w:t xml:space="preserve"> </w:t>
      </w:r>
      <w:r>
        <w:t>car-</w:t>
      </w:r>
      <w:r>
        <w:rPr>
          <w:spacing w:val="59"/>
        </w:rPr>
        <w:t xml:space="preserve"> </w:t>
      </w:r>
      <w:r>
        <w:rPr>
          <w:spacing w:val="-1"/>
        </w:rPr>
        <w:t>to-car/infrastructure</w:t>
      </w:r>
      <w:r>
        <w:rPr>
          <w:spacing w:val="36"/>
        </w:rPr>
        <w:t xml:space="preserve"> </w:t>
      </w:r>
      <w:r>
        <w:rPr>
          <w:spacing w:val="-1"/>
        </w:rPr>
        <w:t>operation</w:t>
      </w:r>
      <w:r>
        <w:rPr>
          <w:spacing w:val="35"/>
        </w:rPr>
        <w:t xml:space="preserve"> </w:t>
      </w:r>
      <w:r>
        <w:t>in</w:t>
      </w:r>
      <w:r>
        <w:rPr>
          <w:spacing w:val="36"/>
        </w:rPr>
        <w:t xml:space="preserve"> </w:t>
      </w:r>
      <w:r>
        <w:rPr>
          <w:spacing w:val="-1"/>
        </w:rPr>
        <w:t>the</w:t>
      </w:r>
      <w:r>
        <w:rPr>
          <w:spacing w:val="36"/>
        </w:rPr>
        <w:t xml:space="preserve"> </w:t>
      </w:r>
      <w:r>
        <w:rPr>
          <w:spacing w:val="-1"/>
        </w:rPr>
        <w:t>designated</w:t>
      </w:r>
      <w:r>
        <w:rPr>
          <w:spacing w:val="35"/>
        </w:rPr>
        <w:t xml:space="preserve"> </w:t>
      </w:r>
      <w:r>
        <w:t xml:space="preserve">5.9 </w:t>
      </w:r>
      <w:r>
        <w:rPr>
          <w:spacing w:val="-1"/>
        </w:rPr>
        <w:t>GHz</w:t>
      </w:r>
      <w:r>
        <w:rPr>
          <w:spacing w:val="37"/>
        </w:rPr>
        <w:t xml:space="preserve"> </w:t>
      </w:r>
      <w:r>
        <w:t>band</w:t>
      </w:r>
      <w:r>
        <w:rPr>
          <w:spacing w:val="36"/>
        </w:rPr>
        <w:t xml:space="preserve"> </w:t>
      </w:r>
      <w:r>
        <w:t>(e.g.</w:t>
      </w:r>
      <w:r>
        <w:rPr>
          <w:spacing w:val="36"/>
        </w:rPr>
        <w:t xml:space="preserve"> </w:t>
      </w:r>
      <w:r>
        <w:rPr>
          <w:spacing w:val="-1"/>
        </w:rPr>
        <w:t>through</w:t>
      </w:r>
      <w:r>
        <w:rPr>
          <w:spacing w:val="36"/>
        </w:rPr>
        <w:t xml:space="preserve"> </w:t>
      </w:r>
      <w:r>
        <w:t>shared</w:t>
      </w:r>
      <w:r>
        <w:rPr>
          <w:spacing w:val="95"/>
        </w:rPr>
        <w:t xml:space="preserve"> </w:t>
      </w:r>
      <w:r>
        <w:t>use) should be</w:t>
      </w:r>
      <w:r>
        <w:rPr>
          <w:spacing w:val="-1"/>
        </w:rPr>
        <w:t xml:space="preserve"> undertaken</w:t>
      </w:r>
      <w:r>
        <w:t xml:space="preserve"> in </w:t>
      </w:r>
      <w:r>
        <w:rPr>
          <w:spacing w:val="-1"/>
        </w:rPr>
        <w:t>ETSI</w:t>
      </w:r>
      <w:r>
        <w:t xml:space="preserve"> and </w:t>
      </w:r>
      <w:r>
        <w:rPr>
          <w:spacing w:val="-1"/>
        </w:rPr>
        <w:t>CEPT,</w:t>
      </w:r>
      <w:r>
        <w:t xml:space="preserve"> as</w:t>
      </w:r>
      <w:r>
        <w:rPr>
          <w:spacing w:val="1"/>
        </w:rPr>
        <w:t xml:space="preserve"> </w:t>
      </w:r>
      <w:r>
        <w:t>appropriate.</w:t>
      </w:r>
    </w:p>
    <w:p w14:paraId="0A7D7CC4" w14:textId="77777777" w:rsidR="00B52D8F" w:rsidRDefault="00B52D8F" w:rsidP="00B52D8F">
      <w:pPr>
        <w:spacing w:line="20" w:lineRule="atLeast"/>
        <w:ind w:left="100"/>
        <w:rPr>
          <w:rFonts w:ascii="Times New Roman" w:hAnsi="Times New Roman"/>
          <w:sz w:val="2"/>
          <w:szCs w:val="2"/>
        </w:rPr>
      </w:pPr>
      <w:r>
        <w:rPr>
          <w:rFonts w:ascii="Times New Roman" w:hAnsi="Times New Roman"/>
          <w:noProof/>
          <w:sz w:val="2"/>
          <w:szCs w:val="2"/>
          <w:lang w:val="da-DK" w:eastAsia="da-DK"/>
        </w:rPr>
        <mc:AlternateContent>
          <mc:Choice Requires="wpg">
            <w:drawing>
              <wp:inline distT="0" distB="0" distL="0" distR="0" wp14:anchorId="0A7D7D63" wp14:editId="0A7D7D64">
                <wp:extent cx="1838325" cy="8890"/>
                <wp:effectExtent l="3175" t="4445" r="6350" b="5715"/>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310" name="Group 29"/>
                        <wpg:cNvGrpSpPr>
                          <a:grpSpLocks/>
                        </wpg:cNvGrpSpPr>
                        <wpg:grpSpPr bwMode="auto">
                          <a:xfrm>
                            <a:off x="7" y="7"/>
                            <a:ext cx="2881" cy="2"/>
                            <a:chOff x="7" y="7"/>
                            <a:chExt cx="2881" cy="2"/>
                          </a:xfrm>
                        </wpg:grpSpPr>
                        <wps:wsp>
                          <wps:cNvPr id="311" name="Freeform 30"/>
                          <wps:cNvSpPr>
                            <a:spLocks/>
                          </wps:cNvSpPr>
                          <wps:spPr bwMode="auto">
                            <a:xfrm>
                              <a:off x="7" y="7"/>
                              <a:ext cx="2881" cy="2"/>
                            </a:xfrm>
                            <a:custGeom>
                              <a:avLst/>
                              <a:gdLst>
                                <a:gd name="T0" fmla="+- 0 7 7"/>
                                <a:gd name="T1" fmla="*/ T0 w 2881"/>
                                <a:gd name="T2" fmla="+- 0 2887 7"/>
                                <a:gd name="T3" fmla="*/ T2 w 2881"/>
                              </a:gdLst>
                              <a:ahLst/>
                              <a:cxnLst>
                                <a:cxn ang="0">
                                  <a:pos x="T1" y="0"/>
                                </a:cxn>
                                <a:cxn ang="0">
                                  <a:pos x="T3" y="0"/>
                                </a:cxn>
                              </a:cxnLst>
                              <a:rect l="0" t="0" r="r" b="b"/>
                              <a:pathLst>
                                <a:path w="2881">
                                  <a:moveTo>
                                    <a:pt x="0" y="0"/>
                                  </a:moveTo>
                                  <a:lnTo>
                                    <a:pt x="2880"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6ED293" id="Group 309"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c6hAMAANkIAAAOAAAAZHJzL2Uyb0RvYy54bWy0Vttu2zgQfS+w/0DwcQtHFyuxLEQJAl+C&#10;Ar0BdT+ApqgLViJVkracFvvvOyQlRXY22KLF6kEeaobDc4Zz8e39qanRkUlVCZ7i4MrHiHEqsooX&#10;Kf66285ijJQmPCO14CzFT0zh+7s/3tx2bcJCUYo6YxKBE66Srk1xqXWbeJ6iJWuIuhIt46DMhWyI&#10;hqUsvEySDrw3tRf6/o3XCZm1UlCmFHxdOyW+s/7znFH9Kc8V06hOMWDT9i3te2/e3t0tSQpJ2rKi&#10;PQzyCygaUnE4dHS1Jpqgg6xeuGoqKoUSub6iovFEnleUWQ7AJvAv2DxKcWgtlyLpinYME4T2Ik6/&#10;7JZ+PH6WqMpSPPeXGHHSwCXZc5H5AOHp2iIBq0fZfmk/S8cRxPeC/qVA7V3qzbpwxmjffRAZOCQH&#10;LWx4TrlsjAsgjk72Fp7GW2AnjSh8DOJ5PA+vMaKgi+Nlf0m0hJt8sYmWm35bGC/7PUFkcHskcadZ&#10;hD0iR8cuRmYD/wDyY8o//N/pLzACiguXhAP9MI4Dxz10ipH4mfmU+NmGV3lDgannHFK/l0NfStIy&#10;m5rKZMcYQ4DuYriVjJmyhTRyWWTthhRS0/yZaLpWJQrS7D8z5ywWr4RujARJ6EHpRyZs7pHje6Vd&#10;3Wcg2YzOetQ7yIG8qaEFvJ0hHy1QfznFaAAEncGfHtr5qEP2vnp3g5dwMLJewOJfHM0HG+MonDgC&#10;2MUAjJQDVnriPViQEDHt1bcl1QplqmIHwIZaAg9gZIi9YgtnX9q6Pf0REvrmZceUGEHH3LucbIk2&#10;yMwRRkRdim0czIdGHNlOWJW+qFc45Flb86kVbIfYT1A5NewwB9hyHg81WCcXysW2qmt7BTU3UKBp&#10;BDY2StRVZpQGjZLFflVLdCRmFtjHkAFnZ2bQc3lmnZWMZJte1qSqnQz2tY0tZF0fApN/ttn/WPrL&#10;TbyJo1kU3mxmkb9ezx62q2h2sw0W1+v5erVaB38baEGUlFWWMW7QDYMniH6uKPsR6EbGOHrOWJyR&#10;3drnJVnvHIaNBXAZfi076J6uJE2/VMleZE9QnlK4SQqTH4RSyO8YdTBFU6y+HYhkGNXvOLSYZRBF&#10;ZuzaRXS9CGEhp5r9VEM4BVcp1hgS3Igr7Ub1oZVVUcJJ7lq5eICBklemii0+h6pfQJezUj+Gehnm&#10;J0hnA3q6tlbP/0ju/gEAAP//AwBQSwMEFAAGAAgAAAAhAP7i5JjbAAAAAwEAAA8AAABkcnMvZG93&#10;bnJldi54bWxMj0FLw0AQhe+C/2EZwZvdpFppYzalFPVUhLaC9DZNpklodjZkt0n67x296OXB8B7v&#10;fZMuR9uonjpfOzYQTyJQxLkrai4NfO7fHuagfEAusHFMBq7kYZnd3qSYFG7gLfW7UCopYZ+ggSqE&#10;NtHa5xVZ9BPXEot3cp3FIGdX6qLDQcpto6dR9Kwt1iwLFba0rig/7y7WwPuAw+oxfu0359P6etjP&#10;Pr42MRlzfzeuXkAFGsNfGH7wBR0yYTq6CxdeNQbkkfCr4k3nixmoo4SeQGep/s+efQMAAP//AwBQ&#10;SwECLQAUAAYACAAAACEAtoM4kv4AAADhAQAAEwAAAAAAAAAAAAAAAAAAAAAAW0NvbnRlbnRfVHlw&#10;ZXNdLnhtbFBLAQItABQABgAIAAAAIQA4/SH/1gAAAJQBAAALAAAAAAAAAAAAAAAAAC8BAABfcmVs&#10;cy8ucmVsc1BLAQItABQABgAIAAAAIQByNvc6hAMAANkIAAAOAAAAAAAAAAAAAAAAAC4CAABkcnMv&#10;ZTJvRG9jLnhtbFBLAQItABQABgAIAAAAIQD+4uSY2wAAAAMBAAAPAAAAAAAAAAAAAAAAAN4FAABk&#10;cnMvZG93bnJldi54bWxQSwUGAAAAAAQABADzAAAA5gYAAAAA&#10;">
                <v:group id="Group 29" o:spid="_x0000_s1027" style="position:absolute;left:7;top:7;width:2881;height:2" coordorigin="7,7"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30" o:spid="_x0000_s1028" style="position:absolute;left:7;top: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EzwgAAANwAAAAPAAAAZHJzL2Rvd25yZXYueG1sRI9BSwMx&#10;FITvgv8hPMGLtNl1QWTbtFRR9Lrben9sXjdpNy9rEtv135tCweMwM98wy/XkBnGiEK1nBeW8AEHc&#10;eW25V7Dbvs+eQcSErHHwTAp+KcJ6dXuzxFr7Mzd0alMvMoRjjQpMSmMtZewMOYxzPxJnb++Dw5Rl&#10;6KUOeM5wN8jHoniSDi3nBYMjvRrqju2PU/DVGjfZN/twqJqPCk14kd/UKHV/N20WIBJN6T98bX9q&#10;BVVZwuVMPgJy9QcAAP//AwBQSwECLQAUAAYACAAAACEA2+H2y+4AAACFAQAAEwAAAAAAAAAAAAAA&#10;AAAAAAAAW0NvbnRlbnRfVHlwZXNdLnhtbFBLAQItABQABgAIAAAAIQBa9CxbvwAAABUBAAALAAAA&#10;AAAAAAAAAAAAAB8BAABfcmVscy8ucmVsc1BLAQItABQABgAIAAAAIQBnxXEzwgAAANwAAAAPAAAA&#10;AAAAAAAAAAAAAAcCAABkcnMvZG93bnJldi54bWxQSwUGAAAAAAMAAwC3AAAA9gIAAAAA&#10;" path="m,l2880,e" filled="f" strokeweight=".24697mm">
                    <v:path arrowok="t" o:connecttype="custom" o:connectlocs="0,0;2880,0" o:connectangles="0,0"/>
                  </v:shape>
                </v:group>
                <w10:anchorlock/>
              </v:group>
            </w:pict>
          </mc:Fallback>
        </mc:AlternateContent>
      </w:r>
    </w:p>
    <w:p w14:paraId="0A7D7CC5" w14:textId="77777777" w:rsidR="00B52D8F" w:rsidRDefault="00B52D8F" w:rsidP="00B52D8F">
      <w:pPr>
        <w:tabs>
          <w:tab w:val="left" w:pos="465"/>
        </w:tabs>
        <w:spacing w:before="83"/>
        <w:ind w:left="465" w:right="154" w:hanging="358"/>
        <w:rPr>
          <w:rFonts w:ascii="Times New Roman" w:hAnsi="Times New Roman"/>
          <w:szCs w:val="20"/>
        </w:rPr>
      </w:pPr>
      <w:r>
        <w:rPr>
          <w:rFonts w:ascii="Times New Roman"/>
          <w:w w:val="95"/>
          <w:position w:val="9"/>
          <w:sz w:val="13"/>
        </w:rPr>
        <w:t>14</w:t>
      </w:r>
      <w:r>
        <w:rPr>
          <w:rFonts w:ascii="Times New Roman"/>
          <w:w w:val="95"/>
          <w:position w:val="9"/>
          <w:sz w:val="13"/>
        </w:rPr>
        <w:tab/>
      </w:r>
      <w:hyperlink r:id="rId52">
        <w:proofErr w:type="gramStart"/>
        <w:r>
          <w:rPr>
            <w:rFonts w:ascii="Times New Roman"/>
            <w:color w:val="0000FF"/>
            <w:spacing w:val="-1"/>
            <w:u w:val="single" w:color="0000FF"/>
          </w:rPr>
          <w:t>https://ec.europa.eu/digital-single-market/en/news/workshop-short-range-vehicular-communications-59-</w:t>
        </w:r>
      </w:hyperlink>
      <w:r>
        <w:rPr>
          <w:rFonts w:ascii="Times New Roman"/>
          <w:color w:val="0000FF"/>
        </w:rPr>
        <w:t xml:space="preserve"> </w:t>
      </w:r>
      <w:hyperlink r:id="rId53">
        <w:r>
          <w:rPr>
            <w:rFonts w:ascii="Times New Roman"/>
            <w:color w:val="0000FF"/>
          </w:rPr>
          <w:t xml:space="preserve">  </w:t>
        </w:r>
        <w:proofErr w:type="spellStart"/>
        <w:r>
          <w:rPr>
            <w:rFonts w:ascii="Times New Roman"/>
            <w:color w:val="0000FF"/>
            <w:spacing w:val="-1"/>
            <w:u w:val="single" w:color="0000FF"/>
          </w:rPr>
          <w:t>ghz</w:t>
        </w:r>
        <w:proofErr w:type="spellEnd"/>
        <w:r>
          <w:rPr>
            <w:rFonts w:ascii="Times New Roman"/>
            <w:color w:val="0000FF"/>
            <w:spacing w:val="-1"/>
            <w:u w:val="single" w:color="0000FF"/>
          </w:rPr>
          <w:t>-band</w:t>
        </w:r>
        <w:proofErr w:type="gramEnd"/>
      </w:hyperlink>
    </w:p>
    <w:p w14:paraId="0A7D7CC6" w14:textId="77777777" w:rsidR="00B52D8F" w:rsidRDefault="00B52D8F" w:rsidP="00B52D8F">
      <w:pPr>
        <w:tabs>
          <w:tab w:val="left" w:pos="465"/>
        </w:tabs>
        <w:spacing w:before="83"/>
        <w:ind w:left="107"/>
        <w:rPr>
          <w:rFonts w:ascii="Times New Roman" w:hAnsi="Times New Roman"/>
          <w:szCs w:val="20"/>
        </w:rPr>
      </w:pPr>
      <w:r>
        <w:rPr>
          <w:rFonts w:ascii="Times New Roman"/>
          <w:w w:val="95"/>
          <w:position w:val="9"/>
          <w:sz w:val="13"/>
        </w:rPr>
        <w:t>15</w:t>
      </w:r>
      <w:r>
        <w:rPr>
          <w:rFonts w:ascii="Times New Roman"/>
          <w:w w:val="95"/>
          <w:position w:val="9"/>
          <w:sz w:val="13"/>
        </w:rPr>
        <w:tab/>
      </w:r>
      <w:r>
        <w:rPr>
          <w:rFonts w:ascii="Times New Roman"/>
        </w:rPr>
        <w:t>For</w:t>
      </w:r>
      <w:r>
        <w:rPr>
          <w:rFonts w:ascii="Times New Roman"/>
          <w:spacing w:val="-1"/>
        </w:rPr>
        <w:t xml:space="preserve"> details</w:t>
      </w:r>
      <w:r>
        <w:rPr>
          <w:rFonts w:ascii="Times New Roman"/>
        </w:rPr>
        <w:t xml:space="preserve"> on </w:t>
      </w:r>
      <w:r>
        <w:rPr>
          <w:rFonts w:ascii="Times New Roman"/>
          <w:spacing w:val="-1"/>
        </w:rPr>
        <w:t>ITS-G5 deployment</w:t>
      </w:r>
      <w:r>
        <w:rPr>
          <w:rFonts w:ascii="Times New Roman"/>
        </w:rPr>
        <w:t xml:space="preserve"> per </w:t>
      </w:r>
      <w:r>
        <w:rPr>
          <w:rFonts w:ascii="Times New Roman"/>
          <w:spacing w:val="-1"/>
        </w:rPr>
        <w:t>country,</w:t>
      </w:r>
      <w:r>
        <w:rPr>
          <w:rFonts w:ascii="Times New Roman"/>
          <w:spacing w:val="1"/>
        </w:rPr>
        <w:t xml:space="preserve"> </w:t>
      </w:r>
      <w:r>
        <w:rPr>
          <w:rFonts w:ascii="Times New Roman"/>
        </w:rPr>
        <w:t>see</w:t>
      </w:r>
    </w:p>
    <w:p w14:paraId="0A7D7CC7" w14:textId="77777777" w:rsidR="00B52D8F" w:rsidRDefault="009E5CE0" w:rsidP="00B52D8F">
      <w:pPr>
        <w:ind w:left="465"/>
        <w:rPr>
          <w:rFonts w:ascii="Times New Roman" w:hAnsi="Times New Roman"/>
          <w:szCs w:val="20"/>
        </w:rPr>
      </w:pPr>
      <w:hyperlink r:id="rId54">
        <w:r w:rsidR="00B52D8F">
          <w:rPr>
            <w:rFonts w:ascii="Times New Roman"/>
            <w:color w:val="0000FF"/>
            <w:spacing w:val="-1"/>
            <w:u w:val="single" w:color="0000FF"/>
          </w:rPr>
          <w:t>https://www.c-roads.eu/fileadmin/user_upload/media/Dokumente/c-roads-flyer_2.pdf</w:t>
        </w:r>
      </w:hyperlink>
    </w:p>
    <w:p w14:paraId="0A7D7CC8" w14:textId="77777777" w:rsidR="00B52D8F" w:rsidRDefault="00B52D8F" w:rsidP="00B52D8F">
      <w:pPr>
        <w:tabs>
          <w:tab w:val="left" w:pos="465"/>
        </w:tabs>
        <w:spacing w:before="83"/>
        <w:ind w:left="465" w:right="154" w:hanging="358"/>
        <w:rPr>
          <w:rFonts w:ascii="Times New Roman" w:hAnsi="Times New Roman"/>
          <w:szCs w:val="20"/>
        </w:rPr>
      </w:pPr>
      <w:r>
        <w:rPr>
          <w:rFonts w:ascii="Times New Roman"/>
          <w:w w:val="95"/>
          <w:position w:val="9"/>
          <w:sz w:val="13"/>
        </w:rPr>
        <w:t>16</w:t>
      </w:r>
      <w:r>
        <w:rPr>
          <w:rFonts w:ascii="Times New Roman"/>
          <w:w w:val="95"/>
          <w:position w:val="9"/>
          <w:sz w:val="13"/>
        </w:rPr>
        <w:tab/>
      </w:r>
      <w:r>
        <w:rPr>
          <w:rFonts w:ascii="Times New Roman"/>
          <w:spacing w:val="-1"/>
        </w:rPr>
        <w:t>Austria,</w:t>
      </w:r>
      <w:r>
        <w:rPr>
          <w:rFonts w:ascii="Times New Roman"/>
          <w:spacing w:val="43"/>
        </w:rPr>
        <w:t xml:space="preserve"> </w:t>
      </w:r>
      <w:r>
        <w:rPr>
          <w:rFonts w:ascii="Times New Roman"/>
          <w:spacing w:val="-1"/>
        </w:rPr>
        <w:t>Belgium,</w:t>
      </w:r>
      <w:r>
        <w:rPr>
          <w:rFonts w:ascii="Times New Roman"/>
          <w:spacing w:val="43"/>
        </w:rPr>
        <w:t xml:space="preserve"> </w:t>
      </w:r>
      <w:r>
        <w:rPr>
          <w:rFonts w:ascii="Times New Roman"/>
          <w:spacing w:val="-1"/>
        </w:rPr>
        <w:t>Czech</w:t>
      </w:r>
      <w:r>
        <w:rPr>
          <w:rFonts w:ascii="Times New Roman"/>
          <w:spacing w:val="43"/>
        </w:rPr>
        <w:t xml:space="preserve"> </w:t>
      </w:r>
      <w:r>
        <w:rPr>
          <w:rFonts w:ascii="Times New Roman"/>
          <w:spacing w:val="-1"/>
        </w:rPr>
        <w:t>Republic,</w:t>
      </w:r>
      <w:r>
        <w:rPr>
          <w:rFonts w:ascii="Times New Roman"/>
          <w:spacing w:val="43"/>
        </w:rPr>
        <w:t xml:space="preserve"> </w:t>
      </w:r>
      <w:r>
        <w:rPr>
          <w:rFonts w:ascii="Times New Roman"/>
          <w:spacing w:val="-1"/>
        </w:rPr>
        <w:t>France,</w:t>
      </w:r>
      <w:r>
        <w:rPr>
          <w:rFonts w:ascii="Times New Roman"/>
          <w:spacing w:val="43"/>
        </w:rPr>
        <w:t xml:space="preserve"> </w:t>
      </w:r>
      <w:r>
        <w:rPr>
          <w:rFonts w:ascii="Times New Roman"/>
          <w:spacing w:val="-1"/>
        </w:rPr>
        <w:t>Germany,</w:t>
      </w:r>
      <w:r>
        <w:rPr>
          <w:rFonts w:ascii="Times New Roman"/>
          <w:spacing w:val="43"/>
        </w:rPr>
        <w:t xml:space="preserve"> </w:t>
      </w:r>
      <w:r>
        <w:rPr>
          <w:rFonts w:ascii="Times New Roman"/>
          <w:spacing w:val="-1"/>
        </w:rPr>
        <w:t>The</w:t>
      </w:r>
      <w:r>
        <w:rPr>
          <w:rFonts w:ascii="Times New Roman"/>
          <w:spacing w:val="43"/>
        </w:rPr>
        <w:t xml:space="preserve"> </w:t>
      </w:r>
      <w:r>
        <w:rPr>
          <w:rFonts w:ascii="Times New Roman"/>
          <w:spacing w:val="-1"/>
        </w:rPr>
        <w:t>Netherlands,</w:t>
      </w:r>
      <w:r>
        <w:rPr>
          <w:rFonts w:ascii="Times New Roman"/>
          <w:spacing w:val="43"/>
        </w:rPr>
        <w:t xml:space="preserve"> </w:t>
      </w:r>
      <w:r>
        <w:rPr>
          <w:rFonts w:ascii="Times New Roman"/>
          <w:spacing w:val="-1"/>
        </w:rPr>
        <w:t>Slovenia,</w:t>
      </w:r>
      <w:r>
        <w:rPr>
          <w:rFonts w:ascii="Times New Roman"/>
          <w:spacing w:val="42"/>
        </w:rPr>
        <w:t xml:space="preserve"> </w:t>
      </w:r>
      <w:r>
        <w:rPr>
          <w:rFonts w:ascii="Times New Roman"/>
          <w:spacing w:val="-1"/>
        </w:rPr>
        <w:t>United</w:t>
      </w:r>
      <w:r>
        <w:rPr>
          <w:rFonts w:ascii="Times New Roman"/>
          <w:spacing w:val="43"/>
        </w:rPr>
        <w:t xml:space="preserve"> </w:t>
      </w:r>
      <w:r>
        <w:rPr>
          <w:rFonts w:ascii="Times New Roman"/>
          <w:spacing w:val="-1"/>
        </w:rPr>
        <w:t>Kingdom,</w:t>
      </w:r>
      <w:r>
        <w:rPr>
          <w:rFonts w:ascii="Times New Roman"/>
          <w:spacing w:val="115"/>
        </w:rPr>
        <w:t xml:space="preserve"> </w:t>
      </w:r>
      <w:r>
        <w:rPr>
          <w:rFonts w:ascii="Times New Roman"/>
          <w:spacing w:val="-1"/>
        </w:rPr>
        <w:t>Denmark, Finland, Hungary,</w:t>
      </w:r>
      <w:r>
        <w:rPr>
          <w:rFonts w:ascii="Times New Roman"/>
          <w:spacing w:val="-3"/>
        </w:rPr>
        <w:t xml:space="preserve"> </w:t>
      </w:r>
      <w:r>
        <w:rPr>
          <w:rFonts w:ascii="Times New Roman"/>
          <w:spacing w:val="-1"/>
        </w:rPr>
        <w:t>Italy,</w:t>
      </w:r>
      <w:r>
        <w:rPr>
          <w:rFonts w:ascii="Times New Roman"/>
        </w:rPr>
        <w:t xml:space="preserve"> </w:t>
      </w:r>
      <w:r>
        <w:rPr>
          <w:rFonts w:ascii="Times New Roman"/>
          <w:spacing w:val="-1"/>
        </w:rPr>
        <w:t>Norway,</w:t>
      </w:r>
      <w:r>
        <w:rPr>
          <w:rFonts w:ascii="Times New Roman"/>
        </w:rPr>
        <w:t xml:space="preserve"> </w:t>
      </w:r>
      <w:r>
        <w:rPr>
          <w:rFonts w:ascii="Times New Roman"/>
          <w:spacing w:val="-1"/>
        </w:rPr>
        <w:t>Portugal,</w:t>
      </w:r>
      <w:r>
        <w:rPr>
          <w:rFonts w:ascii="Times New Roman"/>
        </w:rPr>
        <w:t xml:space="preserve"> </w:t>
      </w:r>
      <w:r>
        <w:rPr>
          <w:rFonts w:ascii="Times New Roman"/>
          <w:spacing w:val="-1"/>
        </w:rPr>
        <w:t>Spain</w:t>
      </w:r>
      <w:r>
        <w:rPr>
          <w:rFonts w:ascii="Times New Roman"/>
          <w:spacing w:val="1"/>
        </w:rPr>
        <w:t xml:space="preserve"> </w:t>
      </w:r>
      <w:r>
        <w:rPr>
          <w:rFonts w:ascii="Times New Roman"/>
          <w:spacing w:val="-1"/>
        </w:rPr>
        <w:t>and</w:t>
      </w:r>
      <w:r>
        <w:rPr>
          <w:rFonts w:ascii="Times New Roman"/>
        </w:rPr>
        <w:t xml:space="preserve"> </w:t>
      </w:r>
      <w:r>
        <w:rPr>
          <w:rFonts w:ascii="Times New Roman"/>
          <w:spacing w:val="-1"/>
        </w:rPr>
        <w:t>Sweden.</w:t>
      </w:r>
    </w:p>
    <w:p w14:paraId="0A7D7CC9" w14:textId="77777777" w:rsidR="00B52D8F" w:rsidRDefault="00B52D8F" w:rsidP="00B52D8F">
      <w:pPr>
        <w:tabs>
          <w:tab w:val="left" w:pos="465"/>
        </w:tabs>
        <w:ind w:left="107"/>
        <w:rPr>
          <w:rFonts w:ascii="Times New Roman" w:hAnsi="Times New Roman"/>
          <w:szCs w:val="20"/>
        </w:rPr>
      </w:pPr>
      <w:r>
        <w:rPr>
          <w:rFonts w:ascii="Times New Roman"/>
          <w:w w:val="95"/>
          <w:position w:val="9"/>
          <w:sz w:val="13"/>
        </w:rPr>
        <w:t>17</w:t>
      </w:r>
      <w:r>
        <w:rPr>
          <w:rFonts w:ascii="Times New Roman"/>
          <w:w w:val="95"/>
          <w:position w:val="9"/>
          <w:sz w:val="13"/>
        </w:rPr>
        <w:tab/>
      </w:r>
      <w:hyperlink r:id="rId55">
        <w:r>
          <w:rPr>
            <w:rFonts w:ascii="Times New Roman"/>
            <w:color w:val="0000FF"/>
            <w:spacing w:val="-1"/>
            <w:u w:val="single" w:color="0000FF"/>
          </w:rPr>
          <w:t>www.c-roads.eu</w:t>
        </w:r>
      </w:hyperlink>
    </w:p>
    <w:p w14:paraId="0A7D7CCA" w14:textId="77777777" w:rsidR="00B52D8F" w:rsidRDefault="00B52D8F" w:rsidP="00B52D8F">
      <w:pPr>
        <w:tabs>
          <w:tab w:val="left" w:pos="465"/>
        </w:tabs>
        <w:spacing w:before="83"/>
        <w:ind w:left="465" w:right="177" w:hanging="358"/>
        <w:rPr>
          <w:rFonts w:ascii="Times New Roman" w:hAnsi="Times New Roman"/>
          <w:szCs w:val="20"/>
        </w:rPr>
      </w:pPr>
      <w:proofErr w:type="gramStart"/>
      <w:r>
        <w:rPr>
          <w:rFonts w:ascii="Times New Roman"/>
          <w:w w:val="95"/>
          <w:position w:val="9"/>
          <w:sz w:val="13"/>
        </w:rPr>
        <w:t>18</w:t>
      </w:r>
      <w:r>
        <w:rPr>
          <w:rFonts w:ascii="Times New Roman"/>
          <w:w w:val="95"/>
          <w:position w:val="9"/>
          <w:sz w:val="13"/>
        </w:rPr>
        <w:tab/>
      </w:r>
      <w:r>
        <w:rPr>
          <w:rFonts w:ascii="Times New Roman"/>
          <w:spacing w:val="-1"/>
        </w:rPr>
        <w:t>e.g.</w:t>
      </w:r>
      <w:r>
        <w:rPr>
          <w:rFonts w:ascii="Times New Roman"/>
          <w:spacing w:val="6"/>
        </w:rPr>
        <w:t xml:space="preserve"> </w:t>
      </w:r>
      <w:r>
        <w:rPr>
          <w:rFonts w:ascii="Times New Roman"/>
        </w:rPr>
        <w:t>the</w:t>
      </w:r>
      <w:r>
        <w:rPr>
          <w:rFonts w:ascii="Times New Roman"/>
          <w:spacing w:val="8"/>
        </w:rPr>
        <w:t xml:space="preserve"> </w:t>
      </w:r>
      <w:r>
        <w:rPr>
          <w:rFonts w:ascii="Times New Roman"/>
          <w:spacing w:val="-1"/>
        </w:rPr>
        <w:t>CONCORDA</w:t>
      </w:r>
      <w:r>
        <w:rPr>
          <w:rFonts w:ascii="Times New Roman"/>
          <w:spacing w:val="6"/>
        </w:rPr>
        <w:t xml:space="preserve"> </w:t>
      </w:r>
      <w:r>
        <w:rPr>
          <w:rFonts w:ascii="Times New Roman"/>
          <w:spacing w:val="-1"/>
        </w:rPr>
        <w:t>project</w:t>
      </w:r>
      <w:r>
        <w:rPr>
          <w:rFonts w:ascii="Times New Roman"/>
          <w:spacing w:val="7"/>
        </w:rPr>
        <w:t xml:space="preserve"> </w:t>
      </w:r>
      <w:r>
        <w:rPr>
          <w:rFonts w:ascii="Times New Roman"/>
        </w:rPr>
        <w:t>that</w:t>
      </w:r>
      <w:r>
        <w:rPr>
          <w:rFonts w:ascii="Times New Roman"/>
          <w:spacing w:val="6"/>
        </w:rPr>
        <w:t xml:space="preserve"> </w:t>
      </w:r>
      <w:r>
        <w:rPr>
          <w:rFonts w:ascii="Times New Roman"/>
        </w:rPr>
        <w:t>was</w:t>
      </w:r>
      <w:r>
        <w:rPr>
          <w:rFonts w:ascii="Times New Roman"/>
          <w:spacing w:val="6"/>
        </w:rPr>
        <w:t xml:space="preserve"> </w:t>
      </w:r>
      <w:r>
        <w:rPr>
          <w:rFonts w:ascii="Times New Roman"/>
          <w:spacing w:val="-1"/>
        </w:rPr>
        <w:t>selected</w:t>
      </w:r>
      <w:r>
        <w:rPr>
          <w:rFonts w:ascii="Times New Roman"/>
          <w:spacing w:val="7"/>
        </w:rPr>
        <w:t xml:space="preserve"> </w:t>
      </w:r>
      <w:r>
        <w:rPr>
          <w:rFonts w:ascii="Times New Roman"/>
        </w:rPr>
        <w:t>in</w:t>
      </w:r>
      <w:r>
        <w:rPr>
          <w:rFonts w:ascii="Times New Roman"/>
          <w:spacing w:val="7"/>
        </w:rPr>
        <w:t xml:space="preserve"> </w:t>
      </w:r>
      <w:r>
        <w:rPr>
          <w:rFonts w:ascii="Times New Roman"/>
        </w:rPr>
        <w:t>a</w:t>
      </w:r>
      <w:r>
        <w:rPr>
          <w:rFonts w:ascii="Times New Roman"/>
          <w:spacing w:val="6"/>
        </w:rPr>
        <w:t xml:space="preserve"> </w:t>
      </w:r>
      <w:r>
        <w:rPr>
          <w:rFonts w:ascii="Times New Roman"/>
          <w:spacing w:val="-1"/>
        </w:rPr>
        <w:t>recent</w:t>
      </w:r>
      <w:r>
        <w:rPr>
          <w:rFonts w:ascii="Times New Roman"/>
          <w:spacing w:val="6"/>
        </w:rPr>
        <w:t xml:space="preserve"> </w:t>
      </w:r>
      <w:r>
        <w:rPr>
          <w:rFonts w:ascii="Times New Roman"/>
          <w:spacing w:val="-1"/>
        </w:rPr>
        <w:t>CEF-Transport</w:t>
      </w:r>
      <w:r>
        <w:rPr>
          <w:rFonts w:ascii="Times New Roman"/>
          <w:spacing w:val="6"/>
        </w:rPr>
        <w:t xml:space="preserve"> </w:t>
      </w:r>
      <w:r>
        <w:rPr>
          <w:rFonts w:ascii="Times New Roman"/>
          <w:spacing w:val="-1"/>
        </w:rPr>
        <w:t>evaluation</w:t>
      </w:r>
      <w:r>
        <w:rPr>
          <w:rFonts w:ascii="Times New Roman"/>
          <w:spacing w:val="7"/>
        </w:rPr>
        <w:t xml:space="preserve"> </w:t>
      </w:r>
      <w:r>
        <w:rPr>
          <w:rFonts w:ascii="Times New Roman"/>
          <w:spacing w:val="-1"/>
        </w:rPr>
        <w:t>and</w:t>
      </w:r>
      <w:r>
        <w:rPr>
          <w:rFonts w:ascii="Times New Roman"/>
          <w:spacing w:val="7"/>
        </w:rPr>
        <w:t xml:space="preserve"> </w:t>
      </w:r>
      <w:r>
        <w:rPr>
          <w:rFonts w:ascii="Times New Roman"/>
        </w:rPr>
        <w:t>is</w:t>
      </w:r>
      <w:r>
        <w:rPr>
          <w:rFonts w:ascii="Times New Roman"/>
          <w:spacing w:val="6"/>
        </w:rPr>
        <w:t xml:space="preserve"> </w:t>
      </w:r>
      <w:r>
        <w:rPr>
          <w:rFonts w:ascii="Times New Roman"/>
          <w:spacing w:val="-1"/>
        </w:rPr>
        <w:t>currently</w:t>
      </w:r>
      <w:r>
        <w:rPr>
          <w:rFonts w:ascii="Times New Roman"/>
          <w:spacing w:val="6"/>
        </w:rPr>
        <w:t xml:space="preserve"> </w:t>
      </w:r>
      <w:r>
        <w:rPr>
          <w:rFonts w:ascii="Times New Roman"/>
        </w:rPr>
        <w:t>in</w:t>
      </w:r>
      <w:r>
        <w:rPr>
          <w:rFonts w:ascii="Times New Roman"/>
          <w:spacing w:val="93"/>
        </w:rPr>
        <w:t xml:space="preserve"> </w:t>
      </w:r>
      <w:r>
        <w:rPr>
          <w:rFonts w:ascii="Times New Roman"/>
        </w:rPr>
        <w:t>the contract</w:t>
      </w:r>
      <w:r>
        <w:rPr>
          <w:rFonts w:ascii="Times New Roman"/>
          <w:spacing w:val="-2"/>
        </w:rPr>
        <w:t xml:space="preserve"> </w:t>
      </w:r>
      <w:r>
        <w:rPr>
          <w:rFonts w:ascii="Times New Roman"/>
          <w:spacing w:val="-1"/>
        </w:rPr>
        <w:t>signature phase.</w:t>
      </w:r>
      <w:proofErr w:type="gramEnd"/>
    </w:p>
    <w:p w14:paraId="0A7D7CCB" w14:textId="77777777" w:rsidR="00B52D8F" w:rsidRDefault="00B52D8F" w:rsidP="00B52D8F">
      <w:pPr>
        <w:tabs>
          <w:tab w:val="left" w:pos="465"/>
        </w:tabs>
        <w:ind w:left="465" w:right="1165" w:hanging="358"/>
        <w:rPr>
          <w:rFonts w:ascii="Times New Roman" w:hAnsi="Times New Roman"/>
          <w:szCs w:val="20"/>
        </w:rPr>
      </w:pPr>
      <w:r>
        <w:rPr>
          <w:rFonts w:ascii="Times New Roman"/>
          <w:w w:val="95"/>
          <w:position w:val="9"/>
          <w:sz w:val="13"/>
        </w:rPr>
        <w:t>19</w:t>
      </w:r>
      <w:r>
        <w:rPr>
          <w:rFonts w:ascii="Times New Roman"/>
          <w:w w:val="95"/>
          <w:position w:val="9"/>
          <w:sz w:val="13"/>
        </w:rPr>
        <w:tab/>
      </w:r>
      <w:hyperlink r:id="rId56">
        <w:r>
          <w:rPr>
            <w:rFonts w:ascii="Times New Roman"/>
            <w:color w:val="0000FF"/>
            <w:spacing w:val="-1"/>
            <w:u w:val="single" w:color="0000FF"/>
          </w:rPr>
          <w:t>http://eur-lex.europa.eu/legal-</w:t>
        </w:r>
      </w:hyperlink>
      <w:r>
        <w:rPr>
          <w:rFonts w:ascii="Times New Roman"/>
          <w:color w:val="0000FF"/>
        </w:rPr>
        <w:t xml:space="preserve"> </w:t>
      </w:r>
      <w:hyperlink r:id="rId57">
        <w:r>
          <w:rPr>
            <w:rFonts w:ascii="Times New Roman"/>
            <w:color w:val="0000FF"/>
          </w:rPr>
          <w:t xml:space="preserve"> </w:t>
        </w:r>
        <w:r>
          <w:rPr>
            <w:rFonts w:ascii="Times New Roman"/>
            <w:color w:val="0000FF"/>
            <w:spacing w:val="-1"/>
            <w:u w:val="single" w:color="0000FF"/>
          </w:rPr>
          <w:t>content/EN/TXT/?uri=uriserv:OJ.C_.2017.180.01.0005.01.ENG&amp;toc=OJ:C:2017:180:TOC</w:t>
        </w:r>
      </w:hyperlink>
    </w:p>
    <w:p w14:paraId="0A7D7CCC" w14:textId="77777777" w:rsidR="00B52D8F" w:rsidRDefault="00B52D8F" w:rsidP="00B52D8F">
      <w:pPr>
        <w:rPr>
          <w:rFonts w:ascii="Times New Roman" w:hAnsi="Times New Roman"/>
          <w:szCs w:val="20"/>
        </w:rPr>
        <w:sectPr w:rsidR="00B52D8F">
          <w:pgSz w:w="11910" w:h="16840"/>
          <w:pgMar w:top="1040" w:right="1440" w:bottom="820" w:left="1480" w:header="0" w:footer="633" w:gutter="0"/>
          <w:cols w:space="708"/>
        </w:sectPr>
      </w:pPr>
    </w:p>
    <w:p w14:paraId="0A7D7CCD" w14:textId="77777777" w:rsidR="00B52D8F" w:rsidRPr="00CB1431" w:rsidRDefault="00B52D8F" w:rsidP="005F5E47">
      <w:pPr>
        <w:ind w:left="465"/>
        <w:rPr>
          <w:rFonts w:ascii="Times New Roman" w:hAnsi="Times New Roman"/>
          <w:b/>
          <w:sz w:val="24"/>
        </w:rPr>
      </w:pPr>
      <w:proofErr w:type="gramStart"/>
      <w:r w:rsidRPr="00CB1431">
        <w:rPr>
          <w:rFonts w:ascii="Times New Roman" w:hAnsi="Times New Roman"/>
          <w:b/>
          <w:sz w:val="24"/>
        </w:rPr>
        <w:lastRenderedPageBreak/>
        <w:t>ITS</w:t>
      </w:r>
      <w:proofErr w:type="gramEnd"/>
      <w:r w:rsidRPr="00CB1431">
        <w:rPr>
          <w:rFonts w:ascii="Times New Roman" w:hAnsi="Times New Roman"/>
          <w:b/>
          <w:sz w:val="24"/>
        </w:rPr>
        <w:t xml:space="preserve"> in the urban rail sector</w:t>
      </w:r>
    </w:p>
    <w:p w14:paraId="0A7D7CCE" w14:textId="77777777" w:rsidR="00B52D8F" w:rsidRDefault="00B52D8F" w:rsidP="005F5E47">
      <w:pPr>
        <w:pStyle w:val="BodyText"/>
        <w:spacing w:line="232" w:lineRule="auto"/>
        <w:ind w:left="465" w:right="115"/>
      </w:pPr>
      <w:r>
        <w:t>Urban</w:t>
      </w:r>
      <w:r>
        <w:rPr>
          <w:spacing w:val="25"/>
        </w:rPr>
        <w:t xml:space="preserve"> </w:t>
      </w:r>
      <w:r>
        <w:rPr>
          <w:spacing w:val="-1"/>
        </w:rPr>
        <w:t>Rail</w:t>
      </w:r>
      <w:r>
        <w:rPr>
          <w:spacing w:val="25"/>
        </w:rPr>
        <w:t xml:space="preserve"> </w:t>
      </w:r>
      <w:r>
        <w:t>(such</w:t>
      </w:r>
      <w:r>
        <w:rPr>
          <w:spacing w:val="25"/>
        </w:rPr>
        <w:t xml:space="preserve"> </w:t>
      </w:r>
      <w:r>
        <w:t>as</w:t>
      </w:r>
      <w:r>
        <w:rPr>
          <w:spacing w:val="25"/>
        </w:rPr>
        <w:t xml:space="preserve"> </w:t>
      </w:r>
      <w:r>
        <w:rPr>
          <w:spacing w:val="-1"/>
        </w:rPr>
        <w:t>metros,</w:t>
      </w:r>
      <w:r>
        <w:rPr>
          <w:spacing w:val="25"/>
        </w:rPr>
        <w:t xml:space="preserve"> </w:t>
      </w:r>
      <w:r>
        <w:rPr>
          <w:spacing w:val="-1"/>
        </w:rPr>
        <w:t>trams,</w:t>
      </w:r>
      <w:r>
        <w:rPr>
          <w:spacing w:val="26"/>
        </w:rPr>
        <w:t xml:space="preserve"> </w:t>
      </w:r>
      <w:r>
        <w:t>light</w:t>
      </w:r>
      <w:r>
        <w:rPr>
          <w:spacing w:val="25"/>
        </w:rPr>
        <w:t xml:space="preserve"> </w:t>
      </w:r>
      <w:r>
        <w:rPr>
          <w:spacing w:val="-1"/>
        </w:rPr>
        <w:t>trains)</w:t>
      </w:r>
      <w:r>
        <w:rPr>
          <w:spacing w:val="27"/>
        </w:rPr>
        <w:t xml:space="preserve"> </w:t>
      </w:r>
      <w:r>
        <w:t>consists</w:t>
      </w:r>
      <w:r>
        <w:rPr>
          <w:spacing w:val="24"/>
        </w:rPr>
        <w:t xml:space="preserve"> </w:t>
      </w:r>
      <w:r>
        <w:t>of</w:t>
      </w:r>
      <w:r>
        <w:rPr>
          <w:spacing w:val="25"/>
        </w:rPr>
        <w:t xml:space="preserve"> </w:t>
      </w:r>
      <w:r>
        <w:t>public</w:t>
      </w:r>
      <w:r>
        <w:rPr>
          <w:spacing w:val="25"/>
        </w:rPr>
        <w:t xml:space="preserve"> </w:t>
      </w:r>
      <w:r>
        <w:rPr>
          <w:spacing w:val="-1"/>
        </w:rPr>
        <w:t>transport</w:t>
      </w:r>
      <w:r>
        <w:rPr>
          <w:spacing w:val="25"/>
        </w:rPr>
        <w:t xml:space="preserve"> </w:t>
      </w:r>
      <w:r>
        <w:t>systems</w:t>
      </w:r>
      <w:r>
        <w:rPr>
          <w:spacing w:val="53"/>
        </w:rPr>
        <w:t xml:space="preserve"> </w:t>
      </w:r>
      <w:r>
        <w:rPr>
          <w:spacing w:val="-1"/>
        </w:rPr>
        <w:t>permanently</w:t>
      </w:r>
      <w:r>
        <w:rPr>
          <w:spacing w:val="6"/>
        </w:rPr>
        <w:t xml:space="preserve"> </w:t>
      </w:r>
      <w:r>
        <w:t>guided</w:t>
      </w:r>
      <w:r>
        <w:rPr>
          <w:spacing w:val="6"/>
        </w:rPr>
        <w:t xml:space="preserve"> </w:t>
      </w:r>
      <w:r>
        <w:t>by</w:t>
      </w:r>
      <w:r>
        <w:rPr>
          <w:spacing w:val="5"/>
        </w:rPr>
        <w:t xml:space="preserve"> </w:t>
      </w:r>
      <w:r>
        <w:rPr>
          <w:spacing w:val="-1"/>
        </w:rPr>
        <w:t>at</w:t>
      </w:r>
      <w:r>
        <w:rPr>
          <w:spacing w:val="6"/>
        </w:rPr>
        <w:t xml:space="preserve"> </w:t>
      </w:r>
      <w:r>
        <w:rPr>
          <w:spacing w:val="-1"/>
        </w:rPr>
        <w:t>least</w:t>
      </w:r>
      <w:r>
        <w:rPr>
          <w:spacing w:val="6"/>
        </w:rPr>
        <w:t xml:space="preserve"> </w:t>
      </w:r>
      <w:r>
        <w:t>one</w:t>
      </w:r>
      <w:r>
        <w:rPr>
          <w:spacing w:val="4"/>
        </w:rPr>
        <w:t xml:space="preserve"> </w:t>
      </w:r>
      <w:r>
        <w:t>rail,</w:t>
      </w:r>
      <w:r>
        <w:rPr>
          <w:spacing w:val="5"/>
        </w:rPr>
        <w:t xml:space="preserve"> </w:t>
      </w:r>
      <w:r>
        <w:rPr>
          <w:spacing w:val="-1"/>
        </w:rPr>
        <w:t>intended</w:t>
      </w:r>
      <w:r>
        <w:rPr>
          <w:spacing w:val="4"/>
        </w:rPr>
        <w:t xml:space="preserve"> </w:t>
      </w:r>
      <w:r>
        <w:t>for</w:t>
      </w:r>
      <w:r>
        <w:rPr>
          <w:spacing w:val="5"/>
        </w:rPr>
        <w:t xml:space="preserve"> </w:t>
      </w:r>
      <w:r>
        <w:t>the</w:t>
      </w:r>
      <w:r>
        <w:rPr>
          <w:spacing w:val="6"/>
        </w:rPr>
        <w:t xml:space="preserve"> </w:t>
      </w:r>
      <w:r>
        <w:rPr>
          <w:spacing w:val="-1"/>
        </w:rPr>
        <w:t>operation</w:t>
      </w:r>
      <w:r>
        <w:rPr>
          <w:spacing w:val="6"/>
        </w:rPr>
        <w:t xml:space="preserve"> </w:t>
      </w:r>
      <w:r>
        <w:t>of</w:t>
      </w:r>
      <w:r>
        <w:rPr>
          <w:spacing w:val="5"/>
        </w:rPr>
        <w:t xml:space="preserve"> </w:t>
      </w:r>
      <w:r>
        <w:rPr>
          <w:spacing w:val="-1"/>
        </w:rPr>
        <w:t>local,</w:t>
      </w:r>
      <w:r>
        <w:rPr>
          <w:spacing w:val="6"/>
        </w:rPr>
        <w:t xml:space="preserve"> </w:t>
      </w:r>
      <w:r>
        <w:t>urban</w:t>
      </w:r>
      <w:r>
        <w:rPr>
          <w:spacing w:val="4"/>
        </w:rPr>
        <w:t xml:space="preserve"> </w:t>
      </w:r>
      <w:r>
        <w:t>and</w:t>
      </w:r>
      <w:r>
        <w:rPr>
          <w:spacing w:val="67"/>
        </w:rPr>
        <w:t xml:space="preserve"> </w:t>
      </w:r>
      <w:r>
        <w:t>suburban</w:t>
      </w:r>
      <w:r>
        <w:rPr>
          <w:spacing w:val="1"/>
        </w:rPr>
        <w:t xml:space="preserve"> </w:t>
      </w:r>
      <w:r>
        <w:rPr>
          <w:spacing w:val="-1"/>
        </w:rPr>
        <w:t>passenger</w:t>
      </w:r>
      <w:r>
        <w:rPr>
          <w:spacing w:val="1"/>
        </w:rPr>
        <w:t xml:space="preserve"> </w:t>
      </w:r>
      <w:r>
        <w:rPr>
          <w:spacing w:val="-1"/>
        </w:rPr>
        <w:t>services</w:t>
      </w:r>
      <w:r>
        <w:rPr>
          <w:spacing w:val="1"/>
        </w:rPr>
        <w:t xml:space="preserve"> </w:t>
      </w:r>
      <w:r>
        <w:rPr>
          <w:spacing w:val="-1"/>
        </w:rPr>
        <w:t>segregated</w:t>
      </w:r>
      <w:r>
        <w:rPr>
          <w:spacing w:val="1"/>
        </w:rPr>
        <w:t xml:space="preserve"> </w:t>
      </w:r>
      <w:r>
        <w:t>or</w:t>
      </w:r>
      <w:r>
        <w:rPr>
          <w:spacing w:val="1"/>
        </w:rPr>
        <w:t xml:space="preserve"> </w:t>
      </w:r>
      <w:r>
        <w:rPr>
          <w:spacing w:val="-1"/>
        </w:rPr>
        <w:t>not</w:t>
      </w:r>
      <w:r>
        <w:rPr>
          <w:spacing w:val="1"/>
        </w:rPr>
        <w:t xml:space="preserve"> </w:t>
      </w:r>
      <w:r>
        <w:t>from</w:t>
      </w:r>
      <w:r>
        <w:rPr>
          <w:spacing w:val="59"/>
        </w:rPr>
        <w:t xml:space="preserve"> </w:t>
      </w:r>
      <w:r>
        <w:t>general</w:t>
      </w:r>
      <w:r>
        <w:rPr>
          <w:spacing w:val="1"/>
        </w:rPr>
        <w:t xml:space="preserve"> </w:t>
      </w:r>
      <w:r>
        <w:t xml:space="preserve">road </w:t>
      </w:r>
      <w:r>
        <w:rPr>
          <w:spacing w:val="-1"/>
        </w:rPr>
        <w:t>and</w:t>
      </w:r>
      <w:r>
        <w:t xml:space="preserve"> pedestrian</w:t>
      </w:r>
      <w:r>
        <w:rPr>
          <w:spacing w:val="57"/>
        </w:rPr>
        <w:t xml:space="preserve"> </w:t>
      </w:r>
      <w:r>
        <w:rPr>
          <w:spacing w:val="-1"/>
        </w:rPr>
        <w:t>traffic.</w:t>
      </w:r>
      <w:r>
        <w:rPr>
          <w:spacing w:val="34"/>
        </w:rPr>
        <w:t xml:space="preserve"> </w:t>
      </w:r>
      <w:r>
        <w:rPr>
          <w:spacing w:val="-1"/>
        </w:rPr>
        <w:t>Some</w:t>
      </w:r>
      <w:r>
        <w:rPr>
          <w:spacing w:val="34"/>
        </w:rPr>
        <w:t xml:space="preserve"> </w:t>
      </w:r>
      <w:r>
        <w:t>of</w:t>
      </w:r>
      <w:r>
        <w:rPr>
          <w:spacing w:val="33"/>
        </w:rPr>
        <w:t xml:space="preserve"> </w:t>
      </w:r>
      <w:r>
        <w:t>those</w:t>
      </w:r>
      <w:r>
        <w:rPr>
          <w:spacing w:val="35"/>
        </w:rPr>
        <w:t xml:space="preserve"> </w:t>
      </w:r>
      <w:r>
        <w:rPr>
          <w:spacing w:val="-1"/>
        </w:rPr>
        <w:t>systems</w:t>
      </w:r>
      <w:r>
        <w:rPr>
          <w:spacing w:val="37"/>
        </w:rPr>
        <w:t xml:space="preserve"> </w:t>
      </w:r>
      <w:r>
        <w:t>(in</w:t>
      </w:r>
      <w:r>
        <w:rPr>
          <w:spacing w:val="34"/>
        </w:rPr>
        <w:t xml:space="preserve"> </w:t>
      </w:r>
      <w:r>
        <w:rPr>
          <w:spacing w:val="-1"/>
        </w:rPr>
        <w:t>particular</w:t>
      </w:r>
      <w:r>
        <w:rPr>
          <w:spacing w:val="35"/>
        </w:rPr>
        <w:t xml:space="preserve"> </w:t>
      </w:r>
      <w:r>
        <w:rPr>
          <w:spacing w:val="-1"/>
        </w:rPr>
        <w:t>metros</w:t>
      </w:r>
      <w:r>
        <w:rPr>
          <w:spacing w:val="33"/>
        </w:rPr>
        <w:t xml:space="preserve"> </w:t>
      </w:r>
      <w:r>
        <w:t>and</w:t>
      </w:r>
      <w:r>
        <w:rPr>
          <w:spacing w:val="34"/>
        </w:rPr>
        <w:t xml:space="preserve"> </w:t>
      </w:r>
      <w:r>
        <w:rPr>
          <w:spacing w:val="-1"/>
        </w:rPr>
        <w:t>suburban</w:t>
      </w:r>
      <w:r>
        <w:rPr>
          <w:spacing w:val="34"/>
        </w:rPr>
        <w:t xml:space="preserve"> </w:t>
      </w:r>
      <w:r>
        <w:t>rail</w:t>
      </w:r>
      <w:r>
        <w:rPr>
          <w:spacing w:val="34"/>
        </w:rPr>
        <w:t xml:space="preserve"> </w:t>
      </w:r>
      <w:r>
        <w:rPr>
          <w:spacing w:val="-1"/>
        </w:rPr>
        <w:t>lines)</w:t>
      </w:r>
      <w:r>
        <w:rPr>
          <w:spacing w:val="71"/>
        </w:rPr>
        <w:t xml:space="preserve"> </w:t>
      </w:r>
      <w:r>
        <w:rPr>
          <w:spacing w:val="-1"/>
        </w:rPr>
        <w:t>increasingly</w:t>
      </w:r>
      <w:r>
        <w:t xml:space="preserve"> </w:t>
      </w:r>
      <w:r>
        <w:rPr>
          <w:spacing w:val="3"/>
        </w:rPr>
        <w:t xml:space="preserve"> </w:t>
      </w:r>
      <w:r>
        <w:t xml:space="preserve">use </w:t>
      </w:r>
      <w:r>
        <w:rPr>
          <w:spacing w:val="5"/>
        </w:rPr>
        <w:t xml:space="preserve"> </w:t>
      </w:r>
      <w:r>
        <w:rPr>
          <w:spacing w:val="-1"/>
        </w:rPr>
        <w:t>Communication</w:t>
      </w:r>
      <w:r>
        <w:t xml:space="preserve"> </w:t>
      </w:r>
      <w:r>
        <w:rPr>
          <w:spacing w:val="5"/>
        </w:rPr>
        <w:t xml:space="preserve"> </w:t>
      </w:r>
      <w:r>
        <w:rPr>
          <w:spacing w:val="-1"/>
        </w:rPr>
        <w:t>Based</w:t>
      </w:r>
      <w:r>
        <w:t xml:space="preserve"> </w:t>
      </w:r>
      <w:r>
        <w:rPr>
          <w:spacing w:val="5"/>
        </w:rPr>
        <w:t xml:space="preserve"> </w:t>
      </w:r>
      <w:r>
        <w:rPr>
          <w:spacing w:val="-1"/>
        </w:rPr>
        <w:t>Train</w:t>
      </w:r>
      <w:r>
        <w:t xml:space="preserve"> </w:t>
      </w:r>
      <w:r>
        <w:rPr>
          <w:spacing w:val="4"/>
        </w:rPr>
        <w:t xml:space="preserve"> </w:t>
      </w:r>
      <w:r>
        <w:rPr>
          <w:spacing w:val="-1"/>
        </w:rPr>
        <w:t>Control</w:t>
      </w:r>
      <w:r>
        <w:t xml:space="preserve"> </w:t>
      </w:r>
      <w:r>
        <w:rPr>
          <w:spacing w:val="5"/>
        </w:rPr>
        <w:t xml:space="preserve"> </w:t>
      </w:r>
      <w:r>
        <w:rPr>
          <w:spacing w:val="-1"/>
        </w:rPr>
        <w:t>(CBTC)</w:t>
      </w:r>
      <w:r>
        <w:rPr>
          <w:spacing w:val="45"/>
        </w:rPr>
        <w:t xml:space="preserve"> </w:t>
      </w:r>
      <w:r>
        <w:rPr>
          <w:position w:val="11"/>
          <w:sz w:val="16"/>
        </w:rPr>
        <w:t>20</w:t>
      </w:r>
      <w:r>
        <w:t xml:space="preserve">, </w:t>
      </w:r>
      <w:r>
        <w:rPr>
          <w:spacing w:val="4"/>
        </w:rPr>
        <w:t xml:space="preserve"> </w:t>
      </w:r>
      <w:r>
        <w:t xml:space="preserve">often </w:t>
      </w:r>
      <w:r>
        <w:rPr>
          <w:spacing w:val="4"/>
        </w:rPr>
        <w:t xml:space="preserve"> </w:t>
      </w:r>
      <w:r>
        <w:t xml:space="preserve">also </w:t>
      </w:r>
      <w:r>
        <w:rPr>
          <w:spacing w:val="4"/>
        </w:rPr>
        <w:t xml:space="preserve"> </w:t>
      </w:r>
      <w:r>
        <w:t>for</w:t>
      </w:r>
      <w:r w:rsidR="000A739F">
        <w:t xml:space="preserve"> </w:t>
      </w:r>
      <w:r>
        <w:t>Unattended</w:t>
      </w:r>
      <w:r>
        <w:rPr>
          <w:spacing w:val="35"/>
        </w:rPr>
        <w:t xml:space="preserve"> </w:t>
      </w:r>
      <w:r>
        <w:rPr>
          <w:spacing w:val="-1"/>
        </w:rPr>
        <w:t>(driverless)</w:t>
      </w:r>
      <w:r>
        <w:rPr>
          <w:spacing w:val="35"/>
        </w:rPr>
        <w:t xml:space="preserve"> </w:t>
      </w:r>
      <w:r>
        <w:t>Train</w:t>
      </w:r>
      <w:r>
        <w:rPr>
          <w:spacing w:val="35"/>
        </w:rPr>
        <w:t xml:space="preserve"> </w:t>
      </w:r>
      <w:r>
        <w:rPr>
          <w:spacing w:val="-1"/>
        </w:rPr>
        <w:t>Operations</w:t>
      </w:r>
      <w:r>
        <w:rPr>
          <w:spacing w:val="36"/>
        </w:rPr>
        <w:t xml:space="preserve"> </w:t>
      </w:r>
      <w:r>
        <w:rPr>
          <w:spacing w:val="-1"/>
        </w:rPr>
        <w:t>(UTO).</w:t>
      </w:r>
      <w:r>
        <w:rPr>
          <w:spacing w:val="37"/>
        </w:rPr>
        <w:t xml:space="preserve"> </w:t>
      </w:r>
      <w:r>
        <w:t>The</w:t>
      </w:r>
      <w:r>
        <w:rPr>
          <w:spacing w:val="36"/>
        </w:rPr>
        <w:t xml:space="preserve"> </w:t>
      </w:r>
      <w:r>
        <w:t>operational</w:t>
      </w:r>
      <w:r>
        <w:rPr>
          <w:spacing w:val="37"/>
        </w:rPr>
        <w:t xml:space="preserve"> </w:t>
      </w:r>
      <w:r>
        <w:rPr>
          <w:spacing w:val="-1"/>
        </w:rPr>
        <w:t>characteristics</w:t>
      </w:r>
      <w:r>
        <w:rPr>
          <w:spacing w:val="36"/>
        </w:rPr>
        <w:t xml:space="preserve"> </w:t>
      </w:r>
      <w:r>
        <w:t>of</w:t>
      </w:r>
      <w:r>
        <w:rPr>
          <w:spacing w:val="75"/>
        </w:rPr>
        <w:t xml:space="preserve"> </w:t>
      </w:r>
      <w:r>
        <w:t>this</w:t>
      </w:r>
      <w:r>
        <w:rPr>
          <w:spacing w:val="26"/>
        </w:rPr>
        <w:t xml:space="preserve"> </w:t>
      </w:r>
      <w:r>
        <w:rPr>
          <w:spacing w:val="-1"/>
        </w:rPr>
        <w:t>application</w:t>
      </w:r>
      <w:r>
        <w:rPr>
          <w:spacing w:val="28"/>
        </w:rPr>
        <w:t xml:space="preserve"> </w:t>
      </w:r>
      <w:r>
        <w:rPr>
          <w:spacing w:val="-1"/>
        </w:rPr>
        <w:t>qualify</w:t>
      </w:r>
      <w:r>
        <w:rPr>
          <w:spacing w:val="27"/>
        </w:rPr>
        <w:t xml:space="preserve"> </w:t>
      </w:r>
      <w:r>
        <w:t>it</w:t>
      </w:r>
      <w:r>
        <w:rPr>
          <w:spacing w:val="27"/>
        </w:rPr>
        <w:t xml:space="preserve"> </w:t>
      </w:r>
      <w:r>
        <w:t>for</w:t>
      </w:r>
      <w:r>
        <w:rPr>
          <w:spacing w:val="28"/>
        </w:rPr>
        <w:t xml:space="preserve"> </w:t>
      </w:r>
      <w:r>
        <w:t>using</w:t>
      </w:r>
      <w:r>
        <w:rPr>
          <w:spacing w:val="26"/>
        </w:rPr>
        <w:t xml:space="preserve"> </w:t>
      </w:r>
      <w:r>
        <w:rPr>
          <w:spacing w:val="-1"/>
        </w:rPr>
        <w:t>spectrum</w:t>
      </w:r>
      <w:r>
        <w:rPr>
          <w:spacing w:val="26"/>
        </w:rPr>
        <w:t xml:space="preserve"> </w:t>
      </w:r>
      <w:r>
        <w:t>in</w:t>
      </w:r>
      <w:r>
        <w:rPr>
          <w:spacing w:val="27"/>
        </w:rPr>
        <w:t xml:space="preserve"> </w:t>
      </w:r>
      <w:r>
        <w:rPr>
          <w:spacing w:val="-1"/>
        </w:rPr>
        <w:t>the</w:t>
      </w:r>
      <w:r>
        <w:rPr>
          <w:spacing w:val="27"/>
        </w:rPr>
        <w:t xml:space="preserve"> </w:t>
      </w:r>
      <w:r>
        <w:rPr>
          <w:spacing w:val="-1"/>
        </w:rPr>
        <w:t>frequency</w:t>
      </w:r>
      <w:r>
        <w:rPr>
          <w:spacing w:val="27"/>
        </w:rPr>
        <w:t xml:space="preserve"> </w:t>
      </w:r>
      <w:r>
        <w:t>range</w:t>
      </w:r>
      <w:r>
        <w:rPr>
          <w:spacing w:val="28"/>
        </w:rPr>
        <w:t xml:space="preserve"> </w:t>
      </w:r>
      <w:r>
        <w:rPr>
          <w:spacing w:val="-1"/>
        </w:rPr>
        <w:t>between</w:t>
      </w:r>
      <w:r>
        <w:rPr>
          <w:spacing w:val="27"/>
        </w:rPr>
        <w:t xml:space="preserve"> </w:t>
      </w:r>
      <w:r>
        <w:t>5</w:t>
      </w:r>
      <w:r>
        <w:rPr>
          <w:spacing w:val="27"/>
        </w:rPr>
        <w:t xml:space="preserve"> </w:t>
      </w:r>
      <w:r>
        <w:t>and</w:t>
      </w:r>
      <w:r>
        <w:rPr>
          <w:spacing w:val="75"/>
        </w:rPr>
        <w:t xml:space="preserve"> </w:t>
      </w:r>
      <w:r>
        <w:t xml:space="preserve">6 </w:t>
      </w:r>
      <w:r>
        <w:rPr>
          <w:spacing w:val="-1"/>
        </w:rPr>
        <w:t>GHz.</w:t>
      </w:r>
      <w:r>
        <w:rPr>
          <w:spacing w:val="7"/>
        </w:rPr>
        <w:t xml:space="preserve"> </w:t>
      </w:r>
      <w:r>
        <w:t>Today,</w:t>
      </w:r>
      <w:r>
        <w:rPr>
          <w:spacing w:val="7"/>
        </w:rPr>
        <w:t xml:space="preserve"> </w:t>
      </w:r>
      <w:r>
        <w:t>a</w:t>
      </w:r>
      <w:r>
        <w:rPr>
          <w:spacing w:val="7"/>
        </w:rPr>
        <w:t xml:space="preserve"> </w:t>
      </w:r>
      <w:r>
        <w:t>variety</w:t>
      </w:r>
      <w:r>
        <w:rPr>
          <w:spacing w:val="5"/>
        </w:rPr>
        <w:t xml:space="preserve"> </w:t>
      </w:r>
      <w:r>
        <w:t>of</w:t>
      </w:r>
      <w:r>
        <w:rPr>
          <w:spacing w:val="6"/>
        </w:rPr>
        <w:t xml:space="preserve"> </w:t>
      </w:r>
      <w:r>
        <w:t>proprietary</w:t>
      </w:r>
      <w:r>
        <w:rPr>
          <w:spacing w:val="6"/>
        </w:rPr>
        <w:t xml:space="preserve"> </w:t>
      </w:r>
      <w:r>
        <w:t>Urban</w:t>
      </w:r>
      <w:r>
        <w:rPr>
          <w:spacing w:val="7"/>
        </w:rPr>
        <w:t xml:space="preserve"> </w:t>
      </w:r>
      <w:r>
        <w:t>Rail</w:t>
      </w:r>
      <w:r>
        <w:rPr>
          <w:spacing w:val="10"/>
        </w:rPr>
        <w:t xml:space="preserve"> </w:t>
      </w:r>
      <w:r>
        <w:rPr>
          <w:spacing w:val="-1"/>
        </w:rPr>
        <w:t>systems</w:t>
      </w:r>
      <w:r>
        <w:rPr>
          <w:spacing w:val="7"/>
        </w:rPr>
        <w:t xml:space="preserve"> </w:t>
      </w:r>
      <w:r>
        <w:t>exist</w:t>
      </w:r>
      <w:r>
        <w:rPr>
          <w:spacing w:val="7"/>
        </w:rPr>
        <w:t xml:space="preserve"> </w:t>
      </w:r>
      <w:r>
        <w:t>in</w:t>
      </w:r>
      <w:r>
        <w:rPr>
          <w:spacing w:val="7"/>
        </w:rPr>
        <w:t xml:space="preserve"> </w:t>
      </w:r>
      <w:r>
        <w:rPr>
          <w:spacing w:val="-1"/>
        </w:rPr>
        <w:t>various</w:t>
      </w:r>
      <w:r>
        <w:rPr>
          <w:spacing w:val="7"/>
        </w:rPr>
        <w:t xml:space="preserve"> </w:t>
      </w:r>
      <w:r>
        <w:rPr>
          <w:spacing w:val="-1"/>
        </w:rPr>
        <w:t>frequency</w:t>
      </w:r>
      <w:r>
        <w:rPr>
          <w:spacing w:val="39"/>
        </w:rPr>
        <w:t xml:space="preserve"> </w:t>
      </w:r>
      <w:r>
        <w:t>bands</w:t>
      </w:r>
      <w:r>
        <w:rPr>
          <w:spacing w:val="42"/>
        </w:rPr>
        <w:t xml:space="preserve"> </w:t>
      </w:r>
      <w:r>
        <w:t>and</w:t>
      </w:r>
      <w:r>
        <w:rPr>
          <w:spacing w:val="42"/>
        </w:rPr>
        <w:t xml:space="preserve"> </w:t>
      </w:r>
      <w:r>
        <w:rPr>
          <w:spacing w:val="-1"/>
        </w:rPr>
        <w:t>some</w:t>
      </w:r>
      <w:r>
        <w:rPr>
          <w:spacing w:val="42"/>
        </w:rPr>
        <w:t xml:space="preserve"> </w:t>
      </w:r>
      <w:r>
        <w:t>are</w:t>
      </w:r>
      <w:r>
        <w:rPr>
          <w:spacing w:val="42"/>
        </w:rPr>
        <w:t xml:space="preserve"> </w:t>
      </w:r>
      <w:r>
        <w:t>already</w:t>
      </w:r>
      <w:r>
        <w:rPr>
          <w:spacing w:val="41"/>
        </w:rPr>
        <w:t xml:space="preserve"> </w:t>
      </w:r>
      <w:r>
        <w:t>in</w:t>
      </w:r>
      <w:r>
        <w:rPr>
          <w:spacing w:val="42"/>
        </w:rPr>
        <w:t xml:space="preserve"> </w:t>
      </w:r>
      <w:r>
        <w:t>operation</w:t>
      </w:r>
      <w:r>
        <w:rPr>
          <w:spacing w:val="41"/>
        </w:rPr>
        <w:t xml:space="preserve"> </w:t>
      </w:r>
      <w:r>
        <w:t>in</w:t>
      </w:r>
      <w:r>
        <w:rPr>
          <w:spacing w:val="44"/>
        </w:rPr>
        <w:t xml:space="preserve"> </w:t>
      </w:r>
      <w:r>
        <w:t>a</w:t>
      </w:r>
      <w:r>
        <w:rPr>
          <w:spacing w:val="42"/>
        </w:rPr>
        <w:t xml:space="preserve"> </w:t>
      </w:r>
      <w:r>
        <w:t>part</w:t>
      </w:r>
      <w:r>
        <w:rPr>
          <w:spacing w:val="42"/>
        </w:rPr>
        <w:t xml:space="preserve"> </w:t>
      </w:r>
      <w:r>
        <w:t>of</w:t>
      </w:r>
      <w:r>
        <w:rPr>
          <w:spacing w:val="41"/>
        </w:rPr>
        <w:t xml:space="preserve"> </w:t>
      </w:r>
      <w:r>
        <w:t>the</w:t>
      </w:r>
      <w:r>
        <w:rPr>
          <w:spacing w:val="42"/>
        </w:rPr>
        <w:t xml:space="preserve"> </w:t>
      </w:r>
      <w:r>
        <w:t>5</w:t>
      </w:r>
      <w:r>
        <w:rPr>
          <w:spacing w:val="1"/>
        </w:rPr>
        <w:t xml:space="preserve"> </w:t>
      </w:r>
      <w:r>
        <w:t>905-5 925</w:t>
      </w:r>
      <w:r>
        <w:rPr>
          <w:spacing w:val="41"/>
        </w:rPr>
        <w:t xml:space="preserve"> </w:t>
      </w:r>
      <w:r>
        <w:t>MHz</w:t>
      </w:r>
      <w:r>
        <w:rPr>
          <w:spacing w:val="42"/>
        </w:rPr>
        <w:t xml:space="preserve"> </w:t>
      </w:r>
      <w:r>
        <w:t>band,</w:t>
      </w:r>
      <w:r>
        <w:rPr>
          <w:spacing w:val="23"/>
        </w:rPr>
        <w:t xml:space="preserve"> </w:t>
      </w:r>
      <w:r>
        <w:rPr>
          <w:spacing w:val="-1"/>
        </w:rPr>
        <w:t>sometimes</w:t>
      </w:r>
      <w:r>
        <w:rPr>
          <w:spacing w:val="11"/>
        </w:rPr>
        <w:t xml:space="preserve"> </w:t>
      </w:r>
      <w:r>
        <w:rPr>
          <w:spacing w:val="-1"/>
        </w:rPr>
        <w:t>reserved</w:t>
      </w:r>
      <w:r>
        <w:rPr>
          <w:spacing w:val="9"/>
        </w:rPr>
        <w:t xml:space="preserve"> </w:t>
      </w:r>
      <w:r>
        <w:t>by</w:t>
      </w:r>
      <w:r>
        <w:rPr>
          <w:spacing w:val="9"/>
        </w:rPr>
        <w:t xml:space="preserve"> </w:t>
      </w:r>
      <w:r>
        <w:t>national</w:t>
      </w:r>
      <w:r>
        <w:rPr>
          <w:spacing w:val="9"/>
        </w:rPr>
        <w:t xml:space="preserve"> </w:t>
      </w:r>
      <w:r>
        <w:rPr>
          <w:spacing w:val="-1"/>
        </w:rPr>
        <w:t>administrations</w:t>
      </w:r>
      <w:r>
        <w:rPr>
          <w:spacing w:val="9"/>
        </w:rPr>
        <w:t xml:space="preserve"> </w:t>
      </w:r>
      <w:r>
        <w:t>for</w:t>
      </w:r>
      <w:r>
        <w:rPr>
          <w:spacing w:val="9"/>
        </w:rPr>
        <w:t xml:space="preserve"> </w:t>
      </w:r>
      <w:r>
        <w:t>such</w:t>
      </w:r>
      <w:r>
        <w:rPr>
          <w:spacing w:val="9"/>
        </w:rPr>
        <w:t xml:space="preserve"> </w:t>
      </w:r>
      <w:r>
        <w:t>a</w:t>
      </w:r>
      <w:r>
        <w:rPr>
          <w:spacing w:val="14"/>
        </w:rPr>
        <w:t xml:space="preserve"> </w:t>
      </w:r>
      <w:r>
        <w:t>radio</w:t>
      </w:r>
      <w:r>
        <w:rPr>
          <w:spacing w:val="9"/>
        </w:rPr>
        <w:t xml:space="preserve"> </w:t>
      </w:r>
      <w:r>
        <w:t>application.</w:t>
      </w:r>
      <w:r>
        <w:rPr>
          <w:spacing w:val="9"/>
        </w:rPr>
        <w:t xml:space="preserve"> </w:t>
      </w:r>
      <w:r>
        <w:t>In</w:t>
      </w:r>
      <w:r>
        <w:rPr>
          <w:spacing w:val="45"/>
        </w:rPr>
        <w:t xml:space="preserve"> </w:t>
      </w:r>
      <w:r>
        <w:t>support</w:t>
      </w:r>
      <w:r>
        <w:rPr>
          <w:spacing w:val="18"/>
        </w:rPr>
        <w:t xml:space="preserve"> </w:t>
      </w:r>
      <w:r>
        <w:t>of</w:t>
      </w:r>
      <w:r>
        <w:rPr>
          <w:spacing w:val="18"/>
        </w:rPr>
        <w:t xml:space="preserve"> </w:t>
      </w:r>
      <w:r>
        <w:t>more</w:t>
      </w:r>
      <w:r>
        <w:rPr>
          <w:spacing w:val="17"/>
        </w:rPr>
        <w:t xml:space="preserve"> </w:t>
      </w:r>
      <w:r>
        <w:t>harmonisation,</w:t>
      </w:r>
      <w:r>
        <w:rPr>
          <w:spacing w:val="17"/>
        </w:rPr>
        <w:t xml:space="preserve"> </w:t>
      </w:r>
      <w:r>
        <w:rPr>
          <w:spacing w:val="-1"/>
        </w:rPr>
        <w:t>the</w:t>
      </w:r>
      <w:r>
        <w:rPr>
          <w:spacing w:val="18"/>
        </w:rPr>
        <w:t xml:space="preserve"> </w:t>
      </w:r>
      <w:r>
        <w:t>UITP</w:t>
      </w:r>
      <w:r>
        <w:rPr>
          <w:spacing w:val="19"/>
        </w:rPr>
        <w:t xml:space="preserve"> </w:t>
      </w:r>
      <w:r>
        <w:t>(Union</w:t>
      </w:r>
      <w:r>
        <w:rPr>
          <w:spacing w:val="17"/>
        </w:rPr>
        <w:t xml:space="preserve"> </w:t>
      </w:r>
      <w:r>
        <w:rPr>
          <w:spacing w:val="-1"/>
        </w:rPr>
        <w:t>Internationale</w:t>
      </w:r>
      <w:r>
        <w:rPr>
          <w:spacing w:val="18"/>
        </w:rPr>
        <w:t xml:space="preserve"> </w:t>
      </w:r>
      <w:r>
        <w:rPr>
          <w:spacing w:val="-1"/>
        </w:rPr>
        <w:t>des</w:t>
      </w:r>
      <w:r>
        <w:rPr>
          <w:spacing w:val="18"/>
        </w:rPr>
        <w:t xml:space="preserve"> </w:t>
      </w:r>
      <w:r>
        <w:t>Transports</w:t>
      </w:r>
      <w:r>
        <w:rPr>
          <w:spacing w:val="35"/>
        </w:rPr>
        <w:t xml:space="preserve"> </w:t>
      </w:r>
      <w:proofErr w:type="spellStart"/>
      <w:r>
        <w:t>Publiques</w:t>
      </w:r>
      <w:proofErr w:type="spellEnd"/>
      <w:r>
        <w:t>)</w:t>
      </w:r>
      <w:r>
        <w:rPr>
          <w:spacing w:val="10"/>
        </w:rPr>
        <w:t xml:space="preserve"> </w:t>
      </w:r>
      <w:r>
        <w:rPr>
          <w:spacing w:val="-1"/>
        </w:rPr>
        <w:t>has</w:t>
      </w:r>
      <w:r>
        <w:rPr>
          <w:spacing w:val="11"/>
        </w:rPr>
        <w:t xml:space="preserve"> </w:t>
      </w:r>
      <w:r>
        <w:t>worked</w:t>
      </w:r>
      <w:r>
        <w:rPr>
          <w:spacing w:val="9"/>
        </w:rPr>
        <w:t xml:space="preserve"> </w:t>
      </w:r>
      <w:r>
        <w:t>within</w:t>
      </w:r>
      <w:r>
        <w:rPr>
          <w:spacing w:val="10"/>
        </w:rPr>
        <w:t xml:space="preserve"> </w:t>
      </w:r>
      <w:r>
        <w:rPr>
          <w:spacing w:val="-1"/>
        </w:rPr>
        <w:t>ETSI</w:t>
      </w:r>
      <w:r>
        <w:rPr>
          <w:spacing w:val="11"/>
        </w:rPr>
        <w:t xml:space="preserve"> </w:t>
      </w:r>
      <w:r>
        <w:t>to</w:t>
      </w:r>
      <w:r>
        <w:rPr>
          <w:spacing w:val="9"/>
        </w:rPr>
        <w:t xml:space="preserve"> </w:t>
      </w:r>
      <w:r>
        <w:t>adopt</w:t>
      </w:r>
      <w:r>
        <w:rPr>
          <w:spacing w:val="10"/>
        </w:rPr>
        <w:t xml:space="preserve"> </w:t>
      </w:r>
      <w:r>
        <w:t>a</w:t>
      </w:r>
      <w:r>
        <w:rPr>
          <w:spacing w:val="9"/>
        </w:rPr>
        <w:t xml:space="preserve"> </w:t>
      </w:r>
      <w:r>
        <w:t>Technical</w:t>
      </w:r>
      <w:r>
        <w:rPr>
          <w:spacing w:val="10"/>
        </w:rPr>
        <w:t xml:space="preserve"> </w:t>
      </w:r>
      <w:r>
        <w:rPr>
          <w:spacing w:val="-1"/>
        </w:rPr>
        <w:t>Report</w:t>
      </w:r>
      <w:r>
        <w:rPr>
          <w:spacing w:val="11"/>
        </w:rPr>
        <w:t xml:space="preserve"> </w:t>
      </w:r>
      <w:r>
        <w:t>(ETSI</w:t>
      </w:r>
      <w:r>
        <w:rPr>
          <w:spacing w:val="9"/>
        </w:rPr>
        <w:t xml:space="preserve"> </w:t>
      </w:r>
      <w:r>
        <w:t>TR</w:t>
      </w:r>
      <w:r>
        <w:rPr>
          <w:spacing w:val="9"/>
        </w:rPr>
        <w:t xml:space="preserve"> </w:t>
      </w:r>
      <w:r>
        <w:t>103</w:t>
      </w:r>
      <w:r>
        <w:rPr>
          <w:spacing w:val="10"/>
        </w:rPr>
        <w:t xml:space="preserve"> </w:t>
      </w:r>
      <w:r>
        <w:t>111),</w:t>
      </w:r>
      <w:r>
        <w:rPr>
          <w:spacing w:val="28"/>
        </w:rPr>
        <w:t xml:space="preserve"> </w:t>
      </w:r>
      <w:r>
        <w:t>the</w:t>
      </w:r>
      <w:r>
        <w:rPr>
          <w:spacing w:val="47"/>
        </w:rPr>
        <w:t xml:space="preserve"> </w:t>
      </w:r>
      <w:r>
        <w:t>System</w:t>
      </w:r>
      <w:r>
        <w:rPr>
          <w:spacing w:val="45"/>
        </w:rPr>
        <w:t xml:space="preserve"> </w:t>
      </w:r>
      <w:r>
        <w:rPr>
          <w:spacing w:val="-1"/>
        </w:rPr>
        <w:t>Reference</w:t>
      </w:r>
      <w:r>
        <w:rPr>
          <w:spacing w:val="48"/>
        </w:rPr>
        <w:t xml:space="preserve"> </w:t>
      </w:r>
      <w:r>
        <w:rPr>
          <w:spacing w:val="-1"/>
        </w:rPr>
        <w:t>Document</w:t>
      </w:r>
      <w:r>
        <w:rPr>
          <w:spacing w:val="48"/>
        </w:rPr>
        <w:t xml:space="preserve"> </w:t>
      </w:r>
      <w:r>
        <w:rPr>
          <w:spacing w:val="-1"/>
        </w:rPr>
        <w:t>(</w:t>
      </w:r>
      <w:proofErr w:type="spellStart"/>
      <w:r>
        <w:rPr>
          <w:spacing w:val="-1"/>
        </w:rPr>
        <w:t>SRDoc</w:t>
      </w:r>
      <w:proofErr w:type="spellEnd"/>
      <w:r>
        <w:rPr>
          <w:spacing w:val="-1"/>
        </w:rPr>
        <w:t>)</w:t>
      </w:r>
      <w:r>
        <w:rPr>
          <w:spacing w:val="47"/>
        </w:rPr>
        <w:t xml:space="preserve"> </w:t>
      </w:r>
      <w:r>
        <w:t>on:</w:t>
      </w:r>
      <w:r>
        <w:rPr>
          <w:spacing w:val="47"/>
        </w:rPr>
        <w:t xml:space="preserve"> </w:t>
      </w:r>
      <w:r>
        <w:rPr>
          <w:i/>
        </w:rPr>
        <w:t>"Spectrum</w:t>
      </w:r>
      <w:r>
        <w:rPr>
          <w:i/>
          <w:spacing w:val="46"/>
        </w:rPr>
        <w:t xml:space="preserve"> </w:t>
      </w:r>
      <w:r>
        <w:rPr>
          <w:i/>
        </w:rPr>
        <w:t>requirements</w:t>
      </w:r>
      <w:r>
        <w:rPr>
          <w:i/>
          <w:spacing w:val="46"/>
        </w:rPr>
        <w:t xml:space="preserve"> </w:t>
      </w:r>
      <w:r>
        <w:rPr>
          <w:i/>
        </w:rPr>
        <w:t>for</w:t>
      </w:r>
      <w:r>
        <w:rPr>
          <w:i/>
          <w:spacing w:val="47"/>
        </w:rPr>
        <w:t xml:space="preserve"> </w:t>
      </w:r>
      <w:r>
        <w:rPr>
          <w:i/>
        </w:rPr>
        <w:t>Urban</w:t>
      </w:r>
      <w:r>
        <w:rPr>
          <w:i/>
          <w:spacing w:val="39"/>
        </w:rPr>
        <w:t xml:space="preserve"> </w:t>
      </w:r>
      <w:r>
        <w:rPr>
          <w:i/>
        </w:rPr>
        <w:t>Rail</w:t>
      </w:r>
      <w:r>
        <w:rPr>
          <w:i/>
          <w:spacing w:val="-1"/>
        </w:rPr>
        <w:t xml:space="preserve"> </w:t>
      </w:r>
      <w:r>
        <w:rPr>
          <w:i/>
        </w:rPr>
        <w:t>Systems</w:t>
      </w:r>
      <w:r>
        <w:rPr>
          <w:i/>
          <w:spacing w:val="-2"/>
        </w:rPr>
        <w:t xml:space="preserve"> </w:t>
      </w:r>
      <w:r>
        <w:rPr>
          <w:i/>
        </w:rPr>
        <w:t>in the</w:t>
      </w:r>
      <w:r>
        <w:rPr>
          <w:i/>
          <w:spacing w:val="-1"/>
        </w:rPr>
        <w:t xml:space="preserve"> </w:t>
      </w:r>
      <w:r>
        <w:rPr>
          <w:i/>
        </w:rPr>
        <w:t xml:space="preserve">5.9 </w:t>
      </w:r>
      <w:r>
        <w:rPr>
          <w:i/>
          <w:spacing w:val="-1"/>
        </w:rPr>
        <w:t>GHz</w:t>
      </w:r>
      <w:r>
        <w:rPr>
          <w:i/>
        </w:rPr>
        <w:t xml:space="preserve"> range"</w:t>
      </w:r>
      <w:r>
        <w:rPr>
          <w:position w:val="11"/>
          <w:sz w:val="16"/>
        </w:rPr>
        <w:t>21</w:t>
      </w:r>
      <w:r>
        <w:t>.</w:t>
      </w:r>
    </w:p>
    <w:p w14:paraId="0A7D7CCF" w14:textId="77777777" w:rsidR="00B52D8F" w:rsidRDefault="00B52D8F" w:rsidP="005F5E47">
      <w:pPr>
        <w:pStyle w:val="BodyText"/>
        <w:spacing w:before="201"/>
        <w:ind w:left="465" w:right="115"/>
      </w:pPr>
      <w:r>
        <w:rPr>
          <w:spacing w:val="-1"/>
        </w:rPr>
        <w:t>Considerations</w:t>
      </w:r>
      <w:r>
        <w:rPr>
          <w:spacing w:val="8"/>
        </w:rPr>
        <w:t xml:space="preserve"> </w:t>
      </w:r>
      <w:r>
        <w:t>on</w:t>
      </w:r>
      <w:r>
        <w:rPr>
          <w:spacing w:val="8"/>
        </w:rPr>
        <w:t xml:space="preserve"> </w:t>
      </w:r>
      <w:r>
        <w:t>a</w:t>
      </w:r>
      <w:r>
        <w:rPr>
          <w:spacing w:val="8"/>
        </w:rPr>
        <w:t xml:space="preserve"> </w:t>
      </w:r>
      <w:r>
        <w:rPr>
          <w:spacing w:val="-1"/>
        </w:rPr>
        <w:t>possible</w:t>
      </w:r>
      <w:r>
        <w:rPr>
          <w:spacing w:val="8"/>
        </w:rPr>
        <w:t xml:space="preserve"> </w:t>
      </w:r>
      <w:r>
        <w:rPr>
          <w:spacing w:val="-1"/>
        </w:rPr>
        <w:t>prioritization</w:t>
      </w:r>
      <w:r>
        <w:rPr>
          <w:spacing w:val="-1"/>
          <w:position w:val="11"/>
          <w:sz w:val="16"/>
        </w:rPr>
        <w:t>22</w:t>
      </w:r>
      <w:r>
        <w:rPr>
          <w:spacing w:val="29"/>
          <w:position w:val="11"/>
          <w:sz w:val="16"/>
        </w:rPr>
        <w:t xml:space="preserve"> </w:t>
      </w:r>
      <w:r>
        <w:rPr>
          <w:spacing w:val="-1"/>
        </w:rPr>
        <w:t>between</w:t>
      </w:r>
      <w:r>
        <w:rPr>
          <w:spacing w:val="8"/>
        </w:rPr>
        <w:t xml:space="preserve"> </w:t>
      </w:r>
      <w:r>
        <w:t>the</w:t>
      </w:r>
      <w:r>
        <w:rPr>
          <w:spacing w:val="7"/>
        </w:rPr>
        <w:t xml:space="preserve"> </w:t>
      </w:r>
      <w:r>
        <w:rPr>
          <w:spacing w:val="-1"/>
        </w:rPr>
        <w:t>various</w:t>
      </w:r>
      <w:r>
        <w:rPr>
          <w:spacing w:val="8"/>
        </w:rPr>
        <w:t xml:space="preserve"> </w:t>
      </w:r>
      <w:r>
        <w:t>ITS</w:t>
      </w:r>
      <w:r>
        <w:rPr>
          <w:spacing w:val="8"/>
        </w:rPr>
        <w:t xml:space="preserve"> </w:t>
      </w:r>
      <w:r>
        <w:rPr>
          <w:spacing w:val="-1"/>
        </w:rPr>
        <w:t>applications</w:t>
      </w:r>
      <w:r>
        <w:rPr>
          <w:spacing w:val="10"/>
        </w:rPr>
        <w:t xml:space="preserve"> </w:t>
      </w:r>
      <w:r>
        <w:t>are</w:t>
      </w:r>
      <w:r>
        <w:rPr>
          <w:spacing w:val="97"/>
        </w:rPr>
        <w:t xml:space="preserve"> </w:t>
      </w:r>
      <w:r>
        <w:t>taking</w:t>
      </w:r>
      <w:r>
        <w:rPr>
          <w:spacing w:val="23"/>
        </w:rPr>
        <w:t xml:space="preserve"> </w:t>
      </w:r>
      <w:r>
        <w:rPr>
          <w:spacing w:val="-1"/>
        </w:rPr>
        <w:t>place</w:t>
      </w:r>
      <w:r>
        <w:rPr>
          <w:spacing w:val="21"/>
        </w:rPr>
        <w:t xml:space="preserve"> </w:t>
      </w:r>
      <w:r>
        <w:t>in</w:t>
      </w:r>
      <w:r>
        <w:rPr>
          <w:spacing w:val="23"/>
        </w:rPr>
        <w:t xml:space="preserve"> </w:t>
      </w:r>
      <w:r>
        <w:rPr>
          <w:spacing w:val="-1"/>
        </w:rPr>
        <w:t>various</w:t>
      </w:r>
      <w:r>
        <w:rPr>
          <w:spacing w:val="21"/>
        </w:rPr>
        <w:t xml:space="preserve"> </w:t>
      </w:r>
      <w:r>
        <w:t>fora</w:t>
      </w:r>
      <w:r>
        <w:rPr>
          <w:spacing w:val="22"/>
        </w:rPr>
        <w:t xml:space="preserve"> </w:t>
      </w:r>
      <w:r>
        <w:rPr>
          <w:spacing w:val="-1"/>
        </w:rPr>
        <w:t>including</w:t>
      </w:r>
      <w:r>
        <w:rPr>
          <w:spacing w:val="25"/>
        </w:rPr>
        <w:t xml:space="preserve"> </w:t>
      </w:r>
      <w:r>
        <w:t>in</w:t>
      </w:r>
      <w:r>
        <w:rPr>
          <w:spacing w:val="23"/>
        </w:rPr>
        <w:t xml:space="preserve"> </w:t>
      </w:r>
      <w:r>
        <w:rPr>
          <w:spacing w:val="-1"/>
        </w:rPr>
        <w:t>ETSI</w:t>
      </w:r>
      <w:r>
        <w:rPr>
          <w:spacing w:val="23"/>
        </w:rPr>
        <w:t xml:space="preserve"> </w:t>
      </w:r>
      <w:r>
        <w:rPr>
          <w:spacing w:val="-1"/>
        </w:rPr>
        <w:t>and</w:t>
      </w:r>
      <w:r>
        <w:rPr>
          <w:spacing w:val="22"/>
        </w:rPr>
        <w:t xml:space="preserve"> </w:t>
      </w:r>
      <w:r>
        <w:rPr>
          <w:spacing w:val="-1"/>
        </w:rPr>
        <w:t>CEPT:</w:t>
      </w:r>
      <w:r>
        <w:rPr>
          <w:spacing w:val="23"/>
        </w:rPr>
        <w:t xml:space="preserve"> </w:t>
      </w:r>
      <w:r>
        <w:t>for</w:t>
      </w:r>
      <w:r>
        <w:rPr>
          <w:spacing w:val="23"/>
        </w:rPr>
        <w:t xml:space="preserve"> </w:t>
      </w:r>
      <w:r>
        <w:rPr>
          <w:spacing w:val="-1"/>
        </w:rPr>
        <w:t>example,</w:t>
      </w:r>
      <w:r>
        <w:rPr>
          <w:spacing w:val="22"/>
        </w:rPr>
        <w:t xml:space="preserve"> </w:t>
      </w:r>
      <w:r>
        <w:t>as</w:t>
      </w:r>
      <w:r>
        <w:rPr>
          <w:spacing w:val="23"/>
        </w:rPr>
        <w:t xml:space="preserve"> </w:t>
      </w:r>
      <w:r>
        <w:t>an</w:t>
      </w:r>
      <w:r>
        <w:rPr>
          <w:spacing w:val="21"/>
        </w:rPr>
        <w:t xml:space="preserve"> </w:t>
      </w:r>
      <w:r>
        <w:rPr>
          <w:spacing w:val="-1"/>
        </w:rPr>
        <w:t>initial</w:t>
      </w:r>
      <w:r>
        <w:rPr>
          <w:spacing w:val="65"/>
        </w:rPr>
        <w:t xml:space="preserve"> </w:t>
      </w:r>
      <w:r>
        <w:t>proposal,</w:t>
      </w:r>
      <w:r>
        <w:rPr>
          <w:spacing w:val="8"/>
        </w:rPr>
        <w:t xml:space="preserve"> </w:t>
      </w:r>
      <w:r>
        <w:rPr>
          <w:spacing w:val="-1"/>
        </w:rPr>
        <w:t>the</w:t>
      </w:r>
      <w:r>
        <w:rPr>
          <w:spacing w:val="8"/>
        </w:rPr>
        <w:t xml:space="preserve"> </w:t>
      </w:r>
      <w:r>
        <w:t>road</w:t>
      </w:r>
      <w:r>
        <w:rPr>
          <w:spacing w:val="8"/>
        </w:rPr>
        <w:t xml:space="preserve"> </w:t>
      </w:r>
      <w:r>
        <w:t>ITS</w:t>
      </w:r>
      <w:r>
        <w:rPr>
          <w:spacing w:val="8"/>
        </w:rPr>
        <w:t xml:space="preserve"> </w:t>
      </w:r>
      <w:r>
        <w:rPr>
          <w:spacing w:val="-1"/>
        </w:rPr>
        <w:t>may</w:t>
      </w:r>
      <w:r>
        <w:rPr>
          <w:spacing w:val="9"/>
        </w:rPr>
        <w:t xml:space="preserve"> </w:t>
      </w:r>
      <w:r>
        <w:t>have</w:t>
      </w:r>
      <w:r>
        <w:rPr>
          <w:spacing w:val="8"/>
        </w:rPr>
        <w:t xml:space="preserve"> </w:t>
      </w:r>
      <w:r>
        <w:t>priority</w:t>
      </w:r>
      <w:r>
        <w:rPr>
          <w:spacing w:val="8"/>
        </w:rPr>
        <w:t xml:space="preserve"> </w:t>
      </w:r>
      <w:r>
        <w:t>in</w:t>
      </w:r>
      <w:r>
        <w:rPr>
          <w:spacing w:val="8"/>
        </w:rPr>
        <w:t xml:space="preserve"> </w:t>
      </w:r>
      <w:r>
        <w:t>the</w:t>
      </w:r>
      <w:r>
        <w:rPr>
          <w:spacing w:val="7"/>
        </w:rPr>
        <w:t xml:space="preserve"> </w:t>
      </w:r>
      <w:r>
        <w:t>5875-5905 MHz</w:t>
      </w:r>
      <w:r>
        <w:rPr>
          <w:spacing w:val="8"/>
        </w:rPr>
        <w:t xml:space="preserve"> </w:t>
      </w:r>
      <w:r>
        <w:t>band</w:t>
      </w:r>
      <w:r>
        <w:rPr>
          <w:spacing w:val="8"/>
        </w:rPr>
        <w:t xml:space="preserve"> </w:t>
      </w:r>
      <w:r>
        <w:t>over</w:t>
      </w:r>
      <w:r>
        <w:rPr>
          <w:spacing w:val="8"/>
        </w:rPr>
        <w:t xml:space="preserve"> </w:t>
      </w:r>
      <w:r>
        <w:t>urban</w:t>
      </w:r>
      <w:r>
        <w:rPr>
          <w:spacing w:val="8"/>
        </w:rPr>
        <w:t xml:space="preserve"> </w:t>
      </w:r>
      <w:r>
        <w:t>rail</w:t>
      </w:r>
      <w:r>
        <w:rPr>
          <w:spacing w:val="27"/>
        </w:rPr>
        <w:t xml:space="preserve"> </w:t>
      </w:r>
      <w:r>
        <w:t>ITS,</w:t>
      </w:r>
      <w:r>
        <w:rPr>
          <w:spacing w:val="11"/>
        </w:rPr>
        <w:t xml:space="preserve"> </w:t>
      </w:r>
      <w:r>
        <w:t>while</w:t>
      </w:r>
      <w:r>
        <w:rPr>
          <w:spacing w:val="11"/>
        </w:rPr>
        <w:t xml:space="preserve"> </w:t>
      </w:r>
      <w:r>
        <w:rPr>
          <w:spacing w:val="-1"/>
        </w:rPr>
        <w:t>urban</w:t>
      </w:r>
      <w:r>
        <w:rPr>
          <w:spacing w:val="11"/>
        </w:rPr>
        <w:t xml:space="preserve"> </w:t>
      </w:r>
      <w:r>
        <w:rPr>
          <w:spacing w:val="-1"/>
        </w:rPr>
        <w:t>rail</w:t>
      </w:r>
      <w:r>
        <w:rPr>
          <w:spacing w:val="12"/>
        </w:rPr>
        <w:t xml:space="preserve"> </w:t>
      </w:r>
      <w:r>
        <w:rPr>
          <w:spacing w:val="-1"/>
        </w:rPr>
        <w:t>may</w:t>
      </w:r>
      <w:r>
        <w:rPr>
          <w:spacing w:val="12"/>
        </w:rPr>
        <w:t xml:space="preserve"> </w:t>
      </w:r>
      <w:r>
        <w:t>have</w:t>
      </w:r>
      <w:r>
        <w:rPr>
          <w:spacing w:val="12"/>
        </w:rPr>
        <w:t xml:space="preserve"> </w:t>
      </w:r>
      <w:r>
        <w:rPr>
          <w:spacing w:val="-1"/>
        </w:rPr>
        <w:t>priority</w:t>
      </w:r>
      <w:r>
        <w:rPr>
          <w:spacing w:val="10"/>
        </w:rPr>
        <w:t xml:space="preserve"> </w:t>
      </w:r>
      <w:r>
        <w:t>in</w:t>
      </w:r>
      <w:r>
        <w:rPr>
          <w:spacing w:val="11"/>
        </w:rPr>
        <w:t xml:space="preserve"> </w:t>
      </w:r>
      <w:r>
        <w:t>the</w:t>
      </w:r>
      <w:r>
        <w:rPr>
          <w:spacing w:val="12"/>
        </w:rPr>
        <w:t xml:space="preserve"> </w:t>
      </w:r>
      <w:r>
        <w:t>5 905-5 925</w:t>
      </w:r>
      <w:r>
        <w:rPr>
          <w:spacing w:val="10"/>
        </w:rPr>
        <w:t xml:space="preserve"> </w:t>
      </w:r>
      <w:r>
        <w:t>MHz</w:t>
      </w:r>
      <w:r>
        <w:rPr>
          <w:spacing w:val="11"/>
        </w:rPr>
        <w:t xml:space="preserve"> </w:t>
      </w:r>
      <w:r>
        <w:t>band</w:t>
      </w:r>
      <w:r>
        <w:rPr>
          <w:spacing w:val="12"/>
        </w:rPr>
        <w:t xml:space="preserve"> </w:t>
      </w:r>
      <w:r>
        <w:rPr>
          <w:spacing w:val="-1"/>
        </w:rPr>
        <w:t>over</w:t>
      </w:r>
      <w:r>
        <w:rPr>
          <w:spacing w:val="12"/>
        </w:rPr>
        <w:t xml:space="preserve"> </w:t>
      </w:r>
      <w:r>
        <w:t>road</w:t>
      </w:r>
      <w:r>
        <w:rPr>
          <w:spacing w:val="10"/>
        </w:rPr>
        <w:t xml:space="preserve"> </w:t>
      </w:r>
      <w:r>
        <w:t>ITS.</w:t>
      </w:r>
      <w:r>
        <w:rPr>
          <w:spacing w:val="25"/>
        </w:rPr>
        <w:t xml:space="preserve"> </w:t>
      </w:r>
      <w:r>
        <w:t>In</w:t>
      </w:r>
      <w:r>
        <w:rPr>
          <w:spacing w:val="3"/>
        </w:rPr>
        <w:t xml:space="preserve"> </w:t>
      </w:r>
      <w:r>
        <w:t>this</w:t>
      </w:r>
      <w:r>
        <w:rPr>
          <w:spacing w:val="2"/>
        </w:rPr>
        <w:t xml:space="preserve"> </w:t>
      </w:r>
      <w:r>
        <w:rPr>
          <w:spacing w:val="-1"/>
        </w:rPr>
        <w:t>regard,</w:t>
      </w:r>
      <w:r>
        <w:rPr>
          <w:spacing w:val="3"/>
        </w:rPr>
        <w:t xml:space="preserve"> </w:t>
      </w:r>
      <w:r>
        <w:t>it</w:t>
      </w:r>
      <w:r>
        <w:rPr>
          <w:spacing w:val="3"/>
        </w:rPr>
        <w:t xml:space="preserve"> </w:t>
      </w:r>
      <w:r>
        <w:t>is</w:t>
      </w:r>
      <w:r>
        <w:rPr>
          <w:spacing w:val="2"/>
        </w:rPr>
        <w:t xml:space="preserve"> </w:t>
      </w:r>
      <w:r>
        <w:rPr>
          <w:spacing w:val="-1"/>
        </w:rPr>
        <w:t>important</w:t>
      </w:r>
      <w:r>
        <w:rPr>
          <w:spacing w:val="3"/>
        </w:rPr>
        <w:t xml:space="preserve"> </w:t>
      </w:r>
      <w:r>
        <w:rPr>
          <w:spacing w:val="1"/>
        </w:rPr>
        <w:t>to</w:t>
      </w:r>
      <w:r>
        <w:rPr>
          <w:spacing w:val="3"/>
        </w:rPr>
        <w:t xml:space="preserve"> </w:t>
      </w:r>
      <w:r>
        <w:rPr>
          <w:spacing w:val="-1"/>
        </w:rPr>
        <w:t>study</w:t>
      </w:r>
      <w:r>
        <w:rPr>
          <w:spacing w:val="3"/>
        </w:rPr>
        <w:t xml:space="preserve"> </w:t>
      </w:r>
      <w:r>
        <w:t>the</w:t>
      </w:r>
      <w:r>
        <w:rPr>
          <w:spacing w:val="3"/>
        </w:rPr>
        <w:t xml:space="preserve"> </w:t>
      </w:r>
      <w:r>
        <w:t>coexistence</w:t>
      </w:r>
      <w:r>
        <w:rPr>
          <w:spacing w:val="4"/>
        </w:rPr>
        <w:t xml:space="preserve"> </w:t>
      </w:r>
      <w:r>
        <w:t>of</w:t>
      </w:r>
      <w:r>
        <w:rPr>
          <w:spacing w:val="2"/>
        </w:rPr>
        <w:t xml:space="preserve"> </w:t>
      </w:r>
      <w:r>
        <w:t>urban</w:t>
      </w:r>
      <w:r>
        <w:rPr>
          <w:spacing w:val="3"/>
        </w:rPr>
        <w:t xml:space="preserve"> </w:t>
      </w:r>
      <w:r>
        <w:t>rail</w:t>
      </w:r>
      <w:r>
        <w:rPr>
          <w:spacing w:val="2"/>
        </w:rPr>
        <w:t xml:space="preserve"> </w:t>
      </w:r>
      <w:r>
        <w:rPr>
          <w:spacing w:val="-1"/>
        </w:rPr>
        <w:t>applications</w:t>
      </w:r>
      <w:r>
        <w:rPr>
          <w:spacing w:val="4"/>
        </w:rPr>
        <w:t xml:space="preserve"> </w:t>
      </w:r>
      <w:r>
        <w:rPr>
          <w:spacing w:val="-1"/>
        </w:rPr>
        <w:t>and</w:t>
      </w:r>
      <w:r>
        <w:rPr>
          <w:spacing w:val="3"/>
        </w:rPr>
        <w:t xml:space="preserve"> </w:t>
      </w:r>
      <w:r>
        <w:t>in</w:t>
      </w:r>
      <w:r>
        <w:rPr>
          <w:spacing w:val="57"/>
        </w:rPr>
        <w:t xml:space="preserve"> </w:t>
      </w:r>
      <w:r>
        <w:t>particular</w:t>
      </w:r>
      <w:r>
        <w:rPr>
          <w:spacing w:val="11"/>
        </w:rPr>
        <w:t xml:space="preserve"> </w:t>
      </w:r>
      <w:r>
        <w:rPr>
          <w:spacing w:val="-1"/>
        </w:rPr>
        <w:t>CBTC</w:t>
      </w:r>
      <w:r>
        <w:rPr>
          <w:spacing w:val="9"/>
        </w:rPr>
        <w:t xml:space="preserve"> </w:t>
      </w:r>
      <w:r>
        <w:t>with</w:t>
      </w:r>
      <w:r>
        <w:rPr>
          <w:spacing w:val="11"/>
        </w:rPr>
        <w:t xml:space="preserve"> </w:t>
      </w:r>
      <w:r>
        <w:rPr>
          <w:spacing w:val="-1"/>
        </w:rPr>
        <w:t>ITS</w:t>
      </w:r>
      <w:r>
        <w:rPr>
          <w:spacing w:val="10"/>
        </w:rPr>
        <w:t xml:space="preserve"> </w:t>
      </w:r>
      <w:r>
        <w:rPr>
          <w:spacing w:val="-1"/>
        </w:rPr>
        <w:t>solutions</w:t>
      </w:r>
      <w:r>
        <w:rPr>
          <w:spacing w:val="9"/>
        </w:rPr>
        <w:t xml:space="preserve"> </w:t>
      </w:r>
      <w:r>
        <w:t>for</w:t>
      </w:r>
      <w:r>
        <w:rPr>
          <w:spacing w:val="11"/>
        </w:rPr>
        <w:t xml:space="preserve"> </w:t>
      </w:r>
      <w:r>
        <w:rPr>
          <w:spacing w:val="-1"/>
        </w:rPr>
        <w:t>safety-related</w:t>
      </w:r>
      <w:r>
        <w:rPr>
          <w:spacing w:val="10"/>
        </w:rPr>
        <w:t xml:space="preserve"> </w:t>
      </w:r>
      <w:r>
        <w:t>road</w:t>
      </w:r>
      <w:r>
        <w:rPr>
          <w:spacing w:val="10"/>
        </w:rPr>
        <w:t xml:space="preserve"> </w:t>
      </w:r>
      <w:r>
        <w:rPr>
          <w:spacing w:val="-1"/>
        </w:rPr>
        <w:t>ITS</w:t>
      </w:r>
      <w:r>
        <w:rPr>
          <w:spacing w:val="10"/>
        </w:rPr>
        <w:t xml:space="preserve"> </w:t>
      </w:r>
      <w:r>
        <w:rPr>
          <w:spacing w:val="-1"/>
        </w:rPr>
        <w:t>(LTE-V2X</w:t>
      </w:r>
      <w:r>
        <w:rPr>
          <w:spacing w:val="9"/>
        </w:rPr>
        <w:t xml:space="preserve"> </w:t>
      </w:r>
      <w:r>
        <w:t>and</w:t>
      </w:r>
      <w:r>
        <w:rPr>
          <w:spacing w:val="11"/>
        </w:rPr>
        <w:t xml:space="preserve"> </w:t>
      </w:r>
      <w:r>
        <w:t>IEEE</w:t>
      </w:r>
      <w:r>
        <w:rPr>
          <w:spacing w:val="65"/>
        </w:rPr>
        <w:t xml:space="preserve"> </w:t>
      </w:r>
      <w:r>
        <w:t>802.11p</w:t>
      </w:r>
      <w:r>
        <w:rPr>
          <w:spacing w:val="5"/>
        </w:rPr>
        <w:t xml:space="preserve"> </w:t>
      </w:r>
      <w:r>
        <w:rPr>
          <w:spacing w:val="-1"/>
        </w:rPr>
        <w:t>"ETSI</w:t>
      </w:r>
      <w:r>
        <w:rPr>
          <w:spacing w:val="6"/>
        </w:rPr>
        <w:t xml:space="preserve"> </w:t>
      </w:r>
      <w:r>
        <w:rPr>
          <w:spacing w:val="-1"/>
        </w:rPr>
        <w:t>ITS-G5")</w:t>
      </w:r>
      <w:r>
        <w:rPr>
          <w:spacing w:val="6"/>
        </w:rPr>
        <w:t xml:space="preserve"> </w:t>
      </w:r>
      <w:r>
        <w:t>in</w:t>
      </w:r>
      <w:r>
        <w:rPr>
          <w:spacing w:val="6"/>
        </w:rPr>
        <w:t xml:space="preserve"> </w:t>
      </w:r>
      <w:r>
        <w:t>the</w:t>
      </w:r>
      <w:r>
        <w:rPr>
          <w:spacing w:val="6"/>
        </w:rPr>
        <w:t xml:space="preserve"> </w:t>
      </w:r>
      <w:r>
        <w:rPr>
          <w:spacing w:val="-1"/>
        </w:rPr>
        <w:t>5.9</w:t>
      </w:r>
      <w:r>
        <w:rPr>
          <w:spacing w:val="1"/>
        </w:rPr>
        <w:t xml:space="preserve"> </w:t>
      </w:r>
      <w:r>
        <w:rPr>
          <w:spacing w:val="-1"/>
        </w:rPr>
        <w:t>GHz</w:t>
      </w:r>
      <w:r>
        <w:rPr>
          <w:spacing w:val="6"/>
        </w:rPr>
        <w:t xml:space="preserve"> </w:t>
      </w:r>
      <w:r>
        <w:t>band.</w:t>
      </w:r>
      <w:r>
        <w:rPr>
          <w:spacing w:val="6"/>
        </w:rPr>
        <w:t xml:space="preserve"> </w:t>
      </w:r>
      <w:r>
        <w:rPr>
          <w:spacing w:val="-1"/>
        </w:rPr>
        <w:t>Mitigation</w:t>
      </w:r>
      <w:r>
        <w:rPr>
          <w:spacing w:val="4"/>
        </w:rPr>
        <w:t xml:space="preserve"> </w:t>
      </w:r>
      <w:r>
        <w:t>techniques</w:t>
      </w:r>
      <w:r>
        <w:rPr>
          <w:spacing w:val="5"/>
        </w:rPr>
        <w:t xml:space="preserve"> </w:t>
      </w:r>
      <w:r>
        <w:t>developed</w:t>
      </w:r>
      <w:r>
        <w:rPr>
          <w:spacing w:val="49"/>
        </w:rPr>
        <w:t xml:space="preserve"> </w:t>
      </w:r>
      <w:r>
        <w:t>through</w:t>
      </w:r>
      <w:r>
        <w:rPr>
          <w:spacing w:val="57"/>
        </w:rPr>
        <w:t xml:space="preserve"> </w:t>
      </w:r>
      <w:r>
        <w:rPr>
          <w:spacing w:val="-1"/>
        </w:rPr>
        <w:t>ETSI</w:t>
      </w:r>
      <w:r>
        <w:rPr>
          <w:spacing w:val="57"/>
        </w:rPr>
        <w:t xml:space="preserve"> </w:t>
      </w:r>
      <w:r>
        <w:rPr>
          <w:spacing w:val="-1"/>
        </w:rPr>
        <w:t>standardisation</w:t>
      </w:r>
      <w:r>
        <w:rPr>
          <w:spacing w:val="58"/>
        </w:rPr>
        <w:t xml:space="preserve"> </w:t>
      </w:r>
      <w:r>
        <w:t>should</w:t>
      </w:r>
      <w:r>
        <w:rPr>
          <w:spacing w:val="57"/>
        </w:rPr>
        <w:t xml:space="preserve"> </w:t>
      </w:r>
      <w:r>
        <w:t>be</w:t>
      </w:r>
      <w:r>
        <w:rPr>
          <w:spacing w:val="57"/>
        </w:rPr>
        <w:t xml:space="preserve"> </w:t>
      </w:r>
      <w:r>
        <w:rPr>
          <w:spacing w:val="-1"/>
        </w:rPr>
        <w:t>accompanied</w:t>
      </w:r>
      <w:r>
        <w:rPr>
          <w:spacing w:val="58"/>
        </w:rPr>
        <w:t xml:space="preserve"> </w:t>
      </w:r>
      <w:r>
        <w:t>by</w:t>
      </w:r>
      <w:r>
        <w:rPr>
          <w:spacing w:val="56"/>
        </w:rPr>
        <w:t xml:space="preserve"> </w:t>
      </w:r>
      <w:r>
        <w:t>technical</w:t>
      </w:r>
      <w:r>
        <w:rPr>
          <w:spacing w:val="57"/>
        </w:rPr>
        <w:t xml:space="preserve"> </w:t>
      </w:r>
      <w:r>
        <w:t>conditions</w:t>
      </w:r>
      <w:r>
        <w:rPr>
          <w:spacing w:val="56"/>
        </w:rPr>
        <w:t xml:space="preserve"> </w:t>
      </w:r>
      <w:r>
        <w:rPr>
          <w:spacing w:val="-1"/>
        </w:rPr>
        <w:t>for</w:t>
      </w:r>
      <w:r>
        <w:rPr>
          <w:spacing w:val="49"/>
        </w:rPr>
        <w:t xml:space="preserve"> </w:t>
      </w:r>
      <w:r>
        <w:t>spectrum</w:t>
      </w:r>
      <w:r>
        <w:rPr>
          <w:spacing w:val="-2"/>
        </w:rPr>
        <w:t xml:space="preserve"> </w:t>
      </w:r>
      <w:r>
        <w:t xml:space="preserve">access and </w:t>
      </w:r>
      <w:r>
        <w:rPr>
          <w:spacing w:val="-1"/>
        </w:rPr>
        <w:t>relevant</w:t>
      </w:r>
      <w:r>
        <w:t xml:space="preserve"> </w:t>
      </w:r>
      <w:r>
        <w:rPr>
          <w:spacing w:val="-1"/>
        </w:rPr>
        <w:t>harmonised</w:t>
      </w:r>
      <w:r>
        <w:t xml:space="preserve"> </w:t>
      </w:r>
      <w:r>
        <w:rPr>
          <w:spacing w:val="-1"/>
        </w:rPr>
        <w:t>standards,</w:t>
      </w:r>
      <w:r>
        <w:t xml:space="preserve"> in a </w:t>
      </w:r>
      <w:r>
        <w:rPr>
          <w:spacing w:val="-1"/>
        </w:rPr>
        <w:t>technology</w:t>
      </w:r>
      <w:r>
        <w:t xml:space="preserve"> </w:t>
      </w:r>
      <w:r>
        <w:rPr>
          <w:spacing w:val="-1"/>
        </w:rPr>
        <w:t>neutral</w:t>
      </w:r>
      <w:r>
        <w:t xml:space="preserve"> </w:t>
      </w:r>
      <w:r>
        <w:rPr>
          <w:spacing w:val="-1"/>
        </w:rPr>
        <w:t>approach.</w:t>
      </w:r>
    </w:p>
    <w:p w14:paraId="0A7D7CD0" w14:textId="77777777" w:rsidR="00B52D8F" w:rsidRDefault="00B52D8F" w:rsidP="005F5E47">
      <w:pPr>
        <w:ind w:left="465" w:right="116"/>
        <w:jc w:val="both"/>
        <w:rPr>
          <w:rFonts w:ascii="Times New Roman" w:hAnsi="Times New Roman"/>
          <w:sz w:val="24"/>
        </w:rPr>
      </w:pPr>
      <w:r>
        <w:rPr>
          <w:rFonts w:ascii="Times New Roman" w:hAnsi="Times New Roman"/>
          <w:sz w:val="24"/>
        </w:rPr>
        <w:t>Decision</w:t>
      </w:r>
      <w:r>
        <w:rPr>
          <w:rFonts w:ascii="Times New Roman" w:hAnsi="Times New Roman"/>
          <w:spacing w:val="19"/>
          <w:sz w:val="24"/>
        </w:rPr>
        <w:t xml:space="preserve"> </w:t>
      </w:r>
      <w:r>
        <w:rPr>
          <w:rFonts w:ascii="Times New Roman" w:hAnsi="Times New Roman"/>
          <w:spacing w:val="-1"/>
          <w:sz w:val="24"/>
        </w:rPr>
        <w:t>2008/671/EC</w:t>
      </w:r>
      <w:r>
        <w:rPr>
          <w:rFonts w:ascii="Times New Roman" w:hAnsi="Times New Roman"/>
          <w:spacing w:val="19"/>
          <w:sz w:val="24"/>
        </w:rPr>
        <w:t xml:space="preserve"> </w:t>
      </w:r>
      <w:r>
        <w:rPr>
          <w:rFonts w:ascii="Times New Roman" w:hAnsi="Times New Roman"/>
          <w:sz w:val="24"/>
        </w:rPr>
        <w:t>on</w:t>
      </w:r>
      <w:r>
        <w:rPr>
          <w:rFonts w:ascii="Times New Roman" w:hAnsi="Times New Roman"/>
          <w:spacing w:val="20"/>
          <w:sz w:val="24"/>
        </w:rPr>
        <w:t xml:space="preserve"> </w:t>
      </w:r>
      <w:r>
        <w:rPr>
          <w:rFonts w:ascii="Times New Roman" w:hAnsi="Times New Roman"/>
          <w:sz w:val="24"/>
        </w:rPr>
        <w:t>ITS</w:t>
      </w:r>
      <w:r>
        <w:rPr>
          <w:rFonts w:ascii="Times New Roman" w:hAnsi="Times New Roman"/>
          <w:spacing w:val="20"/>
          <w:sz w:val="24"/>
        </w:rPr>
        <w:t xml:space="preserve"> </w:t>
      </w:r>
      <w:r>
        <w:rPr>
          <w:rFonts w:ascii="Times New Roman" w:hAnsi="Times New Roman"/>
          <w:spacing w:val="-1"/>
          <w:sz w:val="24"/>
        </w:rPr>
        <w:t>specifies</w:t>
      </w:r>
      <w:r>
        <w:rPr>
          <w:rFonts w:ascii="Times New Roman" w:hAnsi="Times New Roman"/>
          <w:spacing w:val="19"/>
          <w:sz w:val="24"/>
        </w:rPr>
        <w:t xml:space="preserve"> </w:t>
      </w:r>
      <w:r>
        <w:rPr>
          <w:rFonts w:ascii="Times New Roman" w:hAnsi="Times New Roman"/>
          <w:sz w:val="24"/>
        </w:rPr>
        <w:t>in</w:t>
      </w:r>
      <w:r>
        <w:rPr>
          <w:rFonts w:ascii="Times New Roman" w:hAnsi="Times New Roman"/>
          <w:spacing w:val="19"/>
          <w:sz w:val="24"/>
        </w:rPr>
        <w:t xml:space="preserve"> </w:t>
      </w:r>
      <w:r>
        <w:rPr>
          <w:rFonts w:ascii="Times New Roman" w:hAnsi="Times New Roman"/>
          <w:spacing w:val="-1"/>
          <w:sz w:val="24"/>
        </w:rPr>
        <w:t>Article</w:t>
      </w:r>
      <w:r>
        <w:rPr>
          <w:rFonts w:ascii="Times New Roman" w:hAnsi="Times New Roman"/>
          <w:spacing w:val="20"/>
          <w:sz w:val="24"/>
        </w:rPr>
        <w:t xml:space="preserve"> </w:t>
      </w:r>
      <w:r>
        <w:rPr>
          <w:rFonts w:ascii="Times New Roman" w:hAnsi="Times New Roman"/>
          <w:spacing w:val="-1"/>
          <w:sz w:val="24"/>
        </w:rPr>
        <w:t>2(1):</w:t>
      </w:r>
      <w:r>
        <w:rPr>
          <w:rFonts w:ascii="Times New Roman" w:hAnsi="Times New Roman"/>
          <w:spacing w:val="23"/>
          <w:sz w:val="24"/>
        </w:rPr>
        <w:t xml:space="preserve"> </w:t>
      </w:r>
      <w:r>
        <w:rPr>
          <w:rFonts w:ascii="Times New Roman" w:hAnsi="Times New Roman"/>
          <w:i/>
          <w:spacing w:val="-1"/>
          <w:sz w:val="24"/>
        </w:rPr>
        <w:t>"‘Intelligent</w:t>
      </w:r>
      <w:r>
        <w:rPr>
          <w:rFonts w:ascii="Times New Roman" w:hAnsi="Times New Roman"/>
          <w:i/>
          <w:spacing w:val="19"/>
          <w:sz w:val="24"/>
        </w:rPr>
        <w:t xml:space="preserve"> </w:t>
      </w:r>
      <w:r>
        <w:rPr>
          <w:rFonts w:ascii="Times New Roman" w:hAnsi="Times New Roman"/>
          <w:i/>
          <w:sz w:val="24"/>
        </w:rPr>
        <w:t>Transport</w:t>
      </w:r>
      <w:r>
        <w:rPr>
          <w:rFonts w:ascii="Times New Roman" w:hAnsi="Times New Roman"/>
          <w:i/>
          <w:spacing w:val="75"/>
          <w:sz w:val="24"/>
        </w:rPr>
        <w:t xml:space="preserve"> </w:t>
      </w:r>
      <w:r>
        <w:rPr>
          <w:rFonts w:ascii="Times New Roman" w:hAnsi="Times New Roman"/>
          <w:i/>
          <w:sz w:val="24"/>
        </w:rPr>
        <w:t>Systems’</w:t>
      </w:r>
      <w:r>
        <w:rPr>
          <w:rFonts w:ascii="Times New Roman" w:hAnsi="Times New Roman"/>
          <w:i/>
          <w:spacing w:val="45"/>
          <w:sz w:val="24"/>
        </w:rPr>
        <w:t xml:space="preserve"> </w:t>
      </w:r>
      <w:r>
        <w:rPr>
          <w:rFonts w:ascii="Times New Roman" w:hAnsi="Times New Roman"/>
          <w:i/>
          <w:spacing w:val="-1"/>
          <w:sz w:val="24"/>
        </w:rPr>
        <w:t>mean</w:t>
      </w:r>
      <w:r>
        <w:rPr>
          <w:rFonts w:ascii="Times New Roman" w:hAnsi="Times New Roman"/>
          <w:i/>
          <w:spacing w:val="45"/>
          <w:sz w:val="24"/>
        </w:rPr>
        <w:t xml:space="preserve"> </w:t>
      </w:r>
      <w:r>
        <w:rPr>
          <w:rFonts w:ascii="Times New Roman" w:hAnsi="Times New Roman"/>
          <w:i/>
          <w:sz w:val="24"/>
        </w:rPr>
        <w:t>a</w:t>
      </w:r>
      <w:r>
        <w:rPr>
          <w:rFonts w:ascii="Times New Roman" w:hAnsi="Times New Roman"/>
          <w:i/>
          <w:spacing w:val="45"/>
          <w:sz w:val="24"/>
        </w:rPr>
        <w:t xml:space="preserve"> </w:t>
      </w:r>
      <w:r>
        <w:rPr>
          <w:rFonts w:ascii="Times New Roman" w:hAnsi="Times New Roman"/>
          <w:i/>
          <w:spacing w:val="-1"/>
          <w:sz w:val="24"/>
        </w:rPr>
        <w:t>range</w:t>
      </w:r>
      <w:r>
        <w:rPr>
          <w:rFonts w:ascii="Times New Roman" w:hAnsi="Times New Roman"/>
          <w:i/>
          <w:spacing w:val="45"/>
          <w:sz w:val="24"/>
        </w:rPr>
        <w:t xml:space="preserve"> </w:t>
      </w:r>
      <w:r>
        <w:rPr>
          <w:rFonts w:ascii="Times New Roman" w:hAnsi="Times New Roman"/>
          <w:i/>
          <w:sz w:val="24"/>
        </w:rPr>
        <w:t>of</w:t>
      </w:r>
      <w:r>
        <w:rPr>
          <w:rFonts w:ascii="Times New Roman" w:hAnsi="Times New Roman"/>
          <w:i/>
          <w:spacing w:val="45"/>
          <w:sz w:val="24"/>
        </w:rPr>
        <w:t xml:space="preserve"> </w:t>
      </w:r>
      <w:r>
        <w:rPr>
          <w:rFonts w:ascii="Times New Roman" w:hAnsi="Times New Roman"/>
          <w:i/>
          <w:spacing w:val="-1"/>
          <w:sz w:val="24"/>
        </w:rPr>
        <w:t>systems</w:t>
      </w:r>
      <w:r>
        <w:rPr>
          <w:rFonts w:ascii="Times New Roman" w:hAnsi="Times New Roman"/>
          <w:i/>
          <w:spacing w:val="45"/>
          <w:sz w:val="24"/>
        </w:rPr>
        <w:t xml:space="preserve"> </w:t>
      </w:r>
      <w:r>
        <w:rPr>
          <w:rFonts w:ascii="Times New Roman" w:hAnsi="Times New Roman"/>
          <w:i/>
          <w:sz w:val="24"/>
        </w:rPr>
        <w:t>and</w:t>
      </w:r>
      <w:r>
        <w:rPr>
          <w:rFonts w:ascii="Times New Roman" w:hAnsi="Times New Roman"/>
          <w:i/>
          <w:spacing w:val="45"/>
          <w:sz w:val="24"/>
        </w:rPr>
        <w:t xml:space="preserve"> </w:t>
      </w:r>
      <w:r>
        <w:rPr>
          <w:rFonts w:ascii="Times New Roman" w:hAnsi="Times New Roman"/>
          <w:i/>
          <w:sz w:val="24"/>
        </w:rPr>
        <w:t>services,</w:t>
      </w:r>
      <w:r>
        <w:rPr>
          <w:rFonts w:ascii="Times New Roman" w:hAnsi="Times New Roman"/>
          <w:i/>
          <w:spacing w:val="44"/>
          <w:sz w:val="24"/>
        </w:rPr>
        <w:t xml:space="preserve"> </w:t>
      </w:r>
      <w:r>
        <w:rPr>
          <w:rFonts w:ascii="Times New Roman" w:hAnsi="Times New Roman"/>
          <w:i/>
          <w:spacing w:val="-1"/>
          <w:sz w:val="24"/>
        </w:rPr>
        <w:t>based</w:t>
      </w:r>
      <w:r>
        <w:rPr>
          <w:rFonts w:ascii="Times New Roman" w:hAnsi="Times New Roman"/>
          <w:i/>
          <w:spacing w:val="45"/>
          <w:sz w:val="24"/>
        </w:rPr>
        <w:t xml:space="preserve"> </w:t>
      </w:r>
      <w:r>
        <w:rPr>
          <w:rFonts w:ascii="Times New Roman" w:hAnsi="Times New Roman"/>
          <w:i/>
          <w:sz w:val="24"/>
        </w:rPr>
        <w:t>on</w:t>
      </w:r>
      <w:r>
        <w:rPr>
          <w:rFonts w:ascii="Times New Roman" w:hAnsi="Times New Roman"/>
          <w:i/>
          <w:spacing w:val="45"/>
          <w:sz w:val="24"/>
        </w:rPr>
        <w:t xml:space="preserve"> </w:t>
      </w:r>
      <w:r>
        <w:rPr>
          <w:rFonts w:ascii="Times New Roman" w:hAnsi="Times New Roman"/>
          <w:i/>
          <w:spacing w:val="-1"/>
          <w:sz w:val="24"/>
        </w:rPr>
        <w:t>Information</w:t>
      </w:r>
      <w:r>
        <w:rPr>
          <w:rFonts w:ascii="Times New Roman" w:hAnsi="Times New Roman"/>
          <w:i/>
          <w:spacing w:val="45"/>
          <w:sz w:val="24"/>
        </w:rPr>
        <w:t xml:space="preserve"> </w:t>
      </w:r>
      <w:r>
        <w:rPr>
          <w:rFonts w:ascii="Times New Roman" w:hAnsi="Times New Roman"/>
          <w:i/>
          <w:spacing w:val="-1"/>
          <w:sz w:val="24"/>
        </w:rPr>
        <w:t>and</w:t>
      </w:r>
      <w:r>
        <w:rPr>
          <w:rFonts w:ascii="Times New Roman" w:hAnsi="Times New Roman"/>
          <w:i/>
          <w:spacing w:val="51"/>
          <w:sz w:val="24"/>
        </w:rPr>
        <w:t xml:space="preserve"> </w:t>
      </w:r>
      <w:r>
        <w:rPr>
          <w:rFonts w:ascii="Times New Roman" w:hAnsi="Times New Roman"/>
          <w:i/>
          <w:spacing w:val="-1"/>
          <w:sz w:val="24"/>
        </w:rPr>
        <w:t>Communications</w:t>
      </w:r>
      <w:r>
        <w:rPr>
          <w:rFonts w:ascii="Times New Roman" w:hAnsi="Times New Roman"/>
          <w:i/>
          <w:spacing w:val="56"/>
          <w:sz w:val="24"/>
        </w:rPr>
        <w:t xml:space="preserve"> </w:t>
      </w:r>
      <w:r>
        <w:rPr>
          <w:rFonts w:ascii="Times New Roman" w:hAnsi="Times New Roman"/>
          <w:i/>
          <w:spacing w:val="-1"/>
          <w:sz w:val="24"/>
        </w:rPr>
        <w:t>technologies,</w:t>
      </w:r>
      <w:r>
        <w:rPr>
          <w:rFonts w:ascii="Times New Roman" w:hAnsi="Times New Roman"/>
          <w:i/>
          <w:spacing w:val="55"/>
          <w:sz w:val="24"/>
        </w:rPr>
        <w:t xml:space="preserve"> </w:t>
      </w:r>
      <w:r>
        <w:rPr>
          <w:rFonts w:ascii="Times New Roman" w:hAnsi="Times New Roman"/>
          <w:i/>
          <w:spacing w:val="-1"/>
          <w:sz w:val="24"/>
        </w:rPr>
        <w:t>including</w:t>
      </w:r>
      <w:r>
        <w:rPr>
          <w:rFonts w:ascii="Times New Roman" w:hAnsi="Times New Roman"/>
          <w:i/>
          <w:spacing w:val="54"/>
          <w:sz w:val="24"/>
        </w:rPr>
        <w:t xml:space="preserve"> </w:t>
      </w:r>
      <w:r>
        <w:rPr>
          <w:rFonts w:ascii="Times New Roman" w:hAnsi="Times New Roman"/>
          <w:i/>
          <w:sz w:val="24"/>
        </w:rPr>
        <w:t>processing,</w:t>
      </w:r>
      <w:r>
        <w:rPr>
          <w:rFonts w:ascii="Times New Roman" w:hAnsi="Times New Roman"/>
          <w:i/>
          <w:spacing w:val="54"/>
          <w:sz w:val="24"/>
        </w:rPr>
        <w:t xml:space="preserve"> </w:t>
      </w:r>
      <w:r>
        <w:rPr>
          <w:rFonts w:ascii="Times New Roman" w:hAnsi="Times New Roman"/>
          <w:i/>
          <w:spacing w:val="-1"/>
          <w:sz w:val="24"/>
        </w:rPr>
        <w:t>control,</w:t>
      </w:r>
      <w:r>
        <w:rPr>
          <w:rFonts w:ascii="Times New Roman" w:hAnsi="Times New Roman"/>
          <w:i/>
          <w:spacing w:val="55"/>
          <w:sz w:val="24"/>
        </w:rPr>
        <w:t xml:space="preserve"> </w:t>
      </w:r>
      <w:r>
        <w:rPr>
          <w:rFonts w:ascii="Times New Roman" w:hAnsi="Times New Roman"/>
          <w:i/>
          <w:spacing w:val="-1"/>
          <w:sz w:val="24"/>
        </w:rPr>
        <w:t>positioning,</w:t>
      </w:r>
      <w:r>
        <w:rPr>
          <w:rFonts w:ascii="Times New Roman" w:hAnsi="Times New Roman"/>
          <w:i/>
          <w:spacing w:val="101"/>
          <w:sz w:val="24"/>
        </w:rPr>
        <w:t xml:space="preserve"> </w:t>
      </w:r>
      <w:r>
        <w:rPr>
          <w:rFonts w:ascii="Times New Roman" w:hAnsi="Times New Roman"/>
          <w:i/>
          <w:sz w:val="24"/>
        </w:rPr>
        <w:t xml:space="preserve">communication and </w:t>
      </w:r>
      <w:r>
        <w:rPr>
          <w:rFonts w:ascii="Times New Roman" w:hAnsi="Times New Roman"/>
          <w:i/>
          <w:spacing w:val="-1"/>
          <w:sz w:val="24"/>
        </w:rPr>
        <w:t>electronics,</w:t>
      </w:r>
      <w:r>
        <w:rPr>
          <w:rFonts w:ascii="Times New Roman" w:hAnsi="Times New Roman"/>
          <w:i/>
          <w:sz w:val="24"/>
        </w:rPr>
        <w:t xml:space="preserve"> that</w:t>
      </w:r>
      <w:r>
        <w:rPr>
          <w:rFonts w:ascii="Times New Roman" w:hAnsi="Times New Roman"/>
          <w:i/>
          <w:spacing w:val="-1"/>
          <w:sz w:val="24"/>
        </w:rPr>
        <w:t xml:space="preserve"> </w:t>
      </w:r>
      <w:r>
        <w:rPr>
          <w:rFonts w:ascii="Times New Roman" w:hAnsi="Times New Roman"/>
          <w:i/>
          <w:sz w:val="24"/>
        </w:rPr>
        <w:t xml:space="preserve">are applied </w:t>
      </w:r>
      <w:r>
        <w:rPr>
          <w:rFonts w:ascii="Times New Roman" w:hAnsi="Times New Roman"/>
          <w:i/>
          <w:spacing w:val="-1"/>
          <w:sz w:val="24"/>
        </w:rPr>
        <w:t>to</w:t>
      </w:r>
      <w:r>
        <w:rPr>
          <w:rFonts w:ascii="Times New Roman" w:hAnsi="Times New Roman"/>
          <w:i/>
          <w:sz w:val="24"/>
        </w:rPr>
        <w:t xml:space="preserve"> a road </w:t>
      </w:r>
      <w:r>
        <w:rPr>
          <w:rFonts w:ascii="Times New Roman" w:hAnsi="Times New Roman"/>
          <w:i/>
          <w:spacing w:val="-1"/>
          <w:sz w:val="24"/>
        </w:rPr>
        <w:t xml:space="preserve">transportation </w:t>
      </w:r>
      <w:r>
        <w:rPr>
          <w:rFonts w:ascii="Times New Roman" w:hAnsi="Times New Roman"/>
          <w:i/>
          <w:sz w:val="24"/>
        </w:rPr>
        <w:t>system;"</w:t>
      </w:r>
      <w:r>
        <w:rPr>
          <w:rFonts w:ascii="Times New Roman" w:hAnsi="Times New Roman"/>
          <w:sz w:val="24"/>
        </w:rPr>
        <w:t>.</w:t>
      </w:r>
    </w:p>
    <w:p w14:paraId="0A7D7CD1" w14:textId="77777777" w:rsidR="00B52D8F" w:rsidRDefault="00B52D8F" w:rsidP="005F5E47">
      <w:pPr>
        <w:ind w:left="465" w:right="116"/>
        <w:jc w:val="both"/>
        <w:rPr>
          <w:rFonts w:ascii="Times New Roman" w:hAnsi="Times New Roman"/>
          <w:sz w:val="24"/>
        </w:rPr>
      </w:pPr>
      <w:r>
        <w:rPr>
          <w:rFonts w:ascii="Times New Roman" w:hAnsi="Times New Roman"/>
          <w:sz w:val="24"/>
        </w:rPr>
        <w:t>Therefore,</w:t>
      </w:r>
      <w:r>
        <w:rPr>
          <w:rFonts w:ascii="Times New Roman" w:hAnsi="Times New Roman"/>
          <w:spacing w:val="20"/>
          <w:sz w:val="24"/>
        </w:rPr>
        <w:t xml:space="preserve"> </w:t>
      </w:r>
      <w:r>
        <w:rPr>
          <w:rFonts w:ascii="Times New Roman" w:hAnsi="Times New Roman"/>
          <w:spacing w:val="-1"/>
          <w:sz w:val="24"/>
        </w:rPr>
        <w:t>besides</w:t>
      </w:r>
      <w:r>
        <w:rPr>
          <w:rFonts w:ascii="Times New Roman" w:hAnsi="Times New Roman"/>
          <w:spacing w:val="19"/>
          <w:sz w:val="24"/>
        </w:rPr>
        <w:t xml:space="preserve"> </w:t>
      </w:r>
      <w:r>
        <w:rPr>
          <w:rFonts w:ascii="Times New Roman" w:hAnsi="Times New Roman"/>
          <w:sz w:val="24"/>
        </w:rPr>
        <w:t>expanding</w:t>
      </w:r>
      <w:r>
        <w:rPr>
          <w:rFonts w:ascii="Times New Roman" w:hAnsi="Times New Roman"/>
          <w:spacing w:val="21"/>
          <w:sz w:val="24"/>
        </w:rPr>
        <w:t xml:space="preserve"> </w:t>
      </w:r>
      <w:r>
        <w:rPr>
          <w:rFonts w:ascii="Times New Roman" w:hAnsi="Times New Roman"/>
          <w:sz w:val="24"/>
        </w:rPr>
        <w:t>the</w:t>
      </w:r>
      <w:r>
        <w:rPr>
          <w:rFonts w:ascii="Times New Roman" w:hAnsi="Times New Roman"/>
          <w:spacing w:val="20"/>
          <w:sz w:val="24"/>
        </w:rPr>
        <w:t xml:space="preserve"> </w:t>
      </w:r>
      <w:r>
        <w:rPr>
          <w:rFonts w:ascii="Times New Roman" w:hAnsi="Times New Roman"/>
          <w:spacing w:val="-1"/>
          <w:sz w:val="24"/>
        </w:rPr>
        <w:t>frequency</w:t>
      </w:r>
      <w:r>
        <w:rPr>
          <w:rFonts w:ascii="Times New Roman" w:hAnsi="Times New Roman"/>
          <w:spacing w:val="20"/>
          <w:sz w:val="24"/>
        </w:rPr>
        <w:t xml:space="preserve"> </w:t>
      </w:r>
      <w:r>
        <w:rPr>
          <w:rFonts w:ascii="Times New Roman" w:hAnsi="Times New Roman"/>
          <w:spacing w:val="-1"/>
          <w:sz w:val="24"/>
        </w:rPr>
        <w:t>band</w:t>
      </w:r>
      <w:r>
        <w:rPr>
          <w:rFonts w:ascii="Times New Roman" w:hAnsi="Times New Roman"/>
          <w:spacing w:val="20"/>
          <w:sz w:val="24"/>
        </w:rPr>
        <w:t xml:space="preserve"> </w:t>
      </w:r>
      <w:r>
        <w:rPr>
          <w:rFonts w:ascii="Times New Roman" w:hAnsi="Times New Roman"/>
          <w:sz w:val="24"/>
        </w:rPr>
        <w:t>for</w:t>
      </w:r>
      <w:r>
        <w:rPr>
          <w:rFonts w:ascii="Times New Roman" w:hAnsi="Times New Roman"/>
          <w:spacing w:val="19"/>
          <w:sz w:val="24"/>
        </w:rPr>
        <w:t xml:space="preserve"> </w:t>
      </w:r>
      <w:r>
        <w:rPr>
          <w:rFonts w:ascii="Times New Roman" w:hAnsi="Times New Roman"/>
          <w:sz w:val="24"/>
        </w:rPr>
        <w:t>safety-related</w:t>
      </w:r>
      <w:r>
        <w:rPr>
          <w:rFonts w:ascii="Times New Roman" w:hAnsi="Times New Roman"/>
          <w:spacing w:val="20"/>
          <w:sz w:val="24"/>
        </w:rPr>
        <w:t xml:space="preserve"> </w:t>
      </w:r>
      <w:r>
        <w:rPr>
          <w:rFonts w:ascii="Times New Roman" w:hAnsi="Times New Roman"/>
          <w:sz w:val="24"/>
        </w:rPr>
        <w:t>ITS,</w:t>
      </w:r>
      <w:r>
        <w:rPr>
          <w:rFonts w:ascii="Times New Roman" w:hAnsi="Times New Roman"/>
          <w:spacing w:val="20"/>
          <w:sz w:val="24"/>
        </w:rPr>
        <w:t xml:space="preserve"> </w:t>
      </w:r>
      <w:r>
        <w:rPr>
          <w:rFonts w:ascii="Times New Roman" w:hAnsi="Times New Roman"/>
          <w:sz w:val="24"/>
        </w:rPr>
        <w:t>it</w:t>
      </w:r>
      <w:r>
        <w:rPr>
          <w:rFonts w:ascii="Times New Roman" w:hAnsi="Times New Roman"/>
          <w:spacing w:val="20"/>
          <w:sz w:val="24"/>
        </w:rPr>
        <w:t xml:space="preserve"> </w:t>
      </w:r>
      <w:r>
        <w:rPr>
          <w:rFonts w:ascii="Times New Roman" w:hAnsi="Times New Roman"/>
          <w:sz w:val="24"/>
        </w:rPr>
        <w:t>would</w:t>
      </w:r>
      <w:r>
        <w:rPr>
          <w:rFonts w:ascii="Times New Roman" w:hAnsi="Times New Roman"/>
          <w:spacing w:val="20"/>
          <w:sz w:val="24"/>
        </w:rPr>
        <w:t xml:space="preserve"> </w:t>
      </w:r>
      <w:r>
        <w:rPr>
          <w:rFonts w:ascii="Times New Roman" w:hAnsi="Times New Roman"/>
          <w:spacing w:val="-1"/>
          <w:sz w:val="24"/>
        </w:rPr>
        <w:t>be</w:t>
      </w:r>
      <w:r>
        <w:rPr>
          <w:rFonts w:ascii="Times New Roman" w:hAnsi="Times New Roman"/>
          <w:spacing w:val="31"/>
          <w:sz w:val="24"/>
        </w:rPr>
        <w:t xml:space="preserve"> </w:t>
      </w:r>
      <w:r>
        <w:rPr>
          <w:rFonts w:ascii="Times New Roman" w:hAnsi="Times New Roman"/>
          <w:sz w:val="24"/>
        </w:rPr>
        <w:t>necessary</w:t>
      </w:r>
      <w:r>
        <w:rPr>
          <w:rFonts w:ascii="Times New Roman" w:hAnsi="Times New Roman"/>
          <w:spacing w:val="21"/>
          <w:sz w:val="24"/>
        </w:rPr>
        <w:t xml:space="preserve"> </w:t>
      </w:r>
      <w:r>
        <w:rPr>
          <w:rFonts w:ascii="Times New Roman" w:hAnsi="Times New Roman"/>
          <w:sz w:val="24"/>
        </w:rPr>
        <w:t>to</w:t>
      </w:r>
      <w:r>
        <w:rPr>
          <w:rFonts w:ascii="Times New Roman" w:hAnsi="Times New Roman"/>
          <w:spacing w:val="21"/>
          <w:sz w:val="24"/>
        </w:rPr>
        <w:t xml:space="preserve"> </w:t>
      </w:r>
      <w:r>
        <w:rPr>
          <w:rFonts w:ascii="Times New Roman" w:hAnsi="Times New Roman"/>
          <w:spacing w:val="-1"/>
          <w:sz w:val="24"/>
        </w:rPr>
        <w:t>amend</w:t>
      </w:r>
      <w:r>
        <w:rPr>
          <w:rFonts w:ascii="Times New Roman" w:hAnsi="Times New Roman"/>
          <w:spacing w:val="21"/>
          <w:sz w:val="24"/>
        </w:rPr>
        <w:t xml:space="preserve"> </w:t>
      </w:r>
      <w:r>
        <w:rPr>
          <w:rFonts w:ascii="Times New Roman" w:hAnsi="Times New Roman"/>
          <w:sz w:val="24"/>
        </w:rPr>
        <w:t>this</w:t>
      </w:r>
      <w:r>
        <w:rPr>
          <w:rFonts w:ascii="Times New Roman" w:hAnsi="Times New Roman"/>
          <w:spacing w:val="21"/>
          <w:sz w:val="24"/>
        </w:rPr>
        <w:t xml:space="preserve"> </w:t>
      </w:r>
      <w:r>
        <w:rPr>
          <w:rFonts w:ascii="Times New Roman" w:hAnsi="Times New Roman"/>
          <w:spacing w:val="-1"/>
          <w:sz w:val="24"/>
        </w:rPr>
        <w:t>legal</w:t>
      </w:r>
      <w:r>
        <w:rPr>
          <w:rFonts w:ascii="Times New Roman" w:hAnsi="Times New Roman"/>
          <w:spacing w:val="21"/>
          <w:sz w:val="24"/>
        </w:rPr>
        <w:t xml:space="preserve"> </w:t>
      </w:r>
      <w:r>
        <w:rPr>
          <w:rFonts w:ascii="Times New Roman" w:hAnsi="Times New Roman"/>
          <w:sz w:val="24"/>
        </w:rPr>
        <w:t>definition</w:t>
      </w:r>
      <w:r>
        <w:rPr>
          <w:rFonts w:ascii="Times New Roman" w:hAnsi="Times New Roman"/>
          <w:spacing w:val="22"/>
          <w:sz w:val="24"/>
        </w:rPr>
        <w:t xml:space="preserve"> </w:t>
      </w:r>
      <w:r>
        <w:rPr>
          <w:rFonts w:ascii="Times New Roman" w:hAnsi="Times New Roman"/>
          <w:sz w:val="24"/>
        </w:rPr>
        <w:t>in</w:t>
      </w:r>
      <w:r>
        <w:rPr>
          <w:rFonts w:ascii="Times New Roman" w:hAnsi="Times New Roman"/>
          <w:spacing w:val="20"/>
          <w:sz w:val="24"/>
        </w:rPr>
        <w:t xml:space="preserve"> </w:t>
      </w:r>
      <w:r>
        <w:rPr>
          <w:rFonts w:ascii="Times New Roman" w:hAnsi="Times New Roman"/>
          <w:sz w:val="24"/>
        </w:rPr>
        <w:t>order</w:t>
      </w:r>
      <w:r>
        <w:rPr>
          <w:rFonts w:ascii="Times New Roman" w:hAnsi="Times New Roman"/>
          <w:spacing w:val="21"/>
          <w:sz w:val="24"/>
        </w:rPr>
        <w:t xml:space="preserve"> </w:t>
      </w:r>
      <w:r>
        <w:rPr>
          <w:rFonts w:ascii="Times New Roman" w:hAnsi="Times New Roman"/>
          <w:sz w:val="24"/>
        </w:rPr>
        <w:t>to</w:t>
      </w:r>
      <w:r>
        <w:rPr>
          <w:rFonts w:ascii="Times New Roman" w:hAnsi="Times New Roman"/>
          <w:spacing w:val="21"/>
          <w:sz w:val="24"/>
        </w:rPr>
        <w:t xml:space="preserve"> </w:t>
      </w:r>
      <w:r>
        <w:rPr>
          <w:rFonts w:ascii="Times New Roman" w:hAnsi="Times New Roman"/>
          <w:spacing w:val="-1"/>
          <w:sz w:val="24"/>
        </w:rPr>
        <w:t>include</w:t>
      </w:r>
      <w:r>
        <w:rPr>
          <w:rFonts w:ascii="Times New Roman" w:hAnsi="Times New Roman"/>
          <w:spacing w:val="23"/>
          <w:sz w:val="24"/>
        </w:rPr>
        <w:t xml:space="preserve"> </w:t>
      </w:r>
      <w:r>
        <w:rPr>
          <w:rFonts w:ascii="Times New Roman" w:hAnsi="Times New Roman"/>
          <w:spacing w:val="-1"/>
          <w:sz w:val="24"/>
        </w:rPr>
        <w:t>safety-related</w:t>
      </w:r>
      <w:r>
        <w:rPr>
          <w:rFonts w:ascii="Times New Roman" w:hAnsi="Times New Roman"/>
          <w:spacing w:val="21"/>
          <w:sz w:val="24"/>
        </w:rPr>
        <w:t xml:space="preserve"> </w:t>
      </w:r>
      <w:r>
        <w:rPr>
          <w:rFonts w:ascii="Times New Roman" w:hAnsi="Times New Roman"/>
          <w:sz w:val="24"/>
        </w:rPr>
        <w:t>rail</w:t>
      </w:r>
      <w:r>
        <w:rPr>
          <w:rFonts w:ascii="Times New Roman" w:hAnsi="Times New Roman"/>
          <w:spacing w:val="51"/>
          <w:sz w:val="24"/>
        </w:rPr>
        <w:t xml:space="preserve"> </w:t>
      </w:r>
      <w:r>
        <w:rPr>
          <w:rFonts w:ascii="Times New Roman" w:hAnsi="Times New Roman"/>
          <w:spacing w:val="-1"/>
          <w:sz w:val="24"/>
        </w:rPr>
        <w:t>applications</w:t>
      </w:r>
      <w:r>
        <w:rPr>
          <w:rFonts w:ascii="Times New Roman" w:hAnsi="Times New Roman"/>
          <w:spacing w:val="9"/>
          <w:sz w:val="24"/>
        </w:rPr>
        <w:t xml:space="preserve"> </w:t>
      </w:r>
      <w:r>
        <w:rPr>
          <w:rFonts w:ascii="Times New Roman" w:hAnsi="Times New Roman"/>
          <w:sz w:val="24"/>
        </w:rPr>
        <w:t>in</w:t>
      </w:r>
      <w:r>
        <w:rPr>
          <w:rFonts w:ascii="Times New Roman" w:hAnsi="Times New Roman"/>
          <w:spacing w:val="9"/>
          <w:sz w:val="24"/>
        </w:rPr>
        <w:t xml:space="preserve"> </w:t>
      </w:r>
      <w:r>
        <w:rPr>
          <w:rFonts w:ascii="Times New Roman" w:hAnsi="Times New Roman"/>
          <w:sz w:val="24"/>
        </w:rPr>
        <w:t>the</w:t>
      </w:r>
      <w:r>
        <w:rPr>
          <w:rFonts w:ascii="Times New Roman" w:hAnsi="Times New Roman"/>
          <w:spacing w:val="8"/>
          <w:sz w:val="24"/>
        </w:rPr>
        <w:t xml:space="preserve"> </w:t>
      </w:r>
      <w:r>
        <w:rPr>
          <w:rFonts w:ascii="Times New Roman" w:hAnsi="Times New Roman"/>
          <w:sz w:val="24"/>
        </w:rPr>
        <w:t>ITS</w:t>
      </w:r>
      <w:r>
        <w:rPr>
          <w:rFonts w:ascii="Times New Roman" w:hAnsi="Times New Roman"/>
          <w:spacing w:val="9"/>
          <w:sz w:val="24"/>
        </w:rPr>
        <w:t xml:space="preserve"> </w:t>
      </w:r>
      <w:r>
        <w:rPr>
          <w:rFonts w:ascii="Times New Roman" w:hAnsi="Times New Roman"/>
          <w:spacing w:val="-1"/>
          <w:sz w:val="24"/>
        </w:rPr>
        <w:t>category.</w:t>
      </w:r>
      <w:r>
        <w:rPr>
          <w:rFonts w:ascii="Times New Roman" w:hAnsi="Times New Roman"/>
          <w:spacing w:val="11"/>
          <w:sz w:val="24"/>
        </w:rPr>
        <w:t xml:space="preserve"> </w:t>
      </w:r>
      <w:r>
        <w:rPr>
          <w:rFonts w:ascii="Times New Roman" w:hAnsi="Times New Roman"/>
          <w:spacing w:val="-1"/>
          <w:sz w:val="24"/>
        </w:rPr>
        <w:t>This</w:t>
      </w:r>
      <w:r>
        <w:rPr>
          <w:rFonts w:ascii="Times New Roman" w:hAnsi="Times New Roman"/>
          <w:spacing w:val="8"/>
          <w:sz w:val="24"/>
        </w:rPr>
        <w:t xml:space="preserve"> </w:t>
      </w:r>
      <w:r>
        <w:rPr>
          <w:rFonts w:ascii="Times New Roman" w:hAnsi="Times New Roman"/>
          <w:sz w:val="24"/>
        </w:rPr>
        <w:t>is</w:t>
      </w:r>
      <w:r>
        <w:rPr>
          <w:rFonts w:ascii="Times New Roman" w:hAnsi="Times New Roman"/>
          <w:spacing w:val="10"/>
          <w:sz w:val="24"/>
        </w:rPr>
        <w:t xml:space="preserve"> </w:t>
      </w:r>
      <w:r>
        <w:rPr>
          <w:rFonts w:ascii="Times New Roman" w:hAnsi="Times New Roman"/>
          <w:spacing w:val="-1"/>
          <w:sz w:val="24"/>
        </w:rPr>
        <w:t>supported</w:t>
      </w:r>
      <w:r>
        <w:rPr>
          <w:rFonts w:ascii="Times New Roman" w:hAnsi="Times New Roman"/>
          <w:spacing w:val="9"/>
          <w:sz w:val="24"/>
        </w:rPr>
        <w:t xml:space="preserve"> </w:t>
      </w:r>
      <w:r>
        <w:rPr>
          <w:rFonts w:ascii="Times New Roman" w:hAnsi="Times New Roman"/>
          <w:sz w:val="24"/>
        </w:rPr>
        <w:t>by</w:t>
      </w:r>
      <w:r>
        <w:rPr>
          <w:rFonts w:ascii="Times New Roman" w:hAnsi="Times New Roman"/>
          <w:spacing w:val="10"/>
          <w:sz w:val="24"/>
        </w:rPr>
        <w:t xml:space="preserve"> </w:t>
      </w:r>
      <w:r>
        <w:rPr>
          <w:rFonts w:ascii="Times New Roman" w:hAnsi="Times New Roman"/>
          <w:sz w:val="24"/>
        </w:rPr>
        <w:t>the</w:t>
      </w:r>
      <w:r>
        <w:rPr>
          <w:rFonts w:ascii="Times New Roman" w:hAnsi="Times New Roman"/>
          <w:spacing w:val="10"/>
          <w:sz w:val="24"/>
        </w:rPr>
        <w:t xml:space="preserve"> </w:t>
      </w:r>
      <w:r>
        <w:rPr>
          <w:rFonts w:ascii="Times New Roman" w:hAnsi="Times New Roman"/>
          <w:spacing w:val="-1"/>
          <w:sz w:val="24"/>
        </w:rPr>
        <w:t>aforementioned</w:t>
      </w:r>
      <w:r>
        <w:rPr>
          <w:rFonts w:ascii="Times New Roman" w:hAnsi="Times New Roman"/>
          <w:spacing w:val="10"/>
          <w:sz w:val="24"/>
        </w:rPr>
        <w:t xml:space="preserve"> </w:t>
      </w:r>
      <w:r>
        <w:rPr>
          <w:rFonts w:ascii="Times New Roman" w:hAnsi="Times New Roman"/>
          <w:sz w:val="24"/>
        </w:rPr>
        <w:t>Opinion</w:t>
      </w:r>
      <w:r>
        <w:rPr>
          <w:rFonts w:ascii="Times New Roman" w:hAnsi="Times New Roman"/>
          <w:spacing w:val="10"/>
          <w:sz w:val="24"/>
        </w:rPr>
        <w:t xml:space="preserve"> </w:t>
      </w:r>
      <w:r>
        <w:rPr>
          <w:rFonts w:ascii="Times New Roman" w:hAnsi="Times New Roman"/>
          <w:sz w:val="24"/>
        </w:rPr>
        <w:t>of</w:t>
      </w:r>
      <w:r>
        <w:rPr>
          <w:rFonts w:ascii="Times New Roman" w:hAnsi="Times New Roman"/>
          <w:spacing w:val="75"/>
          <w:sz w:val="24"/>
        </w:rPr>
        <w:t xml:space="preserve"> </w:t>
      </w:r>
      <w:r>
        <w:rPr>
          <w:rFonts w:ascii="Times New Roman" w:hAnsi="Times New Roman"/>
          <w:sz w:val="24"/>
        </w:rPr>
        <w:t>the</w:t>
      </w:r>
      <w:r>
        <w:rPr>
          <w:rFonts w:ascii="Times New Roman" w:hAnsi="Times New Roman"/>
          <w:spacing w:val="20"/>
          <w:sz w:val="24"/>
        </w:rPr>
        <w:t xml:space="preserve"> </w:t>
      </w:r>
      <w:r>
        <w:rPr>
          <w:rFonts w:ascii="Times New Roman" w:hAnsi="Times New Roman"/>
          <w:spacing w:val="-1"/>
          <w:sz w:val="24"/>
        </w:rPr>
        <w:t>RSPG,</w:t>
      </w:r>
      <w:r>
        <w:rPr>
          <w:rFonts w:ascii="Times New Roman" w:hAnsi="Times New Roman"/>
          <w:spacing w:val="20"/>
          <w:sz w:val="24"/>
        </w:rPr>
        <w:t xml:space="preserve"> </w:t>
      </w:r>
      <w:r>
        <w:rPr>
          <w:rFonts w:ascii="Times New Roman" w:hAnsi="Times New Roman"/>
          <w:sz w:val="24"/>
        </w:rPr>
        <w:t>which</w:t>
      </w:r>
      <w:r>
        <w:rPr>
          <w:rFonts w:ascii="Times New Roman" w:hAnsi="Times New Roman"/>
          <w:spacing w:val="20"/>
          <w:sz w:val="24"/>
        </w:rPr>
        <w:t xml:space="preserve"> </w:t>
      </w:r>
      <w:r>
        <w:rPr>
          <w:rFonts w:ascii="Times New Roman" w:hAnsi="Times New Roman"/>
          <w:spacing w:val="-1"/>
          <w:sz w:val="24"/>
        </w:rPr>
        <w:t>set</w:t>
      </w:r>
      <w:r>
        <w:rPr>
          <w:rFonts w:ascii="Times New Roman" w:hAnsi="Times New Roman"/>
          <w:spacing w:val="19"/>
          <w:sz w:val="24"/>
        </w:rPr>
        <w:t xml:space="preserve"> </w:t>
      </w:r>
      <w:r>
        <w:rPr>
          <w:rFonts w:ascii="Times New Roman" w:hAnsi="Times New Roman"/>
          <w:sz w:val="24"/>
        </w:rPr>
        <w:t>outs</w:t>
      </w:r>
      <w:r>
        <w:rPr>
          <w:rFonts w:ascii="Times New Roman" w:hAnsi="Times New Roman"/>
          <w:spacing w:val="20"/>
          <w:sz w:val="24"/>
        </w:rPr>
        <w:t xml:space="preserve"> </w:t>
      </w:r>
      <w:r>
        <w:rPr>
          <w:rFonts w:ascii="Times New Roman" w:hAnsi="Times New Roman"/>
          <w:sz w:val="24"/>
        </w:rPr>
        <w:t>that</w:t>
      </w:r>
      <w:r>
        <w:rPr>
          <w:rFonts w:ascii="Times New Roman" w:hAnsi="Times New Roman"/>
          <w:spacing w:val="18"/>
          <w:sz w:val="24"/>
        </w:rPr>
        <w:t xml:space="preserve"> </w:t>
      </w:r>
      <w:r>
        <w:rPr>
          <w:rFonts w:ascii="Times New Roman" w:hAnsi="Times New Roman"/>
          <w:sz w:val="24"/>
        </w:rPr>
        <w:t>it</w:t>
      </w:r>
      <w:r>
        <w:rPr>
          <w:rFonts w:ascii="Times New Roman" w:hAnsi="Times New Roman"/>
          <w:spacing w:val="20"/>
          <w:sz w:val="24"/>
        </w:rPr>
        <w:t xml:space="preserve"> </w:t>
      </w:r>
      <w:r>
        <w:rPr>
          <w:rFonts w:ascii="Times New Roman" w:hAnsi="Times New Roman"/>
          <w:i/>
          <w:spacing w:val="-1"/>
          <w:sz w:val="24"/>
        </w:rPr>
        <w:t>"is</w:t>
      </w:r>
      <w:r>
        <w:rPr>
          <w:rFonts w:ascii="Times New Roman" w:hAnsi="Times New Roman"/>
          <w:i/>
          <w:spacing w:val="20"/>
          <w:sz w:val="24"/>
        </w:rPr>
        <w:t xml:space="preserve"> </w:t>
      </w:r>
      <w:r>
        <w:rPr>
          <w:rFonts w:ascii="Times New Roman" w:hAnsi="Times New Roman"/>
          <w:i/>
          <w:spacing w:val="-1"/>
          <w:sz w:val="24"/>
        </w:rPr>
        <w:t>also</w:t>
      </w:r>
      <w:r>
        <w:rPr>
          <w:rFonts w:ascii="Times New Roman" w:hAnsi="Times New Roman"/>
          <w:i/>
          <w:spacing w:val="19"/>
          <w:sz w:val="24"/>
        </w:rPr>
        <w:t xml:space="preserve"> </w:t>
      </w:r>
      <w:r>
        <w:rPr>
          <w:rFonts w:ascii="Times New Roman" w:hAnsi="Times New Roman"/>
          <w:i/>
          <w:sz w:val="24"/>
        </w:rPr>
        <w:t>important</w:t>
      </w:r>
      <w:r>
        <w:rPr>
          <w:rFonts w:ascii="Times New Roman" w:hAnsi="Times New Roman"/>
          <w:i/>
          <w:spacing w:val="19"/>
          <w:sz w:val="24"/>
        </w:rPr>
        <w:t xml:space="preserve"> </w:t>
      </w:r>
      <w:r>
        <w:rPr>
          <w:rFonts w:ascii="Times New Roman" w:hAnsi="Times New Roman"/>
          <w:i/>
          <w:sz w:val="24"/>
        </w:rPr>
        <w:t>to</w:t>
      </w:r>
      <w:r>
        <w:rPr>
          <w:rFonts w:ascii="Times New Roman" w:hAnsi="Times New Roman"/>
          <w:i/>
          <w:spacing w:val="19"/>
          <w:sz w:val="24"/>
        </w:rPr>
        <w:t xml:space="preserve"> </w:t>
      </w:r>
      <w:r>
        <w:rPr>
          <w:rFonts w:ascii="Times New Roman" w:hAnsi="Times New Roman"/>
          <w:i/>
          <w:sz w:val="24"/>
        </w:rPr>
        <w:t>take</w:t>
      </w:r>
      <w:r>
        <w:rPr>
          <w:rFonts w:ascii="Times New Roman" w:hAnsi="Times New Roman"/>
          <w:i/>
          <w:spacing w:val="19"/>
          <w:sz w:val="24"/>
        </w:rPr>
        <w:t xml:space="preserve"> </w:t>
      </w:r>
      <w:r>
        <w:rPr>
          <w:rFonts w:ascii="Times New Roman" w:hAnsi="Times New Roman"/>
          <w:i/>
          <w:spacing w:val="-1"/>
          <w:sz w:val="24"/>
        </w:rPr>
        <w:t>into</w:t>
      </w:r>
      <w:r>
        <w:rPr>
          <w:rFonts w:ascii="Times New Roman" w:hAnsi="Times New Roman"/>
          <w:i/>
          <w:spacing w:val="19"/>
          <w:sz w:val="24"/>
        </w:rPr>
        <w:t xml:space="preserve"> </w:t>
      </w:r>
      <w:r>
        <w:rPr>
          <w:rFonts w:ascii="Times New Roman" w:hAnsi="Times New Roman"/>
          <w:i/>
          <w:sz w:val="24"/>
        </w:rPr>
        <w:t>account</w:t>
      </w:r>
      <w:r>
        <w:rPr>
          <w:rFonts w:ascii="Times New Roman" w:hAnsi="Times New Roman"/>
          <w:i/>
          <w:spacing w:val="19"/>
          <w:sz w:val="24"/>
        </w:rPr>
        <w:t xml:space="preserve"> </w:t>
      </w:r>
      <w:r>
        <w:rPr>
          <w:rFonts w:ascii="Times New Roman" w:hAnsi="Times New Roman"/>
          <w:i/>
          <w:spacing w:val="-1"/>
          <w:sz w:val="24"/>
        </w:rPr>
        <w:t>the</w:t>
      </w:r>
      <w:r>
        <w:rPr>
          <w:rFonts w:ascii="Times New Roman" w:hAnsi="Times New Roman"/>
          <w:i/>
          <w:spacing w:val="27"/>
          <w:sz w:val="24"/>
        </w:rPr>
        <w:t xml:space="preserve"> </w:t>
      </w:r>
      <w:r>
        <w:rPr>
          <w:rFonts w:ascii="Times New Roman" w:hAnsi="Times New Roman"/>
          <w:i/>
          <w:sz w:val="24"/>
        </w:rPr>
        <w:t>developments</w:t>
      </w:r>
      <w:r>
        <w:rPr>
          <w:rFonts w:ascii="Times New Roman" w:hAnsi="Times New Roman"/>
          <w:i/>
          <w:spacing w:val="9"/>
          <w:sz w:val="24"/>
        </w:rPr>
        <w:t xml:space="preserve"> </w:t>
      </w:r>
      <w:r>
        <w:rPr>
          <w:rFonts w:ascii="Times New Roman" w:hAnsi="Times New Roman"/>
          <w:i/>
          <w:sz w:val="24"/>
        </w:rPr>
        <w:t>in</w:t>
      </w:r>
      <w:r>
        <w:rPr>
          <w:rFonts w:ascii="Times New Roman" w:hAnsi="Times New Roman"/>
          <w:i/>
          <w:spacing w:val="9"/>
          <w:sz w:val="24"/>
        </w:rPr>
        <w:t xml:space="preserve"> </w:t>
      </w:r>
      <w:r>
        <w:rPr>
          <w:rFonts w:ascii="Times New Roman" w:hAnsi="Times New Roman"/>
          <w:i/>
          <w:sz w:val="24"/>
        </w:rPr>
        <w:t>ITS</w:t>
      </w:r>
      <w:r>
        <w:rPr>
          <w:rFonts w:ascii="Times New Roman" w:hAnsi="Times New Roman"/>
          <w:i/>
          <w:spacing w:val="8"/>
          <w:sz w:val="24"/>
        </w:rPr>
        <w:t xml:space="preserve"> </w:t>
      </w:r>
      <w:r>
        <w:rPr>
          <w:rFonts w:ascii="Times New Roman" w:hAnsi="Times New Roman"/>
          <w:i/>
          <w:sz w:val="24"/>
        </w:rPr>
        <w:t>technologies</w:t>
      </w:r>
      <w:r>
        <w:rPr>
          <w:rFonts w:ascii="Times New Roman" w:hAnsi="Times New Roman"/>
          <w:i/>
          <w:spacing w:val="8"/>
          <w:sz w:val="24"/>
        </w:rPr>
        <w:t xml:space="preserve"> </w:t>
      </w:r>
      <w:r>
        <w:rPr>
          <w:rFonts w:ascii="Times New Roman" w:hAnsi="Times New Roman"/>
          <w:i/>
          <w:spacing w:val="-1"/>
          <w:sz w:val="24"/>
        </w:rPr>
        <w:t>[…]</w:t>
      </w:r>
      <w:r>
        <w:rPr>
          <w:rFonts w:ascii="Times New Roman" w:hAnsi="Times New Roman"/>
          <w:i/>
          <w:spacing w:val="12"/>
          <w:sz w:val="24"/>
        </w:rPr>
        <w:t xml:space="preserve"> </w:t>
      </w:r>
      <w:r>
        <w:rPr>
          <w:rFonts w:ascii="Times New Roman" w:hAnsi="Times New Roman"/>
          <w:i/>
          <w:spacing w:val="-1"/>
          <w:sz w:val="24"/>
        </w:rPr>
        <w:t>and</w:t>
      </w:r>
      <w:r>
        <w:rPr>
          <w:rFonts w:ascii="Times New Roman" w:hAnsi="Times New Roman"/>
          <w:i/>
          <w:spacing w:val="8"/>
          <w:sz w:val="24"/>
        </w:rPr>
        <w:t xml:space="preserve"> </w:t>
      </w:r>
      <w:r>
        <w:rPr>
          <w:rFonts w:ascii="Times New Roman" w:hAnsi="Times New Roman"/>
          <w:i/>
          <w:sz w:val="24"/>
        </w:rPr>
        <w:t>the</w:t>
      </w:r>
      <w:r>
        <w:rPr>
          <w:rFonts w:ascii="Times New Roman" w:hAnsi="Times New Roman"/>
          <w:i/>
          <w:spacing w:val="8"/>
          <w:sz w:val="24"/>
        </w:rPr>
        <w:t xml:space="preserve"> </w:t>
      </w:r>
      <w:r>
        <w:rPr>
          <w:rFonts w:ascii="Times New Roman" w:hAnsi="Times New Roman"/>
          <w:i/>
          <w:sz w:val="24"/>
        </w:rPr>
        <w:t>introduction</w:t>
      </w:r>
      <w:r>
        <w:rPr>
          <w:rFonts w:ascii="Times New Roman" w:hAnsi="Times New Roman"/>
          <w:i/>
          <w:spacing w:val="8"/>
          <w:sz w:val="24"/>
        </w:rPr>
        <w:t xml:space="preserve"> </w:t>
      </w:r>
      <w:r>
        <w:rPr>
          <w:rFonts w:ascii="Times New Roman" w:hAnsi="Times New Roman"/>
          <w:i/>
          <w:sz w:val="24"/>
        </w:rPr>
        <w:t>of</w:t>
      </w:r>
      <w:r>
        <w:rPr>
          <w:rFonts w:ascii="Times New Roman" w:hAnsi="Times New Roman"/>
          <w:i/>
          <w:spacing w:val="8"/>
          <w:sz w:val="24"/>
        </w:rPr>
        <w:t xml:space="preserve"> </w:t>
      </w:r>
      <w:r>
        <w:rPr>
          <w:rFonts w:ascii="Times New Roman" w:hAnsi="Times New Roman"/>
          <w:i/>
          <w:spacing w:val="-1"/>
          <w:sz w:val="24"/>
        </w:rPr>
        <w:t>Communication</w:t>
      </w:r>
      <w:r>
        <w:rPr>
          <w:rFonts w:ascii="Times New Roman" w:hAnsi="Times New Roman"/>
          <w:i/>
          <w:spacing w:val="9"/>
          <w:sz w:val="24"/>
        </w:rPr>
        <w:t xml:space="preserve"> </w:t>
      </w:r>
      <w:r>
        <w:rPr>
          <w:rFonts w:ascii="Times New Roman" w:hAnsi="Times New Roman"/>
          <w:i/>
          <w:spacing w:val="-1"/>
          <w:sz w:val="24"/>
        </w:rPr>
        <w:t>Based</w:t>
      </w:r>
      <w:r>
        <w:rPr>
          <w:rFonts w:ascii="Times New Roman" w:hAnsi="Times New Roman"/>
          <w:i/>
          <w:spacing w:val="39"/>
          <w:sz w:val="24"/>
        </w:rPr>
        <w:t xml:space="preserve"> </w:t>
      </w:r>
      <w:r>
        <w:rPr>
          <w:rFonts w:ascii="Times New Roman" w:hAnsi="Times New Roman"/>
          <w:i/>
          <w:sz w:val="24"/>
        </w:rPr>
        <w:t>Train</w:t>
      </w:r>
      <w:r>
        <w:rPr>
          <w:rFonts w:ascii="Times New Roman" w:hAnsi="Times New Roman"/>
          <w:i/>
          <w:spacing w:val="42"/>
          <w:sz w:val="24"/>
        </w:rPr>
        <w:t xml:space="preserve"> </w:t>
      </w:r>
      <w:r>
        <w:rPr>
          <w:rFonts w:ascii="Times New Roman" w:hAnsi="Times New Roman"/>
          <w:i/>
          <w:spacing w:val="-1"/>
          <w:sz w:val="24"/>
        </w:rPr>
        <w:t>Control</w:t>
      </w:r>
      <w:r>
        <w:rPr>
          <w:rFonts w:ascii="Times New Roman" w:hAnsi="Times New Roman"/>
          <w:i/>
          <w:spacing w:val="42"/>
          <w:sz w:val="24"/>
        </w:rPr>
        <w:t xml:space="preserve"> </w:t>
      </w:r>
      <w:r>
        <w:rPr>
          <w:rFonts w:ascii="Times New Roman" w:hAnsi="Times New Roman"/>
          <w:i/>
          <w:spacing w:val="-1"/>
          <w:sz w:val="24"/>
        </w:rPr>
        <w:t>(CBTC)</w:t>
      </w:r>
      <w:r>
        <w:rPr>
          <w:rFonts w:ascii="Times New Roman" w:hAnsi="Times New Roman"/>
          <w:i/>
          <w:spacing w:val="41"/>
          <w:sz w:val="24"/>
        </w:rPr>
        <w:t xml:space="preserve"> </w:t>
      </w:r>
      <w:r>
        <w:rPr>
          <w:rFonts w:ascii="Times New Roman" w:hAnsi="Times New Roman"/>
          <w:i/>
          <w:sz w:val="24"/>
        </w:rPr>
        <w:t>within</w:t>
      </w:r>
      <w:r>
        <w:rPr>
          <w:rFonts w:ascii="Times New Roman" w:hAnsi="Times New Roman"/>
          <w:i/>
          <w:spacing w:val="40"/>
          <w:sz w:val="24"/>
        </w:rPr>
        <w:t xml:space="preserve"> </w:t>
      </w:r>
      <w:r>
        <w:rPr>
          <w:rFonts w:ascii="Times New Roman" w:hAnsi="Times New Roman"/>
          <w:i/>
          <w:sz w:val="24"/>
        </w:rPr>
        <w:t>the</w:t>
      </w:r>
      <w:r>
        <w:rPr>
          <w:rFonts w:ascii="Times New Roman" w:hAnsi="Times New Roman"/>
          <w:i/>
          <w:spacing w:val="41"/>
          <w:sz w:val="24"/>
        </w:rPr>
        <w:t xml:space="preserve"> </w:t>
      </w:r>
      <w:r>
        <w:rPr>
          <w:rFonts w:ascii="Times New Roman" w:hAnsi="Times New Roman"/>
          <w:i/>
          <w:spacing w:val="-1"/>
          <w:sz w:val="24"/>
        </w:rPr>
        <w:t>ITS</w:t>
      </w:r>
      <w:r>
        <w:rPr>
          <w:rFonts w:ascii="Times New Roman" w:hAnsi="Times New Roman"/>
          <w:i/>
          <w:spacing w:val="41"/>
          <w:sz w:val="24"/>
        </w:rPr>
        <w:t xml:space="preserve"> </w:t>
      </w:r>
      <w:r>
        <w:rPr>
          <w:rFonts w:ascii="Times New Roman" w:hAnsi="Times New Roman"/>
          <w:i/>
          <w:sz w:val="24"/>
        </w:rPr>
        <w:t>designation.</w:t>
      </w:r>
      <w:r>
        <w:rPr>
          <w:rFonts w:ascii="Times New Roman" w:hAnsi="Times New Roman"/>
          <w:i/>
          <w:spacing w:val="42"/>
          <w:sz w:val="24"/>
        </w:rPr>
        <w:t xml:space="preserve"> </w:t>
      </w:r>
      <w:r>
        <w:rPr>
          <w:rFonts w:ascii="Times New Roman" w:hAnsi="Times New Roman"/>
          <w:i/>
          <w:sz w:val="24"/>
        </w:rPr>
        <w:t>We</w:t>
      </w:r>
      <w:r>
        <w:rPr>
          <w:rFonts w:ascii="Times New Roman" w:hAnsi="Times New Roman"/>
          <w:i/>
          <w:spacing w:val="41"/>
          <w:sz w:val="24"/>
        </w:rPr>
        <w:t xml:space="preserve"> </w:t>
      </w:r>
      <w:proofErr w:type="spellStart"/>
      <w:r>
        <w:rPr>
          <w:rFonts w:ascii="Times New Roman" w:hAnsi="Times New Roman"/>
          <w:i/>
          <w:sz w:val="24"/>
        </w:rPr>
        <w:t>recognise</w:t>
      </w:r>
      <w:proofErr w:type="spellEnd"/>
      <w:r>
        <w:rPr>
          <w:rFonts w:ascii="Times New Roman" w:hAnsi="Times New Roman"/>
          <w:i/>
          <w:spacing w:val="41"/>
          <w:sz w:val="24"/>
        </w:rPr>
        <w:t xml:space="preserve"> </w:t>
      </w:r>
      <w:r>
        <w:rPr>
          <w:rFonts w:ascii="Times New Roman" w:hAnsi="Times New Roman"/>
          <w:i/>
          <w:sz w:val="24"/>
        </w:rPr>
        <w:t>the</w:t>
      </w:r>
      <w:r>
        <w:rPr>
          <w:rFonts w:ascii="Times New Roman" w:hAnsi="Times New Roman"/>
          <w:i/>
          <w:spacing w:val="42"/>
          <w:sz w:val="24"/>
        </w:rPr>
        <w:t xml:space="preserve"> </w:t>
      </w:r>
      <w:r>
        <w:rPr>
          <w:rFonts w:ascii="Times New Roman" w:hAnsi="Times New Roman"/>
          <w:i/>
          <w:spacing w:val="-1"/>
          <w:sz w:val="24"/>
        </w:rPr>
        <w:t>risk</w:t>
      </w:r>
      <w:r>
        <w:rPr>
          <w:rFonts w:ascii="Times New Roman" w:hAnsi="Times New Roman"/>
          <w:i/>
          <w:spacing w:val="41"/>
          <w:sz w:val="24"/>
        </w:rPr>
        <w:t xml:space="preserve"> </w:t>
      </w:r>
      <w:r>
        <w:rPr>
          <w:rFonts w:ascii="Times New Roman" w:hAnsi="Times New Roman"/>
          <w:i/>
          <w:sz w:val="24"/>
        </w:rPr>
        <w:t>that</w:t>
      </w:r>
      <w:r>
        <w:rPr>
          <w:rFonts w:ascii="Times New Roman" w:hAnsi="Times New Roman"/>
          <w:i/>
          <w:spacing w:val="41"/>
          <w:sz w:val="24"/>
        </w:rPr>
        <w:t xml:space="preserve"> </w:t>
      </w:r>
      <w:r>
        <w:rPr>
          <w:rFonts w:ascii="Times New Roman" w:hAnsi="Times New Roman"/>
          <w:i/>
          <w:sz w:val="24"/>
        </w:rPr>
        <w:t>this</w:t>
      </w:r>
      <w:r>
        <w:rPr>
          <w:rFonts w:ascii="Times New Roman" w:hAnsi="Times New Roman"/>
          <w:i/>
          <w:spacing w:val="35"/>
          <w:sz w:val="24"/>
        </w:rPr>
        <w:t xml:space="preserve"> </w:t>
      </w:r>
      <w:r>
        <w:rPr>
          <w:rFonts w:ascii="Times New Roman" w:hAnsi="Times New Roman"/>
          <w:i/>
          <w:sz w:val="24"/>
        </w:rPr>
        <w:t>could</w:t>
      </w:r>
      <w:r>
        <w:rPr>
          <w:rFonts w:ascii="Times New Roman" w:hAnsi="Times New Roman"/>
          <w:i/>
          <w:spacing w:val="27"/>
          <w:sz w:val="24"/>
        </w:rPr>
        <w:t xml:space="preserve"> </w:t>
      </w:r>
      <w:r>
        <w:rPr>
          <w:rFonts w:ascii="Times New Roman" w:hAnsi="Times New Roman"/>
          <w:i/>
          <w:sz w:val="24"/>
        </w:rPr>
        <w:t>constrain</w:t>
      </w:r>
      <w:r>
        <w:rPr>
          <w:rFonts w:ascii="Times New Roman" w:hAnsi="Times New Roman"/>
          <w:i/>
          <w:spacing w:val="27"/>
          <w:sz w:val="24"/>
        </w:rPr>
        <w:t xml:space="preserve"> </w:t>
      </w:r>
      <w:r>
        <w:rPr>
          <w:rFonts w:ascii="Times New Roman" w:hAnsi="Times New Roman"/>
          <w:i/>
          <w:sz w:val="24"/>
        </w:rPr>
        <w:t>other</w:t>
      </w:r>
      <w:r>
        <w:rPr>
          <w:rFonts w:ascii="Times New Roman" w:hAnsi="Times New Roman"/>
          <w:i/>
          <w:spacing w:val="26"/>
          <w:sz w:val="24"/>
        </w:rPr>
        <w:t xml:space="preserve"> </w:t>
      </w:r>
      <w:r>
        <w:rPr>
          <w:rFonts w:ascii="Times New Roman" w:hAnsi="Times New Roman"/>
          <w:i/>
          <w:spacing w:val="-1"/>
          <w:sz w:val="24"/>
        </w:rPr>
        <w:t>potential</w:t>
      </w:r>
      <w:r>
        <w:rPr>
          <w:rFonts w:ascii="Times New Roman" w:hAnsi="Times New Roman"/>
          <w:i/>
          <w:spacing w:val="28"/>
          <w:sz w:val="24"/>
        </w:rPr>
        <w:t xml:space="preserve"> </w:t>
      </w:r>
      <w:r>
        <w:rPr>
          <w:rFonts w:ascii="Times New Roman" w:hAnsi="Times New Roman"/>
          <w:i/>
          <w:spacing w:val="-1"/>
          <w:sz w:val="24"/>
        </w:rPr>
        <w:t>future</w:t>
      </w:r>
      <w:r>
        <w:rPr>
          <w:rFonts w:ascii="Times New Roman" w:hAnsi="Times New Roman"/>
          <w:i/>
          <w:spacing w:val="28"/>
          <w:sz w:val="24"/>
        </w:rPr>
        <w:t xml:space="preserve"> </w:t>
      </w:r>
      <w:r>
        <w:rPr>
          <w:rFonts w:ascii="Times New Roman" w:hAnsi="Times New Roman"/>
          <w:i/>
          <w:sz w:val="24"/>
        </w:rPr>
        <w:t>uses</w:t>
      </w:r>
      <w:r>
        <w:rPr>
          <w:rFonts w:ascii="Times New Roman" w:hAnsi="Times New Roman"/>
          <w:i/>
          <w:spacing w:val="27"/>
          <w:sz w:val="24"/>
        </w:rPr>
        <w:t xml:space="preserve"> </w:t>
      </w:r>
      <w:r>
        <w:rPr>
          <w:rFonts w:ascii="Times New Roman" w:hAnsi="Times New Roman"/>
          <w:i/>
          <w:spacing w:val="-1"/>
          <w:sz w:val="24"/>
        </w:rPr>
        <w:t>of</w:t>
      </w:r>
      <w:r>
        <w:rPr>
          <w:rFonts w:ascii="Times New Roman" w:hAnsi="Times New Roman"/>
          <w:i/>
          <w:spacing w:val="27"/>
          <w:sz w:val="24"/>
        </w:rPr>
        <w:t xml:space="preserve"> </w:t>
      </w:r>
      <w:r>
        <w:rPr>
          <w:rFonts w:ascii="Times New Roman" w:hAnsi="Times New Roman"/>
          <w:i/>
          <w:sz w:val="24"/>
        </w:rPr>
        <w:t>this</w:t>
      </w:r>
      <w:r>
        <w:rPr>
          <w:rFonts w:ascii="Times New Roman" w:hAnsi="Times New Roman"/>
          <w:i/>
          <w:spacing w:val="27"/>
          <w:sz w:val="24"/>
        </w:rPr>
        <w:t xml:space="preserve"> </w:t>
      </w:r>
      <w:r>
        <w:rPr>
          <w:rFonts w:ascii="Times New Roman" w:hAnsi="Times New Roman"/>
          <w:i/>
          <w:spacing w:val="-1"/>
          <w:sz w:val="24"/>
        </w:rPr>
        <w:t>spectrum</w:t>
      </w:r>
      <w:r>
        <w:rPr>
          <w:rFonts w:ascii="Times New Roman" w:hAnsi="Times New Roman"/>
          <w:i/>
          <w:spacing w:val="27"/>
          <w:sz w:val="24"/>
        </w:rPr>
        <w:t xml:space="preserve"> </w:t>
      </w:r>
      <w:r>
        <w:rPr>
          <w:rFonts w:ascii="Times New Roman" w:hAnsi="Times New Roman"/>
          <w:i/>
          <w:sz w:val="24"/>
        </w:rPr>
        <w:t>(e.g.</w:t>
      </w:r>
      <w:r>
        <w:rPr>
          <w:rFonts w:ascii="Times New Roman" w:hAnsi="Times New Roman"/>
          <w:i/>
          <w:spacing w:val="28"/>
          <w:sz w:val="24"/>
        </w:rPr>
        <w:t xml:space="preserve"> </w:t>
      </w:r>
      <w:r>
        <w:rPr>
          <w:rFonts w:ascii="Times New Roman" w:hAnsi="Times New Roman"/>
          <w:i/>
          <w:spacing w:val="-1"/>
          <w:sz w:val="24"/>
        </w:rPr>
        <w:t>RLAN)</w:t>
      </w:r>
      <w:r>
        <w:rPr>
          <w:rFonts w:ascii="Times New Roman" w:hAnsi="Times New Roman"/>
          <w:i/>
          <w:spacing w:val="26"/>
          <w:sz w:val="24"/>
        </w:rPr>
        <w:t xml:space="preserve"> </w:t>
      </w:r>
      <w:r>
        <w:rPr>
          <w:rFonts w:ascii="Times New Roman" w:hAnsi="Times New Roman"/>
          <w:i/>
          <w:sz w:val="24"/>
        </w:rPr>
        <w:t>and</w:t>
      </w:r>
      <w:r>
        <w:rPr>
          <w:rFonts w:ascii="Times New Roman" w:hAnsi="Times New Roman"/>
          <w:i/>
          <w:spacing w:val="47"/>
          <w:sz w:val="24"/>
        </w:rPr>
        <w:t xml:space="preserve"> </w:t>
      </w:r>
      <w:r>
        <w:rPr>
          <w:rFonts w:ascii="Times New Roman" w:hAnsi="Times New Roman"/>
          <w:i/>
          <w:spacing w:val="-1"/>
          <w:sz w:val="24"/>
        </w:rPr>
        <w:t>recommend</w:t>
      </w:r>
      <w:r>
        <w:rPr>
          <w:rFonts w:ascii="Times New Roman" w:hAnsi="Times New Roman"/>
          <w:i/>
          <w:sz w:val="24"/>
        </w:rPr>
        <w:t xml:space="preserve"> that </w:t>
      </w:r>
      <w:r>
        <w:rPr>
          <w:rFonts w:ascii="Times New Roman" w:hAnsi="Times New Roman"/>
          <w:i/>
          <w:spacing w:val="-1"/>
          <w:sz w:val="24"/>
        </w:rPr>
        <w:t>this</w:t>
      </w:r>
      <w:r>
        <w:rPr>
          <w:rFonts w:ascii="Times New Roman" w:hAnsi="Times New Roman"/>
          <w:i/>
          <w:sz w:val="24"/>
        </w:rPr>
        <w:t xml:space="preserve"> risk is </w:t>
      </w:r>
      <w:r>
        <w:rPr>
          <w:rFonts w:ascii="Times New Roman" w:hAnsi="Times New Roman"/>
          <w:i/>
          <w:spacing w:val="-1"/>
          <w:sz w:val="24"/>
        </w:rPr>
        <w:t>kept</w:t>
      </w:r>
      <w:r>
        <w:rPr>
          <w:rFonts w:ascii="Times New Roman" w:hAnsi="Times New Roman"/>
          <w:i/>
          <w:sz w:val="24"/>
        </w:rPr>
        <w:t xml:space="preserve"> under review"</w:t>
      </w:r>
      <w:r>
        <w:rPr>
          <w:rFonts w:ascii="Times New Roman" w:hAnsi="Times New Roman"/>
          <w:sz w:val="24"/>
        </w:rPr>
        <w:t>.</w:t>
      </w:r>
    </w:p>
    <w:p w14:paraId="0A7D7CD2" w14:textId="77777777" w:rsidR="00B52D8F" w:rsidRDefault="00B52D8F" w:rsidP="005F5E47">
      <w:pPr>
        <w:pStyle w:val="BodyText"/>
        <w:ind w:left="465" w:right="116"/>
      </w:pPr>
      <w:r>
        <w:rPr>
          <w:spacing w:val="-1"/>
        </w:rPr>
        <w:t>Considering</w:t>
      </w:r>
      <w:r>
        <w:rPr>
          <w:spacing w:val="20"/>
        </w:rPr>
        <w:t xml:space="preserve"> </w:t>
      </w:r>
      <w:r>
        <w:t>that</w:t>
      </w:r>
      <w:r>
        <w:rPr>
          <w:spacing w:val="21"/>
        </w:rPr>
        <w:t xml:space="preserve"> </w:t>
      </w:r>
      <w:r>
        <w:rPr>
          <w:spacing w:val="-1"/>
        </w:rPr>
        <w:t>the</w:t>
      </w:r>
      <w:r>
        <w:rPr>
          <w:spacing w:val="21"/>
        </w:rPr>
        <w:t xml:space="preserve"> </w:t>
      </w:r>
      <w:r>
        <w:t xml:space="preserve">5.9 </w:t>
      </w:r>
      <w:r>
        <w:rPr>
          <w:spacing w:val="-1"/>
        </w:rPr>
        <w:t>GHz</w:t>
      </w:r>
      <w:r>
        <w:rPr>
          <w:spacing w:val="21"/>
        </w:rPr>
        <w:t xml:space="preserve"> </w:t>
      </w:r>
      <w:r>
        <w:t>band</w:t>
      </w:r>
      <w:r>
        <w:rPr>
          <w:spacing w:val="22"/>
        </w:rPr>
        <w:t xml:space="preserve"> </w:t>
      </w:r>
      <w:r>
        <w:t>is</w:t>
      </w:r>
      <w:r>
        <w:rPr>
          <w:spacing w:val="20"/>
        </w:rPr>
        <w:t xml:space="preserve"> </w:t>
      </w:r>
      <w:r>
        <w:rPr>
          <w:spacing w:val="-1"/>
        </w:rPr>
        <w:t>likely</w:t>
      </w:r>
      <w:r>
        <w:rPr>
          <w:spacing w:val="21"/>
        </w:rPr>
        <w:t xml:space="preserve"> </w:t>
      </w:r>
      <w:r>
        <w:t>to</w:t>
      </w:r>
      <w:r>
        <w:rPr>
          <w:spacing w:val="22"/>
        </w:rPr>
        <w:t xml:space="preserve"> </w:t>
      </w:r>
      <w:r>
        <w:rPr>
          <w:spacing w:val="-1"/>
        </w:rPr>
        <w:t>be</w:t>
      </w:r>
      <w:r>
        <w:rPr>
          <w:spacing w:val="21"/>
        </w:rPr>
        <w:t xml:space="preserve"> </w:t>
      </w:r>
      <w:r>
        <w:t>used</w:t>
      </w:r>
      <w:r>
        <w:rPr>
          <w:spacing w:val="20"/>
        </w:rPr>
        <w:t xml:space="preserve"> </w:t>
      </w:r>
      <w:r>
        <w:t>by</w:t>
      </w:r>
      <w:r>
        <w:rPr>
          <w:spacing w:val="21"/>
        </w:rPr>
        <w:t xml:space="preserve"> </w:t>
      </w:r>
      <w:r>
        <w:rPr>
          <w:spacing w:val="-1"/>
        </w:rPr>
        <w:t>different</w:t>
      </w:r>
      <w:r>
        <w:rPr>
          <w:spacing w:val="23"/>
        </w:rPr>
        <w:t xml:space="preserve"> </w:t>
      </w:r>
      <w:r>
        <w:rPr>
          <w:spacing w:val="-1"/>
        </w:rPr>
        <w:t>technologies</w:t>
      </w:r>
      <w:r>
        <w:rPr>
          <w:spacing w:val="20"/>
        </w:rPr>
        <w:t xml:space="preserve"> </w:t>
      </w:r>
      <w:r>
        <w:rPr>
          <w:spacing w:val="-1"/>
        </w:rPr>
        <w:t>for</w:t>
      </w:r>
      <w:r>
        <w:rPr>
          <w:spacing w:val="73"/>
        </w:rPr>
        <w:t xml:space="preserve"> </w:t>
      </w:r>
      <w:r>
        <w:rPr>
          <w:spacing w:val="-1"/>
        </w:rPr>
        <w:t>safety-related</w:t>
      </w:r>
      <w:r>
        <w:rPr>
          <w:spacing w:val="28"/>
        </w:rPr>
        <w:t xml:space="preserve"> </w:t>
      </w:r>
      <w:r>
        <w:t>transport</w:t>
      </w:r>
      <w:r>
        <w:rPr>
          <w:spacing w:val="29"/>
        </w:rPr>
        <w:t xml:space="preserve"> </w:t>
      </w:r>
      <w:r>
        <w:rPr>
          <w:spacing w:val="-1"/>
        </w:rPr>
        <w:t>systems</w:t>
      </w:r>
      <w:r>
        <w:rPr>
          <w:spacing w:val="28"/>
        </w:rPr>
        <w:t xml:space="preserve"> </w:t>
      </w:r>
      <w:r>
        <w:t>(for</w:t>
      </w:r>
      <w:r>
        <w:rPr>
          <w:spacing w:val="29"/>
        </w:rPr>
        <w:t xml:space="preserve"> </w:t>
      </w:r>
      <w:r>
        <w:t>road</w:t>
      </w:r>
      <w:r>
        <w:rPr>
          <w:spacing w:val="28"/>
        </w:rPr>
        <w:t xml:space="preserve"> </w:t>
      </w:r>
      <w:r>
        <w:t>and</w:t>
      </w:r>
      <w:r>
        <w:rPr>
          <w:spacing w:val="28"/>
        </w:rPr>
        <w:t xml:space="preserve"> </w:t>
      </w:r>
      <w:r>
        <w:t>rail</w:t>
      </w:r>
      <w:r>
        <w:rPr>
          <w:spacing w:val="29"/>
        </w:rPr>
        <w:t xml:space="preserve"> </w:t>
      </w:r>
      <w:r>
        <w:t>such</w:t>
      </w:r>
      <w:r>
        <w:rPr>
          <w:spacing w:val="29"/>
        </w:rPr>
        <w:t xml:space="preserve"> </w:t>
      </w:r>
      <w:r>
        <w:t>as</w:t>
      </w:r>
      <w:r>
        <w:rPr>
          <w:spacing w:val="31"/>
        </w:rPr>
        <w:t xml:space="preserve"> </w:t>
      </w:r>
      <w:r>
        <w:rPr>
          <w:spacing w:val="-1"/>
        </w:rPr>
        <w:t>ETSI</w:t>
      </w:r>
      <w:r>
        <w:rPr>
          <w:spacing w:val="28"/>
        </w:rPr>
        <w:t xml:space="preserve"> </w:t>
      </w:r>
      <w:r>
        <w:t>ITS-G5,</w:t>
      </w:r>
      <w:r>
        <w:rPr>
          <w:spacing w:val="28"/>
        </w:rPr>
        <w:t xml:space="preserve"> </w:t>
      </w:r>
      <w:r>
        <w:rPr>
          <w:spacing w:val="-1"/>
        </w:rPr>
        <w:t>LTE-V2X</w:t>
      </w:r>
      <w:r>
        <w:rPr>
          <w:spacing w:val="51"/>
        </w:rPr>
        <w:t xml:space="preserve"> </w:t>
      </w:r>
      <w:r>
        <w:t>and</w:t>
      </w:r>
      <w:r>
        <w:rPr>
          <w:spacing w:val="7"/>
        </w:rPr>
        <w:t xml:space="preserve"> </w:t>
      </w:r>
      <w:r>
        <w:rPr>
          <w:spacing w:val="-1"/>
        </w:rPr>
        <w:t>technologies</w:t>
      </w:r>
      <w:r>
        <w:rPr>
          <w:spacing w:val="7"/>
        </w:rPr>
        <w:t xml:space="preserve"> </w:t>
      </w:r>
      <w:r>
        <w:t>for</w:t>
      </w:r>
      <w:r>
        <w:rPr>
          <w:spacing w:val="7"/>
        </w:rPr>
        <w:t xml:space="preserve"> </w:t>
      </w:r>
      <w:r>
        <w:rPr>
          <w:spacing w:val="-1"/>
        </w:rPr>
        <w:t>CBTC)</w:t>
      </w:r>
      <w:r>
        <w:rPr>
          <w:spacing w:val="7"/>
        </w:rPr>
        <w:t xml:space="preserve"> </w:t>
      </w:r>
      <w:r>
        <w:t>each</w:t>
      </w:r>
      <w:r>
        <w:rPr>
          <w:spacing w:val="6"/>
        </w:rPr>
        <w:t xml:space="preserve"> </w:t>
      </w:r>
      <w:r>
        <w:t>having</w:t>
      </w:r>
      <w:r>
        <w:rPr>
          <w:spacing w:val="9"/>
        </w:rPr>
        <w:t xml:space="preserve"> </w:t>
      </w:r>
      <w:r>
        <w:t>its</w:t>
      </w:r>
      <w:r>
        <w:rPr>
          <w:spacing w:val="6"/>
        </w:rPr>
        <w:t xml:space="preserve"> </w:t>
      </w:r>
      <w:r>
        <w:t>own</w:t>
      </w:r>
      <w:r>
        <w:rPr>
          <w:spacing w:val="7"/>
        </w:rPr>
        <w:t xml:space="preserve"> </w:t>
      </w:r>
      <w:r>
        <w:rPr>
          <w:spacing w:val="-1"/>
        </w:rPr>
        <w:t>merit,</w:t>
      </w:r>
      <w:r>
        <w:rPr>
          <w:spacing w:val="6"/>
        </w:rPr>
        <w:t xml:space="preserve"> </w:t>
      </w:r>
      <w:r>
        <w:t>and</w:t>
      </w:r>
      <w:r>
        <w:rPr>
          <w:spacing w:val="8"/>
        </w:rPr>
        <w:t xml:space="preserve"> </w:t>
      </w:r>
      <w:r>
        <w:t>observing</w:t>
      </w:r>
      <w:r>
        <w:rPr>
          <w:spacing w:val="7"/>
        </w:rPr>
        <w:t xml:space="preserve"> </w:t>
      </w:r>
      <w:r>
        <w:t>the</w:t>
      </w:r>
      <w:r>
        <w:rPr>
          <w:spacing w:val="7"/>
        </w:rPr>
        <w:t xml:space="preserve"> </w:t>
      </w:r>
      <w:r>
        <w:rPr>
          <w:spacing w:val="-1"/>
        </w:rPr>
        <w:t>EU</w:t>
      </w:r>
      <w:r>
        <w:rPr>
          <w:spacing w:val="35"/>
        </w:rPr>
        <w:t xml:space="preserve"> </w:t>
      </w:r>
      <w:r>
        <w:t>spectrum</w:t>
      </w:r>
      <w:r>
        <w:rPr>
          <w:spacing w:val="11"/>
        </w:rPr>
        <w:t xml:space="preserve"> </w:t>
      </w:r>
      <w:r>
        <w:t>policy</w:t>
      </w:r>
      <w:r>
        <w:rPr>
          <w:spacing w:val="14"/>
        </w:rPr>
        <w:t xml:space="preserve"> </w:t>
      </w:r>
      <w:r>
        <w:rPr>
          <w:spacing w:val="-1"/>
        </w:rPr>
        <w:t>principle</w:t>
      </w:r>
      <w:r>
        <w:rPr>
          <w:spacing w:val="13"/>
        </w:rPr>
        <w:t xml:space="preserve"> </w:t>
      </w:r>
      <w:r>
        <w:t>of</w:t>
      </w:r>
      <w:r>
        <w:rPr>
          <w:spacing w:val="13"/>
        </w:rPr>
        <w:t xml:space="preserve"> </w:t>
      </w:r>
      <w:r>
        <w:rPr>
          <w:spacing w:val="-1"/>
        </w:rPr>
        <w:t>technology</w:t>
      </w:r>
      <w:r>
        <w:rPr>
          <w:spacing w:val="12"/>
        </w:rPr>
        <w:t xml:space="preserve"> </w:t>
      </w:r>
      <w:r>
        <w:rPr>
          <w:spacing w:val="-1"/>
        </w:rPr>
        <w:t>neutrality,</w:t>
      </w:r>
      <w:r>
        <w:rPr>
          <w:spacing w:val="12"/>
        </w:rPr>
        <w:t xml:space="preserve"> </w:t>
      </w:r>
      <w:r>
        <w:t>the</w:t>
      </w:r>
      <w:r>
        <w:rPr>
          <w:spacing w:val="12"/>
        </w:rPr>
        <w:t xml:space="preserve"> </w:t>
      </w:r>
      <w:r>
        <w:rPr>
          <w:spacing w:val="-1"/>
        </w:rPr>
        <w:t>Commission</w:t>
      </w:r>
      <w:r>
        <w:rPr>
          <w:spacing w:val="14"/>
        </w:rPr>
        <w:t xml:space="preserve"> </w:t>
      </w:r>
      <w:r>
        <w:rPr>
          <w:spacing w:val="-1"/>
        </w:rPr>
        <w:t>services</w:t>
      </w:r>
      <w:r>
        <w:rPr>
          <w:spacing w:val="12"/>
        </w:rPr>
        <w:t xml:space="preserve"> </w:t>
      </w:r>
      <w:r>
        <w:t>take</w:t>
      </w:r>
      <w:r>
        <w:rPr>
          <w:spacing w:val="12"/>
        </w:rPr>
        <w:t xml:space="preserve"> </w:t>
      </w:r>
      <w:r>
        <w:t>the</w:t>
      </w:r>
    </w:p>
    <w:p w14:paraId="0A7D7CD3" w14:textId="77777777" w:rsidR="00B52D8F" w:rsidRDefault="00B52D8F" w:rsidP="00B52D8F">
      <w:pPr>
        <w:spacing w:line="20" w:lineRule="atLeast"/>
        <w:ind w:left="100"/>
        <w:rPr>
          <w:rFonts w:ascii="Times New Roman" w:hAnsi="Times New Roman"/>
          <w:sz w:val="2"/>
          <w:szCs w:val="2"/>
        </w:rPr>
      </w:pPr>
      <w:r>
        <w:rPr>
          <w:rFonts w:ascii="Times New Roman" w:hAnsi="Times New Roman"/>
          <w:noProof/>
          <w:sz w:val="2"/>
          <w:szCs w:val="2"/>
          <w:lang w:val="da-DK" w:eastAsia="da-DK"/>
        </w:rPr>
        <mc:AlternateContent>
          <mc:Choice Requires="wpg">
            <w:drawing>
              <wp:inline distT="0" distB="0" distL="0" distR="0" wp14:anchorId="0A7D7D65" wp14:editId="0A7D7D66">
                <wp:extent cx="1838325" cy="8890"/>
                <wp:effectExtent l="3175" t="5715" r="6350" b="4445"/>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306" name="Group 26"/>
                        <wpg:cNvGrpSpPr>
                          <a:grpSpLocks/>
                        </wpg:cNvGrpSpPr>
                        <wpg:grpSpPr bwMode="auto">
                          <a:xfrm>
                            <a:off x="7" y="7"/>
                            <a:ext cx="2881" cy="2"/>
                            <a:chOff x="7" y="7"/>
                            <a:chExt cx="2881" cy="2"/>
                          </a:xfrm>
                        </wpg:grpSpPr>
                        <wps:wsp>
                          <wps:cNvPr id="308" name="Freeform 27"/>
                          <wps:cNvSpPr>
                            <a:spLocks/>
                          </wps:cNvSpPr>
                          <wps:spPr bwMode="auto">
                            <a:xfrm>
                              <a:off x="7" y="7"/>
                              <a:ext cx="2881" cy="2"/>
                            </a:xfrm>
                            <a:custGeom>
                              <a:avLst/>
                              <a:gdLst>
                                <a:gd name="T0" fmla="+- 0 7 7"/>
                                <a:gd name="T1" fmla="*/ T0 w 2881"/>
                                <a:gd name="T2" fmla="+- 0 2887 7"/>
                                <a:gd name="T3" fmla="*/ T2 w 2881"/>
                              </a:gdLst>
                              <a:ahLst/>
                              <a:cxnLst>
                                <a:cxn ang="0">
                                  <a:pos x="T1" y="0"/>
                                </a:cxn>
                                <a:cxn ang="0">
                                  <a:pos x="T3" y="0"/>
                                </a:cxn>
                              </a:cxnLst>
                              <a:rect l="0" t="0" r="r" b="b"/>
                              <a:pathLst>
                                <a:path w="2881">
                                  <a:moveTo>
                                    <a:pt x="0" y="0"/>
                                  </a:moveTo>
                                  <a:lnTo>
                                    <a:pt x="2880"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5E75B8" id="Group 305"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C5hAMAANkIAAAOAAAAZHJzL2Uyb0RvYy54bWy0VtuO2zYQfS+QfyD4mMKri7W2LKw2CHxZ&#10;FEjbAHE/gKaoCyKRKklb3hb99w5JSSt5u2iRInqQh5rh8JzhXPzw4drU6MKkqgRPcXDnY8Q4FVnF&#10;ixT/djwsYoyUJjwjteAsxc9M4Q+P73546NqEhaIUdcYkAidcJV2b4lLrNvE8RUvWEHUnWsZBmQvZ&#10;EA1LWXiZJB14b2ov9P2V1wmZtVJQphR83TklfrT+85xR/WueK6ZRnWLApu1b2vfJvL3HB5IUkrRl&#10;RXsY5BtQNKTicOjoakc0QWdZvXLVVFQKJXJ9R0XjiTyvKLMcgE3g37B5kuLcWi5F0hXtGCYI7U2c&#10;vtkt/eXyWaIqS/HSv8eIkwYuyZ6LzAcIT9cWCVg9yfZL+1k6jiB+EvSrArV3qzfrwhmjU/ezyMAh&#10;OWthw3PNZWNcAHF0tbfwPN4Cu2pE4WMQL+NlCGAo6OJ4018SLeEmX22i5b7fFsabfk8QGdweSdxp&#10;FmGPyNGxi5HZyH815x+uvjf9NUZAce2ScKAfxnHguIdOMRKfmU+Jzza8yRsKTL3kkPp/OfSlJC2z&#10;qalMdowxhHJ3OXSQjJmyRaHl17XWbkghNc2ficaYKUizf82cWSzeCN0YCZLQs9JPTNjcI5dPSru6&#10;z0CyGZ31qI/QI/Kmhhbw4wL5aI36yylGA7gbZ/DeQ0cfdcjeV+9u8BIORtYLWPyDo+VgYxyFE0cA&#10;uxiAkXLASq+8BwsSIqa9+rakWqFMVRwB2FBL4AGMDLE3bOHsW1u3pz9CQt+87ZgSI+iYJ5eTLdEG&#10;mTnCiKhLsY2D+dCICzsKq9I39QqHvGhrPrWC7RD7CSqnhh3mAFvO46EG6+RCuThUdW2voOYGCjSN&#10;wMZGibrKjNKgUbI4bWuJLsTMAvsYMuBsZgY9l2fWWclItu9lTarayWBf29hC1vUhMPlnm/2fG3+z&#10;j/dxtIjC1X4R+bvd4uNhGy1Wh2B9v1vutttd8JeBFkRJWWUZ4wbdMHiC6L8VZT8C3cgYR8+MxYzs&#10;wT6vyXpzGDYWwGX4teyge7qSNP1SJSeRPUN5SuEmKUx+EEoh/8CogymaYvX7mUiGUf0ThxazCaLI&#10;jF27iO7XISzkVHOaagin4CrFGkOCG3Gr3ag+t7IqSjjJXSsXH2Gg5JWpYovPoeoX0OWs1I+hXob5&#10;CdJsQE/X1urlH8nj3wAAAP//AwBQSwMEFAAGAAgAAAAhAP7i5JjbAAAAAwEAAA8AAABkcnMvZG93&#10;bnJldi54bWxMj0FLw0AQhe+C/2EZwZvdpFppYzalFPVUhLaC9DZNpklodjZkt0n67x296OXB8B7v&#10;fZMuR9uonjpfOzYQTyJQxLkrai4NfO7fHuagfEAusHFMBq7kYZnd3qSYFG7gLfW7UCopYZ+ggSqE&#10;NtHa5xVZ9BPXEot3cp3FIGdX6qLDQcpto6dR9Kwt1iwLFba0rig/7y7WwPuAw+oxfu0359P6etjP&#10;Pr42MRlzfzeuXkAFGsNfGH7wBR0yYTq6CxdeNQbkkfCr4k3nixmoo4SeQGep/s+efQMAAP//AwBQ&#10;SwECLQAUAAYACAAAACEAtoM4kv4AAADhAQAAEwAAAAAAAAAAAAAAAAAAAAAAW0NvbnRlbnRfVHlw&#10;ZXNdLnhtbFBLAQItABQABgAIAAAAIQA4/SH/1gAAAJQBAAALAAAAAAAAAAAAAAAAAC8BAABfcmVs&#10;cy8ucmVsc1BLAQItABQABgAIAAAAIQDTkGC5hAMAANkIAAAOAAAAAAAAAAAAAAAAAC4CAABkcnMv&#10;ZTJvRG9jLnhtbFBLAQItABQABgAIAAAAIQD+4uSY2wAAAAMBAAAPAAAAAAAAAAAAAAAAAN4FAABk&#10;cnMvZG93bnJldi54bWxQSwUGAAAAAAQABADzAAAA5gYAAAAA&#10;">
                <v:group id="Group 26" o:spid="_x0000_s1027" style="position:absolute;left:7;top:7;width:2881;height:2" coordorigin="7,7"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27" o:spid="_x0000_s1028" style="position:absolute;left:7;top: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k5zvwAAANwAAAAPAAAAZHJzL2Rvd25yZXYueG1sRE/Pa8Iw&#10;FL4L/g/hCbvITF1BpDPKJhvbtd28P5pnE9e8dEmm9b83h4HHj+/3Zje6XpwpROtZwXJRgCBuvbbc&#10;Kfj+en9cg4gJWWPvmRRcKcJuO51ssNL+wjWdm9SJHMKxQgUmpaGSMraGHMaFH4gzd/TBYcowdFIH&#10;vORw18unolhJh5Zzg8GB9oban+bPKTg0xo32zc5PZf1Rogmv8pdqpR5m48sziERjuov/3Z9aQVnk&#10;tflMPgJyewMAAP//AwBQSwECLQAUAAYACAAAACEA2+H2y+4AAACFAQAAEwAAAAAAAAAAAAAAAAAA&#10;AAAAW0NvbnRlbnRfVHlwZXNdLnhtbFBLAQItABQABgAIAAAAIQBa9CxbvwAAABUBAAALAAAAAAAA&#10;AAAAAAAAAB8BAABfcmVscy8ucmVsc1BLAQItABQABgAIAAAAIQBzJk5zvwAAANwAAAAPAAAAAAAA&#10;AAAAAAAAAAcCAABkcnMvZG93bnJldi54bWxQSwUGAAAAAAMAAwC3AAAA8wIAAAAA&#10;" path="m,l2880,e" filled="f" strokeweight=".24697mm">
                    <v:path arrowok="t" o:connecttype="custom" o:connectlocs="0,0;2880,0" o:connectangles="0,0"/>
                  </v:shape>
                </v:group>
                <w10:anchorlock/>
              </v:group>
            </w:pict>
          </mc:Fallback>
        </mc:AlternateContent>
      </w:r>
    </w:p>
    <w:p w14:paraId="0A7D7CD4" w14:textId="77777777" w:rsidR="00B52D8F" w:rsidRDefault="00B52D8F" w:rsidP="00B52D8F">
      <w:pPr>
        <w:tabs>
          <w:tab w:val="left" w:pos="465"/>
        </w:tabs>
        <w:spacing w:before="83"/>
        <w:ind w:left="465" w:right="154" w:hanging="358"/>
        <w:rPr>
          <w:rFonts w:ascii="Times New Roman" w:hAnsi="Times New Roman"/>
          <w:szCs w:val="20"/>
        </w:rPr>
      </w:pPr>
      <w:r>
        <w:rPr>
          <w:rFonts w:ascii="Times New Roman"/>
          <w:w w:val="95"/>
          <w:position w:val="9"/>
          <w:sz w:val="13"/>
        </w:rPr>
        <w:t>20</w:t>
      </w:r>
      <w:r>
        <w:rPr>
          <w:rFonts w:ascii="Times New Roman"/>
          <w:w w:val="95"/>
          <w:position w:val="9"/>
          <w:sz w:val="13"/>
        </w:rPr>
        <w:tab/>
      </w:r>
      <w:r>
        <w:rPr>
          <w:rFonts w:ascii="Times New Roman"/>
        </w:rPr>
        <w:t>In</w:t>
      </w:r>
      <w:r>
        <w:rPr>
          <w:rFonts w:ascii="Times New Roman"/>
          <w:spacing w:val="4"/>
        </w:rPr>
        <w:t xml:space="preserve"> </w:t>
      </w:r>
      <w:r>
        <w:rPr>
          <w:rFonts w:ascii="Times New Roman"/>
          <w:spacing w:val="-1"/>
        </w:rPr>
        <w:t>addition</w:t>
      </w:r>
      <w:r>
        <w:rPr>
          <w:rFonts w:ascii="Times New Roman"/>
          <w:spacing w:val="4"/>
        </w:rPr>
        <w:t xml:space="preserve"> </w:t>
      </w:r>
      <w:r>
        <w:rPr>
          <w:rFonts w:ascii="Times New Roman"/>
        </w:rPr>
        <w:t>to</w:t>
      </w:r>
      <w:r>
        <w:rPr>
          <w:rFonts w:ascii="Times New Roman"/>
          <w:spacing w:val="2"/>
        </w:rPr>
        <w:t xml:space="preserve"> </w:t>
      </w:r>
      <w:r>
        <w:rPr>
          <w:rFonts w:ascii="Times New Roman"/>
        </w:rPr>
        <w:t>current</w:t>
      </w:r>
      <w:r>
        <w:rPr>
          <w:rFonts w:ascii="Times New Roman"/>
          <w:spacing w:val="2"/>
        </w:rPr>
        <w:t xml:space="preserve"> </w:t>
      </w:r>
      <w:r>
        <w:rPr>
          <w:rFonts w:ascii="Times New Roman"/>
          <w:spacing w:val="-1"/>
        </w:rPr>
        <w:t>operational</w:t>
      </w:r>
      <w:r>
        <w:rPr>
          <w:rFonts w:ascii="Times New Roman"/>
          <w:spacing w:val="3"/>
        </w:rPr>
        <w:t xml:space="preserve"> </w:t>
      </w:r>
      <w:r>
        <w:rPr>
          <w:rFonts w:ascii="Times New Roman"/>
          <w:spacing w:val="-1"/>
        </w:rPr>
        <w:t>CBTC</w:t>
      </w:r>
      <w:r>
        <w:rPr>
          <w:rFonts w:ascii="Times New Roman"/>
          <w:spacing w:val="3"/>
        </w:rPr>
        <w:t xml:space="preserve"> </w:t>
      </w:r>
      <w:r>
        <w:rPr>
          <w:rFonts w:ascii="Times New Roman"/>
          <w:spacing w:val="-1"/>
        </w:rPr>
        <w:t>lines,</w:t>
      </w:r>
      <w:r>
        <w:rPr>
          <w:rFonts w:ascii="Times New Roman"/>
          <w:spacing w:val="7"/>
        </w:rPr>
        <w:t xml:space="preserve"> </w:t>
      </w:r>
      <w:r>
        <w:rPr>
          <w:rFonts w:ascii="Times New Roman"/>
        </w:rPr>
        <w:t>a</w:t>
      </w:r>
      <w:r>
        <w:rPr>
          <w:rFonts w:ascii="Times New Roman"/>
          <w:spacing w:val="3"/>
        </w:rPr>
        <w:t xml:space="preserve"> </w:t>
      </w:r>
      <w:r>
        <w:rPr>
          <w:rFonts w:ascii="Times New Roman"/>
          <w:spacing w:val="-1"/>
        </w:rPr>
        <w:t>large</w:t>
      </w:r>
      <w:r>
        <w:rPr>
          <w:rFonts w:ascii="Times New Roman"/>
          <w:spacing w:val="2"/>
        </w:rPr>
        <w:t xml:space="preserve"> </w:t>
      </w:r>
      <w:r>
        <w:rPr>
          <w:rFonts w:ascii="Times New Roman"/>
          <w:spacing w:val="-1"/>
        </w:rPr>
        <w:t>number</w:t>
      </w:r>
      <w:r>
        <w:rPr>
          <w:rFonts w:ascii="Times New Roman"/>
          <w:spacing w:val="3"/>
        </w:rPr>
        <w:t xml:space="preserve"> </w:t>
      </w:r>
      <w:r>
        <w:rPr>
          <w:rFonts w:ascii="Times New Roman"/>
        </w:rPr>
        <w:t>of</w:t>
      </w:r>
      <w:r>
        <w:rPr>
          <w:rFonts w:ascii="Times New Roman"/>
          <w:spacing w:val="5"/>
        </w:rPr>
        <w:t xml:space="preserve"> </w:t>
      </w:r>
      <w:r>
        <w:rPr>
          <w:rFonts w:ascii="Times New Roman"/>
          <w:spacing w:val="-1"/>
        </w:rPr>
        <w:t>projects</w:t>
      </w:r>
      <w:r>
        <w:rPr>
          <w:rFonts w:ascii="Times New Roman"/>
          <w:spacing w:val="3"/>
        </w:rPr>
        <w:t xml:space="preserve"> </w:t>
      </w:r>
      <w:r>
        <w:rPr>
          <w:rFonts w:ascii="Times New Roman"/>
        </w:rPr>
        <w:t>have</w:t>
      </w:r>
      <w:r>
        <w:rPr>
          <w:rFonts w:ascii="Times New Roman"/>
          <w:spacing w:val="2"/>
        </w:rPr>
        <w:t xml:space="preserve"> </w:t>
      </w:r>
      <w:r>
        <w:rPr>
          <w:rFonts w:ascii="Times New Roman"/>
          <w:spacing w:val="-1"/>
        </w:rPr>
        <w:t>been</w:t>
      </w:r>
      <w:r>
        <w:rPr>
          <w:rFonts w:ascii="Times New Roman"/>
          <w:spacing w:val="4"/>
        </w:rPr>
        <w:t xml:space="preserve"> </w:t>
      </w:r>
      <w:r>
        <w:rPr>
          <w:rFonts w:ascii="Times New Roman"/>
          <w:spacing w:val="-1"/>
        </w:rPr>
        <w:t>already</w:t>
      </w:r>
      <w:r>
        <w:rPr>
          <w:rFonts w:ascii="Times New Roman"/>
          <w:spacing w:val="3"/>
        </w:rPr>
        <w:t xml:space="preserve"> </w:t>
      </w:r>
      <w:r>
        <w:rPr>
          <w:rFonts w:ascii="Times New Roman"/>
          <w:spacing w:val="-1"/>
        </w:rPr>
        <w:t>recorded</w:t>
      </w:r>
      <w:r>
        <w:rPr>
          <w:rFonts w:ascii="Times New Roman"/>
          <w:spacing w:val="3"/>
        </w:rPr>
        <w:t xml:space="preserve"> </w:t>
      </w:r>
      <w:r>
        <w:rPr>
          <w:rFonts w:ascii="Times New Roman"/>
        </w:rPr>
        <w:t>on</w:t>
      </w:r>
      <w:r>
        <w:rPr>
          <w:rFonts w:ascii="Times New Roman"/>
          <w:spacing w:val="99"/>
        </w:rPr>
        <w:t xml:space="preserve"> </w:t>
      </w:r>
      <w:r>
        <w:rPr>
          <w:rFonts w:ascii="Times New Roman"/>
          <w:spacing w:val="-1"/>
        </w:rPr>
        <w:t xml:space="preserve">operators' </w:t>
      </w:r>
      <w:r>
        <w:rPr>
          <w:rFonts w:ascii="Times New Roman"/>
        </w:rPr>
        <w:t>side</w:t>
      </w:r>
      <w:r>
        <w:rPr>
          <w:rFonts w:ascii="Times New Roman"/>
          <w:spacing w:val="-1"/>
        </w:rPr>
        <w:t xml:space="preserve"> </w:t>
      </w:r>
      <w:r>
        <w:rPr>
          <w:rFonts w:ascii="Times New Roman"/>
        </w:rPr>
        <w:t xml:space="preserve">for </w:t>
      </w:r>
      <w:r>
        <w:rPr>
          <w:rFonts w:ascii="Times New Roman"/>
          <w:spacing w:val="-1"/>
        </w:rPr>
        <w:t>operational CBTC</w:t>
      </w:r>
      <w:r>
        <w:rPr>
          <w:rFonts w:ascii="Times New Roman"/>
        </w:rPr>
        <w:t xml:space="preserve"> </w:t>
      </w:r>
      <w:r>
        <w:rPr>
          <w:rFonts w:ascii="Times New Roman"/>
          <w:spacing w:val="-1"/>
        </w:rPr>
        <w:t>service</w:t>
      </w:r>
      <w:r>
        <w:rPr>
          <w:rFonts w:ascii="Times New Roman"/>
        </w:rPr>
        <w:t xml:space="preserve"> (see</w:t>
      </w:r>
      <w:r>
        <w:rPr>
          <w:rFonts w:ascii="Times New Roman"/>
          <w:spacing w:val="-1"/>
        </w:rPr>
        <w:t xml:space="preserve"> </w:t>
      </w:r>
      <w:hyperlink r:id="rId58">
        <w:r>
          <w:rPr>
            <w:rFonts w:ascii="Times New Roman"/>
            <w:spacing w:val="-1"/>
          </w:rPr>
          <w:t>http://www.urbanrail.net/eu/euromet.htm).</w:t>
        </w:r>
      </w:hyperlink>
    </w:p>
    <w:p w14:paraId="0A7D7CD5" w14:textId="77777777" w:rsidR="00B52D8F" w:rsidRDefault="00B52D8F" w:rsidP="00B52D8F">
      <w:pPr>
        <w:tabs>
          <w:tab w:val="left" w:pos="465"/>
        </w:tabs>
        <w:ind w:left="107"/>
        <w:rPr>
          <w:rFonts w:ascii="Times New Roman" w:hAnsi="Times New Roman"/>
          <w:szCs w:val="20"/>
        </w:rPr>
      </w:pPr>
      <w:r>
        <w:rPr>
          <w:rFonts w:ascii="Times New Roman"/>
          <w:w w:val="95"/>
          <w:position w:val="9"/>
          <w:sz w:val="13"/>
        </w:rPr>
        <w:t>21</w:t>
      </w:r>
      <w:r>
        <w:rPr>
          <w:rFonts w:ascii="Times New Roman"/>
          <w:w w:val="95"/>
          <w:position w:val="9"/>
          <w:sz w:val="13"/>
        </w:rPr>
        <w:tab/>
      </w:r>
      <w:hyperlink r:id="rId59">
        <w:r>
          <w:rPr>
            <w:rFonts w:ascii="Times New Roman"/>
            <w:color w:val="0000FF"/>
            <w:spacing w:val="-1"/>
            <w:u w:val="single" w:color="0000FF"/>
          </w:rPr>
          <w:t>http://www.etsi.org/deliver/etsi_tr/103100_103199/103111/01.01.01_60/tr_103111v010101p.pdf</w:t>
        </w:r>
      </w:hyperlink>
    </w:p>
    <w:p w14:paraId="0A7D7CD6" w14:textId="77777777" w:rsidR="00B52D8F" w:rsidRDefault="00B52D8F" w:rsidP="00B52D8F">
      <w:pPr>
        <w:tabs>
          <w:tab w:val="left" w:pos="465"/>
        </w:tabs>
        <w:spacing w:before="83"/>
        <w:ind w:left="107"/>
        <w:rPr>
          <w:rFonts w:ascii="Times New Roman" w:hAnsi="Times New Roman"/>
          <w:szCs w:val="20"/>
        </w:rPr>
      </w:pPr>
      <w:r>
        <w:rPr>
          <w:rFonts w:ascii="Times New Roman"/>
          <w:w w:val="95"/>
          <w:position w:val="9"/>
          <w:sz w:val="13"/>
        </w:rPr>
        <w:t>22</w:t>
      </w:r>
      <w:r>
        <w:rPr>
          <w:rFonts w:ascii="Times New Roman"/>
          <w:w w:val="95"/>
          <w:position w:val="9"/>
          <w:sz w:val="13"/>
        </w:rPr>
        <w:tab/>
      </w:r>
      <w:r>
        <w:rPr>
          <w:rFonts w:ascii="Times New Roman"/>
          <w:spacing w:val="-1"/>
        </w:rPr>
        <w:t xml:space="preserve">Prioritization </w:t>
      </w:r>
      <w:r>
        <w:rPr>
          <w:rFonts w:ascii="Times New Roman"/>
        </w:rPr>
        <w:t>does</w:t>
      </w:r>
      <w:r>
        <w:rPr>
          <w:rFonts w:ascii="Times New Roman"/>
          <w:spacing w:val="-1"/>
        </w:rPr>
        <w:t xml:space="preserve"> </w:t>
      </w:r>
      <w:r>
        <w:rPr>
          <w:rFonts w:ascii="Times New Roman"/>
        </w:rPr>
        <w:t xml:space="preserve">not </w:t>
      </w:r>
      <w:r>
        <w:rPr>
          <w:rFonts w:ascii="Times New Roman"/>
          <w:spacing w:val="-1"/>
        </w:rPr>
        <w:t>imply</w:t>
      </w:r>
      <w:r>
        <w:rPr>
          <w:rFonts w:ascii="Times New Roman"/>
        </w:rPr>
        <w:t xml:space="preserve"> </w:t>
      </w:r>
      <w:r>
        <w:rPr>
          <w:rFonts w:ascii="Times New Roman"/>
          <w:spacing w:val="-1"/>
        </w:rPr>
        <w:t>spectrum</w:t>
      </w:r>
      <w:r>
        <w:rPr>
          <w:rFonts w:ascii="Times New Roman"/>
          <w:spacing w:val="-2"/>
        </w:rPr>
        <w:t xml:space="preserve"> </w:t>
      </w:r>
      <w:r>
        <w:rPr>
          <w:rFonts w:ascii="Times New Roman"/>
          <w:spacing w:val="-1"/>
        </w:rPr>
        <w:t>fragmentation</w:t>
      </w:r>
      <w:r>
        <w:rPr>
          <w:rFonts w:ascii="Times New Roman"/>
          <w:spacing w:val="1"/>
        </w:rPr>
        <w:t xml:space="preserve"> </w:t>
      </w:r>
      <w:r>
        <w:rPr>
          <w:rFonts w:ascii="Times New Roman"/>
          <w:spacing w:val="-1"/>
        </w:rPr>
        <w:t>(exclusivity)</w:t>
      </w:r>
      <w:r>
        <w:rPr>
          <w:rFonts w:ascii="Times New Roman"/>
        </w:rPr>
        <w:t xml:space="preserve"> </w:t>
      </w:r>
      <w:r>
        <w:rPr>
          <w:rFonts w:ascii="Times New Roman"/>
          <w:spacing w:val="-1"/>
        </w:rPr>
        <w:t>and</w:t>
      </w:r>
      <w:r>
        <w:rPr>
          <w:rFonts w:ascii="Times New Roman"/>
        </w:rPr>
        <w:t xml:space="preserve"> is </w:t>
      </w:r>
      <w:r>
        <w:rPr>
          <w:rFonts w:ascii="Times New Roman"/>
          <w:spacing w:val="-1"/>
        </w:rPr>
        <w:t>technology neutral.</w:t>
      </w:r>
    </w:p>
    <w:p w14:paraId="0A7D7CD7" w14:textId="77777777" w:rsidR="00B52D8F" w:rsidRDefault="00B52D8F" w:rsidP="00B52D8F">
      <w:pPr>
        <w:rPr>
          <w:rFonts w:ascii="Times New Roman" w:hAnsi="Times New Roman"/>
          <w:szCs w:val="20"/>
        </w:rPr>
        <w:sectPr w:rsidR="00B52D8F">
          <w:pgSz w:w="11910" w:h="16840"/>
          <w:pgMar w:top="1040" w:right="1440" w:bottom="820" w:left="1480" w:header="0" w:footer="633" w:gutter="0"/>
          <w:cols w:space="708"/>
        </w:sectPr>
      </w:pPr>
    </w:p>
    <w:p w14:paraId="0A7D7CD8" w14:textId="77777777" w:rsidR="00B52D8F" w:rsidRDefault="00B52D8F" w:rsidP="00B52D8F">
      <w:pPr>
        <w:pStyle w:val="BodyText"/>
        <w:spacing w:before="55"/>
        <w:ind w:right="116"/>
      </w:pPr>
      <w:r>
        <w:lastRenderedPageBreak/>
        <w:t>view</w:t>
      </w:r>
      <w:r>
        <w:rPr>
          <w:spacing w:val="8"/>
        </w:rPr>
        <w:t xml:space="preserve"> </w:t>
      </w:r>
      <w:r>
        <w:t>that</w:t>
      </w:r>
      <w:r>
        <w:rPr>
          <w:spacing w:val="7"/>
        </w:rPr>
        <w:t xml:space="preserve"> </w:t>
      </w:r>
      <w:r>
        <w:rPr>
          <w:spacing w:val="-1"/>
        </w:rPr>
        <w:t>there</w:t>
      </w:r>
      <w:r>
        <w:rPr>
          <w:spacing w:val="9"/>
        </w:rPr>
        <w:t xml:space="preserve"> </w:t>
      </w:r>
      <w:r>
        <w:rPr>
          <w:spacing w:val="-1"/>
        </w:rPr>
        <w:t>are</w:t>
      </w:r>
      <w:r>
        <w:rPr>
          <w:spacing w:val="9"/>
        </w:rPr>
        <w:t xml:space="preserve"> </w:t>
      </w:r>
      <w:r>
        <w:rPr>
          <w:spacing w:val="-1"/>
        </w:rPr>
        <w:t>sufficient</w:t>
      </w:r>
      <w:r>
        <w:rPr>
          <w:spacing w:val="8"/>
        </w:rPr>
        <w:t xml:space="preserve"> </w:t>
      </w:r>
      <w:r>
        <w:rPr>
          <w:spacing w:val="-1"/>
        </w:rPr>
        <w:t>grounds</w:t>
      </w:r>
      <w:r>
        <w:rPr>
          <w:spacing w:val="8"/>
        </w:rPr>
        <w:t xml:space="preserve"> </w:t>
      </w:r>
      <w:r>
        <w:t>to</w:t>
      </w:r>
      <w:r>
        <w:rPr>
          <w:spacing w:val="8"/>
        </w:rPr>
        <w:t xml:space="preserve"> </w:t>
      </w:r>
      <w:r>
        <w:t>study</w:t>
      </w:r>
      <w:r>
        <w:rPr>
          <w:spacing w:val="7"/>
        </w:rPr>
        <w:t xml:space="preserve"> </w:t>
      </w:r>
      <w:r>
        <w:rPr>
          <w:spacing w:val="-1"/>
        </w:rPr>
        <w:t>the</w:t>
      </w:r>
      <w:r>
        <w:rPr>
          <w:spacing w:val="8"/>
        </w:rPr>
        <w:t xml:space="preserve"> </w:t>
      </w:r>
      <w:r>
        <w:rPr>
          <w:spacing w:val="-1"/>
        </w:rPr>
        <w:t>possibility</w:t>
      </w:r>
      <w:r>
        <w:rPr>
          <w:spacing w:val="7"/>
        </w:rPr>
        <w:t xml:space="preserve"> </w:t>
      </w:r>
      <w:r>
        <w:t>of</w:t>
      </w:r>
      <w:r>
        <w:rPr>
          <w:spacing w:val="8"/>
        </w:rPr>
        <w:t xml:space="preserve"> </w:t>
      </w:r>
      <w:r>
        <w:rPr>
          <w:spacing w:val="-1"/>
        </w:rPr>
        <w:t>expanding</w:t>
      </w:r>
      <w:r>
        <w:rPr>
          <w:spacing w:val="8"/>
        </w:rPr>
        <w:t xml:space="preserve"> </w:t>
      </w:r>
      <w:r>
        <w:t>the</w:t>
      </w:r>
      <w:r>
        <w:rPr>
          <w:spacing w:val="8"/>
        </w:rPr>
        <w:t xml:space="preserve"> </w:t>
      </w:r>
      <w:r>
        <w:t>5 875-</w:t>
      </w:r>
      <w:r>
        <w:rPr>
          <w:spacing w:val="77"/>
        </w:rPr>
        <w:t xml:space="preserve"> </w:t>
      </w:r>
      <w:r>
        <w:t>5 905 MHz</w:t>
      </w:r>
      <w:r>
        <w:rPr>
          <w:spacing w:val="21"/>
        </w:rPr>
        <w:t xml:space="preserve"> </w:t>
      </w:r>
      <w:r>
        <w:t>band</w:t>
      </w:r>
      <w:r>
        <w:rPr>
          <w:spacing w:val="21"/>
        </w:rPr>
        <w:t xml:space="preserve"> </w:t>
      </w:r>
      <w:r>
        <w:t>by</w:t>
      </w:r>
      <w:r>
        <w:rPr>
          <w:spacing w:val="22"/>
        </w:rPr>
        <w:t xml:space="preserve"> </w:t>
      </w:r>
      <w:r>
        <w:t>20 MHz</w:t>
      </w:r>
      <w:r>
        <w:rPr>
          <w:spacing w:val="21"/>
        </w:rPr>
        <w:t xml:space="preserve"> </w:t>
      </w:r>
      <w:r>
        <w:t>upwards</w:t>
      </w:r>
      <w:r>
        <w:rPr>
          <w:spacing w:val="21"/>
        </w:rPr>
        <w:t xml:space="preserve"> </w:t>
      </w:r>
      <w:r>
        <w:t>and</w:t>
      </w:r>
      <w:r>
        <w:rPr>
          <w:spacing w:val="22"/>
        </w:rPr>
        <w:t xml:space="preserve"> </w:t>
      </w:r>
      <w:r>
        <w:t>pending</w:t>
      </w:r>
      <w:r>
        <w:rPr>
          <w:spacing w:val="22"/>
        </w:rPr>
        <w:t xml:space="preserve"> </w:t>
      </w:r>
      <w:r>
        <w:t>the</w:t>
      </w:r>
      <w:r>
        <w:rPr>
          <w:spacing w:val="20"/>
        </w:rPr>
        <w:t xml:space="preserve"> </w:t>
      </w:r>
      <w:r>
        <w:t>results</w:t>
      </w:r>
      <w:r>
        <w:rPr>
          <w:spacing w:val="21"/>
        </w:rPr>
        <w:t xml:space="preserve"> </w:t>
      </w:r>
      <w:r>
        <w:t>and</w:t>
      </w:r>
      <w:r>
        <w:rPr>
          <w:spacing w:val="21"/>
        </w:rPr>
        <w:t xml:space="preserve"> </w:t>
      </w:r>
      <w:r>
        <w:t xml:space="preserve">subsequent </w:t>
      </w:r>
      <w:r>
        <w:rPr>
          <w:spacing w:val="-1"/>
        </w:rPr>
        <w:t>discussions</w:t>
      </w:r>
      <w:r>
        <w:rPr>
          <w:spacing w:val="28"/>
        </w:rPr>
        <w:t xml:space="preserve"> </w:t>
      </w:r>
      <w:r>
        <w:t>in</w:t>
      </w:r>
      <w:r>
        <w:rPr>
          <w:spacing w:val="27"/>
        </w:rPr>
        <w:t xml:space="preserve"> </w:t>
      </w:r>
      <w:r>
        <w:t>the</w:t>
      </w:r>
      <w:r>
        <w:rPr>
          <w:spacing w:val="27"/>
        </w:rPr>
        <w:t xml:space="preserve"> </w:t>
      </w:r>
      <w:r>
        <w:rPr>
          <w:spacing w:val="-1"/>
        </w:rPr>
        <w:t>RSC</w:t>
      </w:r>
      <w:r>
        <w:rPr>
          <w:spacing w:val="29"/>
        </w:rPr>
        <w:t xml:space="preserve"> </w:t>
      </w:r>
      <w:r>
        <w:t>to</w:t>
      </w:r>
      <w:r>
        <w:rPr>
          <w:spacing w:val="28"/>
        </w:rPr>
        <w:t xml:space="preserve"> </w:t>
      </w:r>
      <w:r>
        <w:rPr>
          <w:spacing w:val="-1"/>
        </w:rPr>
        <w:t>amend</w:t>
      </w:r>
      <w:r>
        <w:rPr>
          <w:spacing w:val="29"/>
        </w:rPr>
        <w:t xml:space="preserve"> </w:t>
      </w:r>
      <w:r>
        <w:t>Article</w:t>
      </w:r>
      <w:r>
        <w:rPr>
          <w:spacing w:val="27"/>
        </w:rPr>
        <w:t xml:space="preserve"> </w:t>
      </w:r>
      <w:r>
        <w:t>2(1)</w:t>
      </w:r>
      <w:r>
        <w:rPr>
          <w:spacing w:val="28"/>
        </w:rPr>
        <w:t xml:space="preserve"> </w:t>
      </w:r>
      <w:r>
        <w:rPr>
          <w:spacing w:val="-1"/>
        </w:rPr>
        <w:t>of</w:t>
      </w:r>
      <w:r>
        <w:rPr>
          <w:spacing w:val="27"/>
        </w:rPr>
        <w:t xml:space="preserve"> </w:t>
      </w:r>
      <w:r>
        <w:t>Decision</w:t>
      </w:r>
      <w:r>
        <w:rPr>
          <w:spacing w:val="27"/>
        </w:rPr>
        <w:t xml:space="preserve"> </w:t>
      </w:r>
      <w:r>
        <w:rPr>
          <w:spacing w:val="-1"/>
        </w:rPr>
        <w:t>2008/671/EC</w:t>
      </w:r>
      <w:r>
        <w:rPr>
          <w:spacing w:val="26"/>
        </w:rPr>
        <w:t xml:space="preserve"> </w:t>
      </w:r>
      <w:r>
        <w:t>in</w:t>
      </w:r>
      <w:r>
        <w:rPr>
          <w:spacing w:val="27"/>
        </w:rPr>
        <w:t xml:space="preserve"> </w:t>
      </w:r>
      <w:r>
        <w:t>order</w:t>
      </w:r>
      <w:r>
        <w:rPr>
          <w:spacing w:val="27"/>
        </w:rPr>
        <w:t xml:space="preserve"> </w:t>
      </w:r>
      <w:r>
        <w:t>to</w:t>
      </w:r>
      <w:r>
        <w:rPr>
          <w:spacing w:val="49"/>
        </w:rPr>
        <w:t xml:space="preserve"> </w:t>
      </w:r>
      <w:r>
        <w:t>expand</w:t>
      </w:r>
      <w:r>
        <w:rPr>
          <w:spacing w:val="26"/>
        </w:rPr>
        <w:t xml:space="preserve"> </w:t>
      </w:r>
      <w:r>
        <w:t>the</w:t>
      </w:r>
      <w:r>
        <w:rPr>
          <w:spacing w:val="25"/>
        </w:rPr>
        <w:t xml:space="preserve"> </w:t>
      </w:r>
      <w:r>
        <w:t>definition</w:t>
      </w:r>
      <w:r>
        <w:rPr>
          <w:spacing w:val="25"/>
        </w:rPr>
        <w:t xml:space="preserve"> </w:t>
      </w:r>
      <w:r>
        <w:t>of</w:t>
      </w:r>
      <w:r>
        <w:rPr>
          <w:spacing w:val="26"/>
        </w:rPr>
        <w:t xml:space="preserve"> </w:t>
      </w:r>
      <w:r>
        <w:rPr>
          <w:spacing w:val="-1"/>
        </w:rPr>
        <w:t>safety-related</w:t>
      </w:r>
      <w:r>
        <w:rPr>
          <w:spacing w:val="25"/>
        </w:rPr>
        <w:t xml:space="preserve"> </w:t>
      </w:r>
      <w:r>
        <w:t>ITS</w:t>
      </w:r>
      <w:r>
        <w:rPr>
          <w:spacing w:val="26"/>
        </w:rPr>
        <w:t xml:space="preserve"> </w:t>
      </w:r>
      <w:r>
        <w:rPr>
          <w:spacing w:val="-1"/>
        </w:rPr>
        <w:t>beyond</w:t>
      </w:r>
      <w:r>
        <w:rPr>
          <w:spacing w:val="26"/>
        </w:rPr>
        <w:t xml:space="preserve"> </w:t>
      </w:r>
      <w:r>
        <w:t>road</w:t>
      </w:r>
      <w:r>
        <w:rPr>
          <w:spacing w:val="26"/>
        </w:rPr>
        <w:t xml:space="preserve"> </w:t>
      </w:r>
      <w:r>
        <w:rPr>
          <w:spacing w:val="-1"/>
        </w:rPr>
        <w:t>transportation</w:t>
      </w:r>
      <w:r>
        <w:rPr>
          <w:spacing w:val="28"/>
        </w:rPr>
        <w:t xml:space="preserve"> </w:t>
      </w:r>
      <w:r>
        <w:rPr>
          <w:spacing w:val="-1"/>
        </w:rPr>
        <w:t>based</w:t>
      </w:r>
      <w:r>
        <w:rPr>
          <w:spacing w:val="26"/>
        </w:rPr>
        <w:t xml:space="preserve"> </w:t>
      </w:r>
      <w:r>
        <w:t>on</w:t>
      </w:r>
      <w:r>
        <w:rPr>
          <w:spacing w:val="26"/>
        </w:rPr>
        <w:t xml:space="preserve"> </w:t>
      </w:r>
      <w:r>
        <w:rPr>
          <w:spacing w:val="-1"/>
        </w:rPr>
        <w:t>the</w:t>
      </w:r>
      <w:r>
        <w:rPr>
          <w:spacing w:val="71"/>
        </w:rPr>
        <w:t xml:space="preserve"> </w:t>
      </w:r>
      <w:r>
        <w:t>result of</w:t>
      </w:r>
      <w:r>
        <w:rPr>
          <w:spacing w:val="-1"/>
        </w:rPr>
        <w:t xml:space="preserve"> </w:t>
      </w:r>
      <w:r>
        <w:t>studies in</w:t>
      </w:r>
      <w:r>
        <w:rPr>
          <w:spacing w:val="-2"/>
        </w:rPr>
        <w:t xml:space="preserve"> </w:t>
      </w:r>
      <w:r>
        <w:rPr>
          <w:spacing w:val="-1"/>
        </w:rPr>
        <w:t>response</w:t>
      </w:r>
      <w:r>
        <w:t xml:space="preserve"> to </w:t>
      </w:r>
      <w:r>
        <w:rPr>
          <w:spacing w:val="-1"/>
        </w:rPr>
        <w:t>this</w:t>
      </w:r>
      <w:r>
        <w:t xml:space="preserve"> </w:t>
      </w:r>
      <w:r>
        <w:rPr>
          <w:spacing w:val="-1"/>
        </w:rPr>
        <w:t>EC</w:t>
      </w:r>
      <w:r>
        <w:t xml:space="preserve"> mandate.</w:t>
      </w:r>
    </w:p>
    <w:p w14:paraId="0A7D7CD9" w14:textId="77777777" w:rsidR="00B52D8F" w:rsidRDefault="00B52D8F" w:rsidP="00B52D8F">
      <w:pPr>
        <w:widowControl w:val="0"/>
        <w:numPr>
          <w:ilvl w:val="0"/>
          <w:numId w:val="36"/>
        </w:numPr>
        <w:tabs>
          <w:tab w:val="left" w:pos="588"/>
        </w:tabs>
        <w:spacing w:before="207" w:after="0" w:line="240" w:lineRule="auto"/>
        <w:rPr>
          <w:rFonts w:ascii="Times New Roman" w:hAnsi="Times New Roman"/>
          <w:sz w:val="19"/>
          <w:szCs w:val="19"/>
        </w:rPr>
      </w:pPr>
      <w:r>
        <w:rPr>
          <w:rFonts w:ascii="Times New Roman"/>
          <w:b/>
          <w:sz w:val="24"/>
        </w:rPr>
        <w:t>J</w:t>
      </w:r>
      <w:r>
        <w:rPr>
          <w:rFonts w:ascii="Times New Roman"/>
          <w:b/>
          <w:sz w:val="19"/>
        </w:rPr>
        <w:t>USTIFICATION</w:t>
      </w:r>
    </w:p>
    <w:p w14:paraId="0A7D7CDA" w14:textId="77777777" w:rsidR="005F5E47" w:rsidRDefault="005F5E47" w:rsidP="000A739F">
      <w:pPr>
        <w:pStyle w:val="BodyText"/>
        <w:ind w:right="116"/>
      </w:pPr>
    </w:p>
    <w:p w14:paraId="0A7D7CDB" w14:textId="77777777" w:rsidR="00B52D8F" w:rsidRDefault="00B52D8F" w:rsidP="000A739F">
      <w:pPr>
        <w:pStyle w:val="BodyText"/>
        <w:ind w:right="116"/>
      </w:pPr>
      <w:r>
        <w:t>Taking</w:t>
      </w:r>
      <w:r>
        <w:rPr>
          <w:spacing w:val="33"/>
        </w:rPr>
        <w:t xml:space="preserve"> </w:t>
      </w:r>
      <w:r>
        <w:t>into</w:t>
      </w:r>
      <w:r>
        <w:rPr>
          <w:spacing w:val="32"/>
        </w:rPr>
        <w:t xml:space="preserve"> </w:t>
      </w:r>
      <w:r>
        <w:t>account</w:t>
      </w:r>
      <w:r>
        <w:rPr>
          <w:spacing w:val="35"/>
        </w:rPr>
        <w:t xml:space="preserve"> </w:t>
      </w:r>
      <w:r>
        <w:rPr>
          <w:spacing w:val="-1"/>
        </w:rPr>
        <w:t>the</w:t>
      </w:r>
      <w:r>
        <w:rPr>
          <w:spacing w:val="32"/>
        </w:rPr>
        <w:t xml:space="preserve"> </w:t>
      </w:r>
      <w:r>
        <w:rPr>
          <w:spacing w:val="-1"/>
        </w:rPr>
        <w:t>RSPG</w:t>
      </w:r>
      <w:r>
        <w:rPr>
          <w:spacing w:val="33"/>
        </w:rPr>
        <w:t xml:space="preserve"> </w:t>
      </w:r>
      <w:r>
        <w:t>Opinion,</w:t>
      </w:r>
      <w:r>
        <w:rPr>
          <w:spacing w:val="33"/>
        </w:rPr>
        <w:t xml:space="preserve"> </w:t>
      </w:r>
      <w:r>
        <w:t>the</w:t>
      </w:r>
      <w:r>
        <w:rPr>
          <w:spacing w:val="34"/>
        </w:rPr>
        <w:t xml:space="preserve"> </w:t>
      </w:r>
      <w:r>
        <w:rPr>
          <w:spacing w:val="-1"/>
        </w:rPr>
        <w:t>evolving</w:t>
      </w:r>
      <w:r>
        <w:rPr>
          <w:spacing w:val="33"/>
        </w:rPr>
        <w:t xml:space="preserve"> </w:t>
      </w:r>
      <w:r>
        <w:t>work</w:t>
      </w:r>
      <w:r>
        <w:rPr>
          <w:spacing w:val="32"/>
        </w:rPr>
        <w:t xml:space="preserve"> </w:t>
      </w:r>
      <w:r>
        <w:t>of</w:t>
      </w:r>
      <w:r>
        <w:rPr>
          <w:spacing w:val="32"/>
        </w:rPr>
        <w:t xml:space="preserve"> </w:t>
      </w:r>
      <w:r>
        <w:rPr>
          <w:spacing w:val="-1"/>
        </w:rPr>
        <w:t>ETSI</w:t>
      </w:r>
      <w:r>
        <w:rPr>
          <w:spacing w:val="34"/>
        </w:rPr>
        <w:t xml:space="preserve"> </w:t>
      </w:r>
      <w:r>
        <w:t>and</w:t>
      </w:r>
      <w:r>
        <w:rPr>
          <w:spacing w:val="33"/>
        </w:rPr>
        <w:t xml:space="preserve"> </w:t>
      </w:r>
      <w:r>
        <w:t>the</w:t>
      </w:r>
      <w:r>
        <w:rPr>
          <w:spacing w:val="33"/>
        </w:rPr>
        <w:t xml:space="preserve"> </w:t>
      </w:r>
      <w:r>
        <w:t>wider</w:t>
      </w:r>
      <w:r>
        <w:rPr>
          <w:spacing w:val="34"/>
        </w:rPr>
        <w:t xml:space="preserve"> </w:t>
      </w:r>
      <w:r>
        <w:rPr>
          <w:spacing w:val="-1"/>
        </w:rPr>
        <w:t>cooperation</w:t>
      </w:r>
      <w:r>
        <w:t xml:space="preserve"> </w:t>
      </w:r>
      <w:r>
        <w:rPr>
          <w:spacing w:val="-1"/>
        </w:rPr>
        <w:t>among</w:t>
      </w:r>
      <w:r>
        <w:t xml:space="preserve"> stakeholders,</w:t>
      </w:r>
      <w:r>
        <w:rPr>
          <w:spacing w:val="-1"/>
        </w:rPr>
        <w:t xml:space="preserve"> </w:t>
      </w:r>
      <w:r>
        <w:t xml:space="preserve">the </w:t>
      </w:r>
      <w:r>
        <w:rPr>
          <w:spacing w:val="-1"/>
        </w:rPr>
        <w:t>EU</w:t>
      </w:r>
      <w:r>
        <w:t xml:space="preserve"> </w:t>
      </w:r>
      <w:r>
        <w:rPr>
          <w:spacing w:val="-1"/>
        </w:rPr>
        <w:t>regulatory</w:t>
      </w:r>
      <w:r>
        <w:rPr>
          <w:spacing w:val="2"/>
        </w:rPr>
        <w:t xml:space="preserve"> </w:t>
      </w:r>
      <w:r>
        <w:rPr>
          <w:spacing w:val="-1"/>
        </w:rPr>
        <w:t>framework</w:t>
      </w:r>
      <w:r>
        <w:rPr>
          <w:spacing w:val="1"/>
        </w:rPr>
        <w:t xml:space="preserve"> </w:t>
      </w:r>
      <w:r>
        <w:t>on</w:t>
      </w:r>
      <w:r>
        <w:rPr>
          <w:spacing w:val="1"/>
        </w:rPr>
        <w:t xml:space="preserve"> </w:t>
      </w:r>
      <w:r>
        <w:rPr>
          <w:spacing w:val="-1"/>
        </w:rPr>
        <w:t>the</w:t>
      </w:r>
      <w:r>
        <w:rPr>
          <w:spacing w:val="1"/>
        </w:rPr>
        <w:t xml:space="preserve"> </w:t>
      </w:r>
      <w:r>
        <w:rPr>
          <w:spacing w:val="-1"/>
        </w:rPr>
        <w:t>harmonised</w:t>
      </w:r>
      <w:r>
        <w:t xml:space="preserve"> use</w:t>
      </w:r>
      <w:r>
        <w:rPr>
          <w:spacing w:val="81"/>
        </w:rPr>
        <w:t xml:space="preserve"> </w:t>
      </w:r>
      <w:r>
        <w:t>of</w:t>
      </w:r>
      <w:r>
        <w:rPr>
          <w:spacing w:val="54"/>
        </w:rPr>
        <w:t xml:space="preserve"> </w:t>
      </w:r>
      <w:r>
        <w:t>radio</w:t>
      </w:r>
      <w:r>
        <w:rPr>
          <w:spacing w:val="55"/>
        </w:rPr>
        <w:t xml:space="preserve"> </w:t>
      </w:r>
      <w:r>
        <w:t>spectrum</w:t>
      </w:r>
      <w:r>
        <w:rPr>
          <w:spacing w:val="53"/>
        </w:rPr>
        <w:t xml:space="preserve"> </w:t>
      </w:r>
      <w:r>
        <w:t>for</w:t>
      </w:r>
      <w:r>
        <w:rPr>
          <w:spacing w:val="55"/>
        </w:rPr>
        <w:t xml:space="preserve"> </w:t>
      </w:r>
      <w:r>
        <w:t>safety-related</w:t>
      </w:r>
      <w:r>
        <w:rPr>
          <w:spacing w:val="54"/>
        </w:rPr>
        <w:t xml:space="preserve"> </w:t>
      </w:r>
      <w:r>
        <w:rPr>
          <w:spacing w:val="-1"/>
        </w:rPr>
        <w:t>applications</w:t>
      </w:r>
      <w:r>
        <w:rPr>
          <w:spacing w:val="55"/>
        </w:rPr>
        <w:t xml:space="preserve"> </w:t>
      </w:r>
      <w:r>
        <w:t>of</w:t>
      </w:r>
      <w:r>
        <w:rPr>
          <w:spacing w:val="55"/>
        </w:rPr>
        <w:t xml:space="preserve"> </w:t>
      </w:r>
      <w:r>
        <w:t>Intelligent</w:t>
      </w:r>
      <w:r>
        <w:rPr>
          <w:spacing w:val="55"/>
        </w:rPr>
        <w:t xml:space="preserve"> </w:t>
      </w:r>
      <w:r>
        <w:rPr>
          <w:spacing w:val="-1"/>
        </w:rPr>
        <w:t>Transport</w:t>
      </w:r>
      <w:r>
        <w:rPr>
          <w:spacing w:val="57"/>
        </w:rPr>
        <w:t xml:space="preserve"> </w:t>
      </w:r>
      <w:r>
        <w:rPr>
          <w:spacing w:val="-1"/>
        </w:rPr>
        <w:t>Systems</w:t>
      </w:r>
      <w:r>
        <w:rPr>
          <w:spacing w:val="45"/>
        </w:rPr>
        <w:t xml:space="preserve"> </w:t>
      </w:r>
      <w:r>
        <w:rPr>
          <w:spacing w:val="-1"/>
        </w:rPr>
        <w:t>(Commission</w:t>
      </w:r>
      <w:r>
        <w:rPr>
          <w:spacing w:val="6"/>
        </w:rPr>
        <w:t xml:space="preserve"> </w:t>
      </w:r>
      <w:r>
        <w:t>Decision</w:t>
      </w:r>
      <w:r>
        <w:rPr>
          <w:spacing w:val="6"/>
        </w:rPr>
        <w:t xml:space="preserve"> </w:t>
      </w:r>
      <w:r>
        <w:rPr>
          <w:spacing w:val="-1"/>
        </w:rPr>
        <w:t>2008/671/EC)</w:t>
      </w:r>
      <w:r>
        <w:rPr>
          <w:spacing w:val="6"/>
        </w:rPr>
        <w:t xml:space="preserve"> </w:t>
      </w:r>
      <w:r>
        <w:t>should</w:t>
      </w:r>
      <w:r>
        <w:rPr>
          <w:spacing w:val="5"/>
        </w:rPr>
        <w:t xml:space="preserve"> </w:t>
      </w:r>
      <w:r>
        <w:t>be</w:t>
      </w:r>
      <w:r>
        <w:rPr>
          <w:spacing w:val="6"/>
        </w:rPr>
        <w:t xml:space="preserve"> </w:t>
      </w:r>
      <w:r>
        <w:rPr>
          <w:spacing w:val="-1"/>
        </w:rPr>
        <w:t>reviewed</w:t>
      </w:r>
      <w:r>
        <w:rPr>
          <w:spacing w:val="6"/>
        </w:rPr>
        <w:t xml:space="preserve"> </w:t>
      </w:r>
      <w:r>
        <w:t>in</w:t>
      </w:r>
      <w:r>
        <w:rPr>
          <w:spacing w:val="6"/>
        </w:rPr>
        <w:t xml:space="preserve"> </w:t>
      </w:r>
      <w:r>
        <w:t>order</w:t>
      </w:r>
      <w:r>
        <w:rPr>
          <w:spacing w:val="6"/>
        </w:rPr>
        <w:t xml:space="preserve"> </w:t>
      </w:r>
      <w:r>
        <w:t>to</w:t>
      </w:r>
      <w:r>
        <w:rPr>
          <w:spacing w:val="6"/>
        </w:rPr>
        <w:t xml:space="preserve"> </w:t>
      </w:r>
      <w:r>
        <w:t>cope</w:t>
      </w:r>
      <w:r>
        <w:rPr>
          <w:spacing w:val="6"/>
        </w:rPr>
        <w:t xml:space="preserve"> </w:t>
      </w:r>
      <w:r>
        <w:rPr>
          <w:spacing w:val="-1"/>
        </w:rPr>
        <w:t>with</w:t>
      </w:r>
      <w:r>
        <w:rPr>
          <w:spacing w:val="57"/>
        </w:rPr>
        <w:t xml:space="preserve"> </w:t>
      </w:r>
      <w:r>
        <w:t>multiple</w:t>
      </w:r>
      <w:r>
        <w:rPr>
          <w:spacing w:val="-1"/>
        </w:rPr>
        <w:t xml:space="preserve"> technologies</w:t>
      </w:r>
      <w:r>
        <w:t xml:space="preserve"> </w:t>
      </w:r>
      <w:r>
        <w:rPr>
          <w:spacing w:val="-1"/>
        </w:rPr>
        <w:t>and</w:t>
      </w:r>
      <w:r>
        <w:t xml:space="preserve"> increased </w:t>
      </w:r>
      <w:r>
        <w:rPr>
          <w:spacing w:val="-1"/>
        </w:rPr>
        <w:t>traffic</w:t>
      </w:r>
      <w:r>
        <w:t xml:space="preserve"> </w:t>
      </w:r>
      <w:r>
        <w:rPr>
          <w:spacing w:val="-1"/>
        </w:rPr>
        <w:t>management</w:t>
      </w:r>
      <w:r>
        <w:t xml:space="preserve"> </w:t>
      </w:r>
      <w:r>
        <w:rPr>
          <w:spacing w:val="-1"/>
        </w:rPr>
        <w:t>requirements.</w:t>
      </w:r>
    </w:p>
    <w:p w14:paraId="0A7D7CDC" w14:textId="77777777" w:rsidR="00B52D8F" w:rsidRDefault="00B52D8F" w:rsidP="000A739F">
      <w:pPr>
        <w:pStyle w:val="BodyText"/>
        <w:ind w:right="115"/>
      </w:pPr>
      <w:r>
        <w:t>It</w:t>
      </w:r>
      <w:r>
        <w:rPr>
          <w:spacing w:val="4"/>
        </w:rPr>
        <w:t xml:space="preserve"> </w:t>
      </w:r>
      <w:r>
        <w:t>is</w:t>
      </w:r>
      <w:r>
        <w:rPr>
          <w:spacing w:val="2"/>
        </w:rPr>
        <w:t xml:space="preserve"> </w:t>
      </w:r>
      <w:r>
        <w:rPr>
          <w:spacing w:val="-1"/>
        </w:rPr>
        <w:t>important</w:t>
      </w:r>
      <w:r>
        <w:rPr>
          <w:spacing w:val="3"/>
        </w:rPr>
        <w:t xml:space="preserve"> </w:t>
      </w:r>
      <w:r>
        <w:t>to</w:t>
      </w:r>
      <w:r>
        <w:rPr>
          <w:spacing w:val="3"/>
        </w:rPr>
        <w:t xml:space="preserve"> </w:t>
      </w:r>
      <w:r>
        <w:t>note</w:t>
      </w:r>
      <w:r>
        <w:rPr>
          <w:spacing w:val="2"/>
        </w:rPr>
        <w:t xml:space="preserve"> </w:t>
      </w:r>
      <w:r>
        <w:rPr>
          <w:spacing w:val="-1"/>
        </w:rPr>
        <w:t>that</w:t>
      </w:r>
      <w:r>
        <w:rPr>
          <w:spacing w:val="3"/>
        </w:rPr>
        <w:t xml:space="preserve"> </w:t>
      </w:r>
      <w:r>
        <w:t>the</w:t>
      </w:r>
      <w:r>
        <w:rPr>
          <w:spacing w:val="7"/>
        </w:rPr>
        <w:t xml:space="preserve"> </w:t>
      </w:r>
      <w:r>
        <w:rPr>
          <w:spacing w:val="-1"/>
        </w:rPr>
        <w:t>potential</w:t>
      </w:r>
      <w:r>
        <w:rPr>
          <w:spacing w:val="4"/>
        </w:rPr>
        <w:t xml:space="preserve"> </w:t>
      </w:r>
      <w:r>
        <w:rPr>
          <w:spacing w:val="-1"/>
        </w:rPr>
        <w:t>spectrum</w:t>
      </w:r>
      <w:r>
        <w:rPr>
          <w:spacing w:val="2"/>
        </w:rPr>
        <w:t xml:space="preserve"> </w:t>
      </w:r>
      <w:r>
        <w:t>expansion</w:t>
      </w:r>
      <w:r>
        <w:rPr>
          <w:spacing w:val="3"/>
        </w:rPr>
        <w:t xml:space="preserve"> </w:t>
      </w:r>
      <w:r>
        <w:t>is</w:t>
      </w:r>
      <w:r>
        <w:rPr>
          <w:spacing w:val="2"/>
        </w:rPr>
        <w:t xml:space="preserve"> </w:t>
      </w:r>
      <w:r>
        <w:t>not</w:t>
      </w:r>
      <w:r>
        <w:rPr>
          <w:spacing w:val="5"/>
        </w:rPr>
        <w:t xml:space="preserve"> </w:t>
      </w:r>
      <w:r>
        <w:rPr>
          <w:spacing w:val="-1"/>
        </w:rPr>
        <w:t>intended</w:t>
      </w:r>
      <w:r>
        <w:rPr>
          <w:spacing w:val="3"/>
        </w:rPr>
        <w:t xml:space="preserve"> </w:t>
      </w:r>
      <w:r>
        <w:t>to</w:t>
      </w:r>
      <w:r>
        <w:rPr>
          <w:spacing w:val="4"/>
        </w:rPr>
        <w:t xml:space="preserve"> </w:t>
      </w:r>
      <w:r>
        <w:t>support</w:t>
      </w:r>
      <w:r>
        <w:rPr>
          <w:spacing w:val="57"/>
        </w:rPr>
        <w:t xml:space="preserve"> </w:t>
      </w:r>
      <w:r>
        <w:rPr>
          <w:spacing w:val="-1"/>
        </w:rPr>
        <w:t>segmentation</w:t>
      </w:r>
      <w:r>
        <w:rPr>
          <w:spacing w:val="9"/>
        </w:rPr>
        <w:t xml:space="preserve"> </w:t>
      </w:r>
      <w:r>
        <w:t>and</w:t>
      </w:r>
      <w:r>
        <w:rPr>
          <w:spacing w:val="9"/>
        </w:rPr>
        <w:t xml:space="preserve"> </w:t>
      </w:r>
      <w:r>
        <w:rPr>
          <w:spacing w:val="-1"/>
        </w:rPr>
        <w:t>segregation</w:t>
      </w:r>
      <w:r>
        <w:rPr>
          <w:spacing w:val="11"/>
        </w:rPr>
        <w:t xml:space="preserve"> </w:t>
      </w:r>
      <w:r>
        <w:rPr>
          <w:spacing w:val="-1"/>
        </w:rPr>
        <w:t>between</w:t>
      </w:r>
      <w:r>
        <w:rPr>
          <w:spacing w:val="9"/>
        </w:rPr>
        <w:t xml:space="preserve"> </w:t>
      </w:r>
      <w:r>
        <w:rPr>
          <w:spacing w:val="-1"/>
        </w:rPr>
        <w:t>technologies</w:t>
      </w:r>
      <w:r>
        <w:rPr>
          <w:spacing w:val="10"/>
        </w:rPr>
        <w:t xml:space="preserve"> </w:t>
      </w:r>
      <w:r>
        <w:t>and</w:t>
      </w:r>
      <w:r>
        <w:rPr>
          <w:spacing w:val="9"/>
        </w:rPr>
        <w:t xml:space="preserve"> </w:t>
      </w:r>
      <w:r>
        <w:rPr>
          <w:spacing w:val="-1"/>
        </w:rPr>
        <w:t>applications</w:t>
      </w:r>
      <w:r>
        <w:rPr>
          <w:spacing w:val="10"/>
        </w:rPr>
        <w:t xml:space="preserve"> </w:t>
      </w:r>
      <w:r>
        <w:rPr>
          <w:spacing w:val="-1"/>
        </w:rPr>
        <w:t>within</w:t>
      </w:r>
      <w:r>
        <w:rPr>
          <w:spacing w:val="8"/>
        </w:rPr>
        <w:t xml:space="preserve"> </w:t>
      </w:r>
      <w:r>
        <w:t>the</w:t>
      </w:r>
      <w:r>
        <w:rPr>
          <w:spacing w:val="10"/>
        </w:rPr>
        <w:t xml:space="preserve"> </w:t>
      </w:r>
      <w:r>
        <w:rPr>
          <w:spacing w:val="-1"/>
        </w:rPr>
        <w:t>same</w:t>
      </w:r>
      <w:r>
        <w:rPr>
          <w:spacing w:val="103"/>
        </w:rPr>
        <w:t xml:space="preserve"> </w:t>
      </w:r>
      <w:r>
        <w:t>band</w:t>
      </w:r>
      <w:r>
        <w:rPr>
          <w:spacing w:val="25"/>
        </w:rPr>
        <w:t xml:space="preserve"> </w:t>
      </w:r>
      <w:r>
        <w:t>and</w:t>
      </w:r>
      <w:r>
        <w:rPr>
          <w:spacing w:val="25"/>
        </w:rPr>
        <w:t xml:space="preserve"> </w:t>
      </w:r>
      <w:r>
        <w:rPr>
          <w:spacing w:val="-1"/>
        </w:rPr>
        <w:t>thus</w:t>
      </w:r>
      <w:r>
        <w:rPr>
          <w:spacing w:val="25"/>
        </w:rPr>
        <w:t xml:space="preserve"> </w:t>
      </w:r>
      <w:r>
        <w:t>to</w:t>
      </w:r>
      <w:r>
        <w:rPr>
          <w:spacing w:val="25"/>
        </w:rPr>
        <w:t xml:space="preserve"> </w:t>
      </w:r>
      <w:r>
        <w:rPr>
          <w:spacing w:val="-1"/>
        </w:rPr>
        <w:t>compensate</w:t>
      </w:r>
      <w:r>
        <w:rPr>
          <w:spacing w:val="25"/>
        </w:rPr>
        <w:t xml:space="preserve"> </w:t>
      </w:r>
      <w:r>
        <w:t>for</w:t>
      </w:r>
      <w:r>
        <w:rPr>
          <w:spacing w:val="23"/>
        </w:rPr>
        <w:t xml:space="preserve"> </w:t>
      </w:r>
      <w:r>
        <w:rPr>
          <w:spacing w:val="-1"/>
        </w:rPr>
        <w:t>any</w:t>
      </w:r>
      <w:r>
        <w:rPr>
          <w:spacing w:val="24"/>
        </w:rPr>
        <w:t xml:space="preserve"> </w:t>
      </w:r>
      <w:r>
        <w:t>cases</w:t>
      </w:r>
      <w:r>
        <w:rPr>
          <w:spacing w:val="25"/>
        </w:rPr>
        <w:t xml:space="preserve"> </w:t>
      </w:r>
      <w:r>
        <w:t>of</w:t>
      </w:r>
      <w:r>
        <w:rPr>
          <w:spacing w:val="24"/>
        </w:rPr>
        <w:t xml:space="preserve"> </w:t>
      </w:r>
      <w:r>
        <w:rPr>
          <w:spacing w:val="-1"/>
        </w:rPr>
        <w:t>inefficient</w:t>
      </w:r>
      <w:r>
        <w:rPr>
          <w:spacing w:val="25"/>
        </w:rPr>
        <w:t xml:space="preserve"> </w:t>
      </w:r>
      <w:r>
        <w:rPr>
          <w:spacing w:val="-1"/>
        </w:rPr>
        <w:t>spectrum</w:t>
      </w:r>
      <w:r>
        <w:rPr>
          <w:spacing w:val="23"/>
        </w:rPr>
        <w:t xml:space="preserve"> </w:t>
      </w:r>
      <w:r>
        <w:rPr>
          <w:spacing w:val="1"/>
        </w:rPr>
        <w:t>use.</w:t>
      </w:r>
      <w:r>
        <w:rPr>
          <w:spacing w:val="24"/>
        </w:rPr>
        <w:t xml:space="preserve"> </w:t>
      </w:r>
      <w:r>
        <w:t>Technology</w:t>
      </w:r>
      <w:r>
        <w:rPr>
          <w:spacing w:val="59"/>
        </w:rPr>
        <w:t xml:space="preserve"> </w:t>
      </w:r>
      <w:r>
        <w:rPr>
          <w:spacing w:val="-1"/>
        </w:rPr>
        <w:t>neutrality</w:t>
      </w:r>
      <w:r>
        <w:rPr>
          <w:spacing w:val="18"/>
        </w:rPr>
        <w:t xml:space="preserve"> </w:t>
      </w:r>
      <w:r>
        <w:rPr>
          <w:spacing w:val="-1"/>
        </w:rPr>
        <w:t>and</w:t>
      </w:r>
      <w:r>
        <w:rPr>
          <w:spacing w:val="17"/>
        </w:rPr>
        <w:t xml:space="preserve"> </w:t>
      </w:r>
      <w:r>
        <w:rPr>
          <w:spacing w:val="-1"/>
        </w:rPr>
        <w:t>efficient</w:t>
      </w:r>
      <w:r>
        <w:rPr>
          <w:spacing w:val="17"/>
        </w:rPr>
        <w:t xml:space="preserve"> </w:t>
      </w:r>
      <w:r>
        <w:t>spectrum</w:t>
      </w:r>
      <w:r>
        <w:rPr>
          <w:spacing w:val="16"/>
        </w:rPr>
        <w:t xml:space="preserve"> </w:t>
      </w:r>
      <w:r>
        <w:t>use</w:t>
      </w:r>
      <w:r>
        <w:rPr>
          <w:spacing w:val="20"/>
        </w:rPr>
        <w:t xml:space="preserve"> </w:t>
      </w:r>
      <w:r>
        <w:t>are</w:t>
      </w:r>
      <w:r>
        <w:rPr>
          <w:spacing w:val="16"/>
        </w:rPr>
        <w:t xml:space="preserve"> </w:t>
      </w:r>
      <w:r>
        <w:rPr>
          <w:spacing w:val="-1"/>
        </w:rPr>
        <w:t>important</w:t>
      </w:r>
      <w:r>
        <w:rPr>
          <w:spacing w:val="19"/>
        </w:rPr>
        <w:t xml:space="preserve"> </w:t>
      </w:r>
      <w:r>
        <w:rPr>
          <w:spacing w:val="-1"/>
        </w:rPr>
        <w:t>regulatory</w:t>
      </w:r>
      <w:r>
        <w:rPr>
          <w:spacing w:val="19"/>
        </w:rPr>
        <w:t xml:space="preserve"> </w:t>
      </w:r>
      <w:r>
        <w:rPr>
          <w:spacing w:val="-1"/>
        </w:rPr>
        <w:t>principles.</w:t>
      </w:r>
      <w:r>
        <w:rPr>
          <w:spacing w:val="18"/>
        </w:rPr>
        <w:t xml:space="preserve"> </w:t>
      </w:r>
      <w:r>
        <w:rPr>
          <w:spacing w:val="-1"/>
        </w:rPr>
        <w:t>They,</w:t>
      </w:r>
      <w:r>
        <w:rPr>
          <w:spacing w:val="87"/>
        </w:rPr>
        <w:t xml:space="preserve"> </w:t>
      </w:r>
      <w:r>
        <w:t>together</w:t>
      </w:r>
      <w:r>
        <w:rPr>
          <w:spacing w:val="2"/>
        </w:rPr>
        <w:t xml:space="preserve"> </w:t>
      </w:r>
      <w:r>
        <w:rPr>
          <w:spacing w:val="-1"/>
        </w:rPr>
        <w:t>with</w:t>
      </w:r>
      <w:r>
        <w:rPr>
          <w:spacing w:val="2"/>
        </w:rPr>
        <w:t xml:space="preserve"> </w:t>
      </w:r>
      <w:r>
        <w:rPr>
          <w:spacing w:val="-1"/>
        </w:rPr>
        <w:t>uncompromised</w:t>
      </w:r>
      <w:r>
        <w:rPr>
          <w:spacing w:val="2"/>
        </w:rPr>
        <w:t xml:space="preserve"> </w:t>
      </w:r>
      <w:r>
        <w:t>safety</w:t>
      </w:r>
      <w:r>
        <w:rPr>
          <w:spacing w:val="4"/>
        </w:rPr>
        <w:t xml:space="preserve"> </w:t>
      </w:r>
      <w:r>
        <w:t>and</w:t>
      </w:r>
      <w:r>
        <w:rPr>
          <w:spacing w:val="2"/>
        </w:rPr>
        <w:t xml:space="preserve"> </w:t>
      </w:r>
      <w:r>
        <w:t>the</w:t>
      </w:r>
      <w:r>
        <w:rPr>
          <w:spacing w:val="1"/>
        </w:rPr>
        <w:t xml:space="preserve"> </w:t>
      </w:r>
      <w:r>
        <w:rPr>
          <w:spacing w:val="-1"/>
        </w:rPr>
        <w:t>introduction</w:t>
      </w:r>
      <w:r>
        <w:rPr>
          <w:spacing w:val="1"/>
        </w:rPr>
        <w:t xml:space="preserve"> </w:t>
      </w:r>
      <w:r>
        <w:t>in</w:t>
      </w:r>
      <w:r>
        <w:rPr>
          <w:spacing w:val="2"/>
        </w:rPr>
        <w:t xml:space="preserve"> </w:t>
      </w:r>
      <w:r>
        <w:rPr>
          <w:spacing w:val="-1"/>
        </w:rPr>
        <w:t>the</w:t>
      </w:r>
      <w:r>
        <w:rPr>
          <w:spacing w:val="2"/>
        </w:rPr>
        <w:t xml:space="preserve"> </w:t>
      </w:r>
      <w:r>
        <w:rPr>
          <w:spacing w:val="-1"/>
        </w:rPr>
        <w:t>longer-term</w:t>
      </w:r>
      <w:r>
        <w:t xml:space="preserve"> of</w:t>
      </w:r>
      <w:r>
        <w:rPr>
          <w:spacing w:val="2"/>
        </w:rPr>
        <w:t xml:space="preserve"> </w:t>
      </w:r>
      <w:r>
        <w:t>5G</w:t>
      </w:r>
      <w:r>
        <w:rPr>
          <w:spacing w:val="1"/>
        </w:rPr>
        <w:t xml:space="preserve"> </w:t>
      </w:r>
      <w:r>
        <w:t>for</w:t>
      </w:r>
      <w:r>
        <w:rPr>
          <w:spacing w:val="73"/>
        </w:rPr>
        <w:t xml:space="preserve"> </w:t>
      </w:r>
      <w:r>
        <w:t xml:space="preserve">the </w:t>
      </w:r>
      <w:r>
        <w:rPr>
          <w:spacing w:val="-1"/>
        </w:rPr>
        <w:t>further</w:t>
      </w:r>
      <w:r>
        <w:t xml:space="preserve"> </w:t>
      </w:r>
      <w:r>
        <w:rPr>
          <w:spacing w:val="-1"/>
        </w:rPr>
        <w:t>development</w:t>
      </w:r>
      <w:r>
        <w:t xml:space="preserve"> of </w:t>
      </w:r>
      <w:r>
        <w:rPr>
          <w:spacing w:val="-1"/>
        </w:rPr>
        <w:t>CCAM,</w:t>
      </w:r>
      <w:r>
        <w:t xml:space="preserve"> are the four </w:t>
      </w:r>
      <w:r>
        <w:rPr>
          <w:spacing w:val="-1"/>
        </w:rPr>
        <w:t>principles</w:t>
      </w:r>
      <w:r>
        <w:t xml:space="preserve"> to</w:t>
      </w:r>
      <w:r>
        <w:rPr>
          <w:spacing w:val="-2"/>
        </w:rPr>
        <w:t xml:space="preserve"> </w:t>
      </w:r>
      <w:r>
        <w:t>be followed at EU level.</w:t>
      </w:r>
    </w:p>
    <w:p w14:paraId="0A7D7CDD" w14:textId="77777777" w:rsidR="00B52D8F" w:rsidRDefault="00B52D8F" w:rsidP="000A739F">
      <w:pPr>
        <w:pStyle w:val="BodyText"/>
        <w:ind w:right="116"/>
      </w:pPr>
      <w:r>
        <w:t>Pursuant</w:t>
      </w:r>
      <w:r>
        <w:rPr>
          <w:spacing w:val="6"/>
        </w:rPr>
        <w:t xml:space="preserve"> </w:t>
      </w:r>
      <w:r>
        <w:t>to</w:t>
      </w:r>
      <w:r>
        <w:rPr>
          <w:spacing w:val="7"/>
        </w:rPr>
        <w:t xml:space="preserve"> </w:t>
      </w:r>
      <w:r>
        <w:rPr>
          <w:spacing w:val="-1"/>
        </w:rPr>
        <w:t>Article</w:t>
      </w:r>
      <w:r>
        <w:rPr>
          <w:spacing w:val="8"/>
        </w:rPr>
        <w:t xml:space="preserve"> </w:t>
      </w:r>
      <w:r>
        <w:t>4(2)</w:t>
      </w:r>
      <w:r>
        <w:rPr>
          <w:spacing w:val="8"/>
        </w:rPr>
        <w:t xml:space="preserve"> </w:t>
      </w:r>
      <w:r>
        <w:t>of</w:t>
      </w:r>
      <w:r>
        <w:rPr>
          <w:spacing w:val="7"/>
        </w:rPr>
        <w:t xml:space="preserve"> </w:t>
      </w:r>
      <w:r>
        <w:t>the</w:t>
      </w:r>
      <w:r>
        <w:rPr>
          <w:spacing w:val="8"/>
        </w:rPr>
        <w:t xml:space="preserve"> </w:t>
      </w:r>
      <w:r>
        <w:t>Radio</w:t>
      </w:r>
      <w:r>
        <w:rPr>
          <w:spacing w:val="7"/>
        </w:rPr>
        <w:t xml:space="preserve"> </w:t>
      </w:r>
      <w:r>
        <w:t>Spectrum</w:t>
      </w:r>
      <w:r>
        <w:rPr>
          <w:spacing w:val="7"/>
        </w:rPr>
        <w:t xml:space="preserve"> </w:t>
      </w:r>
      <w:r>
        <w:t>Decision</w:t>
      </w:r>
      <w:r>
        <w:rPr>
          <w:position w:val="9"/>
          <w:sz w:val="13"/>
        </w:rPr>
        <w:t>23</w:t>
      </w:r>
      <w:r>
        <w:rPr>
          <w:spacing w:val="3"/>
          <w:position w:val="9"/>
          <w:sz w:val="13"/>
        </w:rPr>
        <w:t xml:space="preserve"> </w:t>
      </w:r>
      <w:r>
        <w:t>the</w:t>
      </w:r>
      <w:r>
        <w:rPr>
          <w:spacing w:val="6"/>
        </w:rPr>
        <w:t xml:space="preserve"> </w:t>
      </w:r>
      <w:r>
        <w:rPr>
          <w:spacing w:val="-1"/>
        </w:rPr>
        <w:t>Commission</w:t>
      </w:r>
      <w:r>
        <w:rPr>
          <w:spacing w:val="8"/>
        </w:rPr>
        <w:t xml:space="preserve"> </w:t>
      </w:r>
      <w:r>
        <w:rPr>
          <w:spacing w:val="-1"/>
        </w:rPr>
        <w:t>may</w:t>
      </w:r>
      <w:r>
        <w:rPr>
          <w:spacing w:val="8"/>
        </w:rPr>
        <w:t xml:space="preserve"> </w:t>
      </w:r>
      <w:r>
        <w:rPr>
          <w:spacing w:val="-1"/>
        </w:rPr>
        <w:t>issue</w:t>
      </w:r>
      <w:r>
        <w:rPr>
          <w:spacing w:val="37"/>
        </w:rPr>
        <w:t xml:space="preserve"> </w:t>
      </w:r>
      <w:r>
        <w:rPr>
          <w:spacing w:val="-1"/>
        </w:rPr>
        <w:t>mandates</w:t>
      </w:r>
      <w:r>
        <w:rPr>
          <w:spacing w:val="11"/>
        </w:rPr>
        <w:t xml:space="preserve"> </w:t>
      </w:r>
      <w:r>
        <w:t>to</w:t>
      </w:r>
      <w:r>
        <w:rPr>
          <w:spacing w:val="9"/>
        </w:rPr>
        <w:t xml:space="preserve"> </w:t>
      </w:r>
      <w:r>
        <w:t>the</w:t>
      </w:r>
      <w:r>
        <w:rPr>
          <w:spacing w:val="10"/>
        </w:rPr>
        <w:t xml:space="preserve"> </w:t>
      </w:r>
      <w:r>
        <w:rPr>
          <w:spacing w:val="-1"/>
        </w:rPr>
        <w:t>CEPT</w:t>
      </w:r>
      <w:r>
        <w:rPr>
          <w:spacing w:val="10"/>
        </w:rPr>
        <w:t xml:space="preserve"> </w:t>
      </w:r>
      <w:r>
        <w:t>for</w:t>
      </w:r>
      <w:r>
        <w:rPr>
          <w:spacing w:val="10"/>
        </w:rPr>
        <w:t xml:space="preserve"> </w:t>
      </w:r>
      <w:r>
        <w:rPr>
          <w:spacing w:val="-1"/>
        </w:rPr>
        <w:t>the</w:t>
      </w:r>
      <w:r>
        <w:rPr>
          <w:spacing w:val="10"/>
        </w:rPr>
        <w:t xml:space="preserve"> </w:t>
      </w:r>
      <w:r>
        <w:rPr>
          <w:spacing w:val="-1"/>
        </w:rPr>
        <w:t>development</w:t>
      </w:r>
      <w:r>
        <w:rPr>
          <w:spacing w:val="11"/>
        </w:rPr>
        <w:t xml:space="preserve"> </w:t>
      </w:r>
      <w:r>
        <w:t>of</w:t>
      </w:r>
      <w:r>
        <w:rPr>
          <w:spacing w:val="9"/>
        </w:rPr>
        <w:t xml:space="preserve"> </w:t>
      </w:r>
      <w:r>
        <w:t>technical</w:t>
      </w:r>
      <w:r>
        <w:rPr>
          <w:spacing w:val="9"/>
        </w:rPr>
        <w:t xml:space="preserve"> </w:t>
      </w:r>
      <w:r>
        <w:rPr>
          <w:spacing w:val="-1"/>
        </w:rPr>
        <w:t>implementing</w:t>
      </w:r>
      <w:r>
        <w:rPr>
          <w:spacing w:val="9"/>
        </w:rPr>
        <w:t xml:space="preserve"> </w:t>
      </w:r>
      <w:r>
        <w:rPr>
          <w:spacing w:val="-1"/>
        </w:rPr>
        <w:t>measures</w:t>
      </w:r>
      <w:r>
        <w:rPr>
          <w:spacing w:val="10"/>
        </w:rPr>
        <w:t xml:space="preserve"> </w:t>
      </w:r>
      <w:r>
        <w:t>with</w:t>
      </w:r>
      <w:r>
        <w:rPr>
          <w:spacing w:val="71"/>
        </w:rPr>
        <w:t xml:space="preserve"> </w:t>
      </w:r>
      <w:r>
        <w:t>a</w:t>
      </w:r>
      <w:r>
        <w:rPr>
          <w:spacing w:val="44"/>
        </w:rPr>
        <w:t xml:space="preserve"> </w:t>
      </w:r>
      <w:r>
        <w:t>view</w:t>
      </w:r>
      <w:r>
        <w:rPr>
          <w:spacing w:val="43"/>
        </w:rPr>
        <w:t xml:space="preserve"> </w:t>
      </w:r>
      <w:r>
        <w:t>to</w:t>
      </w:r>
      <w:r>
        <w:rPr>
          <w:spacing w:val="44"/>
        </w:rPr>
        <w:t xml:space="preserve"> </w:t>
      </w:r>
      <w:r>
        <w:rPr>
          <w:spacing w:val="-1"/>
        </w:rPr>
        <w:t>ensuring</w:t>
      </w:r>
      <w:r>
        <w:rPr>
          <w:spacing w:val="44"/>
        </w:rPr>
        <w:t xml:space="preserve"> </w:t>
      </w:r>
      <w:r>
        <w:rPr>
          <w:spacing w:val="-1"/>
        </w:rPr>
        <w:t>harmonised</w:t>
      </w:r>
      <w:r>
        <w:rPr>
          <w:spacing w:val="44"/>
        </w:rPr>
        <w:t xml:space="preserve"> </w:t>
      </w:r>
      <w:r>
        <w:rPr>
          <w:spacing w:val="-1"/>
        </w:rPr>
        <w:t>conditions</w:t>
      </w:r>
      <w:r>
        <w:rPr>
          <w:spacing w:val="43"/>
        </w:rPr>
        <w:t xml:space="preserve"> </w:t>
      </w:r>
      <w:r>
        <w:t>for</w:t>
      </w:r>
      <w:r>
        <w:rPr>
          <w:spacing w:val="43"/>
        </w:rPr>
        <w:t xml:space="preserve"> </w:t>
      </w:r>
      <w:r>
        <w:t>the</w:t>
      </w:r>
      <w:r>
        <w:rPr>
          <w:spacing w:val="44"/>
        </w:rPr>
        <w:t xml:space="preserve"> </w:t>
      </w:r>
      <w:r>
        <w:t>availability</w:t>
      </w:r>
      <w:r>
        <w:rPr>
          <w:spacing w:val="44"/>
        </w:rPr>
        <w:t xml:space="preserve"> </w:t>
      </w:r>
      <w:r>
        <w:t>and</w:t>
      </w:r>
      <w:r>
        <w:rPr>
          <w:spacing w:val="44"/>
        </w:rPr>
        <w:t xml:space="preserve"> </w:t>
      </w:r>
      <w:r>
        <w:t>efficient</w:t>
      </w:r>
      <w:r>
        <w:rPr>
          <w:spacing w:val="44"/>
        </w:rPr>
        <w:t xml:space="preserve"> </w:t>
      </w:r>
      <w:r>
        <w:t>use</w:t>
      </w:r>
      <w:r>
        <w:rPr>
          <w:spacing w:val="44"/>
        </w:rPr>
        <w:t xml:space="preserve"> </w:t>
      </w:r>
      <w:r>
        <w:rPr>
          <w:spacing w:val="-1"/>
        </w:rPr>
        <w:t>of</w:t>
      </w:r>
      <w:r>
        <w:rPr>
          <w:spacing w:val="49"/>
        </w:rPr>
        <w:t xml:space="preserve"> </w:t>
      </w:r>
      <w:r>
        <w:t>radio</w:t>
      </w:r>
      <w:r>
        <w:rPr>
          <w:spacing w:val="26"/>
        </w:rPr>
        <w:t xml:space="preserve"> </w:t>
      </w:r>
      <w:r>
        <w:t>spectrum</w:t>
      </w:r>
      <w:r>
        <w:rPr>
          <w:spacing w:val="25"/>
        </w:rPr>
        <w:t xml:space="preserve"> </w:t>
      </w:r>
      <w:r>
        <w:t>necessary</w:t>
      </w:r>
      <w:r>
        <w:rPr>
          <w:spacing w:val="25"/>
        </w:rPr>
        <w:t xml:space="preserve"> </w:t>
      </w:r>
      <w:r>
        <w:t>for</w:t>
      </w:r>
      <w:r>
        <w:rPr>
          <w:spacing w:val="25"/>
        </w:rPr>
        <w:t xml:space="preserve"> </w:t>
      </w:r>
      <w:r>
        <w:t>the</w:t>
      </w:r>
      <w:r>
        <w:rPr>
          <w:spacing w:val="26"/>
        </w:rPr>
        <w:t xml:space="preserve"> </w:t>
      </w:r>
      <w:r>
        <w:rPr>
          <w:spacing w:val="-1"/>
        </w:rPr>
        <w:t>functioning</w:t>
      </w:r>
      <w:r>
        <w:rPr>
          <w:spacing w:val="26"/>
        </w:rPr>
        <w:t xml:space="preserve"> </w:t>
      </w:r>
      <w:r>
        <w:t>of</w:t>
      </w:r>
      <w:r>
        <w:rPr>
          <w:spacing w:val="25"/>
        </w:rPr>
        <w:t xml:space="preserve"> </w:t>
      </w:r>
      <w:r>
        <w:t>the</w:t>
      </w:r>
      <w:r>
        <w:rPr>
          <w:spacing w:val="26"/>
        </w:rPr>
        <w:t xml:space="preserve"> </w:t>
      </w:r>
      <w:r>
        <w:rPr>
          <w:spacing w:val="-1"/>
        </w:rPr>
        <w:t>internal</w:t>
      </w:r>
      <w:r>
        <w:rPr>
          <w:spacing w:val="26"/>
        </w:rPr>
        <w:t xml:space="preserve"> </w:t>
      </w:r>
      <w:r>
        <w:t>market.</w:t>
      </w:r>
      <w:r>
        <w:rPr>
          <w:spacing w:val="26"/>
        </w:rPr>
        <w:t xml:space="preserve"> </w:t>
      </w:r>
      <w:r>
        <w:t>Such</w:t>
      </w:r>
      <w:r>
        <w:rPr>
          <w:spacing w:val="27"/>
        </w:rPr>
        <w:t xml:space="preserve"> </w:t>
      </w:r>
      <w:r>
        <w:rPr>
          <w:spacing w:val="-1"/>
        </w:rPr>
        <w:t>mandates</w:t>
      </w:r>
      <w:r>
        <w:rPr>
          <w:spacing w:val="49"/>
        </w:rPr>
        <w:t xml:space="preserve"> </w:t>
      </w:r>
      <w:r>
        <w:t>shall set</w:t>
      </w:r>
      <w:r>
        <w:rPr>
          <w:spacing w:val="-1"/>
        </w:rPr>
        <w:t xml:space="preserve"> </w:t>
      </w:r>
      <w:r>
        <w:t>the</w:t>
      </w:r>
      <w:r>
        <w:rPr>
          <w:spacing w:val="-1"/>
        </w:rPr>
        <w:t xml:space="preserve"> </w:t>
      </w:r>
      <w:r>
        <w:t xml:space="preserve">tasks to </w:t>
      </w:r>
      <w:r>
        <w:rPr>
          <w:spacing w:val="-1"/>
        </w:rPr>
        <w:t>be</w:t>
      </w:r>
      <w:r>
        <w:t xml:space="preserve"> </w:t>
      </w:r>
      <w:r>
        <w:rPr>
          <w:spacing w:val="-1"/>
        </w:rPr>
        <w:t>performed</w:t>
      </w:r>
      <w:r>
        <w:t xml:space="preserve"> and their </w:t>
      </w:r>
      <w:r>
        <w:rPr>
          <w:spacing w:val="-1"/>
        </w:rPr>
        <w:t>timetable.</w:t>
      </w:r>
    </w:p>
    <w:p w14:paraId="0A7D7CDE" w14:textId="77777777" w:rsidR="00B52D8F" w:rsidRDefault="00B52D8F" w:rsidP="00B52D8F">
      <w:pPr>
        <w:rPr>
          <w:rFonts w:ascii="Times New Roman" w:hAnsi="Times New Roman"/>
          <w:sz w:val="24"/>
        </w:rPr>
      </w:pPr>
    </w:p>
    <w:p w14:paraId="0A7D7CDF" w14:textId="77777777" w:rsidR="00B52D8F" w:rsidRDefault="00B52D8F" w:rsidP="00B52D8F">
      <w:pPr>
        <w:widowControl w:val="0"/>
        <w:numPr>
          <w:ilvl w:val="0"/>
          <w:numId w:val="36"/>
        </w:numPr>
        <w:tabs>
          <w:tab w:val="left" w:pos="588"/>
        </w:tabs>
        <w:spacing w:after="0" w:line="240" w:lineRule="auto"/>
        <w:rPr>
          <w:rFonts w:ascii="Times New Roman" w:hAnsi="Times New Roman"/>
          <w:sz w:val="19"/>
          <w:szCs w:val="19"/>
        </w:rPr>
      </w:pPr>
      <w:r>
        <w:rPr>
          <w:rFonts w:ascii="Times New Roman"/>
          <w:b/>
          <w:spacing w:val="-1"/>
          <w:sz w:val="24"/>
        </w:rPr>
        <w:t>T</w:t>
      </w:r>
      <w:r>
        <w:rPr>
          <w:rFonts w:ascii="Times New Roman"/>
          <w:b/>
          <w:spacing w:val="-1"/>
          <w:sz w:val="19"/>
        </w:rPr>
        <w:t>ASK</w:t>
      </w:r>
      <w:r>
        <w:rPr>
          <w:rFonts w:ascii="Times New Roman"/>
          <w:b/>
          <w:spacing w:val="-9"/>
          <w:sz w:val="19"/>
        </w:rPr>
        <w:t xml:space="preserve"> </w:t>
      </w:r>
      <w:r>
        <w:rPr>
          <w:rFonts w:ascii="Times New Roman"/>
          <w:b/>
          <w:sz w:val="19"/>
        </w:rPr>
        <w:t>ORDER</w:t>
      </w:r>
      <w:r>
        <w:rPr>
          <w:rFonts w:ascii="Times New Roman"/>
          <w:b/>
          <w:spacing w:val="-9"/>
          <w:sz w:val="19"/>
        </w:rPr>
        <w:t xml:space="preserve"> </w:t>
      </w:r>
      <w:r>
        <w:rPr>
          <w:rFonts w:ascii="Times New Roman"/>
          <w:b/>
          <w:sz w:val="19"/>
        </w:rPr>
        <w:t>AND</w:t>
      </w:r>
      <w:r>
        <w:rPr>
          <w:rFonts w:ascii="Times New Roman"/>
          <w:b/>
          <w:spacing w:val="-9"/>
          <w:sz w:val="19"/>
        </w:rPr>
        <w:t xml:space="preserve"> </w:t>
      </w:r>
      <w:r>
        <w:rPr>
          <w:rFonts w:ascii="Times New Roman"/>
          <w:b/>
          <w:sz w:val="19"/>
        </w:rPr>
        <w:t>SCHEDULE</w:t>
      </w:r>
    </w:p>
    <w:p w14:paraId="0A7D7CE0" w14:textId="77777777" w:rsidR="00B52D8F" w:rsidRDefault="00B52D8F" w:rsidP="00B52D8F">
      <w:pPr>
        <w:spacing w:before="8"/>
        <w:rPr>
          <w:rFonts w:ascii="Times New Roman" w:hAnsi="Times New Roman"/>
          <w:b/>
          <w:bCs/>
          <w:szCs w:val="20"/>
        </w:rPr>
      </w:pPr>
    </w:p>
    <w:p w14:paraId="0A7D7CE1" w14:textId="77777777" w:rsidR="00B52D8F" w:rsidRDefault="00B52D8F" w:rsidP="00B52D8F">
      <w:pPr>
        <w:pStyle w:val="BodyText"/>
        <w:ind w:left="107" w:right="120"/>
      </w:pPr>
      <w:r>
        <w:t>To</w:t>
      </w:r>
      <w:r>
        <w:rPr>
          <w:spacing w:val="46"/>
        </w:rPr>
        <w:t xml:space="preserve"> </w:t>
      </w:r>
      <w:r>
        <w:t>support</w:t>
      </w:r>
      <w:r>
        <w:rPr>
          <w:spacing w:val="47"/>
        </w:rPr>
        <w:t xml:space="preserve"> </w:t>
      </w:r>
      <w:r>
        <w:t>the</w:t>
      </w:r>
      <w:r>
        <w:rPr>
          <w:spacing w:val="47"/>
        </w:rPr>
        <w:t xml:space="preserve"> </w:t>
      </w:r>
      <w:r>
        <w:t>policy</w:t>
      </w:r>
      <w:r>
        <w:rPr>
          <w:spacing w:val="46"/>
        </w:rPr>
        <w:t xml:space="preserve"> </w:t>
      </w:r>
      <w:r>
        <w:rPr>
          <w:spacing w:val="-1"/>
        </w:rPr>
        <w:t>objectives</w:t>
      </w:r>
      <w:r>
        <w:rPr>
          <w:spacing w:val="47"/>
        </w:rPr>
        <w:t xml:space="preserve"> </w:t>
      </w:r>
      <w:r>
        <w:rPr>
          <w:spacing w:val="-1"/>
        </w:rPr>
        <w:t>presented</w:t>
      </w:r>
      <w:r>
        <w:rPr>
          <w:spacing w:val="46"/>
        </w:rPr>
        <w:t xml:space="preserve"> </w:t>
      </w:r>
      <w:r>
        <w:rPr>
          <w:spacing w:val="-1"/>
        </w:rPr>
        <w:t>above,</w:t>
      </w:r>
      <w:r>
        <w:rPr>
          <w:spacing w:val="46"/>
        </w:rPr>
        <w:t xml:space="preserve"> </w:t>
      </w:r>
      <w:r>
        <w:rPr>
          <w:spacing w:val="-1"/>
        </w:rPr>
        <w:t>CEPT</w:t>
      </w:r>
      <w:r>
        <w:rPr>
          <w:spacing w:val="46"/>
        </w:rPr>
        <w:t xml:space="preserve"> </w:t>
      </w:r>
      <w:r>
        <w:t>is</w:t>
      </w:r>
      <w:r>
        <w:rPr>
          <w:spacing w:val="48"/>
        </w:rPr>
        <w:t xml:space="preserve"> </w:t>
      </w:r>
      <w:r>
        <w:rPr>
          <w:spacing w:val="-1"/>
        </w:rPr>
        <w:t>mandated</w:t>
      </w:r>
      <w:r>
        <w:rPr>
          <w:spacing w:val="46"/>
        </w:rPr>
        <w:t xml:space="preserve"> </w:t>
      </w:r>
      <w:r>
        <w:t>to</w:t>
      </w:r>
      <w:r>
        <w:rPr>
          <w:spacing w:val="47"/>
        </w:rPr>
        <w:t xml:space="preserve"> </w:t>
      </w:r>
      <w:r>
        <w:t>carry</w:t>
      </w:r>
      <w:r>
        <w:rPr>
          <w:spacing w:val="47"/>
        </w:rPr>
        <w:t xml:space="preserve"> </w:t>
      </w:r>
      <w:r>
        <w:rPr>
          <w:spacing w:val="-1"/>
        </w:rPr>
        <w:t>out</w:t>
      </w:r>
      <w:r>
        <w:rPr>
          <w:spacing w:val="47"/>
        </w:rPr>
        <w:t xml:space="preserve"> </w:t>
      </w:r>
      <w:r>
        <w:t>the</w:t>
      </w:r>
      <w:r>
        <w:rPr>
          <w:spacing w:val="65"/>
        </w:rPr>
        <w:t xml:space="preserve"> </w:t>
      </w:r>
      <w:r>
        <w:t xml:space="preserve">following technical </w:t>
      </w:r>
      <w:r>
        <w:rPr>
          <w:spacing w:val="-1"/>
        </w:rPr>
        <w:t>tasks:</w:t>
      </w:r>
    </w:p>
    <w:p w14:paraId="0A7D7CE2" w14:textId="77777777" w:rsidR="00B52D8F" w:rsidRDefault="00B52D8F" w:rsidP="00B52D8F">
      <w:pPr>
        <w:spacing w:before="2"/>
        <w:rPr>
          <w:rFonts w:ascii="Times New Roman" w:hAnsi="Times New Roman"/>
          <w:sz w:val="21"/>
          <w:szCs w:val="21"/>
        </w:rPr>
      </w:pPr>
    </w:p>
    <w:p w14:paraId="0A7D7CE3" w14:textId="77777777" w:rsidR="00B52D8F" w:rsidRDefault="00B52D8F" w:rsidP="00B52D8F">
      <w:pPr>
        <w:pStyle w:val="BodyText"/>
        <w:tabs>
          <w:tab w:val="left" w:pos="1547"/>
        </w:tabs>
        <w:spacing w:line="276" w:lineRule="exact"/>
        <w:ind w:left="1548" w:right="115" w:hanging="1441"/>
      </w:pPr>
      <w:r>
        <w:rPr>
          <w:b/>
        </w:rPr>
        <w:t>Task 1</w:t>
      </w:r>
      <w:r>
        <w:rPr>
          <w:b/>
        </w:rPr>
        <w:tab/>
      </w:r>
      <w:r>
        <w:rPr>
          <w:spacing w:val="-1"/>
        </w:rPr>
        <w:t>Study</w:t>
      </w:r>
      <w:r>
        <w:rPr>
          <w:spacing w:val="13"/>
        </w:rPr>
        <w:t xml:space="preserve"> </w:t>
      </w:r>
      <w:r>
        <w:t>the</w:t>
      </w:r>
      <w:r>
        <w:rPr>
          <w:spacing w:val="12"/>
        </w:rPr>
        <w:t xml:space="preserve"> </w:t>
      </w:r>
      <w:r>
        <w:rPr>
          <w:spacing w:val="-1"/>
        </w:rPr>
        <w:t>possibility</w:t>
      </w:r>
      <w:r>
        <w:rPr>
          <w:spacing w:val="13"/>
        </w:rPr>
        <w:t xml:space="preserve"> </w:t>
      </w:r>
      <w:r>
        <w:t>to</w:t>
      </w:r>
      <w:r>
        <w:rPr>
          <w:spacing w:val="11"/>
        </w:rPr>
        <w:t xml:space="preserve"> </w:t>
      </w:r>
      <w:r>
        <w:t>extend</w:t>
      </w:r>
      <w:r>
        <w:rPr>
          <w:spacing w:val="12"/>
        </w:rPr>
        <w:t xml:space="preserve"> </w:t>
      </w:r>
      <w:r>
        <w:t>the</w:t>
      </w:r>
      <w:r>
        <w:rPr>
          <w:spacing w:val="15"/>
        </w:rPr>
        <w:t xml:space="preserve"> </w:t>
      </w:r>
      <w:r>
        <w:t>5</w:t>
      </w:r>
      <w:r>
        <w:rPr>
          <w:spacing w:val="-2"/>
        </w:rPr>
        <w:t xml:space="preserve"> </w:t>
      </w:r>
      <w:r>
        <w:t>875-5 905 MHz</w:t>
      </w:r>
      <w:r>
        <w:rPr>
          <w:spacing w:val="12"/>
        </w:rPr>
        <w:t xml:space="preserve"> </w:t>
      </w:r>
      <w:r>
        <w:rPr>
          <w:spacing w:val="-1"/>
        </w:rPr>
        <w:t>frequency</w:t>
      </w:r>
      <w:r>
        <w:rPr>
          <w:spacing w:val="14"/>
        </w:rPr>
        <w:t xml:space="preserve"> </w:t>
      </w:r>
      <w:r>
        <w:t>band</w:t>
      </w:r>
      <w:r>
        <w:rPr>
          <w:spacing w:val="12"/>
        </w:rPr>
        <w:t xml:space="preserve"> </w:t>
      </w:r>
      <w:r>
        <w:t>to</w:t>
      </w:r>
      <w:r>
        <w:rPr>
          <w:spacing w:val="12"/>
        </w:rPr>
        <w:t xml:space="preserve"> </w:t>
      </w:r>
      <w:r>
        <w:t>the</w:t>
      </w:r>
      <w:r>
        <w:rPr>
          <w:spacing w:val="41"/>
        </w:rPr>
        <w:t xml:space="preserve"> </w:t>
      </w:r>
      <w:r>
        <w:t>range</w:t>
      </w:r>
      <w:r>
        <w:rPr>
          <w:spacing w:val="25"/>
        </w:rPr>
        <w:t xml:space="preserve"> </w:t>
      </w:r>
      <w:r>
        <w:t xml:space="preserve">5 </w:t>
      </w:r>
      <w:r>
        <w:rPr>
          <w:spacing w:val="-1"/>
        </w:rPr>
        <w:t>875-5</w:t>
      </w:r>
      <w:r>
        <w:t xml:space="preserve"> 925 MHz</w:t>
      </w:r>
      <w:r>
        <w:rPr>
          <w:spacing w:val="26"/>
        </w:rPr>
        <w:t xml:space="preserve"> </w:t>
      </w:r>
      <w:r>
        <w:t>for</w:t>
      </w:r>
      <w:r>
        <w:rPr>
          <w:spacing w:val="25"/>
        </w:rPr>
        <w:t xml:space="preserve"> </w:t>
      </w:r>
      <w:r>
        <w:t>use</w:t>
      </w:r>
      <w:r>
        <w:rPr>
          <w:spacing w:val="26"/>
        </w:rPr>
        <w:t xml:space="preserve"> </w:t>
      </w:r>
      <w:r>
        <w:rPr>
          <w:spacing w:val="-1"/>
        </w:rPr>
        <w:t>by</w:t>
      </w:r>
      <w:r>
        <w:rPr>
          <w:spacing w:val="26"/>
        </w:rPr>
        <w:t xml:space="preserve"> </w:t>
      </w:r>
      <w:r>
        <w:rPr>
          <w:spacing w:val="-1"/>
        </w:rPr>
        <w:t>safety-related</w:t>
      </w:r>
      <w:r>
        <w:rPr>
          <w:spacing w:val="25"/>
        </w:rPr>
        <w:t xml:space="preserve"> </w:t>
      </w:r>
      <w:r>
        <w:t>road</w:t>
      </w:r>
      <w:r>
        <w:rPr>
          <w:spacing w:val="26"/>
        </w:rPr>
        <w:t xml:space="preserve"> </w:t>
      </w:r>
      <w:r>
        <w:rPr>
          <w:spacing w:val="-1"/>
        </w:rPr>
        <w:t>and</w:t>
      </w:r>
      <w:r>
        <w:rPr>
          <w:spacing w:val="26"/>
        </w:rPr>
        <w:t xml:space="preserve"> </w:t>
      </w:r>
      <w:r>
        <w:rPr>
          <w:spacing w:val="-1"/>
        </w:rPr>
        <w:t>rail</w:t>
      </w:r>
      <w:r>
        <w:rPr>
          <w:spacing w:val="-1"/>
          <w:position w:val="11"/>
          <w:sz w:val="16"/>
        </w:rPr>
        <w:t>24</w:t>
      </w:r>
      <w:r>
        <w:rPr>
          <w:spacing w:val="27"/>
          <w:position w:val="11"/>
          <w:sz w:val="16"/>
        </w:rPr>
        <w:t xml:space="preserve"> </w:t>
      </w:r>
      <w:r>
        <w:rPr>
          <w:spacing w:val="-1"/>
        </w:rPr>
        <w:t>ITS</w:t>
      </w:r>
      <w:r>
        <w:rPr>
          <w:spacing w:val="51"/>
        </w:rPr>
        <w:t xml:space="preserve"> </w:t>
      </w:r>
      <w:r>
        <w:rPr>
          <w:spacing w:val="-1"/>
        </w:rPr>
        <w:t>systems</w:t>
      </w:r>
      <w:r>
        <w:rPr>
          <w:spacing w:val="51"/>
        </w:rPr>
        <w:t xml:space="preserve"> </w:t>
      </w:r>
      <w:r>
        <w:t>under</w:t>
      </w:r>
      <w:r>
        <w:rPr>
          <w:spacing w:val="51"/>
        </w:rPr>
        <w:t xml:space="preserve"> </w:t>
      </w:r>
      <w:r>
        <w:rPr>
          <w:spacing w:val="-1"/>
        </w:rPr>
        <w:t>harmonised</w:t>
      </w:r>
      <w:r>
        <w:rPr>
          <w:spacing w:val="50"/>
        </w:rPr>
        <w:t xml:space="preserve"> </w:t>
      </w:r>
      <w:r>
        <w:rPr>
          <w:spacing w:val="-1"/>
        </w:rPr>
        <w:t>technical</w:t>
      </w:r>
      <w:r>
        <w:rPr>
          <w:spacing w:val="50"/>
        </w:rPr>
        <w:t xml:space="preserve"> </w:t>
      </w:r>
      <w:r>
        <w:rPr>
          <w:spacing w:val="-1"/>
        </w:rPr>
        <w:t>conditions</w:t>
      </w:r>
      <w:r>
        <w:rPr>
          <w:spacing w:val="54"/>
        </w:rPr>
        <w:t xml:space="preserve"> </w:t>
      </w:r>
      <w:r>
        <w:rPr>
          <w:spacing w:val="-1"/>
        </w:rPr>
        <w:t>including</w:t>
      </w:r>
      <w:r>
        <w:rPr>
          <w:spacing w:val="51"/>
        </w:rPr>
        <w:t xml:space="preserve"> </w:t>
      </w:r>
      <w:r>
        <w:rPr>
          <w:i/>
          <w:spacing w:val="-1"/>
        </w:rPr>
        <w:t>sharing</w:t>
      </w:r>
      <w:r>
        <w:rPr>
          <w:i/>
          <w:spacing w:val="89"/>
        </w:rPr>
        <w:t xml:space="preserve"> </w:t>
      </w:r>
      <w:r>
        <w:t>conditions.</w:t>
      </w:r>
      <w:r>
        <w:rPr>
          <w:spacing w:val="1"/>
        </w:rPr>
        <w:t xml:space="preserve"> </w:t>
      </w:r>
      <w:r>
        <w:t>In</w:t>
      </w:r>
      <w:r>
        <w:rPr>
          <w:spacing w:val="1"/>
        </w:rPr>
        <w:t xml:space="preserve"> </w:t>
      </w:r>
      <w:r>
        <w:t>this</w:t>
      </w:r>
      <w:r>
        <w:rPr>
          <w:spacing w:val="1"/>
        </w:rPr>
        <w:t xml:space="preserve"> </w:t>
      </w:r>
      <w:r>
        <w:t>context,</w:t>
      </w:r>
      <w:r>
        <w:rPr>
          <w:spacing w:val="1"/>
        </w:rPr>
        <w:t xml:space="preserve"> </w:t>
      </w:r>
      <w:r>
        <w:t xml:space="preserve">study </w:t>
      </w:r>
      <w:r>
        <w:rPr>
          <w:spacing w:val="-1"/>
        </w:rPr>
        <w:t>measures</w:t>
      </w:r>
      <w:r>
        <w:rPr>
          <w:spacing w:val="2"/>
        </w:rPr>
        <w:t xml:space="preserve"> </w:t>
      </w:r>
      <w:r>
        <w:t>which</w:t>
      </w:r>
      <w:r>
        <w:rPr>
          <w:spacing w:val="2"/>
        </w:rPr>
        <w:t xml:space="preserve"> </w:t>
      </w:r>
      <w:r>
        <w:t xml:space="preserve">allow </w:t>
      </w:r>
      <w:r>
        <w:rPr>
          <w:spacing w:val="-1"/>
        </w:rPr>
        <w:t>coexistence</w:t>
      </w:r>
      <w:r>
        <w:t xml:space="preserve"> of</w:t>
      </w:r>
      <w:r>
        <w:rPr>
          <w:spacing w:val="33"/>
        </w:rPr>
        <w:t xml:space="preserve"> </w:t>
      </w:r>
      <w:r>
        <w:rPr>
          <w:spacing w:val="-1"/>
        </w:rPr>
        <w:t>LTE-V2X</w:t>
      </w:r>
      <w:r>
        <w:rPr>
          <w:spacing w:val="20"/>
        </w:rPr>
        <w:t xml:space="preserve"> </w:t>
      </w:r>
      <w:r>
        <w:t>and</w:t>
      </w:r>
      <w:r>
        <w:rPr>
          <w:spacing w:val="22"/>
        </w:rPr>
        <w:t xml:space="preserve"> </w:t>
      </w:r>
      <w:r>
        <w:t>Urban</w:t>
      </w:r>
      <w:r>
        <w:rPr>
          <w:spacing w:val="21"/>
        </w:rPr>
        <w:t xml:space="preserve"> </w:t>
      </w:r>
      <w:r>
        <w:t>Rail</w:t>
      </w:r>
      <w:r>
        <w:rPr>
          <w:spacing w:val="21"/>
        </w:rPr>
        <w:t xml:space="preserve"> </w:t>
      </w:r>
      <w:r>
        <w:t>ITS</w:t>
      </w:r>
      <w:r>
        <w:rPr>
          <w:spacing w:val="21"/>
        </w:rPr>
        <w:t xml:space="preserve"> </w:t>
      </w:r>
      <w:r>
        <w:rPr>
          <w:spacing w:val="-1"/>
        </w:rPr>
        <w:t>(such</w:t>
      </w:r>
      <w:r>
        <w:rPr>
          <w:spacing w:val="21"/>
        </w:rPr>
        <w:t xml:space="preserve"> </w:t>
      </w:r>
      <w:r>
        <w:t>as</w:t>
      </w:r>
      <w:r>
        <w:rPr>
          <w:spacing w:val="22"/>
        </w:rPr>
        <w:t xml:space="preserve"> </w:t>
      </w:r>
      <w:r>
        <w:rPr>
          <w:spacing w:val="-1"/>
        </w:rPr>
        <w:t>technologies</w:t>
      </w:r>
      <w:r>
        <w:rPr>
          <w:spacing w:val="21"/>
        </w:rPr>
        <w:t xml:space="preserve"> </w:t>
      </w:r>
      <w:r>
        <w:t>for</w:t>
      </w:r>
      <w:r>
        <w:rPr>
          <w:spacing w:val="22"/>
        </w:rPr>
        <w:t xml:space="preserve"> </w:t>
      </w:r>
      <w:r>
        <w:rPr>
          <w:spacing w:val="-1"/>
        </w:rPr>
        <w:t>CBTC</w:t>
      </w:r>
      <w:r>
        <w:rPr>
          <w:spacing w:val="20"/>
        </w:rPr>
        <w:t xml:space="preserve"> </w:t>
      </w:r>
      <w:r>
        <w:rPr>
          <w:spacing w:val="-1"/>
        </w:rPr>
        <w:t>already</w:t>
      </w:r>
      <w:r>
        <w:rPr>
          <w:spacing w:val="21"/>
        </w:rPr>
        <w:t xml:space="preserve"> </w:t>
      </w:r>
      <w:r>
        <w:t>in</w:t>
      </w:r>
      <w:r>
        <w:rPr>
          <w:spacing w:val="55"/>
        </w:rPr>
        <w:t xml:space="preserve"> </w:t>
      </w:r>
      <w:r>
        <w:t>operation</w:t>
      </w:r>
      <w:r>
        <w:rPr>
          <w:spacing w:val="4"/>
        </w:rPr>
        <w:t xml:space="preserve"> </w:t>
      </w:r>
      <w:r>
        <w:t>in</w:t>
      </w:r>
      <w:r>
        <w:rPr>
          <w:spacing w:val="2"/>
        </w:rPr>
        <w:t xml:space="preserve"> </w:t>
      </w:r>
      <w:r>
        <w:t>the</w:t>
      </w:r>
      <w:r>
        <w:rPr>
          <w:spacing w:val="5"/>
        </w:rPr>
        <w:t xml:space="preserve"> </w:t>
      </w:r>
      <w:r>
        <w:t>5</w:t>
      </w:r>
      <w:r>
        <w:rPr>
          <w:spacing w:val="1"/>
        </w:rPr>
        <w:t xml:space="preserve"> </w:t>
      </w:r>
      <w:r>
        <w:t>905-5</w:t>
      </w:r>
      <w:r>
        <w:rPr>
          <w:spacing w:val="-2"/>
        </w:rPr>
        <w:t xml:space="preserve"> </w:t>
      </w:r>
      <w:r>
        <w:t>925 MHz</w:t>
      </w:r>
      <w:r>
        <w:rPr>
          <w:spacing w:val="4"/>
        </w:rPr>
        <w:t xml:space="preserve"> </w:t>
      </w:r>
      <w:r>
        <w:t>frequency</w:t>
      </w:r>
      <w:r>
        <w:rPr>
          <w:spacing w:val="5"/>
        </w:rPr>
        <w:t xml:space="preserve"> </w:t>
      </w:r>
      <w:r>
        <w:rPr>
          <w:spacing w:val="-1"/>
        </w:rPr>
        <w:t>band)</w:t>
      </w:r>
      <w:r>
        <w:rPr>
          <w:spacing w:val="5"/>
        </w:rPr>
        <w:t xml:space="preserve"> </w:t>
      </w:r>
      <w:r>
        <w:t>with</w:t>
      </w:r>
      <w:r>
        <w:rPr>
          <w:spacing w:val="4"/>
        </w:rPr>
        <w:t xml:space="preserve"> </w:t>
      </w:r>
      <w:r>
        <w:rPr>
          <w:spacing w:val="-1"/>
        </w:rPr>
        <w:t>existing</w:t>
      </w:r>
      <w:r>
        <w:rPr>
          <w:spacing w:val="4"/>
        </w:rPr>
        <w:t xml:space="preserve"> </w:t>
      </w:r>
      <w:r>
        <w:rPr>
          <w:spacing w:val="-1"/>
        </w:rPr>
        <w:t>ETSI</w:t>
      </w:r>
      <w:r>
        <w:rPr>
          <w:spacing w:val="5"/>
        </w:rPr>
        <w:t xml:space="preserve"> </w:t>
      </w:r>
      <w:r>
        <w:rPr>
          <w:spacing w:val="-1"/>
        </w:rPr>
        <w:t>ITS-</w:t>
      </w:r>
      <w:r>
        <w:rPr>
          <w:spacing w:val="35"/>
        </w:rPr>
        <w:t xml:space="preserve"> </w:t>
      </w:r>
      <w:r>
        <w:rPr>
          <w:spacing w:val="-1"/>
        </w:rPr>
        <w:t>G5</w:t>
      </w:r>
      <w:r>
        <w:rPr>
          <w:spacing w:val="-1"/>
          <w:position w:val="11"/>
          <w:sz w:val="16"/>
        </w:rPr>
        <w:t>25</w:t>
      </w:r>
      <w:r>
        <w:rPr>
          <w:spacing w:val="19"/>
          <w:position w:val="11"/>
          <w:sz w:val="16"/>
        </w:rPr>
        <w:t xml:space="preserve"> </w:t>
      </w:r>
      <w:r>
        <w:t xml:space="preserve">within </w:t>
      </w:r>
      <w:r>
        <w:rPr>
          <w:spacing w:val="-1"/>
        </w:rPr>
        <w:t>the</w:t>
      </w:r>
      <w:r>
        <w:t xml:space="preserve"> 5 875-5 </w:t>
      </w:r>
      <w:r>
        <w:rPr>
          <w:spacing w:val="-1"/>
        </w:rPr>
        <w:t xml:space="preserve">925 </w:t>
      </w:r>
      <w:r>
        <w:t>MHz frequency band.</w:t>
      </w:r>
    </w:p>
    <w:p w14:paraId="0A7D7CE4" w14:textId="77777777" w:rsidR="00B52D8F" w:rsidRDefault="00B52D8F" w:rsidP="00B52D8F">
      <w:pPr>
        <w:spacing w:line="20" w:lineRule="atLeast"/>
        <w:ind w:left="100"/>
        <w:rPr>
          <w:rFonts w:ascii="Times New Roman" w:hAnsi="Times New Roman"/>
          <w:sz w:val="2"/>
          <w:szCs w:val="2"/>
        </w:rPr>
      </w:pPr>
      <w:r>
        <w:rPr>
          <w:rFonts w:ascii="Times New Roman" w:hAnsi="Times New Roman"/>
          <w:noProof/>
          <w:sz w:val="2"/>
          <w:szCs w:val="2"/>
          <w:lang w:val="da-DK" w:eastAsia="da-DK"/>
        </w:rPr>
        <mc:AlternateContent>
          <mc:Choice Requires="wpg">
            <w:drawing>
              <wp:inline distT="0" distB="0" distL="0" distR="0" wp14:anchorId="0A7D7D67" wp14:editId="0A7D7D68">
                <wp:extent cx="1838325" cy="8890"/>
                <wp:effectExtent l="3175" t="1905" r="6350" b="8255"/>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303" name="Group 23"/>
                        <wpg:cNvGrpSpPr>
                          <a:grpSpLocks/>
                        </wpg:cNvGrpSpPr>
                        <wpg:grpSpPr bwMode="auto">
                          <a:xfrm>
                            <a:off x="7" y="7"/>
                            <a:ext cx="2881" cy="2"/>
                            <a:chOff x="7" y="7"/>
                            <a:chExt cx="2881" cy="2"/>
                          </a:xfrm>
                        </wpg:grpSpPr>
                        <wps:wsp>
                          <wps:cNvPr id="304" name="Freeform 24"/>
                          <wps:cNvSpPr>
                            <a:spLocks/>
                          </wps:cNvSpPr>
                          <wps:spPr bwMode="auto">
                            <a:xfrm>
                              <a:off x="7" y="7"/>
                              <a:ext cx="2881" cy="2"/>
                            </a:xfrm>
                            <a:custGeom>
                              <a:avLst/>
                              <a:gdLst>
                                <a:gd name="T0" fmla="+- 0 7 7"/>
                                <a:gd name="T1" fmla="*/ T0 w 2881"/>
                                <a:gd name="T2" fmla="+- 0 2887 7"/>
                                <a:gd name="T3" fmla="*/ T2 w 2881"/>
                              </a:gdLst>
                              <a:ahLst/>
                              <a:cxnLst>
                                <a:cxn ang="0">
                                  <a:pos x="T1" y="0"/>
                                </a:cxn>
                                <a:cxn ang="0">
                                  <a:pos x="T3" y="0"/>
                                </a:cxn>
                              </a:cxnLst>
                              <a:rect l="0" t="0" r="r" b="b"/>
                              <a:pathLst>
                                <a:path w="2881">
                                  <a:moveTo>
                                    <a:pt x="0" y="0"/>
                                  </a:moveTo>
                                  <a:lnTo>
                                    <a:pt x="2880"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7EE1A2" id="Group 302"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6giggMAANkIAAAOAAAAZHJzL2Uyb0RvYy54bWy0VlmP2zYQfg/Q/0DwsYFXh7VrWVhtEPhY&#10;BEjbAHF/AC1RByqRCklb3gT97x0e0kreLhokqB7koWY4M9+cvn93aRt0pkLWnKU4uPExoizjec3K&#10;FP952C9ijKQiLCcNZzTFT1Tidw+/vLnvu4SGvOJNTgUCJUwmfZfiSqku8TyZVbQl8oZ3lAGz4KIl&#10;Co6i9HJBetDeNl7o+3dez0XeCZ5RKeHr1jLxg9FfFDRTfxSFpAo1KQbflHkL8z7qt/dwT5JSkK6q&#10;M+cG+QEvWlIzMDqq2hJF0EnUL1S1dSa45IW6yXjr8aKoM2owAJrAv0LzKPipM1jKpC+7MUwQ2qs4&#10;/bDa7PfzJ4HqPMVLP8SIkRaSZOwi/QHC03dlAlKPovvcfRIWI5AfefaXBLZ3zdfn0gqjY/8bz0Eh&#10;OSluwnMpRKtVAHB0MVl4GrNALwpl8DGIl/EyvMUoA14cr12Ssgoy+eJSVu3ctTBeuztBpP32SGKt&#10;GQ+dRxaOOYzIRvzLOf5w+X/DX2EEEFe2CAf4YRwHFrsJP0lG4DPxKfDZhVdxQ4PJ5xqSP1dDnyvS&#10;UVOaUlfHGMNoiOFeUKrbFoUmG31n5IYSktP6mXC0mIQy+8/KmcXildCNkYAYnqR6pNzUHjl/lMr2&#10;fQ6UqejcVf4BZkTRNjAC3i6Qj1bIJaccBSA3VuBXDx181COTL6du0AKdNNECEv+iCKrtWVE4UQRu&#10;l4NjpBp8zS7MOQsUInq8+qalOi51VxzAsaGXQAMIaWCvyILta1l7x5kQMDevJ6bACCbm0RZrR5T2&#10;TJvQJOpTbOKgP7T8TA/csNRVv4KRZ27DplJwHWI/8cqy4YY2YNp5NKp9nSSU8X3dNCYFDdOuwNAI&#10;TGwkb+pcM7U3UpTHTSPQmehdYB43J2ZiMHNZbpRVlOQ7RytSN5YG442JLVSdC4GuPzPsv6399S7e&#10;xdEiCu92i8jfbhfv95tocbcPVrfb5Xaz2QZ/a9eCKKnqPKdMezcsniD6vqZ0K9CujHH1zFDMwO7N&#10;8xKsN3fDBBmwDL8GHUxP25J6XsrkyPMnaE/B7SaFzQ9ExcVXjHrYoimWX05EUIyaDwxGzDqIIr12&#10;zSG6XYVwEFPOccohLANVKVYYClyTG2VX9akTdVmBJZtWxt/DQilq3cXGP+uVO8CUM5RbQ46G/QnU&#10;bEFPz0bq+R/Jwz8AAAD//wMAUEsDBBQABgAIAAAAIQD+4uSY2wAAAAMBAAAPAAAAZHJzL2Rvd25y&#10;ZXYueG1sTI9BS8NAEIXvgv9hGcGb3aRaaWM2pRT1VIS2gvQ2TaZJaHY2ZLdJ+u8dvejlwfAe732T&#10;LkfbqJ46Xzs2EE8iUMS5K2ouDXzu3x7moHxALrBxTAau5GGZ3d6kmBRu4C31u1AqKWGfoIEqhDbR&#10;2ucVWfQT1xKLd3KdxSBnV+qiw0HKbaOnUfSsLdYsCxW2tK4oP+8u1sD7gMPqMX7tN+fT+nrYzz6+&#10;NjEZc383rl5ABRrDXxh+8AUdMmE6ugsXXjUG5JHwq+JN54sZqKOEnkBnqf7Pnn0DAAD//wMAUEsB&#10;Ai0AFAAGAAgAAAAhALaDOJL+AAAA4QEAABMAAAAAAAAAAAAAAAAAAAAAAFtDb250ZW50X1R5cGVz&#10;XS54bWxQSwECLQAUAAYACAAAACEAOP0h/9YAAACUAQAACwAAAAAAAAAAAAAAAAAvAQAAX3JlbHMv&#10;LnJlbHNQSwECLQAUAAYACAAAACEAd7eoIoIDAADZCAAADgAAAAAAAAAAAAAAAAAuAgAAZHJzL2Uy&#10;b0RvYy54bWxQSwECLQAUAAYACAAAACEA/uLkmNsAAAADAQAADwAAAAAAAAAAAAAAAADcBQAAZHJz&#10;L2Rvd25yZXYueG1sUEsFBgAAAAAEAAQA8wAAAOQGAAAAAA==&#10;">
                <v:group id="Group 23" o:spid="_x0000_s1027" style="position:absolute;left:7;top:7;width:2881;height:2" coordorigin="7,7"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4" o:spid="_x0000_s1028" style="position:absolute;left:7;top: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0R2wwAAANwAAAAPAAAAZHJzL2Rvd25yZXYueG1sRI9BSwMx&#10;FITvQv9DeAUvYrO6pcjatFRR9Lrben9sXjdpNy9rEtv13xuh0OMwM98wy/XoenGiEK1nBQ+zAgRx&#10;67XlTsFu+37/BCImZI29Z1LwSxHWq8nNEivtz1zTqUmdyBCOFSowKQ2VlLE15DDO/ECcvb0PDlOW&#10;oZM64DnDXS8fi2IhHVrOCwYHejXUHpsfp+CrMW60b/buUNYfJZrwIr+pVup2Om6eQSQa0zV8aX9q&#10;BWUxh/8z+QjI1R8AAAD//wMAUEsBAi0AFAAGAAgAAAAhANvh9svuAAAAhQEAABMAAAAAAAAAAAAA&#10;AAAAAAAAAFtDb250ZW50X1R5cGVzXS54bWxQSwECLQAUAAYACAAAACEAWvQsW78AAAAVAQAACwAA&#10;AAAAAAAAAAAAAAAfAQAAX3JlbHMvLnJlbHNQSwECLQAUAAYACAAAACEA8mtEdsMAAADcAAAADwAA&#10;AAAAAAAAAAAAAAAHAgAAZHJzL2Rvd25yZXYueG1sUEsFBgAAAAADAAMAtwAAAPcCAAAAAA==&#10;" path="m,l2880,e" filled="f" strokeweight=".24697mm">
                    <v:path arrowok="t" o:connecttype="custom" o:connectlocs="0,0;2880,0" o:connectangles="0,0"/>
                  </v:shape>
                </v:group>
                <w10:anchorlock/>
              </v:group>
            </w:pict>
          </mc:Fallback>
        </mc:AlternateContent>
      </w:r>
    </w:p>
    <w:p w14:paraId="0A7D7CE5" w14:textId="77777777" w:rsidR="00B52D8F" w:rsidRDefault="00B52D8F" w:rsidP="00B52D8F">
      <w:pPr>
        <w:spacing w:before="83"/>
        <w:ind w:left="348" w:right="154" w:hanging="241"/>
        <w:rPr>
          <w:rFonts w:ascii="Times New Roman" w:hAnsi="Times New Roman"/>
          <w:szCs w:val="20"/>
        </w:rPr>
      </w:pPr>
      <w:r>
        <w:rPr>
          <w:rFonts w:ascii="Times New Roman"/>
          <w:position w:val="9"/>
          <w:sz w:val="13"/>
        </w:rPr>
        <w:t xml:space="preserve">23  </w:t>
      </w:r>
      <w:r>
        <w:rPr>
          <w:rFonts w:ascii="Times New Roman"/>
          <w:spacing w:val="12"/>
          <w:position w:val="9"/>
          <w:sz w:val="13"/>
        </w:rPr>
        <w:t xml:space="preserve"> </w:t>
      </w:r>
      <w:r>
        <w:rPr>
          <w:rFonts w:ascii="Times New Roman"/>
          <w:spacing w:val="-1"/>
        </w:rPr>
        <w:t>Decision</w:t>
      </w:r>
      <w:r>
        <w:rPr>
          <w:rFonts w:ascii="Times New Roman"/>
          <w:spacing w:val="15"/>
        </w:rPr>
        <w:t xml:space="preserve"> </w:t>
      </w:r>
      <w:r>
        <w:rPr>
          <w:rFonts w:ascii="Times New Roman"/>
          <w:spacing w:val="-1"/>
        </w:rPr>
        <w:t>676/2002/EC</w:t>
      </w:r>
      <w:r>
        <w:rPr>
          <w:rFonts w:ascii="Times New Roman"/>
          <w:spacing w:val="14"/>
        </w:rPr>
        <w:t xml:space="preserve"> </w:t>
      </w:r>
      <w:r>
        <w:rPr>
          <w:rFonts w:ascii="Times New Roman"/>
        </w:rPr>
        <w:t>of</w:t>
      </w:r>
      <w:r>
        <w:rPr>
          <w:rFonts w:ascii="Times New Roman"/>
          <w:spacing w:val="16"/>
        </w:rPr>
        <w:t xml:space="preserve"> </w:t>
      </w:r>
      <w:r>
        <w:rPr>
          <w:rFonts w:ascii="Times New Roman"/>
          <w:spacing w:val="-1"/>
        </w:rPr>
        <w:t>the</w:t>
      </w:r>
      <w:r>
        <w:rPr>
          <w:rFonts w:ascii="Times New Roman"/>
          <w:spacing w:val="15"/>
        </w:rPr>
        <w:t xml:space="preserve"> </w:t>
      </w:r>
      <w:r>
        <w:rPr>
          <w:rFonts w:ascii="Times New Roman"/>
          <w:spacing w:val="-1"/>
        </w:rPr>
        <w:t>European</w:t>
      </w:r>
      <w:r>
        <w:rPr>
          <w:rFonts w:ascii="Times New Roman"/>
          <w:spacing w:val="16"/>
        </w:rPr>
        <w:t xml:space="preserve"> </w:t>
      </w:r>
      <w:r>
        <w:rPr>
          <w:rFonts w:ascii="Times New Roman"/>
          <w:spacing w:val="-1"/>
        </w:rPr>
        <w:t>Parliament</w:t>
      </w:r>
      <w:r>
        <w:rPr>
          <w:rFonts w:ascii="Times New Roman"/>
          <w:spacing w:val="15"/>
        </w:rPr>
        <w:t xml:space="preserve"> </w:t>
      </w:r>
      <w:r>
        <w:rPr>
          <w:rFonts w:ascii="Times New Roman"/>
        </w:rPr>
        <w:t>and</w:t>
      </w:r>
      <w:r>
        <w:rPr>
          <w:rFonts w:ascii="Times New Roman"/>
          <w:spacing w:val="16"/>
        </w:rPr>
        <w:t xml:space="preserve"> </w:t>
      </w:r>
      <w:r>
        <w:rPr>
          <w:rFonts w:ascii="Times New Roman"/>
        </w:rPr>
        <w:t>of</w:t>
      </w:r>
      <w:r>
        <w:rPr>
          <w:rFonts w:ascii="Times New Roman"/>
          <w:spacing w:val="15"/>
        </w:rPr>
        <w:t xml:space="preserve"> </w:t>
      </w:r>
      <w:r>
        <w:rPr>
          <w:rFonts w:ascii="Times New Roman"/>
        </w:rPr>
        <w:t>the</w:t>
      </w:r>
      <w:r>
        <w:rPr>
          <w:rFonts w:ascii="Times New Roman"/>
          <w:spacing w:val="15"/>
        </w:rPr>
        <w:t xml:space="preserve"> </w:t>
      </w:r>
      <w:r>
        <w:rPr>
          <w:rFonts w:ascii="Times New Roman"/>
        </w:rPr>
        <w:t>Council</w:t>
      </w:r>
      <w:r>
        <w:rPr>
          <w:rFonts w:ascii="Times New Roman"/>
          <w:spacing w:val="14"/>
        </w:rPr>
        <w:t xml:space="preserve"> </w:t>
      </w:r>
      <w:r>
        <w:rPr>
          <w:rFonts w:ascii="Times New Roman"/>
        </w:rPr>
        <w:t>of</w:t>
      </w:r>
      <w:r>
        <w:rPr>
          <w:rFonts w:ascii="Times New Roman"/>
          <w:spacing w:val="16"/>
        </w:rPr>
        <w:t xml:space="preserve"> </w:t>
      </w:r>
      <w:r>
        <w:rPr>
          <w:rFonts w:ascii="Times New Roman"/>
        </w:rPr>
        <w:t>7</w:t>
      </w:r>
      <w:r>
        <w:rPr>
          <w:rFonts w:ascii="Times New Roman"/>
          <w:spacing w:val="16"/>
        </w:rPr>
        <w:t xml:space="preserve"> </w:t>
      </w:r>
      <w:r>
        <w:rPr>
          <w:rFonts w:ascii="Times New Roman"/>
          <w:spacing w:val="-1"/>
        </w:rPr>
        <w:t>March</w:t>
      </w:r>
      <w:r>
        <w:rPr>
          <w:rFonts w:ascii="Times New Roman"/>
          <w:spacing w:val="15"/>
        </w:rPr>
        <w:t xml:space="preserve"> </w:t>
      </w:r>
      <w:r>
        <w:rPr>
          <w:rFonts w:ascii="Times New Roman"/>
          <w:spacing w:val="-1"/>
        </w:rPr>
        <w:t>2002</w:t>
      </w:r>
      <w:r>
        <w:rPr>
          <w:rFonts w:ascii="Times New Roman"/>
          <w:spacing w:val="15"/>
        </w:rPr>
        <w:t xml:space="preserve"> </w:t>
      </w:r>
      <w:r>
        <w:rPr>
          <w:rFonts w:ascii="Times New Roman"/>
        </w:rPr>
        <w:t>on</w:t>
      </w:r>
      <w:r>
        <w:rPr>
          <w:rFonts w:ascii="Times New Roman"/>
          <w:spacing w:val="16"/>
        </w:rPr>
        <w:t xml:space="preserve"> </w:t>
      </w:r>
      <w:r>
        <w:rPr>
          <w:rFonts w:ascii="Times New Roman"/>
        </w:rPr>
        <w:t>a</w:t>
      </w:r>
      <w:r>
        <w:rPr>
          <w:rFonts w:ascii="Times New Roman"/>
          <w:spacing w:val="15"/>
        </w:rPr>
        <w:t xml:space="preserve"> </w:t>
      </w:r>
      <w:r>
        <w:rPr>
          <w:rFonts w:ascii="Times New Roman"/>
          <w:spacing w:val="-1"/>
        </w:rPr>
        <w:t>regulatory</w:t>
      </w:r>
      <w:r>
        <w:rPr>
          <w:rFonts w:ascii="Times New Roman"/>
          <w:spacing w:val="85"/>
        </w:rPr>
        <w:t xml:space="preserve"> </w:t>
      </w:r>
      <w:r>
        <w:rPr>
          <w:rFonts w:ascii="Times New Roman"/>
          <w:spacing w:val="-1"/>
        </w:rPr>
        <w:t>framework</w:t>
      </w:r>
      <w:r>
        <w:rPr>
          <w:rFonts w:ascii="Times New Roman"/>
        </w:rPr>
        <w:t xml:space="preserve"> for</w:t>
      </w:r>
      <w:r>
        <w:rPr>
          <w:rFonts w:ascii="Times New Roman"/>
          <w:spacing w:val="-1"/>
        </w:rPr>
        <w:t xml:space="preserve"> radio</w:t>
      </w:r>
      <w:r>
        <w:rPr>
          <w:rFonts w:ascii="Times New Roman"/>
        </w:rPr>
        <w:t xml:space="preserve"> </w:t>
      </w:r>
      <w:r>
        <w:rPr>
          <w:rFonts w:ascii="Times New Roman"/>
          <w:spacing w:val="-1"/>
        </w:rPr>
        <w:t>spectrum</w:t>
      </w:r>
      <w:r>
        <w:rPr>
          <w:rFonts w:ascii="Times New Roman"/>
        </w:rPr>
        <w:t xml:space="preserve"> </w:t>
      </w:r>
      <w:r>
        <w:rPr>
          <w:rFonts w:ascii="Times New Roman"/>
          <w:spacing w:val="-1"/>
        </w:rPr>
        <w:t>policy</w:t>
      </w:r>
      <w:r>
        <w:rPr>
          <w:rFonts w:ascii="Times New Roman"/>
          <w:spacing w:val="-2"/>
        </w:rPr>
        <w:t xml:space="preserve"> </w:t>
      </w:r>
      <w:r>
        <w:rPr>
          <w:rFonts w:ascii="Times New Roman"/>
        </w:rPr>
        <w:t>in the</w:t>
      </w:r>
      <w:r>
        <w:rPr>
          <w:rFonts w:ascii="Times New Roman"/>
          <w:spacing w:val="-2"/>
        </w:rPr>
        <w:t xml:space="preserve"> </w:t>
      </w:r>
      <w:r>
        <w:rPr>
          <w:rFonts w:ascii="Times New Roman"/>
          <w:spacing w:val="-1"/>
        </w:rPr>
        <w:t>European</w:t>
      </w:r>
      <w:r>
        <w:rPr>
          <w:rFonts w:ascii="Times New Roman"/>
        </w:rPr>
        <w:t xml:space="preserve"> </w:t>
      </w:r>
      <w:r>
        <w:rPr>
          <w:rFonts w:ascii="Times New Roman"/>
          <w:spacing w:val="-1"/>
        </w:rPr>
        <w:t>Community,</w:t>
      </w:r>
      <w:r>
        <w:rPr>
          <w:rFonts w:ascii="Times New Roman"/>
        </w:rPr>
        <w:t xml:space="preserve"> OJL 108 </w:t>
      </w:r>
      <w:r>
        <w:rPr>
          <w:rFonts w:ascii="Times New Roman"/>
          <w:spacing w:val="-1"/>
        </w:rPr>
        <w:t>of</w:t>
      </w:r>
      <w:r>
        <w:rPr>
          <w:rFonts w:ascii="Times New Roman"/>
        </w:rPr>
        <w:t xml:space="preserve"> </w:t>
      </w:r>
      <w:r>
        <w:rPr>
          <w:rFonts w:ascii="Times New Roman"/>
          <w:spacing w:val="-1"/>
        </w:rPr>
        <w:t>24.4.2002</w:t>
      </w:r>
    </w:p>
    <w:p w14:paraId="0A7D7CE6" w14:textId="77777777" w:rsidR="00B52D8F" w:rsidRDefault="00B52D8F" w:rsidP="00B52D8F">
      <w:pPr>
        <w:tabs>
          <w:tab w:val="left" w:pos="465"/>
        </w:tabs>
        <w:ind w:left="465" w:right="120" w:hanging="358"/>
        <w:rPr>
          <w:rFonts w:ascii="Times New Roman" w:hAnsi="Times New Roman"/>
          <w:szCs w:val="20"/>
        </w:rPr>
      </w:pPr>
      <w:r>
        <w:rPr>
          <w:rFonts w:ascii="Times New Roman"/>
          <w:w w:val="95"/>
          <w:position w:val="9"/>
          <w:sz w:val="13"/>
        </w:rPr>
        <w:t>24</w:t>
      </w:r>
      <w:r>
        <w:rPr>
          <w:rFonts w:ascii="Times New Roman"/>
          <w:w w:val="95"/>
          <w:position w:val="9"/>
          <w:sz w:val="13"/>
        </w:rPr>
        <w:tab/>
      </w:r>
      <w:r>
        <w:rPr>
          <w:rFonts w:ascii="Times New Roman"/>
        </w:rPr>
        <w:t xml:space="preserve">This </w:t>
      </w:r>
      <w:r>
        <w:rPr>
          <w:rFonts w:ascii="Times New Roman"/>
          <w:spacing w:val="7"/>
        </w:rPr>
        <w:t xml:space="preserve"> </w:t>
      </w:r>
      <w:r>
        <w:rPr>
          <w:rFonts w:ascii="Times New Roman"/>
          <w:spacing w:val="-1"/>
        </w:rPr>
        <w:t>type</w:t>
      </w:r>
      <w:r>
        <w:rPr>
          <w:rFonts w:ascii="Times New Roman"/>
        </w:rPr>
        <w:t xml:space="preserve"> </w:t>
      </w:r>
      <w:r>
        <w:rPr>
          <w:rFonts w:ascii="Times New Roman"/>
          <w:spacing w:val="7"/>
        </w:rPr>
        <w:t xml:space="preserve"> </w:t>
      </w:r>
      <w:r>
        <w:rPr>
          <w:rFonts w:ascii="Times New Roman"/>
        </w:rPr>
        <w:t xml:space="preserve">of </w:t>
      </w:r>
      <w:r>
        <w:rPr>
          <w:rFonts w:ascii="Times New Roman"/>
          <w:spacing w:val="6"/>
        </w:rPr>
        <w:t xml:space="preserve"> </w:t>
      </w:r>
      <w:r>
        <w:rPr>
          <w:rFonts w:ascii="Times New Roman"/>
          <w:spacing w:val="-1"/>
        </w:rPr>
        <w:t>application</w:t>
      </w:r>
      <w:r>
        <w:rPr>
          <w:rFonts w:ascii="Times New Roman"/>
        </w:rPr>
        <w:t xml:space="preserve"> </w:t>
      </w:r>
      <w:r>
        <w:rPr>
          <w:rFonts w:ascii="Times New Roman"/>
          <w:spacing w:val="8"/>
        </w:rPr>
        <w:t xml:space="preserve"> </w:t>
      </w:r>
      <w:r>
        <w:rPr>
          <w:rFonts w:ascii="Times New Roman"/>
          <w:spacing w:val="-1"/>
        </w:rPr>
        <w:t>encompasses</w:t>
      </w:r>
      <w:r>
        <w:rPr>
          <w:rFonts w:ascii="Times New Roman"/>
        </w:rPr>
        <w:t xml:space="preserve"> </w:t>
      </w:r>
      <w:r>
        <w:rPr>
          <w:rFonts w:ascii="Times New Roman"/>
          <w:spacing w:val="8"/>
        </w:rPr>
        <w:t xml:space="preserve"> </w:t>
      </w:r>
      <w:r>
        <w:rPr>
          <w:rFonts w:ascii="Times New Roman"/>
          <w:spacing w:val="-1"/>
        </w:rPr>
        <w:t>urban</w:t>
      </w:r>
      <w:r>
        <w:rPr>
          <w:rFonts w:ascii="Times New Roman"/>
        </w:rPr>
        <w:t xml:space="preserve"> </w:t>
      </w:r>
      <w:r>
        <w:rPr>
          <w:rFonts w:ascii="Times New Roman"/>
          <w:spacing w:val="7"/>
        </w:rPr>
        <w:t xml:space="preserve"> </w:t>
      </w:r>
      <w:r>
        <w:rPr>
          <w:rFonts w:ascii="Times New Roman"/>
          <w:spacing w:val="-1"/>
        </w:rPr>
        <w:t>and</w:t>
      </w:r>
      <w:r>
        <w:rPr>
          <w:rFonts w:ascii="Times New Roman"/>
        </w:rPr>
        <w:t xml:space="preserve"> </w:t>
      </w:r>
      <w:r>
        <w:rPr>
          <w:rFonts w:ascii="Times New Roman"/>
          <w:spacing w:val="7"/>
        </w:rPr>
        <w:t xml:space="preserve"> </w:t>
      </w:r>
      <w:r>
        <w:rPr>
          <w:rFonts w:ascii="Times New Roman"/>
          <w:spacing w:val="-1"/>
        </w:rPr>
        <w:t>suburban</w:t>
      </w:r>
      <w:r>
        <w:rPr>
          <w:rFonts w:ascii="Times New Roman"/>
        </w:rPr>
        <w:t xml:space="preserve"> </w:t>
      </w:r>
      <w:r>
        <w:rPr>
          <w:rFonts w:ascii="Times New Roman"/>
          <w:spacing w:val="7"/>
        </w:rPr>
        <w:t xml:space="preserve"> </w:t>
      </w:r>
      <w:r>
        <w:rPr>
          <w:rFonts w:ascii="Times New Roman"/>
          <w:spacing w:val="-1"/>
        </w:rPr>
        <w:t>usages</w:t>
      </w:r>
      <w:r>
        <w:rPr>
          <w:rFonts w:ascii="Times New Roman"/>
        </w:rPr>
        <w:t xml:space="preserve"> </w:t>
      </w:r>
      <w:r>
        <w:rPr>
          <w:rFonts w:ascii="Times New Roman"/>
          <w:spacing w:val="5"/>
        </w:rPr>
        <w:t xml:space="preserve"> </w:t>
      </w:r>
      <w:r>
        <w:rPr>
          <w:rFonts w:ascii="Times New Roman"/>
          <w:spacing w:val="-1"/>
        </w:rPr>
        <w:t>which</w:t>
      </w:r>
      <w:r>
        <w:rPr>
          <w:rFonts w:ascii="Times New Roman"/>
        </w:rPr>
        <w:t xml:space="preserve"> </w:t>
      </w:r>
      <w:r>
        <w:rPr>
          <w:rFonts w:ascii="Times New Roman"/>
          <w:spacing w:val="8"/>
        </w:rPr>
        <w:t xml:space="preserve"> </w:t>
      </w:r>
      <w:r>
        <w:rPr>
          <w:rFonts w:ascii="Times New Roman"/>
          <w:spacing w:val="-1"/>
        </w:rPr>
        <w:t>shall</w:t>
      </w:r>
      <w:r>
        <w:rPr>
          <w:rFonts w:ascii="Times New Roman"/>
        </w:rPr>
        <w:t xml:space="preserve"> </w:t>
      </w:r>
      <w:r>
        <w:rPr>
          <w:rFonts w:ascii="Times New Roman"/>
          <w:spacing w:val="6"/>
        </w:rPr>
        <w:t xml:space="preserve"> </w:t>
      </w:r>
      <w:r>
        <w:rPr>
          <w:rFonts w:ascii="Times New Roman"/>
        </w:rPr>
        <w:t xml:space="preserve">be </w:t>
      </w:r>
      <w:r>
        <w:rPr>
          <w:rFonts w:ascii="Times New Roman"/>
          <w:spacing w:val="7"/>
        </w:rPr>
        <w:t xml:space="preserve"> </w:t>
      </w:r>
      <w:r>
        <w:rPr>
          <w:rFonts w:ascii="Times New Roman"/>
          <w:spacing w:val="-1"/>
        </w:rPr>
        <w:t>taken</w:t>
      </w:r>
      <w:r>
        <w:rPr>
          <w:rFonts w:ascii="Times New Roman"/>
        </w:rPr>
        <w:t xml:space="preserve"> </w:t>
      </w:r>
      <w:r>
        <w:rPr>
          <w:rFonts w:ascii="Times New Roman"/>
          <w:spacing w:val="8"/>
        </w:rPr>
        <w:t xml:space="preserve"> </w:t>
      </w:r>
      <w:r>
        <w:rPr>
          <w:rFonts w:ascii="Times New Roman"/>
          <w:spacing w:val="-1"/>
        </w:rPr>
        <w:t>into</w:t>
      </w:r>
      <w:r>
        <w:rPr>
          <w:rFonts w:ascii="Times New Roman"/>
        </w:rPr>
        <w:t xml:space="preserve"> </w:t>
      </w:r>
      <w:r>
        <w:rPr>
          <w:rFonts w:ascii="Times New Roman"/>
          <w:spacing w:val="7"/>
        </w:rPr>
        <w:t xml:space="preserve"> </w:t>
      </w:r>
      <w:r>
        <w:rPr>
          <w:rFonts w:ascii="Times New Roman"/>
        </w:rPr>
        <w:t>due</w:t>
      </w:r>
      <w:r>
        <w:rPr>
          <w:rFonts w:ascii="Times New Roman"/>
          <w:spacing w:val="83"/>
        </w:rPr>
        <w:t xml:space="preserve"> </w:t>
      </w:r>
      <w:r>
        <w:rPr>
          <w:rFonts w:ascii="Times New Roman"/>
          <w:spacing w:val="-1"/>
        </w:rPr>
        <w:t>consideration</w:t>
      </w:r>
      <w:r>
        <w:rPr>
          <w:rFonts w:ascii="Times New Roman"/>
          <w:spacing w:val="-2"/>
        </w:rPr>
        <w:t xml:space="preserve"> </w:t>
      </w:r>
      <w:r>
        <w:rPr>
          <w:rFonts w:ascii="Times New Roman"/>
          <w:spacing w:val="-1"/>
        </w:rPr>
        <w:t>when</w:t>
      </w:r>
      <w:r>
        <w:rPr>
          <w:rFonts w:ascii="Times New Roman"/>
          <w:spacing w:val="1"/>
        </w:rPr>
        <w:t xml:space="preserve"> </w:t>
      </w:r>
      <w:r>
        <w:rPr>
          <w:rFonts w:ascii="Times New Roman"/>
          <w:spacing w:val="-1"/>
        </w:rPr>
        <w:t>conducting relevant</w:t>
      </w:r>
      <w:r>
        <w:rPr>
          <w:rFonts w:ascii="Times New Roman"/>
        </w:rPr>
        <w:t xml:space="preserve"> </w:t>
      </w:r>
      <w:r>
        <w:rPr>
          <w:rFonts w:ascii="Times New Roman"/>
          <w:spacing w:val="-1"/>
        </w:rPr>
        <w:t>studies.</w:t>
      </w:r>
    </w:p>
    <w:p w14:paraId="0A7D7CE7" w14:textId="77777777" w:rsidR="00B52D8F" w:rsidRDefault="00B52D8F" w:rsidP="00B52D8F">
      <w:pPr>
        <w:tabs>
          <w:tab w:val="left" w:pos="465"/>
        </w:tabs>
        <w:ind w:left="465" w:right="154" w:hanging="358"/>
        <w:rPr>
          <w:rFonts w:ascii="Times New Roman" w:hAnsi="Times New Roman"/>
          <w:szCs w:val="20"/>
        </w:rPr>
      </w:pPr>
      <w:r>
        <w:rPr>
          <w:rFonts w:ascii="Times New Roman"/>
          <w:w w:val="95"/>
          <w:position w:val="9"/>
          <w:sz w:val="13"/>
        </w:rPr>
        <w:t>25</w:t>
      </w:r>
      <w:r>
        <w:rPr>
          <w:rFonts w:ascii="Times New Roman"/>
          <w:w w:val="95"/>
          <w:position w:val="9"/>
          <w:sz w:val="13"/>
        </w:rPr>
        <w:tab/>
      </w:r>
      <w:r>
        <w:rPr>
          <w:rFonts w:ascii="Times New Roman"/>
        </w:rPr>
        <w:t>See</w:t>
      </w:r>
      <w:r>
        <w:rPr>
          <w:rFonts w:ascii="Times New Roman"/>
          <w:spacing w:val="8"/>
        </w:rPr>
        <w:t xml:space="preserve"> </w:t>
      </w:r>
      <w:r>
        <w:rPr>
          <w:rFonts w:ascii="Times New Roman"/>
          <w:spacing w:val="-1"/>
        </w:rPr>
        <w:t>also</w:t>
      </w:r>
      <w:r>
        <w:rPr>
          <w:rFonts w:ascii="Times New Roman"/>
          <w:spacing w:val="8"/>
        </w:rPr>
        <w:t xml:space="preserve"> </w:t>
      </w:r>
      <w:r>
        <w:rPr>
          <w:rFonts w:ascii="Times New Roman"/>
        </w:rPr>
        <w:t>foot</w:t>
      </w:r>
      <w:r>
        <w:rPr>
          <w:rFonts w:ascii="Times New Roman"/>
          <w:spacing w:val="6"/>
        </w:rPr>
        <w:t xml:space="preserve"> </w:t>
      </w:r>
      <w:r>
        <w:rPr>
          <w:rFonts w:ascii="Times New Roman"/>
        </w:rPr>
        <w:t>note</w:t>
      </w:r>
      <w:r>
        <w:rPr>
          <w:rFonts w:ascii="Times New Roman"/>
          <w:spacing w:val="7"/>
        </w:rPr>
        <w:t xml:space="preserve"> </w:t>
      </w:r>
      <w:r>
        <w:rPr>
          <w:rFonts w:ascii="Times New Roman"/>
        </w:rPr>
        <w:t>12.</w:t>
      </w:r>
      <w:r>
        <w:rPr>
          <w:rFonts w:ascii="Times New Roman"/>
          <w:spacing w:val="7"/>
        </w:rPr>
        <w:t xml:space="preserve"> </w:t>
      </w:r>
      <w:r>
        <w:rPr>
          <w:rFonts w:ascii="Times New Roman"/>
          <w:spacing w:val="-1"/>
        </w:rPr>
        <w:t>There</w:t>
      </w:r>
      <w:r>
        <w:rPr>
          <w:rFonts w:ascii="Times New Roman"/>
          <w:spacing w:val="7"/>
        </w:rPr>
        <w:t xml:space="preserve"> </w:t>
      </w:r>
      <w:r>
        <w:rPr>
          <w:rFonts w:ascii="Times New Roman"/>
          <w:spacing w:val="-1"/>
        </w:rPr>
        <w:t>are</w:t>
      </w:r>
      <w:r>
        <w:rPr>
          <w:rFonts w:ascii="Times New Roman"/>
          <w:spacing w:val="9"/>
        </w:rPr>
        <w:t xml:space="preserve"> </w:t>
      </w:r>
      <w:r>
        <w:rPr>
          <w:rFonts w:ascii="Times New Roman"/>
          <w:spacing w:val="-1"/>
        </w:rPr>
        <w:t>investments</w:t>
      </w:r>
      <w:r>
        <w:rPr>
          <w:rFonts w:ascii="Times New Roman"/>
          <w:spacing w:val="9"/>
        </w:rPr>
        <w:t xml:space="preserve"> </w:t>
      </w:r>
      <w:r>
        <w:rPr>
          <w:rFonts w:ascii="Times New Roman"/>
          <w:spacing w:val="-1"/>
        </w:rPr>
        <w:t>based</w:t>
      </w:r>
      <w:r>
        <w:rPr>
          <w:rFonts w:ascii="Times New Roman"/>
          <w:spacing w:val="7"/>
        </w:rPr>
        <w:t xml:space="preserve"> </w:t>
      </w:r>
      <w:r>
        <w:rPr>
          <w:rFonts w:ascii="Times New Roman"/>
        </w:rPr>
        <w:t>on</w:t>
      </w:r>
      <w:r>
        <w:rPr>
          <w:rFonts w:ascii="Times New Roman"/>
          <w:spacing w:val="8"/>
        </w:rPr>
        <w:t xml:space="preserve"> </w:t>
      </w:r>
      <w:r>
        <w:rPr>
          <w:rFonts w:ascii="Times New Roman"/>
          <w:spacing w:val="-1"/>
        </w:rPr>
        <w:t>ETSI</w:t>
      </w:r>
      <w:r>
        <w:rPr>
          <w:rFonts w:ascii="Times New Roman"/>
          <w:spacing w:val="7"/>
        </w:rPr>
        <w:t xml:space="preserve"> </w:t>
      </w:r>
      <w:r>
        <w:rPr>
          <w:rFonts w:ascii="Times New Roman"/>
        </w:rPr>
        <w:t>ITS</w:t>
      </w:r>
      <w:r>
        <w:rPr>
          <w:rFonts w:ascii="Times New Roman"/>
          <w:spacing w:val="7"/>
        </w:rPr>
        <w:t xml:space="preserve"> </w:t>
      </w:r>
      <w:r>
        <w:rPr>
          <w:rFonts w:ascii="Times New Roman"/>
          <w:spacing w:val="-1"/>
        </w:rPr>
        <w:t>G5</w:t>
      </w:r>
      <w:r>
        <w:rPr>
          <w:rFonts w:ascii="Times New Roman"/>
          <w:spacing w:val="10"/>
        </w:rPr>
        <w:t xml:space="preserve"> </w:t>
      </w:r>
      <w:r>
        <w:rPr>
          <w:rFonts w:ascii="Times New Roman"/>
          <w:spacing w:val="-1"/>
        </w:rPr>
        <w:t>in</w:t>
      </w:r>
      <w:r>
        <w:rPr>
          <w:rFonts w:ascii="Times New Roman"/>
          <w:spacing w:val="7"/>
        </w:rPr>
        <w:t xml:space="preserve"> </w:t>
      </w:r>
      <w:r>
        <w:rPr>
          <w:rFonts w:ascii="Times New Roman"/>
        </w:rPr>
        <w:t>16</w:t>
      </w:r>
      <w:r>
        <w:rPr>
          <w:rFonts w:ascii="Times New Roman"/>
          <w:spacing w:val="7"/>
        </w:rPr>
        <w:t xml:space="preserve"> </w:t>
      </w:r>
      <w:r>
        <w:rPr>
          <w:rFonts w:ascii="Times New Roman"/>
        </w:rPr>
        <w:t>EU</w:t>
      </w:r>
      <w:r>
        <w:rPr>
          <w:rFonts w:ascii="Times New Roman"/>
          <w:spacing w:val="9"/>
        </w:rPr>
        <w:t xml:space="preserve"> </w:t>
      </w:r>
      <w:r>
        <w:rPr>
          <w:rFonts w:ascii="Times New Roman"/>
          <w:spacing w:val="-1"/>
        </w:rPr>
        <w:t>Member</w:t>
      </w:r>
      <w:r>
        <w:rPr>
          <w:rFonts w:ascii="Times New Roman"/>
          <w:spacing w:val="9"/>
        </w:rPr>
        <w:t xml:space="preserve"> </w:t>
      </w:r>
      <w:r>
        <w:rPr>
          <w:rFonts w:ascii="Times New Roman"/>
          <w:spacing w:val="-1"/>
        </w:rPr>
        <w:t>States</w:t>
      </w:r>
      <w:r>
        <w:rPr>
          <w:rFonts w:ascii="Times New Roman"/>
          <w:spacing w:val="8"/>
        </w:rPr>
        <w:t xml:space="preserve"> </w:t>
      </w:r>
      <w:r>
        <w:rPr>
          <w:rFonts w:ascii="Times New Roman"/>
          <w:spacing w:val="-1"/>
        </w:rPr>
        <w:t>under</w:t>
      </w:r>
      <w:r>
        <w:rPr>
          <w:rFonts w:ascii="Times New Roman"/>
          <w:spacing w:val="11"/>
        </w:rPr>
        <w:t xml:space="preserve"> </w:t>
      </w:r>
      <w:r>
        <w:rPr>
          <w:rFonts w:ascii="Times New Roman"/>
          <w:spacing w:val="-1"/>
        </w:rPr>
        <w:t>the</w:t>
      </w:r>
      <w:r>
        <w:rPr>
          <w:rFonts w:ascii="Times New Roman"/>
          <w:spacing w:val="61"/>
        </w:rPr>
        <w:t xml:space="preserve"> </w:t>
      </w:r>
      <w:r>
        <w:rPr>
          <w:rFonts w:ascii="Times New Roman"/>
        </w:rPr>
        <w:t xml:space="preserve">C </w:t>
      </w:r>
      <w:r>
        <w:rPr>
          <w:rFonts w:ascii="Times New Roman"/>
          <w:spacing w:val="-1"/>
        </w:rPr>
        <w:t>Roads platform.</w:t>
      </w:r>
    </w:p>
    <w:p w14:paraId="0A7D7CE8" w14:textId="77777777" w:rsidR="00B52D8F" w:rsidRDefault="00B52D8F" w:rsidP="00B52D8F">
      <w:pPr>
        <w:rPr>
          <w:rFonts w:ascii="Times New Roman" w:hAnsi="Times New Roman"/>
          <w:szCs w:val="20"/>
        </w:rPr>
        <w:sectPr w:rsidR="00B52D8F">
          <w:pgSz w:w="11910" w:h="16840"/>
          <w:pgMar w:top="1040" w:right="1440" w:bottom="820" w:left="1480" w:header="0" w:footer="633" w:gutter="0"/>
          <w:cols w:space="708"/>
        </w:sectPr>
      </w:pPr>
    </w:p>
    <w:p w14:paraId="0A7D7CE9" w14:textId="77777777" w:rsidR="00B52D8F" w:rsidRDefault="00B52D8F" w:rsidP="000A739F">
      <w:pPr>
        <w:pStyle w:val="BodyText"/>
        <w:tabs>
          <w:tab w:val="left" w:pos="2787"/>
        </w:tabs>
        <w:spacing w:before="55"/>
        <w:ind w:left="1347" w:right="276" w:hanging="1347"/>
      </w:pPr>
      <w:r>
        <w:rPr>
          <w:b/>
        </w:rPr>
        <w:lastRenderedPageBreak/>
        <w:t>Task 2</w:t>
      </w:r>
      <w:r>
        <w:rPr>
          <w:b/>
        </w:rPr>
        <w:tab/>
      </w:r>
      <w:r>
        <w:t>In</w:t>
      </w:r>
      <w:r>
        <w:rPr>
          <w:spacing w:val="2"/>
        </w:rPr>
        <w:t xml:space="preserve"> </w:t>
      </w:r>
      <w:r>
        <w:rPr>
          <w:spacing w:val="-1"/>
        </w:rPr>
        <w:t>relation</w:t>
      </w:r>
      <w:r>
        <w:rPr>
          <w:spacing w:val="59"/>
        </w:rPr>
        <w:t xml:space="preserve"> </w:t>
      </w:r>
      <w:r>
        <w:t>to</w:t>
      </w:r>
      <w:r>
        <w:rPr>
          <w:spacing w:val="2"/>
        </w:rPr>
        <w:t xml:space="preserve"> </w:t>
      </w:r>
      <w:r>
        <w:t>Task</w:t>
      </w:r>
      <w:r>
        <w:rPr>
          <w:spacing w:val="1"/>
        </w:rPr>
        <w:t xml:space="preserve"> </w:t>
      </w:r>
      <w:r>
        <w:t>1, assess</w:t>
      </w:r>
      <w:r>
        <w:rPr>
          <w:spacing w:val="4"/>
        </w:rPr>
        <w:t xml:space="preserve"> </w:t>
      </w:r>
      <w:r>
        <w:t>the</w:t>
      </w:r>
      <w:r>
        <w:rPr>
          <w:spacing w:val="1"/>
        </w:rPr>
        <w:t xml:space="preserve"> </w:t>
      </w:r>
      <w:r>
        <w:rPr>
          <w:spacing w:val="-1"/>
        </w:rPr>
        <w:t>suitability</w:t>
      </w:r>
      <w:r>
        <w:rPr>
          <w:spacing w:val="2"/>
        </w:rPr>
        <w:t xml:space="preserve"> </w:t>
      </w:r>
      <w:r>
        <w:t>of the</w:t>
      </w:r>
      <w:r>
        <w:rPr>
          <w:spacing w:val="2"/>
        </w:rPr>
        <w:t xml:space="preserve"> </w:t>
      </w:r>
      <w:r>
        <w:rPr>
          <w:spacing w:val="-1"/>
        </w:rPr>
        <w:t>existing</w:t>
      </w:r>
      <w:r>
        <w:rPr>
          <w:spacing w:val="2"/>
        </w:rPr>
        <w:t xml:space="preserve"> </w:t>
      </w:r>
      <w:r>
        <w:rPr>
          <w:spacing w:val="-1"/>
        </w:rPr>
        <w:t>harmonised</w:t>
      </w:r>
      <w:r>
        <w:rPr>
          <w:spacing w:val="59"/>
        </w:rPr>
        <w:t xml:space="preserve"> </w:t>
      </w:r>
      <w:r>
        <w:t>technical</w:t>
      </w:r>
      <w:r>
        <w:rPr>
          <w:spacing w:val="11"/>
        </w:rPr>
        <w:t xml:space="preserve"> </w:t>
      </w:r>
      <w:r>
        <w:rPr>
          <w:spacing w:val="-1"/>
        </w:rPr>
        <w:t>conditions</w:t>
      </w:r>
      <w:r>
        <w:rPr>
          <w:spacing w:val="10"/>
        </w:rPr>
        <w:t xml:space="preserve"> </w:t>
      </w:r>
      <w:r>
        <w:rPr>
          <w:spacing w:val="-1"/>
        </w:rPr>
        <w:t>applicable</w:t>
      </w:r>
      <w:r>
        <w:rPr>
          <w:spacing w:val="11"/>
        </w:rPr>
        <w:t xml:space="preserve"> </w:t>
      </w:r>
      <w:r>
        <w:t>to</w:t>
      </w:r>
      <w:r>
        <w:rPr>
          <w:spacing w:val="9"/>
        </w:rPr>
        <w:t xml:space="preserve"> </w:t>
      </w:r>
      <w:r>
        <w:rPr>
          <w:spacing w:val="-1"/>
        </w:rPr>
        <w:t>the</w:t>
      </w:r>
      <w:r>
        <w:rPr>
          <w:spacing w:val="10"/>
        </w:rPr>
        <w:t xml:space="preserve"> </w:t>
      </w:r>
      <w:r>
        <w:t>5</w:t>
      </w:r>
      <w:r>
        <w:rPr>
          <w:spacing w:val="1"/>
        </w:rPr>
        <w:t xml:space="preserve"> </w:t>
      </w:r>
      <w:r>
        <w:t xml:space="preserve">875-5 </w:t>
      </w:r>
      <w:r>
        <w:rPr>
          <w:spacing w:val="-1"/>
        </w:rPr>
        <w:t>905</w:t>
      </w:r>
      <w:r>
        <w:t xml:space="preserve"> MHz</w:t>
      </w:r>
      <w:r>
        <w:rPr>
          <w:spacing w:val="10"/>
        </w:rPr>
        <w:t xml:space="preserve"> </w:t>
      </w:r>
      <w:r>
        <w:t>frequency</w:t>
      </w:r>
      <w:r>
        <w:rPr>
          <w:spacing w:val="11"/>
        </w:rPr>
        <w:t xml:space="preserve"> </w:t>
      </w:r>
      <w:r>
        <w:t>band</w:t>
      </w:r>
      <w:r>
        <w:rPr>
          <w:spacing w:val="11"/>
        </w:rPr>
        <w:t xml:space="preserve"> </w:t>
      </w:r>
      <w:r>
        <w:t>for</w:t>
      </w:r>
      <w:r>
        <w:rPr>
          <w:spacing w:val="41"/>
        </w:rPr>
        <w:t xml:space="preserve"> </w:t>
      </w:r>
      <w:r>
        <w:t>use</w:t>
      </w:r>
      <w:r>
        <w:rPr>
          <w:spacing w:val="56"/>
        </w:rPr>
        <w:t xml:space="preserve"> </w:t>
      </w:r>
      <w:r>
        <w:t>by</w:t>
      </w:r>
      <w:r>
        <w:rPr>
          <w:spacing w:val="56"/>
        </w:rPr>
        <w:t xml:space="preserve"> </w:t>
      </w:r>
      <w:r>
        <w:t>Urban</w:t>
      </w:r>
      <w:r>
        <w:rPr>
          <w:spacing w:val="56"/>
        </w:rPr>
        <w:t xml:space="preserve"> </w:t>
      </w:r>
      <w:r>
        <w:t>Rail</w:t>
      </w:r>
      <w:r>
        <w:rPr>
          <w:spacing w:val="57"/>
        </w:rPr>
        <w:t xml:space="preserve"> </w:t>
      </w:r>
      <w:r>
        <w:t>ITS</w:t>
      </w:r>
      <w:r>
        <w:rPr>
          <w:spacing w:val="55"/>
        </w:rPr>
        <w:t xml:space="preserve"> </w:t>
      </w:r>
      <w:r>
        <w:t>(such</w:t>
      </w:r>
      <w:r>
        <w:rPr>
          <w:spacing w:val="56"/>
        </w:rPr>
        <w:t xml:space="preserve"> </w:t>
      </w:r>
      <w:r>
        <w:t>as</w:t>
      </w:r>
      <w:r>
        <w:rPr>
          <w:spacing w:val="55"/>
        </w:rPr>
        <w:t xml:space="preserve"> </w:t>
      </w:r>
      <w:r>
        <w:t>technologies</w:t>
      </w:r>
      <w:r>
        <w:rPr>
          <w:spacing w:val="54"/>
        </w:rPr>
        <w:t xml:space="preserve"> </w:t>
      </w:r>
      <w:r>
        <w:t>for</w:t>
      </w:r>
      <w:r>
        <w:rPr>
          <w:spacing w:val="56"/>
        </w:rPr>
        <w:t xml:space="preserve"> </w:t>
      </w:r>
      <w:r>
        <w:rPr>
          <w:spacing w:val="-1"/>
        </w:rPr>
        <w:t>CBTC);</w:t>
      </w:r>
      <w:r>
        <w:rPr>
          <w:spacing w:val="56"/>
        </w:rPr>
        <w:t xml:space="preserve"> </w:t>
      </w:r>
      <w:r>
        <w:rPr>
          <w:spacing w:val="-1"/>
        </w:rPr>
        <w:t>amend</w:t>
      </w:r>
      <w:r>
        <w:rPr>
          <w:spacing w:val="56"/>
        </w:rPr>
        <w:t xml:space="preserve"> </w:t>
      </w:r>
      <w:r>
        <w:t>these</w:t>
      </w:r>
      <w:r>
        <w:rPr>
          <w:spacing w:val="27"/>
        </w:rPr>
        <w:t xml:space="preserve"> </w:t>
      </w:r>
      <w:r>
        <w:t>conditions,</w:t>
      </w:r>
      <w:r>
        <w:rPr>
          <w:spacing w:val="47"/>
        </w:rPr>
        <w:t xml:space="preserve"> </w:t>
      </w:r>
      <w:r>
        <w:t>if</w:t>
      </w:r>
      <w:r>
        <w:rPr>
          <w:spacing w:val="47"/>
        </w:rPr>
        <w:t xml:space="preserve"> </w:t>
      </w:r>
      <w:r>
        <w:rPr>
          <w:spacing w:val="-1"/>
        </w:rPr>
        <w:t>necessary,</w:t>
      </w:r>
      <w:r>
        <w:rPr>
          <w:spacing w:val="47"/>
        </w:rPr>
        <w:t xml:space="preserve"> </w:t>
      </w:r>
      <w:r>
        <w:t>so</w:t>
      </w:r>
      <w:r>
        <w:rPr>
          <w:spacing w:val="48"/>
        </w:rPr>
        <w:t xml:space="preserve"> </w:t>
      </w:r>
      <w:r>
        <w:t>as</w:t>
      </w:r>
      <w:r>
        <w:rPr>
          <w:spacing w:val="47"/>
        </w:rPr>
        <w:t xml:space="preserve"> </w:t>
      </w:r>
      <w:r>
        <w:t>to</w:t>
      </w:r>
      <w:r>
        <w:rPr>
          <w:spacing w:val="47"/>
        </w:rPr>
        <w:t xml:space="preserve"> </w:t>
      </w:r>
      <w:r>
        <w:rPr>
          <w:spacing w:val="-1"/>
        </w:rPr>
        <w:t>develop</w:t>
      </w:r>
      <w:r>
        <w:rPr>
          <w:spacing w:val="49"/>
        </w:rPr>
        <w:t xml:space="preserve"> </w:t>
      </w:r>
      <w:r>
        <w:rPr>
          <w:spacing w:val="-1"/>
        </w:rPr>
        <w:t>consistent</w:t>
      </w:r>
      <w:r>
        <w:rPr>
          <w:spacing w:val="47"/>
        </w:rPr>
        <w:t xml:space="preserve"> </w:t>
      </w:r>
      <w:r>
        <w:t>technical,</w:t>
      </w:r>
      <w:r>
        <w:rPr>
          <w:spacing w:val="47"/>
        </w:rPr>
        <w:t xml:space="preserve"> </w:t>
      </w:r>
      <w:r>
        <w:rPr>
          <w:spacing w:val="-1"/>
        </w:rPr>
        <w:t>including</w:t>
      </w:r>
      <w:r>
        <w:rPr>
          <w:spacing w:val="55"/>
        </w:rPr>
        <w:t xml:space="preserve"> </w:t>
      </w:r>
      <w:r>
        <w:rPr>
          <w:i/>
        </w:rPr>
        <w:t>sharing</w:t>
      </w:r>
      <w:r>
        <w:t>,</w:t>
      </w:r>
      <w:r>
        <w:rPr>
          <w:spacing w:val="32"/>
        </w:rPr>
        <w:t xml:space="preserve"> </w:t>
      </w:r>
      <w:r>
        <w:rPr>
          <w:spacing w:val="-1"/>
        </w:rPr>
        <w:t>conditions</w:t>
      </w:r>
      <w:r>
        <w:rPr>
          <w:spacing w:val="32"/>
        </w:rPr>
        <w:t xml:space="preserve"> </w:t>
      </w:r>
      <w:r>
        <w:t>for</w:t>
      </w:r>
      <w:r>
        <w:rPr>
          <w:spacing w:val="32"/>
        </w:rPr>
        <w:t xml:space="preserve"> </w:t>
      </w:r>
      <w:r>
        <w:t>the</w:t>
      </w:r>
      <w:r>
        <w:rPr>
          <w:spacing w:val="32"/>
        </w:rPr>
        <w:t xml:space="preserve"> </w:t>
      </w:r>
      <w:r>
        <w:t>whole</w:t>
      </w:r>
      <w:r>
        <w:rPr>
          <w:spacing w:val="31"/>
        </w:rPr>
        <w:t xml:space="preserve"> </w:t>
      </w:r>
      <w:r>
        <w:t>5 875-5 925 MHz</w:t>
      </w:r>
      <w:r>
        <w:rPr>
          <w:spacing w:val="32"/>
        </w:rPr>
        <w:t xml:space="preserve"> </w:t>
      </w:r>
      <w:r>
        <w:t>frequency</w:t>
      </w:r>
      <w:r>
        <w:rPr>
          <w:spacing w:val="32"/>
        </w:rPr>
        <w:t xml:space="preserve"> </w:t>
      </w:r>
      <w:r>
        <w:t>band.</w:t>
      </w:r>
      <w:r>
        <w:rPr>
          <w:spacing w:val="32"/>
        </w:rPr>
        <w:t xml:space="preserve"> </w:t>
      </w:r>
      <w:r>
        <w:t>This</w:t>
      </w:r>
      <w:r>
        <w:rPr>
          <w:spacing w:val="20"/>
        </w:rPr>
        <w:t xml:space="preserve"> </w:t>
      </w:r>
      <w:r>
        <w:t>should not</w:t>
      </w:r>
      <w:r>
        <w:rPr>
          <w:spacing w:val="1"/>
        </w:rPr>
        <w:t xml:space="preserve"> </w:t>
      </w:r>
      <w:r>
        <w:t xml:space="preserve">result in </w:t>
      </w:r>
      <w:r>
        <w:rPr>
          <w:spacing w:val="-1"/>
        </w:rPr>
        <w:t>segmentation</w:t>
      </w:r>
      <w:r>
        <w:rPr>
          <w:spacing w:val="1"/>
        </w:rPr>
        <w:t xml:space="preserve"> </w:t>
      </w:r>
      <w:r>
        <w:t>and</w:t>
      </w:r>
      <w:r>
        <w:rPr>
          <w:spacing w:val="1"/>
        </w:rPr>
        <w:t xml:space="preserve"> </w:t>
      </w:r>
      <w:r>
        <w:rPr>
          <w:spacing w:val="-1"/>
        </w:rPr>
        <w:t>segregation</w:t>
      </w:r>
      <w:r>
        <w:t xml:space="preserve"> of the</w:t>
      </w:r>
      <w:r>
        <w:rPr>
          <w:spacing w:val="1"/>
        </w:rPr>
        <w:t xml:space="preserve"> </w:t>
      </w:r>
      <w:r>
        <w:t>band.</w:t>
      </w:r>
      <w:r>
        <w:rPr>
          <w:spacing w:val="1"/>
        </w:rPr>
        <w:t xml:space="preserve"> </w:t>
      </w:r>
      <w:r>
        <w:t>The</w:t>
      </w:r>
      <w:r>
        <w:rPr>
          <w:spacing w:val="5"/>
        </w:rPr>
        <w:t xml:space="preserve"> </w:t>
      </w:r>
      <w:r>
        <w:rPr>
          <w:spacing w:val="-1"/>
        </w:rPr>
        <w:t>principle</w:t>
      </w:r>
      <w:r>
        <w:rPr>
          <w:spacing w:val="51"/>
        </w:rPr>
        <w:t xml:space="preserve"> </w:t>
      </w:r>
      <w:r>
        <w:t>of</w:t>
      </w:r>
      <w:r>
        <w:rPr>
          <w:spacing w:val="13"/>
        </w:rPr>
        <w:t xml:space="preserve"> </w:t>
      </w:r>
      <w:r>
        <w:t>equal</w:t>
      </w:r>
      <w:r>
        <w:rPr>
          <w:spacing w:val="14"/>
        </w:rPr>
        <w:t xml:space="preserve"> </w:t>
      </w:r>
      <w:r>
        <w:t>access</w:t>
      </w:r>
      <w:r>
        <w:rPr>
          <w:spacing w:val="14"/>
        </w:rPr>
        <w:t xml:space="preserve"> </w:t>
      </w:r>
      <w:r>
        <w:t>to</w:t>
      </w:r>
      <w:r>
        <w:rPr>
          <w:spacing w:val="14"/>
        </w:rPr>
        <w:t xml:space="preserve"> </w:t>
      </w:r>
      <w:r>
        <w:rPr>
          <w:spacing w:val="-1"/>
        </w:rPr>
        <w:t>shared</w:t>
      </w:r>
      <w:r>
        <w:rPr>
          <w:spacing w:val="14"/>
        </w:rPr>
        <w:t xml:space="preserve"> </w:t>
      </w:r>
      <w:r>
        <w:t>spectrum</w:t>
      </w:r>
      <w:r>
        <w:rPr>
          <w:spacing w:val="14"/>
        </w:rPr>
        <w:t xml:space="preserve"> </w:t>
      </w:r>
      <w:r>
        <w:t>shall</w:t>
      </w:r>
      <w:r>
        <w:rPr>
          <w:spacing w:val="15"/>
        </w:rPr>
        <w:t xml:space="preserve"> </w:t>
      </w:r>
      <w:r>
        <w:t>be</w:t>
      </w:r>
      <w:r>
        <w:rPr>
          <w:spacing w:val="14"/>
        </w:rPr>
        <w:t xml:space="preserve"> </w:t>
      </w:r>
      <w:r>
        <w:rPr>
          <w:spacing w:val="-1"/>
        </w:rPr>
        <w:t>applied</w:t>
      </w:r>
      <w:r>
        <w:rPr>
          <w:spacing w:val="15"/>
        </w:rPr>
        <w:t xml:space="preserve"> </w:t>
      </w:r>
      <w:r>
        <w:t>taking</w:t>
      </w:r>
      <w:r>
        <w:rPr>
          <w:spacing w:val="14"/>
        </w:rPr>
        <w:t xml:space="preserve"> </w:t>
      </w:r>
      <w:r>
        <w:rPr>
          <w:spacing w:val="-1"/>
        </w:rPr>
        <w:t>into</w:t>
      </w:r>
      <w:r>
        <w:rPr>
          <w:spacing w:val="14"/>
        </w:rPr>
        <w:t xml:space="preserve"> </w:t>
      </w:r>
      <w:r>
        <w:t>account</w:t>
      </w:r>
      <w:r>
        <w:rPr>
          <w:spacing w:val="13"/>
        </w:rPr>
        <w:t xml:space="preserve"> </w:t>
      </w:r>
      <w:r>
        <w:t>the</w:t>
      </w:r>
      <w:r>
        <w:rPr>
          <w:spacing w:val="27"/>
        </w:rPr>
        <w:t xml:space="preserve"> </w:t>
      </w:r>
      <w:r>
        <w:t>need</w:t>
      </w:r>
      <w:r>
        <w:rPr>
          <w:spacing w:val="24"/>
        </w:rPr>
        <w:t xml:space="preserve"> </w:t>
      </w:r>
      <w:r>
        <w:t>to</w:t>
      </w:r>
      <w:r>
        <w:rPr>
          <w:spacing w:val="24"/>
        </w:rPr>
        <w:t xml:space="preserve"> </w:t>
      </w:r>
      <w:r>
        <w:t>avoid</w:t>
      </w:r>
      <w:r>
        <w:rPr>
          <w:spacing w:val="23"/>
        </w:rPr>
        <w:t xml:space="preserve"> </w:t>
      </w:r>
      <w:r>
        <w:rPr>
          <w:spacing w:val="-1"/>
        </w:rPr>
        <w:t>harmful</w:t>
      </w:r>
      <w:r>
        <w:rPr>
          <w:spacing w:val="24"/>
        </w:rPr>
        <w:t xml:space="preserve"> </w:t>
      </w:r>
      <w:r>
        <w:rPr>
          <w:spacing w:val="-1"/>
        </w:rPr>
        <w:t>interference</w:t>
      </w:r>
      <w:r>
        <w:rPr>
          <w:spacing w:val="23"/>
        </w:rPr>
        <w:t xml:space="preserve"> </w:t>
      </w:r>
      <w:r>
        <w:t>and</w:t>
      </w:r>
      <w:r>
        <w:rPr>
          <w:spacing w:val="24"/>
        </w:rPr>
        <w:t xml:space="preserve"> </w:t>
      </w:r>
      <w:r>
        <w:t>the</w:t>
      </w:r>
      <w:r>
        <w:rPr>
          <w:spacing w:val="24"/>
        </w:rPr>
        <w:t xml:space="preserve"> </w:t>
      </w:r>
      <w:r>
        <w:rPr>
          <w:spacing w:val="-1"/>
        </w:rPr>
        <w:t>need</w:t>
      </w:r>
      <w:r>
        <w:rPr>
          <w:spacing w:val="23"/>
        </w:rPr>
        <w:t xml:space="preserve"> </w:t>
      </w:r>
      <w:r>
        <w:t>for</w:t>
      </w:r>
      <w:r>
        <w:rPr>
          <w:spacing w:val="27"/>
        </w:rPr>
        <w:t xml:space="preserve"> </w:t>
      </w:r>
      <w:r>
        <w:rPr>
          <w:spacing w:val="-1"/>
        </w:rPr>
        <w:t>reliable</w:t>
      </w:r>
      <w:r>
        <w:rPr>
          <w:spacing w:val="23"/>
        </w:rPr>
        <w:t xml:space="preserve"> </w:t>
      </w:r>
      <w:r>
        <w:t>safety-related</w:t>
      </w:r>
      <w:r>
        <w:rPr>
          <w:spacing w:val="53"/>
        </w:rPr>
        <w:t xml:space="preserve"> </w:t>
      </w:r>
      <w:r>
        <w:t xml:space="preserve">operation in the whole </w:t>
      </w:r>
      <w:r>
        <w:rPr>
          <w:spacing w:val="-1"/>
        </w:rPr>
        <w:t>band.</w:t>
      </w:r>
    </w:p>
    <w:p w14:paraId="0A7D7CEA" w14:textId="77777777" w:rsidR="00B52D8F" w:rsidRDefault="00B52D8F" w:rsidP="000A739F">
      <w:pPr>
        <w:spacing w:before="10" w:after="140"/>
        <w:rPr>
          <w:rFonts w:ascii="Times New Roman" w:hAnsi="Times New Roman"/>
          <w:szCs w:val="20"/>
        </w:rPr>
      </w:pPr>
    </w:p>
    <w:p w14:paraId="0A7D7CEB" w14:textId="77777777" w:rsidR="00B52D8F" w:rsidRDefault="00B52D8F" w:rsidP="000A739F">
      <w:pPr>
        <w:pStyle w:val="BodyText"/>
        <w:ind w:right="277"/>
      </w:pPr>
      <w:r>
        <w:t>Under</w:t>
      </w:r>
      <w:r>
        <w:rPr>
          <w:spacing w:val="20"/>
        </w:rPr>
        <w:t xml:space="preserve"> </w:t>
      </w:r>
      <w:r>
        <w:t>tasks</w:t>
      </w:r>
      <w:r>
        <w:rPr>
          <w:spacing w:val="20"/>
        </w:rPr>
        <w:t xml:space="preserve"> </w:t>
      </w:r>
      <w:r>
        <w:t>1</w:t>
      </w:r>
      <w:r>
        <w:rPr>
          <w:spacing w:val="20"/>
        </w:rPr>
        <w:t xml:space="preserve"> </w:t>
      </w:r>
      <w:r>
        <w:t>and</w:t>
      </w:r>
      <w:r>
        <w:rPr>
          <w:spacing w:val="20"/>
        </w:rPr>
        <w:t xml:space="preserve"> </w:t>
      </w:r>
      <w:r>
        <w:t>2,</w:t>
      </w:r>
      <w:r>
        <w:rPr>
          <w:spacing w:val="20"/>
        </w:rPr>
        <w:t xml:space="preserve"> </w:t>
      </w:r>
      <w:r>
        <w:t>the</w:t>
      </w:r>
      <w:r>
        <w:rPr>
          <w:spacing w:val="20"/>
        </w:rPr>
        <w:t xml:space="preserve"> </w:t>
      </w:r>
      <w:r>
        <w:t>work</w:t>
      </w:r>
      <w:r>
        <w:rPr>
          <w:spacing w:val="20"/>
        </w:rPr>
        <w:t xml:space="preserve"> </w:t>
      </w:r>
      <w:r>
        <w:t>will</w:t>
      </w:r>
      <w:r>
        <w:rPr>
          <w:spacing w:val="19"/>
        </w:rPr>
        <w:t xml:space="preserve"> </w:t>
      </w:r>
      <w:r>
        <w:t>need</w:t>
      </w:r>
      <w:r>
        <w:rPr>
          <w:spacing w:val="22"/>
        </w:rPr>
        <w:t xml:space="preserve"> </w:t>
      </w:r>
      <w:r>
        <w:t>to</w:t>
      </w:r>
      <w:r>
        <w:rPr>
          <w:spacing w:val="20"/>
        </w:rPr>
        <w:t xml:space="preserve"> </w:t>
      </w:r>
      <w:r>
        <w:rPr>
          <w:spacing w:val="-1"/>
        </w:rPr>
        <w:t>verify</w:t>
      </w:r>
      <w:r>
        <w:rPr>
          <w:spacing w:val="19"/>
        </w:rPr>
        <w:t xml:space="preserve"> </w:t>
      </w:r>
      <w:r>
        <w:t>under</w:t>
      </w:r>
      <w:r>
        <w:rPr>
          <w:spacing w:val="20"/>
        </w:rPr>
        <w:t xml:space="preserve"> </w:t>
      </w:r>
      <w:r>
        <w:t>which</w:t>
      </w:r>
      <w:r>
        <w:rPr>
          <w:spacing w:val="20"/>
        </w:rPr>
        <w:t xml:space="preserve"> </w:t>
      </w:r>
      <w:r>
        <w:rPr>
          <w:spacing w:val="-1"/>
        </w:rPr>
        <w:t>conditions</w:t>
      </w:r>
      <w:r>
        <w:rPr>
          <w:spacing w:val="21"/>
        </w:rPr>
        <w:t xml:space="preserve"> </w:t>
      </w:r>
      <w:r>
        <w:t>ITS</w:t>
      </w:r>
      <w:r>
        <w:rPr>
          <w:spacing w:val="20"/>
        </w:rPr>
        <w:t xml:space="preserve"> </w:t>
      </w:r>
      <w:r>
        <w:t>for</w:t>
      </w:r>
      <w:r>
        <w:rPr>
          <w:spacing w:val="19"/>
        </w:rPr>
        <w:t xml:space="preserve"> </w:t>
      </w:r>
      <w:r>
        <w:t>Urban</w:t>
      </w:r>
      <w:r>
        <w:rPr>
          <w:spacing w:val="23"/>
        </w:rPr>
        <w:t xml:space="preserve"> </w:t>
      </w:r>
      <w:r>
        <w:t>Rail</w:t>
      </w:r>
      <w:r>
        <w:rPr>
          <w:spacing w:val="39"/>
        </w:rPr>
        <w:t xml:space="preserve"> </w:t>
      </w:r>
      <w:r>
        <w:t>can</w:t>
      </w:r>
      <w:r>
        <w:rPr>
          <w:spacing w:val="38"/>
        </w:rPr>
        <w:t xml:space="preserve"> </w:t>
      </w:r>
      <w:r>
        <w:rPr>
          <w:spacing w:val="-1"/>
        </w:rPr>
        <w:t>share</w:t>
      </w:r>
      <w:r>
        <w:rPr>
          <w:spacing w:val="38"/>
        </w:rPr>
        <w:t xml:space="preserve"> </w:t>
      </w:r>
      <w:r>
        <w:t>the</w:t>
      </w:r>
      <w:r>
        <w:rPr>
          <w:spacing w:val="38"/>
        </w:rPr>
        <w:t xml:space="preserve"> </w:t>
      </w:r>
      <w:r>
        <w:rPr>
          <w:spacing w:val="-1"/>
        </w:rPr>
        <w:t>band</w:t>
      </w:r>
      <w:r>
        <w:rPr>
          <w:spacing w:val="38"/>
        </w:rPr>
        <w:t xml:space="preserve"> </w:t>
      </w:r>
      <w:r>
        <w:t>with</w:t>
      </w:r>
      <w:r>
        <w:rPr>
          <w:spacing w:val="38"/>
        </w:rPr>
        <w:t xml:space="preserve"> </w:t>
      </w:r>
      <w:r>
        <w:t>ITS</w:t>
      </w:r>
      <w:r>
        <w:rPr>
          <w:spacing w:val="39"/>
        </w:rPr>
        <w:t xml:space="preserve"> </w:t>
      </w:r>
      <w:r>
        <w:t>for</w:t>
      </w:r>
      <w:r>
        <w:rPr>
          <w:spacing w:val="37"/>
        </w:rPr>
        <w:t xml:space="preserve"> </w:t>
      </w:r>
      <w:r>
        <w:t>road</w:t>
      </w:r>
      <w:r>
        <w:rPr>
          <w:spacing w:val="38"/>
        </w:rPr>
        <w:t xml:space="preserve"> </w:t>
      </w:r>
      <w:r>
        <w:rPr>
          <w:spacing w:val="-1"/>
        </w:rPr>
        <w:t>transportation</w:t>
      </w:r>
      <w:r>
        <w:rPr>
          <w:spacing w:val="38"/>
        </w:rPr>
        <w:t xml:space="preserve"> </w:t>
      </w:r>
      <w:r>
        <w:t>so</w:t>
      </w:r>
      <w:r>
        <w:rPr>
          <w:spacing w:val="38"/>
        </w:rPr>
        <w:t xml:space="preserve"> </w:t>
      </w:r>
      <w:r>
        <w:t>as</w:t>
      </w:r>
      <w:r>
        <w:rPr>
          <w:spacing w:val="39"/>
        </w:rPr>
        <w:t xml:space="preserve"> </w:t>
      </w:r>
      <w:r>
        <w:t>to</w:t>
      </w:r>
      <w:r>
        <w:rPr>
          <w:spacing w:val="39"/>
        </w:rPr>
        <w:t xml:space="preserve"> </w:t>
      </w:r>
      <w:r>
        <w:rPr>
          <w:spacing w:val="-1"/>
        </w:rPr>
        <w:t>facilitate</w:t>
      </w:r>
      <w:r>
        <w:rPr>
          <w:spacing w:val="38"/>
        </w:rPr>
        <w:t xml:space="preserve"> </w:t>
      </w:r>
      <w:r>
        <w:t>the</w:t>
      </w:r>
      <w:r>
        <w:rPr>
          <w:spacing w:val="39"/>
        </w:rPr>
        <w:t xml:space="preserve"> </w:t>
      </w:r>
      <w:r>
        <w:rPr>
          <w:spacing w:val="-1"/>
        </w:rPr>
        <w:t>reliable</w:t>
      </w:r>
      <w:r>
        <w:rPr>
          <w:spacing w:val="71"/>
        </w:rPr>
        <w:t xml:space="preserve"> </w:t>
      </w:r>
      <w:r>
        <w:rPr>
          <w:spacing w:val="-1"/>
        </w:rPr>
        <w:t>safety-related</w:t>
      </w:r>
      <w:r>
        <w:rPr>
          <w:spacing w:val="40"/>
        </w:rPr>
        <w:t xml:space="preserve"> </w:t>
      </w:r>
      <w:r>
        <w:t>operation</w:t>
      </w:r>
      <w:r>
        <w:rPr>
          <w:spacing w:val="39"/>
        </w:rPr>
        <w:t xml:space="preserve"> </w:t>
      </w:r>
      <w:r>
        <w:t>of</w:t>
      </w:r>
      <w:r>
        <w:rPr>
          <w:spacing w:val="42"/>
        </w:rPr>
        <w:t xml:space="preserve"> </w:t>
      </w:r>
      <w:r>
        <w:rPr>
          <w:spacing w:val="-1"/>
        </w:rPr>
        <w:t>ETSI</w:t>
      </w:r>
      <w:r>
        <w:rPr>
          <w:spacing w:val="41"/>
        </w:rPr>
        <w:t xml:space="preserve"> </w:t>
      </w:r>
      <w:r>
        <w:t>ITS-G5,</w:t>
      </w:r>
      <w:r>
        <w:rPr>
          <w:spacing w:val="40"/>
        </w:rPr>
        <w:t xml:space="preserve"> </w:t>
      </w:r>
      <w:r>
        <w:t>LTE-V2X</w:t>
      </w:r>
      <w:r>
        <w:rPr>
          <w:spacing w:val="39"/>
        </w:rPr>
        <w:t xml:space="preserve"> </w:t>
      </w:r>
      <w:r>
        <w:t>and</w:t>
      </w:r>
      <w:r>
        <w:rPr>
          <w:spacing w:val="42"/>
        </w:rPr>
        <w:t xml:space="preserve"> </w:t>
      </w:r>
      <w:r>
        <w:rPr>
          <w:spacing w:val="-1"/>
        </w:rPr>
        <w:t>technologies</w:t>
      </w:r>
      <w:r>
        <w:rPr>
          <w:spacing w:val="40"/>
        </w:rPr>
        <w:t xml:space="preserve"> </w:t>
      </w:r>
      <w:r>
        <w:t>for</w:t>
      </w:r>
      <w:r>
        <w:rPr>
          <w:spacing w:val="41"/>
        </w:rPr>
        <w:t xml:space="preserve"> </w:t>
      </w:r>
      <w:r>
        <w:t>CBTC</w:t>
      </w:r>
      <w:r>
        <w:rPr>
          <w:spacing w:val="41"/>
        </w:rPr>
        <w:t xml:space="preserve"> </w:t>
      </w:r>
      <w:r>
        <w:t>in</w:t>
      </w:r>
      <w:r>
        <w:rPr>
          <w:spacing w:val="41"/>
        </w:rPr>
        <w:t xml:space="preserve"> </w:t>
      </w:r>
      <w:r>
        <w:t>the</w:t>
      </w:r>
      <w:r>
        <w:rPr>
          <w:spacing w:val="55"/>
        </w:rPr>
        <w:t xml:space="preserve"> </w:t>
      </w:r>
      <w:r>
        <w:t xml:space="preserve">whole band. </w:t>
      </w:r>
      <w:r>
        <w:rPr>
          <w:spacing w:val="-1"/>
        </w:rPr>
        <w:t xml:space="preserve">CEPT </w:t>
      </w:r>
      <w:r>
        <w:t xml:space="preserve">should work in cooperation </w:t>
      </w:r>
      <w:r>
        <w:rPr>
          <w:spacing w:val="-1"/>
        </w:rPr>
        <w:t>with</w:t>
      </w:r>
      <w:r>
        <w:t xml:space="preserve"> ETSI, as</w:t>
      </w:r>
      <w:r>
        <w:rPr>
          <w:spacing w:val="-1"/>
        </w:rPr>
        <w:t xml:space="preserve"> </w:t>
      </w:r>
      <w:r>
        <w:t>appropriate.</w:t>
      </w:r>
    </w:p>
    <w:p w14:paraId="0A7D7CEC" w14:textId="77777777" w:rsidR="00B52D8F" w:rsidRDefault="00B52D8F" w:rsidP="000A739F">
      <w:pPr>
        <w:spacing w:before="10" w:after="140"/>
        <w:rPr>
          <w:rFonts w:ascii="Times New Roman" w:hAnsi="Times New Roman"/>
          <w:szCs w:val="20"/>
        </w:rPr>
      </w:pPr>
    </w:p>
    <w:p w14:paraId="0A7D7CED" w14:textId="77777777" w:rsidR="00B52D8F" w:rsidRDefault="00B52D8F" w:rsidP="000A739F">
      <w:pPr>
        <w:pStyle w:val="BodyText"/>
        <w:ind w:right="276"/>
      </w:pPr>
      <w:r>
        <w:t>In the work</w:t>
      </w:r>
      <w:r>
        <w:rPr>
          <w:spacing w:val="-1"/>
        </w:rPr>
        <w:t xml:space="preserve"> </w:t>
      </w:r>
      <w:r>
        <w:t>carried out</w:t>
      </w:r>
      <w:r>
        <w:rPr>
          <w:spacing w:val="1"/>
        </w:rPr>
        <w:t xml:space="preserve"> </w:t>
      </w:r>
      <w:r>
        <w:rPr>
          <w:spacing w:val="-1"/>
        </w:rPr>
        <w:t>under</w:t>
      </w:r>
      <w:r>
        <w:t xml:space="preserve"> the </w:t>
      </w:r>
      <w:r>
        <w:rPr>
          <w:spacing w:val="-1"/>
        </w:rPr>
        <w:t>Mandate,</w:t>
      </w:r>
      <w:r>
        <w:t xml:space="preserve"> the </w:t>
      </w:r>
      <w:r>
        <w:rPr>
          <w:spacing w:val="-1"/>
        </w:rPr>
        <w:t>general</w:t>
      </w:r>
      <w:r>
        <w:t xml:space="preserve"> and </w:t>
      </w:r>
      <w:r>
        <w:rPr>
          <w:spacing w:val="-1"/>
        </w:rPr>
        <w:t>specific</w:t>
      </w:r>
      <w:r>
        <w:rPr>
          <w:spacing w:val="2"/>
        </w:rPr>
        <w:t xml:space="preserve"> </w:t>
      </w:r>
      <w:r>
        <w:rPr>
          <w:spacing w:val="-1"/>
        </w:rPr>
        <w:t>policy</w:t>
      </w:r>
      <w:r>
        <w:rPr>
          <w:spacing w:val="-2"/>
        </w:rPr>
        <w:t xml:space="preserve"> </w:t>
      </w:r>
      <w:r>
        <w:t>objectives</w:t>
      </w:r>
      <w:r>
        <w:rPr>
          <w:spacing w:val="1"/>
        </w:rPr>
        <w:t xml:space="preserve"> </w:t>
      </w:r>
      <w:r>
        <w:rPr>
          <w:spacing w:val="-1"/>
        </w:rPr>
        <w:t>of</w:t>
      </w:r>
      <w:r>
        <w:t xml:space="preserve"> the</w:t>
      </w:r>
      <w:r>
        <w:rPr>
          <w:spacing w:val="55"/>
        </w:rPr>
        <w:t xml:space="preserve"> </w:t>
      </w:r>
      <w:r>
        <w:rPr>
          <w:spacing w:val="-1"/>
        </w:rPr>
        <w:t>Radio</w:t>
      </w:r>
      <w:r>
        <w:rPr>
          <w:spacing w:val="30"/>
        </w:rPr>
        <w:t xml:space="preserve"> </w:t>
      </w:r>
      <w:r>
        <w:rPr>
          <w:spacing w:val="-1"/>
        </w:rPr>
        <w:t>Spectrum</w:t>
      </w:r>
      <w:r>
        <w:rPr>
          <w:spacing w:val="28"/>
        </w:rPr>
        <w:t xml:space="preserve"> </w:t>
      </w:r>
      <w:r>
        <w:rPr>
          <w:spacing w:val="-1"/>
        </w:rPr>
        <w:t>Policy</w:t>
      </w:r>
      <w:r>
        <w:rPr>
          <w:spacing w:val="30"/>
        </w:rPr>
        <w:t xml:space="preserve"> </w:t>
      </w:r>
      <w:r>
        <w:rPr>
          <w:spacing w:val="-1"/>
        </w:rPr>
        <w:t>Programme</w:t>
      </w:r>
      <w:r>
        <w:rPr>
          <w:spacing w:val="31"/>
        </w:rPr>
        <w:t xml:space="preserve"> </w:t>
      </w:r>
      <w:r>
        <w:rPr>
          <w:spacing w:val="-1"/>
        </w:rPr>
        <w:t>(RSPP)</w:t>
      </w:r>
      <w:r>
        <w:rPr>
          <w:spacing w:val="31"/>
        </w:rPr>
        <w:t xml:space="preserve"> </w:t>
      </w:r>
      <w:r>
        <w:t>such</w:t>
      </w:r>
      <w:r>
        <w:rPr>
          <w:spacing w:val="30"/>
        </w:rPr>
        <w:t xml:space="preserve"> </w:t>
      </w:r>
      <w:r>
        <w:t>as</w:t>
      </w:r>
      <w:r>
        <w:rPr>
          <w:spacing w:val="30"/>
        </w:rPr>
        <w:t xml:space="preserve"> </w:t>
      </w:r>
      <w:r>
        <w:rPr>
          <w:spacing w:val="-1"/>
        </w:rPr>
        <w:t>effective</w:t>
      </w:r>
      <w:r>
        <w:rPr>
          <w:spacing w:val="30"/>
        </w:rPr>
        <w:t xml:space="preserve"> </w:t>
      </w:r>
      <w:r>
        <w:t>and</w:t>
      </w:r>
      <w:r>
        <w:rPr>
          <w:spacing w:val="31"/>
        </w:rPr>
        <w:t xml:space="preserve"> </w:t>
      </w:r>
      <w:r>
        <w:rPr>
          <w:spacing w:val="-1"/>
        </w:rPr>
        <w:t>efficient</w:t>
      </w:r>
      <w:r>
        <w:rPr>
          <w:spacing w:val="30"/>
        </w:rPr>
        <w:t xml:space="preserve"> </w:t>
      </w:r>
      <w:r>
        <w:rPr>
          <w:spacing w:val="-1"/>
        </w:rPr>
        <w:t>spectrum</w:t>
      </w:r>
      <w:r>
        <w:rPr>
          <w:spacing w:val="27"/>
        </w:rPr>
        <w:t xml:space="preserve"> </w:t>
      </w:r>
      <w:r>
        <w:t>use</w:t>
      </w:r>
      <w:r>
        <w:rPr>
          <w:spacing w:val="91"/>
        </w:rPr>
        <w:t xml:space="preserve"> </w:t>
      </w:r>
      <w:r>
        <w:t>and</w:t>
      </w:r>
      <w:r>
        <w:rPr>
          <w:spacing w:val="13"/>
        </w:rPr>
        <w:t xml:space="preserve"> </w:t>
      </w:r>
      <w:r>
        <w:t>support</w:t>
      </w:r>
      <w:r>
        <w:rPr>
          <w:spacing w:val="12"/>
        </w:rPr>
        <w:t xml:space="preserve"> </w:t>
      </w:r>
      <w:r>
        <w:t>for</w:t>
      </w:r>
      <w:r>
        <w:rPr>
          <w:spacing w:val="13"/>
        </w:rPr>
        <w:t xml:space="preserve"> </w:t>
      </w:r>
      <w:r>
        <w:t>specific</w:t>
      </w:r>
      <w:r>
        <w:rPr>
          <w:spacing w:val="12"/>
        </w:rPr>
        <w:t xml:space="preserve"> </w:t>
      </w:r>
      <w:r>
        <w:t>Union</w:t>
      </w:r>
      <w:r>
        <w:rPr>
          <w:spacing w:val="12"/>
        </w:rPr>
        <w:t xml:space="preserve"> </w:t>
      </w:r>
      <w:r>
        <w:t>policies</w:t>
      </w:r>
      <w:r>
        <w:rPr>
          <w:spacing w:val="14"/>
        </w:rPr>
        <w:t xml:space="preserve"> </w:t>
      </w:r>
      <w:r>
        <w:t>take</w:t>
      </w:r>
      <w:r>
        <w:rPr>
          <w:spacing w:val="13"/>
        </w:rPr>
        <w:t xml:space="preserve"> </w:t>
      </w:r>
      <w:r>
        <w:rPr>
          <w:spacing w:val="-1"/>
        </w:rPr>
        <w:t>utmost</w:t>
      </w:r>
      <w:r>
        <w:rPr>
          <w:spacing w:val="13"/>
        </w:rPr>
        <w:t xml:space="preserve"> </w:t>
      </w:r>
      <w:r>
        <w:rPr>
          <w:spacing w:val="-1"/>
        </w:rPr>
        <w:t>account</w:t>
      </w:r>
      <w:r>
        <w:rPr>
          <w:spacing w:val="13"/>
        </w:rPr>
        <w:t xml:space="preserve"> </w:t>
      </w:r>
      <w:r>
        <w:t>of</w:t>
      </w:r>
      <w:r>
        <w:rPr>
          <w:spacing w:val="13"/>
        </w:rPr>
        <w:t xml:space="preserve"> </w:t>
      </w:r>
      <w:r>
        <w:t>the</w:t>
      </w:r>
      <w:r>
        <w:rPr>
          <w:spacing w:val="14"/>
        </w:rPr>
        <w:t xml:space="preserve"> </w:t>
      </w:r>
      <w:r>
        <w:t>applicable</w:t>
      </w:r>
      <w:r>
        <w:rPr>
          <w:spacing w:val="13"/>
        </w:rPr>
        <w:t xml:space="preserve"> </w:t>
      </w:r>
      <w:r>
        <w:t>EU</w:t>
      </w:r>
      <w:r>
        <w:rPr>
          <w:spacing w:val="12"/>
        </w:rPr>
        <w:t xml:space="preserve"> </w:t>
      </w:r>
      <w:r>
        <w:t>law</w:t>
      </w:r>
      <w:r>
        <w:rPr>
          <w:spacing w:val="12"/>
        </w:rPr>
        <w:t xml:space="preserve"> </w:t>
      </w:r>
      <w:r>
        <w:t>and</w:t>
      </w:r>
      <w:r>
        <w:rPr>
          <w:spacing w:val="29"/>
        </w:rPr>
        <w:t xml:space="preserve"> </w:t>
      </w:r>
      <w:r>
        <w:t>support</w:t>
      </w:r>
      <w:r>
        <w:rPr>
          <w:spacing w:val="5"/>
        </w:rPr>
        <w:t xml:space="preserve"> </w:t>
      </w:r>
      <w:r>
        <w:t>the</w:t>
      </w:r>
      <w:r>
        <w:rPr>
          <w:spacing w:val="4"/>
        </w:rPr>
        <w:t xml:space="preserve"> </w:t>
      </w:r>
      <w:r>
        <w:rPr>
          <w:spacing w:val="-1"/>
        </w:rPr>
        <w:t>principles</w:t>
      </w:r>
      <w:r>
        <w:rPr>
          <w:spacing w:val="4"/>
        </w:rPr>
        <w:t xml:space="preserve"> </w:t>
      </w:r>
      <w:r>
        <w:t>of</w:t>
      </w:r>
      <w:r>
        <w:rPr>
          <w:spacing w:val="3"/>
        </w:rPr>
        <w:t xml:space="preserve"> </w:t>
      </w:r>
      <w:r>
        <w:t>service</w:t>
      </w:r>
      <w:r>
        <w:rPr>
          <w:spacing w:val="4"/>
        </w:rPr>
        <w:t xml:space="preserve"> </w:t>
      </w:r>
      <w:r>
        <w:t>and</w:t>
      </w:r>
      <w:r>
        <w:rPr>
          <w:spacing w:val="4"/>
        </w:rPr>
        <w:t xml:space="preserve"> </w:t>
      </w:r>
      <w:r>
        <w:t>technological</w:t>
      </w:r>
      <w:r>
        <w:rPr>
          <w:spacing w:val="5"/>
        </w:rPr>
        <w:t xml:space="preserve"> </w:t>
      </w:r>
      <w:r>
        <w:rPr>
          <w:spacing w:val="-1"/>
        </w:rPr>
        <w:t>neutrality,</w:t>
      </w:r>
      <w:r>
        <w:rPr>
          <w:spacing w:val="4"/>
        </w:rPr>
        <w:t xml:space="preserve"> </w:t>
      </w:r>
      <w:r>
        <w:rPr>
          <w:spacing w:val="-1"/>
        </w:rPr>
        <w:t>non-discrimination</w:t>
      </w:r>
      <w:r>
        <w:rPr>
          <w:spacing w:val="4"/>
        </w:rPr>
        <w:t xml:space="preserve"> </w:t>
      </w:r>
      <w:r>
        <w:t>and</w:t>
      </w:r>
      <w:r>
        <w:rPr>
          <w:spacing w:val="69"/>
        </w:rPr>
        <w:t xml:space="preserve"> </w:t>
      </w:r>
      <w:r>
        <w:t xml:space="preserve">proportionality </w:t>
      </w:r>
      <w:r>
        <w:rPr>
          <w:spacing w:val="-1"/>
        </w:rPr>
        <w:t>insofar</w:t>
      </w:r>
      <w:r>
        <w:t xml:space="preserve"> as </w:t>
      </w:r>
      <w:r>
        <w:rPr>
          <w:spacing w:val="-1"/>
        </w:rPr>
        <w:t>technically</w:t>
      </w:r>
      <w:r>
        <w:rPr>
          <w:spacing w:val="-2"/>
        </w:rPr>
        <w:t xml:space="preserve"> </w:t>
      </w:r>
      <w:r>
        <w:t>possible.</w:t>
      </w:r>
    </w:p>
    <w:p w14:paraId="0A7D7CEE" w14:textId="77777777" w:rsidR="00B52D8F" w:rsidRDefault="00B52D8F" w:rsidP="000A739F">
      <w:pPr>
        <w:spacing w:before="10" w:after="140"/>
        <w:rPr>
          <w:rFonts w:ascii="Times New Roman" w:hAnsi="Times New Roman"/>
          <w:szCs w:val="20"/>
        </w:rPr>
      </w:pPr>
    </w:p>
    <w:p w14:paraId="0A7D7CEF" w14:textId="77777777" w:rsidR="00B52D8F" w:rsidRDefault="00B52D8F" w:rsidP="000A739F">
      <w:pPr>
        <w:pStyle w:val="BodyText"/>
        <w:ind w:right="280"/>
      </w:pPr>
      <w:r>
        <w:rPr>
          <w:spacing w:val="-1"/>
        </w:rPr>
        <w:t>CEPT</w:t>
      </w:r>
      <w:r>
        <w:rPr>
          <w:spacing w:val="34"/>
        </w:rPr>
        <w:t xml:space="preserve"> </w:t>
      </w:r>
      <w:r>
        <w:t>should</w:t>
      </w:r>
      <w:r>
        <w:rPr>
          <w:spacing w:val="35"/>
        </w:rPr>
        <w:t xml:space="preserve"> </w:t>
      </w:r>
      <w:r>
        <w:rPr>
          <w:spacing w:val="-1"/>
        </w:rPr>
        <w:t>provide</w:t>
      </w:r>
      <w:r>
        <w:rPr>
          <w:spacing w:val="33"/>
        </w:rPr>
        <w:t xml:space="preserve"> </w:t>
      </w:r>
      <w:r>
        <w:rPr>
          <w:spacing w:val="-1"/>
        </w:rPr>
        <w:t>deliverables</w:t>
      </w:r>
      <w:r>
        <w:rPr>
          <w:spacing w:val="37"/>
        </w:rPr>
        <w:t xml:space="preserve"> </w:t>
      </w:r>
      <w:r>
        <w:t>under</w:t>
      </w:r>
      <w:r>
        <w:rPr>
          <w:spacing w:val="35"/>
        </w:rPr>
        <w:t xml:space="preserve"> </w:t>
      </w:r>
      <w:r>
        <w:rPr>
          <w:spacing w:val="-1"/>
        </w:rPr>
        <w:t>this</w:t>
      </w:r>
      <w:r>
        <w:rPr>
          <w:spacing w:val="34"/>
        </w:rPr>
        <w:t xml:space="preserve"> </w:t>
      </w:r>
      <w:r>
        <w:t>Mandate</w:t>
      </w:r>
      <w:r>
        <w:rPr>
          <w:spacing w:val="34"/>
        </w:rPr>
        <w:t xml:space="preserve"> </w:t>
      </w:r>
      <w:r>
        <w:rPr>
          <w:spacing w:val="-1"/>
        </w:rPr>
        <w:t>according</w:t>
      </w:r>
      <w:r>
        <w:rPr>
          <w:spacing w:val="33"/>
        </w:rPr>
        <w:t xml:space="preserve"> </w:t>
      </w:r>
      <w:r>
        <w:t>to</w:t>
      </w:r>
      <w:r>
        <w:rPr>
          <w:spacing w:val="35"/>
        </w:rPr>
        <w:t xml:space="preserve"> </w:t>
      </w:r>
      <w:r>
        <w:t>the</w:t>
      </w:r>
      <w:r>
        <w:rPr>
          <w:spacing w:val="35"/>
        </w:rPr>
        <w:t xml:space="preserve"> </w:t>
      </w:r>
      <w:r>
        <w:rPr>
          <w:spacing w:val="-1"/>
        </w:rPr>
        <w:t>following</w:t>
      </w:r>
      <w:r>
        <w:rPr>
          <w:spacing w:val="75"/>
        </w:rPr>
        <w:t xml:space="preserve"> </w:t>
      </w:r>
      <w:r>
        <w:t>schedule:</w:t>
      </w:r>
    </w:p>
    <w:tbl>
      <w:tblPr>
        <w:tblW w:w="8761" w:type="dxa"/>
        <w:jc w:val="center"/>
        <w:tblLayout w:type="fixed"/>
        <w:tblCellMar>
          <w:left w:w="0" w:type="dxa"/>
          <w:right w:w="0" w:type="dxa"/>
        </w:tblCellMar>
        <w:tblLook w:val="01E0" w:firstRow="1" w:lastRow="1" w:firstColumn="1" w:lastColumn="1" w:noHBand="0" w:noVBand="0"/>
      </w:tblPr>
      <w:tblGrid>
        <w:gridCol w:w="1985"/>
        <w:gridCol w:w="2693"/>
        <w:gridCol w:w="4083"/>
      </w:tblGrid>
      <w:tr w:rsidR="00B52D8F" w14:paraId="0A7D7CF3" w14:textId="77777777" w:rsidTr="000A739F">
        <w:trPr>
          <w:trHeight w:hRule="exact" w:val="527"/>
          <w:jc w:val="center"/>
        </w:trPr>
        <w:tc>
          <w:tcPr>
            <w:tcW w:w="1985" w:type="dxa"/>
            <w:tcBorders>
              <w:top w:val="single" w:sz="5" w:space="0" w:color="000000"/>
              <w:left w:val="single" w:sz="5" w:space="0" w:color="000000"/>
              <w:bottom w:val="single" w:sz="5" w:space="0" w:color="000000"/>
              <w:right w:val="single" w:sz="5" w:space="0" w:color="000000"/>
            </w:tcBorders>
          </w:tcPr>
          <w:p w14:paraId="0A7D7CF0" w14:textId="77777777" w:rsidR="00B52D8F" w:rsidRDefault="00B52D8F" w:rsidP="00CB1431">
            <w:pPr>
              <w:pStyle w:val="TableParagraph"/>
              <w:spacing w:before="119"/>
              <w:ind w:left="305"/>
              <w:rPr>
                <w:rFonts w:ascii="Times New Roman" w:eastAsia="Times New Roman" w:hAnsi="Times New Roman" w:cs="Times New Roman"/>
                <w:sz w:val="24"/>
                <w:szCs w:val="24"/>
              </w:rPr>
            </w:pPr>
            <w:r>
              <w:rPr>
                <w:rFonts w:ascii="Times New Roman"/>
                <w:b/>
                <w:sz w:val="24"/>
              </w:rPr>
              <w:t xml:space="preserve">Delivery </w:t>
            </w:r>
            <w:r>
              <w:rPr>
                <w:rFonts w:ascii="Times New Roman"/>
                <w:b/>
                <w:spacing w:val="-1"/>
                <w:sz w:val="24"/>
              </w:rPr>
              <w:t>date</w:t>
            </w:r>
          </w:p>
        </w:tc>
        <w:tc>
          <w:tcPr>
            <w:tcW w:w="2693" w:type="dxa"/>
            <w:tcBorders>
              <w:top w:val="single" w:sz="5" w:space="0" w:color="000000"/>
              <w:left w:val="single" w:sz="5" w:space="0" w:color="000000"/>
              <w:bottom w:val="single" w:sz="5" w:space="0" w:color="000000"/>
              <w:right w:val="single" w:sz="5" w:space="0" w:color="000000"/>
            </w:tcBorders>
          </w:tcPr>
          <w:p w14:paraId="0A7D7CF1" w14:textId="77777777" w:rsidR="00B52D8F" w:rsidRDefault="00B52D8F" w:rsidP="00CB1431">
            <w:pPr>
              <w:pStyle w:val="TableParagraph"/>
              <w:spacing w:before="119"/>
              <w:ind w:left="755"/>
              <w:rPr>
                <w:rFonts w:ascii="Times New Roman" w:eastAsia="Times New Roman" w:hAnsi="Times New Roman" w:cs="Times New Roman"/>
                <w:sz w:val="24"/>
                <w:szCs w:val="24"/>
              </w:rPr>
            </w:pPr>
            <w:r>
              <w:rPr>
                <w:rFonts w:ascii="Times New Roman"/>
                <w:b/>
                <w:sz w:val="24"/>
              </w:rPr>
              <w:t>Deliverable</w:t>
            </w:r>
          </w:p>
        </w:tc>
        <w:tc>
          <w:tcPr>
            <w:tcW w:w="4083" w:type="dxa"/>
            <w:tcBorders>
              <w:top w:val="single" w:sz="5" w:space="0" w:color="000000"/>
              <w:left w:val="single" w:sz="5" w:space="0" w:color="000000"/>
              <w:bottom w:val="single" w:sz="5" w:space="0" w:color="000000"/>
              <w:right w:val="single" w:sz="5" w:space="0" w:color="000000"/>
            </w:tcBorders>
          </w:tcPr>
          <w:p w14:paraId="0A7D7CF2" w14:textId="77777777" w:rsidR="00B52D8F" w:rsidRDefault="00B52D8F" w:rsidP="00CB1431">
            <w:pPr>
              <w:pStyle w:val="TableParagraph"/>
              <w:spacing w:before="119"/>
              <w:jc w:val="center"/>
              <w:rPr>
                <w:rFonts w:ascii="Times New Roman" w:eastAsia="Times New Roman" w:hAnsi="Times New Roman" w:cs="Times New Roman"/>
                <w:sz w:val="24"/>
                <w:szCs w:val="24"/>
              </w:rPr>
            </w:pPr>
            <w:r>
              <w:rPr>
                <w:rFonts w:ascii="Times New Roman"/>
                <w:b/>
                <w:spacing w:val="-1"/>
                <w:sz w:val="24"/>
              </w:rPr>
              <w:t>Subject</w:t>
            </w:r>
          </w:p>
        </w:tc>
      </w:tr>
      <w:tr w:rsidR="00B52D8F" w14:paraId="0A7D7CF7" w14:textId="77777777" w:rsidTr="000A739F">
        <w:trPr>
          <w:trHeight w:hRule="exact" w:val="802"/>
          <w:jc w:val="center"/>
        </w:trPr>
        <w:tc>
          <w:tcPr>
            <w:tcW w:w="1985" w:type="dxa"/>
            <w:tcBorders>
              <w:top w:val="single" w:sz="5" w:space="0" w:color="000000"/>
              <w:left w:val="single" w:sz="5" w:space="0" w:color="000000"/>
              <w:bottom w:val="single" w:sz="5" w:space="0" w:color="000000"/>
              <w:right w:val="single" w:sz="5" w:space="0" w:color="000000"/>
            </w:tcBorders>
          </w:tcPr>
          <w:p w14:paraId="0A7D7CF4" w14:textId="77777777" w:rsidR="00B52D8F" w:rsidRDefault="00B52D8F" w:rsidP="00CB1431">
            <w:pPr>
              <w:pStyle w:val="TableParagraph"/>
              <w:spacing w:before="116"/>
              <w:ind w:left="65"/>
              <w:rPr>
                <w:rFonts w:ascii="Times New Roman" w:eastAsia="Times New Roman" w:hAnsi="Times New Roman" w:cs="Times New Roman"/>
                <w:sz w:val="24"/>
                <w:szCs w:val="24"/>
              </w:rPr>
            </w:pPr>
            <w:r>
              <w:rPr>
                <w:rFonts w:ascii="Times New Roman"/>
                <w:sz w:val="24"/>
              </w:rPr>
              <w:t>March 2018</w:t>
            </w:r>
          </w:p>
        </w:tc>
        <w:tc>
          <w:tcPr>
            <w:tcW w:w="2693" w:type="dxa"/>
            <w:tcBorders>
              <w:top w:val="single" w:sz="5" w:space="0" w:color="000000"/>
              <w:left w:val="single" w:sz="5" w:space="0" w:color="000000"/>
              <w:bottom w:val="single" w:sz="5" w:space="0" w:color="000000"/>
              <w:right w:val="single" w:sz="5" w:space="0" w:color="000000"/>
            </w:tcBorders>
          </w:tcPr>
          <w:p w14:paraId="0A7D7CF5" w14:textId="77777777" w:rsidR="00B52D8F" w:rsidRDefault="00B52D8F" w:rsidP="00CB1431">
            <w:pPr>
              <w:pStyle w:val="TableParagraph"/>
              <w:tabs>
                <w:tab w:val="left" w:pos="1133"/>
                <w:tab w:val="left" w:pos="2150"/>
              </w:tabs>
              <w:spacing w:before="116"/>
              <w:ind w:left="65" w:right="62"/>
              <w:rPr>
                <w:rFonts w:ascii="Times New Roman" w:eastAsia="Times New Roman" w:hAnsi="Times New Roman" w:cs="Times New Roman"/>
                <w:sz w:val="24"/>
                <w:szCs w:val="24"/>
              </w:rPr>
            </w:pPr>
            <w:r>
              <w:rPr>
                <w:rFonts w:ascii="Times New Roman"/>
                <w:sz w:val="24"/>
              </w:rPr>
              <w:t>Interim</w:t>
            </w:r>
            <w:r>
              <w:rPr>
                <w:rFonts w:ascii="Times New Roman"/>
                <w:sz w:val="24"/>
              </w:rPr>
              <w:tab/>
              <w:t>Report</w:t>
            </w:r>
            <w:r>
              <w:rPr>
                <w:rFonts w:ascii="Times New Roman"/>
                <w:sz w:val="24"/>
              </w:rPr>
              <w:tab/>
            </w:r>
            <w:r>
              <w:rPr>
                <w:rFonts w:ascii="Times New Roman"/>
                <w:spacing w:val="-1"/>
                <w:sz w:val="24"/>
              </w:rPr>
              <w:t>from</w:t>
            </w:r>
            <w:r>
              <w:rPr>
                <w:rFonts w:ascii="Times New Roman"/>
                <w:spacing w:val="22"/>
                <w:sz w:val="24"/>
              </w:rPr>
              <w:t xml:space="preserve"> </w:t>
            </w:r>
            <w:r>
              <w:rPr>
                <w:rFonts w:ascii="Times New Roman"/>
                <w:spacing w:val="-1"/>
                <w:sz w:val="24"/>
              </w:rPr>
              <w:t>CEPT</w:t>
            </w:r>
            <w:r>
              <w:rPr>
                <w:rFonts w:ascii="Times New Roman"/>
                <w:sz w:val="24"/>
              </w:rPr>
              <w:t xml:space="preserve"> to the </w:t>
            </w:r>
            <w:r>
              <w:rPr>
                <w:rFonts w:ascii="Times New Roman"/>
                <w:spacing w:val="-1"/>
                <w:sz w:val="24"/>
              </w:rPr>
              <w:t>Commission</w:t>
            </w:r>
          </w:p>
        </w:tc>
        <w:tc>
          <w:tcPr>
            <w:tcW w:w="4083" w:type="dxa"/>
            <w:tcBorders>
              <w:top w:val="single" w:sz="5" w:space="0" w:color="000000"/>
              <w:left w:val="single" w:sz="5" w:space="0" w:color="000000"/>
              <w:bottom w:val="single" w:sz="5" w:space="0" w:color="000000"/>
              <w:right w:val="single" w:sz="5" w:space="0" w:color="000000"/>
            </w:tcBorders>
          </w:tcPr>
          <w:p w14:paraId="0A7D7CF6" w14:textId="77777777" w:rsidR="00B52D8F" w:rsidRDefault="00B52D8F" w:rsidP="00CB1431">
            <w:pPr>
              <w:pStyle w:val="TableParagraph"/>
              <w:spacing w:before="116"/>
              <w:ind w:left="65" w:right="64"/>
              <w:rPr>
                <w:rFonts w:ascii="Times New Roman" w:eastAsia="Times New Roman" w:hAnsi="Times New Roman" w:cs="Times New Roman"/>
                <w:sz w:val="24"/>
                <w:szCs w:val="24"/>
              </w:rPr>
            </w:pPr>
            <w:proofErr w:type="gramStart"/>
            <w:r>
              <w:rPr>
                <w:rFonts w:ascii="Times New Roman"/>
                <w:sz w:val="24"/>
              </w:rPr>
              <w:t xml:space="preserve">Description </w:t>
            </w:r>
            <w:r>
              <w:rPr>
                <w:rFonts w:ascii="Times New Roman"/>
                <w:spacing w:val="57"/>
                <w:sz w:val="24"/>
              </w:rPr>
              <w:t xml:space="preserve"> </w:t>
            </w:r>
            <w:r>
              <w:rPr>
                <w:rFonts w:ascii="Times New Roman"/>
                <w:sz w:val="24"/>
              </w:rPr>
              <w:t>of</w:t>
            </w:r>
            <w:proofErr w:type="gramEnd"/>
            <w:r>
              <w:rPr>
                <w:rFonts w:ascii="Times New Roman"/>
                <w:sz w:val="24"/>
              </w:rPr>
              <w:t xml:space="preserve"> </w:t>
            </w:r>
            <w:r>
              <w:rPr>
                <w:rFonts w:ascii="Times New Roman"/>
                <w:spacing w:val="59"/>
                <w:sz w:val="24"/>
              </w:rPr>
              <w:t xml:space="preserve"> </w:t>
            </w:r>
            <w:r>
              <w:rPr>
                <w:rFonts w:ascii="Times New Roman"/>
                <w:sz w:val="24"/>
              </w:rPr>
              <w:t xml:space="preserve">work </w:t>
            </w:r>
            <w:r>
              <w:rPr>
                <w:rFonts w:ascii="Times New Roman"/>
                <w:spacing w:val="58"/>
                <w:sz w:val="24"/>
              </w:rPr>
              <w:t xml:space="preserve"> </w:t>
            </w:r>
            <w:r>
              <w:rPr>
                <w:rFonts w:ascii="Times New Roman"/>
                <w:spacing w:val="-1"/>
                <w:sz w:val="24"/>
              </w:rPr>
              <w:t>undertaken</w:t>
            </w:r>
            <w:r>
              <w:rPr>
                <w:rFonts w:ascii="Times New Roman"/>
                <w:sz w:val="24"/>
              </w:rPr>
              <w:t xml:space="preserve"> </w:t>
            </w:r>
            <w:r>
              <w:rPr>
                <w:rFonts w:ascii="Times New Roman"/>
                <w:spacing w:val="58"/>
                <w:sz w:val="24"/>
              </w:rPr>
              <w:t xml:space="preserve"> </w:t>
            </w:r>
            <w:r>
              <w:rPr>
                <w:rFonts w:ascii="Times New Roman"/>
                <w:sz w:val="24"/>
              </w:rPr>
              <w:t>and</w:t>
            </w:r>
            <w:r>
              <w:rPr>
                <w:rFonts w:ascii="Times New Roman"/>
                <w:spacing w:val="29"/>
                <w:sz w:val="24"/>
              </w:rPr>
              <w:t xml:space="preserve"> </w:t>
            </w:r>
            <w:r>
              <w:rPr>
                <w:rFonts w:ascii="Times New Roman"/>
                <w:spacing w:val="-1"/>
                <w:sz w:val="24"/>
              </w:rPr>
              <w:t>interim</w:t>
            </w:r>
            <w:r>
              <w:rPr>
                <w:rFonts w:ascii="Times New Roman"/>
                <w:spacing w:val="-2"/>
                <w:sz w:val="24"/>
              </w:rPr>
              <w:t xml:space="preserve"> </w:t>
            </w:r>
            <w:r>
              <w:rPr>
                <w:rFonts w:ascii="Times New Roman"/>
                <w:sz w:val="24"/>
              </w:rPr>
              <w:t>results.</w:t>
            </w:r>
          </w:p>
        </w:tc>
      </w:tr>
      <w:tr w:rsidR="00B52D8F" w14:paraId="0A7D7CFB" w14:textId="77777777" w:rsidTr="000A739F">
        <w:trPr>
          <w:trHeight w:hRule="exact" w:val="802"/>
          <w:jc w:val="center"/>
        </w:trPr>
        <w:tc>
          <w:tcPr>
            <w:tcW w:w="1985" w:type="dxa"/>
            <w:tcBorders>
              <w:top w:val="single" w:sz="5" w:space="0" w:color="000000"/>
              <w:left w:val="single" w:sz="5" w:space="0" w:color="000000"/>
              <w:bottom w:val="single" w:sz="5" w:space="0" w:color="000000"/>
              <w:right w:val="single" w:sz="5" w:space="0" w:color="000000"/>
            </w:tcBorders>
          </w:tcPr>
          <w:p w14:paraId="0A7D7CF8" w14:textId="77777777" w:rsidR="00B52D8F" w:rsidRDefault="00B52D8F" w:rsidP="00CB1431">
            <w:pPr>
              <w:pStyle w:val="TableParagraph"/>
              <w:spacing w:before="115"/>
              <w:ind w:left="65"/>
              <w:rPr>
                <w:rFonts w:ascii="Times New Roman" w:eastAsia="Times New Roman" w:hAnsi="Times New Roman" w:cs="Times New Roman"/>
                <w:sz w:val="24"/>
                <w:szCs w:val="24"/>
              </w:rPr>
            </w:pPr>
            <w:r>
              <w:rPr>
                <w:rFonts w:ascii="Times New Roman"/>
                <w:spacing w:val="-1"/>
                <w:sz w:val="24"/>
              </w:rPr>
              <w:t>November</w:t>
            </w:r>
            <w:r>
              <w:rPr>
                <w:rFonts w:ascii="Times New Roman"/>
                <w:sz w:val="24"/>
              </w:rPr>
              <w:t xml:space="preserve"> 2018</w:t>
            </w:r>
          </w:p>
        </w:tc>
        <w:tc>
          <w:tcPr>
            <w:tcW w:w="2693" w:type="dxa"/>
            <w:tcBorders>
              <w:top w:val="single" w:sz="5" w:space="0" w:color="000000"/>
              <w:left w:val="single" w:sz="5" w:space="0" w:color="000000"/>
              <w:bottom w:val="single" w:sz="5" w:space="0" w:color="000000"/>
              <w:right w:val="single" w:sz="5" w:space="0" w:color="000000"/>
            </w:tcBorders>
          </w:tcPr>
          <w:p w14:paraId="0A7D7CF9" w14:textId="77777777" w:rsidR="00B52D8F" w:rsidRDefault="00B52D8F" w:rsidP="00CB1431">
            <w:pPr>
              <w:pStyle w:val="TableParagraph"/>
              <w:spacing w:before="115"/>
              <w:ind w:left="65" w:right="61"/>
              <w:rPr>
                <w:rFonts w:ascii="Times New Roman" w:eastAsia="Times New Roman" w:hAnsi="Times New Roman" w:cs="Times New Roman"/>
                <w:sz w:val="24"/>
                <w:szCs w:val="24"/>
              </w:rPr>
            </w:pPr>
            <w:r>
              <w:rPr>
                <w:rFonts w:ascii="Times New Roman"/>
                <w:sz w:val="24"/>
              </w:rPr>
              <w:t>Draft</w:t>
            </w:r>
            <w:r>
              <w:rPr>
                <w:rFonts w:ascii="Times New Roman"/>
                <w:spacing w:val="52"/>
                <w:sz w:val="24"/>
              </w:rPr>
              <w:t xml:space="preserve"> </w:t>
            </w:r>
            <w:r>
              <w:rPr>
                <w:rFonts w:ascii="Times New Roman"/>
                <w:sz w:val="24"/>
              </w:rPr>
              <w:t>Report</w:t>
            </w:r>
            <w:r>
              <w:rPr>
                <w:rFonts w:ascii="Times New Roman"/>
                <w:spacing w:val="53"/>
                <w:sz w:val="24"/>
              </w:rPr>
              <w:t xml:space="preserve"> </w:t>
            </w:r>
            <w:r>
              <w:rPr>
                <w:rFonts w:ascii="Times New Roman"/>
                <w:sz w:val="24"/>
              </w:rPr>
              <w:t>from</w:t>
            </w:r>
            <w:r>
              <w:rPr>
                <w:rFonts w:ascii="Times New Roman"/>
                <w:spacing w:val="53"/>
                <w:sz w:val="24"/>
              </w:rPr>
              <w:t xml:space="preserve"> </w:t>
            </w:r>
            <w:r>
              <w:rPr>
                <w:rFonts w:ascii="Times New Roman"/>
                <w:sz w:val="24"/>
              </w:rPr>
              <w:t xml:space="preserve">CEPT to the </w:t>
            </w:r>
            <w:r>
              <w:rPr>
                <w:rFonts w:ascii="Times New Roman"/>
                <w:spacing w:val="-1"/>
                <w:sz w:val="24"/>
              </w:rPr>
              <w:t>Commission</w:t>
            </w:r>
          </w:p>
        </w:tc>
        <w:tc>
          <w:tcPr>
            <w:tcW w:w="4083" w:type="dxa"/>
            <w:tcBorders>
              <w:top w:val="single" w:sz="5" w:space="0" w:color="000000"/>
              <w:left w:val="single" w:sz="5" w:space="0" w:color="000000"/>
              <w:bottom w:val="single" w:sz="5" w:space="0" w:color="000000"/>
              <w:right w:val="single" w:sz="5" w:space="0" w:color="000000"/>
            </w:tcBorders>
          </w:tcPr>
          <w:p w14:paraId="0A7D7CFA" w14:textId="77777777" w:rsidR="00B52D8F" w:rsidRDefault="00B52D8F" w:rsidP="00CB1431">
            <w:pPr>
              <w:pStyle w:val="TableParagraph"/>
              <w:spacing w:before="115"/>
              <w:ind w:left="65" w:right="64"/>
              <w:rPr>
                <w:rFonts w:ascii="Times New Roman" w:eastAsia="Times New Roman" w:hAnsi="Times New Roman" w:cs="Times New Roman"/>
                <w:sz w:val="24"/>
                <w:szCs w:val="24"/>
              </w:rPr>
            </w:pPr>
            <w:proofErr w:type="gramStart"/>
            <w:r>
              <w:rPr>
                <w:rFonts w:ascii="Times New Roman"/>
                <w:sz w:val="24"/>
              </w:rPr>
              <w:t xml:space="preserve">Description </w:t>
            </w:r>
            <w:r>
              <w:rPr>
                <w:rFonts w:ascii="Times New Roman"/>
                <w:spacing w:val="57"/>
                <w:sz w:val="24"/>
              </w:rPr>
              <w:t xml:space="preserve"> </w:t>
            </w:r>
            <w:r>
              <w:rPr>
                <w:rFonts w:ascii="Times New Roman"/>
                <w:sz w:val="24"/>
              </w:rPr>
              <w:t>of</w:t>
            </w:r>
            <w:proofErr w:type="gramEnd"/>
            <w:r>
              <w:rPr>
                <w:rFonts w:ascii="Times New Roman"/>
                <w:sz w:val="24"/>
              </w:rPr>
              <w:t xml:space="preserve"> </w:t>
            </w:r>
            <w:r>
              <w:rPr>
                <w:rFonts w:ascii="Times New Roman"/>
                <w:spacing w:val="59"/>
                <w:sz w:val="24"/>
              </w:rPr>
              <w:t xml:space="preserve"> </w:t>
            </w:r>
            <w:r>
              <w:rPr>
                <w:rFonts w:ascii="Times New Roman"/>
                <w:sz w:val="24"/>
              </w:rPr>
              <w:t xml:space="preserve">work </w:t>
            </w:r>
            <w:r>
              <w:rPr>
                <w:rFonts w:ascii="Times New Roman"/>
                <w:spacing w:val="58"/>
                <w:sz w:val="24"/>
              </w:rPr>
              <w:t xml:space="preserve"> </w:t>
            </w:r>
            <w:r>
              <w:rPr>
                <w:rFonts w:ascii="Times New Roman"/>
                <w:spacing w:val="-1"/>
                <w:sz w:val="24"/>
              </w:rPr>
              <w:t>undertaken</w:t>
            </w:r>
            <w:r>
              <w:rPr>
                <w:rFonts w:ascii="Times New Roman"/>
                <w:sz w:val="24"/>
              </w:rPr>
              <w:t xml:space="preserve"> </w:t>
            </w:r>
            <w:r>
              <w:rPr>
                <w:rFonts w:ascii="Times New Roman"/>
                <w:spacing w:val="58"/>
                <w:sz w:val="24"/>
              </w:rPr>
              <w:t xml:space="preserve"> </w:t>
            </w:r>
            <w:r>
              <w:rPr>
                <w:rFonts w:ascii="Times New Roman"/>
                <w:sz w:val="24"/>
              </w:rPr>
              <w:t>and</w:t>
            </w:r>
            <w:r>
              <w:rPr>
                <w:rFonts w:ascii="Times New Roman"/>
                <w:spacing w:val="29"/>
                <w:sz w:val="24"/>
              </w:rPr>
              <w:t xml:space="preserve"> </w:t>
            </w:r>
            <w:r>
              <w:rPr>
                <w:rFonts w:ascii="Times New Roman"/>
                <w:sz w:val="24"/>
              </w:rPr>
              <w:t>provisional</w:t>
            </w:r>
            <w:r>
              <w:rPr>
                <w:rFonts w:ascii="Times New Roman"/>
                <w:spacing w:val="-1"/>
                <w:sz w:val="24"/>
              </w:rPr>
              <w:t xml:space="preserve"> </w:t>
            </w:r>
            <w:r>
              <w:rPr>
                <w:rFonts w:ascii="Times New Roman"/>
                <w:sz w:val="24"/>
              </w:rPr>
              <w:t>results.</w:t>
            </w:r>
          </w:p>
        </w:tc>
      </w:tr>
      <w:tr w:rsidR="00B52D8F" w14:paraId="0A7D7CFF" w14:textId="77777777" w:rsidTr="000A739F">
        <w:trPr>
          <w:trHeight w:hRule="exact" w:val="1355"/>
          <w:jc w:val="center"/>
        </w:trPr>
        <w:tc>
          <w:tcPr>
            <w:tcW w:w="1985" w:type="dxa"/>
            <w:tcBorders>
              <w:top w:val="single" w:sz="5" w:space="0" w:color="000000"/>
              <w:left w:val="single" w:sz="5" w:space="0" w:color="000000"/>
              <w:bottom w:val="single" w:sz="5" w:space="0" w:color="000000"/>
              <w:right w:val="single" w:sz="5" w:space="0" w:color="000000"/>
            </w:tcBorders>
          </w:tcPr>
          <w:p w14:paraId="0A7D7CFC" w14:textId="77777777" w:rsidR="00B52D8F" w:rsidRDefault="00B52D8F" w:rsidP="00CB1431">
            <w:pPr>
              <w:pStyle w:val="TableParagraph"/>
              <w:spacing w:before="117"/>
              <w:ind w:left="65"/>
              <w:rPr>
                <w:rFonts w:ascii="Times New Roman" w:eastAsia="Times New Roman" w:hAnsi="Times New Roman" w:cs="Times New Roman"/>
                <w:sz w:val="24"/>
                <w:szCs w:val="24"/>
              </w:rPr>
            </w:pPr>
            <w:r>
              <w:rPr>
                <w:rFonts w:ascii="Times New Roman"/>
                <w:sz w:val="24"/>
              </w:rPr>
              <w:t>March 2019</w:t>
            </w:r>
          </w:p>
        </w:tc>
        <w:tc>
          <w:tcPr>
            <w:tcW w:w="2693" w:type="dxa"/>
            <w:tcBorders>
              <w:top w:val="single" w:sz="5" w:space="0" w:color="000000"/>
              <w:left w:val="single" w:sz="5" w:space="0" w:color="000000"/>
              <w:bottom w:val="single" w:sz="5" w:space="0" w:color="000000"/>
              <w:right w:val="single" w:sz="5" w:space="0" w:color="000000"/>
            </w:tcBorders>
          </w:tcPr>
          <w:p w14:paraId="0A7D7CFD" w14:textId="77777777" w:rsidR="00B52D8F" w:rsidRDefault="00B52D8F" w:rsidP="00CB1431">
            <w:pPr>
              <w:pStyle w:val="TableParagraph"/>
              <w:spacing w:before="117"/>
              <w:ind w:left="65" w:right="62"/>
              <w:jc w:val="both"/>
              <w:rPr>
                <w:rFonts w:ascii="Times New Roman" w:eastAsia="Times New Roman" w:hAnsi="Times New Roman" w:cs="Times New Roman"/>
                <w:sz w:val="24"/>
                <w:szCs w:val="24"/>
              </w:rPr>
            </w:pPr>
            <w:r>
              <w:rPr>
                <w:rFonts w:ascii="Times New Roman"/>
                <w:sz w:val="24"/>
              </w:rPr>
              <w:t>Final</w:t>
            </w:r>
            <w:r>
              <w:rPr>
                <w:rFonts w:ascii="Times New Roman"/>
                <w:spacing w:val="58"/>
                <w:sz w:val="24"/>
              </w:rPr>
              <w:t xml:space="preserve"> </w:t>
            </w:r>
            <w:r>
              <w:rPr>
                <w:rFonts w:ascii="Times New Roman"/>
                <w:spacing w:val="-1"/>
                <w:sz w:val="24"/>
              </w:rPr>
              <w:t>Report</w:t>
            </w:r>
            <w:r>
              <w:rPr>
                <w:rFonts w:ascii="Times New Roman"/>
                <w:spacing w:val="57"/>
                <w:sz w:val="24"/>
              </w:rPr>
              <w:t xml:space="preserve"> </w:t>
            </w:r>
            <w:r>
              <w:rPr>
                <w:rFonts w:ascii="Times New Roman"/>
                <w:sz w:val="24"/>
              </w:rPr>
              <w:t>from</w:t>
            </w:r>
            <w:r>
              <w:rPr>
                <w:rFonts w:ascii="Times New Roman"/>
                <w:spacing w:val="56"/>
                <w:sz w:val="24"/>
              </w:rPr>
              <w:t xml:space="preserve"> </w:t>
            </w:r>
            <w:r>
              <w:rPr>
                <w:rFonts w:ascii="Times New Roman"/>
                <w:sz w:val="24"/>
              </w:rPr>
              <w:t>CEPT</w:t>
            </w:r>
            <w:r>
              <w:rPr>
                <w:rFonts w:ascii="Times New Roman"/>
                <w:spacing w:val="25"/>
                <w:sz w:val="24"/>
              </w:rPr>
              <w:t xml:space="preserve"> </w:t>
            </w:r>
            <w:r>
              <w:rPr>
                <w:rFonts w:ascii="Times New Roman"/>
                <w:sz w:val="24"/>
              </w:rPr>
              <w:t>to</w:t>
            </w:r>
            <w:r>
              <w:rPr>
                <w:rFonts w:ascii="Times New Roman"/>
                <w:spacing w:val="6"/>
                <w:sz w:val="24"/>
              </w:rPr>
              <w:t xml:space="preserve"> </w:t>
            </w:r>
            <w:r>
              <w:rPr>
                <w:rFonts w:ascii="Times New Roman"/>
                <w:sz w:val="24"/>
              </w:rPr>
              <w:t>the</w:t>
            </w:r>
            <w:r>
              <w:rPr>
                <w:rFonts w:ascii="Times New Roman"/>
                <w:spacing w:val="6"/>
                <w:sz w:val="24"/>
              </w:rPr>
              <w:t xml:space="preserve"> </w:t>
            </w:r>
            <w:r>
              <w:rPr>
                <w:rFonts w:ascii="Times New Roman"/>
                <w:spacing w:val="-1"/>
                <w:sz w:val="24"/>
              </w:rPr>
              <w:t>Commission,</w:t>
            </w:r>
            <w:r>
              <w:rPr>
                <w:rFonts w:ascii="Times New Roman"/>
                <w:spacing w:val="6"/>
                <w:sz w:val="24"/>
              </w:rPr>
              <w:t xml:space="preserve"> </w:t>
            </w:r>
            <w:r>
              <w:rPr>
                <w:rFonts w:ascii="Times New Roman"/>
                <w:sz w:val="24"/>
              </w:rPr>
              <w:t>taking</w:t>
            </w:r>
            <w:r>
              <w:rPr>
                <w:rFonts w:ascii="Times New Roman"/>
                <w:spacing w:val="28"/>
                <w:sz w:val="24"/>
              </w:rPr>
              <w:t xml:space="preserve"> </w:t>
            </w:r>
            <w:r>
              <w:rPr>
                <w:rFonts w:ascii="Times New Roman"/>
                <w:sz w:val="24"/>
              </w:rPr>
              <w:t>into</w:t>
            </w:r>
            <w:r>
              <w:rPr>
                <w:rFonts w:ascii="Times New Roman"/>
                <w:spacing w:val="44"/>
                <w:sz w:val="24"/>
              </w:rPr>
              <w:t xml:space="preserve"> </w:t>
            </w:r>
            <w:r>
              <w:rPr>
                <w:rFonts w:ascii="Times New Roman"/>
                <w:spacing w:val="-1"/>
                <w:sz w:val="24"/>
              </w:rPr>
              <w:t>account</w:t>
            </w:r>
            <w:r>
              <w:rPr>
                <w:rFonts w:ascii="Times New Roman"/>
                <w:spacing w:val="43"/>
                <w:sz w:val="24"/>
              </w:rPr>
              <w:t xml:space="preserve"> </w:t>
            </w:r>
            <w:r>
              <w:rPr>
                <w:rFonts w:ascii="Times New Roman"/>
                <w:sz w:val="24"/>
              </w:rPr>
              <w:t>the</w:t>
            </w:r>
            <w:r>
              <w:rPr>
                <w:rFonts w:ascii="Times New Roman"/>
                <w:spacing w:val="44"/>
                <w:sz w:val="24"/>
              </w:rPr>
              <w:t xml:space="preserve"> </w:t>
            </w:r>
            <w:r>
              <w:rPr>
                <w:rFonts w:ascii="Times New Roman"/>
                <w:spacing w:val="-1"/>
                <w:sz w:val="24"/>
              </w:rPr>
              <w:t>outcome</w:t>
            </w:r>
            <w:r>
              <w:rPr>
                <w:rFonts w:ascii="Times New Roman"/>
                <w:spacing w:val="23"/>
                <w:sz w:val="24"/>
              </w:rPr>
              <w:t xml:space="preserve"> </w:t>
            </w:r>
            <w:r>
              <w:rPr>
                <w:rFonts w:ascii="Times New Roman"/>
                <w:sz w:val="24"/>
              </w:rPr>
              <w:t>of</w:t>
            </w:r>
            <w:r>
              <w:rPr>
                <w:rFonts w:ascii="Times New Roman"/>
                <w:spacing w:val="-1"/>
                <w:sz w:val="24"/>
              </w:rPr>
              <w:t xml:space="preserve"> </w:t>
            </w:r>
            <w:r>
              <w:rPr>
                <w:rFonts w:ascii="Times New Roman"/>
                <w:sz w:val="24"/>
              </w:rPr>
              <w:t>the public</w:t>
            </w:r>
            <w:r>
              <w:rPr>
                <w:rFonts w:ascii="Times New Roman"/>
                <w:spacing w:val="-1"/>
                <w:sz w:val="24"/>
              </w:rPr>
              <w:t xml:space="preserve"> consultation.</w:t>
            </w:r>
          </w:p>
        </w:tc>
        <w:tc>
          <w:tcPr>
            <w:tcW w:w="4083" w:type="dxa"/>
            <w:tcBorders>
              <w:top w:val="single" w:sz="5" w:space="0" w:color="000000"/>
              <w:left w:val="single" w:sz="5" w:space="0" w:color="000000"/>
              <w:bottom w:val="single" w:sz="5" w:space="0" w:color="000000"/>
              <w:right w:val="single" w:sz="5" w:space="0" w:color="000000"/>
            </w:tcBorders>
          </w:tcPr>
          <w:p w14:paraId="0A7D7CFE" w14:textId="77777777" w:rsidR="00B52D8F" w:rsidRDefault="00B52D8F" w:rsidP="00CB1431">
            <w:pPr>
              <w:pStyle w:val="TableParagraph"/>
              <w:spacing w:before="117"/>
              <w:ind w:left="65" w:right="64"/>
              <w:rPr>
                <w:rFonts w:ascii="Times New Roman" w:eastAsia="Times New Roman" w:hAnsi="Times New Roman" w:cs="Times New Roman"/>
                <w:sz w:val="24"/>
                <w:szCs w:val="24"/>
              </w:rPr>
            </w:pPr>
            <w:proofErr w:type="gramStart"/>
            <w:r>
              <w:rPr>
                <w:rFonts w:ascii="Times New Roman"/>
                <w:sz w:val="24"/>
              </w:rPr>
              <w:t xml:space="preserve">Description </w:t>
            </w:r>
            <w:r>
              <w:rPr>
                <w:rFonts w:ascii="Times New Roman"/>
                <w:spacing w:val="57"/>
                <w:sz w:val="24"/>
              </w:rPr>
              <w:t xml:space="preserve"> </w:t>
            </w:r>
            <w:r>
              <w:rPr>
                <w:rFonts w:ascii="Times New Roman"/>
                <w:sz w:val="24"/>
              </w:rPr>
              <w:t>of</w:t>
            </w:r>
            <w:proofErr w:type="gramEnd"/>
            <w:r>
              <w:rPr>
                <w:rFonts w:ascii="Times New Roman"/>
                <w:sz w:val="24"/>
              </w:rPr>
              <w:t xml:space="preserve"> </w:t>
            </w:r>
            <w:r>
              <w:rPr>
                <w:rFonts w:ascii="Times New Roman"/>
                <w:spacing w:val="59"/>
                <w:sz w:val="24"/>
              </w:rPr>
              <w:t xml:space="preserve"> </w:t>
            </w:r>
            <w:r>
              <w:rPr>
                <w:rFonts w:ascii="Times New Roman"/>
                <w:sz w:val="24"/>
              </w:rPr>
              <w:t xml:space="preserve">work </w:t>
            </w:r>
            <w:r>
              <w:rPr>
                <w:rFonts w:ascii="Times New Roman"/>
                <w:spacing w:val="58"/>
                <w:sz w:val="24"/>
              </w:rPr>
              <w:t xml:space="preserve"> </w:t>
            </w:r>
            <w:r>
              <w:rPr>
                <w:rFonts w:ascii="Times New Roman"/>
                <w:spacing w:val="-1"/>
                <w:sz w:val="24"/>
              </w:rPr>
              <w:t>undertaken</w:t>
            </w:r>
            <w:r>
              <w:rPr>
                <w:rFonts w:ascii="Times New Roman"/>
                <w:sz w:val="24"/>
              </w:rPr>
              <w:t xml:space="preserve"> </w:t>
            </w:r>
            <w:r>
              <w:rPr>
                <w:rFonts w:ascii="Times New Roman"/>
                <w:spacing w:val="58"/>
                <w:sz w:val="24"/>
              </w:rPr>
              <w:t xml:space="preserve"> </w:t>
            </w:r>
            <w:r>
              <w:rPr>
                <w:rFonts w:ascii="Times New Roman"/>
                <w:sz w:val="24"/>
              </w:rPr>
              <w:t>and</w:t>
            </w:r>
            <w:r>
              <w:rPr>
                <w:rFonts w:ascii="Times New Roman"/>
                <w:spacing w:val="29"/>
                <w:sz w:val="24"/>
              </w:rPr>
              <w:t xml:space="preserve"> </w:t>
            </w:r>
            <w:r>
              <w:rPr>
                <w:rFonts w:ascii="Times New Roman"/>
                <w:sz w:val="24"/>
              </w:rPr>
              <w:t>final results.</w:t>
            </w:r>
          </w:p>
        </w:tc>
      </w:tr>
    </w:tbl>
    <w:p w14:paraId="0A7D7D00" w14:textId="77777777" w:rsidR="00B52D8F" w:rsidRDefault="00B52D8F" w:rsidP="00B52D8F">
      <w:pPr>
        <w:spacing w:before="1"/>
        <w:rPr>
          <w:rFonts w:ascii="Times New Roman" w:hAnsi="Times New Roman"/>
          <w:sz w:val="17"/>
          <w:szCs w:val="17"/>
        </w:rPr>
      </w:pPr>
    </w:p>
    <w:p w14:paraId="0A7D7D01" w14:textId="77777777" w:rsidR="00B52D8F" w:rsidRDefault="00B52D8F" w:rsidP="000A739F">
      <w:pPr>
        <w:pStyle w:val="BodyText"/>
        <w:spacing w:before="69"/>
        <w:ind w:right="276"/>
      </w:pPr>
      <w:r>
        <w:rPr>
          <w:spacing w:val="-1"/>
        </w:rPr>
        <w:t>CEPT</w:t>
      </w:r>
      <w:r>
        <w:rPr>
          <w:spacing w:val="28"/>
        </w:rPr>
        <w:t xml:space="preserve"> </w:t>
      </w:r>
      <w:r>
        <w:t>is</w:t>
      </w:r>
      <w:r>
        <w:rPr>
          <w:spacing w:val="29"/>
        </w:rPr>
        <w:t xml:space="preserve"> </w:t>
      </w:r>
      <w:r>
        <w:t>requested</w:t>
      </w:r>
      <w:r>
        <w:rPr>
          <w:spacing w:val="28"/>
        </w:rPr>
        <w:t xml:space="preserve"> </w:t>
      </w:r>
      <w:r>
        <w:t>to</w:t>
      </w:r>
      <w:r>
        <w:rPr>
          <w:spacing w:val="29"/>
        </w:rPr>
        <w:t xml:space="preserve"> </w:t>
      </w:r>
      <w:r>
        <w:t>report</w:t>
      </w:r>
      <w:r>
        <w:rPr>
          <w:spacing w:val="29"/>
        </w:rPr>
        <w:t xml:space="preserve"> </w:t>
      </w:r>
      <w:r>
        <w:t>on</w:t>
      </w:r>
      <w:r>
        <w:rPr>
          <w:spacing w:val="28"/>
        </w:rPr>
        <w:t xml:space="preserve"> </w:t>
      </w:r>
      <w:r>
        <w:t>the</w:t>
      </w:r>
      <w:r>
        <w:rPr>
          <w:spacing w:val="28"/>
        </w:rPr>
        <w:t xml:space="preserve"> </w:t>
      </w:r>
      <w:r>
        <w:t>progress</w:t>
      </w:r>
      <w:r>
        <w:rPr>
          <w:spacing w:val="29"/>
        </w:rPr>
        <w:t xml:space="preserve"> </w:t>
      </w:r>
      <w:r>
        <w:t>of</w:t>
      </w:r>
      <w:r>
        <w:rPr>
          <w:spacing w:val="27"/>
        </w:rPr>
        <w:t xml:space="preserve"> </w:t>
      </w:r>
      <w:r>
        <w:t>its</w:t>
      </w:r>
      <w:r>
        <w:rPr>
          <w:spacing w:val="28"/>
        </w:rPr>
        <w:t xml:space="preserve"> </w:t>
      </w:r>
      <w:r>
        <w:t>work</w:t>
      </w:r>
      <w:r>
        <w:rPr>
          <w:spacing w:val="28"/>
        </w:rPr>
        <w:t xml:space="preserve"> </w:t>
      </w:r>
      <w:r>
        <w:t>pursuant</w:t>
      </w:r>
      <w:r>
        <w:rPr>
          <w:spacing w:val="29"/>
        </w:rPr>
        <w:t xml:space="preserve"> </w:t>
      </w:r>
      <w:r>
        <w:t>to</w:t>
      </w:r>
      <w:r>
        <w:rPr>
          <w:spacing w:val="29"/>
        </w:rPr>
        <w:t xml:space="preserve"> </w:t>
      </w:r>
      <w:r>
        <w:rPr>
          <w:spacing w:val="-1"/>
        </w:rPr>
        <w:t>this</w:t>
      </w:r>
      <w:r>
        <w:rPr>
          <w:spacing w:val="28"/>
        </w:rPr>
        <w:t xml:space="preserve"> </w:t>
      </w:r>
      <w:r>
        <w:t>Mandate</w:t>
      </w:r>
      <w:r>
        <w:rPr>
          <w:spacing w:val="29"/>
        </w:rPr>
        <w:t xml:space="preserve"> </w:t>
      </w:r>
      <w:r>
        <w:t>to</w:t>
      </w:r>
      <w:r>
        <w:rPr>
          <w:spacing w:val="27"/>
        </w:rPr>
        <w:t xml:space="preserve"> </w:t>
      </w:r>
      <w:r>
        <w:t>all</w:t>
      </w:r>
      <w:r>
        <w:rPr>
          <w:spacing w:val="27"/>
        </w:rPr>
        <w:t xml:space="preserve"> </w:t>
      </w:r>
      <w:r>
        <w:rPr>
          <w:spacing w:val="-1"/>
        </w:rPr>
        <w:t>meetings</w:t>
      </w:r>
      <w:r>
        <w:t xml:space="preserve"> of</w:t>
      </w:r>
      <w:r>
        <w:rPr>
          <w:spacing w:val="1"/>
        </w:rPr>
        <w:t xml:space="preserve"> </w:t>
      </w:r>
      <w:r>
        <w:t xml:space="preserve">the Radio </w:t>
      </w:r>
      <w:r>
        <w:rPr>
          <w:spacing w:val="-1"/>
        </w:rPr>
        <w:t>Spectrum</w:t>
      </w:r>
      <w:r>
        <w:rPr>
          <w:spacing w:val="-2"/>
        </w:rPr>
        <w:t xml:space="preserve"> </w:t>
      </w:r>
      <w:r>
        <w:rPr>
          <w:spacing w:val="-1"/>
        </w:rPr>
        <w:t>Committee</w:t>
      </w:r>
      <w:r>
        <w:t xml:space="preserve"> </w:t>
      </w:r>
      <w:r>
        <w:rPr>
          <w:spacing w:val="-1"/>
        </w:rPr>
        <w:t>taking</w:t>
      </w:r>
      <w:r>
        <w:t xml:space="preserve"> place </w:t>
      </w:r>
      <w:r>
        <w:rPr>
          <w:spacing w:val="-1"/>
        </w:rPr>
        <w:t>during</w:t>
      </w:r>
      <w:r>
        <w:t xml:space="preserve"> the </w:t>
      </w:r>
      <w:r>
        <w:rPr>
          <w:spacing w:val="-1"/>
        </w:rPr>
        <w:t>course</w:t>
      </w:r>
      <w:r>
        <w:t xml:space="preserve"> of</w:t>
      </w:r>
      <w:r>
        <w:rPr>
          <w:spacing w:val="-1"/>
        </w:rPr>
        <w:t xml:space="preserve"> </w:t>
      </w:r>
      <w:r>
        <w:t xml:space="preserve">the </w:t>
      </w:r>
      <w:r>
        <w:rPr>
          <w:spacing w:val="-1"/>
        </w:rPr>
        <w:t>Mandate.</w:t>
      </w:r>
    </w:p>
    <w:p w14:paraId="0A7D7D02" w14:textId="77777777" w:rsidR="000A739F" w:rsidRDefault="00B52D8F" w:rsidP="000A739F">
      <w:pPr>
        <w:pStyle w:val="BodyText"/>
        <w:spacing w:before="120"/>
        <w:ind w:right="276"/>
      </w:pPr>
      <w:r>
        <w:t>The</w:t>
      </w:r>
      <w:r>
        <w:rPr>
          <w:spacing w:val="24"/>
        </w:rPr>
        <w:t xml:space="preserve"> </w:t>
      </w:r>
      <w:r>
        <w:rPr>
          <w:spacing w:val="-1"/>
        </w:rPr>
        <w:t>Commission,</w:t>
      </w:r>
      <w:r>
        <w:rPr>
          <w:spacing w:val="24"/>
        </w:rPr>
        <w:t xml:space="preserve"> </w:t>
      </w:r>
      <w:r>
        <w:t>with</w:t>
      </w:r>
      <w:r>
        <w:rPr>
          <w:spacing w:val="24"/>
        </w:rPr>
        <w:t xml:space="preserve"> </w:t>
      </w:r>
      <w:r>
        <w:rPr>
          <w:spacing w:val="-1"/>
        </w:rPr>
        <w:t>the</w:t>
      </w:r>
      <w:r>
        <w:rPr>
          <w:spacing w:val="25"/>
        </w:rPr>
        <w:t xml:space="preserve"> </w:t>
      </w:r>
      <w:r>
        <w:rPr>
          <w:spacing w:val="-1"/>
        </w:rPr>
        <w:t>assistance</w:t>
      </w:r>
      <w:r>
        <w:rPr>
          <w:spacing w:val="25"/>
        </w:rPr>
        <w:t xml:space="preserve"> </w:t>
      </w:r>
      <w:r>
        <w:t>of</w:t>
      </w:r>
      <w:r>
        <w:rPr>
          <w:spacing w:val="24"/>
        </w:rPr>
        <w:t xml:space="preserve"> </w:t>
      </w:r>
      <w:r>
        <w:t>the</w:t>
      </w:r>
      <w:r>
        <w:rPr>
          <w:spacing w:val="25"/>
        </w:rPr>
        <w:t xml:space="preserve"> </w:t>
      </w:r>
      <w:r>
        <w:rPr>
          <w:spacing w:val="-1"/>
        </w:rPr>
        <w:t>Radio</w:t>
      </w:r>
      <w:r>
        <w:rPr>
          <w:spacing w:val="25"/>
        </w:rPr>
        <w:t xml:space="preserve"> </w:t>
      </w:r>
      <w:r>
        <w:rPr>
          <w:spacing w:val="-1"/>
        </w:rPr>
        <w:t>Spectrum</w:t>
      </w:r>
      <w:r>
        <w:rPr>
          <w:spacing w:val="24"/>
        </w:rPr>
        <w:t xml:space="preserve"> </w:t>
      </w:r>
      <w:r>
        <w:rPr>
          <w:spacing w:val="-1"/>
        </w:rPr>
        <w:t>Committee</w:t>
      </w:r>
      <w:r>
        <w:rPr>
          <w:spacing w:val="30"/>
        </w:rPr>
        <w:t xml:space="preserve"> </w:t>
      </w:r>
      <w:r>
        <w:t>and</w:t>
      </w:r>
      <w:r>
        <w:rPr>
          <w:spacing w:val="25"/>
        </w:rPr>
        <w:t xml:space="preserve"> </w:t>
      </w:r>
      <w:r>
        <w:rPr>
          <w:spacing w:val="-1"/>
        </w:rPr>
        <w:t>pursuant</w:t>
      </w:r>
      <w:r>
        <w:rPr>
          <w:spacing w:val="25"/>
        </w:rPr>
        <w:t xml:space="preserve"> </w:t>
      </w:r>
      <w:r>
        <w:t>to</w:t>
      </w:r>
      <w:r>
        <w:rPr>
          <w:spacing w:val="85"/>
        </w:rPr>
        <w:t xml:space="preserve"> </w:t>
      </w:r>
      <w:r>
        <w:t>the</w:t>
      </w:r>
      <w:r>
        <w:rPr>
          <w:spacing w:val="11"/>
        </w:rPr>
        <w:t xml:space="preserve"> </w:t>
      </w:r>
      <w:r>
        <w:t>Radio</w:t>
      </w:r>
      <w:r>
        <w:rPr>
          <w:spacing w:val="9"/>
        </w:rPr>
        <w:t xml:space="preserve"> </w:t>
      </w:r>
      <w:r>
        <w:rPr>
          <w:spacing w:val="-1"/>
        </w:rPr>
        <w:t>Spectrum</w:t>
      </w:r>
      <w:r>
        <w:rPr>
          <w:spacing w:val="9"/>
        </w:rPr>
        <w:t xml:space="preserve"> </w:t>
      </w:r>
      <w:r>
        <w:t>Decision,</w:t>
      </w:r>
      <w:r>
        <w:rPr>
          <w:spacing w:val="10"/>
        </w:rPr>
        <w:t xml:space="preserve"> </w:t>
      </w:r>
      <w:r>
        <w:rPr>
          <w:spacing w:val="-1"/>
        </w:rPr>
        <w:t>may</w:t>
      </w:r>
      <w:r>
        <w:rPr>
          <w:spacing w:val="10"/>
        </w:rPr>
        <w:t xml:space="preserve"> </w:t>
      </w:r>
      <w:r>
        <w:t>consider</w:t>
      </w:r>
      <w:r>
        <w:rPr>
          <w:spacing w:val="11"/>
        </w:rPr>
        <w:t xml:space="preserve"> </w:t>
      </w:r>
      <w:r>
        <w:rPr>
          <w:spacing w:val="-1"/>
        </w:rPr>
        <w:t>timely</w:t>
      </w:r>
      <w:r>
        <w:rPr>
          <w:spacing w:val="11"/>
        </w:rPr>
        <w:t xml:space="preserve"> </w:t>
      </w:r>
      <w:r>
        <w:rPr>
          <w:spacing w:val="-1"/>
        </w:rPr>
        <w:t>applying</w:t>
      </w:r>
      <w:r>
        <w:rPr>
          <w:spacing w:val="9"/>
        </w:rPr>
        <w:t xml:space="preserve"> </w:t>
      </w:r>
      <w:r>
        <w:t>the</w:t>
      </w:r>
      <w:r>
        <w:rPr>
          <w:spacing w:val="9"/>
        </w:rPr>
        <w:t xml:space="preserve"> </w:t>
      </w:r>
      <w:r>
        <w:rPr>
          <w:spacing w:val="-1"/>
        </w:rPr>
        <w:t>results</w:t>
      </w:r>
      <w:r>
        <w:rPr>
          <w:spacing w:val="8"/>
        </w:rPr>
        <w:t xml:space="preserve"> </w:t>
      </w:r>
      <w:r>
        <w:t>of</w:t>
      </w:r>
      <w:r>
        <w:rPr>
          <w:spacing w:val="9"/>
        </w:rPr>
        <w:t xml:space="preserve"> </w:t>
      </w:r>
      <w:r>
        <w:t>this</w:t>
      </w:r>
      <w:r>
        <w:rPr>
          <w:spacing w:val="10"/>
        </w:rPr>
        <w:t xml:space="preserve"> </w:t>
      </w:r>
      <w:r>
        <w:rPr>
          <w:spacing w:val="-1"/>
        </w:rPr>
        <w:t>mandate</w:t>
      </w:r>
      <w:r>
        <w:rPr>
          <w:spacing w:val="9"/>
        </w:rPr>
        <w:t xml:space="preserve"> </w:t>
      </w:r>
      <w:r>
        <w:t>in</w:t>
      </w:r>
      <w:r>
        <w:rPr>
          <w:spacing w:val="63"/>
        </w:rPr>
        <w:t xml:space="preserve"> </w:t>
      </w:r>
      <w:r>
        <w:t>the</w:t>
      </w:r>
      <w:r>
        <w:rPr>
          <w:spacing w:val="34"/>
        </w:rPr>
        <w:t xml:space="preserve"> </w:t>
      </w:r>
      <w:r>
        <w:rPr>
          <w:spacing w:val="-1"/>
        </w:rPr>
        <w:t>EU,</w:t>
      </w:r>
      <w:r>
        <w:rPr>
          <w:spacing w:val="33"/>
        </w:rPr>
        <w:t xml:space="preserve"> </w:t>
      </w:r>
      <w:r>
        <w:t>pursuant</w:t>
      </w:r>
      <w:r>
        <w:rPr>
          <w:spacing w:val="33"/>
        </w:rPr>
        <w:t xml:space="preserve"> </w:t>
      </w:r>
      <w:r>
        <w:t>to</w:t>
      </w:r>
      <w:r>
        <w:rPr>
          <w:spacing w:val="32"/>
        </w:rPr>
        <w:t xml:space="preserve"> </w:t>
      </w:r>
      <w:r>
        <w:rPr>
          <w:spacing w:val="-1"/>
        </w:rPr>
        <w:t>Article</w:t>
      </w:r>
      <w:r>
        <w:rPr>
          <w:spacing w:val="32"/>
        </w:rPr>
        <w:t xml:space="preserve"> </w:t>
      </w:r>
      <w:r>
        <w:t>4</w:t>
      </w:r>
      <w:r>
        <w:rPr>
          <w:spacing w:val="34"/>
        </w:rPr>
        <w:t xml:space="preserve"> </w:t>
      </w:r>
      <w:r>
        <w:t>of</w:t>
      </w:r>
      <w:r>
        <w:rPr>
          <w:spacing w:val="32"/>
        </w:rPr>
        <w:t xml:space="preserve"> </w:t>
      </w:r>
      <w:r>
        <w:rPr>
          <w:spacing w:val="-1"/>
        </w:rPr>
        <w:t>the</w:t>
      </w:r>
      <w:r>
        <w:rPr>
          <w:spacing w:val="33"/>
        </w:rPr>
        <w:t xml:space="preserve"> </w:t>
      </w:r>
      <w:r>
        <w:t>Radio</w:t>
      </w:r>
      <w:r>
        <w:rPr>
          <w:spacing w:val="33"/>
        </w:rPr>
        <w:t xml:space="preserve"> </w:t>
      </w:r>
      <w:r>
        <w:rPr>
          <w:spacing w:val="-1"/>
        </w:rPr>
        <w:t>Spectrum</w:t>
      </w:r>
      <w:r>
        <w:rPr>
          <w:spacing w:val="31"/>
        </w:rPr>
        <w:t xml:space="preserve"> </w:t>
      </w:r>
      <w:r>
        <w:t>Decision,</w:t>
      </w:r>
      <w:r>
        <w:rPr>
          <w:spacing w:val="33"/>
        </w:rPr>
        <w:t xml:space="preserve"> </w:t>
      </w:r>
      <w:r>
        <w:rPr>
          <w:spacing w:val="-1"/>
        </w:rPr>
        <w:t>taking</w:t>
      </w:r>
      <w:r>
        <w:rPr>
          <w:spacing w:val="33"/>
        </w:rPr>
        <w:t xml:space="preserve"> </w:t>
      </w:r>
      <w:r>
        <w:rPr>
          <w:spacing w:val="-1"/>
        </w:rPr>
        <w:t>into</w:t>
      </w:r>
      <w:r>
        <w:rPr>
          <w:spacing w:val="33"/>
        </w:rPr>
        <w:t xml:space="preserve"> </w:t>
      </w:r>
      <w:r>
        <w:rPr>
          <w:spacing w:val="-1"/>
        </w:rPr>
        <w:t>account</w:t>
      </w:r>
      <w:r>
        <w:rPr>
          <w:spacing w:val="32"/>
        </w:rPr>
        <w:t xml:space="preserve"> </w:t>
      </w:r>
      <w:r>
        <w:t>that</w:t>
      </w:r>
      <w:r>
        <w:rPr>
          <w:spacing w:val="59"/>
        </w:rPr>
        <w:t xml:space="preserve"> </w:t>
      </w:r>
      <w:r>
        <w:t>initial</w:t>
      </w:r>
      <w:r>
        <w:rPr>
          <w:spacing w:val="-1"/>
        </w:rPr>
        <w:t xml:space="preserve"> </w:t>
      </w:r>
      <w:r>
        <w:t xml:space="preserve">ITS </w:t>
      </w:r>
      <w:r>
        <w:rPr>
          <w:spacing w:val="-1"/>
        </w:rPr>
        <w:t>deployment</w:t>
      </w:r>
      <w:r>
        <w:t xml:space="preserve"> is foreseen for 2019.</w:t>
      </w:r>
    </w:p>
    <w:p w14:paraId="0A7D7D03" w14:textId="77777777" w:rsidR="008D3C32" w:rsidRDefault="00B52D8F" w:rsidP="000A739F">
      <w:pPr>
        <w:pStyle w:val="BodyText"/>
        <w:spacing w:before="120"/>
        <w:ind w:right="276"/>
        <w:rPr>
          <w:rFonts w:eastAsia="Calibri"/>
          <w:szCs w:val="22"/>
        </w:rPr>
      </w:pPr>
      <w:r>
        <w:rPr>
          <w:noProof/>
          <w:position w:val="-3"/>
          <w:lang w:val="da-DK" w:eastAsia="da-DK"/>
        </w:rPr>
        <w:drawing>
          <wp:inline distT="0" distB="0" distL="0" distR="0" wp14:anchorId="0A7D7D69" wp14:editId="0A7D7D6A">
            <wp:extent cx="165100" cy="114300"/>
            <wp:effectExtent l="0" t="0" r="0" b="0"/>
            <wp:docPr id="3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32" cstate="print"/>
                    <a:stretch>
                      <a:fillRect/>
                    </a:stretch>
                  </pic:blipFill>
                  <pic:spPr>
                    <a:xfrm>
                      <a:off x="0" y="0"/>
                      <a:ext cx="165100" cy="114300"/>
                    </a:xfrm>
                    <a:prstGeom prst="rect">
                      <a:avLst/>
                    </a:prstGeom>
                  </pic:spPr>
                </pic:pic>
              </a:graphicData>
            </a:graphic>
          </wp:inline>
        </w:drawing>
      </w:r>
      <w:r>
        <w:t xml:space="preserve">  </w:t>
      </w:r>
      <w:r>
        <w:rPr>
          <w:sz w:val="16"/>
        </w:rPr>
        <w:t>Electronically</w:t>
      </w:r>
      <w:r>
        <w:rPr>
          <w:spacing w:val="-7"/>
          <w:sz w:val="16"/>
        </w:rPr>
        <w:t xml:space="preserve"> </w:t>
      </w:r>
      <w:r>
        <w:rPr>
          <w:sz w:val="16"/>
        </w:rPr>
        <w:t>signed</w:t>
      </w:r>
      <w:r>
        <w:rPr>
          <w:spacing w:val="-7"/>
          <w:sz w:val="16"/>
        </w:rPr>
        <w:t xml:space="preserve"> </w:t>
      </w:r>
      <w:r>
        <w:rPr>
          <w:sz w:val="16"/>
        </w:rPr>
        <w:t>on</w:t>
      </w:r>
      <w:r>
        <w:rPr>
          <w:spacing w:val="-7"/>
          <w:sz w:val="16"/>
        </w:rPr>
        <w:t xml:space="preserve"> </w:t>
      </w:r>
      <w:r>
        <w:rPr>
          <w:sz w:val="16"/>
        </w:rPr>
        <w:t>26/10/2017</w:t>
      </w:r>
      <w:r>
        <w:rPr>
          <w:spacing w:val="-7"/>
          <w:sz w:val="16"/>
        </w:rPr>
        <w:t xml:space="preserve"> </w:t>
      </w:r>
      <w:r>
        <w:rPr>
          <w:sz w:val="16"/>
        </w:rPr>
        <w:t>17:21</w:t>
      </w:r>
      <w:r>
        <w:rPr>
          <w:spacing w:val="-7"/>
          <w:sz w:val="16"/>
        </w:rPr>
        <w:t xml:space="preserve"> </w:t>
      </w:r>
      <w:r>
        <w:rPr>
          <w:sz w:val="16"/>
        </w:rPr>
        <w:t>(UTC+02)</w:t>
      </w:r>
      <w:r>
        <w:rPr>
          <w:spacing w:val="-7"/>
          <w:sz w:val="16"/>
        </w:rPr>
        <w:t xml:space="preserve"> </w:t>
      </w:r>
      <w:r>
        <w:rPr>
          <w:sz w:val="16"/>
        </w:rPr>
        <w:t>in</w:t>
      </w:r>
      <w:r>
        <w:rPr>
          <w:spacing w:val="-7"/>
          <w:sz w:val="16"/>
        </w:rPr>
        <w:t xml:space="preserve"> </w:t>
      </w:r>
      <w:r>
        <w:rPr>
          <w:sz w:val="16"/>
        </w:rPr>
        <w:t>accordance</w:t>
      </w:r>
      <w:r>
        <w:rPr>
          <w:spacing w:val="-7"/>
          <w:sz w:val="16"/>
        </w:rPr>
        <w:t xml:space="preserve"> </w:t>
      </w:r>
      <w:r>
        <w:rPr>
          <w:sz w:val="16"/>
        </w:rPr>
        <w:t>with</w:t>
      </w:r>
      <w:r>
        <w:rPr>
          <w:spacing w:val="-7"/>
          <w:sz w:val="16"/>
        </w:rPr>
        <w:t xml:space="preserve"> </w:t>
      </w:r>
      <w:r>
        <w:rPr>
          <w:sz w:val="16"/>
        </w:rPr>
        <w:t>article</w:t>
      </w:r>
      <w:r>
        <w:rPr>
          <w:spacing w:val="-7"/>
          <w:sz w:val="16"/>
        </w:rPr>
        <w:t xml:space="preserve"> </w:t>
      </w:r>
      <w:r>
        <w:rPr>
          <w:sz w:val="16"/>
        </w:rPr>
        <w:t>4.2</w:t>
      </w:r>
      <w:r>
        <w:rPr>
          <w:spacing w:val="-7"/>
          <w:sz w:val="16"/>
        </w:rPr>
        <w:t xml:space="preserve"> </w:t>
      </w:r>
      <w:r>
        <w:rPr>
          <w:sz w:val="16"/>
        </w:rPr>
        <w:t>(Validity</w:t>
      </w:r>
      <w:r>
        <w:rPr>
          <w:spacing w:val="-7"/>
          <w:sz w:val="16"/>
        </w:rPr>
        <w:t xml:space="preserve"> </w:t>
      </w:r>
      <w:r>
        <w:rPr>
          <w:sz w:val="16"/>
        </w:rPr>
        <w:t>of</w:t>
      </w:r>
      <w:r>
        <w:rPr>
          <w:spacing w:val="-7"/>
          <w:sz w:val="16"/>
        </w:rPr>
        <w:t xml:space="preserve"> </w:t>
      </w:r>
      <w:r>
        <w:rPr>
          <w:sz w:val="16"/>
        </w:rPr>
        <w:t>electronic</w:t>
      </w:r>
      <w:r>
        <w:rPr>
          <w:spacing w:val="-7"/>
          <w:sz w:val="16"/>
        </w:rPr>
        <w:t xml:space="preserve"> </w:t>
      </w:r>
      <w:r>
        <w:rPr>
          <w:sz w:val="16"/>
        </w:rPr>
        <w:t>documents)</w:t>
      </w:r>
      <w:r>
        <w:rPr>
          <w:spacing w:val="-7"/>
          <w:sz w:val="16"/>
        </w:rPr>
        <w:t xml:space="preserve"> </w:t>
      </w:r>
      <w:r>
        <w:rPr>
          <w:sz w:val="16"/>
        </w:rPr>
        <w:t>of</w:t>
      </w:r>
      <w:r>
        <w:rPr>
          <w:spacing w:val="-7"/>
          <w:sz w:val="16"/>
        </w:rPr>
        <w:t xml:space="preserve"> </w:t>
      </w:r>
      <w:r>
        <w:rPr>
          <w:sz w:val="16"/>
        </w:rPr>
        <w:t>Commission</w:t>
      </w:r>
      <w:r>
        <w:rPr>
          <w:spacing w:val="-7"/>
          <w:sz w:val="16"/>
        </w:rPr>
        <w:t xml:space="preserve"> </w:t>
      </w:r>
      <w:r>
        <w:rPr>
          <w:sz w:val="16"/>
        </w:rPr>
        <w:t>Decision</w:t>
      </w:r>
      <w:r>
        <w:rPr>
          <w:spacing w:val="-7"/>
          <w:sz w:val="16"/>
        </w:rPr>
        <w:t xml:space="preserve"> </w:t>
      </w:r>
      <w:r>
        <w:rPr>
          <w:sz w:val="16"/>
        </w:rPr>
        <w:t>2004/563</w:t>
      </w:r>
    </w:p>
    <w:p w14:paraId="0A7D7D04" w14:textId="77777777" w:rsidR="00C12AB8" w:rsidRDefault="00155EB5">
      <w:pPr>
        <w:pStyle w:val="ECCAnnexheading1"/>
        <w:rPr>
          <w:szCs w:val="20"/>
        </w:rPr>
      </w:pPr>
      <w:bookmarkStart w:id="46" w:name="_Toc856050"/>
      <w:r>
        <w:lastRenderedPageBreak/>
        <w:t>List of refere</w:t>
      </w:r>
      <w:r>
        <w:rPr>
          <w:szCs w:val="20"/>
        </w:rPr>
        <w:t>nces</w:t>
      </w:r>
      <w:bookmarkEnd w:id="46"/>
    </w:p>
    <w:p w14:paraId="0A7D7D05" w14:textId="74235D82" w:rsidR="00C12AB8" w:rsidRDefault="00155EB5" w:rsidP="00E04D5A">
      <w:pPr>
        <w:pStyle w:val="reference"/>
        <w:numPr>
          <w:ilvl w:val="0"/>
          <w:numId w:val="31"/>
        </w:numPr>
        <w:spacing w:after="0"/>
        <w:rPr>
          <w:rFonts w:cs="Arial"/>
          <w:szCs w:val="20"/>
          <w:lang w:val="en-GB"/>
        </w:rPr>
      </w:pPr>
      <w:bookmarkStart w:id="47" w:name="_Ref524887904"/>
      <w:bookmarkStart w:id="48" w:name="_Ref856537"/>
      <w:bookmarkStart w:id="49" w:name="_Ref332961220"/>
      <w:bookmarkStart w:id="50" w:name="_Ref435695393"/>
      <w:r>
        <w:rPr>
          <w:rFonts w:cs="Arial"/>
          <w:szCs w:val="20"/>
          <w:lang w:val="en-GB"/>
        </w:rPr>
        <w:t xml:space="preserve">ECC Report 290: </w:t>
      </w:r>
      <w:r w:rsidR="0005124A">
        <w:rPr>
          <w:rFonts w:cs="Arial"/>
          <w:szCs w:val="20"/>
          <w:lang w:val="en-GB"/>
        </w:rPr>
        <w:t>“</w:t>
      </w:r>
      <w:r>
        <w:rPr>
          <w:rFonts w:cs="Arial"/>
          <w:szCs w:val="20"/>
          <w:lang w:val="en-GB"/>
        </w:rPr>
        <w:t>Studies to examine the applicability of ECC Reports 101 and 228 for various ITS technologies under EC Mandate (RSCOM 17-26Rev.3)</w:t>
      </w:r>
      <w:bookmarkEnd w:id="47"/>
      <w:r w:rsidR="0005124A">
        <w:rPr>
          <w:rFonts w:cs="Arial"/>
          <w:szCs w:val="20"/>
          <w:lang w:val="en-GB"/>
        </w:rPr>
        <w:t>”</w:t>
      </w:r>
      <w:bookmarkEnd w:id="48"/>
    </w:p>
    <w:p w14:paraId="0A7D7D06" w14:textId="0BC7288F" w:rsidR="00C12AB8" w:rsidRDefault="00155EB5" w:rsidP="00E04D5A">
      <w:pPr>
        <w:pStyle w:val="reference"/>
        <w:numPr>
          <w:ilvl w:val="0"/>
          <w:numId w:val="31"/>
        </w:numPr>
        <w:spacing w:after="0"/>
        <w:rPr>
          <w:rFonts w:cs="Arial"/>
          <w:szCs w:val="20"/>
          <w:lang w:val="en-GB"/>
        </w:rPr>
      </w:pPr>
      <w:bookmarkStart w:id="51" w:name="_Ref524888028"/>
      <w:r>
        <w:rPr>
          <w:rFonts w:cs="Arial"/>
          <w:szCs w:val="20"/>
          <w:lang w:val="en-GB"/>
        </w:rPr>
        <w:t>CEPT Report 70 in response to the EC Permanent Mandate on the ”Annual update of the technical annex of the Commission Decision on the technical harmonisation of radio spectrum for use by short range devices” – Seventh Update</w:t>
      </w:r>
      <w:bookmarkEnd w:id="49"/>
      <w:bookmarkEnd w:id="50"/>
      <w:bookmarkEnd w:id="51"/>
    </w:p>
    <w:p w14:paraId="0A7D7D07" w14:textId="77777777" w:rsidR="00C12AB8" w:rsidRDefault="00155EB5" w:rsidP="00E04D5A">
      <w:pPr>
        <w:pStyle w:val="reference"/>
        <w:numPr>
          <w:ilvl w:val="0"/>
          <w:numId w:val="31"/>
        </w:numPr>
        <w:spacing w:after="0"/>
        <w:rPr>
          <w:rFonts w:cs="Arial"/>
          <w:szCs w:val="20"/>
          <w:lang w:val="en-GB"/>
        </w:rPr>
      </w:pPr>
      <w:bookmarkStart w:id="52" w:name="_Ref524888315"/>
      <w:r>
        <w:rPr>
          <w:rFonts w:cs="Arial"/>
          <w:szCs w:val="20"/>
          <w:lang w:val="en-GB"/>
        </w:rPr>
        <w:t>Directive (EU) 2016/797 of the European Parliament and of the Council of 11 May 2016 on the interoperability of the rail system within the European Union</w:t>
      </w:r>
      <w:bookmarkEnd w:id="52"/>
    </w:p>
    <w:p w14:paraId="0A7D7D08" w14:textId="77777777" w:rsidR="00C12AB8" w:rsidRDefault="00155EB5" w:rsidP="00E04D5A">
      <w:pPr>
        <w:pStyle w:val="reference"/>
        <w:numPr>
          <w:ilvl w:val="0"/>
          <w:numId w:val="31"/>
        </w:numPr>
        <w:spacing w:after="0"/>
        <w:rPr>
          <w:rFonts w:cs="Arial"/>
          <w:szCs w:val="20"/>
          <w:lang w:val="en-GB"/>
        </w:rPr>
      </w:pPr>
      <w:bookmarkStart w:id="53" w:name="_Ref522094865"/>
      <w:r>
        <w:rPr>
          <w:rFonts w:cs="Arial"/>
          <w:szCs w:val="20"/>
          <w:lang w:val="en-GB"/>
        </w:rPr>
        <w:t>Canada: Radio Standards Specification RSS-252, issue 1, Intelligent Transportation Systems – Dedicated Short Range Communications (DSRC) – On-Board Unit (OBU), establishes the certification requirements for licence-exempt Dedicated Short Range Communication (DSRC) On-Board (OBU) devices. These devices operate in the 5850-5925 MHz frequency range</w:t>
      </w:r>
      <w:bookmarkEnd w:id="53"/>
    </w:p>
    <w:p w14:paraId="0A7D7D09" w14:textId="77777777" w:rsidR="00C12AB8" w:rsidRDefault="00155EB5" w:rsidP="00E04D5A">
      <w:pPr>
        <w:pStyle w:val="reference"/>
        <w:numPr>
          <w:ilvl w:val="0"/>
          <w:numId w:val="31"/>
        </w:numPr>
        <w:spacing w:after="0"/>
        <w:rPr>
          <w:rFonts w:cs="Arial"/>
          <w:szCs w:val="20"/>
          <w:lang w:val="en-GB"/>
        </w:rPr>
      </w:pPr>
      <w:bookmarkStart w:id="54" w:name="_Ref522095007"/>
      <w:r>
        <w:rPr>
          <w:rFonts w:cs="Arial"/>
          <w:szCs w:val="20"/>
          <w:lang w:val="en-GB"/>
        </w:rPr>
        <w:t>ARIB, “700 MHz Band Intelligent Transport Systems,” English, ARIB, STD T109-v1.2, Dec. 2013</w:t>
      </w:r>
      <w:bookmarkEnd w:id="54"/>
    </w:p>
    <w:p w14:paraId="0A7D7D0A" w14:textId="77777777" w:rsidR="00C12AB8" w:rsidRDefault="00155EB5" w:rsidP="00E04D5A">
      <w:pPr>
        <w:pStyle w:val="reference"/>
        <w:numPr>
          <w:ilvl w:val="0"/>
          <w:numId w:val="31"/>
        </w:numPr>
        <w:spacing w:after="0"/>
        <w:rPr>
          <w:rFonts w:cs="Arial"/>
          <w:szCs w:val="20"/>
          <w:lang w:val="en-GB"/>
        </w:rPr>
      </w:pPr>
      <w:bookmarkStart w:id="55" w:name="_Ref522095456"/>
      <w:r>
        <w:rPr>
          <w:rFonts w:cs="Arial"/>
          <w:szCs w:val="20"/>
          <w:lang w:val="en-GB"/>
        </w:rPr>
        <w:t>TTA standard TTAK.KO06.0216/R1</w:t>
      </w:r>
      <w:bookmarkEnd w:id="55"/>
    </w:p>
    <w:p w14:paraId="0A7D7D0B" w14:textId="726BB1D0" w:rsidR="00C12AB8" w:rsidRPr="002077EA" w:rsidRDefault="002077EA" w:rsidP="002077EA">
      <w:pPr>
        <w:pStyle w:val="reference"/>
        <w:numPr>
          <w:ilvl w:val="0"/>
          <w:numId w:val="31"/>
        </w:numPr>
        <w:spacing w:after="0"/>
        <w:rPr>
          <w:rStyle w:val="Hyperlink"/>
          <w:rFonts w:cs="Arial"/>
          <w:color w:val="auto"/>
          <w:szCs w:val="20"/>
          <w:u w:val="none"/>
          <w:lang w:val="en-GB"/>
        </w:rPr>
      </w:pPr>
      <w:r>
        <w:t xml:space="preserve">INFOCOMM </w:t>
      </w:r>
      <w:r w:rsidR="001A0C43">
        <w:t>media development authority</w:t>
      </w:r>
      <w:r>
        <w:t>: “D</w:t>
      </w:r>
      <w:r w:rsidR="001A0C43">
        <w:t>ecision issued by the info-communications media development authority regulatory framework and standards for intelligent transport systems (“its”) in the</w:t>
      </w:r>
      <w:r>
        <w:t xml:space="preserve"> 5.9 GHZ (5.875 – 5.925 GHZ) </w:t>
      </w:r>
      <w:r w:rsidR="001A0C43">
        <w:t>frequency band</w:t>
      </w:r>
      <w:r>
        <w:t>”, February 2017 (</w:t>
      </w:r>
      <w:hyperlink r:id="rId60" w:history="1">
        <w:r>
          <w:rPr>
            <w:rStyle w:val="Hyperlink"/>
            <w:rFonts w:cs="Arial"/>
            <w:szCs w:val="20"/>
            <w:lang w:val="en-GB"/>
          </w:rPr>
          <w:t>here</w:t>
        </w:r>
      </w:hyperlink>
      <w:r>
        <w:rPr>
          <w:rStyle w:val="Hyperlink"/>
          <w:rFonts w:cs="Arial"/>
          <w:szCs w:val="20"/>
          <w:lang w:val="en-GB"/>
        </w:rPr>
        <w:t>)</w:t>
      </w:r>
    </w:p>
    <w:p w14:paraId="0A7D7D0C" w14:textId="77777777" w:rsidR="00C12AB8" w:rsidRDefault="00155EB5" w:rsidP="00E04D5A">
      <w:pPr>
        <w:pStyle w:val="reference"/>
        <w:numPr>
          <w:ilvl w:val="0"/>
          <w:numId w:val="31"/>
        </w:numPr>
        <w:spacing w:after="0"/>
        <w:rPr>
          <w:rFonts w:cs="Arial"/>
          <w:szCs w:val="20"/>
          <w:lang w:val="en-GB"/>
        </w:rPr>
      </w:pPr>
      <w:bookmarkStart w:id="56" w:name="_Ref525115546"/>
      <w:r>
        <w:rPr>
          <w:rFonts w:cs="Arial"/>
          <w:szCs w:val="20"/>
          <w:lang w:val="en-GB"/>
        </w:rPr>
        <w:t>IEEE 802.11 is a set of media access control (MAC) and physical layer (PHY) specifications for implementing wireless local area network (WLAN) computer communication</w:t>
      </w:r>
      <w:bookmarkEnd w:id="56"/>
    </w:p>
    <w:p w14:paraId="0A7D7D0D" w14:textId="28917DC9" w:rsidR="00C12AB8" w:rsidRPr="00844CB4" w:rsidRDefault="00BB544A" w:rsidP="00844CB4">
      <w:pPr>
        <w:pStyle w:val="reference"/>
        <w:numPr>
          <w:ilvl w:val="0"/>
          <w:numId w:val="31"/>
        </w:numPr>
        <w:spacing w:after="0"/>
        <w:rPr>
          <w:rFonts w:cs="Arial"/>
          <w:szCs w:val="20"/>
          <w:lang w:val="en-GB"/>
        </w:rPr>
      </w:pPr>
      <w:bookmarkStart w:id="57" w:name="_Ref522095672"/>
      <w:r>
        <w:rPr>
          <w:rFonts w:cs="Arial"/>
          <w:szCs w:val="20"/>
          <w:lang w:val="en-GB"/>
        </w:rPr>
        <w:t>NHTSA (</w:t>
      </w:r>
      <w:r w:rsidR="00844CB4" w:rsidRPr="00844CB4">
        <w:rPr>
          <w:rFonts w:cs="Arial"/>
          <w:szCs w:val="20"/>
          <w:lang w:val="en-GB"/>
        </w:rPr>
        <w:t>National Highway Traffic Safety Administration</w:t>
      </w:r>
      <w:r>
        <w:rPr>
          <w:rFonts w:cs="Arial"/>
          <w:szCs w:val="20"/>
          <w:lang w:val="en-GB"/>
        </w:rPr>
        <w:t>)</w:t>
      </w:r>
      <w:r w:rsidR="00844CB4" w:rsidRPr="00844CB4">
        <w:rPr>
          <w:rFonts w:cs="Arial"/>
          <w:szCs w:val="20"/>
          <w:lang w:val="en-GB"/>
        </w:rPr>
        <w:t>: “V2V Statement</w:t>
      </w:r>
      <w:r w:rsidR="00844CB4">
        <w:rPr>
          <w:rFonts w:cs="Arial"/>
          <w:szCs w:val="20"/>
          <w:lang w:val="en-GB"/>
        </w:rPr>
        <w:t xml:space="preserve">”, November 2017 </w:t>
      </w:r>
      <w:bookmarkEnd w:id="57"/>
      <w:r w:rsidR="00844CB4">
        <w:rPr>
          <w:rFonts w:cs="Arial"/>
          <w:szCs w:val="20"/>
          <w:lang w:val="en-GB"/>
        </w:rPr>
        <w:fldChar w:fldCharType="begin"/>
      </w:r>
      <w:r w:rsidR="00A21B52">
        <w:rPr>
          <w:rFonts w:cs="Arial"/>
          <w:szCs w:val="20"/>
          <w:lang w:val="en-GB"/>
        </w:rPr>
        <w:instrText>HYPERLINK "\\\\ECOFILE\\Users\\Anne-Dorthe\\Editorial reports, recommendations etc\\2019 WG FM February\\(here"</w:instrText>
      </w:r>
      <w:r w:rsidR="00844CB4">
        <w:rPr>
          <w:rFonts w:cs="Arial"/>
          <w:szCs w:val="20"/>
          <w:lang w:val="en-GB"/>
        </w:rPr>
        <w:fldChar w:fldCharType="separate"/>
      </w:r>
      <w:r w:rsidR="00844CB4" w:rsidRPr="00844CB4">
        <w:rPr>
          <w:rStyle w:val="Hyperlink"/>
          <w:rFonts w:cs="Arial"/>
          <w:szCs w:val="20"/>
          <w:lang w:val="en-GB"/>
        </w:rPr>
        <w:t>(here</w:t>
      </w:r>
      <w:r w:rsidR="00844CB4">
        <w:rPr>
          <w:rFonts w:cs="Arial"/>
          <w:szCs w:val="20"/>
          <w:lang w:val="en-GB"/>
        </w:rPr>
        <w:fldChar w:fldCharType="end"/>
      </w:r>
      <w:r w:rsidR="00844CB4">
        <w:rPr>
          <w:rFonts w:cs="Arial"/>
          <w:szCs w:val="20"/>
          <w:lang w:val="en-GB"/>
        </w:rPr>
        <w:t>)</w:t>
      </w:r>
    </w:p>
    <w:p w14:paraId="0A7D7D0E" w14:textId="5D47206F" w:rsidR="00C12AB8" w:rsidRDefault="00155EB5" w:rsidP="00E04D5A">
      <w:pPr>
        <w:pStyle w:val="reference"/>
        <w:numPr>
          <w:ilvl w:val="0"/>
          <w:numId w:val="31"/>
        </w:numPr>
        <w:spacing w:after="0"/>
        <w:rPr>
          <w:rFonts w:cs="Arial"/>
          <w:szCs w:val="20"/>
          <w:lang w:val="en-GB"/>
        </w:rPr>
      </w:pPr>
      <w:bookmarkStart w:id="58" w:name="_Ref524990101"/>
      <w:r>
        <w:rPr>
          <w:rFonts w:cs="Arial"/>
          <w:szCs w:val="20"/>
          <w:lang w:val="en-GB"/>
        </w:rPr>
        <w:t xml:space="preserve">Heidi King, Deputy Administrator NHSTA, “Spectrum and Connectivity in supporting Transportation Safety, “Keynote remarks at the International Symposium on Advanced Radio Technologies 2018 Conference, July , 2018 </w:t>
      </w:r>
      <w:r w:rsidR="001A0C43">
        <w:rPr>
          <w:rFonts w:cs="Arial"/>
          <w:szCs w:val="20"/>
          <w:lang w:val="en-GB"/>
        </w:rPr>
        <w:t>(</w:t>
      </w:r>
      <w:hyperlink r:id="rId61" w:history="1">
        <w:r w:rsidR="00BB544A">
          <w:rPr>
            <w:rStyle w:val="Hyperlink"/>
            <w:rFonts w:cs="Arial"/>
            <w:szCs w:val="20"/>
            <w:lang w:val="en-GB"/>
          </w:rPr>
          <w:t>here</w:t>
        </w:r>
      </w:hyperlink>
      <w:bookmarkEnd w:id="58"/>
      <w:r w:rsidR="001A0C43">
        <w:rPr>
          <w:rStyle w:val="Hyperlink"/>
          <w:rFonts w:cs="Arial"/>
          <w:szCs w:val="20"/>
          <w:lang w:val="en-GB"/>
        </w:rPr>
        <w:t>)</w:t>
      </w:r>
    </w:p>
    <w:p w14:paraId="0A7D7D0F" w14:textId="77777777" w:rsidR="00C12AB8" w:rsidRDefault="00155EB5" w:rsidP="00E04D5A">
      <w:pPr>
        <w:pStyle w:val="reference"/>
        <w:numPr>
          <w:ilvl w:val="0"/>
          <w:numId w:val="31"/>
        </w:numPr>
        <w:spacing w:after="0"/>
        <w:rPr>
          <w:lang w:val="en-GB"/>
        </w:rPr>
      </w:pPr>
      <w:bookmarkStart w:id="59" w:name="_Ref855418"/>
      <w:r>
        <w:rPr>
          <w:lang w:val="en-GB"/>
        </w:rPr>
        <w:t>3GPP TR 22.885</w:t>
      </w:r>
      <w:r w:rsidR="00EC6097">
        <w:rPr>
          <w:lang w:val="en-GB"/>
        </w:rPr>
        <w:t>: “</w:t>
      </w:r>
      <w:r>
        <w:rPr>
          <w:lang w:val="en-GB"/>
        </w:rPr>
        <w:t>Study on LTE support for Vehicle to Everything (V2X) services, V14.0.0</w:t>
      </w:r>
      <w:r w:rsidR="00EC6097">
        <w:rPr>
          <w:lang w:val="en-GB"/>
        </w:rPr>
        <w:t>”</w:t>
      </w:r>
      <w:bookmarkEnd w:id="59"/>
    </w:p>
    <w:p w14:paraId="0A7D7D10" w14:textId="77777777" w:rsidR="00C12AB8" w:rsidRDefault="00155EB5" w:rsidP="00E04D5A">
      <w:pPr>
        <w:pStyle w:val="reference"/>
        <w:numPr>
          <w:ilvl w:val="0"/>
          <w:numId w:val="31"/>
        </w:numPr>
        <w:spacing w:after="0"/>
        <w:rPr>
          <w:lang w:val="en-GB"/>
        </w:rPr>
      </w:pPr>
      <w:bookmarkStart w:id="60" w:name="_Ref855434"/>
      <w:r>
        <w:rPr>
          <w:lang w:val="en-GB"/>
        </w:rPr>
        <w:t>3GPP TR 36.885</w:t>
      </w:r>
      <w:r w:rsidR="00EC6097">
        <w:rPr>
          <w:lang w:val="en-GB"/>
        </w:rPr>
        <w:t>:“</w:t>
      </w:r>
      <w:r>
        <w:rPr>
          <w:lang w:val="en-GB"/>
        </w:rPr>
        <w:t>Study on LTE-based V2X Services; (Release 14), V14.0.0.</w:t>
      </w:r>
      <w:r w:rsidR="00EC6097">
        <w:rPr>
          <w:lang w:val="en-GB"/>
        </w:rPr>
        <w:t>”</w:t>
      </w:r>
      <w:bookmarkEnd w:id="60"/>
    </w:p>
    <w:p w14:paraId="0A7D7D11" w14:textId="78695DBB" w:rsidR="00C12AB8" w:rsidRDefault="00155EB5" w:rsidP="0005124A">
      <w:pPr>
        <w:pStyle w:val="reference"/>
        <w:spacing w:after="0"/>
        <w:rPr>
          <w:rFonts w:cs="Arial"/>
          <w:szCs w:val="20"/>
          <w:lang w:val="en-GB"/>
        </w:rPr>
      </w:pPr>
      <w:bookmarkStart w:id="61" w:name="_Ref525120742"/>
      <w:r>
        <w:rPr>
          <w:rFonts w:cs="Arial"/>
          <w:szCs w:val="20"/>
          <w:lang w:val="en-GB"/>
        </w:rPr>
        <w:t xml:space="preserve">European Truck Platooning Challenged, </w:t>
      </w:r>
      <w:r w:rsidR="00D56865">
        <w:rPr>
          <w:rFonts w:cs="Arial"/>
          <w:szCs w:val="20"/>
          <w:lang w:val="en-GB"/>
        </w:rPr>
        <w:t>(</w:t>
      </w:r>
      <w:hyperlink r:id="rId62" w:history="1">
        <w:r w:rsidR="001A0C43">
          <w:rPr>
            <w:rStyle w:val="Hyperlink"/>
            <w:rFonts w:cs="Arial"/>
            <w:szCs w:val="20"/>
            <w:lang w:val="en-GB"/>
          </w:rPr>
          <w:t>here</w:t>
        </w:r>
      </w:hyperlink>
      <w:bookmarkEnd w:id="61"/>
      <w:r w:rsidR="00D56865">
        <w:rPr>
          <w:rFonts w:cs="Arial"/>
          <w:szCs w:val="20"/>
          <w:lang w:val="en-GB"/>
        </w:rPr>
        <w:t>)</w:t>
      </w:r>
    </w:p>
    <w:p w14:paraId="0A7D7D12" w14:textId="7D3DD354" w:rsidR="00C12AB8" w:rsidRPr="00F43F8D" w:rsidRDefault="00155EB5" w:rsidP="0005124A">
      <w:pPr>
        <w:pStyle w:val="reference"/>
        <w:spacing w:after="0"/>
        <w:rPr>
          <w:rFonts w:cs="Arial"/>
          <w:szCs w:val="20"/>
          <w:lang w:val="fr-FR"/>
        </w:rPr>
      </w:pPr>
      <w:bookmarkStart w:id="62" w:name="_Ref525120753"/>
      <w:r w:rsidRPr="00F43F8D">
        <w:rPr>
          <w:rFonts w:cs="Arial"/>
          <w:szCs w:val="20"/>
          <w:lang w:val="fr-FR"/>
        </w:rPr>
        <w:t xml:space="preserve">EU </w:t>
      </w:r>
      <w:proofErr w:type="spellStart"/>
      <w:r w:rsidRPr="00F43F8D">
        <w:rPr>
          <w:rFonts w:cs="Arial"/>
          <w:szCs w:val="20"/>
          <w:lang w:val="fr-FR"/>
        </w:rPr>
        <w:t>project</w:t>
      </w:r>
      <w:proofErr w:type="spellEnd"/>
      <w:r w:rsidRPr="00F43F8D">
        <w:rPr>
          <w:rFonts w:cs="Arial"/>
          <w:szCs w:val="20"/>
          <w:lang w:val="fr-FR"/>
        </w:rPr>
        <w:t xml:space="preserve"> ENSEMBLE, </w:t>
      </w:r>
      <w:hyperlink r:id="rId63" w:history="1">
        <w:r w:rsidR="00D56865">
          <w:rPr>
            <w:rStyle w:val="Hyperlink"/>
            <w:rFonts w:cs="Arial"/>
            <w:szCs w:val="20"/>
            <w:lang w:val="fr-FR"/>
          </w:rPr>
          <w:t>(</w:t>
        </w:r>
        <w:proofErr w:type="spellStart"/>
        <w:r w:rsidR="00D56865">
          <w:rPr>
            <w:rStyle w:val="Hyperlink"/>
            <w:rFonts w:cs="Arial"/>
            <w:szCs w:val="20"/>
            <w:lang w:val="fr-FR"/>
          </w:rPr>
          <w:t>here</w:t>
        </w:r>
        <w:proofErr w:type="spellEnd"/>
        <w:r w:rsidR="00D56865">
          <w:rPr>
            <w:rStyle w:val="Hyperlink"/>
            <w:rFonts w:cs="Arial"/>
            <w:szCs w:val="20"/>
            <w:lang w:val="fr-FR"/>
          </w:rPr>
          <w:t>)</w:t>
        </w:r>
      </w:hyperlink>
      <w:bookmarkEnd w:id="62"/>
      <w:r w:rsidRPr="00F43F8D">
        <w:rPr>
          <w:rFonts w:cs="Arial"/>
          <w:szCs w:val="20"/>
          <w:lang w:val="fr-FR"/>
        </w:rPr>
        <w:t xml:space="preserve"> </w:t>
      </w:r>
    </w:p>
    <w:p w14:paraId="0A7D7D13" w14:textId="26D0102E" w:rsidR="00C12AB8" w:rsidRDefault="00155EB5" w:rsidP="0005124A">
      <w:pPr>
        <w:pStyle w:val="reference"/>
        <w:spacing w:after="0"/>
        <w:rPr>
          <w:rFonts w:cs="Arial"/>
          <w:szCs w:val="20"/>
          <w:lang w:val="en-GB"/>
        </w:rPr>
      </w:pPr>
      <w:bookmarkStart w:id="63" w:name="_Ref525120659"/>
      <w:r>
        <w:rPr>
          <w:rFonts w:cs="Arial"/>
          <w:szCs w:val="20"/>
          <w:lang w:val="en-GB"/>
        </w:rPr>
        <w:t xml:space="preserve">COM(2018) 283 final, European Commission Communication, On the road to automated mobility: An EU strategy for mobility of the future, </w:t>
      </w:r>
      <w:hyperlink r:id="rId64" w:history="1">
        <w:r w:rsidR="00D56865">
          <w:rPr>
            <w:rStyle w:val="Hyperlink"/>
            <w:rFonts w:cs="Arial"/>
            <w:szCs w:val="20"/>
            <w:lang w:val="en-GB"/>
          </w:rPr>
          <w:t>(here)</w:t>
        </w:r>
      </w:hyperlink>
      <w:bookmarkEnd w:id="63"/>
      <w:r>
        <w:rPr>
          <w:rFonts w:cs="Arial"/>
          <w:szCs w:val="20"/>
          <w:lang w:val="en-GB"/>
        </w:rPr>
        <w:t xml:space="preserve"> </w:t>
      </w:r>
    </w:p>
    <w:p w14:paraId="0A7D7D14" w14:textId="60C35607" w:rsidR="00C12AB8" w:rsidRDefault="00155EB5" w:rsidP="0005124A">
      <w:pPr>
        <w:pStyle w:val="reference"/>
        <w:spacing w:after="0"/>
        <w:rPr>
          <w:rFonts w:cs="Arial"/>
          <w:szCs w:val="20"/>
          <w:lang w:val="en-GB"/>
        </w:rPr>
      </w:pPr>
      <w:bookmarkStart w:id="64" w:name="_Ref525120636"/>
      <w:r>
        <w:rPr>
          <w:rFonts w:cs="Arial"/>
          <w:szCs w:val="20"/>
          <w:lang w:val="en-GB"/>
        </w:rPr>
        <w:t xml:space="preserve">Pilot in Sweden, </w:t>
      </w:r>
      <w:hyperlink r:id="rId65" w:history="1">
        <w:r w:rsidR="00D56865">
          <w:rPr>
            <w:rStyle w:val="Hyperlink"/>
            <w:rFonts w:cs="Arial"/>
            <w:szCs w:val="20"/>
            <w:lang w:val="en-GB"/>
          </w:rPr>
          <w:t>(here)</w:t>
        </w:r>
      </w:hyperlink>
      <w:bookmarkEnd w:id="64"/>
      <w:r>
        <w:rPr>
          <w:rFonts w:cs="Arial"/>
          <w:szCs w:val="20"/>
          <w:lang w:val="en-GB"/>
        </w:rPr>
        <w:t xml:space="preserve"> </w:t>
      </w:r>
    </w:p>
    <w:p w14:paraId="0A7D7D15" w14:textId="5BE8D596" w:rsidR="00C12AB8" w:rsidRDefault="00155EB5" w:rsidP="0005124A">
      <w:pPr>
        <w:pStyle w:val="reference"/>
        <w:spacing w:after="0"/>
        <w:rPr>
          <w:rFonts w:cs="Arial"/>
          <w:szCs w:val="20"/>
          <w:lang w:val="en-GB"/>
        </w:rPr>
      </w:pPr>
      <w:bookmarkStart w:id="65" w:name="_Ref525120624"/>
      <w:r>
        <w:rPr>
          <w:rFonts w:cs="Arial"/>
          <w:szCs w:val="20"/>
          <w:lang w:val="en-GB"/>
        </w:rPr>
        <w:t xml:space="preserve">Pilot in Germany, </w:t>
      </w:r>
      <w:hyperlink r:id="rId66" w:history="1">
        <w:r w:rsidR="00D56865">
          <w:rPr>
            <w:rStyle w:val="Hyperlink"/>
            <w:rFonts w:cs="Arial"/>
            <w:szCs w:val="20"/>
            <w:lang w:val="en-GB"/>
          </w:rPr>
          <w:t>(here)</w:t>
        </w:r>
      </w:hyperlink>
      <w:bookmarkEnd w:id="65"/>
      <w:r>
        <w:rPr>
          <w:rFonts w:cs="Arial"/>
          <w:szCs w:val="20"/>
          <w:lang w:val="en-GB"/>
        </w:rPr>
        <w:t xml:space="preserve"> </w:t>
      </w:r>
    </w:p>
    <w:p w14:paraId="0A7D7D16" w14:textId="33514331" w:rsidR="00C12AB8" w:rsidRDefault="00155EB5" w:rsidP="0005124A">
      <w:pPr>
        <w:pStyle w:val="reference"/>
        <w:spacing w:after="0"/>
        <w:rPr>
          <w:rFonts w:cs="Arial"/>
          <w:szCs w:val="20"/>
          <w:lang w:val="en-GB"/>
        </w:rPr>
      </w:pPr>
      <w:bookmarkStart w:id="66" w:name="_Ref525120607"/>
      <w:r>
        <w:rPr>
          <w:rFonts w:cs="Arial"/>
          <w:szCs w:val="20"/>
          <w:lang w:val="en-GB"/>
        </w:rPr>
        <w:t xml:space="preserve">UK truck platooning trial, </w:t>
      </w:r>
      <w:hyperlink r:id="rId67" w:history="1">
        <w:r w:rsidR="00D56865">
          <w:rPr>
            <w:rStyle w:val="Hyperlink"/>
            <w:rFonts w:cs="Arial"/>
            <w:szCs w:val="20"/>
            <w:lang w:val="en-GB"/>
          </w:rPr>
          <w:t>(here)</w:t>
        </w:r>
      </w:hyperlink>
      <w:bookmarkEnd w:id="66"/>
      <w:r>
        <w:rPr>
          <w:rFonts w:cs="Arial"/>
          <w:szCs w:val="20"/>
          <w:lang w:val="en-GB"/>
        </w:rPr>
        <w:t xml:space="preserve"> </w:t>
      </w:r>
    </w:p>
    <w:p w14:paraId="0A7D7D17" w14:textId="77777777" w:rsidR="00C12AB8" w:rsidRDefault="00155EB5" w:rsidP="0005124A">
      <w:pPr>
        <w:pStyle w:val="reference"/>
        <w:spacing w:after="0"/>
        <w:rPr>
          <w:rFonts w:cs="Arial"/>
          <w:szCs w:val="20"/>
          <w:lang w:val="en-GB"/>
        </w:rPr>
      </w:pPr>
      <w:bookmarkStart w:id="67" w:name="_Ref525120681"/>
      <w:bookmarkStart w:id="68" w:name="_Ref856337"/>
      <w:r>
        <w:rPr>
          <w:rFonts w:cs="Arial"/>
          <w:szCs w:val="20"/>
          <w:lang w:val="en-GB"/>
        </w:rPr>
        <w:t>ETSI EN 302 637-2 V1.3.2 (2014-11)</w:t>
      </w:r>
      <w:r w:rsidR="00EC6097">
        <w:rPr>
          <w:rFonts w:cs="Arial"/>
          <w:szCs w:val="20"/>
          <w:lang w:val="en-GB"/>
        </w:rPr>
        <w:t>: “</w:t>
      </w:r>
      <w:r>
        <w:rPr>
          <w:rFonts w:cs="Arial"/>
          <w:szCs w:val="20"/>
          <w:lang w:val="en-GB"/>
        </w:rPr>
        <w:t>Intelligent Transport Systems (ITS); Vehicular Communications; Basic Set of Applications; Part 2: Specification of Cooperative Awareness Basic Service</w:t>
      </w:r>
      <w:bookmarkEnd w:id="67"/>
      <w:r w:rsidR="00EC6097">
        <w:rPr>
          <w:rFonts w:cs="Arial"/>
          <w:szCs w:val="20"/>
          <w:lang w:val="en-GB"/>
        </w:rPr>
        <w:t>”</w:t>
      </w:r>
      <w:bookmarkEnd w:id="68"/>
    </w:p>
    <w:p w14:paraId="0A7D7D19" w14:textId="66B41BA8" w:rsidR="00D56865" w:rsidRDefault="00155EB5" w:rsidP="009310A6">
      <w:pPr>
        <w:pStyle w:val="reference"/>
        <w:spacing w:after="0"/>
        <w:rPr>
          <w:rFonts w:cs="Arial"/>
          <w:szCs w:val="20"/>
          <w:lang w:val="en-GB"/>
        </w:rPr>
      </w:pPr>
      <w:bookmarkStart w:id="69" w:name="_Ref525120702"/>
      <w:r>
        <w:rPr>
          <w:rFonts w:cs="Arial"/>
          <w:szCs w:val="20"/>
          <w:lang w:val="en-GB"/>
        </w:rPr>
        <w:t>ETSI EN 302 637-3 V1.2.2 (2014-11)</w:t>
      </w:r>
      <w:r w:rsidR="00EC6097">
        <w:rPr>
          <w:rFonts w:cs="Arial"/>
          <w:szCs w:val="20"/>
          <w:lang w:val="en-GB"/>
        </w:rPr>
        <w:t>: “</w:t>
      </w:r>
      <w:r>
        <w:rPr>
          <w:rFonts w:cs="Arial"/>
          <w:szCs w:val="20"/>
          <w:lang w:val="en-GB"/>
        </w:rPr>
        <w:t>Intelligent Transport Systems (ITS); Vehicular Communications; Basic Set of Applications; Part 3: Specification of Decent</w:t>
      </w:r>
      <w:r w:rsidR="00EC6097">
        <w:rPr>
          <w:rFonts w:cs="Arial"/>
          <w:szCs w:val="20"/>
          <w:lang w:val="en-GB"/>
        </w:rPr>
        <w:t>r</w:t>
      </w:r>
      <w:r>
        <w:rPr>
          <w:rFonts w:cs="Arial"/>
          <w:szCs w:val="20"/>
          <w:lang w:val="en-GB"/>
        </w:rPr>
        <w:t>alised Environmental Notification Basic Service</w:t>
      </w:r>
      <w:bookmarkEnd w:id="69"/>
      <w:r w:rsidR="00EC6097">
        <w:rPr>
          <w:rFonts w:cs="Arial"/>
          <w:szCs w:val="20"/>
          <w:lang w:val="en-GB"/>
        </w:rPr>
        <w:t>”</w:t>
      </w:r>
      <w:bookmarkStart w:id="70" w:name="_Ref524889334"/>
      <w:r w:rsidR="001B293C">
        <w:rPr>
          <w:rFonts w:cs="Arial"/>
          <w:szCs w:val="20"/>
          <w:lang w:val="en-GB"/>
        </w:rPr>
        <w:t xml:space="preserve"> </w:t>
      </w:r>
    </w:p>
    <w:p w14:paraId="0A7D7D1A" w14:textId="2695E59B" w:rsidR="00C12AB8" w:rsidRDefault="00155EB5" w:rsidP="009310A6">
      <w:pPr>
        <w:pStyle w:val="reference"/>
        <w:spacing w:after="0"/>
        <w:rPr>
          <w:rFonts w:cs="Arial"/>
          <w:szCs w:val="20"/>
          <w:lang w:val="en-GB"/>
        </w:rPr>
      </w:pPr>
      <w:r w:rsidRPr="009310A6">
        <w:rPr>
          <w:rFonts w:cs="Arial"/>
          <w:szCs w:val="20"/>
          <w:lang w:val="en-GB"/>
        </w:rPr>
        <w:t xml:space="preserve">ECC Report 291: </w:t>
      </w:r>
      <w:r w:rsidR="00EC6097" w:rsidRPr="009310A6">
        <w:rPr>
          <w:rFonts w:cs="Arial"/>
          <w:szCs w:val="20"/>
          <w:lang w:val="en-GB"/>
        </w:rPr>
        <w:t>“</w:t>
      </w:r>
      <w:r w:rsidRPr="009310A6">
        <w:rPr>
          <w:rFonts w:cs="Arial"/>
          <w:szCs w:val="20"/>
          <w:lang w:val="en-GB"/>
        </w:rPr>
        <w:t xml:space="preserve">Compatibility studies between smart tachograph, weight &amp; dimension </w:t>
      </w:r>
      <w:r>
        <w:rPr>
          <w:rFonts w:cs="Arial"/>
          <w:szCs w:val="20"/>
          <w:lang w:val="en-GB"/>
        </w:rPr>
        <w:t>applications and systems operating in the band 5795-5815 MHz and in the adjacent bands</w:t>
      </w:r>
      <w:bookmarkEnd w:id="70"/>
      <w:r w:rsidR="00EC6097">
        <w:rPr>
          <w:rFonts w:cs="Arial"/>
          <w:szCs w:val="20"/>
          <w:lang w:val="en-GB"/>
        </w:rPr>
        <w:t>”</w:t>
      </w:r>
    </w:p>
    <w:p w14:paraId="0A7D7D1C" w14:textId="5F964286" w:rsidR="00D56865" w:rsidRDefault="00D56865" w:rsidP="005759B6">
      <w:pPr>
        <w:pStyle w:val="reference"/>
        <w:spacing w:after="0"/>
        <w:rPr>
          <w:rFonts w:cs="Arial"/>
          <w:szCs w:val="20"/>
          <w:lang w:val="en-GB"/>
        </w:rPr>
      </w:pPr>
      <w:bookmarkStart w:id="71" w:name="_Ref525036931"/>
      <w:r>
        <w:rPr>
          <w:rFonts w:cs="Arial"/>
          <w:szCs w:val="20"/>
          <w:lang w:val="en-GB"/>
        </w:rPr>
        <w:t>void</w:t>
      </w:r>
      <w:bookmarkStart w:id="72" w:name="_Ref525115782"/>
      <w:bookmarkEnd w:id="71"/>
    </w:p>
    <w:p w14:paraId="0A7D7D1D" w14:textId="77777777" w:rsidR="00C12AB8" w:rsidRDefault="00155EB5" w:rsidP="005E3C1D">
      <w:pPr>
        <w:pStyle w:val="reference"/>
        <w:spacing w:after="0"/>
        <w:rPr>
          <w:rFonts w:cs="Arial"/>
          <w:szCs w:val="20"/>
          <w:lang w:val="en-GB"/>
        </w:rPr>
      </w:pPr>
      <w:r>
        <w:rPr>
          <w:lang w:val="en-GB"/>
        </w:rPr>
        <w:t>ECC Decision (08)01</w:t>
      </w:r>
      <w:bookmarkEnd w:id="72"/>
      <w:r>
        <w:rPr>
          <w:lang w:val="en-GB"/>
        </w:rPr>
        <w:t>: “ECC Decision of 14 March 2008 on the harmonised use of the 5875-5925 MHz frequency band for Intelligent Transport Systems (ITS), amended on 3 July 2015”</w:t>
      </w:r>
    </w:p>
    <w:p w14:paraId="0A7D7D1E" w14:textId="2282F901" w:rsidR="00C12AB8" w:rsidRDefault="00155EB5" w:rsidP="0005124A">
      <w:pPr>
        <w:pStyle w:val="reference"/>
        <w:spacing w:after="0"/>
        <w:rPr>
          <w:lang w:val="en-GB"/>
        </w:rPr>
      </w:pPr>
      <w:bookmarkStart w:id="73" w:name="_Ref528314349"/>
      <w:bookmarkStart w:id="74" w:name="_Ref525116069"/>
      <w:r>
        <w:rPr>
          <w:lang w:val="en-GB"/>
        </w:rPr>
        <w:t>ECC Report 101</w:t>
      </w:r>
      <w:r w:rsidR="00EC6097">
        <w:rPr>
          <w:lang w:val="en-GB"/>
        </w:rPr>
        <w:t>:</w:t>
      </w:r>
      <w:r>
        <w:rPr>
          <w:lang w:val="en-GB"/>
        </w:rPr>
        <w:t xml:space="preserve"> “</w:t>
      </w:r>
      <w:r>
        <w:rPr>
          <w:rFonts w:eastAsia="Calibri"/>
          <w:szCs w:val="22"/>
          <w:lang w:val="en-GB"/>
        </w:rPr>
        <w:t>Compatibility studies in the band 5855</w:t>
      </w:r>
      <w:r w:rsidR="001B293C">
        <w:rPr>
          <w:rFonts w:eastAsia="Calibri"/>
          <w:szCs w:val="22"/>
          <w:lang w:val="en-GB"/>
        </w:rPr>
        <w:t>-</w:t>
      </w:r>
      <w:r>
        <w:rPr>
          <w:rFonts w:eastAsia="Calibri"/>
          <w:szCs w:val="22"/>
          <w:lang w:val="en-GB"/>
        </w:rPr>
        <w:t>5925 MHz between Intelligent Transport Systems (ITS) and other systems”</w:t>
      </w:r>
      <w:r>
        <w:rPr>
          <w:lang w:val="en-GB"/>
        </w:rPr>
        <w:t xml:space="preserve"> </w:t>
      </w:r>
      <w:bookmarkEnd w:id="73"/>
    </w:p>
    <w:p w14:paraId="0A7D7D1F" w14:textId="77777777" w:rsidR="00C12AB8" w:rsidRDefault="00155EB5" w:rsidP="0005124A">
      <w:pPr>
        <w:pStyle w:val="reference"/>
        <w:spacing w:after="0"/>
        <w:rPr>
          <w:rFonts w:cs="Arial"/>
          <w:szCs w:val="20"/>
          <w:lang w:val="en-GB"/>
        </w:rPr>
      </w:pPr>
      <w:bookmarkStart w:id="75" w:name="_Ref525135038"/>
      <w:r>
        <w:rPr>
          <w:lang w:val="en-GB"/>
        </w:rPr>
        <w:t>ECC Report 228</w:t>
      </w:r>
      <w:bookmarkEnd w:id="74"/>
      <w:r>
        <w:rPr>
          <w:lang w:val="en-GB"/>
        </w:rPr>
        <w:t>: “Compatibility studies between Intelligent Transport Systems (ITS) in the band 5855-5925 MHz and other systems in adjacent bands”</w:t>
      </w:r>
      <w:bookmarkEnd w:id="75"/>
    </w:p>
    <w:p w14:paraId="0A7D7D20" w14:textId="77777777" w:rsidR="00D56865" w:rsidRPr="001B293C" w:rsidRDefault="003B111C" w:rsidP="001A13B5">
      <w:pPr>
        <w:pStyle w:val="reference"/>
        <w:spacing w:after="0"/>
        <w:rPr>
          <w:rFonts w:cs="Arial"/>
          <w:szCs w:val="20"/>
          <w:lang w:val="en-GB"/>
        </w:rPr>
      </w:pPr>
      <w:r>
        <w:t xml:space="preserve">Void </w:t>
      </w:r>
    </w:p>
    <w:p w14:paraId="0A7D7D22" w14:textId="6D054E3E" w:rsidR="00C12AB8" w:rsidRPr="001A13B5" w:rsidRDefault="00155EB5" w:rsidP="001A13B5">
      <w:pPr>
        <w:pStyle w:val="reference"/>
        <w:spacing w:after="0"/>
        <w:rPr>
          <w:rFonts w:cs="Arial"/>
          <w:szCs w:val="20"/>
          <w:lang w:val="en-GB"/>
        </w:rPr>
      </w:pPr>
      <w:bookmarkStart w:id="76" w:name="_Ref525304194"/>
      <w:bookmarkStart w:id="77" w:name="_Ref528312467"/>
      <w:bookmarkStart w:id="78" w:name="_Ref525116923"/>
      <w:r w:rsidRPr="003B111C">
        <w:rPr>
          <w:lang w:val="en-GB"/>
        </w:rPr>
        <w:t xml:space="preserve">Commission Decision 2008/671/EC of 5 August 2008 on the harmonised use of radio spectrum in the 5 875-5 905 MHz frequency band for safety-related applications of Intelligent </w:t>
      </w:r>
      <w:r w:rsidRPr="001A13B5">
        <w:rPr>
          <w:lang w:val="en-GB"/>
        </w:rPr>
        <w:t>Transport Systems (ITS)</w:t>
      </w:r>
      <w:bookmarkEnd w:id="76"/>
      <w:bookmarkEnd w:id="77"/>
    </w:p>
    <w:p w14:paraId="0A7D7D23" w14:textId="77777777" w:rsidR="00C12AB8" w:rsidRDefault="00155EB5" w:rsidP="001A0C43">
      <w:pPr>
        <w:pStyle w:val="reference"/>
        <w:spacing w:after="0"/>
        <w:rPr>
          <w:rFonts w:cs="Arial"/>
          <w:szCs w:val="20"/>
          <w:lang w:val="en-GB"/>
        </w:rPr>
      </w:pPr>
      <w:bookmarkStart w:id="79" w:name="_Ref528319358"/>
      <w:r>
        <w:rPr>
          <w:lang w:val="en-GB"/>
        </w:rPr>
        <w:t xml:space="preserve">3GPP </w:t>
      </w:r>
      <w:bookmarkEnd w:id="78"/>
      <w:r>
        <w:rPr>
          <w:lang w:val="en-GB"/>
        </w:rPr>
        <w:t>Study on NR Vehicle-to-Everything (V2X)</w:t>
      </w:r>
      <w:bookmarkEnd w:id="79"/>
      <w:r w:rsidR="001A0C43">
        <w:rPr>
          <w:lang w:val="en-GB"/>
        </w:rPr>
        <w:t>: “</w:t>
      </w:r>
      <w:r w:rsidR="001A0C43" w:rsidRPr="001A0C43">
        <w:rPr>
          <w:lang w:val="en-GB"/>
        </w:rPr>
        <w:t>3GPP TR 38.885 V1.0.0 (2018-11)”</w:t>
      </w:r>
    </w:p>
    <w:p w14:paraId="0A7D7D24" w14:textId="77777777" w:rsidR="009310A6" w:rsidRPr="009310A6" w:rsidRDefault="00155EB5" w:rsidP="001A0C43">
      <w:pPr>
        <w:pStyle w:val="reference"/>
        <w:spacing w:after="0"/>
        <w:rPr>
          <w:lang w:val="en-GB"/>
        </w:rPr>
      </w:pPr>
      <w:bookmarkStart w:id="80" w:name="_Ref525122851"/>
      <w:bookmarkStart w:id="81" w:name="_Ref525117372"/>
      <w:r>
        <w:rPr>
          <w:rFonts w:eastAsia="Calibri"/>
          <w:lang w:val="en-GB"/>
        </w:rPr>
        <w:lastRenderedPageBreak/>
        <w:t>Platooning deployment for commercial use</w:t>
      </w:r>
      <w:bookmarkEnd w:id="80"/>
    </w:p>
    <w:p w14:paraId="0A7D7D25" w14:textId="77777777" w:rsidR="00C12AB8" w:rsidRDefault="00495BEB" w:rsidP="001B293C">
      <w:pPr>
        <w:pStyle w:val="reference"/>
        <w:spacing w:after="0"/>
        <w:rPr>
          <w:lang w:val="en-GB"/>
        </w:rPr>
      </w:pPr>
      <w:r w:rsidRPr="00495BEB">
        <w:rPr>
          <w:rFonts w:eastAsia="Calibri"/>
          <w:lang w:val="en-GB"/>
        </w:rPr>
        <w:t>Communication from the Commission to the European Parliament, the Council, the European Economic and Social Committee, the Committee of the Regions. On the road to automated mobility: An EU strategy for mobility of the future. Brussels, 17.5.2018 COM(2018) 283 final</w:t>
      </w:r>
      <w:r w:rsidR="00156F1E">
        <w:rPr>
          <w:rFonts w:eastAsia="Calibri"/>
          <w:lang w:val="en-GB"/>
        </w:rPr>
        <w:t xml:space="preserve"> (</w:t>
      </w:r>
      <w:hyperlink r:id="rId68" w:history="1">
        <w:r w:rsidR="00156F1E">
          <w:rPr>
            <w:rStyle w:val="Hyperlink"/>
            <w:rFonts w:eastAsia="Calibri"/>
            <w:lang w:val="en-GB"/>
          </w:rPr>
          <w:t>here</w:t>
        </w:r>
      </w:hyperlink>
      <w:r w:rsidR="00156F1E">
        <w:rPr>
          <w:rFonts w:eastAsia="Calibri"/>
          <w:lang w:val="en-GB"/>
        </w:rPr>
        <w:t>)</w:t>
      </w:r>
    </w:p>
    <w:p w14:paraId="0A7D7D26" w14:textId="761ABB75" w:rsidR="00C12AB8" w:rsidRPr="00B83C9F" w:rsidRDefault="00B83C9F" w:rsidP="005759B6">
      <w:pPr>
        <w:pStyle w:val="reference"/>
        <w:spacing w:after="0"/>
        <w:rPr>
          <w:lang w:val="en-GB"/>
        </w:rPr>
      </w:pPr>
      <w:bookmarkStart w:id="82" w:name="_Ref200869"/>
      <w:r w:rsidRPr="00B83C9F">
        <w:rPr>
          <w:lang w:val="en-GB"/>
        </w:rPr>
        <w:t xml:space="preserve">C-Roads position on the usage of the 5.9 GHz band </w:t>
      </w:r>
      <w:r w:rsidR="00156F1E">
        <w:rPr>
          <w:lang w:val="en-GB"/>
        </w:rPr>
        <w:t>(</w:t>
      </w:r>
      <w:hyperlink r:id="rId69" w:history="1">
        <w:r w:rsidR="00156F1E">
          <w:rPr>
            <w:rStyle w:val="Hyperlink"/>
            <w:lang w:val="en-GB"/>
          </w:rPr>
          <w:t>here</w:t>
        </w:r>
      </w:hyperlink>
      <w:bookmarkEnd w:id="82"/>
      <w:r w:rsidR="00156F1E">
        <w:rPr>
          <w:lang w:val="en-GB"/>
        </w:rPr>
        <w:t xml:space="preserve">) </w:t>
      </w:r>
      <w:bookmarkStart w:id="83" w:name="_Ref525117549"/>
      <w:bookmarkEnd w:id="81"/>
    </w:p>
    <w:p w14:paraId="0A7D7D27" w14:textId="77777777" w:rsidR="00C12AB8" w:rsidRDefault="00155EB5" w:rsidP="005E3C1D">
      <w:pPr>
        <w:pStyle w:val="reference"/>
        <w:spacing w:after="0"/>
        <w:rPr>
          <w:lang w:val="en-GB"/>
        </w:rPr>
      </w:pPr>
      <w:bookmarkStart w:id="84" w:name="_Ref528320259"/>
      <w:r>
        <w:rPr>
          <w:lang w:val="en-GB"/>
        </w:rPr>
        <w:t>CENELEC EN 50126</w:t>
      </w:r>
      <w:bookmarkEnd w:id="83"/>
      <w:r>
        <w:rPr>
          <w:lang w:val="en-GB"/>
        </w:rPr>
        <w:t xml:space="preserve">: </w:t>
      </w:r>
      <w:r w:rsidR="00156F1E">
        <w:rPr>
          <w:lang w:val="en-GB"/>
        </w:rPr>
        <w:t>“</w:t>
      </w:r>
      <w:r>
        <w:rPr>
          <w:lang w:val="en-GB"/>
        </w:rPr>
        <w:t>Railway Applications - The Specification and Demonstration of Reliability, Availability, Maintainability and Safety</w:t>
      </w:r>
      <w:bookmarkStart w:id="85" w:name="_Ref525117560"/>
      <w:bookmarkEnd w:id="84"/>
      <w:r w:rsidR="00156F1E">
        <w:rPr>
          <w:lang w:val="en-GB"/>
        </w:rPr>
        <w:t>”</w:t>
      </w:r>
    </w:p>
    <w:p w14:paraId="0A7D7D28" w14:textId="77777777" w:rsidR="00C12AB8" w:rsidRDefault="00155EB5" w:rsidP="0005124A">
      <w:pPr>
        <w:pStyle w:val="reference"/>
        <w:spacing w:after="0"/>
        <w:rPr>
          <w:lang w:val="en-GB"/>
        </w:rPr>
      </w:pPr>
      <w:bookmarkStart w:id="86" w:name="_Ref528320274"/>
      <w:r>
        <w:rPr>
          <w:lang w:val="en-GB"/>
        </w:rPr>
        <w:t>CENELEC EN 50128</w:t>
      </w:r>
      <w:bookmarkEnd w:id="85"/>
      <w:r>
        <w:rPr>
          <w:lang w:val="en-GB"/>
        </w:rPr>
        <w:t>:</w:t>
      </w:r>
      <w:r w:rsidR="00EC6097">
        <w:rPr>
          <w:lang w:val="en-GB"/>
        </w:rPr>
        <w:t xml:space="preserve"> “</w:t>
      </w:r>
      <w:r>
        <w:rPr>
          <w:lang w:val="en-GB"/>
        </w:rPr>
        <w:t>Railway applications - Communication, signalling and processing systems - Software for railway control and protection systems</w:t>
      </w:r>
      <w:bookmarkEnd w:id="86"/>
      <w:r w:rsidR="00EC6097">
        <w:rPr>
          <w:lang w:val="en-GB"/>
        </w:rPr>
        <w:t>”</w:t>
      </w:r>
    </w:p>
    <w:p w14:paraId="0A7D7D29" w14:textId="77777777" w:rsidR="00C12AB8" w:rsidRDefault="00155EB5" w:rsidP="0005124A">
      <w:pPr>
        <w:pStyle w:val="reference"/>
        <w:spacing w:after="0"/>
        <w:rPr>
          <w:lang w:val="en-GB"/>
        </w:rPr>
      </w:pPr>
      <w:bookmarkStart w:id="87" w:name="_Ref525303451"/>
      <w:r>
        <w:rPr>
          <w:lang w:val="en-GB"/>
        </w:rPr>
        <w:t xml:space="preserve">CENELEC EN 50129: </w:t>
      </w:r>
      <w:r w:rsidR="00EC6097">
        <w:rPr>
          <w:lang w:val="en-GB"/>
        </w:rPr>
        <w:t>“</w:t>
      </w:r>
      <w:r>
        <w:rPr>
          <w:lang w:val="en-GB"/>
        </w:rPr>
        <w:t>Communication, signalling and processing systems – Safety-related electronic systems for signal</w:t>
      </w:r>
      <w:r w:rsidR="00ED05C7">
        <w:rPr>
          <w:lang w:val="en-GB"/>
        </w:rPr>
        <w:t>l</w:t>
      </w:r>
      <w:r>
        <w:rPr>
          <w:lang w:val="en-GB"/>
        </w:rPr>
        <w:t>ing</w:t>
      </w:r>
      <w:bookmarkStart w:id="88" w:name="_Ref525117638"/>
      <w:bookmarkEnd w:id="87"/>
      <w:r w:rsidR="00EC6097">
        <w:rPr>
          <w:lang w:val="en-GB"/>
        </w:rPr>
        <w:t>”</w:t>
      </w:r>
    </w:p>
    <w:p w14:paraId="0A7D7D2A" w14:textId="77777777" w:rsidR="00C12AB8" w:rsidRDefault="00155EB5" w:rsidP="0005124A">
      <w:pPr>
        <w:pStyle w:val="reference"/>
        <w:spacing w:after="0"/>
        <w:rPr>
          <w:lang w:val="en-GB"/>
        </w:rPr>
      </w:pPr>
      <w:bookmarkStart w:id="89" w:name="_Ref528315448"/>
      <w:r>
        <w:rPr>
          <w:rFonts w:eastAsia="Calibri"/>
          <w:szCs w:val="22"/>
          <w:lang w:val="en-GB"/>
        </w:rPr>
        <w:t>ETSI TR 103 111</w:t>
      </w:r>
      <w:bookmarkEnd w:id="88"/>
      <w:r>
        <w:rPr>
          <w:rFonts w:eastAsia="Calibri"/>
          <w:szCs w:val="22"/>
          <w:lang w:val="en-GB"/>
        </w:rPr>
        <w:t xml:space="preserve">: </w:t>
      </w:r>
      <w:r w:rsidR="00EC6097">
        <w:rPr>
          <w:rFonts w:eastAsia="Calibri"/>
          <w:szCs w:val="22"/>
          <w:lang w:val="en-GB"/>
        </w:rPr>
        <w:t>“</w:t>
      </w:r>
      <w:r>
        <w:rPr>
          <w:rFonts w:eastAsia="Calibri"/>
          <w:szCs w:val="22"/>
          <w:lang w:val="en-GB"/>
        </w:rPr>
        <w:t>System Reference document (SRdoc);Spectrum requirements for Urban Rail Systems in the 5.9 GHz range</w:t>
      </w:r>
      <w:bookmarkStart w:id="90" w:name="_Ref525118011"/>
      <w:bookmarkStart w:id="91" w:name="_Ref525134961"/>
      <w:bookmarkEnd w:id="89"/>
      <w:r w:rsidR="00EC6097">
        <w:rPr>
          <w:rFonts w:eastAsia="Calibri"/>
          <w:szCs w:val="22"/>
          <w:lang w:val="en-GB"/>
        </w:rPr>
        <w:t>”</w:t>
      </w:r>
    </w:p>
    <w:p w14:paraId="0A7D7D2B" w14:textId="77777777" w:rsidR="00C12AB8" w:rsidRDefault="00CE2179" w:rsidP="0005124A">
      <w:pPr>
        <w:pStyle w:val="reference"/>
        <w:spacing w:after="0"/>
        <w:rPr>
          <w:lang w:val="en-GB"/>
        </w:rPr>
      </w:pPr>
      <w:bookmarkStart w:id="92" w:name="_Ref528314429"/>
      <w:bookmarkStart w:id="93" w:name="_Ref855116"/>
      <w:r>
        <w:rPr>
          <w:lang w:val="en-GB"/>
        </w:rPr>
        <w:t xml:space="preserve">ETSI </w:t>
      </w:r>
      <w:r w:rsidR="00155EB5">
        <w:rPr>
          <w:lang w:val="en-GB"/>
        </w:rPr>
        <w:t>EN 302 571</w:t>
      </w:r>
      <w:bookmarkEnd w:id="90"/>
      <w:r w:rsidR="00155EB5">
        <w:rPr>
          <w:lang w:val="en-GB"/>
        </w:rPr>
        <w:t>: “Intelligent Transport Systems (ITS); Radiocommunications equipment operating in the 5 855 MHz to 5 925 MHz frequency band; Harmonised Standard covering the essential requirements of article 3.2 of Directive 2014/53/EU</w:t>
      </w:r>
      <w:bookmarkEnd w:id="91"/>
      <w:bookmarkEnd w:id="92"/>
      <w:r w:rsidR="00EC6097">
        <w:rPr>
          <w:lang w:val="en-GB"/>
        </w:rPr>
        <w:t>”</w:t>
      </w:r>
      <w:bookmarkEnd w:id="93"/>
    </w:p>
    <w:p w14:paraId="0A7D7D2C" w14:textId="77777777" w:rsidR="00C12AB8" w:rsidRDefault="00155EB5" w:rsidP="0005124A">
      <w:pPr>
        <w:pStyle w:val="reference"/>
        <w:spacing w:after="0"/>
        <w:rPr>
          <w:lang w:val="en-GB"/>
        </w:rPr>
      </w:pPr>
      <w:bookmarkStart w:id="94" w:name="_Ref525118253"/>
      <w:bookmarkStart w:id="95" w:name="_Ref525303757"/>
      <w:r>
        <w:rPr>
          <w:lang w:val="en-GB"/>
        </w:rPr>
        <w:t>FM(18)135</w:t>
      </w:r>
      <w:bookmarkEnd w:id="94"/>
      <w:r>
        <w:rPr>
          <w:lang w:val="en-GB"/>
        </w:rPr>
        <w:t xml:space="preserve">: </w:t>
      </w:r>
      <w:r w:rsidR="00EC6097">
        <w:rPr>
          <w:lang w:val="en-GB"/>
        </w:rPr>
        <w:t>“</w:t>
      </w:r>
      <w:r>
        <w:rPr>
          <w:lang w:val="en-GB"/>
        </w:rPr>
        <w:t>Complementary LS from ETSI on work progress on ITS</w:t>
      </w:r>
      <w:bookmarkStart w:id="96" w:name="_Ref525120011"/>
      <w:bookmarkEnd w:id="95"/>
      <w:r w:rsidR="00EC6097">
        <w:rPr>
          <w:lang w:val="en-GB"/>
        </w:rPr>
        <w:t>”</w:t>
      </w:r>
    </w:p>
    <w:p w14:paraId="0A7D7D2D" w14:textId="77777777" w:rsidR="00C12AB8" w:rsidRDefault="00155EB5" w:rsidP="0005124A">
      <w:pPr>
        <w:pStyle w:val="reference"/>
        <w:spacing w:after="0"/>
        <w:rPr>
          <w:lang w:val="en-GB"/>
        </w:rPr>
      </w:pPr>
      <w:bookmarkStart w:id="97" w:name="_Ref528319851"/>
      <w:r>
        <w:rPr>
          <w:lang w:val="en-GB"/>
        </w:rPr>
        <w:t>ETSI EN 302 663</w:t>
      </w:r>
      <w:bookmarkEnd w:id="96"/>
      <w:r>
        <w:rPr>
          <w:lang w:val="en-GB"/>
        </w:rPr>
        <w:t>: “Intelligent Transport Systems (ITS); Access layer specification for Intelligent Transport Systems operating in the 5 GHz frequency band”</w:t>
      </w:r>
      <w:bookmarkEnd w:id="97"/>
    </w:p>
    <w:p w14:paraId="0A7D7D2F" w14:textId="7678CF28" w:rsidR="00DC1304" w:rsidRPr="00DC1304" w:rsidRDefault="00CE2179" w:rsidP="001A0C43">
      <w:pPr>
        <w:pStyle w:val="reference"/>
        <w:spacing w:after="0"/>
        <w:rPr>
          <w:rFonts w:cs="Arial"/>
          <w:szCs w:val="20"/>
          <w:lang w:val="en-GB"/>
        </w:rPr>
      </w:pPr>
      <w:bookmarkStart w:id="98" w:name="_Ref525120073"/>
      <w:r>
        <w:rPr>
          <w:lang w:val="en-GB"/>
        </w:rPr>
        <w:t xml:space="preserve">ETSI </w:t>
      </w:r>
      <w:r w:rsidR="00155EB5">
        <w:rPr>
          <w:lang w:val="en-GB"/>
        </w:rPr>
        <w:t>TS 102 687</w:t>
      </w:r>
      <w:bookmarkEnd w:id="98"/>
      <w:r w:rsidR="00155EB5">
        <w:rPr>
          <w:lang w:val="en-GB"/>
        </w:rPr>
        <w:t>: “Intelligent Transport Systems (ITS); Decentralised Congestion Control Mechanisms for Intelligent Transport Systems operating in the 5 GHz range; Access layer part</w:t>
      </w:r>
      <w:r w:rsidR="00EC6097">
        <w:rPr>
          <w:lang w:val="en-GB"/>
        </w:rPr>
        <w:t>”</w:t>
      </w:r>
      <w:bookmarkStart w:id="99" w:name="_Ref525122783"/>
    </w:p>
    <w:p w14:paraId="0A7D7D30" w14:textId="13B0303D" w:rsidR="00D56865" w:rsidRPr="005759B6" w:rsidRDefault="00155EB5" w:rsidP="001A0C43">
      <w:pPr>
        <w:pStyle w:val="reference"/>
        <w:spacing w:after="0"/>
        <w:rPr>
          <w:rFonts w:cs="Arial"/>
          <w:szCs w:val="20"/>
          <w:lang w:val="en-GB"/>
        </w:rPr>
      </w:pPr>
      <w:r>
        <w:rPr>
          <w:lang w:val="en-GB"/>
        </w:rPr>
        <w:t>C-Roads Communication Profile V</w:t>
      </w:r>
      <w:r w:rsidR="00DC1304">
        <w:rPr>
          <w:lang w:val="en-GB"/>
        </w:rPr>
        <w:t xml:space="preserve">1.3 </w:t>
      </w:r>
      <w:r w:rsidR="00156F1E">
        <w:rPr>
          <w:lang w:val="en-GB"/>
        </w:rPr>
        <w:t>(</w:t>
      </w:r>
      <w:hyperlink r:id="rId70" w:history="1">
        <w:r w:rsidR="00156F1E">
          <w:rPr>
            <w:rStyle w:val="Hyperlink"/>
            <w:lang w:val="en-GB"/>
          </w:rPr>
          <w:t>here</w:t>
        </w:r>
      </w:hyperlink>
      <w:r w:rsidR="00156F1E">
        <w:rPr>
          <w:lang w:val="en-GB"/>
        </w:rPr>
        <w:t>)</w:t>
      </w:r>
      <w:r w:rsidR="00DC1304" w:rsidRPr="00DC1304" w:rsidDel="00DC1304">
        <w:rPr>
          <w:lang w:val="en-GB"/>
        </w:rPr>
        <w:t xml:space="preserve"> </w:t>
      </w:r>
      <w:r w:rsidR="00DC1304" w:rsidDel="00DC1304">
        <w:rPr>
          <w:lang w:val="en-GB"/>
        </w:rPr>
        <w:t xml:space="preserve"> </w:t>
      </w:r>
    </w:p>
    <w:p w14:paraId="0A7D7D32" w14:textId="77777777" w:rsidR="00ED05C7" w:rsidRPr="00ED05C7" w:rsidRDefault="00ED05C7" w:rsidP="001A0C43">
      <w:pPr>
        <w:pStyle w:val="reference"/>
        <w:spacing w:after="0"/>
        <w:rPr>
          <w:rFonts w:cs="Arial"/>
          <w:szCs w:val="20"/>
          <w:lang w:val="en-GB"/>
        </w:rPr>
      </w:pPr>
      <w:bookmarkStart w:id="100" w:name="_Ref528318926"/>
      <w:bookmarkEnd w:id="99"/>
      <w:r>
        <w:t xml:space="preserve">IEEE 1474.1-2004: </w:t>
      </w:r>
      <w:r w:rsidR="00EC6097">
        <w:t>“</w:t>
      </w:r>
      <w:r>
        <w:t>IEEE Standard for Communications-Based Train Control (CBTC) Performance and Functional Requirements</w:t>
      </w:r>
      <w:bookmarkEnd w:id="100"/>
      <w:r w:rsidR="00EC6097">
        <w:t>”</w:t>
      </w:r>
    </w:p>
    <w:p w14:paraId="0A7D7D33" w14:textId="77777777" w:rsidR="00ED05C7" w:rsidRDefault="00ED05C7" w:rsidP="0005124A">
      <w:pPr>
        <w:pStyle w:val="reference"/>
        <w:spacing w:after="0"/>
      </w:pPr>
      <w:bookmarkStart w:id="101" w:name="_Ref528318994"/>
      <w:r>
        <w:t xml:space="preserve">IEC 62290-1 Ed.2 (2014): </w:t>
      </w:r>
      <w:r w:rsidR="00EC6097">
        <w:t>“</w:t>
      </w:r>
      <w:r>
        <w:t>Systems principles and fundamental concepts</w:t>
      </w:r>
      <w:bookmarkEnd w:id="101"/>
      <w:r w:rsidR="00EC6097">
        <w:t>”</w:t>
      </w:r>
    </w:p>
    <w:p w14:paraId="0A7D7D34" w14:textId="77777777" w:rsidR="00ED05C7" w:rsidRDefault="00ED05C7" w:rsidP="0005124A">
      <w:pPr>
        <w:pStyle w:val="reference"/>
        <w:spacing w:after="0"/>
      </w:pPr>
      <w:bookmarkStart w:id="102" w:name="_Ref528319012"/>
      <w:r>
        <w:t>IEC 62290-2 Ed.2 (2014):</w:t>
      </w:r>
      <w:r w:rsidR="00EC6097">
        <w:t xml:space="preserve"> “</w:t>
      </w:r>
      <w:r>
        <w:t>Fundamental Requirements Specifications</w:t>
      </w:r>
      <w:bookmarkEnd w:id="102"/>
      <w:r w:rsidR="00EC6097">
        <w:t>”</w:t>
      </w:r>
    </w:p>
    <w:p w14:paraId="0A7D7D35" w14:textId="77777777" w:rsidR="00587BD9" w:rsidRDefault="00587BD9" w:rsidP="001A0C43">
      <w:pPr>
        <w:pStyle w:val="reference"/>
        <w:spacing w:after="0"/>
      </w:pPr>
      <w:bookmarkStart w:id="103" w:name="_Ref528320529"/>
      <w:r>
        <w:t xml:space="preserve">CEN-CENELEC Guide 26 Railway applications: </w:t>
      </w:r>
      <w:r w:rsidR="00EC6097">
        <w:t>“</w:t>
      </w:r>
      <w:r>
        <w:t>Preparation of standards for urban rail systems design, construction, manufacture, operations and maintenance</w:t>
      </w:r>
      <w:bookmarkEnd w:id="103"/>
      <w:r w:rsidR="00EC6097">
        <w:t>”</w:t>
      </w:r>
    </w:p>
    <w:p w14:paraId="0A7D7D36" w14:textId="77777777" w:rsidR="00604D4D" w:rsidRDefault="00604D4D" w:rsidP="00604D4D">
      <w:pPr>
        <w:pStyle w:val="reference"/>
        <w:spacing w:after="0"/>
      </w:pPr>
      <w:bookmarkStart w:id="104" w:name="_Ref535242112"/>
      <w:r>
        <w:t>Void</w:t>
      </w:r>
      <w:bookmarkStart w:id="105" w:name="_Ref201009"/>
      <w:bookmarkEnd w:id="104"/>
    </w:p>
    <w:p w14:paraId="0A7D7D37" w14:textId="77777777" w:rsidR="00A66878" w:rsidRPr="00BC2324" w:rsidRDefault="00436E10" w:rsidP="00604D4D">
      <w:pPr>
        <w:pStyle w:val="reference"/>
        <w:spacing w:after="0"/>
      </w:pPr>
      <w:r w:rsidRPr="00BC2324">
        <w:t>Austria-Vienna: Software package and information systems, Contract notice, Supplement to the Official Journal of the European Union 2018/S 244-558618</w:t>
      </w:r>
      <w:bookmarkEnd w:id="105"/>
    </w:p>
    <w:p w14:paraId="0A7D7D38" w14:textId="77777777" w:rsidR="00580F77" w:rsidRPr="00F670DC" w:rsidRDefault="008054F0" w:rsidP="001A0C43">
      <w:pPr>
        <w:pStyle w:val="reference"/>
        <w:spacing w:after="0"/>
        <w:rPr>
          <w:lang w:val="da-DK"/>
        </w:rPr>
      </w:pPr>
      <w:bookmarkStart w:id="106" w:name="_Ref201032"/>
      <w:bookmarkStart w:id="107" w:name="_Ref535314950"/>
      <w:r w:rsidRPr="00BC2324">
        <w:t>Slovenia-</w:t>
      </w:r>
      <w:proofErr w:type="spellStart"/>
      <w:r w:rsidRPr="00BC2324">
        <w:t>Celje</w:t>
      </w:r>
      <w:proofErr w:type="spellEnd"/>
      <w:r w:rsidRPr="00BC2324">
        <w:t>: Road traffic-control equipment</w:t>
      </w:r>
      <w:r w:rsidR="00A20C34" w:rsidRPr="00BC2324">
        <w:t>,</w:t>
      </w:r>
      <w:r w:rsidRPr="00BC2324">
        <w:t xml:space="preserve"> </w:t>
      </w:r>
      <w:r w:rsidR="00A20C34" w:rsidRPr="00BC2324">
        <w:t>Supplement to OJ</w:t>
      </w:r>
      <w:r w:rsidRPr="00BC2324">
        <w:t>EU 2017/S 242-503407</w:t>
      </w:r>
      <w:bookmarkEnd w:id="106"/>
    </w:p>
    <w:p w14:paraId="0A7D7D39" w14:textId="09A9FF8B" w:rsidR="00575746" w:rsidRPr="00B83C9F" w:rsidRDefault="00156F1E" w:rsidP="001A0C43">
      <w:pPr>
        <w:pStyle w:val="reference"/>
        <w:spacing w:after="0"/>
      </w:pPr>
      <w:bookmarkStart w:id="108" w:name="_Ref200185"/>
      <w:r>
        <w:rPr>
          <w:lang w:val="da-DK"/>
        </w:rPr>
        <w:t>ARIB (</w:t>
      </w:r>
      <w:r w:rsidR="001A2EFC">
        <w:rPr>
          <w:lang w:val="da-DK"/>
        </w:rPr>
        <w:t>Association of Radio Industries and Businesses</w:t>
      </w:r>
      <w:r>
        <w:rPr>
          <w:lang w:val="da-DK"/>
        </w:rPr>
        <w:t>)</w:t>
      </w:r>
      <w:r w:rsidR="001A2EFC">
        <w:rPr>
          <w:lang w:val="da-DK"/>
        </w:rPr>
        <w:t>: ”</w:t>
      </w:r>
      <w:r w:rsidR="00575746" w:rsidRPr="00BC2324">
        <w:rPr>
          <w:lang w:val="da-DK"/>
        </w:rPr>
        <w:t>ARIB</w:t>
      </w:r>
      <w:r w:rsidR="00575746" w:rsidRPr="00B83C9F">
        <w:rPr>
          <w:lang w:val="da-DK"/>
        </w:rPr>
        <w:t xml:space="preserve"> STD</w:t>
      </w:r>
      <w:r w:rsidR="00575746" w:rsidRPr="00B83C9F">
        <w:rPr>
          <w:rFonts w:ascii="MS Gothic" w:eastAsia="MS Gothic" w:hAnsi="MS Gothic" w:cs="MS Gothic" w:hint="eastAsia"/>
          <w:lang w:val="da-DK"/>
        </w:rPr>
        <w:t>－</w:t>
      </w:r>
      <w:r w:rsidR="00575746" w:rsidRPr="00B83C9F">
        <w:rPr>
          <w:lang w:val="da-DK"/>
        </w:rPr>
        <w:t>T75-v1.0</w:t>
      </w:r>
      <w:bookmarkEnd w:id="107"/>
      <w:bookmarkEnd w:id="108"/>
      <w:r w:rsidR="001A2EFC">
        <w:rPr>
          <w:lang w:val="da-DK"/>
        </w:rPr>
        <w:t>”</w:t>
      </w:r>
      <w:r w:rsidR="00D56865">
        <w:rPr>
          <w:lang w:val="da-DK"/>
        </w:rPr>
        <w:t>,</w:t>
      </w:r>
      <w:r>
        <w:rPr>
          <w:lang w:val="da-DK"/>
        </w:rPr>
        <w:t xml:space="preserve"> (</w:t>
      </w:r>
      <w:hyperlink r:id="rId71" w:history="1">
        <w:r w:rsidRPr="004707F0">
          <w:rPr>
            <w:rStyle w:val="Hyperlink"/>
            <w:lang w:val="da-DK"/>
          </w:rPr>
          <w:t>here</w:t>
        </w:r>
      </w:hyperlink>
      <w:r>
        <w:rPr>
          <w:lang w:val="da-DK"/>
        </w:rPr>
        <w:t>)</w:t>
      </w:r>
    </w:p>
    <w:p w14:paraId="0A7D7D3A" w14:textId="59BD3A1B" w:rsidR="00DB72CE" w:rsidRDefault="00DB72CE" w:rsidP="001A0C43">
      <w:pPr>
        <w:pStyle w:val="reference"/>
        <w:spacing w:after="0"/>
      </w:pPr>
      <w:bookmarkStart w:id="109" w:name="_Ref536197603"/>
      <w:r>
        <w:t>DOT Consultation</w:t>
      </w:r>
      <w:bookmarkEnd w:id="109"/>
      <w:r w:rsidR="00D56865">
        <w:t>,</w:t>
      </w:r>
      <w:r>
        <w:t xml:space="preserve"> </w:t>
      </w:r>
      <w:r w:rsidR="00156F1E">
        <w:t>(</w:t>
      </w:r>
      <w:hyperlink r:id="rId72" w:history="1">
        <w:r w:rsidR="00156F1E">
          <w:rPr>
            <w:rStyle w:val="Hyperlink"/>
          </w:rPr>
          <w:t>here</w:t>
        </w:r>
      </w:hyperlink>
      <w:r w:rsidR="00156F1E">
        <w:t>)</w:t>
      </w:r>
    </w:p>
    <w:p w14:paraId="0A7D7D3B" w14:textId="77777777" w:rsidR="00DC1304" w:rsidRPr="00C93852" w:rsidRDefault="00DC1304" w:rsidP="001A0C43">
      <w:pPr>
        <w:pStyle w:val="reference"/>
        <w:spacing w:after="0"/>
      </w:pPr>
      <w:bookmarkStart w:id="110" w:name="_Ref198257"/>
      <w:r w:rsidRPr="00C93852">
        <w:t>C-Roads position on the usage of the 5.9 GHz band</w:t>
      </w:r>
      <w:r w:rsidR="00D56865">
        <w:t>,</w:t>
      </w:r>
      <w:r w:rsidRPr="00C93852">
        <w:t xml:space="preserve"> </w:t>
      </w:r>
      <w:hyperlink r:id="rId73" w:history="1">
        <w:r w:rsidR="00D56865">
          <w:rPr>
            <w:rStyle w:val="Hyperlink"/>
          </w:rPr>
          <w:t>(here)</w:t>
        </w:r>
      </w:hyperlink>
      <w:bookmarkEnd w:id="110"/>
    </w:p>
    <w:p w14:paraId="0A7D7D3C" w14:textId="77777777" w:rsidR="00436E10" w:rsidRPr="00F670DC" w:rsidRDefault="00D56865" w:rsidP="001A0C43">
      <w:pPr>
        <w:pStyle w:val="reference"/>
        <w:spacing w:after="0"/>
      </w:pPr>
      <w:bookmarkStart w:id="111" w:name="_Ref1976977"/>
      <w:r>
        <w:t xml:space="preserve">China: </w:t>
      </w:r>
      <w:hyperlink r:id="rId74" w:history="1">
        <w:r>
          <w:rPr>
            <w:rStyle w:val="Hyperlink"/>
          </w:rPr>
          <w:t>(here)</w:t>
        </w:r>
      </w:hyperlink>
      <w:r w:rsidR="00C93852" w:rsidRPr="00F670DC">
        <w:t xml:space="preserve">, </w:t>
      </w:r>
      <w:r w:rsidR="001B293C">
        <w:t>(</w:t>
      </w:r>
      <w:hyperlink r:id="rId75" w:history="1">
        <w:r>
          <w:rPr>
            <w:rStyle w:val="Hyperlink"/>
            <w:lang w:val="en-GB"/>
          </w:rPr>
          <w:t>here</w:t>
        </w:r>
      </w:hyperlink>
      <w:bookmarkEnd w:id="111"/>
      <w:r w:rsidR="001B293C">
        <w:t>)</w:t>
      </w:r>
    </w:p>
    <w:p w14:paraId="0A7D7D3D" w14:textId="77777777" w:rsidR="00436E10" w:rsidRPr="00580F77" w:rsidRDefault="00696D86" w:rsidP="001A0C43">
      <w:pPr>
        <w:pStyle w:val="reference"/>
        <w:spacing w:after="0"/>
      </w:pPr>
      <w:bookmarkStart w:id="112" w:name="_Ref201970"/>
      <w:r>
        <w:t>FM(19)008: “</w:t>
      </w:r>
      <w:r w:rsidR="00580F77" w:rsidRPr="00F670DC">
        <w:t>LS from ETSI to ECC and WGFM on ITS</w:t>
      </w:r>
      <w:r>
        <w:t>”</w:t>
      </w:r>
      <w:bookmarkEnd w:id="112"/>
    </w:p>
    <w:p w14:paraId="0A7D7D3E" w14:textId="77777777" w:rsidR="00587BD9" w:rsidRDefault="00587BD9" w:rsidP="0005124A">
      <w:pPr>
        <w:pStyle w:val="reference"/>
        <w:numPr>
          <w:ilvl w:val="0"/>
          <w:numId w:val="0"/>
        </w:numPr>
        <w:ind w:left="397"/>
      </w:pPr>
    </w:p>
    <w:p w14:paraId="0A7D7D3F" w14:textId="77777777" w:rsidR="00C12AB8" w:rsidRDefault="00C12AB8">
      <w:pPr>
        <w:pStyle w:val="reference"/>
        <w:numPr>
          <w:ilvl w:val="0"/>
          <w:numId w:val="0"/>
        </w:numPr>
        <w:rPr>
          <w:rFonts w:cs="Arial"/>
          <w:szCs w:val="20"/>
          <w:lang w:val="en-GB"/>
        </w:rPr>
      </w:pPr>
    </w:p>
    <w:sectPr w:rsidR="00C12AB8">
      <w:pgSz w:w="11907" w:h="16840"/>
      <w:pgMar w:top="1440" w:right="1134" w:bottom="1440" w:left="113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902AF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902AFA" w16cid:durableId="202A57D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34C5DB" w14:textId="77777777" w:rsidR="003C33E1" w:rsidRDefault="003C33E1">
      <w:pPr>
        <w:spacing w:after="0" w:line="240" w:lineRule="auto"/>
      </w:pPr>
      <w:r>
        <w:separator/>
      </w:r>
    </w:p>
    <w:p w14:paraId="5397112A" w14:textId="77777777" w:rsidR="003C33E1" w:rsidRDefault="003C33E1"/>
  </w:endnote>
  <w:endnote w:type="continuationSeparator" w:id="0">
    <w:p w14:paraId="208F9C0D" w14:textId="77777777" w:rsidR="003C33E1" w:rsidRDefault="003C33E1">
      <w:pPr>
        <w:spacing w:after="0" w:line="240" w:lineRule="auto"/>
      </w:pPr>
      <w:r>
        <w:continuationSeparator/>
      </w:r>
    </w:p>
    <w:p w14:paraId="40625499" w14:textId="77777777" w:rsidR="003C33E1" w:rsidRDefault="003C33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Times New Roman"/>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D7D7D" w14:textId="77777777" w:rsidR="00296B1B" w:rsidRDefault="00296B1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D7D7F" w14:textId="77777777" w:rsidR="00296B1B" w:rsidRDefault="00296B1B">
    <w:pPr>
      <w:spacing w:line="14" w:lineRule="auto"/>
      <w:rPr>
        <w:szCs w:val="20"/>
      </w:rPr>
    </w:pPr>
    <w:r>
      <w:rPr>
        <w:noProof/>
        <w:sz w:val="22"/>
        <w:szCs w:val="22"/>
        <w:lang w:val="da-DK" w:eastAsia="da-DK"/>
      </w:rPr>
      <mc:AlternateContent>
        <mc:Choice Requires="wps">
          <w:drawing>
            <wp:anchor distT="0" distB="0" distL="114300" distR="114300" simplePos="0" relativeHeight="251681792" behindDoc="1" locked="0" layoutInCell="1" allowOverlap="1" wp14:anchorId="0A7D7D8F" wp14:editId="0A7D7D90">
              <wp:simplePos x="0" y="0"/>
              <wp:positionH relativeFrom="page">
                <wp:posOffset>3916045</wp:posOffset>
              </wp:positionH>
              <wp:positionV relativeFrom="page">
                <wp:posOffset>10151110</wp:posOffset>
              </wp:positionV>
              <wp:extent cx="107315" cy="127000"/>
              <wp:effectExtent l="1270" t="0" r="0"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D7D9B" w14:textId="77777777" w:rsidR="00296B1B" w:rsidRDefault="00296B1B">
                          <w:pPr>
                            <w:spacing w:line="183" w:lineRule="exact"/>
                            <w:ind w:left="40"/>
                            <w:rPr>
                              <w:rFonts w:eastAsia="Arial" w:cs="Arial"/>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038" type="#_x0000_t202" style="position:absolute;margin-left:308.35pt;margin-top:799.3pt;width:8.45pt;height:10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ckxsQIAAKwFAAAOAAAAZHJzL2Uyb0RvYy54bWysVFtvmzAUfp+0/2D5nWIouYBKqjaEaVJ3&#10;kdr9AAdMsAY2s51AN+2/79iEJO1epm08WAf7+DuX7/O5uR3aBh2Y0lyKFAdXBCMmCllysUvxl6fc&#10;W2KkDRUlbaRgKX5mGt+u3r656buEhbKWTckUAhChk75LcW1Ml/i+LmrWUn0lOybgsJKqpQZ+1c4v&#10;Fe0BvW38kJC530tVdkoWTGvYzcZDvHL4VcUK86mqNDOoSTHkZtyq3Lq1q7+6oclO0a7mxTEN+hdZ&#10;tJQLCHqCyqihaK/4b1AtL5TUsjJXhWx9WVW8YK4GqCYgr6p5rGnHXC3QHN2d2qT/H2zx8fBZIV6m&#10;+DoMMRK0BZKe2GDQvRyQ3YMO9Z1OwPGxA1czwAEw7arV3YMsvmok5LqmYsfulJJ9zWgJGQb2pn9x&#10;dcTRFmTbf5AlBKJ7Ix3QUKnWtg8aggAdmHo+sWOTKWxIsrgOZhgVcBSEC0Icez5Npsud0uYdky2y&#10;RooVkO/A6eFBG5sMTSYXG0vInDeNE0AjXmyA47gDoeGqPbNJOD5/xCTeLDfLyIvC+caLSJZ5d/k6&#10;8uZ5sJhl19l6nQU/bdwgSmpelkzYMJO2gujPuDuqfFTFSV1aNry0cDYlrXbbdaPQgYK2c/e5lsPJ&#10;2c1/mYZrAtTyqqQgjMh9GHv5fLnwojyaefGCLD0SxPfxnERxlOUvS3rggv17SahPcTwLZ6OWzkm/&#10;qg2YPpN9URtNWm5gejS8TfHy5EQTq8CNKB21hvJmtC9aYdM/twLonoh2erUSHcVqhu0AKFbEW1k+&#10;g3KVBGWBPGHkgVFL9R2jHsZHivW3PVUMo+a9APXbWTMZajK2k0FFAVdTbDAazbUZZ9K+U3xXA/L4&#10;voS8gxdScafecxbHdwUjwRVxHF925lz+O6/zkF39AgAA//8DAFBLAwQUAAYACAAAACEA2kCtHeAA&#10;AAANAQAADwAAAGRycy9kb3ducmV2LnhtbEyPQU/DMAyF70j8h8hI3FhaJsJWmk4TghMSoisHjmnj&#10;tdUapzTZVv495sRu9ntPz5/zzewGccIp9J40pIsEBFLjbU+ths/q9W4FIkRD1gyeUMMPBtgU11e5&#10;yaw/U4mnXWwFl1DIjIYuxjGTMjQdOhMWfkRib+8nZyKvUyvtZM5c7gZ5nyRKOtMTX+jMiM8dNofd&#10;0WnYflH50n+/1x/lvuyrap3QmzpofXszb59ARJzjfxj+8BkdCmaq/ZFsEIMGlapHjrLxsF4pEBxR&#10;yyUPNUsqZUkWubz8ovgFAAD//wMAUEsBAi0AFAAGAAgAAAAhALaDOJL+AAAA4QEAABMAAAAAAAAA&#10;AAAAAAAAAAAAAFtDb250ZW50X1R5cGVzXS54bWxQSwECLQAUAAYACAAAACEAOP0h/9YAAACUAQAA&#10;CwAAAAAAAAAAAAAAAAAvAQAAX3JlbHMvLnJlbHNQSwECLQAUAAYACAAAACEAhtnJMbECAACsBQAA&#10;DgAAAAAAAAAAAAAAAAAuAgAAZHJzL2Uyb0RvYy54bWxQSwECLQAUAAYACAAAACEA2kCtHeAAAAAN&#10;AQAADwAAAAAAAAAAAAAAAAALBQAAZHJzL2Rvd25yZXYueG1sUEsFBgAAAAAEAAQA8wAAABgGAAAA&#10;AA==&#10;" filled="f" stroked="f">
              <v:textbox inset="0,0,0,0">
                <w:txbxContent>
                  <w:p w14:paraId="0A7D7D9B" w14:textId="77777777" w:rsidR="00296B1B" w:rsidRDefault="00296B1B">
                    <w:pPr>
                      <w:spacing w:line="183" w:lineRule="exact"/>
                      <w:ind w:left="40"/>
                      <w:rPr>
                        <w:rFonts w:eastAsia="Arial" w:cs="Arial"/>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824F78" w14:textId="77777777" w:rsidR="003C33E1" w:rsidRDefault="003C33E1">
      <w:pPr>
        <w:spacing w:after="0" w:line="240" w:lineRule="auto"/>
      </w:pPr>
      <w:r>
        <w:separator/>
      </w:r>
    </w:p>
    <w:p w14:paraId="0A2F6C57" w14:textId="77777777" w:rsidR="003C33E1" w:rsidRDefault="003C33E1"/>
  </w:footnote>
  <w:footnote w:type="continuationSeparator" w:id="0">
    <w:p w14:paraId="598C8207" w14:textId="77777777" w:rsidR="003C33E1" w:rsidRDefault="003C33E1">
      <w:pPr>
        <w:spacing w:after="0" w:line="240" w:lineRule="auto"/>
      </w:pPr>
      <w:r>
        <w:continuationSeparator/>
      </w:r>
    </w:p>
    <w:p w14:paraId="7E6521BA" w14:textId="77777777" w:rsidR="003C33E1" w:rsidRDefault="003C33E1"/>
  </w:footnote>
  <w:footnote w:id="1">
    <w:p w14:paraId="0A7D7D91" w14:textId="77777777" w:rsidR="00296B1B" w:rsidRDefault="00296B1B">
      <w:pPr>
        <w:pStyle w:val="FootnoteText"/>
      </w:pPr>
      <w:r>
        <w:rPr>
          <w:rStyle w:val="FootnoteReference"/>
        </w:rPr>
        <w:footnoteRef/>
      </w:r>
      <w:r>
        <w:t xml:space="preserve"> This type of communication encompasses urban and suburban usages.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D7D73" w14:textId="54B2655E" w:rsidR="00296B1B" w:rsidRDefault="00296B1B">
    <w:pPr>
      <w:pStyle w:val="Header"/>
      <w:rPr>
        <w:b w:val="0"/>
        <w:lang w:val="da-DK"/>
      </w:rPr>
    </w:pPr>
    <w:r>
      <w:rPr>
        <w:b w:val="0"/>
        <w:lang w:val="da-DK"/>
      </w:rPr>
      <w:t>Draft ECC REPORT XXX</w:t>
    </w:r>
  </w:p>
  <w:p w14:paraId="0A7D7D74" w14:textId="77777777" w:rsidR="00296B1B" w:rsidRDefault="00296B1B">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sidRPr="00BB544A">
      <w:rPr>
        <w:noProof/>
        <w:szCs w:val="16"/>
        <w:lang w:val="da-DK"/>
      </w:rPr>
      <w:t>11</w:t>
    </w:r>
    <w:r>
      <w:rPr>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D7D75" w14:textId="5AE79E4B" w:rsidR="00296B1B" w:rsidRDefault="00296B1B">
    <w:pPr>
      <w:pStyle w:val="Header"/>
      <w:jc w:val="right"/>
      <w:rPr>
        <w:b w:val="0"/>
        <w:lang w:val="da-DK"/>
      </w:rPr>
    </w:pPr>
    <w:r>
      <w:rPr>
        <w:b w:val="0"/>
        <w:lang w:val="da-DK"/>
      </w:rPr>
      <w:t>Draft ECC REPORT XXX</w:t>
    </w:r>
  </w:p>
  <w:p w14:paraId="0A7D7D76" w14:textId="77777777" w:rsidR="00296B1B" w:rsidRDefault="00296B1B">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sidRPr="00BB544A">
      <w:rPr>
        <w:noProof/>
        <w:szCs w:val="16"/>
        <w:lang w:val="da-DK"/>
      </w:rPr>
      <w:t>11</w:t>
    </w:r>
    <w:r>
      <w:rPr>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D7D77" w14:textId="027EC759" w:rsidR="00296B1B" w:rsidRDefault="00296B1B">
    <w:pPr>
      <w:pStyle w:val="Header"/>
    </w:pPr>
    <w:r>
      <w:rPr>
        <w:noProof/>
        <w:szCs w:val="20"/>
        <w:lang w:val="da-DK" w:eastAsia="da-DK"/>
      </w:rPr>
      <w:drawing>
        <wp:anchor distT="0" distB="0" distL="114300" distR="114300" simplePos="0" relativeHeight="251658240" behindDoc="0" locked="0" layoutInCell="1" allowOverlap="1" wp14:anchorId="0A7D7D83" wp14:editId="0A7D7D84">
          <wp:simplePos x="0" y="0"/>
          <wp:positionH relativeFrom="page">
            <wp:posOffset>5717540</wp:posOffset>
          </wp:positionH>
          <wp:positionV relativeFrom="page">
            <wp:posOffset>648335</wp:posOffset>
          </wp:positionV>
          <wp:extent cx="1461770" cy="546100"/>
          <wp:effectExtent l="25400" t="0" r="11430" b="0"/>
          <wp:wrapNone/>
          <wp:docPr id="7" name="Picture 7"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cc_logo"/>
                  <pic:cNvPicPr>
                    <a:picLocks noChangeAspect="1" noChangeArrowheads="1"/>
                  </pic:cNvPicPr>
                </pic:nvPicPr>
                <pic:blipFill>
                  <a:blip r:embed="rId1"/>
                  <a:srcRect/>
                  <a:stretch>
                    <a:fillRect/>
                  </a:stretch>
                </pic:blipFill>
                <pic:spPr>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57216" behindDoc="0" locked="0" layoutInCell="1" allowOverlap="1" wp14:anchorId="0A7D7D85" wp14:editId="0A7D7D86">
          <wp:simplePos x="0" y="0"/>
          <wp:positionH relativeFrom="page">
            <wp:posOffset>572770</wp:posOffset>
          </wp:positionH>
          <wp:positionV relativeFrom="page">
            <wp:posOffset>457200</wp:posOffset>
          </wp:positionV>
          <wp:extent cx="889000" cy="889000"/>
          <wp:effectExtent l="25400" t="0" r="0" b="0"/>
          <wp:wrapNone/>
          <wp:docPr id="9" name="Picture 9"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ept logo"/>
                  <pic:cNvPicPr>
                    <a:picLocks noChangeAspect="1" noChangeArrowheads="1"/>
                  </pic:cNvPicPr>
                </pic:nvPicPr>
                <pic:blipFill>
                  <a:blip r:embed="rId2"/>
                  <a:srcRect/>
                  <a:stretch>
                    <a:fillRect/>
                  </a:stretch>
                </pic:blipFill>
                <pic:spPr>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D7D78" w14:textId="1F724539" w:rsidR="00296B1B" w:rsidRDefault="00296B1B">
    <w:pPr>
      <w:pStyle w:val="Header"/>
      <w:rPr>
        <w:szCs w:val="16"/>
        <w:lang w:val="da-DK"/>
      </w:rPr>
    </w:pPr>
    <w:r>
      <w:rPr>
        <w:lang w:val="da-DK"/>
      </w:rPr>
      <w:t xml:space="preserve">CEPT REPORT 71 - </w:t>
    </w:r>
    <w:r>
      <w:rPr>
        <w:szCs w:val="16"/>
        <w:lang w:val="da-DK"/>
      </w:rPr>
      <w:t xml:space="preserve">Page </w:t>
    </w:r>
    <w:r>
      <w:fldChar w:fldCharType="begin"/>
    </w:r>
    <w:r>
      <w:instrText xml:space="preserve"> PAGE  \* Arabic  \* MERGEFORMAT </w:instrText>
    </w:r>
    <w:r>
      <w:fldChar w:fldCharType="separate"/>
    </w:r>
    <w:r w:rsidR="009E5CE0" w:rsidRPr="009E5CE0">
      <w:rPr>
        <w:noProof/>
        <w:szCs w:val="16"/>
        <w:lang w:val="da-DK"/>
      </w:rPr>
      <w:t>2</w:t>
    </w:r>
    <w:r>
      <w:rPr>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D7D79" w14:textId="211E95F5" w:rsidR="00296B1B" w:rsidRDefault="00296B1B">
    <w:pPr>
      <w:pStyle w:val="Header"/>
      <w:jc w:val="right"/>
      <w:rPr>
        <w:szCs w:val="16"/>
        <w:lang w:val="da-DK"/>
      </w:rPr>
    </w:pPr>
    <w:r>
      <w:rPr>
        <w:lang w:val="da-DK"/>
      </w:rPr>
      <w:t xml:space="preserve">CEPT REPORT 71 - </w:t>
    </w:r>
    <w:r>
      <w:rPr>
        <w:szCs w:val="16"/>
        <w:lang w:val="da-DK"/>
      </w:rPr>
      <w:t xml:space="preserve">Page </w:t>
    </w:r>
    <w:r>
      <w:fldChar w:fldCharType="begin"/>
    </w:r>
    <w:r>
      <w:instrText xml:space="preserve"> PAGE  \* Arabic  \* MERGEFORMAT </w:instrText>
    </w:r>
    <w:r>
      <w:fldChar w:fldCharType="separate"/>
    </w:r>
    <w:r w:rsidR="009E5CE0" w:rsidRPr="009E5CE0">
      <w:rPr>
        <w:noProof/>
        <w:szCs w:val="16"/>
        <w:lang w:val="da-DK"/>
      </w:rPr>
      <w:t>23</w:t>
    </w:r>
    <w:r>
      <w:rPr>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D7D7A" w14:textId="02B0773F" w:rsidR="00296B1B" w:rsidRDefault="00296B1B">
    <w:pPr>
      <w:pStyle w:val="Header"/>
      <w:rPr>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D7D7B" w14:textId="45AB9013" w:rsidR="00296B1B" w:rsidRDefault="00296B1B" w:rsidP="00E27762">
    <w:pPr>
      <w:pStyle w:val="Header"/>
    </w:pPr>
    <w:r>
      <w:rPr>
        <w:lang w:val="da-DK"/>
      </w:rPr>
      <w:t xml:space="preserve">CEPT REPORT 71 - </w:t>
    </w:r>
    <w:r>
      <w:rPr>
        <w:szCs w:val="16"/>
        <w:lang w:val="da-DK"/>
      </w:rPr>
      <w:t xml:space="preserve">Page </w:t>
    </w:r>
    <w:r>
      <w:fldChar w:fldCharType="begin"/>
    </w:r>
    <w:r>
      <w:instrText xml:space="preserve"> PAGE  \* Arabic  \* MERGEFORMAT </w:instrText>
    </w:r>
    <w:r>
      <w:fldChar w:fldCharType="separate"/>
    </w:r>
    <w:r w:rsidR="009E5CE0" w:rsidRPr="009E5CE0">
      <w:rPr>
        <w:noProof/>
        <w:szCs w:val="16"/>
        <w:lang w:val="da-DK"/>
      </w:rPr>
      <w:t>42</w:t>
    </w:r>
    <w:r>
      <w:rPr>
        <w:szCs w:val="16"/>
        <w:lang w:val="da-DK"/>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D7D7C" w14:textId="40D8841A" w:rsidR="00296B1B" w:rsidRDefault="00296B1B" w:rsidP="00E27762">
    <w:pPr>
      <w:pStyle w:val="Header"/>
      <w:jc w:val="right"/>
    </w:pPr>
    <w:r>
      <w:rPr>
        <w:lang w:val="da-DK"/>
      </w:rPr>
      <w:t xml:space="preserve">CEPT REPORT 71 - </w:t>
    </w:r>
    <w:r>
      <w:rPr>
        <w:szCs w:val="16"/>
        <w:lang w:val="da-DK"/>
      </w:rPr>
      <w:t xml:space="preserve">Page </w:t>
    </w:r>
    <w:r>
      <w:fldChar w:fldCharType="begin"/>
    </w:r>
    <w:r>
      <w:instrText xml:space="preserve"> PAGE  \* Arabic  \* MERGEFORMAT </w:instrText>
    </w:r>
    <w:r>
      <w:fldChar w:fldCharType="separate"/>
    </w:r>
    <w:r w:rsidR="009E5CE0" w:rsidRPr="009E5CE0">
      <w:rPr>
        <w:noProof/>
        <w:szCs w:val="16"/>
        <w:lang w:val="da-DK"/>
      </w:rPr>
      <w:t>41</w:t>
    </w:r>
    <w:r>
      <w:rPr>
        <w:szCs w:val="16"/>
        <w:lang w:val="da-DK"/>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D7D7E" w14:textId="653A8437" w:rsidR="00296B1B" w:rsidRDefault="00296B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nsid w:val="FFFFFF80"/>
    <w:multiLevelType w:val="singleLevel"/>
    <w:tmpl w:val="FFFFFF80"/>
    <w:lvl w:ilvl="0">
      <w:start w:val="1"/>
      <w:numFmt w:val="bullet"/>
      <w:pStyle w:val="ListBullet5"/>
      <w:lvlText w:val=""/>
      <w:lvlJc w:val="left"/>
      <w:pPr>
        <w:tabs>
          <w:tab w:val="left" w:pos="1492"/>
        </w:tabs>
        <w:ind w:left="1492" w:hanging="360"/>
      </w:pPr>
      <w:rPr>
        <w:rFonts w:ascii="Symbol" w:hAnsi="Symbol" w:hint="default"/>
      </w:rPr>
    </w:lvl>
  </w:abstractNum>
  <w:abstractNum w:abstractNumId="2">
    <w:nsid w:val="02715A3B"/>
    <w:multiLevelType w:val="multilevel"/>
    <w:tmpl w:val="02715A3B"/>
    <w:lvl w:ilvl="0">
      <w:start w:val="1"/>
      <w:numFmt w:val="none"/>
      <w:pStyle w:val="SectionNumber"/>
      <w:lvlText w:val="%1"/>
      <w:lvlJc w:val="left"/>
      <w:pPr>
        <w:tabs>
          <w:tab w:val="left" w:pos="0"/>
        </w:tabs>
        <w:ind w:left="0" w:firstLine="0"/>
      </w:pPr>
      <w:rPr>
        <w:rFonts w:hint="default"/>
        <w:color w:val="FFFFFF"/>
      </w:rPr>
    </w:lvl>
    <w:lvl w:ilvl="1">
      <w:start w:val="1"/>
      <w:numFmt w:val="decimal"/>
      <w:lvlRestart w:val="0"/>
      <w:pStyle w:val="Sectionlevel1"/>
      <w:lvlText w:val="%2"/>
      <w:lvlJc w:val="left"/>
      <w:pPr>
        <w:tabs>
          <w:tab w:val="left" w:pos="0"/>
        </w:tabs>
        <w:ind w:left="0" w:hanging="720"/>
      </w:pPr>
      <w:rPr>
        <w:rFonts w:hint="default"/>
        <w:color w:val="FFFFFF"/>
      </w:rPr>
    </w:lvl>
    <w:lvl w:ilvl="2">
      <w:start w:val="1"/>
      <w:numFmt w:val="none"/>
      <w:lvlRestart w:val="0"/>
      <w:pStyle w:val="SectionLevel2"/>
      <w:lvlText w:val=""/>
      <w:lvlJc w:val="left"/>
      <w:pPr>
        <w:tabs>
          <w:tab w:val="left" w:pos="0"/>
        </w:tabs>
        <w:ind w:left="0" w:firstLine="0"/>
      </w:pPr>
      <w:rPr>
        <w:rFonts w:hint="default"/>
      </w:rPr>
    </w:lvl>
    <w:lvl w:ilvl="3">
      <w:start w:val="1"/>
      <w:numFmt w:val="decimal"/>
      <w:lvlRestart w:val="2"/>
      <w:pStyle w:val="SectionLevel3"/>
      <w:lvlText w:val="%2.%4"/>
      <w:lvlJc w:val="left"/>
      <w:pPr>
        <w:tabs>
          <w:tab w:val="left" w:pos="142"/>
        </w:tabs>
        <w:ind w:left="862" w:hanging="720"/>
      </w:pPr>
      <w:rPr>
        <w:rFonts w:hint="default"/>
        <w:b w:val="0"/>
      </w:rPr>
    </w:lvl>
    <w:lvl w:ilvl="4">
      <w:start w:val="1"/>
      <w:numFmt w:val="decimal"/>
      <w:pStyle w:val="SectionLevel4"/>
      <w:lvlText w:val="%2.%4.%5"/>
      <w:lvlJc w:val="left"/>
      <w:pPr>
        <w:tabs>
          <w:tab w:val="left" w:pos="1656"/>
        </w:tabs>
        <w:ind w:left="1656" w:hanging="936"/>
      </w:pPr>
      <w:rPr>
        <w:rFonts w:hint="default"/>
      </w:rPr>
    </w:lvl>
    <w:lvl w:ilvl="5">
      <w:start w:val="1"/>
      <w:numFmt w:val="lowerLetter"/>
      <w:lvlRestart w:val="4"/>
      <w:pStyle w:val="Sectionabullets"/>
      <w:lvlText w:val="%6)"/>
      <w:lvlJc w:val="left"/>
      <w:pPr>
        <w:tabs>
          <w:tab w:val="left" w:pos="1080"/>
        </w:tabs>
        <w:ind w:left="1080" w:hanging="360"/>
      </w:pPr>
      <w:rPr>
        <w:rFonts w:hint="default"/>
      </w:rPr>
    </w:lvl>
    <w:lvl w:ilvl="6">
      <w:start w:val="1"/>
      <w:numFmt w:val="lowerRoman"/>
      <w:lvlRestart w:val="4"/>
      <w:pStyle w:val="Sectionibullets"/>
      <w:lvlText w:val="%7)"/>
      <w:lvlJc w:val="left"/>
      <w:pPr>
        <w:tabs>
          <w:tab w:val="left" w:pos="1080"/>
        </w:tabs>
        <w:ind w:left="1080" w:hanging="360"/>
      </w:pPr>
      <w:rPr>
        <w:rFonts w:hint="default"/>
        <w:color w:val="auto"/>
      </w:rPr>
    </w:lvl>
    <w:lvl w:ilvl="7">
      <w:start w:val="1"/>
      <w:numFmt w:val="none"/>
      <w:lvlRestart w:val="0"/>
      <w:pStyle w:val="SectionBodyText"/>
      <w:lvlText w:val="%8"/>
      <w:lvlJc w:val="left"/>
      <w:pPr>
        <w:tabs>
          <w:tab w:val="left" w:pos="0"/>
        </w:tabs>
        <w:ind w:left="0" w:firstLine="0"/>
      </w:pPr>
      <w:rPr>
        <w:rFonts w:hint="default"/>
        <w:color w:val="auto"/>
      </w:rPr>
    </w:lvl>
    <w:lvl w:ilvl="8">
      <w:start w:val="1"/>
      <w:numFmt w:val="none"/>
      <w:lvlRestart w:val="0"/>
      <w:suff w:val="nothing"/>
      <w:lvlText w:val=""/>
      <w:lvlJc w:val="left"/>
      <w:pPr>
        <w:ind w:left="0" w:firstLine="0"/>
      </w:pPr>
      <w:rPr>
        <w:rFonts w:hint="default"/>
      </w:rPr>
    </w:lvl>
  </w:abstractNum>
  <w:abstractNum w:abstractNumId="3">
    <w:nsid w:val="0FEB4A7C"/>
    <w:multiLevelType w:val="multilevel"/>
    <w:tmpl w:val="0FEB4A7C"/>
    <w:lvl w:ilvl="0">
      <w:start w:val="1"/>
      <w:numFmt w:val="bullet"/>
      <w:pStyle w:val="ECCBulletsLv1"/>
      <w:lvlText w:val=""/>
      <w:lvlJc w:val="left"/>
      <w:pPr>
        <w:ind w:left="700" w:hanging="360"/>
      </w:pPr>
      <w:rPr>
        <w:rFonts w:ascii="Wingdings" w:hAnsi="Wingdings" w:hint="default"/>
        <w:color w:val="D2232A"/>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4">
    <w:nsid w:val="131B1B7E"/>
    <w:multiLevelType w:val="hybridMultilevel"/>
    <w:tmpl w:val="ABC642BA"/>
    <w:lvl w:ilvl="0" w:tplc="4BC8983A">
      <w:start w:val="1"/>
      <w:numFmt w:val="decimal"/>
      <w:lvlText w:val="%1."/>
      <w:lvlJc w:val="left"/>
      <w:pPr>
        <w:ind w:left="588" w:hanging="481"/>
      </w:pPr>
      <w:rPr>
        <w:rFonts w:ascii="Times New Roman" w:eastAsia="Times New Roman" w:hAnsi="Times New Roman" w:hint="default"/>
        <w:b/>
        <w:bCs/>
        <w:sz w:val="24"/>
        <w:szCs w:val="24"/>
      </w:rPr>
    </w:lvl>
    <w:lvl w:ilvl="1" w:tplc="86B2D5B0">
      <w:start w:val="1"/>
      <w:numFmt w:val="bullet"/>
      <w:lvlText w:val=""/>
      <w:lvlJc w:val="left"/>
      <w:pPr>
        <w:ind w:left="1308" w:hanging="360"/>
      </w:pPr>
      <w:rPr>
        <w:rFonts w:ascii="Symbol" w:eastAsia="Symbol" w:hAnsi="Symbol" w:hint="default"/>
        <w:sz w:val="24"/>
        <w:szCs w:val="24"/>
      </w:rPr>
    </w:lvl>
    <w:lvl w:ilvl="2" w:tplc="4F2489A6">
      <w:start w:val="1"/>
      <w:numFmt w:val="bullet"/>
      <w:lvlText w:val="•"/>
      <w:lvlJc w:val="left"/>
      <w:pPr>
        <w:ind w:left="2161" w:hanging="360"/>
      </w:pPr>
      <w:rPr>
        <w:rFonts w:hint="default"/>
      </w:rPr>
    </w:lvl>
    <w:lvl w:ilvl="3" w:tplc="39781DF8">
      <w:start w:val="1"/>
      <w:numFmt w:val="bullet"/>
      <w:lvlText w:val="•"/>
      <w:lvlJc w:val="left"/>
      <w:pPr>
        <w:ind w:left="3014" w:hanging="360"/>
      </w:pPr>
      <w:rPr>
        <w:rFonts w:hint="default"/>
      </w:rPr>
    </w:lvl>
    <w:lvl w:ilvl="4" w:tplc="1062E100">
      <w:start w:val="1"/>
      <w:numFmt w:val="bullet"/>
      <w:lvlText w:val="•"/>
      <w:lvlJc w:val="left"/>
      <w:pPr>
        <w:ind w:left="3867" w:hanging="360"/>
      </w:pPr>
      <w:rPr>
        <w:rFonts w:hint="default"/>
      </w:rPr>
    </w:lvl>
    <w:lvl w:ilvl="5" w:tplc="39C80E7A">
      <w:start w:val="1"/>
      <w:numFmt w:val="bullet"/>
      <w:lvlText w:val="•"/>
      <w:lvlJc w:val="left"/>
      <w:pPr>
        <w:ind w:left="4720" w:hanging="360"/>
      </w:pPr>
      <w:rPr>
        <w:rFonts w:hint="default"/>
      </w:rPr>
    </w:lvl>
    <w:lvl w:ilvl="6" w:tplc="A38CCA2A">
      <w:start w:val="1"/>
      <w:numFmt w:val="bullet"/>
      <w:lvlText w:val="•"/>
      <w:lvlJc w:val="left"/>
      <w:pPr>
        <w:ind w:left="5573" w:hanging="360"/>
      </w:pPr>
      <w:rPr>
        <w:rFonts w:hint="default"/>
      </w:rPr>
    </w:lvl>
    <w:lvl w:ilvl="7" w:tplc="4362981C">
      <w:start w:val="1"/>
      <w:numFmt w:val="bullet"/>
      <w:lvlText w:val="•"/>
      <w:lvlJc w:val="left"/>
      <w:pPr>
        <w:ind w:left="6426" w:hanging="360"/>
      </w:pPr>
      <w:rPr>
        <w:rFonts w:hint="default"/>
      </w:rPr>
    </w:lvl>
    <w:lvl w:ilvl="8" w:tplc="114A876E">
      <w:start w:val="1"/>
      <w:numFmt w:val="bullet"/>
      <w:lvlText w:val="•"/>
      <w:lvlJc w:val="left"/>
      <w:pPr>
        <w:ind w:left="7280" w:hanging="360"/>
      </w:pPr>
      <w:rPr>
        <w:rFonts w:hint="default"/>
      </w:rPr>
    </w:lvl>
  </w:abstractNum>
  <w:abstractNum w:abstractNumId="5">
    <w:nsid w:val="165A3D26"/>
    <w:multiLevelType w:val="multilevel"/>
    <w:tmpl w:val="165A3D2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20A87A02"/>
    <w:multiLevelType w:val="multilevel"/>
    <w:tmpl w:val="20A87A02"/>
    <w:lvl w:ilvl="0">
      <w:start w:val="1"/>
      <w:numFmt w:val="bullet"/>
      <w:pStyle w:val="ECCParBulleted"/>
      <w:lvlText w:val=""/>
      <w:lvlJc w:val="left"/>
      <w:pPr>
        <w:tabs>
          <w:tab w:val="left" w:pos="340"/>
        </w:tabs>
        <w:ind w:left="340" w:hanging="340"/>
      </w:pPr>
      <w:rPr>
        <w:rFonts w:ascii="Wingdings" w:hAnsi="Wingdings" w:hint="default"/>
        <w:color w:val="D2232A"/>
      </w:rPr>
    </w:lvl>
    <w:lvl w:ilvl="1">
      <w:start w:val="1"/>
      <w:numFmt w:val="bullet"/>
      <w:lvlText w:val="o"/>
      <w:lvlJc w:val="left"/>
      <w:pPr>
        <w:tabs>
          <w:tab w:val="left" w:pos="419"/>
        </w:tabs>
        <w:ind w:left="419" w:hanging="360"/>
      </w:pPr>
      <w:rPr>
        <w:rFonts w:ascii="Courier New" w:hAnsi="Courier New" w:cs="Arial Bold" w:hint="default"/>
      </w:rPr>
    </w:lvl>
    <w:lvl w:ilvl="2">
      <w:start w:val="1"/>
      <w:numFmt w:val="bullet"/>
      <w:lvlText w:val=""/>
      <w:lvlJc w:val="left"/>
      <w:pPr>
        <w:tabs>
          <w:tab w:val="left" w:pos="1139"/>
        </w:tabs>
        <w:ind w:left="1139" w:hanging="360"/>
      </w:pPr>
      <w:rPr>
        <w:rFonts w:ascii="Wingdings" w:hAnsi="Wingdings" w:hint="default"/>
      </w:rPr>
    </w:lvl>
    <w:lvl w:ilvl="3">
      <w:start w:val="1"/>
      <w:numFmt w:val="bullet"/>
      <w:lvlText w:val=""/>
      <w:lvlJc w:val="left"/>
      <w:pPr>
        <w:tabs>
          <w:tab w:val="left" w:pos="1859"/>
        </w:tabs>
        <w:ind w:left="1859" w:hanging="360"/>
      </w:pPr>
      <w:rPr>
        <w:rFonts w:ascii="Symbol" w:hAnsi="Symbol" w:hint="default"/>
      </w:rPr>
    </w:lvl>
    <w:lvl w:ilvl="4">
      <w:start w:val="1"/>
      <w:numFmt w:val="bullet"/>
      <w:lvlText w:val="o"/>
      <w:lvlJc w:val="left"/>
      <w:pPr>
        <w:tabs>
          <w:tab w:val="left" w:pos="2579"/>
        </w:tabs>
        <w:ind w:left="2579" w:hanging="360"/>
      </w:pPr>
      <w:rPr>
        <w:rFonts w:ascii="Courier New" w:hAnsi="Courier New" w:cs="Arial Bold" w:hint="default"/>
      </w:rPr>
    </w:lvl>
    <w:lvl w:ilvl="5">
      <w:start w:val="1"/>
      <w:numFmt w:val="bullet"/>
      <w:lvlText w:val=""/>
      <w:lvlJc w:val="left"/>
      <w:pPr>
        <w:tabs>
          <w:tab w:val="left" w:pos="3299"/>
        </w:tabs>
        <w:ind w:left="3299" w:hanging="360"/>
      </w:pPr>
      <w:rPr>
        <w:rFonts w:ascii="Wingdings" w:hAnsi="Wingdings" w:hint="default"/>
      </w:rPr>
    </w:lvl>
    <w:lvl w:ilvl="6">
      <w:start w:val="1"/>
      <w:numFmt w:val="bullet"/>
      <w:lvlText w:val=""/>
      <w:lvlJc w:val="left"/>
      <w:pPr>
        <w:tabs>
          <w:tab w:val="left" w:pos="4019"/>
        </w:tabs>
        <w:ind w:left="4019" w:hanging="360"/>
      </w:pPr>
      <w:rPr>
        <w:rFonts w:ascii="Symbol" w:hAnsi="Symbol" w:hint="default"/>
      </w:rPr>
    </w:lvl>
    <w:lvl w:ilvl="7">
      <w:start w:val="1"/>
      <w:numFmt w:val="bullet"/>
      <w:lvlText w:val="o"/>
      <w:lvlJc w:val="left"/>
      <w:pPr>
        <w:tabs>
          <w:tab w:val="left" w:pos="4739"/>
        </w:tabs>
        <w:ind w:left="4739" w:hanging="360"/>
      </w:pPr>
      <w:rPr>
        <w:rFonts w:ascii="Courier New" w:hAnsi="Courier New" w:cs="Arial Bold" w:hint="default"/>
      </w:rPr>
    </w:lvl>
    <w:lvl w:ilvl="8">
      <w:start w:val="1"/>
      <w:numFmt w:val="bullet"/>
      <w:lvlText w:val=""/>
      <w:lvlJc w:val="left"/>
      <w:pPr>
        <w:tabs>
          <w:tab w:val="left" w:pos="5459"/>
        </w:tabs>
        <w:ind w:left="5459" w:hanging="360"/>
      </w:pPr>
      <w:rPr>
        <w:rFonts w:ascii="Wingdings" w:hAnsi="Wingdings" w:hint="default"/>
      </w:rPr>
    </w:lvl>
  </w:abstractNum>
  <w:abstractNum w:abstractNumId="7">
    <w:nsid w:val="212F4188"/>
    <w:multiLevelType w:val="multilevel"/>
    <w:tmpl w:val="9AA05C3E"/>
    <w:lvl w:ilvl="0">
      <w:start w:val="1"/>
      <w:numFmt w:val="decimal"/>
      <w:pStyle w:val="ECCAnnexheading1"/>
      <w:suff w:val="space"/>
      <w:lvlText w:val="ANNEX %1:"/>
      <w:lvlJc w:val="left"/>
      <w:pPr>
        <w:ind w:left="0" w:firstLine="0"/>
      </w:pPr>
      <w:rPr>
        <w:b/>
        <w:bCs w:val="0"/>
        <w:i w:val="0"/>
        <w:iCs w:val="0"/>
        <w:caps w:val="0"/>
        <w:smallCaps w:val="0"/>
        <w:strike w:val="0"/>
        <w:dstrike w:val="0"/>
        <w:vanish w:val="0"/>
        <w:color w:val="D2232A"/>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left" w:pos="1004"/>
        </w:tabs>
        <w:ind w:left="1004" w:hanging="720"/>
      </w:pPr>
      <w:rPr>
        <w:rFonts w:hint="default"/>
      </w:rPr>
    </w:lvl>
    <w:lvl w:ilvl="3">
      <w:start w:val="1"/>
      <w:numFmt w:val="decimal"/>
      <w:pStyle w:val="ECCAnnexheading4"/>
      <w:lvlText w:val="A%1.%2.%3.%4"/>
      <w:lvlJc w:val="left"/>
      <w:pPr>
        <w:tabs>
          <w:tab w:val="left" w:pos="1148"/>
        </w:tabs>
        <w:ind w:left="1148" w:hanging="864"/>
      </w:pPr>
      <w:rPr>
        <w:rFonts w:hint="default"/>
        <w:lang w:val="en-GB"/>
      </w:rPr>
    </w:lvl>
    <w:lvl w:ilvl="4">
      <w:start w:val="1"/>
      <w:numFmt w:val="decimal"/>
      <w:lvlText w:val="%1.%2.%3.%4.%5"/>
      <w:lvlJc w:val="left"/>
      <w:pPr>
        <w:tabs>
          <w:tab w:val="left" w:pos="1292"/>
        </w:tabs>
        <w:ind w:left="1292" w:hanging="1008"/>
      </w:pPr>
      <w:rPr>
        <w:rFonts w:hint="default"/>
      </w:rPr>
    </w:lvl>
    <w:lvl w:ilvl="5">
      <w:start w:val="1"/>
      <w:numFmt w:val="decimal"/>
      <w:lvlText w:val="%1.%2.%3.%4.%5.%6"/>
      <w:lvlJc w:val="left"/>
      <w:pPr>
        <w:tabs>
          <w:tab w:val="left" w:pos="1436"/>
        </w:tabs>
        <w:ind w:left="1436" w:hanging="1152"/>
      </w:pPr>
      <w:rPr>
        <w:rFonts w:hint="default"/>
      </w:rPr>
    </w:lvl>
    <w:lvl w:ilvl="6">
      <w:start w:val="1"/>
      <w:numFmt w:val="decimal"/>
      <w:lvlText w:val="%1.%2.%3.%4.%5.%6.%7"/>
      <w:lvlJc w:val="left"/>
      <w:pPr>
        <w:tabs>
          <w:tab w:val="left" w:pos="1580"/>
        </w:tabs>
        <w:ind w:left="1580" w:hanging="1296"/>
      </w:pPr>
      <w:rPr>
        <w:rFonts w:hint="default"/>
      </w:rPr>
    </w:lvl>
    <w:lvl w:ilvl="7">
      <w:start w:val="1"/>
      <w:numFmt w:val="decimal"/>
      <w:lvlText w:val="%1.%2.%3.%4.%5.%6.%7.%8"/>
      <w:lvlJc w:val="left"/>
      <w:pPr>
        <w:tabs>
          <w:tab w:val="left" w:pos="1724"/>
        </w:tabs>
        <w:ind w:left="1724" w:hanging="1440"/>
      </w:pPr>
      <w:rPr>
        <w:rFonts w:hint="default"/>
      </w:rPr>
    </w:lvl>
    <w:lvl w:ilvl="8">
      <w:start w:val="1"/>
      <w:numFmt w:val="decimal"/>
      <w:lvlText w:val="%1.%2.%3.%4.%5.%6.%7.%8.%9"/>
      <w:lvlJc w:val="left"/>
      <w:pPr>
        <w:tabs>
          <w:tab w:val="left" w:pos="1868"/>
        </w:tabs>
        <w:ind w:left="1868" w:hanging="1584"/>
      </w:pPr>
      <w:rPr>
        <w:rFonts w:hint="default"/>
      </w:rPr>
    </w:lvl>
  </w:abstractNum>
  <w:abstractNum w:abstractNumId="8">
    <w:nsid w:val="22DD3599"/>
    <w:multiLevelType w:val="multilevel"/>
    <w:tmpl w:val="22DD3599"/>
    <w:lvl w:ilvl="0">
      <w:start w:val="1"/>
      <w:numFmt w:val="decimal"/>
      <w:pStyle w:val="ListNumber"/>
      <w:lvlText w:val="(%1)"/>
      <w:lvlJc w:val="left"/>
      <w:pPr>
        <w:tabs>
          <w:tab w:val="left" w:pos="709"/>
        </w:tabs>
        <w:ind w:left="709" w:hanging="709"/>
      </w:pPr>
    </w:lvl>
    <w:lvl w:ilvl="1">
      <w:start w:val="1"/>
      <w:numFmt w:val="lowerLetter"/>
      <w:pStyle w:val="ListNumberLevel2"/>
      <w:lvlText w:val="(%2)"/>
      <w:lvlJc w:val="left"/>
      <w:pPr>
        <w:tabs>
          <w:tab w:val="left" w:pos="1417"/>
        </w:tabs>
        <w:ind w:left="1417" w:hanging="708"/>
      </w:pPr>
    </w:lvl>
    <w:lvl w:ilvl="2">
      <w:start w:val="1"/>
      <w:numFmt w:val="bullet"/>
      <w:pStyle w:val="ListNumberLevel3"/>
      <w:lvlText w:val="–"/>
      <w:lvlJc w:val="left"/>
      <w:pPr>
        <w:tabs>
          <w:tab w:val="left" w:pos="2126"/>
        </w:tabs>
        <w:ind w:left="2126" w:hanging="709"/>
      </w:pPr>
      <w:rPr>
        <w:rFonts w:ascii="Times New Roman" w:hAnsi="Times New Roman"/>
      </w:rPr>
    </w:lvl>
    <w:lvl w:ilvl="3">
      <w:start w:val="1"/>
      <w:numFmt w:val="bullet"/>
      <w:pStyle w:val="ListNumberLevel4"/>
      <w:lvlText w:val=""/>
      <w:lvlJc w:val="left"/>
      <w:pPr>
        <w:tabs>
          <w:tab w:val="left" w:pos="2835"/>
        </w:tabs>
        <w:ind w:left="2835" w:hanging="709"/>
      </w:pPr>
      <w:rPr>
        <w:rFonts w:ascii="Symbol" w:hAnsi="Symbol"/>
      </w:r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9">
    <w:nsid w:val="2CAB4527"/>
    <w:multiLevelType w:val="multilevel"/>
    <w:tmpl w:val="2CAB4527"/>
    <w:lvl w:ilvl="0">
      <w:start w:val="1"/>
      <w:numFmt w:val="decimal"/>
      <w:pStyle w:val="ListNumber3"/>
      <w:lvlText w:val="(%1)"/>
      <w:lvlJc w:val="left"/>
      <w:pPr>
        <w:tabs>
          <w:tab w:val="left" w:pos="1911"/>
        </w:tabs>
        <w:ind w:left="1911" w:hanging="709"/>
      </w:pPr>
    </w:lvl>
    <w:lvl w:ilvl="1">
      <w:start w:val="1"/>
      <w:numFmt w:val="lowerLetter"/>
      <w:pStyle w:val="ListNumber3Level2"/>
      <w:lvlText w:val="(%2)"/>
      <w:lvlJc w:val="left"/>
      <w:pPr>
        <w:tabs>
          <w:tab w:val="left" w:pos="2619"/>
        </w:tabs>
        <w:ind w:left="2619" w:hanging="708"/>
      </w:pPr>
    </w:lvl>
    <w:lvl w:ilvl="2">
      <w:start w:val="1"/>
      <w:numFmt w:val="bullet"/>
      <w:pStyle w:val="ListNumber3Level3"/>
      <w:lvlText w:val="–"/>
      <w:lvlJc w:val="left"/>
      <w:pPr>
        <w:tabs>
          <w:tab w:val="left" w:pos="3328"/>
        </w:tabs>
        <w:ind w:left="3328" w:hanging="709"/>
      </w:pPr>
      <w:rPr>
        <w:rFonts w:ascii="Times New Roman" w:hAnsi="Times New Roman"/>
      </w:rPr>
    </w:lvl>
    <w:lvl w:ilvl="3">
      <w:start w:val="1"/>
      <w:numFmt w:val="bullet"/>
      <w:pStyle w:val="ListNumber3Level4"/>
      <w:lvlText w:val=""/>
      <w:lvlJc w:val="left"/>
      <w:pPr>
        <w:tabs>
          <w:tab w:val="left" w:pos="4037"/>
        </w:tabs>
        <w:ind w:left="4037" w:hanging="709"/>
      </w:pPr>
      <w:rPr>
        <w:rFonts w:ascii="Symbol" w:hAnsi="Symbol"/>
      </w:r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10">
    <w:nsid w:val="2D293CE3"/>
    <w:multiLevelType w:val="multilevel"/>
    <w:tmpl w:val="2D293CE3"/>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34293F3F"/>
    <w:multiLevelType w:val="singleLevel"/>
    <w:tmpl w:val="34293F3F"/>
    <w:lvl w:ilvl="0">
      <w:start w:val="1"/>
      <w:numFmt w:val="bullet"/>
      <w:pStyle w:val="ListDash"/>
      <w:lvlText w:val="–"/>
      <w:lvlJc w:val="left"/>
      <w:pPr>
        <w:tabs>
          <w:tab w:val="left" w:pos="283"/>
        </w:tabs>
        <w:ind w:left="283" w:hanging="283"/>
      </w:pPr>
      <w:rPr>
        <w:rFonts w:ascii="Times New Roman" w:hAnsi="Times New Roman"/>
      </w:rPr>
    </w:lvl>
  </w:abstractNum>
  <w:abstractNum w:abstractNumId="12">
    <w:nsid w:val="358B6119"/>
    <w:multiLevelType w:val="multilevel"/>
    <w:tmpl w:val="358B6119"/>
    <w:lvl w:ilvl="0">
      <w:start w:val="1"/>
      <w:numFmt w:val="decimal"/>
      <w:pStyle w:val="ListNumber1"/>
      <w:lvlText w:val="(%1)"/>
      <w:lvlJc w:val="left"/>
      <w:pPr>
        <w:tabs>
          <w:tab w:val="left" w:pos="1191"/>
        </w:tabs>
        <w:ind w:left="1191" w:hanging="709"/>
      </w:pPr>
    </w:lvl>
    <w:lvl w:ilvl="1">
      <w:start w:val="1"/>
      <w:numFmt w:val="lowerLetter"/>
      <w:pStyle w:val="ListNumber1Level2"/>
      <w:lvlText w:val="(%2)"/>
      <w:lvlJc w:val="left"/>
      <w:pPr>
        <w:tabs>
          <w:tab w:val="left" w:pos="1899"/>
        </w:tabs>
        <w:ind w:left="1899" w:hanging="708"/>
      </w:pPr>
    </w:lvl>
    <w:lvl w:ilvl="2">
      <w:start w:val="1"/>
      <w:numFmt w:val="bullet"/>
      <w:pStyle w:val="ListNumber1Level3"/>
      <w:lvlText w:val="–"/>
      <w:lvlJc w:val="left"/>
      <w:pPr>
        <w:tabs>
          <w:tab w:val="left" w:pos="2608"/>
        </w:tabs>
        <w:ind w:left="2608" w:hanging="709"/>
      </w:pPr>
      <w:rPr>
        <w:rFonts w:ascii="Times New Roman" w:hAnsi="Times New Roman"/>
      </w:rPr>
    </w:lvl>
    <w:lvl w:ilvl="3">
      <w:start w:val="1"/>
      <w:numFmt w:val="bullet"/>
      <w:pStyle w:val="ListNumber1Level4"/>
      <w:lvlText w:val=""/>
      <w:lvlJc w:val="left"/>
      <w:pPr>
        <w:tabs>
          <w:tab w:val="left" w:pos="3317"/>
        </w:tabs>
        <w:ind w:left="3317" w:hanging="709"/>
      </w:pPr>
      <w:rPr>
        <w:rFonts w:ascii="Symbol" w:hAnsi="Symbol"/>
      </w:r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13">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nsid w:val="3AFB6DC8"/>
    <w:multiLevelType w:val="singleLevel"/>
    <w:tmpl w:val="3AFB6DC8"/>
    <w:lvl w:ilvl="0">
      <w:start w:val="1"/>
      <w:numFmt w:val="bullet"/>
      <w:pStyle w:val="ListBullet2"/>
      <w:lvlText w:val=""/>
      <w:lvlJc w:val="left"/>
      <w:pPr>
        <w:tabs>
          <w:tab w:val="left" w:pos="1485"/>
        </w:tabs>
        <w:ind w:left="1485" w:hanging="283"/>
      </w:pPr>
      <w:rPr>
        <w:rFonts w:ascii="Symbol" w:hAnsi="Symbol"/>
      </w:rPr>
    </w:lvl>
  </w:abstractNum>
  <w:abstractNum w:abstractNumId="15">
    <w:nsid w:val="3CF00E18"/>
    <w:multiLevelType w:val="singleLevel"/>
    <w:tmpl w:val="3CF00E18"/>
    <w:lvl w:ilvl="0">
      <w:start w:val="1"/>
      <w:numFmt w:val="bullet"/>
      <w:pStyle w:val="ListBullet"/>
      <w:lvlText w:val=""/>
      <w:lvlJc w:val="left"/>
      <w:pPr>
        <w:tabs>
          <w:tab w:val="left" w:pos="283"/>
        </w:tabs>
        <w:ind w:left="283" w:hanging="283"/>
      </w:pPr>
      <w:rPr>
        <w:rFonts w:ascii="Symbol" w:hAnsi="Symbol"/>
      </w:rPr>
    </w:lvl>
  </w:abstractNum>
  <w:abstractNum w:abstractNumId="16">
    <w:nsid w:val="3D163F7A"/>
    <w:multiLevelType w:val="multilevel"/>
    <w:tmpl w:val="3D163F7A"/>
    <w:lvl w:ilvl="0">
      <w:numFmt w:val="decimal"/>
      <w:pStyle w:val="Heading1"/>
      <w:lvlText w:val="%1"/>
      <w:lvlJc w:val="left"/>
      <w:pPr>
        <w:tabs>
          <w:tab w:val="left" w:pos="432"/>
        </w:tabs>
        <w:ind w:left="432" w:hanging="432"/>
      </w:pPr>
      <w:rPr>
        <w:rFonts w:ascii="Arial" w:hAnsi="Arial" w:hint="default"/>
        <w:b/>
        <w:i w:val="0"/>
        <w:color w:val="D2232A"/>
        <w:sz w:val="20"/>
        <w:szCs w:val="20"/>
      </w:rPr>
    </w:lvl>
    <w:lvl w:ilvl="1">
      <w:start w:val="1"/>
      <w:numFmt w:val="decimal"/>
      <w:pStyle w:val="Heading2"/>
      <w:lvlText w:val="%1.%2"/>
      <w:lvlJc w:val="left"/>
      <w:pPr>
        <w:tabs>
          <w:tab w:val="left" w:pos="718"/>
        </w:tabs>
        <w:ind w:left="718" w:hanging="576"/>
      </w:pPr>
      <w:rPr>
        <w:rFonts w:ascii="Arial" w:hAnsi="Arial" w:hint="default"/>
        <w:b/>
        <w:i w:val="0"/>
        <w:sz w:val="20"/>
      </w:rPr>
    </w:lvl>
    <w:lvl w:ilvl="2">
      <w:start w:val="1"/>
      <w:numFmt w:val="decimal"/>
      <w:pStyle w:val="Heading3"/>
      <w:lvlText w:val="%1.%2.%3"/>
      <w:lvlJc w:val="left"/>
      <w:pPr>
        <w:tabs>
          <w:tab w:val="left" w:pos="720"/>
        </w:tabs>
        <w:ind w:left="720" w:hanging="720"/>
      </w:pPr>
      <w:rPr>
        <w:rFonts w:ascii="Arial" w:hAnsi="Arial" w:hint="default"/>
        <w:b/>
        <w:i w:val="0"/>
        <w:caps w:val="0"/>
        <w:sz w:val="20"/>
        <w:szCs w:val="20"/>
      </w:rPr>
    </w:lvl>
    <w:lvl w:ilvl="3">
      <w:start w:val="1"/>
      <w:numFmt w:val="decimal"/>
      <w:pStyle w:val="Heading4"/>
      <w:lvlText w:val="%1.%2.%3.%4"/>
      <w:lvlJc w:val="left"/>
      <w:pPr>
        <w:tabs>
          <w:tab w:val="left" w:pos="1006"/>
        </w:tabs>
        <w:ind w:left="1006" w:hanging="864"/>
      </w:pPr>
      <w:rPr>
        <w:rFonts w:ascii="Arial" w:hAnsi="Arial" w:hint="default"/>
        <w:b w:val="0"/>
        <w:i/>
        <w:sz w:val="20"/>
      </w:rPr>
    </w:lvl>
    <w:lvl w:ilvl="4">
      <w:start w:val="1"/>
      <w:numFmt w:val="decimal"/>
      <w:pStyle w:val="Heading5"/>
      <w:lvlText w:val="%1.%2.%3.%4.%5"/>
      <w:lvlJc w:val="left"/>
      <w:pPr>
        <w:tabs>
          <w:tab w:val="left" w:pos="1008"/>
        </w:tabs>
        <w:ind w:left="1008" w:hanging="1008"/>
      </w:pPr>
      <w:rPr>
        <w:rFonts w:hint="default"/>
        <w:sz w:val="24"/>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7">
    <w:nsid w:val="448A1F19"/>
    <w:multiLevelType w:val="multilevel"/>
    <w:tmpl w:val="448A1F1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nsid w:val="45481EA4"/>
    <w:multiLevelType w:val="multilevel"/>
    <w:tmpl w:val="45481EA4"/>
    <w:lvl w:ilvl="0">
      <w:start w:val="1"/>
      <w:numFmt w:val="decimal"/>
      <w:pStyle w:val="ListNumber2"/>
      <w:lvlText w:val="(%1)"/>
      <w:lvlJc w:val="left"/>
      <w:pPr>
        <w:tabs>
          <w:tab w:val="left" w:pos="1786"/>
        </w:tabs>
        <w:ind w:left="1786" w:hanging="709"/>
      </w:pPr>
    </w:lvl>
    <w:lvl w:ilvl="1">
      <w:start w:val="1"/>
      <w:numFmt w:val="lowerLetter"/>
      <w:pStyle w:val="ListNumber2Level2"/>
      <w:lvlText w:val="(%2)"/>
      <w:lvlJc w:val="left"/>
      <w:pPr>
        <w:tabs>
          <w:tab w:val="left" w:pos="2494"/>
        </w:tabs>
        <w:ind w:left="2494" w:hanging="708"/>
      </w:pPr>
    </w:lvl>
    <w:lvl w:ilvl="2">
      <w:start w:val="1"/>
      <w:numFmt w:val="bullet"/>
      <w:pStyle w:val="ListNumber2Level3"/>
      <w:lvlText w:val="–"/>
      <w:lvlJc w:val="left"/>
      <w:pPr>
        <w:tabs>
          <w:tab w:val="left" w:pos="3203"/>
        </w:tabs>
        <w:ind w:left="3203" w:hanging="709"/>
      </w:pPr>
      <w:rPr>
        <w:rFonts w:ascii="Times New Roman" w:hAnsi="Times New Roman"/>
      </w:rPr>
    </w:lvl>
    <w:lvl w:ilvl="3">
      <w:start w:val="1"/>
      <w:numFmt w:val="bullet"/>
      <w:pStyle w:val="ListNumber2Level4"/>
      <w:lvlText w:val=""/>
      <w:lvlJc w:val="left"/>
      <w:pPr>
        <w:tabs>
          <w:tab w:val="left" w:pos="3912"/>
        </w:tabs>
        <w:ind w:left="3912" w:hanging="709"/>
      </w:pPr>
      <w:rPr>
        <w:rFonts w:ascii="Symbol" w:hAnsi="Symbol"/>
      </w:r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19">
    <w:nsid w:val="4552127F"/>
    <w:multiLevelType w:val="singleLevel"/>
    <w:tmpl w:val="4552127F"/>
    <w:lvl w:ilvl="0">
      <w:start w:val="1"/>
      <w:numFmt w:val="bullet"/>
      <w:pStyle w:val="Bullet0"/>
      <w:lvlText w:val=""/>
      <w:lvlJc w:val="left"/>
      <w:pPr>
        <w:tabs>
          <w:tab w:val="left" w:pos="850"/>
        </w:tabs>
        <w:ind w:left="850" w:hanging="850"/>
      </w:pPr>
      <w:rPr>
        <w:rFonts w:ascii="Symbol" w:hAnsi="Symbol" w:hint="default"/>
      </w:rPr>
    </w:lvl>
  </w:abstractNum>
  <w:abstractNum w:abstractNumId="20">
    <w:nsid w:val="46113D4F"/>
    <w:multiLevelType w:val="singleLevel"/>
    <w:tmpl w:val="46113D4F"/>
    <w:lvl w:ilvl="0">
      <w:start w:val="1"/>
      <w:numFmt w:val="bullet"/>
      <w:pStyle w:val="ListDash3"/>
      <w:lvlText w:val="–"/>
      <w:lvlJc w:val="left"/>
      <w:pPr>
        <w:tabs>
          <w:tab w:val="left" w:pos="1485"/>
        </w:tabs>
        <w:ind w:left="1485" w:hanging="283"/>
      </w:pPr>
      <w:rPr>
        <w:rFonts w:ascii="Times New Roman" w:hAnsi="Times New Roman"/>
      </w:rPr>
    </w:lvl>
  </w:abstractNum>
  <w:abstractNum w:abstractNumId="21">
    <w:nsid w:val="46E6242A"/>
    <w:multiLevelType w:val="multilevel"/>
    <w:tmpl w:val="46E6242A"/>
    <w:lvl w:ilvl="0">
      <w:start w:val="1"/>
      <w:numFmt w:val="decimal"/>
      <w:pStyle w:val="reference"/>
      <w:lvlText w:val="[%1]"/>
      <w:lvlJc w:val="left"/>
      <w:pPr>
        <w:tabs>
          <w:tab w:val="left" w:pos="397"/>
        </w:tabs>
        <w:ind w:left="397" w:hanging="397"/>
      </w:pPr>
      <w:rPr>
        <w:rFonts w:ascii="Arial" w:hAnsi="Arial" w:hint="default"/>
        <w:b w:val="0"/>
        <w:i w:val="0"/>
        <w:color w:val="D2232A"/>
        <w:sz w:val="18"/>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nsid w:val="499B11C1"/>
    <w:multiLevelType w:val="multilevel"/>
    <w:tmpl w:val="499B11C1"/>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left" w:pos="720"/>
        </w:tabs>
        <w:ind w:left="720" w:hanging="360"/>
      </w:pPr>
      <w:rPr>
        <w:rFonts w:hint="default"/>
      </w:rPr>
    </w:lvl>
    <w:lvl w:ilvl="2">
      <w:start w:val="1"/>
      <w:numFmt w:val="lowerRoman"/>
      <w:lvlText w:val="%3)"/>
      <w:lvlJc w:val="left"/>
      <w:pPr>
        <w:tabs>
          <w:tab w:val="left" w:pos="1080"/>
        </w:tabs>
        <w:ind w:left="1080" w:hanging="360"/>
      </w:pPr>
      <w:rPr>
        <w:rFonts w:hint="default"/>
      </w:rPr>
    </w:lvl>
    <w:lvl w:ilvl="3">
      <w:start w:val="1"/>
      <w:numFmt w:val="decimal"/>
      <w:lvlText w:val="(%4)"/>
      <w:lvlJc w:val="left"/>
      <w:pPr>
        <w:tabs>
          <w:tab w:val="left" w:pos="1440"/>
        </w:tabs>
        <w:ind w:left="1440" w:hanging="360"/>
      </w:pPr>
      <w:rPr>
        <w:rFonts w:hint="default"/>
      </w:rPr>
    </w:lvl>
    <w:lvl w:ilvl="4">
      <w:start w:val="1"/>
      <w:numFmt w:val="lowerLetter"/>
      <w:lvlText w:val="(%5)"/>
      <w:lvlJc w:val="left"/>
      <w:pPr>
        <w:tabs>
          <w:tab w:val="left" w:pos="1800"/>
        </w:tabs>
        <w:ind w:left="1800" w:hanging="360"/>
      </w:pPr>
      <w:rPr>
        <w:rFonts w:hint="default"/>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23">
    <w:nsid w:val="4E264B24"/>
    <w:multiLevelType w:val="multilevel"/>
    <w:tmpl w:val="4E264B24"/>
    <w:lvl w:ilvl="0">
      <w:start w:val="1"/>
      <w:numFmt w:val="decimal"/>
      <w:pStyle w:val="ECCNumbered-LetteredList"/>
      <w:lvlText w:val="%1."/>
      <w:lvlJc w:val="left"/>
      <w:pPr>
        <w:tabs>
          <w:tab w:val="left" w:pos="340"/>
        </w:tabs>
        <w:ind w:left="340" w:hanging="340"/>
      </w:pPr>
      <w:rPr>
        <w:rFonts w:ascii="Arial" w:hAnsi="Arial" w:hint="default"/>
        <w:b w:val="0"/>
        <w:i w:val="0"/>
        <w:color w:val="D2232A"/>
        <w:sz w:val="20"/>
      </w:rPr>
    </w:lvl>
    <w:lvl w:ilvl="1">
      <w:start w:val="1"/>
      <w:numFmt w:val="lowerLetter"/>
      <w:lvlText w:val="%2)"/>
      <w:lvlJc w:val="left"/>
      <w:pPr>
        <w:tabs>
          <w:tab w:val="left" w:pos="680"/>
        </w:tabs>
        <w:ind w:left="680" w:hanging="340"/>
      </w:pPr>
      <w:rPr>
        <w:rFonts w:ascii="Arial" w:hAnsi="Arial" w:hint="default"/>
        <w:b w:val="0"/>
        <w:i w:val="0"/>
        <w:color w:val="D2232A"/>
        <w:sz w:val="20"/>
      </w:rPr>
    </w:lvl>
    <w:lvl w:ilvl="2">
      <w:start w:val="1"/>
      <w:numFmt w:val="bullet"/>
      <w:lvlText w:val=""/>
      <w:lvlJc w:val="left"/>
      <w:pPr>
        <w:tabs>
          <w:tab w:val="left" w:pos="1021"/>
        </w:tabs>
        <w:ind w:left="1021" w:hanging="341"/>
      </w:pPr>
      <w:rPr>
        <w:rFonts w:ascii="Wingdings" w:hAnsi="Wingdings" w:hint="default"/>
        <w:color w:val="D2232A"/>
      </w:rPr>
    </w:lvl>
    <w:lvl w:ilvl="3">
      <w:start w:val="1"/>
      <w:numFmt w:val="none"/>
      <w:lvlText w:val=""/>
      <w:lvlJc w:val="left"/>
      <w:pPr>
        <w:tabs>
          <w:tab w:val="left"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4">
    <w:nsid w:val="54D10AB0"/>
    <w:multiLevelType w:val="singleLevel"/>
    <w:tmpl w:val="54D10AB0"/>
    <w:lvl w:ilvl="0">
      <w:start w:val="1"/>
      <w:numFmt w:val="bullet"/>
      <w:pStyle w:val="ListDash4"/>
      <w:lvlText w:val="–"/>
      <w:lvlJc w:val="left"/>
      <w:pPr>
        <w:tabs>
          <w:tab w:val="left" w:pos="1485"/>
        </w:tabs>
        <w:ind w:left="1485" w:hanging="283"/>
      </w:pPr>
      <w:rPr>
        <w:rFonts w:ascii="Times New Roman" w:hAnsi="Times New Roman"/>
      </w:rPr>
    </w:lvl>
  </w:abstractNum>
  <w:abstractNum w:abstractNumId="25">
    <w:nsid w:val="572326EE"/>
    <w:multiLevelType w:val="multilevel"/>
    <w:tmpl w:val="572326EE"/>
    <w:lvl w:ilvl="0">
      <w:start w:val="1"/>
      <w:numFmt w:val="decimal"/>
      <w:pStyle w:val="ECCNumberedBullets"/>
      <w:lvlText w:val="%1."/>
      <w:lvlJc w:val="left"/>
      <w:pPr>
        <w:tabs>
          <w:tab w:val="left" w:pos="340"/>
        </w:tabs>
        <w:ind w:left="340" w:hanging="340"/>
      </w:pPr>
      <w:rPr>
        <w:rFonts w:ascii="Arial" w:hAnsi="Arial" w:hint="default"/>
        <w:b w:val="0"/>
        <w:i w:val="0"/>
        <w:color w:val="D2232A"/>
        <w:sz w:val="20"/>
      </w:rPr>
    </w:lvl>
    <w:lvl w:ilvl="1">
      <w:start w:val="1"/>
      <w:numFmt w:val="bullet"/>
      <w:lvlText w:val=""/>
      <w:lvlJc w:val="left"/>
      <w:pPr>
        <w:tabs>
          <w:tab w:val="left" w:pos="680"/>
        </w:tabs>
        <w:ind w:left="680" w:hanging="340"/>
      </w:pPr>
      <w:rPr>
        <w:rFonts w:ascii="Wingdings" w:hAnsi="Wingdings" w:hint="default"/>
        <w:color w:val="D2232A"/>
      </w:rPr>
    </w:lvl>
    <w:lvl w:ilvl="2">
      <w:start w:val="1"/>
      <w:numFmt w:val="bullet"/>
      <w:lvlText w:val=""/>
      <w:lvlJc w:val="left"/>
      <w:pPr>
        <w:tabs>
          <w:tab w:val="left"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6">
    <w:nsid w:val="578E241A"/>
    <w:multiLevelType w:val="multilevel"/>
    <w:tmpl w:val="7CDCA19C"/>
    <w:lvl w:ilvl="0">
      <w:start w:val="1"/>
      <w:numFmt w:val="bullet"/>
      <w:lvlText w:val=""/>
      <w:lvlJc w:val="left"/>
      <w:pPr>
        <w:ind w:left="1060" w:hanging="360"/>
      </w:pPr>
      <w:rPr>
        <w:rFonts w:ascii="Wingdings" w:hAnsi="Wingdings" w:hint="default"/>
        <w:color w:val="D2232A"/>
      </w:rPr>
    </w:lvl>
    <w:lvl w:ilvl="1">
      <w:start w:val="1"/>
      <w:numFmt w:val="bullet"/>
      <w:lvlText w:val="o"/>
      <w:lvlJc w:val="left"/>
      <w:pPr>
        <w:ind w:left="2140" w:hanging="360"/>
      </w:pPr>
      <w:rPr>
        <w:rFonts w:ascii="Courier New" w:hAnsi="Courier New" w:cs="Courier New" w:hint="default"/>
      </w:rPr>
    </w:lvl>
    <w:lvl w:ilvl="2">
      <w:start w:val="1"/>
      <w:numFmt w:val="bullet"/>
      <w:lvlText w:val=""/>
      <w:lvlJc w:val="left"/>
      <w:pPr>
        <w:ind w:left="2860" w:hanging="360"/>
      </w:pPr>
      <w:rPr>
        <w:rFonts w:ascii="Wingdings" w:hAnsi="Wingdings" w:hint="default"/>
      </w:rPr>
    </w:lvl>
    <w:lvl w:ilvl="3">
      <w:start w:val="1"/>
      <w:numFmt w:val="bullet"/>
      <w:lvlText w:val=""/>
      <w:lvlJc w:val="left"/>
      <w:pPr>
        <w:ind w:left="3580" w:hanging="360"/>
      </w:pPr>
      <w:rPr>
        <w:rFonts w:ascii="Symbol" w:hAnsi="Symbol" w:hint="default"/>
      </w:rPr>
    </w:lvl>
    <w:lvl w:ilvl="4">
      <w:start w:val="1"/>
      <w:numFmt w:val="bullet"/>
      <w:lvlText w:val="o"/>
      <w:lvlJc w:val="left"/>
      <w:pPr>
        <w:ind w:left="4300" w:hanging="360"/>
      </w:pPr>
      <w:rPr>
        <w:rFonts w:ascii="Courier New" w:hAnsi="Courier New" w:cs="Courier New" w:hint="default"/>
      </w:rPr>
    </w:lvl>
    <w:lvl w:ilvl="5">
      <w:start w:val="1"/>
      <w:numFmt w:val="bullet"/>
      <w:lvlText w:val=""/>
      <w:lvlJc w:val="left"/>
      <w:pPr>
        <w:ind w:left="5020" w:hanging="360"/>
      </w:pPr>
      <w:rPr>
        <w:rFonts w:ascii="Wingdings" w:hAnsi="Wingdings" w:hint="default"/>
      </w:rPr>
    </w:lvl>
    <w:lvl w:ilvl="6">
      <w:start w:val="1"/>
      <w:numFmt w:val="bullet"/>
      <w:lvlText w:val=""/>
      <w:lvlJc w:val="left"/>
      <w:pPr>
        <w:ind w:left="5740" w:hanging="360"/>
      </w:pPr>
      <w:rPr>
        <w:rFonts w:ascii="Symbol" w:hAnsi="Symbol" w:hint="default"/>
      </w:rPr>
    </w:lvl>
    <w:lvl w:ilvl="7">
      <w:start w:val="1"/>
      <w:numFmt w:val="bullet"/>
      <w:lvlText w:val="o"/>
      <w:lvlJc w:val="left"/>
      <w:pPr>
        <w:ind w:left="6460" w:hanging="360"/>
      </w:pPr>
      <w:rPr>
        <w:rFonts w:ascii="Courier New" w:hAnsi="Courier New" w:cs="Courier New" w:hint="default"/>
      </w:rPr>
    </w:lvl>
    <w:lvl w:ilvl="8">
      <w:start w:val="1"/>
      <w:numFmt w:val="bullet"/>
      <w:lvlText w:val=""/>
      <w:lvlJc w:val="left"/>
      <w:pPr>
        <w:ind w:left="7180" w:hanging="360"/>
      </w:pPr>
      <w:rPr>
        <w:rFonts w:ascii="Wingdings" w:hAnsi="Wingdings" w:hint="default"/>
      </w:rPr>
    </w:lvl>
  </w:abstractNum>
  <w:abstractNum w:abstractNumId="27">
    <w:nsid w:val="5B3128C3"/>
    <w:multiLevelType w:val="multilevel"/>
    <w:tmpl w:val="5B3128C3"/>
    <w:lvl w:ilvl="0">
      <w:start w:val="1"/>
      <w:numFmt w:val="decimal"/>
      <w:pStyle w:val="ListBullet1"/>
      <w:suff w:val="space"/>
      <w:lvlText w:val="ANNEX %1"/>
      <w:lvlJc w:val="left"/>
      <w:rPr>
        <w:rFonts w:cs="Times New Roman" w:hint="default"/>
        <w:b w:val="0"/>
        <w:bCs w:val="0"/>
        <w:i w:val="0"/>
        <w:iCs w:val="0"/>
        <w:smallCaps w:val="0"/>
        <w:strike w:val="0"/>
        <w:dstrike w:val="0"/>
        <w:vanish w:val="0"/>
        <w:color w:val="000000"/>
        <w:spacing w:val="0"/>
        <w:position w:val="0"/>
        <w:u w:val="none"/>
        <w:vertAlign w:val="baseline"/>
      </w:rPr>
    </w:lvl>
    <w:lvl w:ilvl="1">
      <w:start w:val="1"/>
      <w:numFmt w:val="decimal"/>
      <w:suff w:val="space"/>
      <w:lvlText w:val="A.%1.%2"/>
      <w:lvlJc w:val="left"/>
      <w:pPr>
        <w:ind w:left="576" w:hanging="576"/>
      </w:pPr>
      <w:rPr>
        <w:rFonts w:cs="Times New Roman" w:hint="default"/>
      </w:rPr>
    </w:lvl>
    <w:lvl w:ilvl="2">
      <w:start w:val="1"/>
      <w:numFmt w:val="decimal"/>
      <w:lvlText w:val="A.%1.%2.%3"/>
      <w:lvlJc w:val="left"/>
      <w:pPr>
        <w:tabs>
          <w:tab w:val="left" w:pos="720"/>
        </w:tabs>
        <w:ind w:left="720" w:hanging="720"/>
      </w:pPr>
      <w:rPr>
        <w:rFonts w:cs="Times New Roman" w:hint="default"/>
      </w:rPr>
    </w:lvl>
    <w:lvl w:ilvl="3">
      <w:start w:val="1"/>
      <w:numFmt w:val="decimal"/>
      <w:lvlText w:val="A.%1.%2.%3.%4"/>
      <w:lvlJc w:val="left"/>
      <w:pPr>
        <w:tabs>
          <w:tab w:val="left" w:pos="864"/>
        </w:tabs>
        <w:ind w:left="864" w:hanging="864"/>
      </w:pPr>
      <w:rPr>
        <w:rFonts w:cs="Times New Roman" w:hint="default"/>
      </w:rPr>
    </w:lvl>
    <w:lvl w:ilvl="4">
      <w:start w:val="1"/>
      <w:numFmt w:val="decimal"/>
      <w:lvlText w:val="%1.%2.%3.%4.%5"/>
      <w:lvlJc w:val="left"/>
      <w:pPr>
        <w:tabs>
          <w:tab w:val="left" w:pos="1008"/>
        </w:tabs>
        <w:ind w:left="1008" w:hanging="1008"/>
      </w:pPr>
      <w:rPr>
        <w:rFonts w:cs="Times New Roman" w:hint="default"/>
      </w:rPr>
    </w:lvl>
    <w:lvl w:ilvl="5">
      <w:start w:val="1"/>
      <w:numFmt w:val="decimal"/>
      <w:lvlText w:val="%1.%2.%3.%4.%5.%6"/>
      <w:lvlJc w:val="left"/>
      <w:pPr>
        <w:tabs>
          <w:tab w:val="left" w:pos="1152"/>
        </w:tabs>
        <w:ind w:left="1152" w:hanging="1152"/>
      </w:pPr>
      <w:rPr>
        <w:rFonts w:cs="Times New Roman" w:hint="default"/>
      </w:rPr>
    </w:lvl>
    <w:lvl w:ilvl="6">
      <w:start w:val="1"/>
      <w:numFmt w:val="decimal"/>
      <w:lvlText w:val="%1.%2.%3.%4.%5.%6.%7"/>
      <w:lvlJc w:val="left"/>
      <w:pPr>
        <w:tabs>
          <w:tab w:val="left" w:pos="1296"/>
        </w:tabs>
        <w:ind w:left="1296" w:hanging="1296"/>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584"/>
        </w:tabs>
        <w:ind w:left="1584" w:hanging="1584"/>
      </w:pPr>
      <w:rPr>
        <w:rFonts w:cs="Times New Roman" w:hint="default"/>
      </w:rPr>
    </w:lvl>
  </w:abstractNum>
  <w:abstractNum w:abstractNumId="28">
    <w:nsid w:val="5E0D6286"/>
    <w:multiLevelType w:val="singleLevel"/>
    <w:tmpl w:val="5E0D6286"/>
    <w:lvl w:ilvl="0">
      <w:start w:val="1"/>
      <w:numFmt w:val="bullet"/>
      <w:pStyle w:val="ListDash2"/>
      <w:lvlText w:val="–"/>
      <w:lvlJc w:val="left"/>
      <w:pPr>
        <w:tabs>
          <w:tab w:val="left" w:pos="1485"/>
        </w:tabs>
        <w:ind w:left="1485" w:hanging="283"/>
      </w:pPr>
      <w:rPr>
        <w:rFonts w:ascii="Times New Roman" w:hAnsi="Times New Roman"/>
      </w:rPr>
    </w:lvl>
  </w:abstractNum>
  <w:abstractNum w:abstractNumId="29">
    <w:nsid w:val="620F2440"/>
    <w:multiLevelType w:val="singleLevel"/>
    <w:tmpl w:val="620F2440"/>
    <w:lvl w:ilvl="0">
      <w:start w:val="1"/>
      <w:numFmt w:val="bullet"/>
      <w:pStyle w:val="ListBullet3"/>
      <w:lvlText w:val=""/>
      <w:lvlJc w:val="left"/>
      <w:pPr>
        <w:tabs>
          <w:tab w:val="left" w:pos="1485"/>
        </w:tabs>
        <w:ind w:left="1485" w:hanging="283"/>
      </w:pPr>
      <w:rPr>
        <w:rFonts w:ascii="Symbol" w:hAnsi="Symbol"/>
      </w:rPr>
    </w:lvl>
  </w:abstractNum>
  <w:abstractNum w:abstractNumId="30">
    <w:nsid w:val="6DF118C0"/>
    <w:multiLevelType w:val="singleLevel"/>
    <w:tmpl w:val="6DF118C0"/>
    <w:lvl w:ilvl="0">
      <w:start w:val="1"/>
      <w:numFmt w:val="bullet"/>
      <w:pStyle w:val="ListBullet4"/>
      <w:lvlText w:val=""/>
      <w:lvlJc w:val="left"/>
      <w:pPr>
        <w:tabs>
          <w:tab w:val="left" w:pos="1485"/>
        </w:tabs>
        <w:ind w:left="1485" w:hanging="283"/>
      </w:pPr>
      <w:rPr>
        <w:rFonts w:ascii="Symbol" w:hAnsi="Symbol"/>
      </w:rPr>
    </w:lvl>
  </w:abstractNum>
  <w:abstractNum w:abstractNumId="31">
    <w:nsid w:val="722304D7"/>
    <w:multiLevelType w:val="multilevel"/>
    <w:tmpl w:val="722304D7"/>
    <w:lvl w:ilvl="0">
      <w:start w:val="1"/>
      <w:numFmt w:val="decimal"/>
      <w:pStyle w:val="ListNumber4"/>
      <w:lvlText w:val="(%1)"/>
      <w:lvlJc w:val="left"/>
      <w:pPr>
        <w:tabs>
          <w:tab w:val="left" w:pos="1911"/>
        </w:tabs>
        <w:ind w:left="1911" w:hanging="709"/>
      </w:pPr>
    </w:lvl>
    <w:lvl w:ilvl="1">
      <w:start w:val="1"/>
      <w:numFmt w:val="lowerLetter"/>
      <w:pStyle w:val="ListNumber4Level2"/>
      <w:lvlText w:val="(%2)"/>
      <w:lvlJc w:val="left"/>
      <w:pPr>
        <w:tabs>
          <w:tab w:val="left" w:pos="2619"/>
        </w:tabs>
        <w:ind w:left="2619" w:hanging="708"/>
      </w:pPr>
    </w:lvl>
    <w:lvl w:ilvl="2">
      <w:start w:val="1"/>
      <w:numFmt w:val="bullet"/>
      <w:pStyle w:val="ListNumber4Level3"/>
      <w:lvlText w:val="–"/>
      <w:lvlJc w:val="left"/>
      <w:pPr>
        <w:tabs>
          <w:tab w:val="left" w:pos="3328"/>
        </w:tabs>
        <w:ind w:left="3328" w:hanging="709"/>
      </w:pPr>
      <w:rPr>
        <w:rFonts w:ascii="Times New Roman" w:hAnsi="Times New Roman"/>
      </w:rPr>
    </w:lvl>
    <w:lvl w:ilvl="3">
      <w:start w:val="1"/>
      <w:numFmt w:val="bullet"/>
      <w:pStyle w:val="ListNumber4Level4"/>
      <w:lvlText w:val=""/>
      <w:lvlJc w:val="left"/>
      <w:pPr>
        <w:tabs>
          <w:tab w:val="left" w:pos="4037"/>
        </w:tabs>
        <w:ind w:left="4037" w:hanging="709"/>
      </w:pPr>
      <w:rPr>
        <w:rFonts w:ascii="Symbol" w:hAnsi="Symbol"/>
      </w:r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32">
    <w:nsid w:val="79156C54"/>
    <w:multiLevelType w:val="multilevel"/>
    <w:tmpl w:val="79156C54"/>
    <w:lvl w:ilvl="0">
      <w:start w:val="1"/>
      <w:numFmt w:val="bullet"/>
      <w:pStyle w:val="B2"/>
      <w:lvlText w:val="-"/>
      <w:lvlJc w:val="left"/>
      <w:pPr>
        <w:tabs>
          <w:tab w:val="left" w:pos="1191"/>
        </w:tabs>
        <w:ind w:left="1191" w:hanging="454"/>
      </w:pPr>
      <w:rPr>
        <w:rFont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
    <w:nsid w:val="7B3212E4"/>
    <w:multiLevelType w:val="multilevel"/>
    <w:tmpl w:val="7B3212E4"/>
    <w:lvl w:ilvl="0">
      <w:start w:val="1"/>
      <w:numFmt w:val="decimal"/>
      <w:pStyle w:val="ECCTabletitle"/>
      <w:suff w:val="space"/>
      <w:lvlText w:val="Table %1:"/>
      <w:lvlJc w:val="left"/>
      <w:pPr>
        <w:ind w:left="1070" w:hanging="360"/>
      </w:pPr>
      <w:rPr>
        <w:rFonts w:ascii="Arial" w:hAnsi="Arial" w:hint="default"/>
        <w:b/>
        <w:i w:val="0"/>
        <w:color w:val="D2232A"/>
        <w:sz w:val="20"/>
      </w:rPr>
    </w:lvl>
    <w:lvl w:ilvl="1">
      <w:start w:val="1"/>
      <w:numFmt w:val="decimal"/>
      <w:lvlText w:val="%1.%2."/>
      <w:lvlJc w:val="left"/>
      <w:pPr>
        <w:tabs>
          <w:tab w:val="left" w:pos="1502"/>
        </w:tabs>
        <w:ind w:left="1502" w:hanging="432"/>
      </w:pPr>
      <w:rPr>
        <w:rFonts w:hint="default"/>
      </w:rPr>
    </w:lvl>
    <w:lvl w:ilvl="2">
      <w:start w:val="1"/>
      <w:numFmt w:val="decimal"/>
      <w:lvlText w:val="%1.%2.%3."/>
      <w:lvlJc w:val="left"/>
      <w:pPr>
        <w:tabs>
          <w:tab w:val="left" w:pos="2150"/>
        </w:tabs>
        <w:ind w:left="1934" w:hanging="504"/>
      </w:pPr>
      <w:rPr>
        <w:rFonts w:hint="default"/>
      </w:rPr>
    </w:lvl>
    <w:lvl w:ilvl="3">
      <w:start w:val="1"/>
      <w:numFmt w:val="decimal"/>
      <w:lvlText w:val="%1.%2.%3.%4."/>
      <w:lvlJc w:val="left"/>
      <w:pPr>
        <w:tabs>
          <w:tab w:val="left" w:pos="2510"/>
        </w:tabs>
        <w:ind w:left="2438" w:hanging="648"/>
      </w:pPr>
      <w:rPr>
        <w:rFonts w:hint="default"/>
      </w:rPr>
    </w:lvl>
    <w:lvl w:ilvl="4">
      <w:start w:val="1"/>
      <w:numFmt w:val="decimal"/>
      <w:lvlText w:val="%1.%2.%3.%4.%5."/>
      <w:lvlJc w:val="left"/>
      <w:pPr>
        <w:tabs>
          <w:tab w:val="left" w:pos="3230"/>
        </w:tabs>
        <w:ind w:left="2942" w:hanging="792"/>
      </w:pPr>
      <w:rPr>
        <w:rFonts w:hint="default"/>
      </w:rPr>
    </w:lvl>
    <w:lvl w:ilvl="5">
      <w:start w:val="1"/>
      <w:numFmt w:val="decimal"/>
      <w:lvlText w:val="%1.%2.%3.%4.%5.%6."/>
      <w:lvlJc w:val="left"/>
      <w:pPr>
        <w:tabs>
          <w:tab w:val="left" w:pos="3590"/>
        </w:tabs>
        <w:ind w:left="3446" w:hanging="936"/>
      </w:pPr>
      <w:rPr>
        <w:rFonts w:hint="default"/>
      </w:rPr>
    </w:lvl>
    <w:lvl w:ilvl="6">
      <w:start w:val="1"/>
      <w:numFmt w:val="decimal"/>
      <w:lvlText w:val="%1.%2.%3.%4.%5.%6.%7."/>
      <w:lvlJc w:val="left"/>
      <w:pPr>
        <w:tabs>
          <w:tab w:val="left" w:pos="4310"/>
        </w:tabs>
        <w:ind w:left="3950" w:hanging="1080"/>
      </w:pPr>
      <w:rPr>
        <w:rFonts w:hint="default"/>
      </w:rPr>
    </w:lvl>
    <w:lvl w:ilvl="7">
      <w:start w:val="1"/>
      <w:numFmt w:val="decimal"/>
      <w:lvlText w:val="%1.%2.%3.%4.%5.%6.%7.%8."/>
      <w:lvlJc w:val="left"/>
      <w:pPr>
        <w:tabs>
          <w:tab w:val="left" w:pos="4670"/>
        </w:tabs>
        <w:ind w:left="4454" w:hanging="1224"/>
      </w:pPr>
      <w:rPr>
        <w:rFonts w:hint="default"/>
      </w:rPr>
    </w:lvl>
    <w:lvl w:ilvl="8">
      <w:start w:val="1"/>
      <w:numFmt w:val="decimal"/>
      <w:lvlText w:val="%1.%2.%3.%4.%5.%6.%7.%8.%9."/>
      <w:lvlJc w:val="left"/>
      <w:pPr>
        <w:tabs>
          <w:tab w:val="left" w:pos="5390"/>
        </w:tabs>
        <w:ind w:left="5030" w:hanging="1440"/>
      </w:pPr>
      <w:rPr>
        <w:rFonts w:hint="default"/>
      </w:rPr>
    </w:lvl>
  </w:abstractNum>
  <w:num w:numId="1">
    <w:abstractNumId w:val="16"/>
  </w:num>
  <w:num w:numId="2">
    <w:abstractNumId w:val="15"/>
  </w:num>
  <w:num w:numId="3">
    <w:abstractNumId w:val="14"/>
  </w:num>
  <w:num w:numId="4">
    <w:abstractNumId w:val="29"/>
  </w:num>
  <w:num w:numId="5">
    <w:abstractNumId w:val="30"/>
  </w:num>
  <w:num w:numId="6">
    <w:abstractNumId w:val="1"/>
  </w:num>
  <w:num w:numId="7">
    <w:abstractNumId w:val="8"/>
  </w:num>
  <w:num w:numId="8">
    <w:abstractNumId w:val="18"/>
  </w:num>
  <w:num w:numId="9">
    <w:abstractNumId w:val="9"/>
  </w:num>
  <w:num w:numId="10">
    <w:abstractNumId w:val="31"/>
  </w:num>
  <w:num w:numId="11">
    <w:abstractNumId w:val="0"/>
  </w:num>
  <w:num w:numId="12">
    <w:abstractNumId w:val="6"/>
  </w:num>
  <w:num w:numId="13">
    <w:abstractNumId w:val="7"/>
  </w:num>
  <w:num w:numId="14">
    <w:abstractNumId w:val="22"/>
  </w:num>
  <w:num w:numId="15">
    <w:abstractNumId w:val="33"/>
  </w:num>
  <w:num w:numId="16">
    <w:abstractNumId w:val="21"/>
  </w:num>
  <w:num w:numId="17">
    <w:abstractNumId w:val="23"/>
  </w:num>
  <w:num w:numId="18">
    <w:abstractNumId w:val="25"/>
  </w:num>
  <w:num w:numId="19">
    <w:abstractNumId w:val="27"/>
  </w:num>
  <w:num w:numId="20">
    <w:abstractNumId w:val="2"/>
  </w:num>
  <w:num w:numId="21">
    <w:abstractNumId w:val="11"/>
  </w:num>
  <w:num w:numId="22">
    <w:abstractNumId w:val="28"/>
  </w:num>
  <w:num w:numId="23">
    <w:abstractNumId w:val="20"/>
  </w:num>
  <w:num w:numId="24">
    <w:abstractNumId w:val="24"/>
  </w:num>
  <w:num w:numId="25">
    <w:abstractNumId w:val="12"/>
  </w:num>
  <w:num w:numId="26">
    <w:abstractNumId w:val="10"/>
  </w:num>
  <w:num w:numId="27">
    <w:abstractNumId w:val="19"/>
  </w:num>
  <w:num w:numId="28">
    <w:abstractNumId w:val="32"/>
  </w:num>
  <w:num w:numId="29">
    <w:abstractNumId w:val="13"/>
  </w:num>
  <w:num w:numId="30">
    <w:abstractNumId w:val="3"/>
  </w:num>
  <w:num w:numId="31">
    <w:abstractNumId w:val="21"/>
    <w:lvlOverride w:ilvl="0">
      <w:startOverride w:val="1"/>
    </w:lvlOverride>
  </w:num>
  <w:num w:numId="32">
    <w:abstractNumId w:val="26"/>
  </w:num>
  <w:num w:numId="3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17"/>
  </w:num>
  <w:num w:numId="36">
    <w:abstractNumId w:val="4"/>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CC Secretary ">
    <w15:presenceInfo w15:providerId="None" w15:userId="ECC Secretary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trackRevisions/>
  <w:defaultTabStop w:val="720"/>
  <w:hyphenationZone w:val="425"/>
  <w:evenAndOddHeaders/>
  <w:characterSpacingControl w:val="doNotCompress"/>
  <w:hdrShapeDefaults>
    <o:shapedefaults v:ext="edit" spidmax="6145"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A0C"/>
    <w:rsid w:val="00003ED5"/>
    <w:rsid w:val="000040FD"/>
    <w:rsid w:val="00010988"/>
    <w:rsid w:val="0001099C"/>
    <w:rsid w:val="0001234D"/>
    <w:rsid w:val="00012352"/>
    <w:rsid w:val="000168A2"/>
    <w:rsid w:val="00021B21"/>
    <w:rsid w:val="0002335F"/>
    <w:rsid w:val="00023631"/>
    <w:rsid w:val="00024389"/>
    <w:rsid w:val="000255C7"/>
    <w:rsid w:val="00025B1D"/>
    <w:rsid w:val="00026465"/>
    <w:rsid w:val="00027CB5"/>
    <w:rsid w:val="00027CFE"/>
    <w:rsid w:val="00032038"/>
    <w:rsid w:val="0003274A"/>
    <w:rsid w:val="00033176"/>
    <w:rsid w:val="00033722"/>
    <w:rsid w:val="000338EE"/>
    <w:rsid w:val="00035227"/>
    <w:rsid w:val="0003614D"/>
    <w:rsid w:val="00042E6F"/>
    <w:rsid w:val="0004367F"/>
    <w:rsid w:val="000457B0"/>
    <w:rsid w:val="00047715"/>
    <w:rsid w:val="00047ABF"/>
    <w:rsid w:val="0005049E"/>
    <w:rsid w:val="0005078A"/>
    <w:rsid w:val="00050CC7"/>
    <w:rsid w:val="0005124A"/>
    <w:rsid w:val="00051791"/>
    <w:rsid w:val="00051FC5"/>
    <w:rsid w:val="00054A4B"/>
    <w:rsid w:val="00054A95"/>
    <w:rsid w:val="00054ADC"/>
    <w:rsid w:val="00055E53"/>
    <w:rsid w:val="000563A5"/>
    <w:rsid w:val="00057E56"/>
    <w:rsid w:val="00061468"/>
    <w:rsid w:val="00062839"/>
    <w:rsid w:val="0006325D"/>
    <w:rsid w:val="000643DE"/>
    <w:rsid w:val="000676A6"/>
    <w:rsid w:val="00067793"/>
    <w:rsid w:val="00072E05"/>
    <w:rsid w:val="00072E6D"/>
    <w:rsid w:val="0007525F"/>
    <w:rsid w:val="00075BEC"/>
    <w:rsid w:val="0007769F"/>
    <w:rsid w:val="0008257C"/>
    <w:rsid w:val="00082DD7"/>
    <w:rsid w:val="00082FD2"/>
    <w:rsid w:val="000831B3"/>
    <w:rsid w:val="000836FD"/>
    <w:rsid w:val="000849E6"/>
    <w:rsid w:val="000856DC"/>
    <w:rsid w:val="00085C25"/>
    <w:rsid w:val="00087A6C"/>
    <w:rsid w:val="00090025"/>
    <w:rsid w:val="0009044C"/>
    <w:rsid w:val="000930D8"/>
    <w:rsid w:val="0009545A"/>
    <w:rsid w:val="00096A59"/>
    <w:rsid w:val="000A09A2"/>
    <w:rsid w:val="000A257B"/>
    <w:rsid w:val="000A3AC0"/>
    <w:rsid w:val="000A48D1"/>
    <w:rsid w:val="000A6B01"/>
    <w:rsid w:val="000A6F23"/>
    <w:rsid w:val="000A728D"/>
    <w:rsid w:val="000A739F"/>
    <w:rsid w:val="000B2578"/>
    <w:rsid w:val="000B39BB"/>
    <w:rsid w:val="000B4451"/>
    <w:rsid w:val="000B5B5D"/>
    <w:rsid w:val="000B62F1"/>
    <w:rsid w:val="000B639A"/>
    <w:rsid w:val="000B688C"/>
    <w:rsid w:val="000B6A31"/>
    <w:rsid w:val="000B7C0A"/>
    <w:rsid w:val="000C028F"/>
    <w:rsid w:val="000C0B7B"/>
    <w:rsid w:val="000C4664"/>
    <w:rsid w:val="000C5C0B"/>
    <w:rsid w:val="000C71B4"/>
    <w:rsid w:val="000C7A0C"/>
    <w:rsid w:val="000C7E08"/>
    <w:rsid w:val="000D0227"/>
    <w:rsid w:val="000D1C32"/>
    <w:rsid w:val="000D2886"/>
    <w:rsid w:val="000D3667"/>
    <w:rsid w:val="000D4FB3"/>
    <w:rsid w:val="000D5EBB"/>
    <w:rsid w:val="000D6214"/>
    <w:rsid w:val="000D6884"/>
    <w:rsid w:val="000D733C"/>
    <w:rsid w:val="000D795A"/>
    <w:rsid w:val="000E117E"/>
    <w:rsid w:val="000E42F5"/>
    <w:rsid w:val="000E5469"/>
    <w:rsid w:val="000E5F93"/>
    <w:rsid w:val="000E6C67"/>
    <w:rsid w:val="000E7EBB"/>
    <w:rsid w:val="000F20DA"/>
    <w:rsid w:val="000F4404"/>
    <w:rsid w:val="000F465A"/>
    <w:rsid w:val="000F64FE"/>
    <w:rsid w:val="00100EF9"/>
    <w:rsid w:val="00101F18"/>
    <w:rsid w:val="00103B8F"/>
    <w:rsid w:val="00103C4D"/>
    <w:rsid w:val="00105A85"/>
    <w:rsid w:val="00106664"/>
    <w:rsid w:val="0010711F"/>
    <w:rsid w:val="00107C31"/>
    <w:rsid w:val="001102EF"/>
    <w:rsid w:val="00110EEB"/>
    <w:rsid w:val="00111629"/>
    <w:rsid w:val="0011217C"/>
    <w:rsid w:val="001137DB"/>
    <w:rsid w:val="00115861"/>
    <w:rsid w:val="00116C2B"/>
    <w:rsid w:val="00120458"/>
    <w:rsid w:val="00122F2F"/>
    <w:rsid w:val="00123269"/>
    <w:rsid w:val="00123DDC"/>
    <w:rsid w:val="00125070"/>
    <w:rsid w:val="00125CC3"/>
    <w:rsid w:val="001260E9"/>
    <w:rsid w:val="0012685F"/>
    <w:rsid w:val="00127CD0"/>
    <w:rsid w:val="00127E4D"/>
    <w:rsid w:val="00132916"/>
    <w:rsid w:val="001337F6"/>
    <w:rsid w:val="001340F7"/>
    <w:rsid w:val="00134A85"/>
    <w:rsid w:val="00134B30"/>
    <w:rsid w:val="0013641B"/>
    <w:rsid w:val="001367E0"/>
    <w:rsid w:val="001370D5"/>
    <w:rsid w:val="001378BA"/>
    <w:rsid w:val="00142E87"/>
    <w:rsid w:val="00144FAA"/>
    <w:rsid w:val="0014552F"/>
    <w:rsid w:val="00145BFD"/>
    <w:rsid w:val="00147BE2"/>
    <w:rsid w:val="00150020"/>
    <w:rsid w:val="00151065"/>
    <w:rsid w:val="0015145A"/>
    <w:rsid w:val="00152CB0"/>
    <w:rsid w:val="001536C3"/>
    <w:rsid w:val="00155E1A"/>
    <w:rsid w:val="00155EB5"/>
    <w:rsid w:val="00156F1E"/>
    <w:rsid w:val="0015728E"/>
    <w:rsid w:val="001602DD"/>
    <w:rsid w:val="00161327"/>
    <w:rsid w:val="001619F1"/>
    <w:rsid w:val="0016220A"/>
    <w:rsid w:val="001642F4"/>
    <w:rsid w:val="001666AD"/>
    <w:rsid w:val="00167CE8"/>
    <w:rsid w:val="00170C29"/>
    <w:rsid w:val="00171512"/>
    <w:rsid w:val="00172B8A"/>
    <w:rsid w:val="00172BD1"/>
    <w:rsid w:val="00175D10"/>
    <w:rsid w:val="0017604A"/>
    <w:rsid w:val="001761DF"/>
    <w:rsid w:val="001768FF"/>
    <w:rsid w:val="00177831"/>
    <w:rsid w:val="00177A5B"/>
    <w:rsid w:val="00177CC9"/>
    <w:rsid w:val="00183FE0"/>
    <w:rsid w:val="00184262"/>
    <w:rsid w:val="00190B10"/>
    <w:rsid w:val="001911CF"/>
    <w:rsid w:val="001919BC"/>
    <w:rsid w:val="0019221E"/>
    <w:rsid w:val="00192ABF"/>
    <w:rsid w:val="001945FF"/>
    <w:rsid w:val="001A05F5"/>
    <w:rsid w:val="001A0C43"/>
    <w:rsid w:val="001A13B5"/>
    <w:rsid w:val="001A2EFC"/>
    <w:rsid w:val="001A642C"/>
    <w:rsid w:val="001A658D"/>
    <w:rsid w:val="001B09C8"/>
    <w:rsid w:val="001B0AF1"/>
    <w:rsid w:val="001B28A3"/>
    <w:rsid w:val="001B293C"/>
    <w:rsid w:val="001B3111"/>
    <w:rsid w:val="001B4C2B"/>
    <w:rsid w:val="001C2450"/>
    <w:rsid w:val="001C26DE"/>
    <w:rsid w:val="001C27DE"/>
    <w:rsid w:val="001C328F"/>
    <w:rsid w:val="001C6206"/>
    <w:rsid w:val="001C679B"/>
    <w:rsid w:val="001D046C"/>
    <w:rsid w:val="001D1042"/>
    <w:rsid w:val="001D1EF4"/>
    <w:rsid w:val="001D27FD"/>
    <w:rsid w:val="001D5A51"/>
    <w:rsid w:val="001D7EBD"/>
    <w:rsid w:val="001E072F"/>
    <w:rsid w:val="001E1615"/>
    <w:rsid w:val="001E2793"/>
    <w:rsid w:val="001E2D04"/>
    <w:rsid w:val="001E3FD6"/>
    <w:rsid w:val="001E4699"/>
    <w:rsid w:val="001E4ED4"/>
    <w:rsid w:val="001E5BAF"/>
    <w:rsid w:val="001E6531"/>
    <w:rsid w:val="001E68D5"/>
    <w:rsid w:val="001E78D8"/>
    <w:rsid w:val="001F2623"/>
    <w:rsid w:val="001F2CA1"/>
    <w:rsid w:val="001F3D4E"/>
    <w:rsid w:val="001F3F28"/>
    <w:rsid w:val="001F4C38"/>
    <w:rsid w:val="001F5536"/>
    <w:rsid w:val="001F59D7"/>
    <w:rsid w:val="001F644B"/>
    <w:rsid w:val="001F685A"/>
    <w:rsid w:val="0020132F"/>
    <w:rsid w:val="00202A36"/>
    <w:rsid w:val="00203472"/>
    <w:rsid w:val="00203637"/>
    <w:rsid w:val="002057C1"/>
    <w:rsid w:val="002058E7"/>
    <w:rsid w:val="002063F5"/>
    <w:rsid w:val="002076F1"/>
    <w:rsid w:val="0020772E"/>
    <w:rsid w:val="002077EA"/>
    <w:rsid w:val="002078A9"/>
    <w:rsid w:val="00210678"/>
    <w:rsid w:val="00210910"/>
    <w:rsid w:val="002124B2"/>
    <w:rsid w:val="00214D19"/>
    <w:rsid w:val="00215684"/>
    <w:rsid w:val="00215992"/>
    <w:rsid w:val="00215E11"/>
    <w:rsid w:val="00216E7D"/>
    <w:rsid w:val="00216EE7"/>
    <w:rsid w:val="00217711"/>
    <w:rsid w:val="002178D5"/>
    <w:rsid w:val="0022146E"/>
    <w:rsid w:val="002218F5"/>
    <w:rsid w:val="00221A2E"/>
    <w:rsid w:val="00221A78"/>
    <w:rsid w:val="00223519"/>
    <w:rsid w:val="00223F30"/>
    <w:rsid w:val="00225DD2"/>
    <w:rsid w:val="00226C6C"/>
    <w:rsid w:val="00230079"/>
    <w:rsid w:val="00231005"/>
    <w:rsid w:val="002334D1"/>
    <w:rsid w:val="00233FE0"/>
    <w:rsid w:val="00234497"/>
    <w:rsid w:val="00234B02"/>
    <w:rsid w:val="00234D84"/>
    <w:rsid w:val="00234E70"/>
    <w:rsid w:val="00234F70"/>
    <w:rsid w:val="002367E9"/>
    <w:rsid w:val="0023709E"/>
    <w:rsid w:val="002405FD"/>
    <w:rsid w:val="00240D0F"/>
    <w:rsid w:val="0024100D"/>
    <w:rsid w:val="002412EF"/>
    <w:rsid w:val="0024132D"/>
    <w:rsid w:val="00242E39"/>
    <w:rsid w:val="0024618C"/>
    <w:rsid w:val="00247A7A"/>
    <w:rsid w:val="0025410A"/>
    <w:rsid w:val="002553E8"/>
    <w:rsid w:val="00257CAA"/>
    <w:rsid w:val="00260D23"/>
    <w:rsid w:val="00263D4B"/>
    <w:rsid w:val="00265AB0"/>
    <w:rsid w:val="0027167C"/>
    <w:rsid w:val="002717B9"/>
    <w:rsid w:val="0027216F"/>
    <w:rsid w:val="002727D6"/>
    <w:rsid w:val="002729AD"/>
    <w:rsid w:val="00273D4F"/>
    <w:rsid w:val="00274864"/>
    <w:rsid w:val="00274F84"/>
    <w:rsid w:val="00275085"/>
    <w:rsid w:val="0027546C"/>
    <w:rsid w:val="00275954"/>
    <w:rsid w:val="00277767"/>
    <w:rsid w:val="00283952"/>
    <w:rsid w:val="0028451C"/>
    <w:rsid w:val="00285DF0"/>
    <w:rsid w:val="002869E5"/>
    <w:rsid w:val="00286B37"/>
    <w:rsid w:val="002879C6"/>
    <w:rsid w:val="0029094C"/>
    <w:rsid w:val="00292D1B"/>
    <w:rsid w:val="00294BB9"/>
    <w:rsid w:val="00296B1B"/>
    <w:rsid w:val="00296F89"/>
    <w:rsid w:val="002A037A"/>
    <w:rsid w:val="002A07DA"/>
    <w:rsid w:val="002A18CE"/>
    <w:rsid w:val="002A33DF"/>
    <w:rsid w:val="002A41CE"/>
    <w:rsid w:val="002A4706"/>
    <w:rsid w:val="002A5036"/>
    <w:rsid w:val="002A6288"/>
    <w:rsid w:val="002A63BB"/>
    <w:rsid w:val="002A6F1B"/>
    <w:rsid w:val="002A7B10"/>
    <w:rsid w:val="002B005A"/>
    <w:rsid w:val="002B1831"/>
    <w:rsid w:val="002B3D5B"/>
    <w:rsid w:val="002B78EF"/>
    <w:rsid w:val="002C0082"/>
    <w:rsid w:val="002C077B"/>
    <w:rsid w:val="002C0EDB"/>
    <w:rsid w:val="002C3062"/>
    <w:rsid w:val="002C4783"/>
    <w:rsid w:val="002C7CB3"/>
    <w:rsid w:val="002D1B9A"/>
    <w:rsid w:val="002D1D20"/>
    <w:rsid w:val="002D32F8"/>
    <w:rsid w:val="002D3B9F"/>
    <w:rsid w:val="002D4F73"/>
    <w:rsid w:val="002D7262"/>
    <w:rsid w:val="002E331D"/>
    <w:rsid w:val="002E3734"/>
    <w:rsid w:val="002E40AD"/>
    <w:rsid w:val="002E65D0"/>
    <w:rsid w:val="002E7048"/>
    <w:rsid w:val="002F09C9"/>
    <w:rsid w:val="002F15D8"/>
    <w:rsid w:val="002F2CE0"/>
    <w:rsid w:val="002F2EB3"/>
    <w:rsid w:val="002F4A79"/>
    <w:rsid w:val="002F608A"/>
    <w:rsid w:val="002F7B4D"/>
    <w:rsid w:val="00300409"/>
    <w:rsid w:val="00302678"/>
    <w:rsid w:val="00303F48"/>
    <w:rsid w:val="0030435F"/>
    <w:rsid w:val="00304995"/>
    <w:rsid w:val="00304FD0"/>
    <w:rsid w:val="0030566B"/>
    <w:rsid w:val="00306CBE"/>
    <w:rsid w:val="00307454"/>
    <w:rsid w:val="003106AD"/>
    <w:rsid w:val="00310BC2"/>
    <w:rsid w:val="00310EA1"/>
    <w:rsid w:val="0031268D"/>
    <w:rsid w:val="00312EAD"/>
    <w:rsid w:val="00313ED4"/>
    <w:rsid w:val="00313F02"/>
    <w:rsid w:val="00314346"/>
    <w:rsid w:val="003144E5"/>
    <w:rsid w:val="003153B3"/>
    <w:rsid w:val="00315C37"/>
    <w:rsid w:val="003176DF"/>
    <w:rsid w:val="00320A3E"/>
    <w:rsid w:val="00320C08"/>
    <w:rsid w:val="0032138B"/>
    <w:rsid w:val="00322748"/>
    <w:rsid w:val="00322EC6"/>
    <w:rsid w:val="00325B2D"/>
    <w:rsid w:val="00325CAC"/>
    <w:rsid w:val="0033088D"/>
    <w:rsid w:val="00331BBE"/>
    <w:rsid w:val="00333085"/>
    <w:rsid w:val="0033434C"/>
    <w:rsid w:val="0033458E"/>
    <w:rsid w:val="0033775F"/>
    <w:rsid w:val="00340F13"/>
    <w:rsid w:val="00341F4C"/>
    <w:rsid w:val="0034239A"/>
    <w:rsid w:val="003448D9"/>
    <w:rsid w:val="00344CAF"/>
    <w:rsid w:val="00345229"/>
    <w:rsid w:val="00345925"/>
    <w:rsid w:val="0034609F"/>
    <w:rsid w:val="00347964"/>
    <w:rsid w:val="003500F9"/>
    <w:rsid w:val="00350242"/>
    <w:rsid w:val="00353DC3"/>
    <w:rsid w:val="00354FF2"/>
    <w:rsid w:val="0035619E"/>
    <w:rsid w:val="00356ADC"/>
    <w:rsid w:val="0035713D"/>
    <w:rsid w:val="00361E30"/>
    <w:rsid w:val="00362ADE"/>
    <w:rsid w:val="0036340B"/>
    <w:rsid w:val="00363625"/>
    <w:rsid w:val="00363654"/>
    <w:rsid w:val="00363F49"/>
    <w:rsid w:val="0036795D"/>
    <w:rsid w:val="00370F6C"/>
    <w:rsid w:val="00373FB7"/>
    <w:rsid w:val="00374C44"/>
    <w:rsid w:val="003750D2"/>
    <w:rsid w:val="0037514B"/>
    <w:rsid w:val="003765DB"/>
    <w:rsid w:val="00381CD4"/>
    <w:rsid w:val="003832CA"/>
    <w:rsid w:val="00384E8A"/>
    <w:rsid w:val="0038527C"/>
    <w:rsid w:val="003864E1"/>
    <w:rsid w:val="00386F8F"/>
    <w:rsid w:val="00390836"/>
    <w:rsid w:val="00392997"/>
    <w:rsid w:val="00393B4F"/>
    <w:rsid w:val="00396FA1"/>
    <w:rsid w:val="0039779B"/>
    <w:rsid w:val="00397B22"/>
    <w:rsid w:val="003A4449"/>
    <w:rsid w:val="003A599D"/>
    <w:rsid w:val="003A64DB"/>
    <w:rsid w:val="003A6F5A"/>
    <w:rsid w:val="003A7C15"/>
    <w:rsid w:val="003B0603"/>
    <w:rsid w:val="003B0779"/>
    <w:rsid w:val="003B097F"/>
    <w:rsid w:val="003B111C"/>
    <w:rsid w:val="003B3043"/>
    <w:rsid w:val="003B4048"/>
    <w:rsid w:val="003B5718"/>
    <w:rsid w:val="003B5A7D"/>
    <w:rsid w:val="003B79BF"/>
    <w:rsid w:val="003C04C4"/>
    <w:rsid w:val="003C0B01"/>
    <w:rsid w:val="003C3250"/>
    <w:rsid w:val="003C33E1"/>
    <w:rsid w:val="003C3621"/>
    <w:rsid w:val="003C36C5"/>
    <w:rsid w:val="003C6419"/>
    <w:rsid w:val="003C6E70"/>
    <w:rsid w:val="003C7163"/>
    <w:rsid w:val="003C7970"/>
    <w:rsid w:val="003C7C2F"/>
    <w:rsid w:val="003D19BE"/>
    <w:rsid w:val="003D4C31"/>
    <w:rsid w:val="003D6E6A"/>
    <w:rsid w:val="003E06FF"/>
    <w:rsid w:val="003E1CE7"/>
    <w:rsid w:val="003E2D47"/>
    <w:rsid w:val="003E580E"/>
    <w:rsid w:val="003E5AD8"/>
    <w:rsid w:val="003E6155"/>
    <w:rsid w:val="003E6578"/>
    <w:rsid w:val="003F1889"/>
    <w:rsid w:val="003F3E2F"/>
    <w:rsid w:val="003F4DF5"/>
    <w:rsid w:val="003F6F7D"/>
    <w:rsid w:val="003F7D03"/>
    <w:rsid w:val="00401BD1"/>
    <w:rsid w:val="00404107"/>
    <w:rsid w:val="004043E6"/>
    <w:rsid w:val="00405DBA"/>
    <w:rsid w:val="0041032E"/>
    <w:rsid w:val="00410BB5"/>
    <w:rsid w:val="004110CA"/>
    <w:rsid w:val="0041320D"/>
    <w:rsid w:val="00414B41"/>
    <w:rsid w:val="00414D7A"/>
    <w:rsid w:val="00415508"/>
    <w:rsid w:val="00415E33"/>
    <w:rsid w:val="00416F0E"/>
    <w:rsid w:val="0041727A"/>
    <w:rsid w:val="004225EE"/>
    <w:rsid w:val="004230A3"/>
    <w:rsid w:val="004251B6"/>
    <w:rsid w:val="00425A11"/>
    <w:rsid w:val="0042604A"/>
    <w:rsid w:val="00426839"/>
    <w:rsid w:val="004307BD"/>
    <w:rsid w:val="00432E14"/>
    <w:rsid w:val="00433120"/>
    <w:rsid w:val="00434409"/>
    <w:rsid w:val="0043515D"/>
    <w:rsid w:val="004351C2"/>
    <w:rsid w:val="00435962"/>
    <w:rsid w:val="004361AC"/>
    <w:rsid w:val="0043687D"/>
    <w:rsid w:val="00436E10"/>
    <w:rsid w:val="004420CF"/>
    <w:rsid w:val="00442E5D"/>
    <w:rsid w:val="0044392C"/>
    <w:rsid w:val="00443948"/>
    <w:rsid w:val="004458F6"/>
    <w:rsid w:val="00447091"/>
    <w:rsid w:val="00447DC4"/>
    <w:rsid w:val="00450955"/>
    <w:rsid w:val="004514BE"/>
    <w:rsid w:val="00452BF9"/>
    <w:rsid w:val="00452BFE"/>
    <w:rsid w:val="00455CA7"/>
    <w:rsid w:val="00456C94"/>
    <w:rsid w:val="00457DA4"/>
    <w:rsid w:val="0046140B"/>
    <w:rsid w:val="00462671"/>
    <w:rsid w:val="00463324"/>
    <w:rsid w:val="00463A0C"/>
    <w:rsid w:val="004669A6"/>
    <w:rsid w:val="004671D5"/>
    <w:rsid w:val="0046749C"/>
    <w:rsid w:val="00470E45"/>
    <w:rsid w:val="004727B8"/>
    <w:rsid w:val="00473CBF"/>
    <w:rsid w:val="00473EBA"/>
    <w:rsid w:val="00474262"/>
    <w:rsid w:val="00476ADC"/>
    <w:rsid w:val="0048076C"/>
    <w:rsid w:val="004824A3"/>
    <w:rsid w:val="00482833"/>
    <w:rsid w:val="00485E41"/>
    <w:rsid w:val="00486857"/>
    <w:rsid w:val="00487F9E"/>
    <w:rsid w:val="004912A2"/>
    <w:rsid w:val="00491A8B"/>
    <w:rsid w:val="00492F25"/>
    <w:rsid w:val="00494912"/>
    <w:rsid w:val="00495038"/>
    <w:rsid w:val="00495240"/>
    <w:rsid w:val="00495478"/>
    <w:rsid w:val="00495BEB"/>
    <w:rsid w:val="00495E59"/>
    <w:rsid w:val="00495E98"/>
    <w:rsid w:val="00496E27"/>
    <w:rsid w:val="004A0B41"/>
    <w:rsid w:val="004A267B"/>
    <w:rsid w:val="004A3E3E"/>
    <w:rsid w:val="004A41AE"/>
    <w:rsid w:val="004A546B"/>
    <w:rsid w:val="004A648A"/>
    <w:rsid w:val="004A677A"/>
    <w:rsid w:val="004A7245"/>
    <w:rsid w:val="004B0B24"/>
    <w:rsid w:val="004B0E7C"/>
    <w:rsid w:val="004B1542"/>
    <w:rsid w:val="004B4D25"/>
    <w:rsid w:val="004B51E8"/>
    <w:rsid w:val="004C1509"/>
    <w:rsid w:val="004C19D7"/>
    <w:rsid w:val="004C3CE8"/>
    <w:rsid w:val="004C3D03"/>
    <w:rsid w:val="004D01E5"/>
    <w:rsid w:val="004D1050"/>
    <w:rsid w:val="004D1D9A"/>
    <w:rsid w:val="004D3D06"/>
    <w:rsid w:val="004D3E8C"/>
    <w:rsid w:val="004D6A64"/>
    <w:rsid w:val="004E14D6"/>
    <w:rsid w:val="004E1D66"/>
    <w:rsid w:val="004E23AA"/>
    <w:rsid w:val="004E23AF"/>
    <w:rsid w:val="004E4548"/>
    <w:rsid w:val="004F091F"/>
    <w:rsid w:val="004F2159"/>
    <w:rsid w:val="004F2AFC"/>
    <w:rsid w:val="004F343A"/>
    <w:rsid w:val="004F5055"/>
    <w:rsid w:val="004F5C24"/>
    <w:rsid w:val="004F5D4E"/>
    <w:rsid w:val="004F5FF2"/>
    <w:rsid w:val="004F7710"/>
    <w:rsid w:val="004F7A3F"/>
    <w:rsid w:val="005000BC"/>
    <w:rsid w:val="00501283"/>
    <w:rsid w:val="0050188A"/>
    <w:rsid w:val="0050269C"/>
    <w:rsid w:val="0050279B"/>
    <w:rsid w:val="00502A1B"/>
    <w:rsid w:val="00502C6F"/>
    <w:rsid w:val="00504AD1"/>
    <w:rsid w:val="00506BE8"/>
    <w:rsid w:val="00510878"/>
    <w:rsid w:val="00513494"/>
    <w:rsid w:val="005158CE"/>
    <w:rsid w:val="005158E8"/>
    <w:rsid w:val="005171E4"/>
    <w:rsid w:val="00517B35"/>
    <w:rsid w:val="0052015A"/>
    <w:rsid w:val="005236CB"/>
    <w:rsid w:val="00526956"/>
    <w:rsid w:val="005272B2"/>
    <w:rsid w:val="00530128"/>
    <w:rsid w:val="00530E90"/>
    <w:rsid w:val="00531C88"/>
    <w:rsid w:val="00531D4B"/>
    <w:rsid w:val="005320F0"/>
    <w:rsid w:val="00533BE9"/>
    <w:rsid w:val="00536765"/>
    <w:rsid w:val="00537438"/>
    <w:rsid w:val="00537AD4"/>
    <w:rsid w:val="00540822"/>
    <w:rsid w:val="00541A1A"/>
    <w:rsid w:val="00541D37"/>
    <w:rsid w:val="0054222F"/>
    <w:rsid w:val="00542B55"/>
    <w:rsid w:val="00543908"/>
    <w:rsid w:val="00543BE6"/>
    <w:rsid w:val="0054427B"/>
    <w:rsid w:val="0054630E"/>
    <w:rsid w:val="00546950"/>
    <w:rsid w:val="00547696"/>
    <w:rsid w:val="00547C2B"/>
    <w:rsid w:val="00550550"/>
    <w:rsid w:val="00550D79"/>
    <w:rsid w:val="00551736"/>
    <w:rsid w:val="00551FC0"/>
    <w:rsid w:val="00552C4B"/>
    <w:rsid w:val="00554646"/>
    <w:rsid w:val="00554F3F"/>
    <w:rsid w:val="0055588F"/>
    <w:rsid w:val="00555B7A"/>
    <w:rsid w:val="005566AE"/>
    <w:rsid w:val="00557B5A"/>
    <w:rsid w:val="00557BCC"/>
    <w:rsid w:val="005624F7"/>
    <w:rsid w:val="005627BD"/>
    <w:rsid w:val="005648B2"/>
    <w:rsid w:val="00565272"/>
    <w:rsid w:val="005660AF"/>
    <w:rsid w:val="00570DE1"/>
    <w:rsid w:val="0057145D"/>
    <w:rsid w:val="0057236A"/>
    <w:rsid w:val="00572948"/>
    <w:rsid w:val="005746A1"/>
    <w:rsid w:val="00575746"/>
    <w:rsid w:val="005759B6"/>
    <w:rsid w:val="00576DFF"/>
    <w:rsid w:val="00580369"/>
    <w:rsid w:val="00580DA3"/>
    <w:rsid w:val="00580F77"/>
    <w:rsid w:val="00582842"/>
    <w:rsid w:val="00586572"/>
    <w:rsid w:val="00587BD9"/>
    <w:rsid w:val="00587DA9"/>
    <w:rsid w:val="00592FD1"/>
    <w:rsid w:val="00593AA0"/>
    <w:rsid w:val="00594186"/>
    <w:rsid w:val="0059448F"/>
    <w:rsid w:val="005947E9"/>
    <w:rsid w:val="00595176"/>
    <w:rsid w:val="00596BEB"/>
    <w:rsid w:val="00596FA3"/>
    <w:rsid w:val="005979A5"/>
    <w:rsid w:val="00597A18"/>
    <w:rsid w:val="005A33C9"/>
    <w:rsid w:val="005A360D"/>
    <w:rsid w:val="005A38F9"/>
    <w:rsid w:val="005A7415"/>
    <w:rsid w:val="005B03B2"/>
    <w:rsid w:val="005B204C"/>
    <w:rsid w:val="005B3807"/>
    <w:rsid w:val="005B4733"/>
    <w:rsid w:val="005B4F42"/>
    <w:rsid w:val="005B52BD"/>
    <w:rsid w:val="005C0A89"/>
    <w:rsid w:val="005C10EB"/>
    <w:rsid w:val="005C12EF"/>
    <w:rsid w:val="005C2620"/>
    <w:rsid w:val="005C26E0"/>
    <w:rsid w:val="005C35CA"/>
    <w:rsid w:val="005C37B0"/>
    <w:rsid w:val="005C43EE"/>
    <w:rsid w:val="005C4885"/>
    <w:rsid w:val="005C4DFD"/>
    <w:rsid w:val="005C5407"/>
    <w:rsid w:val="005D023E"/>
    <w:rsid w:val="005D0625"/>
    <w:rsid w:val="005D1AF3"/>
    <w:rsid w:val="005D2896"/>
    <w:rsid w:val="005D5412"/>
    <w:rsid w:val="005D5D6E"/>
    <w:rsid w:val="005D70FF"/>
    <w:rsid w:val="005D74BC"/>
    <w:rsid w:val="005D7783"/>
    <w:rsid w:val="005E01FD"/>
    <w:rsid w:val="005E31E1"/>
    <w:rsid w:val="005E3C1D"/>
    <w:rsid w:val="005E551A"/>
    <w:rsid w:val="005F057F"/>
    <w:rsid w:val="005F1E98"/>
    <w:rsid w:val="005F257F"/>
    <w:rsid w:val="005F293D"/>
    <w:rsid w:val="005F3A17"/>
    <w:rsid w:val="005F4169"/>
    <w:rsid w:val="005F48B7"/>
    <w:rsid w:val="005F5E47"/>
    <w:rsid w:val="005F6AA0"/>
    <w:rsid w:val="005F6BA8"/>
    <w:rsid w:val="005F72D9"/>
    <w:rsid w:val="005F7A5B"/>
    <w:rsid w:val="006016B6"/>
    <w:rsid w:val="00601C9E"/>
    <w:rsid w:val="00601E3B"/>
    <w:rsid w:val="00602A00"/>
    <w:rsid w:val="00603117"/>
    <w:rsid w:val="00603A3F"/>
    <w:rsid w:val="00603F96"/>
    <w:rsid w:val="0060482C"/>
    <w:rsid w:val="00604D4D"/>
    <w:rsid w:val="00604DF1"/>
    <w:rsid w:val="00606412"/>
    <w:rsid w:val="006065F2"/>
    <w:rsid w:val="00606BFE"/>
    <w:rsid w:val="0061049B"/>
    <w:rsid w:val="006129B4"/>
    <w:rsid w:val="00614F42"/>
    <w:rsid w:val="006213D7"/>
    <w:rsid w:val="006213DF"/>
    <w:rsid w:val="00623488"/>
    <w:rsid w:val="0062702B"/>
    <w:rsid w:val="00630360"/>
    <w:rsid w:val="006326CD"/>
    <w:rsid w:val="00633197"/>
    <w:rsid w:val="00633875"/>
    <w:rsid w:val="00633E48"/>
    <w:rsid w:val="00634B2C"/>
    <w:rsid w:val="0064035C"/>
    <w:rsid w:val="00640FDF"/>
    <w:rsid w:val="00641857"/>
    <w:rsid w:val="00641ACC"/>
    <w:rsid w:val="00643601"/>
    <w:rsid w:val="00646FF1"/>
    <w:rsid w:val="006543B1"/>
    <w:rsid w:val="0065561D"/>
    <w:rsid w:val="00657D33"/>
    <w:rsid w:val="006604B1"/>
    <w:rsid w:val="006613CE"/>
    <w:rsid w:val="00662FC5"/>
    <w:rsid w:val="006633E5"/>
    <w:rsid w:val="006639F2"/>
    <w:rsid w:val="00666EF2"/>
    <w:rsid w:val="00670813"/>
    <w:rsid w:val="00670938"/>
    <w:rsid w:val="006718D3"/>
    <w:rsid w:val="00673A22"/>
    <w:rsid w:val="00676C5F"/>
    <w:rsid w:val="0068149D"/>
    <w:rsid w:val="0068160B"/>
    <w:rsid w:val="00681E10"/>
    <w:rsid w:val="00682FDA"/>
    <w:rsid w:val="00683BDA"/>
    <w:rsid w:val="006840D8"/>
    <w:rsid w:val="0068438F"/>
    <w:rsid w:val="006850D9"/>
    <w:rsid w:val="00685922"/>
    <w:rsid w:val="006861BE"/>
    <w:rsid w:val="00687133"/>
    <w:rsid w:val="006878E8"/>
    <w:rsid w:val="00687BA5"/>
    <w:rsid w:val="00690FBE"/>
    <w:rsid w:val="0069139E"/>
    <w:rsid w:val="006913D4"/>
    <w:rsid w:val="006932F0"/>
    <w:rsid w:val="00694E00"/>
    <w:rsid w:val="00694E0D"/>
    <w:rsid w:val="00696D86"/>
    <w:rsid w:val="00696D9A"/>
    <w:rsid w:val="006979D0"/>
    <w:rsid w:val="006A0FD2"/>
    <w:rsid w:val="006A1D94"/>
    <w:rsid w:val="006A1F3B"/>
    <w:rsid w:val="006A201A"/>
    <w:rsid w:val="006A4C72"/>
    <w:rsid w:val="006A54AE"/>
    <w:rsid w:val="006A5D87"/>
    <w:rsid w:val="006A792A"/>
    <w:rsid w:val="006B3EC9"/>
    <w:rsid w:val="006B529D"/>
    <w:rsid w:val="006B741D"/>
    <w:rsid w:val="006B7577"/>
    <w:rsid w:val="006B783F"/>
    <w:rsid w:val="006C0054"/>
    <w:rsid w:val="006C0404"/>
    <w:rsid w:val="006C08C1"/>
    <w:rsid w:val="006C1B93"/>
    <w:rsid w:val="006C1BA7"/>
    <w:rsid w:val="006C42FE"/>
    <w:rsid w:val="006C4EA9"/>
    <w:rsid w:val="006C63D0"/>
    <w:rsid w:val="006C6F5B"/>
    <w:rsid w:val="006C7ADD"/>
    <w:rsid w:val="006C7EC2"/>
    <w:rsid w:val="006D1BAF"/>
    <w:rsid w:val="006D1FE3"/>
    <w:rsid w:val="006D2FC8"/>
    <w:rsid w:val="006D3094"/>
    <w:rsid w:val="006D34BA"/>
    <w:rsid w:val="006D59C3"/>
    <w:rsid w:val="006D77B9"/>
    <w:rsid w:val="006E046D"/>
    <w:rsid w:val="006E05AA"/>
    <w:rsid w:val="006E0761"/>
    <w:rsid w:val="006E0BC7"/>
    <w:rsid w:val="006E0BE4"/>
    <w:rsid w:val="006E1497"/>
    <w:rsid w:val="006E3FEF"/>
    <w:rsid w:val="006E4BB2"/>
    <w:rsid w:val="006E54F2"/>
    <w:rsid w:val="006E5747"/>
    <w:rsid w:val="006E576E"/>
    <w:rsid w:val="006E73EB"/>
    <w:rsid w:val="006E742B"/>
    <w:rsid w:val="006E7665"/>
    <w:rsid w:val="006F17C1"/>
    <w:rsid w:val="006F254E"/>
    <w:rsid w:val="006F2830"/>
    <w:rsid w:val="006F4A24"/>
    <w:rsid w:val="006F64E4"/>
    <w:rsid w:val="006F6C5E"/>
    <w:rsid w:val="00701103"/>
    <w:rsid w:val="00703A45"/>
    <w:rsid w:val="00706517"/>
    <w:rsid w:val="0070677D"/>
    <w:rsid w:val="007069F9"/>
    <w:rsid w:val="00710431"/>
    <w:rsid w:val="00710948"/>
    <w:rsid w:val="00710C43"/>
    <w:rsid w:val="00712880"/>
    <w:rsid w:val="00713F85"/>
    <w:rsid w:val="00720A14"/>
    <w:rsid w:val="00721E21"/>
    <w:rsid w:val="00721E44"/>
    <w:rsid w:val="007222C2"/>
    <w:rsid w:val="00722A19"/>
    <w:rsid w:val="00724C77"/>
    <w:rsid w:val="00724F29"/>
    <w:rsid w:val="0072696F"/>
    <w:rsid w:val="0072794C"/>
    <w:rsid w:val="00730145"/>
    <w:rsid w:val="00730925"/>
    <w:rsid w:val="00734A4F"/>
    <w:rsid w:val="00735756"/>
    <w:rsid w:val="007365FA"/>
    <w:rsid w:val="007369BB"/>
    <w:rsid w:val="00736EB4"/>
    <w:rsid w:val="00737B76"/>
    <w:rsid w:val="00737C7D"/>
    <w:rsid w:val="00743E9C"/>
    <w:rsid w:val="00745634"/>
    <w:rsid w:val="00745BEB"/>
    <w:rsid w:val="00745BF5"/>
    <w:rsid w:val="0075616A"/>
    <w:rsid w:val="007561C1"/>
    <w:rsid w:val="00757331"/>
    <w:rsid w:val="00757A3B"/>
    <w:rsid w:val="007600A2"/>
    <w:rsid w:val="00760E81"/>
    <w:rsid w:val="007623EB"/>
    <w:rsid w:val="007625FF"/>
    <w:rsid w:val="00763BA3"/>
    <w:rsid w:val="00764F27"/>
    <w:rsid w:val="007658E5"/>
    <w:rsid w:val="007667FD"/>
    <w:rsid w:val="007674EB"/>
    <w:rsid w:val="00767BB2"/>
    <w:rsid w:val="00767FC9"/>
    <w:rsid w:val="00770249"/>
    <w:rsid w:val="0077152E"/>
    <w:rsid w:val="00771987"/>
    <w:rsid w:val="0077217B"/>
    <w:rsid w:val="00772F01"/>
    <w:rsid w:val="00773B58"/>
    <w:rsid w:val="00773CF6"/>
    <w:rsid w:val="00774931"/>
    <w:rsid w:val="007770F9"/>
    <w:rsid w:val="007776E3"/>
    <w:rsid w:val="00780376"/>
    <w:rsid w:val="00780E05"/>
    <w:rsid w:val="00782665"/>
    <w:rsid w:val="0078303C"/>
    <w:rsid w:val="00783064"/>
    <w:rsid w:val="00785EB8"/>
    <w:rsid w:val="0078764C"/>
    <w:rsid w:val="007902CB"/>
    <w:rsid w:val="007929C2"/>
    <w:rsid w:val="00795A06"/>
    <w:rsid w:val="00797C56"/>
    <w:rsid w:val="00797D4C"/>
    <w:rsid w:val="007A3AC6"/>
    <w:rsid w:val="007A409A"/>
    <w:rsid w:val="007A4223"/>
    <w:rsid w:val="007B2268"/>
    <w:rsid w:val="007B595A"/>
    <w:rsid w:val="007B65B3"/>
    <w:rsid w:val="007B6792"/>
    <w:rsid w:val="007B7CBA"/>
    <w:rsid w:val="007C2051"/>
    <w:rsid w:val="007C2922"/>
    <w:rsid w:val="007C60A8"/>
    <w:rsid w:val="007C62E7"/>
    <w:rsid w:val="007D053D"/>
    <w:rsid w:val="007D0F2C"/>
    <w:rsid w:val="007D115D"/>
    <w:rsid w:val="007D2586"/>
    <w:rsid w:val="007D3774"/>
    <w:rsid w:val="007D5C0D"/>
    <w:rsid w:val="007D69DD"/>
    <w:rsid w:val="007E18DC"/>
    <w:rsid w:val="007E1982"/>
    <w:rsid w:val="007E4521"/>
    <w:rsid w:val="007F039B"/>
    <w:rsid w:val="007F07FE"/>
    <w:rsid w:val="007F0FAA"/>
    <w:rsid w:val="007F1213"/>
    <w:rsid w:val="007F1A95"/>
    <w:rsid w:val="007F3C46"/>
    <w:rsid w:val="007F506D"/>
    <w:rsid w:val="007F5517"/>
    <w:rsid w:val="007F6684"/>
    <w:rsid w:val="007F67E6"/>
    <w:rsid w:val="00801A8D"/>
    <w:rsid w:val="00802361"/>
    <w:rsid w:val="0080281E"/>
    <w:rsid w:val="0080326D"/>
    <w:rsid w:val="00804004"/>
    <w:rsid w:val="00805497"/>
    <w:rsid w:val="008054F0"/>
    <w:rsid w:val="00806FAA"/>
    <w:rsid w:val="00810E6E"/>
    <w:rsid w:val="00813BDE"/>
    <w:rsid w:val="0081457D"/>
    <w:rsid w:val="00815AA7"/>
    <w:rsid w:val="008163D4"/>
    <w:rsid w:val="008203F8"/>
    <w:rsid w:val="008217FD"/>
    <w:rsid w:val="00822310"/>
    <w:rsid w:val="00822FE4"/>
    <w:rsid w:val="00823313"/>
    <w:rsid w:val="0082498F"/>
    <w:rsid w:val="00831C6B"/>
    <w:rsid w:val="00831D8B"/>
    <w:rsid w:val="008330F2"/>
    <w:rsid w:val="008332A7"/>
    <w:rsid w:val="008340BB"/>
    <w:rsid w:val="008341D9"/>
    <w:rsid w:val="00834C07"/>
    <w:rsid w:val="008421AD"/>
    <w:rsid w:val="00844CB4"/>
    <w:rsid w:val="00846020"/>
    <w:rsid w:val="00847EA0"/>
    <w:rsid w:val="00850CCB"/>
    <w:rsid w:val="00851775"/>
    <w:rsid w:val="00852D2A"/>
    <w:rsid w:val="00852D9F"/>
    <w:rsid w:val="00854449"/>
    <w:rsid w:val="008567C0"/>
    <w:rsid w:val="00857233"/>
    <w:rsid w:val="0085737A"/>
    <w:rsid w:val="00857FD3"/>
    <w:rsid w:val="008618E5"/>
    <w:rsid w:val="008631D2"/>
    <w:rsid w:val="008657D1"/>
    <w:rsid w:val="00867C09"/>
    <w:rsid w:val="00871A2E"/>
    <w:rsid w:val="00871C0D"/>
    <w:rsid w:val="00872902"/>
    <w:rsid w:val="00873586"/>
    <w:rsid w:val="00873FE3"/>
    <w:rsid w:val="008749ED"/>
    <w:rsid w:val="00875281"/>
    <w:rsid w:val="00876B8E"/>
    <w:rsid w:val="00876BBF"/>
    <w:rsid w:val="0087713E"/>
    <w:rsid w:val="00877371"/>
    <w:rsid w:val="00882181"/>
    <w:rsid w:val="0088491C"/>
    <w:rsid w:val="00885AEE"/>
    <w:rsid w:val="00887FBE"/>
    <w:rsid w:val="00890142"/>
    <w:rsid w:val="00890306"/>
    <w:rsid w:val="00892E22"/>
    <w:rsid w:val="00893315"/>
    <w:rsid w:val="008942B9"/>
    <w:rsid w:val="00894342"/>
    <w:rsid w:val="00895982"/>
    <w:rsid w:val="00897345"/>
    <w:rsid w:val="008974F5"/>
    <w:rsid w:val="008A02F1"/>
    <w:rsid w:val="008A247C"/>
    <w:rsid w:val="008A33D4"/>
    <w:rsid w:val="008A35E4"/>
    <w:rsid w:val="008A435A"/>
    <w:rsid w:val="008A54FC"/>
    <w:rsid w:val="008A618A"/>
    <w:rsid w:val="008A7B4A"/>
    <w:rsid w:val="008B09ED"/>
    <w:rsid w:val="008B10CC"/>
    <w:rsid w:val="008B50A1"/>
    <w:rsid w:val="008B675B"/>
    <w:rsid w:val="008B70CD"/>
    <w:rsid w:val="008B7B14"/>
    <w:rsid w:val="008C52DD"/>
    <w:rsid w:val="008C610F"/>
    <w:rsid w:val="008C6CF9"/>
    <w:rsid w:val="008C7FD7"/>
    <w:rsid w:val="008D1312"/>
    <w:rsid w:val="008D1BB7"/>
    <w:rsid w:val="008D3578"/>
    <w:rsid w:val="008D3C32"/>
    <w:rsid w:val="008D4B6E"/>
    <w:rsid w:val="008D740D"/>
    <w:rsid w:val="008D7B0A"/>
    <w:rsid w:val="008D7C6B"/>
    <w:rsid w:val="008E023A"/>
    <w:rsid w:val="008E2CAD"/>
    <w:rsid w:val="008E3271"/>
    <w:rsid w:val="008E473F"/>
    <w:rsid w:val="008E5A7E"/>
    <w:rsid w:val="008E687F"/>
    <w:rsid w:val="008E7112"/>
    <w:rsid w:val="008E7E60"/>
    <w:rsid w:val="008F068B"/>
    <w:rsid w:val="008F0DD9"/>
    <w:rsid w:val="008F1A38"/>
    <w:rsid w:val="008F24A0"/>
    <w:rsid w:val="008F4347"/>
    <w:rsid w:val="008F476A"/>
    <w:rsid w:val="008F48E7"/>
    <w:rsid w:val="008F51DB"/>
    <w:rsid w:val="008F5C0C"/>
    <w:rsid w:val="008F7F67"/>
    <w:rsid w:val="00900D1E"/>
    <w:rsid w:val="00901575"/>
    <w:rsid w:val="00903ECD"/>
    <w:rsid w:val="009045B6"/>
    <w:rsid w:val="00904D46"/>
    <w:rsid w:val="009050AE"/>
    <w:rsid w:val="0090694A"/>
    <w:rsid w:val="00906D7B"/>
    <w:rsid w:val="00907082"/>
    <w:rsid w:val="00907776"/>
    <w:rsid w:val="00907A16"/>
    <w:rsid w:val="00912C5C"/>
    <w:rsid w:val="00912DBD"/>
    <w:rsid w:val="009130E3"/>
    <w:rsid w:val="00916D2C"/>
    <w:rsid w:val="009204A8"/>
    <w:rsid w:val="00920CEC"/>
    <w:rsid w:val="00923639"/>
    <w:rsid w:val="0092415A"/>
    <w:rsid w:val="00925515"/>
    <w:rsid w:val="009256E9"/>
    <w:rsid w:val="00930210"/>
    <w:rsid w:val="009310A6"/>
    <w:rsid w:val="00932FB6"/>
    <w:rsid w:val="00933106"/>
    <w:rsid w:val="00934EBF"/>
    <w:rsid w:val="00935531"/>
    <w:rsid w:val="00935AA1"/>
    <w:rsid w:val="009404C5"/>
    <w:rsid w:val="0094255B"/>
    <w:rsid w:val="00942953"/>
    <w:rsid w:val="009436A6"/>
    <w:rsid w:val="00945360"/>
    <w:rsid w:val="0094613C"/>
    <w:rsid w:val="0094778B"/>
    <w:rsid w:val="00950B08"/>
    <w:rsid w:val="00950ED4"/>
    <w:rsid w:val="00951397"/>
    <w:rsid w:val="0095211C"/>
    <w:rsid w:val="0095380A"/>
    <w:rsid w:val="00954A36"/>
    <w:rsid w:val="00954DA6"/>
    <w:rsid w:val="009560BC"/>
    <w:rsid w:val="00961D90"/>
    <w:rsid w:val="009626E1"/>
    <w:rsid w:val="0096295A"/>
    <w:rsid w:val="00962BA9"/>
    <w:rsid w:val="00962F08"/>
    <w:rsid w:val="00963A1F"/>
    <w:rsid w:val="0096546B"/>
    <w:rsid w:val="00965D23"/>
    <w:rsid w:val="00966CEF"/>
    <w:rsid w:val="009671BA"/>
    <w:rsid w:val="00970205"/>
    <w:rsid w:val="00970A79"/>
    <w:rsid w:val="009715C4"/>
    <w:rsid w:val="00974546"/>
    <w:rsid w:val="00980A56"/>
    <w:rsid w:val="00981373"/>
    <w:rsid w:val="00981432"/>
    <w:rsid w:val="00983EF3"/>
    <w:rsid w:val="00984F38"/>
    <w:rsid w:val="00986936"/>
    <w:rsid w:val="00986A5F"/>
    <w:rsid w:val="009902D6"/>
    <w:rsid w:val="00994BA8"/>
    <w:rsid w:val="00994D88"/>
    <w:rsid w:val="009961F6"/>
    <w:rsid w:val="00996CA1"/>
    <w:rsid w:val="00996DD5"/>
    <w:rsid w:val="0099772A"/>
    <w:rsid w:val="00997ECD"/>
    <w:rsid w:val="009A0AE5"/>
    <w:rsid w:val="009A3250"/>
    <w:rsid w:val="009A40C9"/>
    <w:rsid w:val="009A66F8"/>
    <w:rsid w:val="009A69DB"/>
    <w:rsid w:val="009A72BE"/>
    <w:rsid w:val="009A7807"/>
    <w:rsid w:val="009A7B87"/>
    <w:rsid w:val="009B27EF"/>
    <w:rsid w:val="009B2803"/>
    <w:rsid w:val="009B3280"/>
    <w:rsid w:val="009B3B77"/>
    <w:rsid w:val="009B491B"/>
    <w:rsid w:val="009B53F4"/>
    <w:rsid w:val="009B6A8C"/>
    <w:rsid w:val="009B6F6F"/>
    <w:rsid w:val="009B7937"/>
    <w:rsid w:val="009B794C"/>
    <w:rsid w:val="009C082C"/>
    <w:rsid w:val="009C0D5D"/>
    <w:rsid w:val="009C0DD9"/>
    <w:rsid w:val="009C6666"/>
    <w:rsid w:val="009C7423"/>
    <w:rsid w:val="009D1831"/>
    <w:rsid w:val="009D1864"/>
    <w:rsid w:val="009D25EA"/>
    <w:rsid w:val="009D54FB"/>
    <w:rsid w:val="009D575F"/>
    <w:rsid w:val="009E08AD"/>
    <w:rsid w:val="009E0D6F"/>
    <w:rsid w:val="009E2814"/>
    <w:rsid w:val="009E3183"/>
    <w:rsid w:val="009E321F"/>
    <w:rsid w:val="009E3E8F"/>
    <w:rsid w:val="009E47EB"/>
    <w:rsid w:val="009E5CE0"/>
    <w:rsid w:val="009E60D9"/>
    <w:rsid w:val="009E6303"/>
    <w:rsid w:val="009E69F9"/>
    <w:rsid w:val="009E79E8"/>
    <w:rsid w:val="009F08CA"/>
    <w:rsid w:val="009F4A5E"/>
    <w:rsid w:val="009F5395"/>
    <w:rsid w:val="009F5FD6"/>
    <w:rsid w:val="009F75E0"/>
    <w:rsid w:val="00A014F0"/>
    <w:rsid w:val="00A07250"/>
    <w:rsid w:val="00A076B5"/>
    <w:rsid w:val="00A077A1"/>
    <w:rsid w:val="00A100D6"/>
    <w:rsid w:val="00A111D3"/>
    <w:rsid w:val="00A1677C"/>
    <w:rsid w:val="00A20857"/>
    <w:rsid w:val="00A20C34"/>
    <w:rsid w:val="00A211FD"/>
    <w:rsid w:val="00A216CA"/>
    <w:rsid w:val="00A21B52"/>
    <w:rsid w:val="00A23215"/>
    <w:rsid w:val="00A242DC"/>
    <w:rsid w:val="00A247E9"/>
    <w:rsid w:val="00A24938"/>
    <w:rsid w:val="00A24DEE"/>
    <w:rsid w:val="00A253AE"/>
    <w:rsid w:val="00A25998"/>
    <w:rsid w:val="00A26C5B"/>
    <w:rsid w:val="00A26EDE"/>
    <w:rsid w:val="00A26EFE"/>
    <w:rsid w:val="00A274EA"/>
    <w:rsid w:val="00A27FE8"/>
    <w:rsid w:val="00A308D2"/>
    <w:rsid w:val="00A30D59"/>
    <w:rsid w:val="00A30F0B"/>
    <w:rsid w:val="00A3328A"/>
    <w:rsid w:val="00A36321"/>
    <w:rsid w:val="00A36BEE"/>
    <w:rsid w:val="00A36F91"/>
    <w:rsid w:val="00A372B3"/>
    <w:rsid w:val="00A41C30"/>
    <w:rsid w:val="00A4332F"/>
    <w:rsid w:val="00A45FD3"/>
    <w:rsid w:val="00A471E8"/>
    <w:rsid w:val="00A47445"/>
    <w:rsid w:val="00A47783"/>
    <w:rsid w:val="00A47DCF"/>
    <w:rsid w:val="00A47E09"/>
    <w:rsid w:val="00A52271"/>
    <w:rsid w:val="00A55549"/>
    <w:rsid w:val="00A56D04"/>
    <w:rsid w:val="00A56F65"/>
    <w:rsid w:val="00A57611"/>
    <w:rsid w:val="00A57708"/>
    <w:rsid w:val="00A66878"/>
    <w:rsid w:val="00A66E46"/>
    <w:rsid w:val="00A755B4"/>
    <w:rsid w:val="00A756AB"/>
    <w:rsid w:val="00A76A5C"/>
    <w:rsid w:val="00A76AA2"/>
    <w:rsid w:val="00A814DB"/>
    <w:rsid w:val="00A82AEB"/>
    <w:rsid w:val="00A83964"/>
    <w:rsid w:val="00A83EEE"/>
    <w:rsid w:val="00A84999"/>
    <w:rsid w:val="00A84B80"/>
    <w:rsid w:val="00A864CD"/>
    <w:rsid w:val="00A90AFC"/>
    <w:rsid w:val="00A90FC6"/>
    <w:rsid w:val="00A9338C"/>
    <w:rsid w:val="00A9566E"/>
    <w:rsid w:val="00A95ACB"/>
    <w:rsid w:val="00A9684B"/>
    <w:rsid w:val="00AA086A"/>
    <w:rsid w:val="00AA1112"/>
    <w:rsid w:val="00AA15F6"/>
    <w:rsid w:val="00AA1C42"/>
    <w:rsid w:val="00AA3D68"/>
    <w:rsid w:val="00AA57A1"/>
    <w:rsid w:val="00AB0368"/>
    <w:rsid w:val="00AB214C"/>
    <w:rsid w:val="00AB3978"/>
    <w:rsid w:val="00AB4C04"/>
    <w:rsid w:val="00AB5184"/>
    <w:rsid w:val="00AB6506"/>
    <w:rsid w:val="00AB655B"/>
    <w:rsid w:val="00AB65A8"/>
    <w:rsid w:val="00AB7EA7"/>
    <w:rsid w:val="00AC034F"/>
    <w:rsid w:val="00AC255D"/>
    <w:rsid w:val="00AC39D6"/>
    <w:rsid w:val="00AC661B"/>
    <w:rsid w:val="00AD0EFB"/>
    <w:rsid w:val="00AD197A"/>
    <w:rsid w:val="00AD20EB"/>
    <w:rsid w:val="00AD23F9"/>
    <w:rsid w:val="00AD66B6"/>
    <w:rsid w:val="00AD6A43"/>
    <w:rsid w:val="00AD7DE7"/>
    <w:rsid w:val="00AE02EC"/>
    <w:rsid w:val="00AE143D"/>
    <w:rsid w:val="00AE38F7"/>
    <w:rsid w:val="00AE3D94"/>
    <w:rsid w:val="00AE3F66"/>
    <w:rsid w:val="00AE5554"/>
    <w:rsid w:val="00AE62FF"/>
    <w:rsid w:val="00AE7E9F"/>
    <w:rsid w:val="00AF0D9F"/>
    <w:rsid w:val="00AF5755"/>
    <w:rsid w:val="00AF590F"/>
    <w:rsid w:val="00AF690B"/>
    <w:rsid w:val="00B01C26"/>
    <w:rsid w:val="00B01CD6"/>
    <w:rsid w:val="00B02447"/>
    <w:rsid w:val="00B026EA"/>
    <w:rsid w:val="00B04640"/>
    <w:rsid w:val="00B048C9"/>
    <w:rsid w:val="00B05CCE"/>
    <w:rsid w:val="00B05FB1"/>
    <w:rsid w:val="00B064A4"/>
    <w:rsid w:val="00B101A6"/>
    <w:rsid w:val="00B106F2"/>
    <w:rsid w:val="00B14D46"/>
    <w:rsid w:val="00B1529F"/>
    <w:rsid w:val="00B166BD"/>
    <w:rsid w:val="00B16B60"/>
    <w:rsid w:val="00B20631"/>
    <w:rsid w:val="00B22D8D"/>
    <w:rsid w:val="00B235CE"/>
    <w:rsid w:val="00B255E0"/>
    <w:rsid w:val="00B27FBE"/>
    <w:rsid w:val="00B306DB"/>
    <w:rsid w:val="00B30D3B"/>
    <w:rsid w:val="00B3534E"/>
    <w:rsid w:val="00B358B2"/>
    <w:rsid w:val="00B35A1A"/>
    <w:rsid w:val="00B40A59"/>
    <w:rsid w:val="00B43100"/>
    <w:rsid w:val="00B432D4"/>
    <w:rsid w:val="00B437E2"/>
    <w:rsid w:val="00B43E43"/>
    <w:rsid w:val="00B44A31"/>
    <w:rsid w:val="00B47829"/>
    <w:rsid w:val="00B5115D"/>
    <w:rsid w:val="00B515DB"/>
    <w:rsid w:val="00B52358"/>
    <w:rsid w:val="00B52D8F"/>
    <w:rsid w:val="00B54E86"/>
    <w:rsid w:val="00B5520A"/>
    <w:rsid w:val="00B5757E"/>
    <w:rsid w:val="00B5776E"/>
    <w:rsid w:val="00B60794"/>
    <w:rsid w:val="00B6246A"/>
    <w:rsid w:val="00B63A3B"/>
    <w:rsid w:val="00B641AA"/>
    <w:rsid w:val="00B64768"/>
    <w:rsid w:val="00B65527"/>
    <w:rsid w:val="00B67543"/>
    <w:rsid w:val="00B67CC0"/>
    <w:rsid w:val="00B70285"/>
    <w:rsid w:val="00B704F8"/>
    <w:rsid w:val="00B70D36"/>
    <w:rsid w:val="00B73627"/>
    <w:rsid w:val="00B73F9E"/>
    <w:rsid w:val="00B77AF8"/>
    <w:rsid w:val="00B81C41"/>
    <w:rsid w:val="00B823BC"/>
    <w:rsid w:val="00B83C9F"/>
    <w:rsid w:val="00B8433B"/>
    <w:rsid w:val="00B87838"/>
    <w:rsid w:val="00B900D2"/>
    <w:rsid w:val="00B91B7E"/>
    <w:rsid w:val="00B92A1D"/>
    <w:rsid w:val="00B949E1"/>
    <w:rsid w:val="00B956C4"/>
    <w:rsid w:val="00B95957"/>
    <w:rsid w:val="00B96769"/>
    <w:rsid w:val="00B969BE"/>
    <w:rsid w:val="00B96D7F"/>
    <w:rsid w:val="00BA1F23"/>
    <w:rsid w:val="00BA2287"/>
    <w:rsid w:val="00BA3D14"/>
    <w:rsid w:val="00BA470C"/>
    <w:rsid w:val="00BB02FB"/>
    <w:rsid w:val="00BB079A"/>
    <w:rsid w:val="00BB35F5"/>
    <w:rsid w:val="00BB3FB0"/>
    <w:rsid w:val="00BB4191"/>
    <w:rsid w:val="00BB544A"/>
    <w:rsid w:val="00BB6ED4"/>
    <w:rsid w:val="00BB75C7"/>
    <w:rsid w:val="00BC07A9"/>
    <w:rsid w:val="00BC0BFE"/>
    <w:rsid w:val="00BC2324"/>
    <w:rsid w:val="00BC3170"/>
    <w:rsid w:val="00BC643E"/>
    <w:rsid w:val="00BD042B"/>
    <w:rsid w:val="00BD1264"/>
    <w:rsid w:val="00BD22B1"/>
    <w:rsid w:val="00BD26B9"/>
    <w:rsid w:val="00BD338E"/>
    <w:rsid w:val="00BD44A9"/>
    <w:rsid w:val="00BD5D9F"/>
    <w:rsid w:val="00BE48D9"/>
    <w:rsid w:val="00BE5062"/>
    <w:rsid w:val="00BE78EF"/>
    <w:rsid w:val="00BE7F89"/>
    <w:rsid w:val="00BF1419"/>
    <w:rsid w:val="00BF1BE2"/>
    <w:rsid w:val="00BF2F7F"/>
    <w:rsid w:val="00BF3061"/>
    <w:rsid w:val="00BF35AA"/>
    <w:rsid w:val="00BF4C05"/>
    <w:rsid w:val="00BF6F52"/>
    <w:rsid w:val="00C021A5"/>
    <w:rsid w:val="00C02A1C"/>
    <w:rsid w:val="00C03209"/>
    <w:rsid w:val="00C05C04"/>
    <w:rsid w:val="00C0626D"/>
    <w:rsid w:val="00C06430"/>
    <w:rsid w:val="00C11883"/>
    <w:rsid w:val="00C12AB8"/>
    <w:rsid w:val="00C154C6"/>
    <w:rsid w:val="00C1586B"/>
    <w:rsid w:val="00C15CF7"/>
    <w:rsid w:val="00C15D8F"/>
    <w:rsid w:val="00C163FC"/>
    <w:rsid w:val="00C21B9D"/>
    <w:rsid w:val="00C2275B"/>
    <w:rsid w:val="00C24549"/>
    <w:rsid w:val="00C25905"/>
    <w:rsid w:val="00C25AC4"/>
    <w:rsid w:val="00C262F6"/>
    <w:rsid w:val="00C26D73"/>
    <w:rsid w:val="00C30DE0"/>
    <w:rsid w:val="00C35BA5"/>
    <w:rsid w:val="00C364C8"/>
    <w:rsid w:val="00C431CE"/>
    <w:rsid w:val="00C43739"/>
    <w:rsid w:val="00C44273"/>
    <w:rsid w:val="00C445FF"/>
    <w:rsid w:val="00C45FDE"/>
    <w:rsid w:val="00C461F8"/>
    <w:rsid w:val="00C46DE5"/>
    <w:rsid w:val="00C54512"/>
    <w:rsid w:val="00C559AD"/>
    <w:rsid w:val="00C55FB1"/>
    <w:rsid w:val="00C56565"/>
    <w:rsid w:val="00C56CDB"/>
    <w:rsid w:val="00C57280"/>
    <w:rsid w:val="00C575EF"/>
    <w:rsid w:val="00C60291"/>
    <w:rsid w:val="00C60B05"/>
    <w:rsid w:val="00C61368"/>
    <w:rsid w:val="00C61465"/>
    <w:rsid w:val="00C62314"/>
    <w:rsid w:val="00C62C87"/>
    <w:rsid w:val="00C63A67"/>
    <w:rsid w:val="00C66041"/>
    <w:rsid w:val="00C701BA"/>
    <w:rsid w:val="00C704F3"/>
    <w:rsid w:val="00C731DC"/>
    <w:rsid w:val="00C75A1E"/>
    <w:rsid w:val="00C76BFB"/>
    <w:rsid w:val="00C77514"/>
    <w:rsid w:val="00C7768F"/>
    <w:rsid w:val="00C7781A"/>
    <w:rsid w:val="00C8030F"/>
    <w:rsid w:val="00C80D6F"/>
    <w:rsid w:val="00C82779"/>
    <w:rsid w:val="00C85FB1"/>
    <w:rsid w:val="00C8761C"/>
    <w:rsid w:val="00C87F0D"/>
    <w:rsid w:val="00C903BB"/>
    <w:rsid w:val="00C90883"/>
    <w:rsid w:val="00C93852"/>
    <w:rsid w:val="00C94304"/>
    <w:rsid w:val="00C94F4B"/>
    <w:rsid w:val="00C95564"/>
    <w:rsid w:val="00CA4051"/>
    <w:rsid w:val="00CA4587"/>
    <w:rsid w:val="00CA7730"/>
    <w:rsid w:val="00CB10FC"/>
    <w:rsid w:val="00CB1431"/>
    <w:rsid w:val="00CB28AE"/>
    <w:rsid w:val="00CB28EC"/>
    <w:rsid w:val="00CB306D"/>
    <w:rsid w:val="00CB3F76"/>
    <w:rsid w:val="00CB476B"/>
    <w:rsid w:val="00CB5679"/>
    <w:rsid w:val="00CB7231"/>
    <w:rsid w:val="00CB75C8"/>
    <w:rsid w:val="00CB7F70"/>
    <w:rsid w:val="00CC04C5"/>
    <w:rsid w:val="00CC32B8"/>
    <w:rsid w:val="00CC44E4"/>
    <w:rsid w:val="00CC55BD"/>
    <w:rsid w:val="00CC5889"/>
    <w:rsid w:val="00CC5AAB"/>
    <w:rsid w:val="00CD016F"/>
    <w:rsid w:val="00CD1423"/>
    <w:rsid w:val="00CD1B07"/>
    <w:rsid w:val="00CD2C4C"/>
    <w:rsid w:val="00CD3104"/>
    <w:rsid w:val="00CD31D4"/>
    <w:rsid w:val="00CD3711"/>
    <w:rsid w:val="00CD3DBF"/>
    <w:rsid w:val="00CD6B5C"/>
    <w:rsid w:val="00CD7726"/>
    <w:rsid w:val="00CD7854"/>
    <w:rsid w:val="00CE2179"/>
    <w:rsid w:val="00CE6AE7"/>
    <w:rsid w:val="00CF09EF"/>
    <w:rsid w:val="00CF0A81"/>
    <w:rsid w:val="00CF0CBA"/>
    <w:rsid w:val="00CF19A2"/>
    <w:rsid w:val="00CF1A81"/>
    <w:rsid w:val="00CF350C"/>
    <w:rsid w:val="00CF36E1"/>
    <w:rsid w:val="00CF4B80"/>
    <w:rsid w:val="00CF6C43"/>
    <w:rsid w:val="00CF7CBA"/>
    <w:rsid w:val="00D002C6"/>
    <w:rsid w:val="00D00B75"/>
    <w:rsid w:val="00D0256F"/>
    <w:rsid w:val="00D033B5"/>
    <w:rsid w:val="00D04589"/>
    <w:rsid w:val="00D12366"/>
    <w:rsid w:val="00D1294E"/>
    <w:rsid w:val="00D13531"/>
    <w:rsid w:val="00D14EA7"/>
    <w:rsid w:val="00D15713"/>
    <w:rsid w:val="00D16439"/>
    <w:rsid w:val="00D176C2"/>
    <w:rsid w:val="00D2054D"/>
    <w:rsid w:val="00D210DD"/>
    <w:rsid w:val="00D21AB0"/>
    <w:rsid w:val="00D22396"/>
    <w:rsid w:val="00D23CF9"/>
    <w:rsid w:val="00D23F4E"/>
    <w:rsid w:val="00D2674B"/>
    <w:rsid w:val="00D268A0"/>
    <w:rsid w:val="00D268BA"/>
    <w:rsid w:val="00D30A94"/>
    <w:rsid w:val="00D319AD"/>
    <w:rsid w:val="00D33277"/>
    <w:rsid w:val="00D3450D"/>
    <w:rsid w:val="00D366A4"/>
    <w:rsid w:val="00D36F1B"/>
    <w:rsid w:val="00D36F74"/>
    <w:rsid w:val="00D37006"/>
    <w:rsid w:val="00D37B39"/>
    <w:rsid w:val="00D400AF"/>
    <w:rsid w:val="00D42DFF"/>
    <w:rsid w:val="00D43013"/>
    <w:rsid w:val="00D432F4"/>
    <w:rsid w:val="00D450DF"/>
    <w:rsid w:val="00D470BC"/>
    <w:rsid w:val="00D470C3"/>
    <w:rsid w:val="00D47A68"/>
    <w:rsid w:val="00D47EDB"/>
    <w:rsid w:val="00D51C70"/>
    <w:rsid w:val="00D5635D"/>
    <w:rsid w:val="00D56865"/>
    <w:rsid w:val="00D57435"/>
    <w:rsid w:val="00D57DF0"/>
    <w:rsid w:val="00D62FF6"/>
    <w:rsid w:val="00D63E22"/>
    <w:rsid w:val="00D65663"/>
    <w:rsid w:val="00D66F3D"/>
    <w:rsid w:val="00D70DFC"/>
    <w:rsid w:val="00D70F1C"/>
    <w:rsid w:val="00D716B2"/>
    <w:rsid w:val="00D721DB"/>
    <w:rsid w:val="00D744CD"/>
    <w:rsid w:val="00D76C70"/>
    <w:rsid w:val="00D8124F"/>
    <w:rsid w:val="00D817CB"/>
    <w:rsid w:val="00D82BC1"/>
    <w:rsid w:val="00D8507E"/>
    <w:rsid w:val="00D864CD"/>
    <w:rsid w:val="00D86E5D"/>
    <w:rsid w:val="00D9188D"/>
    <w:rsid w:val="00D92794"/>
    <w:rsid w:val="00D93604"/>
    <w:rsid w:val="00D95B94"/>
    <w:rsid w:val="00D963F2"/>
    <w:rsid w:val="00DA0242"/>
    <w:rsid w:val="00DA0DC3"/>
    <w:rsid w:val="00DA103D"/>
    <w:rsid w:val="00DA7790"/>
    <w:rsid w:val="00DB3762"/>
    <w:rsid w:val="00DB37AC"/>
    <w:rsid w:val="00DB643F"/>
    <w:rsid w:val="00DB72CE"/>
    <w:rsid w:val="00DB7623"/>
    <w:rsid w:val="00DB767F"/>
    <w:rsid w:val="00DB76E0"/>
    <w:rsid w:val="00DB7CB2"/>
    <w:rsid w:val="00DC0414"/>
    <w:rsid w:val="00DC0D7B"/>
    <w:rsid w:val="00DC1304"/>
    <w:rsid w:val="00DC37A3"/>
    <w:rsid w:val="00DC6A39"/>
    <w:rsid w:val="00DC7676"/>
    <w:rsid w:val="00DC7A47"/>
    <w:rsid w:val="00DC7CC9"/>
    <w:rsid w:val="00DD0134"/>
    <w:rsid w:val="00DD077B"/>
    <w:rsid w:val="00DD12CB"/>
    <w:rsid w:val="00DD217F"/>
    <w:rsid w:val="00DD4D46"/>
    <w:rsid w:val="00DD5FDF"/>
    <w:rsid w:val="00DD6210"/>
    <w:rsid w:val="00DD6A58"/>
    <w:rsid w:val="00DE10FC"/>
    <w:rsid w:val="00DE2997"/>
    <w:rsid w:val="00DE2F3D"/>
    <w:rsid w:val="00DE5241"/>
    <w:rsid w:val="00DE5B52"/>
    <w:rsid w:val="00DE6143"/>
    <w:rsid w:val="00DE7392"/>
    <w:rsid w:val="00DF03AC"/>
    <w:rsid w:val="00DF04EA"/>
    <w:rsid w:val="00DF250E"/>
    <w:rsid w:val="00DF2C67"/>
    <w:rsid w:val="00DF33F9"/>
    <w:rsid w:val="00DF3706"/>
    <w:rsid w:val="00DF5B4B"/>
    <w:rsid w:val="00DF6081"/>
    <w:rsid w:val="00DF6272"/>
    <w:rsid w:val="00DF6CFF"/>
    <w:rsid w:val="00E0008E"/>
    <w:rsid w:val="00E008C6"/>
    <w:rsid w:val="00E01CB3"/>
    <w:rsid w:val="00E03FD9"/>
    <w:rsid w:val="00E0427F"/>
    <w:rsid w:val="00E04D5A"/>
    <w:rsid w:val="00E05EB9"/>
    <w:rsid w:val="00E06905"/>
    <w:rsid w:val="00E07D61"/>
    <w:rsid w:val="00E11A61"/>
    <w:rsid w:val="00E12397"/>
    <w:rsid w:val="00E12DB8"/>
    <w:rsid w:val="00E154E2"/>
    <w:rsid w:val="00E159A5"/>
    <w:rsid w:val="00E20A39"/>
    <w:rsid w:val="00E21BC6"/>
    <w:rsid w:val="00E22B74"/>
    <w:rsid w:val="00E242A5"/>
    <w:rsid w:val="00E25590"/>
    <w:rsid w:val="00E26A40"/>
    <w:rsid w:val="00E27635"/>
    <w:rsid w:val="00E27762"/>
    <w:rsid w:val="00E3045D"/>
    <w:rsid w:val="00E3059F"/>
    <w:rsid w:val="00E31242"/>
    <w:rsid w:val="00E3129C"/>
    <w:rsid w:val="00E32656"/>
    <w:rsid w:val="00E33D91"/>
    <w:rsid w:val="00E3654C"/>
    <w:rsid w:val="00E37A67"/>
    <w:rsid w:val="00E40686"/>
    <w:rsid w:val="00E41D7E"/>
    <w:rsid w:val="00E43EE0"/>
    <w:rsid w:val="00E44158"/>
    <w:rsid w:val="00E441CA"/>
    <w:rsid w:val="00E442E8"/>
    <w:rsid w:val="00E45107"/>
    <w:rsid w:val="00E5057E"/>
    <w:rsid w:val="00E51095"/>
    <w:rsid w:val="00E51666"/>
    <w:rsid w:val="00E5381F"/>
    <w:rsid w:val="00E550BE"/>
    <w:rsid w:val="00E56723"/>
    <w:rsid w:val="00E6149C"/>
    <w:rsid w:val="00E62952"/>
    <w:rsid w:val="00E63F67"/>
    <w:rsid w:val="00E64D57"/>
    <w:rsid w:val="00E6539C"/>
    <w:rsid w:val="00E67507"/>
    <w:rsid w:val="00E6783D"/>
    <w:rsid w:val="00E67FC6"/>
    <w:rsid w:val="00E71812"/>
    <w:rsid w:val="00E71AE7"/>
    <w:rsid w:val="00E71DE8"/>
    <w:rsid w:val="00E71E34"/>
    <w:rsid w:val="00E736B3"/>
    <w:rsid w:val="00E7521F"/>
    <w:rsid w:val="00E77BD4"/>
    <w:rsid w:val="00E77E3F"/>
    <w:rsid w:val="00E80DED"/>
    <w:rsid w:val="00E81E9D"/>
    <w:rsid w:val="00E82018"/>
    <w:rsid w:val="00E82462"/>
    <w:rsid w:val="00E82C22"/>
    <w:rsid w:val="00E8322B"/>
    <w:rsid w:val="00E836EE"/>
    <w:rsid w:val="00E85275"/>
    <w:rsid w:val="00E90A09"/>
    <w:rsid w:val="00E9251C"/>
    <w:rsid w:val="00E935AE"/>
    <w:rsid w:val="00E9364A"/>
    <w:rsid w:val="00E9387B"/>
    <w:rsid w:val="00E949EE"/>
    <w:rsid w:val="00E94B17"/>
    <w:rsid w:val="00E955C9"/>
    <w:rsid w:val="00E96462"/>
    <w:rsid w:val="00E96F9A"/>
    <w:rsid w:val="00E9786C"/>
    <w:rsid w:val="00E97DBA"/>
    <w:rsid w:val="00EA1B8A"/>
    <w:rsid w:val="00EA33B6"/>
    <w:rsid w:val="00EA556D"/>
    <w:rsid w:val="00EA58A5"/>
    <w:rsid w:val="00EA5F51"/>
    <w:rsid w:val="00EA6088"/>
    <w:rsid w:val="00EA64EC"/>
    <w:rsid w:val="00EB0248"/>
    <w:rsid w:val="00EB354A"/>
    <w:rsid w:val="00EB5B15"/>
    <w:rsid w:val="00EB7C9D"/>
    <w:rsid w:val="00EC029C"/>
    <w:rsid w:val="00EC6097"/>
    <w:rsid w:val="00EC6184"/>
    <w:rsid w:val="00ED05C7"/>
    <w:rsid w:val="00ED21E5"/>
    <w:rsid w:val="00ED23A9"/>
    <w:rsid w:val="00ED4E87"/>
    <w:rsid w:val="00ED5FC2"/>
    <w:rsid w:val="00ED77ED"/>
    <w:rsid w:val="00ED7C13"/>
    <w:rsid w:val="00EE03BB"/>
    <w:rsid w:val="00EE236E"/>
    <w:rsid w:val="00EE2869"/>
    <w:rsid w:val="00EE3091"/>
    <w:rsid w:val="00EE3986"/>
    <w:rsid w:val="00EE7B2E"/>
    <w:rsid w:val="00EF185A"/>
    <w:rsid w:val="00EF1A46"/>
    <w:rsid w:val="00EF3629"/>
    <w:rsid w:val="00EF39FB"/>
    <w:rsid w:val="00EF70FC"/>
    <w:rsid w:val="00F03378"/>
    <w:rsid w:val="00F076A1"/>
    <w:rsid w:val="00F11368"/>
    <w:rsid w:val="00F11688"/>
    <w:rsid w:val="00F11BF9"/>
    <w:rsid w:val="00F125B5"/>
    <w:rsid w:val="00F1583D"/>
    <w:rsid w:val="00F166A2"/>
    <w:rsid w:val="00F1721B"/>
    <w:rsid w:val="00F179A0"/>
    <w:rsid w:val="00F17CD8"/>
    <w:rsid w:val="00F17E53"/>
    <w:rsid w:val="00F2161B"/>
    <w:rsid w:val="00F22B64"/>
    <w:rsid w:val="00F24C50"/>
    <w:rsid w:val="00F27B1A"/>
    <w:rsid w:val="00F33DE3"/>
    <w:rsid w:val="00F37560"/>
    <w:rsid w:val="00F37AB8"/>
    <w:rsid w:val="00F4102A"/>
    <w:rsid w:val="00F41BD3"/>
    <w:rsid w:val="00F43F8D"/>
    <w:rsid w:val="00F449C5"/>
    <w:rsid w:val="00F45A1D"/>
    <w:rsid w:val="00F47499"/>
    <w:rsid w:val="00F47EBE"/>
    <w:rsid w:val="00F5310D"/>
    <w:rsid w:val="00F54E98"/>
    <w:rsid w:val="00F5724C"/>
    <w:rsid w:val="00F579E8"/>
    <w:rsid w:val="00F6221E"/>
    <w:rsid w:val="00F63ABB"/>
    <w:rsid w:val="00F63DA8"/>
    <w:rsid w:val="00F650DB"/>
    <w:rsid w:val="00F66B87"/>
    <w:rsid w:val="00F66D33"/>
    <w:rsid w:val="00F670DC"/>
    <w:rsid w:val="00F71632"/>
    <w:rsid w:val="00F731CC"/>
    <w:rsid w:val="00F74C4A"/>
    <w:rsid w:val="00F7695B"/>
    <w:rsid w:val="00F77858"/>
    <w:rsid w:val="00F7796B"/>
    <w:rsid w:val="00F809E6"/>
    <w:rsid w:val="00F832B9"/>
    <w:rsid w:val="00F83FB7"/>
    <w:rsid w:val="00F859EC"/>
    <w:rsid w:val="00F87542"/>
    <w:rsid w:val="00F903BB"/>
    <w:rsid w:val="00F90575"/>
    <w:rsid w:val="00F908C9"/>
    <w:rsid w:val="00F90B2B"/>
    <w:rsid w:val="00F92936"/>
    <w:rsid w:val="00F93115"/>
    <w:rsid w:val="00F93241"/>
    <w:rsid w:val="00F939C9"/>
    <w:rsid w:val="00F959AD"/>
    <w:rsid w:val="00F976B3"/>
    <w:rsid w:val="00FA03BE"/>
    <w:rsid w:val="00FA4D3A"/>
    <w:rsid w:val="00FA56B8"/>
    <w:rsid w:val="00FA57DB"/>
    <w:rsid w:val="00FA7CAE"/>
    <w:rsid w:val="00FB207C"/>
    <w:rsid w:val="00FB6227"/>
    <w:rsid w:val="00FC2202"/>
    <w:rsid w:val="00FC2B29"/>
    <w:rsid w:val="00FC36BE"/>
    <w:rsid w:val="00FC3D39"/>
    <w:rsid w:val="00FC3F77"/>
    <w:rsid w:val="00FC4AE3"/>
    <w:rsid w:val="00FC4F1A"/>
    <w:rsid w:val="00FC741C"/>
    <w:rsid w:val="00FD3335"/>
    <w:rsid w:val="00FD39A7"/>
    <w:rsid w:val="00FD636B"/>
    <w:rsid w:val="00FD71F2"/>
    <w:rsid w:val="00FD726A"/>
    <w:rsid w:val="00FD74E4"/>
    <w:rsid w:val="00FE2062"/>
    <w:rsid w:val="00FE33A5"/>
    <w:rsid w:val="00FE487C"/>
    <w:rsid w:val="00FE5851"/>
    <w:rsid w:val="00FF139F"/>
    <w:rsid w:val="00FF15D4"/>
    <w:rsid w:val="00FF1877"/>
    <w:rsid w:val="00FF1914"/>
    <w:rsid w:val="00FF6A3E"/>
    <w:rsid w:val="12506575"/>
    <w:rsid w:val="16232762"/>
    <w:rsid w:val="1CC853DD"/>
    <w:rsid w:val="1D4411B1"/>
    <w:rsid w:val="544F1BC3"/>
    <w:rsid w:val="59500057"/>
    <w:rsid w:val="60613432"/>
    <w:rsid w:val="6B9E606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fillcolor="white">
      <v:fill color="white"/>
    </o:shapedefaults>
    <o:shapelayout v:ext="edit">
      <o:idmap v:ext="edit" data="1"/>
    </o:shapelayout>
  </w:shapeDefaults>
  <w:decimalSymbol w:val=","/>
  <w:listSeparator w:val=";"/>
  <w14:docId w14:val="0A7D7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lsdException w:name="index 5" w:uiPriority="0" w:qFormat="1"/>
    <w:lsdException w:name="index 6" w:uiPriority="0"/>
    <w:lsdException w:name="index 7" w:uiPriority="0" w:qFormat="1"/>
    <w:lsdException w:name="index 8" w:uiPriority="0" w:qFormat="1"/>
    <w:lsdException w:name="index 9" w:uiPriority="0"/>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0"/>
    <w:lsdException w:name="toc 7" w:uiPriority="0"/>
    <w:lsdException w:name="toc 8" w:uiPriority="0" w:qFormat="1"/>
    <w:lsdException w:name="toc 9" w:uiPriority="0"/>
    <w:lsdException w:name="Normal Indent" w:uiPriority="0"/>
    <w:lsdException w:name="footnote text" w:qFormat="1"/>
    <w:lsdException w:name="annotation text" w:qFormat="1"/>
    <w:lsdException w:name="header" w:qFormat="1"/>
    <w:lsdException w:name="footer" w:qFormat="1"/>
    <w:lsdException w:name="index heading" w:uiPriority="0" w:qFormat="1"/>
    <w:lsdException w:name="caption" w:uiPriority="35" w:qFormat="1"/>
    <w:lsdException w:name="table of figures" w:uiPriority="0"/>
    <w:lsdException w:name="envelope address" w:uiPriority="0" w:qFormat="1"/>
    <w:lsdException w:name="envelope return" w:uiPriority="0"/>
    <w:lsdException w:name="footnote reference" w:qFormat="1"/>
    <w:lsdException w:name="annotation reference" w:qFormat="1"/>
    <w:lsdException w:name="endnote reference" w:qFormat="1"/>
    <w:lsdException w:name="endnote text" w:qFormat="1"/>
    <w:lsdException w:name="table of authorities" w:uiPriority="0"/>
    <w:lsdException w:name="macro" w:uiPriority="0" w:unhideWhenUsed="0"/>
    <w:lsdException w:name="toa heading" w:uiPriority="0"/>
    <w:lsdException w:name="List" w:uiPriority="0" w:qFormat="1"/>
    <w:lsdException w:name="List Bullet" w:semiHidden="0" w:uiPriority="0" w:unhideWhenUsed="0"/>
    <w:lsdException w:name="List Number" w:semiHidden="0" w:uiPriority="0" w:unhideWhenUsed="0"/>
    <w:lsdException w:name="List 2" w:uiPriority="0"/>
    <w:lsdException w:name="List 3" w:uiPriority="0" w:qFormat="1"/>
    <w:lsdException w:name="List 4" w:uiPriority="0" w:qFormat="1"/>
    <w:lsdException w:name="List 5" w:uiPriority="0"/>
    <w:lsdException w:name="List Bullet 2" w:uiPriority="0"/>
    <w:lsdException w:name="List Bullet 3" w:uiPriority="0" w:qFormat="1"/>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qFormat="1"/>
    <w:lsdException w:name="Signature" w:uiPriority="0"/>
    <w:lsdException w:name="Default Paragraph Font" w:uiPriority="1"/>
    <w:lsdException w:name="Body Text" w:uiPriority="1" w:qFormat="1"/>
    <w:lsdException w:name="Body Text Indent" w:uiPriority="0"/>
    <w:lsdException w:name="List Continue" w:uiPriority="0"/>
    <w:lsdException w:name="List Continue 2" w:uiPriority="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qFormat="1"/>
    <w:lsdException w:name="Body Text Indent 3" w:uiPriority="0"/>
    <w:lsdException w:name="Block Text" w:uiPriority="0"/>
    <w:lsdException w:name="Hyperlink" w:qFormat="1"/>
    <w:lsdException w:name="FollowedHyperlink" w:qFormat="1"/>
    <w:lsdException w:name="Strong" w:semiHidden="0" w:uiPriority="22" w:unhideWhenUsed="0" w:qFormat="1"/>
    <w:lsdException w:name="Emphasis" w:semiHidden="0" w:unhideWhenUsed="0" w:qFormat="1"/>
    <w:lsdException w:name="Document Map" w:uiPriority="0"/>
    <w:lsdException w:name="Plain Text" w:uiPriority="0"/>
    <w:lsdException w:name="Normal (Web)" w:qFormat="1"/>
    <w:lsdException w:name="Balloon Text" w:qFormat="1"/>
    <w:lsdException w:name="Table Grid" w:uiPriority="59"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Cs w:val="24"/>
      <w:lang w:val="en-US" w:eastAsia="en-US"/>
    </w:rPr>
  </w:style>
  <w:style w:type="paragraph" w:styleId="Heading1">
    <w:name w:val="heading 1"/>
    <w:basedOn w:val="Normal"/>
    <w:next w:val="ECCParagraph"/>
    <w:link w:val="Heading1Char"/>
    <w:uiPriority w:val="1"/>
    <w:qFormat/>
    <w:pPr>
      <w:keepNext/>
      <w:pageBreakBefore/>
      <w:numPr>
        <w:numId w:val="1"/>
      </w:numPr>
      <w:spacing w:before="600" w:after="240"/>
      <w:outlineLvl w:val="0"/>
    </w:pPr>
    <w:rPr>
      <w:rFonts w:cs="Arial"/>
      <w:b/>
      <w:bCs/>
      <w:caps/>
      <w:color w:val="D2232A"/>
      <w:kern w:val="32"/>
      <w:szCs w:val="32"/>
      <w:lang w:val="en-GB"/>
    </w:rPr>
  </w:style>
  <w:style w:type="paragraph" w:styleId="Heading2">
    <w:name w:val="heading 2"/>
    <w:basedOn w:val="Normal"/>
    <w:next w:val="ECCParagraph"/>
    <w:link w:val="Heading2Char"/>
    <w:qFormat/>
    <w:rsid w:val="00AD0EFB"/>
    <w:pPr>
      <w:keepNext/>
      <w:numPr>
        <w:ilvl w:val="1"/>
        <w:numId w:val="1"/>
      </w:numPr>
      <w:spacing w:before="480" w:after="240"/>
      <w:outlineLvl w:val="1"/>
    </w:pPr>
    <w:rPr>
      <w:rFonts w:cs="Arial"/>
      <w:b/>
      <w:bCs/>
      <w:iCs/>
      <w:caps/>
      <w:szCs w:val="28"/>
    </w:rPr>
  </w:style>
  <w:style w:type="paragraph" w:styleId="Heading3">
    <w:name w:val="heading 3"/>
    <w:basedOn w:val="Normal"/>
    <w:next w:val="ECCParagraph"/>
    <w:link w:val="Heading3Char"/>
    <w:qFormat/>
    <w:pPr>
      <w:keepNext/>
      <w:numPr>
        <w:ilvl w:val="2"/>
        <w:numId w:val="1"/>
      </w:numPr>
      <w:tabs>
        <w:tab w:val="left" w:pos="432"/>
      </w:tabs>
      <w:spacing w:before="360" w:after="120"/>
      <w:outlineLvl w:val="2"/>
    </w:pPr>
    <w:rPr>
      <w:rFonts w:cs="Arial"/>
      <w:b/>
      <w:bCs/>
      <w:szCs w:val="26"/>
    </w:rPr>
  </w:style>
  <w:style w:type="paragraph" w:styleId="Heading4">
    <w:name w:val="heading 4"/>
    <w:basedOn w:val="Normal"/>
    <w:next w:val="ECCParagraph"/>
    <w:link w:val="Heading4Char"/>
    <w:qFormat/>
    <w:pPr>
      <w:numPr>
        <w:ilvl w:val="3"/>
        <w:numId w:val="1"/>
      </w:numPr>
      <w:spacing w:before="360" w:after="120"/>
      <w:outlineLvl w:val="3"/>
    </w:pPr>
    <w:rPr>
      <w:rFonts w:cs="Arial"/>
      <w:bCs/>
      <w:i/>
      <w:color w:val="D2232A"/>
      <w:szCs w:val="26"/>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sz w:val="22"/>
      <w:szCs w:val="22"/>
    </w:rPr>
  </w:style>
  <w:style w:type="paragraph" w:styleId="Heading7">
    <w:name w:val="heading 7"/>
    <w:basedOn w:val="Normal"/>
    <w:next w:val="Normal"/>
    <w:link w:val="Heading7Char"/>
    <w:qFormat/>
    <w:pPr>
      <w:numPr>
        <w:ilvl w:val="6"/>
        <w:numId w:val="1"/>
      </w:numPr>
      <w:spacing w:before="240" w:after="60"/>
      <w:outlineLvl w:val="6"/>
    </w:pPr>
    <w:rPr>
      <w:sz w:val="24"/>
    </w:rPr>
  </w:style>
  <w:style w:type="paragraph" w:styleId="Heading8">
    <w:name w:val="heading 8"/>
    <w:basedOn w:val="Normal"/>
    <w:next w:val="Normal"/>
    <w:link w:val="Heading8Char"/>
    <w:qFormat/>
    <w:pPr>
      <w:numPr>
        <w:ilvl w:val="7"/>
        <w:numId w:val="1"/>
      </w:numPr>
      <w:spacing w:before="240" w:after="60"/>
      <w:outlineLvl w:val="7"/>
    </w:pPr>
    <w:rPr>
      <w:i/>
      <w:iCs/>
      <w:sz w:val="24"/>
    </w:rPr>
  </w:style>
  <w:style w:type="paragraph" w:styleId="Heading9">
    <w:name w:val="heading 9"/>
    <w:basedOn w:val="Normal"/>
    <w:next w:val="Normal"/>
    <w:link w:val="Heading9Char"/>
    <w:qFormat/>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pPr>
      <w:spacing w:after="240"/>
      <w:jc w:val="both"/>
    </w:pPr>
    <w:rPr>
      <w:lang w:val="en-GB"/>
    </w:rPr>
  </w:style>
  <w:style w:type="paragraph" w:styleId="BalloonText">
    <w:name w:val="Balloon Text"/>
    <w:basedOn w:val="Normal"/>
    <w:link w:val="BalloonTextChar"/>
    <w:uiPriority w:val="99"/>
    <w:semiHidden/>
    <w:unhideWhenUsed/>
    <w:qFormat/>
    <w:rPr>
      <w:rFonts w:ascii="Lucida Grande" w:hAnsi="Lucida Grande" w:cs="Lucida Grande"/>
      <w:sz w:val="18"/>
      <w:szCs w:val="18"/>
    </w:rPr>
  </w:style>
  <w:style w:type="paragraph" w:styleId="BlockText">
    <w:name w:val="Block Text"/>
    <w:basedOn w:val="Normal"/>
    <w:pPr>
      <w:spacing w:after="120"/>
      <w:ind w:left="1440" w:right="1440"/>
      <w:jc w:val="both"/>
    </w:pPr>
    <w:rPr>
      <w:rFonts w:ascii="Times New Roman" w:hAnsi="Times New Roman"/>
      <w:sz w:val="24"/>
      <w:szCs w:val="20"/>
      <w:lang w:val="en-GB"/>
    </w:rPr>
  </w:style>
  <w:style w:type="paragraph" w:styleId="BodyText">
    <w:name w:val="Body Text"/>
    <w:basedOn w:val="Normal"/>
    <w:link w:val="BodyTextChar"/>
    <w:uiPriority w:val="1"/>
    <w:qFormat/>
    <w:pPr>
      <w:spacing w:after="120"/>
      <w:jc w:val="both"/>
    </w:pPr>
    <w:rPr>
      <w:rFonts w:ascii="Times New Roman" w:hAnsi="Times New Roman"/>
      <w:sz w:val="24"/>
      <w:szCs w:val="20"/>
      <w:lang w:val="en-GB"/>
    </w:rPr>
  </w:style>
  <w:style w:type="paragraph" w:styleId="BodyText2">
    <w:name w:val="Body Text 2"/>
    <w:basedOn w:val="Normal"/>
    <w:link w:val="BodyText2Char"/>
    <w:pPr>
      <w:spacing w:after="120" w:line="480" w:lineRule="auto"/>
      <w:jc w:val="both"/>
    </w:pPr>
    <w:rPr>
      <w:rFonts w:ascii="Times New Roman" w:hAnsi="Times New Roman"/>
      <w:sz w:val="24"/>
      <w:szCs w:val="20"/>
      <w:lang w:val="en-GB"/>
    </w:rPr>
  </w:style>
  <w:style w:type="paragraph" w:styleId="BodyText3">
    <w:name w:val="Body Text 3"/>
    <w:basedOn w:val="Normal"/>
    <w:link w:val="BodyText3Char"/>
    <w:pPr>
      <w:spacing w:after="120"/>
      <w:jc w:val="both"/>
    </w:pPr>
    <w:rPr>
      <w:rFonts w:ascii="Times New Roman" w:hAnsi="Times New Roman"/>
      <w:sz w:val="16"/>
      <w:szCs w:val="20"/>
      <w:lang w:val="en-GB"/>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spacing w:after="120"/>
      <w:ind w:left="283"/>
      <w:jc w:val="both"/>
    </w:pPr>
    <w:rPr>
      <w:rFonts w:ascii="Times New Roman" w:hAnsi="Times New Roman"/>
      <w:sz w:val="24"/>
      <w:szCs w:val="20"/>
      <w:lang w:val="en-GB"/>
    </w:r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qFormat/>
    <w:pPr>
      <w:spacing w:after="120" w:line="480" w:lineRule="auto"/>
      <w:ind w:left="283"/>
      <w:jc w:val="both"/>
    </w:pPr>
    <w:rPr>
      <w:rFonts w:ascii="Times New Roman" w:hAnsi="Times New Roman"/>
      <w:sz w:val="24"/>
      <w:szCs w:val="20"/>
      <w:lang w:val="en-GB"/>
    </w:rPr>
  </w:style>
  <w:style w:type="paragraph" w:styleId="BodyTextIndent3">
    <w:name w:val="Body Text Indent 3"/>
    <w:basedOn w:val="Normal"/>
    <w:link w:val="BodyTextIndent3Char"/>
    <w:pPr>
      <w:spacing w:after="120"/>
      <w:ind w:left="283"/>
      <w:jc w:val="both"/>
    </w:pPr>
    <w:rPr>
      <w:rFonts w:ascii="Times New Roman" w:hAnsi="Times New Roman"/>
      <w:sz w:val="16"/>
      <w:szCs w:val="20"/>
      <w:lang w:val="en-GB"/>
    </w:rPr>
  </w:style>
  <w:style w:type="paragraph" w:styleId="Caption">
    <w:name w:val="caption"/>
    <w:basedOn w:val="Normal"/>
    <w:next w:val="Normal"/>
    <w:link w:val="CaptionChar"/>
    <w:uiPriority w:val="35"/>
    <w:unhideWhenUsed/>
    <w:qFormat/>
    <w:pPr>
      <w:spacing w:before="240" w:after="240"/>
      <w:jc w:val="center"/>
    </w:pPr>
    <w:rPr>
      <w:b/>
      <w:bCs/>
      <w:color w:val="D2232A"/>
      <w:szCs w:val="20"/>
    </w:rPr>
  </w:style>
  <w:style w:type="paragraph" w:styleId="Closing">
    <w:name w:val="Closing"/>
    <w:basedOn w:val="Normal"/>
    <w:link w:val="ClosingChar"/>
    <w:qFormat/>
    <w:pPr>
      <w:spacing w:after="240"/>
      <w:ind w:left="4252"/>
      <w:jc w:val="both"/>
    </w:pPr>
    <w:rPr>
      <w:rFonts w:ascii="Times New Roman" w:hAnsi="Times New Roman"/>
      <w:sz w:val="24"/>
      <w:szCs w:val="20"/>
      <w:lang w:val="en-GB"/>
    </w:rPr>
  </w:style>
  <w:style w:type="paragraph" w:styleId="CommentText">
    <w:name w:val="annotation text"/>
    <w:basedOn w:val="Normal"/>
    <w:link w:val="CommentTextChar"/>
    <w:uiPriority w:val="99"/>
    <w:qFormat/>
    <w:rsid w:val="00E32656"/>
    <w:pPr>
      <w:spacing w:line="240" w:lineRule="auto"/>
    </w:pPr>
    <w:rPr>
      <w:szCs w:val="20"/>
    </w:rPr>
  </w:style>
  <w:style w:type="paragraph" w:styleId="CommentSubject">
    <w:name w:val="annotation subject"/>
    <w:basedOn w:val="Normal"/>
    <w:next w:val="Normal"/>
    <w:link w:val="CommentSubjectChar"/>
    <w:uiPriority w:val="99"/>
    <w:semiHidden/>
    <w:unhideWhenUsed/>
    <w:rsid w:val="000B688C"/>
    <w:rPr>
      <w:b/>
      <w:bCs/>
    </w:rPr>
  </w:style>
  <w:style w:type="paragraph" w:styleId="Date">
    <w:name w:val="Date"/>
    <w:basedOn w:val="Normal"/>
    <w:next w:val="References"/>
    <w:link w:val="DateChar"/>
    <w:pPr>
      <w:ind w:left="5103" w:right="-567"/>
    </w:pPr>
    <w:rPr>
      <w:rFonts w:ascii="Times New Roman" w:hAnsi="Times New Roman"/>
      <w:sz w:val="24"/>
      <w:szCs w:val="20"/>
      <w:lang w:val="en-GB"/>
    </w:rPr>
  </w:style>
  <w:style w:type="paragraph" w:customStyle="1" w:styleId="References">
    <w:name w:val="References"/>
    <w:basedOn w:val="Normal"/>
    <w:next w:val="AddressTR"/>
    <w:pPr>
      <w:spacing w:after="240"/>
      <w:ind w:left="5103"/>
    </w:pPr>
    <w:rPr>
      <w:rFonts w:ascii="Times New Roman" w:hAnsi="Times New Roman"/>
      <w:szCs w:val="20"/>
      <w:lang w:val="en-GB"/>
    </w:rPr>
  </w:style>
  <w:style w:type="paragraph" w:customStyle="1" w:styleId="AddressTR">
    <w:name w:val="AddressTR"/>
    <w:basedOn w:val="Normal"/>
    <w:next w:val="Normal"/>
    <w:pPr>
      <w:spacing w:after="720"/>
      <w:ind w:left="5103"/>
    </w:pPr>
    <w:rPr>
      <w:rFonts w:ascii="Times New Roman" w:hAnsi="Times New Roman"/>
      <w:sz w:val="24"/>
      <w:szCs w:val="20"/>
      <w:lang w:val="en-GB"/>
    </w:rPr>
  </w:style>
  <w:style w:type="paragraph" w:styleId="DocumentMap">
    <w:name w:val="Document Map"/>
    <w:basedOn w:val="Normal"/>
    <w:link w:val="DocumentMapChar"/>
    <w:semiHidden/>
    <w:pPr>
      <w:shd w:val="clear" w:color="auto" w:fill="000080"/>
      <w:spacing w:after="240"/>
      <w:jc w:val="both"/>
    </w:pPr>
    <w:rPr>
      <w:rFonts w:ascii="Tahoma" w:hAnsi="Tahoma"/>
      <w:sz w:val="24"/>
      <w:szCs w:val="20"/>
      <w:lang w:val="en-GB"/>
    </w:rPr>
  </w:style>
  <w:style w:type="paragraph" w:styleId="EndnoteText">
    <w:name w:val="endnote text"/>
    <w:basedOn w:val="Normal"/>
    <w:link w:val="EndnoteTextChar"/>
    <w:uiPriority w:val="99"/>
    <w:semiHidden/>
    <w:qFormat/>
    <w:pPr>
      <w:spacing w:after="240"/>
      <w:jc w:val="both"/>
    </w:pPr>
    <w:rPr>
      <w:rFonts w:ascii="Times New Roman" w:hAnsi="Times New Roman"/>
      <w:szCs w:val="20"/>
      <w:lang w:val="en-GB"/>
    </w:rPr>
  </w:style>
  <w:style w:type="paragraph" w:styleId="EnvelopeAddress">
    <w:name w:val="envelope address"/>
    <w:basedOn w:val="Normal"/>
    <w:qFormat/>
    <w:pPr>
      <w:framePr w:w="7920" w:h="1980" w:hRule="exact" w:hSpace="180" w:wrap="around" w:hAnchor="page" w:xAlign="center" w:yAlign="bottom"/>
      <w:jc w:val="both"/>
    </w:pPr>
    <w:rPr>
      <w:rFonts w:ascii="Times New Roman" w:hAnsi="Times New Roman"/>
      <w:sz w:val="24"/>
      <w:szCs w:val="20"/>
      <w:lang w:val="en-GB"/>
    </w:rPr>
  </w:style>
  <w:style w:type="paragraph" w:styleId="EnvelopeReturn">
    <w:name w:val="envelope return"/>
    <w:basedOn w:val="Normal"/>
    <w:pPr>
      <w:jc w:val="both"/>
    </w:pPr>
    <w:rPr>
      <w:rFonts w:ascii="Times New Roman" w:hAnsi="Times New Roman"/>
      <w:szCs w:val="20"/>
      <w:lang w:val="en-GB"/>
    </w:rPr>
  </w:style>
  <w:style w:type="paragraph" w:styleId="Footer">
    <w:name w:val="footer"/>
    <w:basedOn w:val="Normal"/>
    <w:link w:val="FooterChar"/>
    <w:uiPriority w:val="99"/>
    <w:qFormat/>
    <w:pPr>
      <w:tabs>
        <w:tab w:val="center" w:pos="4320"/>
        <w:tab w:val="right" w:pos="8640"/>
      </w:tabs>
    </w:pPr>
  </w:style>
  <w:style w:type="paragraph" w:styleId="FootnoteText">
    <w:name w:val="footnote text"/>
    <w:basedOn w:val="Normal"/>
    <w:link w:val="FootnoteTextChar"/>
    <w:uiPriority w:val="99"/>
    <w:semiHidden/>
    <w:qFormat/>
    <w:rPr>
      <w:szCs w:val="20"/>
    </w:rPr>
  </w:style>
  <w:style w:type="paragraph" w:styleId="Header">
    <w:name w:val="header"/>
    <w:basedOn w:val="Normal"/>
    <w:link w:val="HeaderChar"/>
    <w:uiPriority w:val="99"/>
    <w:qFormat/>
    <w:pPr>
      <w:tabs>
        <w:tab w:val="center" w:pos="4320"/>
        <w:tab w:val="right" w:pos="8640"/>
      </w:tabs>
    </w:pPr>
    <w:rPr>
      <w:b/>
      <w:sz w:val="16"/>
    </w:rPr>
  </w:style>
  <w:style w:type="paragraph" w:styleId="Index1">
    <w:name w:val="index 1"/>
    <w:basedOn w:val="Normal"/>
    <w:next w:val="Normal"/>
    <w:semiHidden/>
    <w:qFormat/>
    <w:pPr>
      <w:spacing w:after="240"/>
      <w:ind w:left="240" w:hanging="240"/>
      <w:jc w:val="both"/>
    </w:pPr>
    <w:rPr>
      <w:rFonts w:ascii="Times New Roman" w:hAnsi="Times New Roman"/>
      <w:sz w:val="24"/>
      <w:szCs w:val="20"/>
      <w:lang w:val="en-GB"/>
    </w:rPr>
  </w:style>
  <w:style w:type="paragraph" w:styleId="Index2">
    <w:name w:val="index 2"/>
    <w:basedOn w:val="Normal"/>
    <w:next w:val="Normal"/>
    <w:semiHidden/>
    <w:qFormat/>
    <w:pPr>
      <w:spacing w:after="240"/>
      <w:ind w:left="480" w:hanging="240"/>
      <w:jc w:val="both"/>
    </w:pPr>
    <w:rPr>
      <w:rFonts w:ascii="Times New Roman" w:hAnsi="Times New Roman"/>
      <w:sz w:val="24"/>
      <w:szCs w:val="20"/>
      <w:lang w:val="en-GB"/>
    </w:rPr>
  </w:style>
  <w:style w:type="paragraph" w:styleId="Index3">
    <w:name w:val="index 3"/>
    <w:basedOn w:val="Normal"/>
    <w:next w:val="Normal"/>
    <w:semiHidden/>
    <w:qFormat/>
    <w:pPr>
      <w:spacing w:after="240"/>
      <w:ind w:left="720" w:hanging="240"/>
      <w:jc w:val="both"/>
    </w:pPr>
    <w:rPr>
      <w:rFonts w:ascii="Times New Roman" w:hAnsi="Times New Roman"/>
      <w:sz w:val="24"/>
      <w:szCs w:val="20"/>
      <w:lang w:val="en-GB"/>
    </w:rPr>
  </w:style>
  <w:style w:type="paragraph" w:styleId="Index4">
    <w:name w:val="index 4"/>
    <w:basedOn w:val="Normal"/>
    <w:next w:val="Normal"/>
    <w:semiHidden/>
    <w:pPr>
      <w:spacing w:after="240"/>
      <w:ind w:left="960" w:hanging="240"/>
      <w:jc w:val="both"/>
    </w:pPr>
    <w:rPr>
      <w:rFonts w:ascii="Times New Roman" w:hAnsi="Times New Roman"/>
      <w:sz w:val="24"/>
      <w:szCs w:val="20"/>
      <w:lang w:val="en-GB"/>
    </w:rPr>
  </w:style>
  <w:style w:type="paragraph" w:styleId="Index5">
    <w:name w:val="index 5"/>
    <w:basedOn w:val="Normal"/>
    <w:next w:val="Normal"/>
    <w:semiHidden/>
    <w:qFormat/>
    <w:pPr>
      <w:spacing w:after="240"/>
      <w:ind w:left="1200" w:hanging="240"/>
      <w:jc w:val="both"/>
    </w:pPr>
    <w:rPr>
      <w:rFonts w:ascii="Times New Roman" w:hAnsi="Times New Roman"/>
      <w:sz w:val="24"/>
      <w:szCs w:val="20"/>
      <w:lang w:val="en-GB"/>
    </w:rPr>
  </w:style>
  <w:style w:type="paragraph" w:styleId="Index6">
    <w:name w:val="index 6"/>
    <w:basedOn w:val="Normal"/>
    <w:next w:val="Normal"/>
    <w:semiHidden/>
    <w:pPr>
      <w:spacing w:after="240"/>
      <w:ind w:left="1440" w:hanging="240"/>
      <w:jc w:val="both"/>
    </w:pPr>
    <w:rPr>
      <w:rFonts w:ascii="Times New Roman" w:hAnsi="Times New Roman"/>
      <w:sz w:val="24"/>
      <w:szCs w:val="20"/>
      <w:lang w:val="en-GB"/>
    </w:rPr>
  </w:style>
  <w:style w:type="paragraph" w:styleId="Index7">
    <w:name w:val="index 7"/>
    <w:basedOn w:val="Normal"/>
    <w:next w:val="Normal"/>
    <w:semiHidden/>
    <w:qFormat/>
    <w:pPr>
      <w:spacing w:after="240"/>
      <w:ind w:left="1680" w:hanging="240"/>
      <w:jc w:val="both"/>
    </w:pPr>
    <w:rPr>
      <w:rFonts w:ascii="Times New Roman" w:hAnsi="Times New Roman"/>
      <w:sz w:val="24"/>
      <w:szCs w:val="20"/>
      <w:lang w:val="en-GB"/>
    </w:rPr>
  </w:style>
  <w:style w:type="paragraph" w:styleId="Index8">
    <w:name w:val="index 8"/>
    <w:basedOn w:val="Normal"/>
    <w:next w:val="Normal"/>
    <w:semiHidden/>
    <w:qFormat/>
    <w:pPr>
      <w:spacing w:after="240"/>
      <w:ind w:left="1920" w:hanging="240"/>
      <w:jc w:val="both"/>
    </w:pPr>
    <w:rPr>
      <w:rFonts w:ascii="Times New Roman" w:hAnsi="Times New Roman"/>
      <w:sz w:val="24"/>
      <w:szCs w:val="20"/>
      <w:lang w:val="en-GB"/>
    </w:rPr>
  </w:style>
  <w:style w:type="paragraph" w:styleId="Index9">
    <w:name w:val="index 9"/>
    <w:basedOn w:val="Normal"/>
    <w:next w:val="Normal"/>
    <w:semiHidden/>
    <w:pPr>
      <w:spacing w:after="240"/>
      <w:ind w:left="2160" w:hanging="240"/>
      <w:jc w:val="both"/>
    </w:pPr>
    <w:rPr>
      <w:rFonts w:ascii="Times New Roman" w:hAnsi="Times New Roman"/>
      <w:sz w:val="24"/>
      <w:szCs w:val="20"/>
      <w:lang w:val="en-GB"/>
    </w:rPr>
  </w:style>
  <w:style w:type="paragraph" w:styleId="IndexHeading">
    <w:name w:val="index heading"/>
    <w:basedOn w:val="Normal"/>
    <w:next w:val="Index1"/>
    <w:semiHidden/>
    <w:qFormat/>
    <w:pPr>
      <w:spacing w:after="240"/>
      <w:jc w:val="both"/>
    </w:pPr>
    <w:rPr>
      <w:b/>
      <w:sz w:val="24"/>
      <w:szCs w:val="20"/>
      <w:lang w:val="en-GB"/>
    </w:rPr>
  </w:style>
  <w:style w:type="paragraph" w:styleId="List">
    <w:name w:val="List"/>
    <w:basedOn w:val="Normal"/>
    <w:qFormat/>
    <w:pPr>
      <w:spacing w:after="240"/>
      <w:ind w:left="283" w:hanging="283"/>
      <w:jc w:val="both"/>
    </w:pPr>
    <w:rPr>
      <w:rFonts w:ascii="Times New Roman" w:hAnsi="Times New Roman"/>
      <w:sz w:val="24"/>
      <w:szCs w:val="20"/>
      <w:lang w:val="en-GB"/>
    </w:rPr>
  </w:style>
  <w:style w:type="paragraph" w:styleId="List2">
    <w:name w:val="List 2"/>
    <w:basedOn w:val="Normal"/>
    <w:pPr>
      <w:spacing w:after="240"/>
      <w:ind w:left="566" w:hanging="283"/>
      <w:jc w:val="both"/>
    </w:pPr>
    <w:rPr>
      <w:rFonts w:ascii="Times New Roman" w:hAnsi="Times New Roman"/>
      <w:sz w:val="24"/>
      <w:szCs w:val="20"/>
      <w:lang w:val="en-GB"/>
    </w:rPr>
  </w:style>
  <w:style w:type="paragraph" w:styleId="List3">
    <w:name w:val="List 3"/>
    <w:basedOn w:val="Normal"/>
    <w:qFormat/>
    <w:pPr>
      <w:spacing w:after="240"/>
      <w:ind w:left="849" w:hanging="283"/>
      <w:jc w:val="both"/>
    </w:pPr>
    <w:rPr>
      <w:rFonts w:ascii="Times New Roman" w:hAnsi="Times New Roman"/>
      <w:sz w:val="24"/>
      <w:szCs w:val="20"/>
      <w:lang w:val="en-GB"/>
    </w:rPr>
  </w:style>
  <w:style w:type="paragraph" w:styleId="List4">
    <w:name w:val="List 4"/>
    <w:basedOn w:val="Normal"/>
    <w:qFormat/>
    <w:pPr>
      <w:spacing w:after="240"/>
      <w:ind w:left="1132" w:hanging="283"/>
      <w:jc w:val="both"/>
    </w:pPr>
    <w:rPr>
      <w:rFonts w:ascii="Times New Roman" w:hAnsi="Times New Roman"/>
      <w:sz w:val="24"/>
      <w:szCs w:val="20"/>
      <w:lang w:val="en-GB"/>
    </w:rPr>
  </w:style>
  <w:style w:type="paragraph" w:styleId="List5">
    <w:name w:val="List 5"/>
    <w:basedOn w:val="Normal"/>
    <w:pPr>
      <w:spacing w:after="240"/>
      <w:ind w:left="1415" w:hanging="283"/>
      <w:jc w:val="both"/>
    </w:pPr>
    <w:rPr>
      <w:rFonts w:ascii="Times New Roman" w:hAnsi="Times New Roman"/>
      <w:sz w:val="24"/>
      <w:szCs w:val="20"/>
      <w:lang w:val="en-GB"/>
    </w:rPr>
  </w:style>
  <w:style w:type="paragraph" w:styleId="ListBullet">
    <w:name w:val="List Bullet"/>
    <w:basedOn w:val="Normal"/>
    <w:pPr>
      <w:numPr>
        <w:numId w:val="2"/>
      </w:numPr>
      <w:spacing w:after="240"/>
      <w:jc w:val="both"/>
    </w:pPr>
    <w:rPr>
      <w:rFonts w:ascii="Times New Roman" w:hAnsi="Times New Roman"/>
      <w:sz w:val="24"/>
      <w:szCs w:val="20"/>
      <w:lang w:val="en-GB"/>
    </w:rPr>
  </w:style>
  <w:style w:type="paragraph" w:styleId="ListBullet2">
    <w:name w:val="List Bullet 2"/>
    <w:basedOn w:val="Normal"/>
    <w:rsid w:val="004351C2"/>
    <w:pPr>
      <w:numPr>
        <w:numId w:val="3"/>
      </w:numPr>
      <w:tabs>
        <w:tab w:val="left" w:pos="2302"/>
      </w:tabs>
      <w:spacing w:after="240"/>
      <w:jc w:val="both"/>
    </w:pPr>
    <w:rPr>
      <w:rFonts w:ascii="Times New Roman" w:hAnsi="Times New Roman"/>
      <w:sz w:val="24"/>
      <w:szCs w:val="20"/>
      <w:lang w:val="en-GB"/>
    </w:rPr>
  </w:style>
  <w:style w:type="character" w:customStyle="1" w:styleId="CommentTextChar">
    <w:name w:val="Comment Text Char"/>
    <w:basedOn w:val="DefaultParagraphFont"/>
    <w:link w:val="CommentText"/>
    <w:uiPriority w:val="99"/>
    <w:qFormat/>
    <w:rsid w:val="00E32656"/>
    <w:rPr>
      <w:rFonts w:ascii="Arial" w:hAnsi="Arial"/>
      <w:lang w:val="en-US" w:eastAsia="en-US"/>
    </w:rPr>
  </w:style>
  <w:style w:type="paragraph" w:styleId="ListBullet3">
    <w:name w:val="List Bullet 3"/>
    <w:basedOn w:val="Normal"/>
    <w:qFormat/>
    <w:rsid w:val="004351C2"/>
    <w:pPr>
      <w:numPr>
        <w:numId w:val="4"/>
      </w:numPr>
      <w:tabs>
        <w:tab w:val="left" w:pos="2302"/>
      </w:tabs>
      <w:spacing w:after="240"/>
      <w:jc w:val="both"/>
    </w:pPr>
    <w:rPr>
      <w:rFonts w:ascii="Times New Roman" w:hAnsi="Times New Roman"/>
      <w:sz w:val="24"/>
      <w:szCs w:val="20"/>
      <w:lang w:val="en-GB"/>
    </w:rPr>
  </w:style>
  <w:style w:type="paragraph" w:styleId="ListBullet4">
    <w:name w:val="List Bullet 4"/>
    <w:basedOn w:val="Normal"/>
    <w:rsid w:val="004351C2"/>
    <w:pPr>
      <w:numPr>
        <w:numId w:val="5"/>
      </w:numPr>
      <w:tabs>
        <w:tab w:val="left" w:pos="2302"/>
      </w:tabs>
      <w:spacing w:after="240"/>
      <w:jc w:val="both"/>
    </w:pPr>
    <w:rPr>
      <w:rFonts w:ascii="Times New Roman" w:hAnsi="Times New Roman"/>
      <w:sz w:val="24"/>
      <w:szCs w:val="20"/>
      <w:lang w:val="en-GB"/>
    </w:rPr>
  </w:style>
  <w:style w:type="paragraph" w:styleId="ListBullet5">
    <w:name w:val="List Bullet 5"/>
    <w:basedOn w:val="Normal"/>
    <w:pPr>
      <w:numPr>
        <w:numId w:val="6"/>
      </w:numPr>
      <w:spacing w:after="240"/>
      <w:jc w:val="both"/>
    </w:pPr>
    <w:rPr>
      <w:rFonts w:ascii="Times New Roman" w:hAnsi="Times New Roman"/>
      <w:sz w:val="24"/>
      <w:szCs w:val="20"/>
      <w:lang w:val="en-GB"/>
    </w:rPr>
  </w:style>
  <w:style w:type="paragraph" w:styleId="ListContinue">
    <w:name w:val="List Continue"/>
    <w:basedOn w:val="Normal"/>
    <w:pPr>
      <w:spacing w:after="120"/>
      <w:ind w:left="283"/>
      <w:jc w:val="both"/>
    </w:pPr>
    <w:rPr>
      <w:rFonts w:ascii="Times New Roman" w:hAnsi="Times New Roman"/>
      <w:sz w:val="24"/>
      <w:szCs w:val="20"/>
      <w:lang w:val="en-GB"/>
    </w:rPr>
  </w:style>
  <w:style w:type="paragraph" w:styleId="ListContinue2">
    <w:name w:val="List Continue 2"/>
    <w:basedOn w:val="Normal"/>
    <w:pPr>
      <w:spacing w:after="120"/>
      <w:ind w:left="566"/>
      <w:jc w:val="both"/>
    </w:pPr>
    <w:rPr>
      <w:rFonts w:ascii="Times New Roman" w:hAnsi="Times New Roman"/>
      <w:sz w:val="24"/>
      <w:szCs w:val="20"/>
      <w:lang w:val="en-GB"/>
    </w:rPr>
  </w:style>
  <w:style w:type="paragraph" w:styleId="ListContinue3">
    <w:name w:val="List Continue 3"/>
    <w:basedOn w:val="Normal"/>
    <w:pPr>
      <w:spacing w:after="120"/>
      <w:ind w:left="849"/>
      <w:jc w:val="both"/>
    </w:pPr>
    <w:rPr>
      <w:rFonts w:ascii="Times New Roman" w:hAnsi="Times New Roman"/>
      <w:sz w:val="24"/>
      <w:szCs w:val="20"/>
      <w:lang w:val="en-GB"/>
    </w:rPr>
  </w:style>
  <w:style w:type="paragraph" w:styleId="ListContinue4">
    <w:name w:val="List Continue 4"/>
    <w:basedOn w:val="Normal"/>
    <w:pPr>
      <w:spacing w:after="120"/>
      <w:ind w:left="1132"/>
      <w:jc w:val="both"/>
    </w:pPr>
    <w:rPr>
      <w:rFonts w:ascii="Times New Roman" w:hAnsi="Times New Roman"/>
      <w:sz w:val="24"/>
      <w:szCs w:val="20"/>
      <w:lang w:val="en-GB"/>
    </w:rPr>
  </w:style>
  <w:style w:type="paragraph" w:styleId="ListContinue5">
    <w:name w:val="List Continue 5"/>
    <w:basedOn w:val="Normal"/>
    <w:pPr>
      <w:spacing w:after="120"/>
      <w:ind w:left="1415"/>
      <w:jc w:val="both"/>
    </w:pPr>
    <w:rPr>
      <w:rFonts w:ascii="Times New Roman" w:hAnsi="Times New Roman"/>
      <w:sz w:val="24"/>
      <w:szCs w:val="20"/>
      <w:lang w:val="en-GB"/>
    </w:rPr>
  </w:style>
  <w:style w:type="paragraph" w:styleId="ListNumber">
    <w:name w:val="List Number"/>
    <w:basedOn w:val="Normal"/>
    <w:pPr>
      <w:numPr>
        <w:numId w:val="7"/>
      </w:numPr>
      <w:spacing w:after="240"/>
      <w:jc w:val="both"/>
    </w:pPr>
    <w:rPr>
      <w:rFonts w:ascii="Times New Roman" w:hAnsi="Times New Roman"/>
      <w:sz w:val="24"/>
      <w:szCs w:val="20"/>
      <w:lang w:val="en-GB"/>
    </w:rPr>
  </w:style>
  <w:style w:type="paragraph" w:styleId="ListNumber2">
    <w:name w:val="List Number 2"/>
    <w:basedOn w:val="Normal"/>
    <w:pPr>
      <w:numPr>
        <w:numId w:val="8"/>
      </w:numPr>
      <w:spacing w:after="240"/>
      <w:jc w:val="both"/>
    </w:pPr>
    <w:rPr>
      <w:rFonts w:ascii="Times New Roman" w:hAnsi="Times New Roman"/>
      <w:sz w:val="24"/>
      <w:szCs w:val="20"/>
      <w:lang w:val="en-GB"/>
    </w:rPr>
  </w:style>
  <w:style w:type="paragraph" w:styleId="ListNumber3">
    <w:name w:val="List Number 3"/>
    <w:basedOn w:val="Normal"/>
    <w:rsid w:val="004351C2"/>
    <w:pPr>
      <w:numPr>
        <w:numId w:val="9"/>
      </w:numPr>
      <w:spacing w:after="240"/>
      <w:jc w:val="both"/>
    </w:pPr>
    <w:rPr>
      <w:rFonts w:ascii="Times New Roman" w:hAnsi="Times New Roman"/>
      <w:sz w:val="24"/>
      <w:szCs w:val="20"/>
      <w:lang w:val="en-GB"/>
    </w:rPr>
  </w:style>
  <w:style w:type="paragraph" w:styleId="ListNumber4">
    <w:name w:val="List Number 4"/>
    <w:basedOn w:val="Normal"/>
    <w:rsid w:val="004351C2"/>
    <w:pPr>
      <w:numPr>
        <w:numId w:val="10"/>
      </w:numPr>
      <w:spacing w:after="240"/>
      <w:jc w:val="both"/>
    </w:pPr>
    <w:rPr>
      <w:rFonts w:ascii="Times New Roman" w:hAnsi="Times New Roman"/>
      <w:sz w:val="24"/>
      <w:szCs w:val="20"/>
      <w:lang w:val="en-GB"/>
    </w:rPr>
  </w:style>
  <w:style w:type="paragraph" w:styleId="ListNumber5">
    <w:name w:val="List Number 5"/>
    <w:basedOn w:val="Normal"/>
    <w:pPr>
      <w:numPr>
        <w:numId w:val="11"/>
      </w:numPr>
      <w:spacing w:after="240"/>
      <w:jc w:val="both"/>
    </w:pPr>
    <w:rPr>
      <w:rFonts w:ascii="Times New Roman" w:hAnsi="Times New Roman"/>
      <w:sz w:val="24"/>
      <w:szCs w:val="20"/>
      <w:lang w:val="en-GB"/>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ind w:left="1134" w:hanging="1134"/>
      <w:jc w:val="both"/>
    </w:pPr>
    <w:rPr>
      <w:sz w:val="24"/>
      <w:szCs w:val="20"/>
      <w:lang w:val="en-GB"/>
    </w:rPr>
  </w:style>
  <w:style w:type="paragraph" w:styleId="NormalWeb">
    <w:name w:val="Normal (Web)"/>
    <w:basedOn w:val="Normal"/>
    <w:uiPriority w:val="99"/>
    <w:semiHidden/>
    <w:unhideWhenUsed/>
    <w:qFormat/>
    <w:rPr>
      <w:rFonts w:ascii="Times New Roman" w:hAnsi="Times New Roman"/>
      <w:sz w:val="24"/>
    </w:rPr>
  </w:style>
  <w:style w:type="paragraph" w:styleId="NormalIndent">
    <w:name w:val="Normal Indent"/>
    <w:basedOn w:val="Normal"/>
    <w:pPr>
      <w:spacing w:after="240"/>
      <w:ind w:left="720"/>
      <w:jc w:val="both"/>
    </w:pPr>
    <w:rPr>
      <w:rFonts w:ascii="Times New Roman" w:hAnsi="Times New Roman"/>
      <w:sz w:val="24"/>
      <w:szCs w:val="20"/>
      <w:lang w:val="en-GB"/>
    </w:rPr>
  </w:style>
  <w:style w:type="paragraph" w:styleId="NoteHeading">
    <w:name w:val="Note Heading"/>
    <w:basedOn w:val="Normal"/>
    <w:next w:val="Normal"/>
    <w:link w:val="NoteHeadingChar"/>
    <w:pPr>
      <w:spacing w:after="240"/>
      <w:jc w:val="both"/>
    </w:pPr>
    <w:rPr>
      <w:rFonts w:ascii="Times New Roman" w:hAnsi="Times New Roman"/>
      <w:sz w:val="24"/>
      <w:szCs w:val="20"/>
      <w:lang w:val="en-GB"/>
    </w:rPr>
  </w:style>
  <w:style w:type="paragraph" w:styleId="PlainText">
    <w:name w:val="Plain Text"/>
    <w:basedOn w:val="Normal"/>
    <w:link w:val="PlainTextChar"/>
    <w:pPr>
      <w:spacing w:after="240"/>
      <w:jc w:val="both"/>
    </w:pPr>
    <w:rPr>
      <w:rFonts w:ascii="Courier New" w:hAnsi="Courier New"/>
      <w:szCs w:val="20"/>
      <w:lang w:val="en-GB"/>
    </w:rPr>
  </w:style>
  <w:style w:type="paragraph" w:styleId="Salutation">
    <w:name w:val="Salutation"/>
    <w:basedOn w:val="Normal"/>
    <w:next w:val="Normal"/>
    <w:link w:val="SalutationChar"/>
    <w:pPr>
      <w:spacing w:after="240"/>
      <w:jc w:val="both"/>
    </w:pPr>
    <w:rPr>
      <w:rFonts w:ascii="Times New Roman" w:hAnsi="Times New Roman"/>
      <w:sz w:val="24"/>
      <w:szCs w:val="20"/>
      <w:lang w:val="en-GB"/>
    </w:rPr>
  </w:style>
  <w:style w:type="paragraph" w:styleId="Signature">
    <w:name w:val="Signature"/>
    <w:basedOn w:val="Normal"/>
    <w:next w:val="Enclosures"/>
    <w:link w:val="SignatureChar"/>
    <w:pPr>
      <w:tabs>
        <w:tab w:val="left" w:pos="5103"/>
      </w:tabs>
      <w:spacing w:before="1200"/>
      <w:ind w:left="5103"/>
      <w:jc w:val="center"/>
    </w:pPr>
    <w:rPr>
      <w:rFonts w:ascii="Times New Roman" w:hAnsi="Times New Roman"/>
      <w:sz w:val="24"/>
      <w:szCs w:val="20"/>
      <w:lang w:val="en-GB"/>
    </w:rPr>
  </w:style>
  <w:style w:type="paragraph" w:customStyle="1" w:styleId="Enclosures">
    <w:name w:val="Enclosures"/>
    <w:basedOn w:val="Normal"/>
    <w:pPr>
      <w:keepNext/>
      <w:keepLines/>
      <w:tabs>
        <w:tab w:val="left" w:pos="5642"/>
      </w:tabs>
      <w:spacing w:before="480"/>
      <w:ind w:left="1191" w:hanging="1191"/>
    </w:pPr>
    <w:rPr>
      <w:rFonts w:ascii="Times New Roman" w:hAnsi="Times New Roman"/>
      <w:sz w:val="24"/>
      <w:szCs w:val="20"/>
      <w:lang w:val="en-GB"/>
    </w:rPr>
  </w:style>
  <w:style w:type="paragraph" w:styleId="TableofAuthorities">
    <w:name w:val="table of authorities"/>
    <w:basedOn w:val="Normal"/>
    <w:next w:val="Normal"/>
    <w:semiHidden/>
    <w:pPr>
      <w:spacing w:after="240"/>
      <w:ind w:left="240" w:hanging="240"/>
      <w:jc w:val="both"/>
    </w:pPr>
    <w:rPr>
      <w:rFonts w:ascii="Times New Roman" w:hAnsi="Times New Roman"/>
      <w:sz w:val="24"/>
      <w:szCs w:val="20"/>
      <w:lang w:val="en-GB"/>
    </w:rPr>
  </w:style>
  <w:style w:type="paragraph" w:styleId="TableofFigures">
    <w:name w:val="table of figures"/>
    <w:basedOn w:val="Normal"/>
    <w:next w:val="Normal"/>
    <w:semiHidden/>
    <w:pPr>
      <w:spacing w:after="240"/>
      <w:ind w:left="480" w:hanging="480"/>
      <w:jc w:val="both"/>
    </w:pPr>
    <w:rPr>
      <w:rFonts w:ascii="Times New Roman" w:hAnsi="Times New Roman"/>
      <w:sz w:val="24"/>
      <w:szCs w:val="20"/>
      <w:lang w:val="en-GB"/>
    </w:rPr>
  </w:style>
  <w:style w:type="paragraph" w:styleId="TOAHeading">
    <w:name w:val="toa heading"/>
    <w:basedOn w:val="Normal"/>
    <w:next w:val="Normal"/>
    <w:semiHidden/>
    <w:pPr>
      <w:spacing w:before="120" w:after="240"/>
      <w:jc w:val="both"/>
    </w:pPr>
    <w:rPr>
      <w:b/>
      <w:sz w:val="24"/>
      <w:szCs w:val="20"/>
      <w:lang w:val="en-GB"/>
    </w:rPr>
  </w:style>
  <w:style w:type="paragraph" w:styleId="TOC1">
    <w:name w:val="toc 1"/>
    <w:basedOn w:val="Normal"/>
    <w:next w:val="Normal"/>
    <w:uiPriority w:val="39"/>
    <w:qFormat/>
    <w:pPr>
      <w:tabs>
        <w:tab w:val="left" w:pos="360"/>
        <w:tab w:val="right" w:leader="dot" w:pos="9629"/>
      </w:tabs>
      <w:spacing w:before="240"/>
      <w:ind w:left="284" w:hanging="284"/>
    </w:pPr>
    <w:rPr>
      <w:b/>
      <w:caps/>
    </w:rPr>
  </w:style>
  <w:style w:type="paragraph" w:styleId="TOC2">
    <w:name w:val="toc 2"/>
    <w:basedOn w:val="Normal"/>
    <w:next w:val="Normal"/>
    <w:uiPriority w:val="39"/>
    <w:qFormat/>
    <w:pPr>
      <w:tabs>
        <w:tab w:val="left" w:pos="900"/>
        <w:tab w:val="right" w:leader="dot" w:pos="9629"/>
      </w:tabs>
      <w:ind w:left="851" w:hanging="491"/>
    </w:pPr>
  </w:style>
  <w:style w:type="paragraph" w:styleId="TOC3">
    <w:name w:val="toc 3"/>
    <w:basedOn w:val="Normal"/>
    <w:next w:val="Normal"/>
    <w:uiPriority w:val="39"/>
    <w:qFormat/>
    <w:pPr>
      <w:tabs>
        <w:tab w:val="left" w:pos="1440"/>
        <w:tab w:val="right" w:leader="dot" w:pos="9629"/>
      </w:tabs>
      <w:ind w:left="900"/>
    </w:pPr>
  </w:style>
  <w:style w:type="paragraph" w:styleId="TOC4">
    <w:name w:val="toc 4"/>
    <w:basedOn w:val="Normal"/>
    <w:next w:val="Normal"/>
    <w:uiPriority w:val="39"/>
    <w:qFormat/>
    <w:pPr>
      <w:tabs>
        <w:tab w:val="left" w:pos="2340"/>
        <w:tab w:val="right" w:leader="dot" w:pos="9629"/>
      </w:tabs>
      <w:ind w:left="1440"/>
    </w:pPr>
    <w:rPr>
      <w:i/>
    </w:rPr>
  </w:style>
  <w:style w:type="paragraph" w:styleId="TOC5">
    <w:name w:val="toc 5"/>
    <w:basedOn w:val="Normal"/>
    <w:next w:val="Normal"/>
    <w:semiHidden/>
    <w:qFormat/>
    <w:pPr>
      <w:tabs>
        <w:tab w:val="right" w:leader="dot" w:pos="8641"/>
      </w:tabs>
      <w:spacing w:before="240" w:after="120"/>
      <w:ind w:right="720"/>
      <w:jc w:val="both"/>
    </w:pPr>
    <w:rPr>
      <w:rFonts w:ascii="Times New Roman" w:hAnsi="Times New Roman"/>
      <w:caps/>
      <w:sz w:val="24"/>
      <w:szCs w:val="20"/>
      <w:lang w:val="en-GB"/>
    </w:rPr>
  </w:style>
  <w:style w:type="paragraph" w:styleId="TOC6">
    <w:name w:val="toc 6"/>
    <w:basedOn w:val="Normal"/>
    <w:next w:val="Normal"/>
    <w:semiHidden/>
    <w:pPr>
      <w:spacing w:after="240"/>
      <w:ind w:left="1200"/>
      <w:jc w:val="both"/>
    </w:pPr>
    <w:rPr>
      <w:rFonts w:ascii="Times New Roman" w:hAnsi="Times New Roman"/>
      <w:sz w:val="24"/>
      <w:szCs w:val="20"/>
      <w:lang w:val="en-GB"/>
    </w:rPr>
  </w:style>
  <w:style w:type="paragraph" w:styleId="TOC7">
    <w:name w:val="toc 7"/>
    <w:basedOn w:val="Normal"/>
    <w:next w:val="Normal"/>
    <w:semiHidden/>
    <w:pPr>
      <w:spacing w:after="240"/>
      <w:ind w:left="1440"/>
      <w:jc w:val="both"/>
    </w:pPr>
    <w:rPr>
      <w:rFonts w:ascii="Times New Roman" w:hAnsi="Times New Roman"/>
      <w:sz w:val="24"/>
      <w:szCs w:val="20"/>
      <w:lang w:val="en-GB"/>
    </w:rPr>
  </w:style>
  <w:style w:type="paragraph" w:styleId="TOC8">
    <w:name w:val="toc 8"/>
    <w:basedOn w:val="Normal"/>
    <w:next w:val="Normal"/>
    <w:semiHidden/>
    <w:qFormat/>
    <w:pPr>
      <w:spacing w:after="240"/>
      <w:ind w:left="1680"/>
      <w:jc w:val="both"/>
    </w:pPr>
    <w:rPr>
      <w:rFonts w:ascii="Times New Roman" w:hAnsi="Times New Roman"/>
      <w:sz w:val="24"/>
      <w:szCs w:val="20"/>
      <w:lang w:val="en-GB"/>
    </w:rPr>
  </w:style>
  <w:style w:type="paragraph" w:styleId="TOC9">
    <w:name w:val="toc 9"/>
    <w:basedOn w:val="Normal"/>
    <w:next w:val="Normal"/>
    <w:semiHidden/>
    <w:pPr>
      <w:spacing w:after="240"/>
      <w:ind w:left="1920"/>
      <w:jc w:val="both"/>
    </w:pPr>
    <w:rPr>
      <w:rFonts w:ascii="Times New Roman" w:hAnsi="Times New Roman"/>
      <w:sz w:val="24"/>
      <w:szCs w:val="20"/>
      <w:lang w:val="en-GB"/>
    </w:rPr>
  </w:style>
  <w:style w:type="character" w:styleId="CommentReference">
    <w:name w:val="annotation reference"/>
    <w:basedOn w:val="DefaultParagraphFont"/>
    <w:uiPriority w:val="99"/>
    <w:qFormat/>
    <w:rPr>
      <w:rFonts w:cs="Times New Roman"/>
      <w:sz w:val="16"/>
    </w:rPr>
  </w:style>
  <w:style w:type="character" w:styleId="Emphasis">
    <w:name w:val="Emphasis"/>
    <w:basedOn w:val="DefaultParagraphFont"/>
    <w:uiPriority w:val="99"/>
    <w:qFormat/>
    <w:rPr>
      <w:rFonts w:cs="Times New Roman"/>
      <w:i/>
      <w:iCs/>
    </w:rPr>
  </w:style>
  <w:style w:type="character" w:styleId="EndnoteReference">
    <w:name w:val="endnote reference"/>
    <w:uiPriority w:val="99"/>
    <w:semiHidden/>
    <w:unhideWhenUsed/>
    <w:qFormat/>
    <w:rPr>
      <w:vertAlign w:val="superscript"/>
    </w:r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FootnoteReference">
    <w:name w:val="footnote reference"/>
    <w:basedOn w:val="DefaultParagraphFont"/>
    <w:uiPriority w:val="99"/>
    <w:qFormat/>
    <w:rPr>
      <w:vertAlign w:val="superscript"/>
    </w:rPr>
  </w:style>
  <w:style w:type="character" w:styleId="Hyperlink">
    <w:name w:val="Hyperlink"/>
    <w:basedOn w:val="DefaultParagraphFont"/>
    <w:uiPriority w:val="99"/>
    <w:qFormat/>
    <w:rPr>
      <w:color w:val="0000FF"/>
      <w:u w:val="single"/>
    </w:rPr>
  </w:style>
  <w:style w:type="table" w:styleId="TableContemporary">
    <w:name w:val="Table Contemporary"/>
    <w:basedOn w:val="TableNormal"/>
    <w:uiPriority w:val="99"/>
    <w:semiHidden/>
    <w:unhideWhenUsed/>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ParBulleted">
    <w:name w:val="ECC Par Bulleted"/>
    <w:basedOn w:val="ECCParagraph"/>
    <w:uiPriority w:val="99"/>
    <w:qFormat/>
    <w:pPr>
      <w:numPr>
        <w:numId w:val="12"/>
      </w:numPr>
      <w:spacing w:after="0"/>
    </w:pPr>
  </w:style>
  <w:style w:type="paragraph" w:customStyle="1" w:styleId="ECCAnnexheading1">
    <w:name w:val="ECC Annex heading1"/>
    <w:basedOn w:val="Heading1"/>
    <w:next w:val="ECCParagraph"/>
    <w:qFormat/>
    <w:pPr>
      <w:numPr>
        <w:numId w:val="13"/>
      </w:numPr>
    </w:pPr>
  </w:style>
  <w:style w:type="paragraph" w:customStyle="1" w:styleId="ECCFiguretitle">
    <w:name w:val="ECC Figure title"/>
    <w:basedOn w:val="ECCParagraph"/>
    <w:next w:val="ECCParagraph"/>
    <w:qFormat/>
    <w:pPr>
      <w:numPr>
        <w:numId w:val="14"/>
      </w:numPr>
      <w:spacing w:before="240" w:after="480"/>
      <w:jc w:val="center"/>
    </w:pPr>
    <w:rPr>
      <w:b/>
      <w:color w:val="D2232A"/>
    </w:rPr>
  </w:style>
  <w:style w:type="paragraph" w:customStyle="1" w:styleId="ECCTabletitle">
    <w:name w:val="ECC Table title"/>
    <w:basedOn w:val="ECCFiguretitle"/>
    <w:next w:val="ECCParagraph"/>
    <w:uiPriority w:val="99"/>
    <w:qFormat/>
    <w:pPr>
      <w:numPr>
        <w:numId w:val="15"/>
      </w:numPr>
      <w:spacing w:before="360" w:after="240"/>
    </w:pPr>
  </w:style>
  <w:style w:type="paragraph" w:customStyle="1" w:styleId="ECCFootnote">
    <w:name w:val="ECC Footnote"/>
    <w:basedOn w:val="Normal"/>
    <w:uiPriority w:val="99"/>
    <w:qFormat/>
    <w:pPr>
      <w:ind w:left="454" w:hanging="454"/>
    </w:pPr>
    <w:rPr>
      <w:sz w:val="16"/>
    </w:rPr>
  </w:style>
  <w:style w:type="paragraph" w:customStyle="1" w:styleId="ECCTablenote">
    <w:name w:val="ECC Table note"/>
    <w:basedOn w:val="ECCParagraph"/>
    <w:next w:val="ECCParagraph"/>
    <w:qFormat/>
    <w:pPr>
      <w:spacing w:after="0"/>
      <w:ind w:left="284" w:hanging="284"/>
    </w:pPr>
    <w:rPr>
      <w:sz w:val="16"/>
      <w:szCs w:val="16"/>
    </w:rPr>
  </w:style>
  <w:style w:type="paragraph" w:customStyle="1" w:styleId="reference">
    <w:name w:val="reference"/>
    <w:basedOn w:val="Normal"/>
    <w:uiPriority w:val="99"/>
    <w:qFormat/>
    <w:pPr>
      <w:numPr>
        <w:numId w:val="16"/>
      </w:numPr>
    </w:pPr>
    <w:rPr>
      <w:lang w:eastAsia="ja-JP"/>
    </w:rPr>
  </w:style>
  <w:style w:type="paragraph" w:customStyle="1" w:styleId="ECCAnnexheading2">
    <w:name w:val="ECC Annex heading2"/>
    <w:basedOn w:val="Normal"/>
    <w:next w:val="ECCParagraph"/>
    <w:qFormat/>
    <w:pPr>
      <w:numPr>
        <w:ilvl w:val="1"/>
        <w:numId w:val="13"/>
      </w:numPr>
      <w:overflowPunct w:val="0"/>
      <w:autoSpaceDE w:val="0"/>
      <w:autoSpaceDN w:val="0"/>
      <w:adjustRightInd w:val="0"/>
      <w:spacing w:before="480" w:after="240"/>
      <w:ind w:left="578" w:hanging="578"/>
      <w:textAlignment w:val="baseline"/>
    </w:pPr>
    <w:rPr>
      <w:b/>
      <w:caps/>
    </w:rPr>
  </w:style>
  <w:style w:type="paragraph" w:customStyle="1" w:styleId="ECCAnnexheading3">
    <w:name w:val="ECC Annex heading3"/>
    <w:basedOn w:val="Normal"/>
    <w:next w:val="ECCParagraph"/>
    <w:qFormat/>
    <w:pPr>
      <w:numPr>
        <w:ilvl w:val="2"/>
        <w:numId w:val="13"/>
      </w:numPr>
      <w:overflowPunct w:val="0"/>
      <w:autoSpaceDE w:val="0"/>
      <w:autoSpaceDN w:val="0"/>
      <w:adjustRightInd w:val="0"/>
      <w:spacing w:before="360" w:after="120"/>
      <w:ind w:left="720"/>
      <w:textAlignment w:val="baseline"/>
    </w:pPr>
    <w:rPr>
      <w:b/>
    </w:rPr>
  </w:style>
  <w:style w:type="paragraph" w:customStyle="1" w:styleId="ECCAnnexheading4">
    <w:name w:val="ECC Annex heading4"/>
    <w:basedOn w:val="Normal"/>
    <w:next w:val="ECCParagraph"/>
    <w:qFormat/>
    <w:pPr>
      <w:numPr>
        <w:ilvl w:val="3"/>
        <w:numId w:val="13"/>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qFormat/>
    <w:pPr>
      <w:spacing w:before="120" w:after="120"/>
      <w:ind w:left="3402"/>
    </w:pPr>
    <w:rPr>
      <w:bCs/>
      <w:sz w:val="18"/>
    </w:rPr>
  </w:style>
  <w:style w:type="paragraph" w:customStyle="1" w:styleId="Reporttitledescription">
    <w:name w:val="Report title/description"/>
    <w:basedOn w:val="Normal"/>
    <w:qFormat/>
    <w:pPr>
      <w:spacing w:before="600" w:line="288" w:lineRule="auto"/>
      <w:ind w:left="3402"/>
    </w:pPr>
    <w:rPr>
      <w:sz w:val="24"/>
    </w:rPr>
  </w:style>
  <w:style w:type="paragraph" w:customStyle="1" w:styleId="ECCNumbered-LetteredList">
    <w:name w:val="ECC Numbered-Lettered List"/>
    <w:basedOn w:val="Normal"/>
    <w:qFormat/>
    <w:pPr>
      <w:numPr>
        <w:numId w:val="17"/>
      </w:numPr>
    </w:pPr>
  </w:style>
  <w:style w:type="paragraph" w:customStyle="1" w:styleId="ECCNumberedBullets">
    <w:name w:val="ECC Numbered Bullets"/>
    <w:basedOn w:val="Normal"/>
    <w:qFormat/>
    <w:pPr>
      <w:numPr>
        <w:numId w:val="18"/>
      </w:numPr>
    </w:pPr>
  </w:style>
  <w:style w:type="character" w:customStyle="1" w:styleId="BalloonTextChar">
    <w:name w:val="Balloon Text Char"/>
    <w:basedOn w:val="DefaultParagraphFont"/>
    <w:link w:val="BalloonText"/>
    <w:uiPriority w:val="99"/>
    <w:semiHidden/>
    <w:qFormat/>
    <w:rPr>
      <w:rFonts w:ascii="Lucida Grande" w:hAnsi="Lucida Grande" w:cs="Lucida Grande"/>
      <w:sz w:val="18"/>
      <w:szCs w:val="18"/>
      <w:lang w:val="en-US"/>
    </w:rPr>
  </w:style>
  <w:style w:type="character" w:customStyle="1" w:styleId="st">
    <w:name w:val="st"/>
    <w:basedOn w:val="DefaultParagraphFont"/>
    <w:uiPriority w:val="99"/>
    <w:qFormat/>
    <w:rPr>
      <w:rFonts w:cs="Times New Roman"/>
    </w:rPr>
  </w:style>
  <w:style w:type="character" w:customStyle="1" w:styleId="FootnoteTextChar">
    <w:name w:val="Footnote Text Char"/>
    <w:basedOn w:val="DefaultParagraphFont"/>
    <w:link w:val="FootnoteText"/>
    <w:uiPriority w:val="99"/>
    <w:qFormat/>
    <w:rPr>
      <w:rFonts w:ascii="Arial" w:hAnsi="Arial"/>
      <w:lang w:val="en-US"/>
    </w:rPr>
  </w:style>
  <w:style w:type="paragraph" w:customStyle="1" w:styleId="ListBullet1">
    <w:name w:val="List Bullet 1"/>
    <w:basedOn w:val="Normal"/>
    <w:uiPriority w:val="99"/>
    <w:qFormat/>
    <w:pPr>
      <w:numPr>
        <w:numId w:val="19"/>
      </w:numPr>
      <w:suppressAutoHyphens/>
      <w:spacing w:after="240"/>
      <w:jc w:val="both"/>
    </w:pPr>
    <w:rPr>
      <w:rFonts w:ascii="Times New Roman" w:hAnsi="Times New Roman"/>
      <w:sz w:val="24"/>
      <w:szCs w:val="20"/>
      <w:lang w:val="en-GB" w:eastAsia="ar-SA"/>
    </w:rPr>
  </w:style>
  <w:style w:type="table" w:customStyle="1" w:styleId="Question-group-table">
    <w:name w:val="Question-group-table"/>
    <w:qFormat/>
    <w:rPr>
      <w:lang w:eastAsia="da-DK"/>
    </w:rPr>
    <w:tblPr>
      <w:tblCellMar>
        <w:top w:w="0" w:type="dxa"/>
        <w:left w:w="0" w:type="dxa"/>
        <w:bottom w:w="0" w:type="dxa"/>
        <w:right w:w="0" w:type="dxa"/>
      </w:tblCellMar>
    </w:tblPr>
  </w:style>
  <w:style w:type="paragraph" w:styleId="ListParagraph">
    <w:name w:val="List Paragraph"/>
    <w:basedOn w:val="Normal"/>
    <w:link w:val="ListParagraphChar"/>
    <w:uiPriority w:val="1"/>
    <w:qFormat/>
    <w:pPr>
      <w:ind w:left="720"/>
      <w:contextualSpacing/>
    </w:pPr>
  </w:style>
  <w:style w:type="character" w:customStyle="1" w:styleId="Heading1Char">
    <w:name w:val="Heading 1 Char"/>
    <w:basedOn w:val="DefaultParagraphFont"/>
    <w:link w:val="Heading1"/>
    <w:qFormat/>
    <w:rPr>
      <w:rFonts w:ascii="Arial" w:hAnsi="Arial" w:cs="Arial"/>
      <w:b/>
      <w:bCs/>
      <w:caps/>
      <w:color w:val="D2232A"/>
      <w:kern w:val="32"/>
      <w:szCs w:val="32"/>
      <w:lang w:val="en-GB" w:eastAsia="en-US"/>
    </w:rPr>
  </w:style>
  <w:style w:type="table" w:customStyle="1" w:styleId="TableGrid2">
    <w:name w:val="Table Grid2"/>
    <w:basedOn w:val="TableNormal"/>
    <w:uiPriority w:val="59"/>
    <w:qFormat/>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locked/>
    <w:rPr>
      <w:rFonts w:ascii="Arial" w:hAnsi="Arial"/>
      <w:b/>
      <w:sz w:val="16"/>
      <w:szCs w:val="24"/>
      <w:lang w:val="en-US"/>
    </w:rPr>
  </w:style>
  <w:style w:type="character" w:customStyle="1" w:styleId="FooterChar">
    <w:name w:val="Footer Char"/>
    <w:basedOn w:val="DefaultParagraphFont"/>
    <w:link w:val="Footer"/>
    <w:uiPriority w:val="99"/>
    <w:qFormat/>
    <w:locked/>
    <w:rPr>
      <w:rFonts w:ascii="Arial" w:hAnsi="Arial"/>
      <w:szCs w:val="24"/>
      <w:lang w:val="en-US"/>
    </w:rPr>
  </w:style>
  <w:style w:type="paragraph" w:customStyle="1" w:styleId="ECCAnnex-heading1">
    <w:name w:val="ECC Annex - heading1"/>
    <w:basedOn w:val="Heading1"/>
    <w:next w:val="ECCParagraph"/>
    <w:uiPriority w:val="99"/>
    <w:qFormat/>
    <w:pPr>
      <w:tabs>
        <w:tab w:val="clear" w:pos="432"/>
      </w:tabs>
      <w:ind w:left="0" w:firstLine="0"/>
    </w:pPr>
    <w:rPr>
      <w:b w:val="0"/>
      <w:bCs w:val="0"/>
    </w:rPr>
  </w:style>
  <w:style w:type="character" w:customStyle="1" w:styleId="FootnoteCharacters">
    <w:name w:val="Footnote Characters"/>
    <w:qFormat/>
    <w:rPr>
      <w:vertAlign w:val="superscript"/>
    </w:rPr>
  </w:style>
  <w:style w:type="character" w:customStyle="1" w:styleId="observation">
    <w:name w:val="observation"/>
    <w:basedOn w:val="DefaultParagraphFont"/>
    <w:uiPriority w:val="99"/>
    <w:qFormat/>
    <w:rPr>
      <w:rFonts w:cs="Times New Roman"/>
    </w:rPr>
  </w:style>
  <w:style w:type="paragraph" w:customStyle="1" w:styleId="Sectionabullets">
    <w:name w:val="Section a bullets"/>
    <w:qFormat/>
    <w:pPr>
      <w:numPr>
        <w:ilvl w:val="5"/>
        <w:numId w:val="20"/>
      </w:numPr>
      <w:spacing w:after="240"/>
    </w:pPr>
    <w:rPr>
      <w:rFonts w:ascii="Arial" w:hAnsi="Arial"/>
      <w:color w:val="000000"/>
      <w:sz w:val="22"/>
      <w:szCs w:val="48"/>
      <w:lang w:val="en-GB" w:eastAsia="en-GB"/>
    </w:rPr>
  </w:style>
  <w:style w:type="paragraph" w:customStyle="1" w:styleId="SectionBodyText">
    <w:name w:val="Section Body Text"/>
    <w:qFormat/>
    <w:pPr>
      <w:numPr>
        <w:ilvl w:val="7"/>
        <w:numId w:val="20"/>
      </w:numPr>
      <w:spacing w:after="240"/>
    </w:pPr>
    <w:rPr>
      <w:rFonts w:ascii="Arial" w:hAnsi="Arial"/>
      <w:color w:val="000000"/>
      <w:sz w:val="22"/>
      <w:szCs w:val="22"/>
      <w:lang w:val="en-GB" w:eastAsia="en-GB"/>
    </w:rPr>
  </w:style>
  <w:style w:type="paragraph" w:customStyle="1" w:styleId="Sectionibullets">
    <w:name w:val="Section i bullets"/>
    <w:qFormat/>
    <w:pPr>
      <w:numPr>
        <w:ilvl w:val="6"/>
        <w:numId w:val="20"/>
      </w:numPr>
      <w:spacing w:after="240"/>
    </w:pPr>
    <w:rPr>
      <w:rFonts w:ascii="Arial" w:hAnsi="Arial"/>
      <w:color w:val="000000"/>
      <w:sz w:val="22"/>
      <w:szCs w:val="48"/>
      <w:lang w:val="en-GB" w:eastAsia="en-GB"/>
    </w:rPr>
  </w:style>
  <w:style w:type="paragraph" w:customStyle="1" w:styleId="Sectionlevel1">
    <w:name w:val="Section level 1"/>
    <w:next w:val="SectionLevel2"/>
    <w:qFormat/>
    <w:pPr>
      <w:numPr>
        <w:ilvl w:val="1"/>
        <w:numId w:val="20"/>
      </w:numPr>
      <w:spacing w:before="240" w:after="240"/>
    </w:pPr>
    <w:rPr>
      <w:rFonts w:ascii="Arial" w:hAnsi="Arial"/>
      <w:color w:val="CC0033"/>
      <w:sz w:val="48"/>
      <w:szCs w:val="48"/>
      <w:lang w:val="en-GB" w:eastAsia="en-GB"/>
    </w:rPr>
  </w:style>
  <w:style w:type="paragraph" w:customStyle="1" w:styleId="SectionLevel2">
    <w:name w:val="Section Level 2"/>
    <w:next w:val="SectionLevel3"/>
    <w:qFormat/>
    <w:pPr>
      <w:keepNext/>
      <w:keepLines/>
      <w:numPr>
        <w:ilvl w:val="2"/>
        <w:numId w:val="20"/>
      </w:numPr>
      <w:spacing w:after="240"/>
    </w:pPr>
    <w:rPr>
      <w:rFonts w:ascii="Arial" w:hAnsi="Arial"/>
      <w:b/>
      <w:color w:val="CC0033"/>
      <w:sz w:val="28"/>
      <w:szCs w:val="48"/>
      <w:lang w:val="en-GB" w:eastAsia="en-GB"/>
    </w:rPr>
  </w:style>
  <w:style w:type="paragraph" w:customStyle="1" w:styleId="SectionLevel3">
    <w:name w:val="Section Level 3"/>
    <w:link w:val="SectionLevel3Char"/>
    <w:qFormat/>
    <w:pPr>
      <w:numPr>
        <w:ilvl w:val="3"/>
        <w:numId w:val="20"/>
      </w:numPr>
      <w:tabs>
        <w:tab w:val="clear" w:pos="142"/>
      </w:tabs>
      <w:spacing w:after="240"/>
      <w:ind w:left="720"/>
    </w:pPr>
    <w:rPr>
      <w:rFonts w:ascii="Arial" w:hAnsi="Arial"/>
      <w:color w:val="000000"/>
      <w:sz w:val="22"/>
      <w:szCs w:val="48"/>
      <w:lang w:val="en-GB" w:eastAsia="en-GB"/>
    </w:rPr>
  </w:style>
  <w:style w:type="paragraph" w:customStyle="1" w:styleId="SectionLevel4">
    <w:name w:val="Section Level 4"/>
    <w:qFormat/>
    <w:pPr>
      <w:numPr>
        <w:ilvl w:val="4"/>
        <w:numId w:val="20"/>
      </w:numPr>
      <w:spacing w:after="240"/>
    </w:pPr>
    <w:rPr>
      <w:rFonts w:ascii="Arial" w:hAnsi="Arial"/>
      <w:color w:val="000000"/>
      <w:sz w:val="22"/>
      <w:szCs w:val="48"/>
      <w:lang w:val="en-GB" w:eastAsia="en-GB"/>
    </w:rPr>
  </w:style>
  <w:style w:type="paragraph" w:customStyle="1" w:styleId="SectionNumber">
    <w:name w:val="Section Number"/>
    <w:next w:val="Sectionlevel1"/>
    <w:qFormat/>
    <w:pPr>
      <w:pageBreakBefore/>
      <w:numPr>
        <w:numId w:val="20"/>
      </w:numPr>
      <w:spacing w:after="240"/>
    </w:pPr>
    <w:rPr>
      <w:rFonts w:ascii="Arial" w:hAnsi="Arial"/>
      <w:b/>
      <w:color w:val="CC0033"/>
      <w:sz w:val="24"/>
      <w:szCs w:val="48"/>
      <w:lang w:val="en-GB" w:eastAsia="en-GB"/>
    </w:rPr>
  </w:style>
  <w:style w:type="character" w:customStyle="1" w:styleId="SectionLevel3Char">
    <w:name w:val="Section Level 3 Char"/>
    <w:basedOn w:val="DefaultParagraphFont"/>
    <w:link w:val="SectionLevel3"/>
    <w:locked/>
    <w:rPr>
      <w:rFonts w:ascii="Arial" w:hAnsi="Arial"/>
      <w:color w:val="000000"/>
      <w:sz w:val="22"/>
      <w:szCs w:val="48"/>
      <w:lang w:val="en-GB" w:eastAsia="en-GB"/>
    </w:rPr>
  </w:style>
  <w:style w:type="character" w:customStyle="1" w:styleId="CaptionChar">
    <w:name w:val="Caption Char"/>
    <w:link w:val="Caption"/>
    <w:qFormat/>
    <w:locked/>
    <w:rPr>
      <w:rFonts w:ascii="Arial" w:hAnsi="Arial"/>
      <w:b/>
      <w:bCs/>
      <w:color w:val="D2232A"/>
      <w:lang w:val="en-US"/>
    </w:rPr>
  </w:style>
  <w:style w:type="character" w:customStyle="1" w:styleId="CommentSubjectChar">
    <w:name w:val="Comment Subject Char"/>
    <w:basedOn w:val="DefaultParagraphFont"/>
    <w:link w:val="CommentSubject"/>
    <w:uiPriority w:val="99"/>
    <w:semiHidden/>
    <w:rsid w:val="000B688C"/>
    <w:rPr>
      <w:rFonts w:ascii="Arial" w:hAnsi="Arial"/>
      <w:b/>
      <w:bCs/>
      <w:lang w:val="en-US"/>
    </w:rPr>
  </w:style>
  <w:style w:type="paragraph" w:customStyle="1" w:styleId="Rvision1">
    <w:name w:val="Révision1"/>
    <w:hidden/>
    <w:uiPriority w:val="99"/>
    <w:semiHidden/>
    <w:qFormat/>
    <w:rPr>
      <w:rFonts w:ascii="Arial" w:hAnsi="Arial"/>
      <w:szCs w:val="24"/>
      <w:lang w:val="en-US" w:eastAsia="en-US"/>
    </w:rPr>
  </w:style>
  <w:style w:type="paragraph" w:customStyle="1" w:styleId="ListNumber2Level2">
    <w:name w:val="List Number 2 (Level 2)"/>
    <w:basedOn w:val="Normal"/>
    <w:qFormat/>
    <w:pPr>
      <w:numPr>
        <w:ilvl w:val="1"/>
        <w:numId w:val="8"/>
      </w:numPr>
      <w:spacing w:after="240"/>
      <w:jc w:val="both"/>
    </w:pPr>
    <w:rPr>
      <w:rFonts w:ascii="Times New Roman" w:hAnsi="Times New Roman"/>
      <w:sz w:val="24"/>
      <w:szCs w:val="20"/>
      <w:lang w:val="en-GB"/>
    </w:rPr>
  </w:style>
  <w:style w:type="paragraph" w:customStyle="1" w:styleId="ListNumber2Level3">
    <w:name w:val="List Number 2 (Level 3)"/>
    <w:basedOn w:val="Normal"/>
    <w:pPr>
      <w:numPr>
        <w:ilvl w:val="2"/>
        <w:numId w:val="8"/>
      </w:numPr>
      <w:spacing w:after="240"/>
      <w:jc w:val="both"/>
    </w:pPr>
    <w:rPr>
      <w:rFonts w:ascii="Times New Roman" w:hAnsi="Times New Roman"/>
      <w:sz w:val="24"/>
      <w:szCs w:val="20"/>
      <w:lang w:val="en-GB"/>
    </w:rPr>
  </w:style>
  <w:style w:type="paragraph" w:customStyle="1" w:styleId="ListNumber2Level4">
    <w:name w:val="List Number 2 (Level 4)"/>
    <w:basedOn w:val="Normal"/>
    <w:pPr>
      <w:numPr>
        <w:ilvl w:val="3"/>
        <w:numId w:val="8"/>
      </w:numPr>
      <w:spacing w:after="240"/>
      <w:ind w:left="3901" w:hanging="703"/>
      <w:jc w:val="both"/>
    </w:pPr>
    <w:rPr>
      <w:rFonts w:ascii="Times New Roman" w:hAnsi="Times New Roman"/>
      <w:sz w:val="24"/>
      <w:szCs w:val="20"/>
      <w:lang w:val="en-GB"/>
    </w:rPr>
  </w:style>
  <w:style w:type="paragraph" w:customStyle="1" w:styleId="Address">
    <w:name w:val="Address"/>
    <w:basedOn w:val="Normal"/>
    <w:rPr>
      <w:rFonts w:ascii="Times New Roman" w:hAnsi="Times New Roman"/>
      <w:sz w:val="24"/>
      <w:szCs w:val="20"/>
      <w:lang w:val="en-GB"/>
    </w:rPr>
  </w:style>
  <w:style w:type="paragraph" w:customStyle="1" w:styleId="AddressTL">
    <w:name w:val="AddressTL"/>
    <w:basedOn w:val="Normal"/>
    <w:next w:val="Normal"/>
    <w:pPr>
      <w:spacing w:after="720"/>
    </w:pPr>
    <w:rPr>
      <w:rFonts w:ascii="Times New Roman" w:hAnsi="Times New Roman"/>
      <w:sz w:val="24"/>
      <w:szCs w:val="20"/>
      <w:lang w:val="en-GB"/>
    </w:rPr>
  </w:style>
  <w:style w:type="character" w:customStyle="1" w:styleId="BodyTextChar">
    <w:name w:val="Body Text Char"/>
    <w:basedOn w:val="DefaultParagraphFont"/>
    <w:link w:val="BodyText"/>
    <w:rPr>
      <w:sz w:val="24"/>
      <w:lang w:val="en-GB"/>
    </w:rPr>
  </w:style>
  <w:style w:type="character" w:customStyle="1" w:styleId="BodyText2Char">
    <w:name w:val="Body Text 2 Char"/>
    <w:basedOn w:val="DefaultParagraphFont"/>
    <w:link w:val="BodyText2"/>
    <w:rPr>
      <w:sz w:val="24"/>
      <w:lang w:val="en-GB"/>
    </w:rPr>
  </w:style>
  <w:style w:type="character" w:customStyle="1" w:styleId="BodyText3Char">
    <w:name w:val="Body Text 3 Char"/>
    <w:basedOn w:val="DefaultParagraphFont"/>
    <w:link w:val="BodyText3"/>
    <w:rPr>
      <w:sz w:val="16"/>
      <w:lang w:val="en-GB"/>
    </w:rPr>
  </w:style>
  <w:style w:type="character" w:customStyle="1" w:styleId="BodyTextFirstIndentChar">
    <w:name w:val="Body Text First Indent Char"/>
    <w:basedOn w:val="BodyTextChar"/>
    <w:link w:val="BodyTextFirstIndent"/>
    <w:rPr>
      <w:sz w:val="24"/>
      <w:lang w:val="en-GB"/>
    </w:rPr>
  </w:style>
  <w:style w:type="character" w:customStyle="1" w:styleId="BodyTextIndentChar">
    <w:name w:val="Body Text Indent Char"/>
    <w:basedOn w:val="DefaultParagraphFont"/>
    <w:link w:val="BodyTextIndent"/>
    <w:rPr>
      <w:sz w:val="24"/>
      <w:lang w:val="en-GB"/>
    </w:rPr>
  </w:style>
  <w:style w:type="character" w:customStyle="1" w:styleId="BodyTextFirstIndent2Char">
    <w:name w:val="Body Text First Indent 2 Char"/>
    <w:basedOn w:val="BodyTextIndentChar"/>
    <w:link w:val="BodyTextFirstIndent2"/>
    <w:rPr>
      <w:sz w:val="24"/>
      <w:lang w:val="en-GB"/>
    </w:rPr>
  </w:style>
  <w:style w:type="character" w:customStyle="1" w:styleId="BodyTextIndent2Char">
    <w:name w:val="Body Text Indent 2 Char"/>
    <w:basedOn w:val="DefaultParagraphFont"/>
    <w:link w:val="BodyTextIndent2"/>
    <w:rPr>
      <w:sz w:val="24"/>
      <w:lang w:val="en-GB"/>
    </w:rPr>
  </w:style>
  <w:style w:type="character" w:customStyle="1" w:styleId="BodyTextIndent3Char">
    <w:name w:val="Body Text Indent 3 Char"/>
    <w:basedOn w:val="DefaultParagraphFont"/>
    <w:link w:val="BodyTextIndent3"/>
    <w:rPr>
      <w:sz w:val="16"/>
      <w:lang w:val="en-GB"/>
    </w:rPr>
  </w:style>
  <w:style w:type="paragraph" w:customStyle="1" w:styleId="ChapterTitle">
    <w:name w:val="ChapterTitle"/>
    <w:basedOn w:val="Normal"/>
    <w:next w:val="SectionTitle"/>
    <w:pPr>
      <w:keepNext/>
      <w:spacing w:after="480"/>
      <w:jc w:val="center"/>
    </w:pPr>
    <w:rPr>
      <w:rFonts w:ascii="Times New Roman" w:hAnsi="Times New Roman"/>
      <w:b/>
      <w:sz w:val="32"/>
      <w:szCs w:val="20"/>
      <w:lang w:val="en-GB"/>
    </w:rPr>
  </w:style>
  <w:style w:type="paragraph" w:customStyle="1" w:styleId="SectionTitle">
    <w:name w:val="SectionTitle"/>
    <w:basedOn w:val="Normal"/>
    <w:next w:val="Heading1"/>
    <w:pPr>
      <w:keepNext/>
      <w:spacing w:after="480"/>
      <w:jc w:val="center"/>
    </w:pPr>
    <w:rPr>
      <w:rFonts w:ascii="Times New Roman" w:hAnsi="Times New Roman"/>
      <w:b/>
      <w:smallCaps/>
      <w:sz w:val="28"/>
      <w:szCs w:val="20"/>
      <w:lang w:val="en-GB"/>
    </w:rPr>
  </w:style>
  <w:style w:type="character" w:customStyle="1" w:styleId="ClosingChar">
    <w:name w:val="Closing Char"/>
    <w:basedOn w:val="DefaultParagraphFont"/>
    <w:link w:val="Closing"/>
    <w:rPr>
      <w:sz w:val="24"/>
      <w:lang w:val="en-GB"/>
    </w:rPr>
  </w:style>
  <w:style w:type="character" w:customStyle="1" w:styleId="DateChar">
    <w:name w:val="Date Char"/>
    <w:basedOn w:val="DefaultParagraphFont"/>
    <w:link w:val="Date"/>
    <w:rPr>
      <w:sz w:val="24"/>
      <w:lang w:val="en-GB"/>
    </w:rPr>
  </w:style>
  <w:style w:type="character" w:customStyle="1" w:styleId="DocumentMapChar">
    <w:name w:val="Document Map Char"/>
    <w:basedOn w:val="DefaultParagraphFont"/>
    <w:link w:val="DocumentMap"/>
    <w:semiHidden/>
    <w:rPr>
      <w:rFonts w:ascii="Tahoma" w:hAnsi="Tahoma"/>
      <w:sz w:val="24"/>
      <w:shd w:val="clear" w:color="auto" w:fill="000080"/>
      <w:lang w:val="en-GB"/>
    </w:rPr>
  </w:style>
  <w:style w:type="paragraph" w:customStyle="1" w:styleId="DoubSign">
    <w:name w:val="DoubSign"/>
    <w:basedOn w:val="Normal"/>
    <w:next w:val="Enclosures"/>
    <w:pPr>
      <w:tabs>
        <w:tab w:val="left" w:pos="5103"/>
      </w:tabs>
      <w:spacing w:before="1200"/>
    </w:pPr>
    <w:rPr>
      <w:rFonts w:ascii="Times New Roman" w:hAnsi="Times New Roman"/>
      <w:sz w:val="24"/>
      <w:szCs w:val="20"/>
      <w:lang w:val="en-GB"/>
    </w:rPr>
  </w:style>
  <w:style w:type="character" w:customStyle="1" w:styleId="EndnoteTextChar">
    <w:name w:val="Endnote Text Char"/>
    <w:basedOn w:val="DefaultParagraphFont"/>
    <w:link w:val="EndnoteText"/>
    <w:uiPriority w:val="99"/>
    <w:semiHidden/>
    <w:rPr>
      <w:lang w:val="en-GB"/>
    </w:rPr>
  </w:style>
  <w:style w:type="character" w:customStyle="1" w:styleId="MacroTextChar">
    <w:name w:val="Macro Text Char"/>
    <w:basedOn w:val="DefaultParagraphFont"/>
    <w:link w:val="MacroText"/>
    <w:semiHidden/>
    <w:rPr>
      <w:rFonts w:ascii="Courier New" w:hAnsi="Courier New"/>
      <w:lang w:val="en-GB"/>
    </w:rPr>
  </w:style>
  <w:style w:type="character" w:customStyle="1" w:styleId="MessageHeaderChar">
    <w:name w:val="Message Header Char"/>
    <w:basedOn w:val="DefaultParagraphFont"/>
    <w:link w:val="MessageHeader"/>
    <w:rPr>
      <w:rFonts w:ascii="Arial" w:hAnsi="Arial"/>
      <w:sz w:val="24"/>
      <w:shd w:val="pct20" w:color="auto" w:fill="auto"/>
      <w:lang w:val="en-GB"/>
    </w:rPr>
  </w:style>
  <w:style w:type="character" w:customStyle="1" w:styleId="NoteHeadingChar">
    <w:name w:val="Note Heading Char"/>
    <w:basedOn w:val="DefaultParagraphFont"/>
    <w:link w:val="NoteHeading"/>
    <w:rPr>
      <w:sz w:val="24"/>
      <w:lang w:val="en-GB"/>
    </w:rPr>
  </w:style>
  <w:style w:type="paragraph" w:customStyle="1" w:styleId="NoteHead">
    <w:name w:val="NoteHead"/>
    <w:basedOn w:val="Normal"/>
    <w:next w:val="Normal"/>
    <w:pPr>
      <w:spacing w:before="720" w:after="720"/>
      <w:jc w:val="center"/>
    </w:pPr>
    <w:rPr>
      <w:rFonts w:ascii="Times New Roman" w:hAnsi="Times New Roman"/>
      <w:b/>
      <w:smallCaps/>
      <w:sz w:val="24"/>
      <w:szCs w:val="20"/>
      <w:lang w:val="en-GB"/>
    </w:rPr>
  </w:style>
  <w:style w:type="paragraph" w:customStyle="1" w:styleId="NoteList">
    <w:name w:val="NoteList"/>
    <w:basedOn w:val="Normal"/>
    <w:next w:val="Normal"/>
    <w:pPr>
      <w:tabs>
        <w:tab w:val="left" w:pos="5823"/>
      </w:tabs>
      <w:spacing w:before="720" w:after="720"/>
      <w:ind w:left="5104" w:hanging="3119"/>
    </w:pPr>
    <w:rPr>
      <w:rFonts w:ascii="Times New Roman" w:hAnsi="Times New Roman"/>
      <w:b/>
      <w:smallCaps/>
      <w:sz w:val="24"/>
      <w:szCs w:val="20"/>
      <w:lang w:val="en-GB"/>
    </w:rPr>
  </w:style>
  <w:style w:type="paragraph" w:customStyle="1" w:styleId="NumPar1">
    <w:name w:val="NumPar 1"/>
    <w:basedOn w:val="Heading1"/>
    <w:next w:val="Normal"/>
    <w:pPr>
      <w:keepNext w:val="0"/>
      <w:pageBreakBefore w:val="0"/>
      <w:tabs>
        <w:tab w:val="clear" w:pos="432"/>
        <w:tab w:val="left" w:pos="480"/>
      </w:tabs>
      <w:spacing w:before="0"/>
      <w:ind w:left="480" w:hanging="480"/>
      <w:jc w:val="both"/>
      <w:outlineLvl w:val="9"/>
    </w:pPr>
    <w:rPr>
      <w:rFonts w:ascii="Times New Roman" w:hAnsi="Times New Roman" w:cs="Times New Roman"/>
      <w:b w:val="0"/>
      <w:bCs w:val="0"/>
      <w:caps w:val="0"/>
      <w:color w:val="auto"/>
      <w:kern w:val="0"/>
      <w:sz w:val="24"/>
      <w:szCs w:val="20"/>
    </w:rPr>
  </w:style>
  <w:style w:type="paragraph" w:customStyle="1" w:styleId="NumPar2">
    <w:name w:val="NumPar 2"/>
    <w:basedOn w:val="Heading2"/>
    <w:next w:val="Normal"/>
    <w:pPr>
      <w:keepNext w:val="0"/>
      <w:tabs>
        <w:tab w:val="left" w:pos="1200"/>
      </w:tabs>
      <w:spacing w:before="0"/>
      <w:ind w:left="1200" w:hanging="720"/>
      <w:jc w:val="both"/>
      <w:outlineLvl w:val="9"/>
    </w:pPr>
    <w:rPr>
      <w:rFonts w:ascii="Times New Roman" w:hAnsi="Times New Roman" w:cs="Times New Roman"/>
      <w:b w:val="0"/>
      <w:bCs w:val="0"/>
      <w:iCs w:val="0"/>
      <w:caps w:val="0"/>
      <w:sz w:val="24"/>
      <w:szCs w:val="20"/>
      <w:lang w:val="en-GB"/>
    </w:rPr>
  </w:style>
  <w:style w:type="paragraph" w:customStyle="1" w:styleId="NumPar3">
    <w:name w:val="NumPar 3"/>
    <w:basedOn w:val="Heading3"/>
    <w:next w:val="Normal"/>
    <w:qFormat/>
    <w:pPr>
      <w:keepNext w:val="0"/>
      <w:tabs>
        <w:tab w:val="clear" w:pos="720"/>
        <w:tab w:val="left" w:pos="1920"/>
      </w:tabs>
      <w:spacing w:before="0" w:after="240"/>
      <w:ind w:left="1920"/>
      <w:jc w:val="both"/>
      <w:outlineLvl w:val="9"/>
    </w:pPr>
    <w:rPr>
      <w:rFonts w:ascii="Times New Roman" w:hAnsi="Times New Roman" w:cs="Times New Roman"/>
      <w:b w:val="0"/>
      <w:bCs w:val="0"/>
      <w:sz w:val="24"/>
      <w:szCs w:val="20"/>
      <w:lang w:val="en-GB"/>
    </w:rPr>
  </w:style>
  <w:style w:type="paragraph" w:customStyle="1" w:styleId="NumPar4">
    <w:name w:val="NumPar 4"/>
    <w:basedOn w:val="Heading4"/>
    <w:next w:val="Normal"/>
    <w:pPr>
      <w:tabs>
        <w:tab w:val="left" w:pos="1920"/>
      </w:tabs>
      <w:spacing w:before="0" w:after="240"/>
      <w:ind w:left="1920" w:hanging="720"/>
      <w:jc w:val="both"/>
      <w:outlineLvl w:val="9"/>
    </w:pPr>
    <w:rPr>
      <w:rFonts w:ascii="Times New Roman" w:hAnsi="Times New Roman" w:cs="Times New Roman"/>
      <w:bCs w:val="0"/>
      <w:i w:val="0"/>
      <w:color w:val="auto"/>
      <w:sz w:val="24"/>
      <w:szCs w:val="20"/>
      <w:lang w:val="en-GB"/>
    </w:rPr>
  </w:style>
  <w:style w:type="paragraph" w:customStyle="1" w:styleId="PartTitle">
    <w:name w:val="PartTitle"/>
    <w:basedOn w:val="Normal"/>
    <w:next w:val="ChapterTitle"/>
    <w:pPr>
      <w:keepNext/>
      <w:pageBreakBefore/>
      <w:spacing w:after="480"/>
      <w:jc w:val="center"/>
    </w:pPr>
    <w:rPr>
      <w:rFonts w:ascii="Times New Roman" w:hAnsi="Times New Roman"/>
      <w:b/>
      <w:sz w:val="36"/>
      <w:szCs w:val="20"/>
      <w:lang w:val="en-GB"/>
    </w:rPr>
  </w:style>
  <w:style w:type="character" w:customStyle="1" w:styleId="PlainTextChar">
    <w:name w:val="Plain Text Char"/>
    <w:basedOn w:val="DefaultParagraphFont"/>
    <w:link w:val="PlainText"/>
    <w:rPr>
      <w:rFonts w:ascii="Courier New" w:hAnsi="Courier New"/>
      <w:lang w:val="en-GB"/>
    </w:rPr>
  </w:style>
  <w:style w:type="character" w:customStyle="1" w:styleId="SalutationChar">
    <w:name w:val="Salutation Char"/>
    <w:basedOn w:val="DefaultParagraphFont"/>
    <w:link w:val="Salutation"/>
    <w:rPr>
      <w:sz w:val="24"/>
      <w:lang w:val="en-GB"/>
    </w:rPr>
  </w:style>
  <w:style w:type="character" w:customStyle="1" w:styleId="SignatureChar">
    <w:name w:val="Signature Char"/>
    <w:basedOn w:val="DefaultParagraphFont"/>
    <w:link w:val="Signature"/>
    <w:rPr>
      <w:sz w:val="24"/>
      <w:lang w:val="en-GB"/>
    </w:rPr>
  </w:style>
  <w:style w:type="paragraph" w:customStyle="1" w:styleId="ListDash">
    <w:name w:val="List Dash"/>
    <w:basedOn w:val="Normal"/>
    <w:pPr>
      <w:numPr>
        <w:numId w:val="21"/>
      </w:numPr>
      <w:spacing w:after="240"/>
      <w:jc w:val="both"/>
    </w:pPr>
    <w:rPr>
      <w:rFonts w:ascii="Times New Roman" w:hAnsi="Times New Roman"/>
      <w:sz w:val="24"/>
      <w:szCs w:val="20"/>
      <w:lang w:val="en-GB"/>
    </w:rPr>
  </w:style>
  <w:style w:type="paragraph" w:customStyle="1" w:styleId="ListDash2">
    <w:name w:val="List Dash 2"/>
    <w:basedOn w:val="Normal"/>
    <w:rsid w:val="004351C2"/>
    <w:pPr>
      <w:numPr>
        <w:numId w:val="22"/>
      </w:numPr>
      <w:spacing w:after="240"/>
      <w:jc w:val="both"/>
    </w:pPr>
    <w:rPr>
      <w:rFonts w:ascii="Times New Roman" w:hAnsi="Times New Roman"/>
      <w:sz w:val="24"/>
      <w:szCs w:val="20"/>
      <w:lang w:val="en-GB"/>
    </w:rPr>
  </w:style>
  <w:style w:type="paragraph" w:customStyle="1" w:styleId="ListDash3">
    <w:name w:val="List Dash 3"/>
    <w:basedOn w:val="Normal"/>
    <w:rsid w:val="004351C2"/>
    <w:pPr>
      <w:numPr>
        <w:numId w:val="23"/>
      </w:numPr>
      <w:spacing w:after="240"/>
      <w:jc w:val="both"/>
    </w:pPr>
    <w:rPr>
      <w:rFonts w:ascii="Times New Roman" w:hAnsi="Times New Roman"/>
      <w:sz w:val="24"/>
      <w:szCs w:val="20"/>
      <w:lang w:val="en-GB"/>
    </w:rPr>
  </w:style>
  <w:style w:type="paragraph" w:customStyle="1" w:styleId="ListDash4">
    <w:name w:val="List Dash 4"/>
    <w:basedOn w:val="Normal"/>
    <w:rsid w:val="004351C2"/>
    <w:pPr>
      <w:numPr>
        <w:numId w:val="24"/>
      </w:numPr>
      <w:spacing w:after="240"/>
      <w:jc w:val="both"/>
    </w:pPr>
    <w:rPr>
      <w:rFonts w:ascii="Times New Roman" w:hAnsi="Times New Roman"/>
      <w:sz w:val="24"/>
      <w:szCs w:val="20"/>
      <w:lang w:val="en-GB"/>
    </w:rPr>
  </w:style>
  <w:style w:type="paragraph" w:customStyle="1" w:styleId="ListNumberLevel2">
    <w:name w:val="List Number (Level 2)"/>
    <w:basedOn w:val="Normal"/>
    <w:qFormat/>
    <w:pPr>
      <w:numPr>
        <w:ilvl w:val="1"/>
        <w:numId w:val="7"/>
      </w:numPr>
      <w:spacing w:after="240"/>
      <w:jc w:val="both"/>
    </w:pPr>
    <w:rPr>
      <w:rFonts w:ascii="Times New Roman" w:hAnsi="Times New Roman"/>
      <w:sz w:val="24"/>
      <w:szCs w:val="20"/>
      <w:lang w:val="en-GB"/>
    </w:rPr>
  </w:style>
  <w:style w:type="paragraph" w:customStyle="1" w:styleId="ListNumberLevel3">
    <w:name w:val="List Number (Level 3)"/>
    <w:basedOn w:val="Normal"/>
    <w:pPr>
      <w:numPr>
        <w:ilvl w:val="2"/>
        <w:numId w:val="7"/>
      </w:numPr>
      <w:spacing w:after="240"/>
      <w:jc w:val="both"/>
    </w:pPr>
    <w:rPr>
      <w:rFonts w:ascii="Times New Roman" w:hAnsi="Times New Roman"/>
      <w:sz w:val="24"/>
      <w:szCs w:val="20"/>
      <w:lang w:val="en-GB"/>
    </w:rPr>
  </w:style>
  <w:style w:type="paragraph" w:customStyle="1" w:styleId="ListNumberLevel4">
    <w:name w:val="List Number (Level 4)"/>
    <w:basedOn w:val="Normal"/>
    <w:pPr>
      <w:numPr>
        <w:ilvl w:val="3"/>
        <w:numId w:val="7"/>
      </w:numPr>
      <w:spacing w:after="240"/>
      <w:jc w:val="both"/>
    </w:pPr>
    <w:rPr>
      <w:rFonts w:ascii="Times New Roman" w:hAnsi="Times New Roman"/>
      <w:sz w:val="24"/>
      <w:szCs w:val="20"/>
      <w:lang w:val="en-GB"/>
    </w:rPr>
  </w:style>
  <w:style w:type="paragraph" w:customStyle="1" w:styleId="ListNumber1">
    <w:name w:val="List Number 1"/>
    <w:basedOn w:val="Normal"/>
    <w:qFormat/>
    <w:rsid w:val="004351C2"/>
    <w:pPr>
      <w:numPr>
        <w:numId w:val="25"/>
      </w:numPr>
      <w:spacing w:after="240"/>
      <w:jc w:val="both"/>
    </w:pPr>
    <w:rPr>
      <w:rFonts w:ascii="Times New Roman" w:hAnsi="Times New Roman"/>
      <w:sz w:val="24"/>
      <w:szCs w:val="20"/>
      <w:lang w:val="en-GB"/>
    </w:rPr>
  </w:style>
  <w:style w:type="paragraph" w:customStyle="1" w:styleId="ListNumber1Level2">
    <w:name w:val="List Number 1 (Level 2)"/>
    <w:basedOn w:val="Normal"/>
    <w:qFormat/>
    <w:rsid w:val="004351C2"/>
    <w:pPr>
      <w:numPr>
        <w:ilvl w:val="1"/>
        <w:numId w:val="25"/>
      </w:numPr>
      <w:spacing w:after="240"/>
      <w:jc w:val="both"/>
    </w:pPr>
    <w:rPr>
      <w:rFonts w:ascii="Times New Roman" w:hAnsi="Times New Roman"/>
      <w:sz w:val="24"/>
      <w:szCs w:val="20"/>
      <w:lang w:val="en-GB"/>
    </w:rPr>
  </w:style>
  <w:style w:type="paragraph" w:customStyle="1" w:styleId="ListNumber1Level3">
    <w:name w:val="List Number 1 (Level 3)"/>
    <w:basedOn w:val="Normal"/>
    <w:rsid w:val="004351C2"/>
    <w:pPr>
      <w:numPr>
        <w:ilvl w:val="2"/>
        <w:numId w:val="25"/>
      </w:numPr>
      <w:spacing w:after="240"/>
      <w:jc w:val="both"/>
    </w:pPr>
    <w:rPr>
      <w:rFonts w:ascii="Times New Roman" w:hAnsi="Times New Roman"/>
      <w:sz w:val="24"/>
      <w:szCs w:val="20"/>
      <w:lang w:val="en-GB"/>
    </w:rPr>
  </w:style>
  <w:style w:type="paragraph" w:customStyle="1" w:styleId="ListNumber1Level4">
    <w:name w:val="List Number 1 (Level 4)"/>
    <w:basedOn w:val="Normal"/>
    <w:qFormat/>
    <w:rsid w:val="004351C2"/>
    <w:pPr>
      <w:numPr>
        <w:ilvl w:val="3"/>
        <w:numId w:val="25"/>
      </w:numPr>
      <w:spacing w:after="240"/>
      <w:jc w:val="both"/>
    </w:pPr>
    <w:rPr>
      <w:rFonts w:ascii="Times New Roman" w:hAnsi="Times New Roman"/>
      <w:sz w:val="24"/>
      <w:szCs w:val="20"/>
      <w:lang w:val="en-GB"/>
    </w:rPr>
  </w:style>
  <w:style w:type="paragraph" w:customStyle="1" w:styleId="ListNumber3Level2">
    <w:name w:val="List Number 3 (Level 2)"/>
    <w:basedOn w:val="Normal"/>
    <w:rsid w:val="004351C2"/>
    <w:pPr>
      <w:numPr>
        <w:ilvl w:val="1"/>
        <w:numId w:val="9"/>
      </w:numPr>
      <w:spacing w:after="240"/>
      <w:jc w:val="both"/>
    </w:pPr>
    <w:rPr>
      <w:rFonts w:ascii="Times New Roman" w:hAnsi="Times New Roman"/>
      <w:sz w:val="24"/>
      <w:szCs w:val="20"/>
      <w:lang w:val="en-GB"/>
    </w:rPr>
  </w:style>
  <w:style w:type="paragraph" w:customStyle="1" w:styleId="ListNumber3Level3">
    <w:name w:val="List Number 3 (Level 3)"/>
    <w:basedOn w:val="Normal"/>
    <w:rsid w:val="004351C2"/>
    <w:pPr>
      <w:numPr>
        <w:ilvl w:val="2"/>
        <w:numId w:val="9"/>
      </w:numPr>
      <w:spacing w:after="240"/>
      <w:jc w:val="both"/>
    </w:pPr>
    <w:rPr>
      <w:rFonts w:ascii="Times New Roman" w:hAnsi="Times New Roman"/>
      <w:sz w:val="24"/>
      <w:szCs w:val="20"/>
      <w:lang w:val="en-GB"/>
    </w:rPr>
  </w:style>
  <w:style w:type="paragraph" w:customStyle="1" w:styleId="ListNumber3Level4">
    <w:name w:val="List Number 3 (Level 4)"/>
    <w:basedOn w:val="Normal"/>
    <w:rsid w:val="004351C2"/>
    <w:pPr>
      <w:numPr>
        <w:ilvl w:val="3"/>
        <w:numId w:val="9"/>
      </w:numPr>
      <w:spacing w:after="240"/>
      <w:jc w:val="both"/>
    </w:pPr>
    <w:rPr>
      <w:rFonts w:ascii="Times New Roman" w:hAnsi="Times New Roman"/>
      <w:sz w:val="24"/>
      <w:szCs w:val="20"/>
      <w:lang w:val="en-GB"/>
    </w:rPr>
  </w:style>
  <w:style w:type="paragraph" w:customStyle="1" w:styleId="ListNumber4Level2">
    <w:name w:val="List Number 4 (Level 2)"/>
    <w:basedOn w:val="Normal"/>
    <w:rsid w:val="004351C2"/>
    <w:pPr>
      <w:numPr>
        <w:ilvl w:val="1"/>
        <w:numId w:val="10"/>
      </w:numPr>
      <w:spacing w:after="240"/>
      <w:jc w:val="both"/>
    </w:pPr>
    <w:rPr>
      <w:rFonts w:ascii="Times New Roman" w:hAnsi="Times New Roman"/>
      <w:sz w:val="24"/>
      <w:szCs w:val="20"/>
      <w:lang w:val="en-GB"/>
    </w:rPr>
  </w:style>
  <w:style w:type="paragraph" w:customStyle="1" w:styleId="ListNumber4Level3">
    <w:name w:val="List Number 4 (Level 3)"/>
    <w:basedOn w:val="Normal"/>
    <w:qFormat/>
    <w:rsid w:val="004351C2"/>
    <w:pPr>
      <w:numPr>
        <w:ilvl w:val="2"/>
        <w:numId w:val="10"/>
      </w:numPr>
      <w:spacing w:after="240"/>
      <w:jc w:val="both"/>
    </w:pPr>
    <w:rPr>
      <w:rFonts w:ascii="Times New Roman" w:hAnsi="Times New Roman"/>
      <w:sz w:val="24"/>
      <w:szCs w:val="20"/>
      <w:lang w:val="en-GB"/>
    </w:rPr>
  </w:style>
  <w:style w:type="paragraph" w:customStyle="1" w:styleId="ListNumber4Level4">
    <w:name w:val="List Number 4 (Level 4)"/>
    <w:basedOn w:val="Normal"/>
    <w:rsid w:val="004351C2"/>
    <w:pPr>
      <w:numPr>
        <w:ilvl w:val="3"/>
        <w:numId w:val="10"/>
      </w:numPr>
      <w:spacing w:after="240"/>
      <w:jc w:val="both"/>
    </w:pPr>
    <w:rPr>
      <w:rFonts w:ascii="Times New Roman" w:hAnsi="Times New Roman"/>
      <w:sz w:val="24"/>
      <w:szCs w:val="20"/>
      <w:lang w:val="en-GB"/>
    </w:rPr>
  </w:style>
  <w:style w:type="paragraph" w:customStyle="1" w:styleId="En-ttedetabledesmatires1">
    <w:name w:val="En-tête de table des matières1"/>
    <w:basedOn w:val="Normal"/>
    <w:next w:val="Normal"/>
    <w:qFormat/>
    <w:pPr>
      <w:keepNext/>
      <w:spacing w:before="240" w:after="240"/>
      <w:jc w:val="center"/>
    </w:pPr>
    <w:rPr>
      <w:rFonts w:ascii="Times New Roman" w:hAnsi="Times New Roman"/>
      <w:b/>
      <w:sz w:val="24"/>
      <w:szCs w:val="20"/>
      <w:lang w:val="en-GB"/>
    </w:rPr>
  </w:style>
  <w:style w:type="paragraph" w:customStyle="1" w:styleId="Contact">
    <w:name w:val="Contact"/>
    <w:basedOn w:val="Normal"/>
    <w:next w:val="Normal"/>
    <w:qFormat/>
    <w:pPr>
      <w:spacing w:after="480"/>
      <w:ind w:left="567" w:hanging="567"/>
    </w:pPr>
    <w:rPr>
      <w:rFonts w:ascii="Times New Roman" w:hAnsi="Times New Roman"/>
      <w:sz w:val="24"/>
      <w:szCs w:val="20"/>
      <w:lang w:val="en-GB"/>
    </w:rPr>
  </w:style>
  <w:style w:type="paragraph" w:customStyle="1" w:styleId="Designator">
    <w:name w:val="Designator"/>
    <w:basedOn w:val="Normal"/>
    <w:pPr>
      <w:jc w:val="center"/>
    </w:pPr>
    <w:rPr>
      <w:rFonts w:ascii="Times New Roman" w:hAnsi="Times New Roman"/>
      <w:b/>
      <w:caps/>
      <w:sz w:val="32"/>
      <w:szCs w:val="20"/>
      <w:lang w:val="en-GB"/>
    </w:rPr>
  </w:style>
  <w:style w:type="paragraph" w:customStyle="1" w:styleId="Releasable">
    <w:name w:val="Releasable"/>
    <w:basedOn w:val="Normal"/>
    <w:qFormat/>
    <w:pPr>
      <w:jc w:val="center"/>
    </w:pPr>
    <w:rPr>
      <w:rFonts w:ascii="Times New Roman" w:hAnsi="Times New Roman"/>
      <w:b/>
      <w:caps/>
      <w:sz w:val="32"/>
      <w:szCs w:val="20"/>
      <w:lang w:val="de-DE"/>
    </w:rPr>
  </w:style>
  <w:style w:type="paragraph" w:customStyle="1" w:styleId="RUE">
    <w:name w:val="RUE"/>
    <w:basedOn w:val="Normal"/>
    <w:pPr>
      <w:jc w:val="center"/>
    </w:pPr>
    <w:rPr>
      <w:rFonts w:ascii="Times New Roman" w:hAnsi="Times New Roman"/>
      <w:b/>
      <w:caps/>
      <w:sz w:val="32"/>
      <w:szCs w:val="20"/>
      <w:bdr w:val="single" w:sz="18" w:space="0" w:color="auto"/>
      <w:lang w:val="de-DE"/>
    </w:rPr>
  </w:style>
  <w:style w:type="paragraph" w:customStyle="1" w:styleId="ConfidentialUE">
    <w:name w:val="Confidential UE"/>
    <w:basedOn w:val="Normal"/>
    <w:pPr>
      <w:jc w:val="center"/>
    </w:pPr>
    <w:rPr>
      <w:rFonts w:ascii="Times New Roman" w:hAnsi="Times New Roman"/>
      <w:b/>
      <w:caps/>
      <w:sz w:val="32"/>
      <w:szCs w:val="20"/>
      <w:bdr w:val="single" w:sz="18" w:space="0" w:color="auto"/>
      <w:lang w:val="en-GB"/>
    </w:rPr>
  </w:style>
  <w:style w:type="paragraph" w:customStyle="1" w:styleId="SecretUE">
    <w:name w:val="Secret UE"/>
    <w:basedOn w:val="Normal"/>
    <w:qFormat/>
    <w:pPr>
      <w:jc w:val="center"/>
    </w:pPr>
    <w:rPr>
      <w:rFonts w:ascii="Times New Roman" w:hAnsi="Times New Roman"/>
      <w:b/>
      <w:caps/>
      <w:color w:val="FF0000"/>
      <w:sz w:val="32"/>
      <w:szCs w:val="20"/>
      <w:bdr w:val="single" w:sz="18" w:space="0" w:color="FF0000"/>
      <w:lang w:val="en-GB"/>
    </w:rPr>
  </w:style>
  <w:style w:type="paragraph" w:customStyle="1" w:styleId="LegalNumPar">
    <w:name w:val="LegalNumPar"/>
    <w:basedOn w:val="Normal"/>
    <w:pPr>
      <w:numPr>
        <w:numId w:val="26"/>
      </w:numPr>
      <w:tabs>
        <w:tab w:val="left" w:pos="360"/>
      </w:tabs>
      <w:spacing w:after="240" w:line="360" w:lineRule="auto"/>
      <w:ind w:left="0" w:firstLine="0"/>
    </w:pPr>
    <w:rPr>
      <w:rFonts w:ascii="Times New Roman" w:eastAsia="Calibri" w:hAnsi="Times New Roman"/>
      <w:sz w:val="24"/>
      <w:szCs w:val="22"/>
      <w:lang w:val="en-GB"/>
    </w:rPr>
  </w:style>
  <w:style w:type="paragraph" w:customStyle="1" w:styleId="LegalNumPar2">
    <w:name w:val="LegalNumPar2"/>
    <w:basedOn w:val="Normal"/>
    <w:pPr>
      <w:numPr>
        <w:ilvl w:val="1"/>
        <w:numId w:val="26"/>
      </w:numPr>
      <w:tabs>
        <w:tab w:val="left" w:pos="360"/>
      </w:tabs>
      <w:spacing w:after="240" w:line="360" w:lineRule="auto"/>
      <w:ind w:left="952" w:hanging="476"/>
    </w:pPr>
    <w:rPr>
      <w:rFonts w:ascii="Times New Roman" w:eastAsia="Calibri" w:hAnsi="Times New Roman"/>
      <w:sz w:val="24"/>
      <w:szCs w:val="22"/>
      <w:lang w:val="en-GB"/>
    </w:rPr>
  </w:style>
  <w:style w:type="paragraph" w:customStyle="1" w:styleId="LegalNumPar3">
    <w:name w:val="LegalNumPar3"/>
    <w:basedOn w:val="Normal"/>
    <w:pPr>
      <w:numPr>
        <w:ilvl w:val="2"/>
        <w:numId w:val="26"/>
      </w:numPr>
      <w:tabs>
        <w:tab w:val="left" w:pos="360"/>
      </w:tabs>
      <w:spacing w:after="240" w:line="360" w:lineRule="auto"/>
      <w:ind w:left="0" w:firstLine="0"/>
    </w:pPr>
    <w:rPr>
      <w:rFonts w:ascii="Times New Roman" w:eastAsia="Calibri" w:hAnsi="Times New Roman"/>
      <w:sz w:val="24"/>
      <w:szCs w:val="22"/>
      <w:lang w:val="en-GB"/>
    </w:rPr>
  </w:style>
  <w:style w:type="paragraph" w:customStyle="1" w:styleId="CarCar">
    <w:name w:val="Car Car"/>
    <w:basedOn w:val="Normal"/>
    <w:pPr>
      <w:tabs>
        <w:tab w:val="left" w:pos="540"/>
        <w:tab w:val="left" w:pos="1260"/>
        <w:tab w:val="left" w:pos="1800"/>
      </w:tabs>
      <w:spacing w:before="240" w:after="160" w:line="240" w:lineRule="exact"/>
    </w:pPr>
    <w:rPr>
      <w:rFonts w:ascii="Verdana" w:hAnsi="Verdana"/>
      <w:sz w:val="24"/>
      <w:szCs w:val="20"/>
    </w:rPr>
  </w:style>
  <w:style w:type="character" w:customStyle="1" w:styleId="Marker2">
    <w:name w:val="Marker2"/>
    <w:basedOn w:val="DefaultParagraphFont"/>
    <w:rPr>
      <w:color w:val="FF0000"/>
      <w:shd w:val="clear" w:color="auto" w:fill="auto"/>
    </w:rPr>
  </w:style>
  <w:style w:type="paragraph" w:customStyle="1" w:styleId="Bullet0">
    <w:name w:val="Bullet 0"/>
    <w:basedOn w:val="Normal"/>
    <w:pPr>
      <w:numPr>
        <w:numId w:val="27"/>
      </w:numPr>
      <w:tabs>
        <w:tab w:val="clear" w:pos="850"/>
        <w:tab w:val="left" w:pos="360"/>
      </w:tabs>
      <w:spacing w:before="120" w:after="120"/>
      <w:ind w:left="0" w:firstLine="0"/>
      <w:jc w:val="both"/>
    </w:pPr>
    <w:rPr>
      <w:rFonts w:ascii="Times New Roman" w:eastAsia="Calibri" w:hAnsi="Times New Roman"/>
      <w:sz w:val="24"/>
      <w:szCs w:val="22"/>
      <w:lang w:val="en-GB"/>
    </w:rPr>
  </w:style>
  <w:style w:type="paragraph" w:customStyle="1" w:styleId="Datedadoption">
    <w:name w:val="Date d'adoption"/>
    <w:basedOn w:val="Normal"/>
    <w:next w:val="Normal"/>
    <w:pPr>
      <w:spacing w:before="360"/>
      <w:jc w:val="center"/>
    </w:pPr>
    <w:rPr>
      <w:rFonts w:ascii="Times New Roman" w:eastAsia="Calibri" w:hAnsi="Times New Roman"/>
      <w:b/>
      <w:sz w:val="24"/>
      <w:szCs w:val="22"/>
      <w:lang w:val="en-GB"/>
    </w:rPr>
  </w:style>
  <w:style w:type="paragraph" w:customStyle="1" w:styleId="Fait">
    <w:name w:val="Fait à"/>
    <w:basedOn w:val="Normal"/>
    <w:next w:val="Institutionquisigne"/>
    <w:qFormat/>
    <w:pPr>
      <w:keepNext/>
      <w:spacing w:before="120"/>
      <w:jc w:val="both"/>
    </w:pPr>
    <w:rPr>
      <w:rFonts w:ascii="Times New Roman" w:eastAsia="Calibri" w:hAnsi="Times New Roman"/>
      <w:sz w:val="24"/>
      <w:szCs w:val="22"/>
      <w:lang w:val="en-GB"/>
    </w:rPr>
  </w:style>
  <w:style w:type="paragraph" w:customStyle="1" w:styleId="Institutionquisigne">
    <w:name w:val="Institution qui signe"/>
    <w:basedOn w:val="Normal"/>
    <w:next w:val="Personnequisigne"/>
    <w:pPr>
      <w:keepNext/>
      <w:tabs>
        <w:tab w:val="left" w:pos="4252"/>
      </w:tabs>
      <w:spacing w:before="720"/>
      <w:jc w:val="both"/>
    </w:pPr>
    <w:rPr>
      <w:rFonts w:ascii="Times New Roman" w:eastAsia="Calibri" w:hAnsi="Times New Roman"/>
      <w:i/>
      <w:sz w:val="24"/>
      <w:szCs w:val="22"/>
      <w:lang w:val="en-GB"/>
    </w:rPr>
  </w:style>
  <w:style w:type="paragraph" w:customStyle="1" w:styleId="Personnequisigne">
    <w:name w:val="Personne qui signe"/>
    <w:basedOn w:val="Normal"/>
    <w:next w:val="Institutionquisigne"/>
    <w:pPr>
      <w:tabs>
        <w:tab w:val="left" w:pos="4252"/>
      </w:tabs>
    </w:pPr>
    <w:rPr>
      <w:rFonts w:ascii="Times New Roman" w:eastAsia="Calibri" w:hAnsi="Times New Roman"/>
      <w:i/>
      <w:sz w:val="24"/>
      <w:szCs w:val="22"/>
      <w:lang w:val="en-GB"/>
    </w:rPr>
  </w:style>
  <w:style w:type="paragraph" w:customStyle="1" w:styleId="Formuledadoption">
    <w:name w:val="Formule d'adoption"/>
    <w:basedOn w:val="Normal"/>
    <w:next w:val="Normal"/>
    <w:qFormat/>
    <w:pPr>
      <w:keepNext/>
      <w:spacing w:before="120" w:after="120"/>
      <w:jc w:val="both"/>
    </w:pPr>
    <w:rPr>
      <w:rFonts w:ascii="Times New Roman" w:eastAsia="Calibri" w:hAnsi="Times New Roman"/>
      <w:sz w:val="24"/>
      <w:szCs w:val="22"/>
      <w:lang w:val="en-GB"/>
    </w:rPr>
  </w:style>
  <w:style w:type="paragraph" w:customStyle="1" w:styleId="Institutionquiagit">
    <w:name w:val="Institution qui agit"/>
    <w:basedOn w:val="Normal"/>
    <w:next w:val="Normal"/>
    <w:pPr>
      <w:keepNext/>
      <w:spacing w:before="600" w:after="120"/>
      <w:jc w:val="both"/>
    </w:pPr>
    <w:rPr>
      <w:rFonts w:ascii="Times New Roman" w:eastAsia="Calibri" w:hAnsi="Times New Roman"/>
      <w:sz w:val="24"/>
      <w:szCs w:val="22"/>
      <w:lang w:val="en-GB"/>
    </w:rPr>
  </w:style>
  <w:style w:type="paragraph" w:customStyle="1" w:styleId="ManualConsidrant">
    <w:name w:val="Manual Considérant"/>
    <w:basedOn w:val="Normal"/>
    <w:qFormat/>
    <w:pPr>
      <w:spacing w:before="120" w:after="120"/>
      <w:ind w:left="709" w:hanging="709"/>
      <w:jc w:val="both"/>
    </w:pPr>
    <w:rPr>
      <w:rFonts w:ascii="Times New Roman" w:eastAsia="Calibri" w:hAnsi="Times New Roman"/>
      <w:sz w:val="24"/>
      <w:szCs w:val="22"/>
      <w:lang w:val="en-GB"/>
    </w:rPr>
  </w:style>
  <w:style w:type="paragraph" w:customStyle="1" w:styleId="Pagedecouverture">
    <w:name w:val="Page de couverture"/>
    <w:basedOn w:val="Normal"/>
    <w:next w:val="Normal"/>
    <w:pPr>
      <w:jc w:val="both"/>
    </w:pPr>
    <w:rPr>
      <w:rFonts w:ascii="Times New Roman" w:eastAsia="Calibri" w:hAnsi="Times New Roman"/>
      <w:sz w:val="24"/>
      <w:szCs w:val="22"/>
      <w:lang w:val="en-GB"/>
    </w:rPr>
  </w:style>
  <w:style w:type="paragraph" w:customStyle="1" w:styleId="IntrtEEE">
    <w:name w:val="Intérêt EEE"/>
    <w:basedOn w:val="Normal"/>
    <w:next w:val="Normal"/>
    <w:pPr>
      <w:spacing w:before="360" w:after="240"/>
      <w:jc w:val="center"/>
    </w:pPr>
    <w:rPr>
      <w:rFonts w:ascii="Times New Roman" w:eastAsia="Calibri" w:hAnsi="Times New Roman"/>
      <w:sz w:val="24"/>
      <w:szCs w:val="22"/>
      <w:lang w:val="en-GB"/>
    </w:rPr>
  </w:style>
  <w:style w:type="character" w:customStyle="1" w:styleId="Heading2Char">
    <w:name w:val="Heading 2 Char"/>
    <w:link w:val="Heading2"/>
    <w:rsid w:val="00AD0EFB"/>
    <w:rPr>
      <w:rFonts w:ascii="Arial" w:hAnsi="Arial" w:cs="Arial"/>
      <w:b/>
      <w:bCs/>
      <w:iCs/>
      <w:caps/>
      <w:szCs w:val="28"/>
      <w:lang w:val="en-US" w:eastAsia="en-US"/>
    </w:rPr>
  </w:style>
  <w:style w:type="character" w:customStyle="1" w:styleId="Heading3Char">
    <w:name w:val="Heading 3 Char"/>
    <w:link w:val="Heading3"/>
    <w:rPr>
      <w:rFonts w:ascii="Arial" w:hAnsi="Arial" w:cs="Arial"/>
      <w:b/>
      <w:bCs/>
      <w:szCs w:val="26"/>
      <w:lang w:val="en-US" w:eastAsia="en-US"/>
    </w:rPr>
  </w:style>
  <w:style w:type="character" w:customStyle="1" w:styleId="Heading4Char">
    <w:name w:val="Heading 4 Char"/>
    <w:link w:val="Heading4"/>
    <w:rPr>
      <w:rFonts w:ascii="Arial" w:hAnsi="Arial" w:cs="Arial"/>
      <w:bCs/>
      <w:i/>
      <w:color w:val="D2232A"/>
      <w:szCs w:val="26"/>
      <w:lang w:val="en-US" w:eastAsia="en-US"/>
    </w:rPr>
  </w:style>
  <w:style w:type="character" w:customStyle="1" w:styleId="Heading5Char">
    <w:name w:val="Heading 5 Char"/>
    <w:link w:val="Heading5"/>
    <w:qFormat/>
    <w:rPr>
      <w:rFonts w:ascii="Arial" w:hAnsi="Arial"/>
      <w:b/>
      <w:bCs/>
      <w:i/>
      <w:iCs/>
      <w:sz w:val="26"/>
      <w:szCs w:val="26"/>
      <w:lang w:val="en-US" w:eastAsia="en-US"/>
    </w:rPr>
  </w:style>
  <w:style w:type="character" w:customStyle="1" w:styleId="Heading6Char">
    <w:name w:val="Heading 6 Char"/>
    <w:link w:val="Heading6"/>
    <w:rPr>
      <w:rFonts w:ascii="Arial" w:hAnsi="Arial"/>
      <w:b/>
      <w:bCs/>
      <w:sz w:val="22"/>
      <w:szCs w:val="22"/>
      <w:lang w:val="en-US" w:eastAsia="en-US"/>
    </w:rPr>
  </w:style>
  <w:style w:type="character" w:customStyle="1" w:styleId="Heading7Char">
    <w:name w:val="Heading 7 Char"/>
    <w:link w:val="Heading7"/>
    <w:qFormat/>
    <w:rPr>
      <w:rFonts w:ascii="Arial" w:hAnsi="Arial"/>
      <w:sz w:val="24"/>
      <w:szCs w:val="24"/>
      <w:lang w:val="en-US" w:eastAsia="en-US"/>
    </w:rPr>
  </w:style>
  <w:style w:type="character" w:customStyle="1" w:styleId="Heading8Char">
    <w:name w:val="Heading 8 Char"/>
    <w:link w:val="Heading8"/>
    <w:qFormat/>
    <w:rPr>
      <w:rFonts w:ascii="Arial" w:hAnsi="Arial"/>
      <w:i/>
      <w:iCs/>
      <w:sz w:val="24"/>
      <w:szCs w:val="24"/>
      <w:lang w:val="en-US" w:eastAsia="en-US"/>
    </w:rPr>
  </w:style>
  <w:style w:type="character" w:customStyle="1" w:styleId="Heading9Char">
    <w:name w:val="Heading 9 Char"/>
    <w:link w:val="Heading9"/>
    <w:qFormat/>
    <w:rPr>
      <w:rFonts w:ascii="Arial" w:hAnsi="Arial" w:cs="Arial"/>
      <w:sz w:val="22"/>
      <w:szCs w:val="22"/>
      <w:lang w:val="en-US" w:eastAsia="en-US"/>
    </w:rPr>
  </w:style>
  <w:style w:type="paragraph" w:customStyle="1" w:styleId="Annexetitre">
    <w:name w:val="Annexe titre"/>
    <w:basedOn w:val="Normal"/>
    <w:next w:val="Normal"/>
    <w:qFormat/>
    <w:pPr>
      <w:spacing w:before="120" w:after="120"/>
      <w:jc w:val="center"/>
    </w:pPr>
    <w:rPr>
      <w:rFonts w:ascii="Times New Roman" w:hAnsi="Times New Roman"/>
      <w:b/>
      <w:sz w:val="24"/>
      <w:u w:val="single"/>
      <w:lang w:val="en-GB"/>
    </w:rPr>
  </w:style>
  <w:style w:type="character" w:customStyle="1" w:styleId="Marker1">
    <w:name w:val="Marker1"/>
    <w:qFormat/>
    <w:rPr>
      <w:color w:val="008000"/>
      <w:shd w:val="clear" w:color="auto" w:fill="auto"/>
    </w:rPr>
  </w:style>
  <w:style w:type="table" w:customStyle="1" w:styleId="TableGrid1">
    <w:name w:val="Table Grid1"/>
    <w:basedOn w:val="TableNormal"/>
    <w:uiPriority w:val="59"/>
    <w:qFormat/>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
    <w:name w:val="Table Contemporary1"/>
    <w:basedOn w:val="TableNormal"/>
    <w:uiPriority w:val="99"/>
    <w:qFormat/>
    <w:pPr>
      <w:tabs>
        <w:tab w:val="left" w:pos="1418"/>
      </w:tabs>
      <w:spacing w:before="120" w:after="120" w:line="288" w:lineRule="auto"/>
    </w:pPr>
    <w:rPr>
      <w:rFonts w:eastAsia="SimSun"/>
      <w:lang w:val="en-GB" w:eastAsia="en-GB"/>
    </w:rPr>
    <w:tblPr>
      <w:tblBorders>
        <w:insideH w:val="single" w:sz="18" w:space="0" w:color="FFFFFF"/>
        <w:insideV w:val="single" w:sz="18" w:space="0" w:color="FFFFFF"/>
      </w:tblBorders>
    </w:tblPr>
    <w:tblStylePr w:type="firstRow">
      <w:rPr>
        <w:rFonts w:cs="Times New Roman"/>
        <w:b/>
        <w:bCs/>
        <w:color w:val="auto"/>
      </w:rPr>
      <w:tblPr/>
      <w:tcPr>
        <w:tcBorders>
          <w:tl2br w:val="nil"/>
          <w:tr2bl w:val="nil"/>
        </w:tcBorders>
        <w:shd w:val="pct20" w:color="000000" w:fill="FFFFFF"/>
      </w:tcPr>
    </w:tblStylePr>
    <w:tblStylePr w:type="band1Horz">
      <w:rPr>
        <w:rFonts w:cs="Times New Roman"/>
        <w:color w:val="auto"/>
      </w:rPr>
      <w:tblPr/>
      <w:tcPr>
        <w:tcBorders>
          <w:tl2br w:val="nil"/>
          <w:tr2bl w:val="nil"/>
        </w:tcBorders>
        <w:shd w:val="pct5" w:color="000000" w:fill="FFFFFF"/>
      </w:tcPr>
    </w:tblStylePr>
    <w:tblStylePr w:type="band2Horz">
      <w:rPr>
        <w:rFonts w:cs="Times New Roman"/>
        <w:color w:val="auto"/>
      </w:rPr>
      <w:tblPr/>
      <w:tcPr>
        <w:tcBorders>
          <w:tl2br w:val="nil"/>
          <w:tr2bl w:val="nil"/>
        </w:tcBorders>
        <w:shd w:val="pct20" w:color="000000" w:fill="FFFFFF"/>
      </w:tcPr>
    </w:tblStylePr>
  </w:style>
  <w:style w:type="paragraph" w:customStyle="1" w:styleId="B2">
    <w:name w:val="B2+"/>
    <w:basedOn w:val="Normal"/>
    <w:qFormat/>
    <w:pPr>
      <w:numPr>
        <w:numId w:val="28"/>
      </w:numPr>
      <w:overflowPunct w:val="0"/>
      <w:autoSpaceDE w:val="0"/>
      <w:autoSpaceDN w:val="0"/>
      <w:adjustRightInd w:val="0"/>
      <w:textAlignment w:val="baseline"/>
    </w:pPr>
    <w:rPr>
      <w:rFonts w:ascii="Times New Roman" w:hAnsi="Times New Roman"/>
      <w:szCs w:val="20"/>
      <w:lang w:val="en-GB"/>
    </w:rPr>
  </w:style>
  <w:style w:type="paragraph" w:customStyle="1" w:styleId="BN">
    <w:name w:val="BN"/>
    <w:basedOn w:val="Normal"/>
    <w:qFormat/>
    <w:pPr>
      <w:numPr>
        <w:numId w:val="29"/>
      </w:numPr>
      <w:overflowPunct w:val="0"/>
      <w:autoSpaceDE w:val="0"/>
      <w:autoSpaceDN w:val="0"/>
      <w:adjustRightInd w:val="0"/>
      <w:textAlignment w:val="baseline"/>
    </w:pPr>
    <w:rPr>
      <w:rFonts w:ascii="Times New Roman" w:hAnsi="Times New Roman"/>
      <w:szCs w:val="20"/>
      <w:lang w:val="en-GB"/>
    </w:rPr>
  </w:style>
  <w:style w:type="table" w:customStyle="1" w:styleId="TableContemporary2">
    <w:name w:val="Table Contemporary2"/>
    <w:basedOn w:val="TableNormal"/>
    <w:uiPriority w:val="99"/>
    <w:qFormat/>
    <w:pPr>
      <w:tabs>
        <w:tab w:val="left" w:pos="1418"/>
      </w:tabs>
      <w:spacing w:before="120" w:after="120" w:line="288" w:lineRule="auto"/>
    </w:pPr>
    <w:rPr>
      <w:rFonts w:eastAsia="SimSun"/>
      <w:lang w:val="en-GB" w:eastAsia="en-GB"/>
    </w:rPr>
    <w:tblPr>
      <w:tblBorders>
        <w:insideH w:val="single" w:sz="18" w:space="0" w:color="FFFFFF"/>
        <w:insideV w:val="single" w:sz="18" w:space="0" w:color="FFFFFF"/>
      </w:tblBorders>
    </w:tblPr>
    <w:tblStylePr w:type="firstRow">
      <w:rPr>
        <w:rFonts w:cs="Times New Roman"/>
        <w:b/>
        <w:bCs/>
        <w:color w:val="auto"/>
      </w:rPr>
      <w:tblPr/>
      <w:tcPr>
        <w:tcBorders>
          <w:tl2br w:val="nil"/>
          <w:tr2bl w:val="nil"/>
        </w:tcBorders>
        <w:shd w:val="pct20" w:color="000000" w:fill="FFFFFF"/>
      </w:tcPr>
    </w:tblStylePr>
    <w:tblStylePr w:type="band1Horz">
      <w:rPr>
        <w:rFonts w:cs="Times New Roman"/>
        <w:color w:val="auto"/>
      </w:rPr>
      <w:tblPr/>
      <w:tcPr>
        <w:tcBorders>
          <w:tl2br w:val="nil"/>
          <w:tr2bl w:val="nil"/>
        </w:tcBorders>
        <w:shd w:val="pct5" w:color="000000" w:fill="FFFFFF"/>
      </w:tcPr>
    </w:tblStylePr>
    <w:tblStylePr w:type="band2Horz">
      <w:rPr>
        <w:rFonts w:cs="Times New Roman"/>
        <w:color w:val="auto"/>
      </w:rPr>
      <w:tblPr/>
      <w:tcPr>
        <w:tcBorders>
          <w:tl2br w:val="nil"/>
          <w:tr2bl w:val="nil"/>
        </w:tcBorders>
        <w:shd w:val="pct20" w:color="000000" w:fill="FFFFFF"/>
      </w:tcPr>
    </w:tblStylePr>
  </w:style>
  <w:style w:type="table" w:customStyle="1" w:styleId="TableGrid3">
    <w:name w:val="Table Grid3"/>
    <w:basedOn w:val="TableNormal"/>
    <w:uiPriority w:val="59"/>
    <w:qFormat/>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redheader">
    <w:name w:val="ECC Table - red header"/>
    <w:basedOn w:val="TableNormal"/>
    <w:uiPriority w:val="99"/>
    <w:qFormat/>
    <w:pPr>
      <w:spacing w:before="60"/>
    </w:pPr>
    <w:rPr>
      <w:rFonts w:ascii="Arial" w:eastAsia="Calibri" w:hAnsi="Arial"/>
    </w:rPr>
    <w:tblPr>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auto"/>
          <w:tl2br w:val="nil"/>
          <w:tr2bl w:val="nil"/>
        </w:tcBorders>
        <w:shd w:val="clear" w:color="auto" w:fill="D22A23"/>
      </w:tcPr>
    </w:tblStylePr>
  </w:style>
  <w:style w:type="paragraph" w:customStyle="1" w:styleId="berarbeitung1">
    <w:name w:val="Überarbeitung1"/>
    <w:hidden/>
    <w:uiPriority w:val="99"/>
    <w:unhideWhenUsed/>
    <w:qFormat/>
    <w:pPr>
      <w:spacing w:after="0" w:line="240" w:lineRule="auto"/>
    </w:pPr>
    <w:rPr>
      <w:rFonts w:ascii="Arial" w:hAnsi="Arial"/>
      <w:szCs w:val="24"/>
      <w:lang w:val="en-US" w:eastAsia="en-US"/>
    </w:rPr>
  </w:style>
  <w:style w:type="character" w:customStyle="1" w:styleId="ListParagraphChar">
    <w:name w:val="List Paragraph Char"/>
    <w:link w:val="ListParagraph"/>
    <w:uiPriority w:val="34"/>
    <w:qFormat/>
    <w:locked/>
    <w:rPr>
      <w:rFonts w:ascii="Arial" w:hAnsi="Arial"/>
      <w:szCs w:val="24"/>
      <w:lang w:val="en-US" w:eastAsia="en-US"/>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val="fr-FR" w:eastAsia="en-US"/>
    </w:rPr>
  </w:style>
  <w:style w:type="paragraph" w:customStyle="1" w:styleId="ECCBulletsLv1">
    <w:name w:val="ECC Bullets Lv1"/>
    <w:basedOn w:val="Normal"/>
    <w:qFormat/>
    <w:pPr>
      <w:numPr>
        <w:numId w:val="30"/>
      </w:numPr>
      <w:tabs>
        <w:tab w:val="left" w:pos="340"/>
      </w:tabs>
      <w:spacing w:before="60" w:after="0" w:line="240" w:lineRule="auto"/>
      <w:jc w:val="both"/>
    </w:pPr>
    <w:rPr>
      <w:rFonts w:eastAsia="Calibri"/>
      <w:szCs w:val="22"/>
      <w:lang w:val="en-GB"/>
    </w:rPr>
  </w:style>
  <w:style w:type="character" w:customStyle="1" w:styleId="ECCHLbold">
    <w:name w:val="ECC HL bold"/>
    <w:uiPriority w:val="1"/>
    <w:qFormat/>
    <w:rPr>
      <w:b/>
    </w:rPr>
  </w:style>
  <w:style w:type="paragraph" w:customStyle="1" w:styleId="ECCTabletext">
    <w:name w:val="ECC Table text"/>
    <w:basedOn w:val="Normal"/>
    <w:qFormat/>
    <w:pPr>
      <w:spacing w:after="60" w:line="240" w:lineRule="auto"/>
      <w:jc w:val="both"/>
    </w:pPr>
    <w:rPr>
      <w:rFonts w:eastAsia="Calibri"/>
      <w:szCs w:val="22"/>
      <w:lang w:val="en-GB"/>
    </w:rPr>
  </w:style>
  <w:style w:type="paragraph" w:customStyle="1" w:styleId="ECCReference">
    <w:name w:val="ECC Reference"/>
    <w:basedOn w:val="Normal"/>
    <w:qFormat/>
    <w:pPr>
      <w:tabs>
        <w:tab w:val="left" w:pos="397"/>
      </w:tabs>
      <w:spacing w:after="0" w:line="240" w:lineRule="auto"/>
      <w:ind w:left="397" w:hanging="397"/>
      <w:jc w:val="both"/>
    </w:pPr>
    <w:rPr>
      <w:rFonts w:eastAsia="Calibri"/>
      <w:szCs w:val="22"/>
      <w:lang w:val="en-GB" w:eastAsia="ja-JP"/>
    </w:rPr>
  </w:style>
  <w:style w:type="paragraph" w:customStyle="1" w:styleId="Kopfzeile1">
    <w:name w:val="Kopfzeile1"/>
    <w:basedOn w:val="Header"/>
    <w:rsid w:val="00764F27"/>
    <w:pPr>
      <w:tabs>
        <w:tab w:val="clear" w:pos="4320"/>
        <w:tab w:val="clear" w:pos="8640"/>
        <w:tab w:val="center" w:pos="4536"/>
        <w:tab w:val="right" w:pos="9072"/>
      </w:tabs>
      <w:spacing w:after="0" w:line="240" w:lineRule="auto"/>
    </w:pPr>
    <w:rPr>
      <w:sz w:val="22"/>
      <w:szCs w:val="20"/>
      <w:lang w:val="nb-NO" w:eastAsia="de-DE"/>
    </w:rPr>
  </w:style>
  <w:style w:type="paragraph" w:styleId="Revision">
    <w:name w:val="Revision"/>
    <w:hidden/>
    <w:uiPriority w:val="99"/>
    <w:unhideWhenUsed/>
    <w:rsid w:val="00C05C04"/>
    <w:pPr>
      <w:spacing w:after="0" w:line="240" w:lineRule="auto"/>
    </w:pPr>
    <w:rPr>
      <w:rFonts w:ascii="Arial" w:hAnsi="Arial"/>
      <w:szCs w:val="24"/>
      <w:lang w:val="en-US" w:eastAsia="en-US"/>
    </w:rPr>
  </w:style>
  <w:style w:type="paragraph" w:styleId="NoSpacing">
    <w:name w:val="No Spacing"/>
    <w:uiPriority w:val="1"/>
    <w:qFormat/>
    <w:rsid w:val="0096295A"/>
    <w:pPr>
      <w:spacing w:after="0" w:line="240" w:lineRule="auto"/>
    </w:pPr>
    <w:rPr>
      <w:rFonts w:asciiTheme="minorHAnsi" w:eastAsiaTheme="minorHAnsi" w:hAnsiTheme="minorHAnsi" w:cstheme="minorBidi"/>
      <w:sz w:val="22"/>
      <w:szCs w:val="22"/>
      <w:lang w:val="en-GB" w:eastAsia="en-US"/>
    </w:rPr>
  </w:style>
  <w:style w:type="paragraph" w:customStyle="1" w:styleId="TableParagraph">
    <w:name w:val="Table Paragraph"/>
    <w:basedOn w:val="Normal"/>
    <w:uiPriority w:val="1"/>
    <w:qFormat/>
    <w:rsid w:val="00033176"/>
    <w:pPr>
      <w:widowControl w:val="0"/>
      <w:spacing w:after="0" w:line="240" w:lineRule="auto"/>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lsdException w:name="index 5" w:uiPriority="0" w:qFormat="1"/>
    <w:lsdException w:name="index 6" w:uiPriority="0"/>
    <w:lsdException w:name="index 7" w:uiPriority="0" w:qFormat="1"/>
    <w:lsdException w:name="index 8" w:uiPriority="0" w:qFormat="1"/>
    <w:lsdException w:name="index 9" w:uiPriority="0"/>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0"/>
    <w:lsdException w:name="toc 7" w:uiPriority="0"/>
    <w:lsdException w:name="toc 8" w:uiPriority="0" w:qFormat="1"/>
    <w:lsdException w:name="toc 9" w:uiPriority="0"/>
    <w:lsdException w:name="Normal Indent" w:uiPriority="0"/>
    <w:lsdException w:name="footnote text" w:qFormat="1"/>
    <w:lsdException w:name="annotation text" w:qFormat="1"/>
    <w:lsdException w:name="header" w:qFormat="1"/>
    <w:lsdException w:name="footer" w:qFormat="1"/>
    <w:lsdException w:name="index heading" w:uiPriority="0" w:qFormat="1"/>
    <w:lsdException w:name="caption" w:uiPriority="35" w:qFormat="1"/>
    <w:lsdException w:name="table of figures" w:uiPriority="0"/>
    <w:lsdException w:name="envelope address" w:uiPriority="0" w:qFormat="1"/>
    <w:lsdException w:name="envelope return" w:uiPriority="0"/>
    <w:lsdException w:name="footnote reference" w:qFormat="1"/>
    <w:lsdException w:name="annotation reference" w:qFormat="1"/>
    <w:lsdException w:name="endnote reference" w:qFormat="1"/>
    <w:lsdException w:name="endnote text" w:qFormat="1"/>
    <w:lsdException w:name="table of authorities" w:uiPriority="0"/>
    <w:lsdException w:name="macro" w:uiPriority="0" w:unhideWhenUsed="0"/>
    <w:lsdException w:name="toa heading" w:uiPriority="0"/>
    <w:lsdException w:name="List" w:uiPriority="0" w:qFormat="1"/>
    <w:lsdException w:name="List Bullet" w:semiHidden="0" w:uiPriority="0" w:unhideWhenUsed="0"/>
    <w:lsdException w:name="List Number" w:semiHidden="0" w:uiPriority="0" w:unhideWhenUsed="0"/>
    <w:lsdException w:name="List 2" w:uiPriority="0"/>
    <w:lsdException w:name="List 3" w:uiPriority="0" w:qFormat="1"/>
    <w:lsdException w:name="List 4" w:uiPriority="0" w:qFormat="1"/>
    <w:lsdException w:name="List 5" w:uiPriority="0"/>
    <w:lsdException w:name="List Bullet 2" w:uiPriority="0"/>
    <w:lsdException w:name="List Bullet 3" w:uiPriority="0" w:qFormat="1"/>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qFormat="1"/>
    <w:lsdException w:name="Signature" w:uiPriority="0"/>
    <w:lsdException w:name="Default Paragraph Font" w:uiPriority="1"/>
    <w:lsdException w:name="Body Text" w:uiPriority="1" w:qFormat="1"/>
    <w:lsdException w:name="Body Text Indent" w:uiPriority="0"/>
    <w:lsdException w:name="List Continue" w:uiPriority="0"/>
    <w:lsdException w:name="List Continue 2" w:uiPriority="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qFormat="1"/>
    <w:lsdException w:name="Body Text Indent 3" w:uiPriority="0"/>
    <w:lsdException w:name="Block Text" w:uiPriority="0"/>
    <w:lsdException w:name="Hyperlink" w:qFormat="1"/>
    <w:lsdException w:name="FollowedHyperlink" w:qFormat="1"/>
    <w:lsdException w:name="Strong" w:semiHidden="0" w:uiPriority="22" w:unhideWhenUsed="0" w:qFormat="1"/>
    <w:lsdException w:name="Emphasis" w:semiHidden="0" w:unhideWhenUsed="0" w:qFormat="1"/>
    <w:lsdException w:name="Document Map" w:uiPriority="0"/>
    <w:lsdException w:name="Plain Text" w:uiPriority="0"/>
    <w:lsdException w:name="Normal (Web)" w:qFormat="1"/>
    <w:lsdException w:name="Balloon Text" w:qFormat="1"/>
    <w:lsdException w:name="Table Grid" w:uiPriority="59"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Cs w:val="24"/>
      <w:lang w:val="en-US" w:eastAsia="en-US"/>
    </w:rPr>
  </w:style>
  <w:style w:type="paragraph" w:styleId="Heading1">
    <w:name w:val="heading 1"/>
    <w:basedOn w:val="Normal"/>
    <w:next w:val="ECCParagraph"/>
    <w:link w:val="Heading1Char"/>
    <w:uiPriority w:val="1"/>
    <w:qFormat/>
    <w:pPr>
      <w:keepNext/>
      <w:pageBreakBefore/>
      <w:numPr>
        <w:numId w:val="1"/>
      </w:numPr>
      <w:spacing w:before="600" w:after="240"/>
      <w:outlineLvl w:val="0"/>
    </w:pPr>
    <w:rPr>
      <w:rFonts w:cs="Arial"/>
      <w:b/>
      <w:bCs/>
      <w:caps/>
      <w:color w:val="D2232A"/>
      <w:kern w:val="32"/>
      <w:szCs w:val="32"/>
      <w:lang w:val="en-GB"/>
    </w:rPr>
  </w:style>
  <w:style w:type="paragraph" w:styleId="Heading2">
    <w:name w:val="heading 2"/>
    <w:basedOn w:val="Normal"/>
    <w:next w:val="ECCParagraph"/>
    <w:link w:val="Heading2Char"/>
    <w:qFormat/>
    <w:rsid w:val="00AD0EFB"/>
    <w:pPr>
      <w:keepNext/>
      <w:numPr>
        <w:ilvl w:val="1"/>
        <w:numId w:val="1"/>
      </w:numPr>
      <w:spacing w:before="480" w:after="240"/>
      <w:outlineLvl w:val="1"/>
    </w:pPr>
    <w:rPr>
      <w:rFonts w:cs="Arial"/>
      <w:b/>
      <w:bCs/>
      <w:iCs/>
      <w:caps/>
      <w:szCs w:val="28"/>
    </w:rPr>
  </w:style>
  <w:style w:type="paragraph" w:styleId="Heading3">
    <w:name w:val="heading 3"/>
    <w:basedOn w:val="Normal"/>
    <w:next w:val="ECCParagraph"/>
    <w:link w:val="Heading3Char"/>
    <w:qFormat/>
    <w:pPr>
      <w:keepNext/>
      <w:numPr>
        <w:ilvl w:val="2"/>
        <w:numId w:val="1"/>
      </w:numPr>
      <w:tabs>
        <w:tab w:val="left" w:pos="432"/>
      </w:tabs>
      <w:spacing w:before="360" w:after="120"/>
      <w:outlineLvl w:val="2"/>
    </w:pPr>
    <w:rPr>
      <w:rFonts w:cs="Arial"/>
      <w:b/>
      <w:bCs/>
      <w:szCs w:val="26"/>
    </w:rPr>
  </w:style>
  <w:style w:type="paragraph" w:styleId="Heading4">
    <w:name w:val="heading 4"/>
    <w:basedOn w:val="Normal"/>
    <w:next w:val="ECCParagraph"/>
    <w:link w:val="Heading4Char"/>
    <w:qFormat/>
    <w:pPr>
      <w:numPr>
        <w:ilvl w:val="3"/>
        <w:numId w:val="1"/>
      </w:numPr>
      <w:spacing w:before="360" w:after="120"/>
      <w:outlineLvl w:val="3"/>
    </w:pPr>
    <w:rPr>
      <w:rFonts w:cs="Arial"/>
      <w:bCs/>
      <w:i/>
      <w:color w:val="D2232A"/>
      <w:szCs w:val="26"/>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sz w:val="22"/>
      <w:szCs w:val="22"/>
    </w:rPr>
  </w:style>
  <w:style w:type="paragraph" w:styleId="Heading7">
    <w:name w:val="heading 7"/>
    <w:basedOn w:val="Normal"/>
    <w:next w:val="Normal"/>
    <w:link w:val="Heading7Char"/>
    <w:qFormat/>
    <w:pPr>
      <w:numPr>
        <w:ilvl w:val="6"/>
        <w:numId w:val="1"/>
      </w:numPr>
      <w:spacing w:before="240" w:after="60"/>
      <w:outlineLvl w:val="6"/>
    </w:pPr>
    <w:rPr>
      <w:sz w:val="24"/>
    </w:rPr>
  </w:style>
  <w:style w:type="paragraph" w:styleId="Heading8">
    <w:name w:val="heading 8"/>
    <w:basedOn w:val="Normal"/>
    <w:next w:val="Normal"/>
    <w:link w:val="Heading8Char"/>
    <w:qFormat/>
    <w:pPr>
      <w:numPr>
        <w:ilvl w:val="7"/>
        <w:numId w:val="1"/>
      </w:numPr>
      <w:spacing w:before="240" w:after="60"/>
      <w:outlineLvl w:val="7"/>
    </w:pPr>
    <w:rPr>
      <w:i/>
      <w:iCs/>
      <w:sz w:val="24"/>
    </w:rPr>
  </w:style>
  <w:style w:type="paragraph" w:styleId="Heading9">
    <w:name w:val="heading 9"/>
    <w:basedOn w:val="Normal"/>
    <w:next w:val="Normal"/>
    <w:link w:val="Heading9Char"/>
    <w:qFormat/>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pPr>
      <w:spacing w:after="240"/>
      <w:jc w:val="both"/>
    </w:pPr>
    <w:rPr>
      <w:lang w:val="en-GB"/>
    </w:rPr>
  </w:style>
  <w:style w:type="paragraph" w:styleId="BalloonText">
    <w:name w:val="Balloon Text"/>
    <w:basedOn w:val="Normal"/>
    <w:link w:val="BalloonTextChar"/>
    <w:uiPriority w:val="99"/>
    <w:semiHidden/>
    <w:unhideWhenUsed/>
    <w:qFormat/>
    <w:rPr>
      <w:rFonts w:ascii="Lucida Grande" w:hAnsi="Lucida Grande" w:cs="Lucida Grande"/>
      <w:sz w:val="18"/>
      <w:szCs w:val="18"/>
    </w:rPr>
  </w:style>
  <w:style w:type="paragraph" w:styleId="BlockText">
    <w:name w:val="Block Text"/>
    <w:basedOn w:val="Normal"/>
    <w:pPr>
      <w:spacing w:after="120"/>
      <w:ind w:left="1440" w:right="1440"/>
      <w:jc w:val="both"/>
    </w:pPr>
    <w:rPr>
      <w:rFonts w:ascii="Times New Roman" w:hAnsi="Times New Roman"/>
      <w:sz w:val="24"/>
      <w:szCs w:val="20"/>
      <w:lang w:val="en-GB"/>
    </w:rPr>
  </w:style>
  <w:style w:type="paragraph" w:styleId="BodyText">
    <w:name w:val="Body Text"/>
    <w:basedOn w:val="Normal"/>
    <w:link w:val="BodyTextChar"/>
    <w:uiPriority w:val="1"/>
    <w:qFormat/>
    <w:pPr>
      <w:spacing w:after="120"/>
      <w:jc w:val="both"/>
    </w:pPr>
    <w:rPr>
      <w:rFonts w:ascii="Times New Roman" w:hAnsi="Times New Roman"/>
      <w:sz w:val="24"/>
      <w:szCs w:val="20"/>
      <w:lang w:val="en-GB"/>
    </w:rPr>
  </w:style>
  <w:style w:type="paragraph" w:styleId="BodyText2">
    <w:name w:val="Body Text 2"/>
    <w:basedOn w:val="Normal"/>
    <w:link w:val="BodyText2Char"/>
    <w:pPr>
      <w:spacing w:after="120" w:line="480" w:lineRule="auto"/>
      <w:jc w:val="both"/>
    </w:pPr>
    <w:rPr>
      <w:rFonts w:ascii="Times New Roman" w:hAnsi="Times New Roman"/>
      <w:sz w:val="24"/>
      <w:szCs w:val="20"/>
      <w:lang w:val="en-GB"/>
    </w:rPr>
  </w:style>
  <w:style w:type="paragraph" w:styleId="BodyText3">
    <w:name w:val="Body Text 3"/>
    <w:basedOn w:val="Normal"/>
    <w:link w:val="BodyText3Char"/>
    <w:pPr>
      <w:spacing w:after="120"/>
      <w:jc w:val="both"/>
    </w:pPr>
    <w:rPr>
      <w:rFonts w:ascii="Times New Roman" w:hAnsi="Times New Roman"/>
      <w:sz w:val="16"/>
      <w:szCs w:val="20"/>
      <w:lang w:val="en-GB"/>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spacing w:after="120"/>
      <w:ind w:left="283"/>
      <w:jc w:val="both"/>
    </w:pPr>
    <w:rPr>
      <w:rFonts w:ascii="Times New Roman" w:hAnsi="Times New Roman"/>
      <w:sz w:val="24"/>
      <w:szCs w:val="20"/>
      <w:lang w:val="en-GB"/>
    </w:r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qFormat/>
    <w:pPr>
      <w:spacing w:after="120" w:line="480" w:lineRule="auto"/>
      <w:ind w:left="283"/>
      <w:jc w:val="both"/>
    </w:pPr>
    <w:rPr>
      <w:rFonts w:ascii="Times New Roman" w:hAnsi="Times New Roman"/>
      <w:sz w:val="24"/>
      <w:szCs w:val="20"/>
      <w:lang w:val="en-GB"/>
    </w:rPr>
  </w:style>
  <w:style w:type="paragraph" w:styleId="BodyTextIndent3">
    <w:name w:val="Body Text Indent 3"/>
    <w:basedOn w:val="Normal"/>
    <w:link w:val="BodyTextIndent3Char"/>
    <w:pPr>
      <w:spacing w:after="120"/>
      <w:ind w:left="283"/>
      <w:jc w:val="both"/>
    </w:pPr>
    <w:rPr>
      <w:rFonts w:ascii="Times New Roman" w:hAnsi="Times New Roman"/>
      <w:sz w:val="16"/>
      <w:szCs w:val="20"/>
      <w:lang w:val="en-GB"/>
    </w:rPr>
  </w:style>
  <w:style w:type="paragraph" w:styleId="Caption">
    <w:name w:val="caption"/>
    <w:basedOn w:val="Normal"/>
    <w:next w:val="Normal"/>
    <w:link w:val="CaptionChar"/>
    <w:uiPriority w:val="35"/>
    <w:unhideWhenUsed/>
    <w:qFormat/>
    <w:pPr>
      <w:spacing w:before="240" w:after="240"/>
      <w:jc w:val="center"/>
    </w:pPr>
    <w:rPr>
      <w:b/>
      <w:bCs/>
      <w:color w:val="D2232A"/>
      <w:szCs w:val="20"/>
    </w:rPr>
  </w:style>
  <w:style w:type="paragraph" w:styleId="Closing">
    <w:name w:val="Closing"/>
    <w:basedOn w:val="Normal"/>
    <w:link w:val="ClosingChar"/>
    <w:qFormat/>
    <w:pPr>
      <w:spacing w:after="240"/>
      <w:ind w:left="4252"/>
      <w:jc w:val="both"/>
    </w:pPr>
    <w:rPr>
      <w:rFonts w:ascii="Times New Roman" w:hAnsi="Times New Roman"/>
      <w:sz w:val="24"/>
      <w:szCs w:val="20"/>
      <w:lang w:val="en-GB"/>
    </w:rPr>
  </w:style>
  <w:style w:type="paragraph" w:styleId="CommentText">
    <w:name w:val="annotation text"/>
    <w:basedOn w:val="Normal"/>
    <w:link w:val="CommentTextChar"/>
    <w:uiPriority w:val="99"/>
    <w:qFormat/>
    <w:rsid w:val="00E32656"/>
    <w:pPr>
      <w:spacing w:line="240" w:lineRule="auto"/>
    </w:pPr>
    <w:rPr>
      <w:szCs w:val="20"/>
    </w:rPr>
  </w:style>
  <w:style w:type="paragraph" w:styleId="CommentSubject">
    <w:name w:val="annotation subject"/>
    <w:basedOn w:val="Normal"/>
    <w:next w:val="Normal"/>
    <w:link w:val="CommentSubjectChar"/>
    <w:uiPriority w:val="99"/>
    <w:semiHidden/>
    <w:unhideWhenUsed/>
    <w:rsid w:val="000B688C"/>
    <w:rPr>
      <w:b/>
      <w:bCs/>
    </w:rPr>
  </w:style>
  <w:style w:type="paragraph" w:styleId="Date">
    <w:name w:val="Date"/>
    <w:basedOn w:val="Normal"/>
    <w:next w:val="References"/>
    <w:link w:val="DateChar"/>
    <w:pPr>
      <w:ind w:left="5103" w:right="-567"/>
    </w:pPr>
    <w:rPr>
      <w:rFonts w:ascii="Times New Roman" w:hAnsi="Times New Roman"/>
      <w:sz w:val="24"/>
      <w:szCs w:val="20"/>
      <w:lang w:val="en-GB"/>
    </w:rPr>
  </w:style>
  <w:style w:type="paragraph" w:customStyle="1" w:styleId="References">
    <w:name w:val="References"/>
    <w:basedOn w:val="Normal"/>
    <w:next w:val="AddressTR"/>
    <w:pPr>
      <w:spacing w:after="240"/>
      <w:ind w:left="5103"/>
    </w:pPr>
    <w:rPr>
      <w:rFonts w:ascii="Times New Roman" w:hAnsi="Times New Roman"/>
      <w:szCs w:val="20"/>
      <w:lang w:val="en-GB"/>
    </w:rPr>
  </w:style>
  <w:style w:type="paragraph" w:customStyle="1" w:styleId="AddressTR">
    <w:name w:val="AddressTR"/>
    <w:basedOn w:val="Normal"/>
    <w:next w:val="Normal"/>
    <w:pPr>
      <w:spacing w:after="720"/>
      <w:ind w:left="5103"/>
    </w:pPr>
    <w:rPr>
      <w:rFonts w:ascii="Times New Roman" w:hAnsi="Times New Roman"/>
      <w:sz w:val="24"/>
      <w:szCs w:val="20"/>
      <w:lang w:val="en-GB"/>
    </w:rPr>
  </w:style>
  <w:style w:type="paragraph" w:styleId="DocumentMap">
    <w:name w:val="Document Map"/>
    <w:basedOn w:val="Normal"/>
    <w:link w:val="DocumentMapChar"/>
    <w:semiHidden/>
    <w:pPr>
      <w:shd w:val="clear" w:color="auto" w:fill="000080"/>
      <w:spacing w:after="240"/>
      <w:jc w:val="both"/>
    </w:pPr>
    <w:rPr>
      <w:rFonts w:ascii="Tahoma" w:hAnsi="Tahoma"/>
      <w:sz w:val="24"/>
      <w:szCs w:val="20"/>
      <w:lang w:val="en-GB"/>
    </w:rPr>
  </w:style>
  <w:style w:type="paragraph" w:styleId="EndnoteText">
    <w:name w:val="endnote text"/>
    <w:basedOn w:val="Normal"/>
    <w:link w:val="EndnoteTextChar"/>
    <w:uiPriority w:val="99"/>
    <w:semiHidden/>
    <w:qFormat/>
    <w:pPr>
      <w:spacing w:after="240"/>
      <w:jc w:val="both"/>
    </w:pPr>
    <w:rPr>
      <w:rFonts w:ascii="Times New Roman" w:hAnsi="Times New Roman"/>
      <w:szCs w:val="20"/>
      <w:lang w:val="en-GB"/>
    </w:rPr>
  </w:style>
  <w:style w:type="paragraph" w:styleId="EnvelopeAddress">
    <w:name w:val="envelope address"/>
    <w:basedOn w:val="Normal"/>
    <w:qFormat/>
    <w:pPr>
      <w:framePr w:w="7920" w:h="1980" w:hRule="exact" w:hSpace="180" w:wrap="around" w:hAnchor="page" w:xAlign="center" w:yAlign="bottom"/>
      <w:jc w:val="both"/>
    </w:pPr>
    <w:rPr>
      <w:rFonts w:ascii="Times New Roman" w:hAnsi="Times New Roman"/>
      <w:sz w:val="24"/>
      <w:szCs w:val="20"/>
      <w:lang w:val="en-GB"/>
    </w:rPr>
  </w:style>
  <w:style w:type="paragraph" w:styleId="EnvelopeReturn">
    <w:name w:val="envelope return"/>
    <w:basedOn w:val="Normal"/>
    <w:pPr>
      <w:jc w:val="both"/>
    </w:pPr>
    <w:rPr>
      <w:rFonts w:ascii="Times New Roman" w:hAnsi="Times New Roman"/>
      <w:szCs w:val="20"/>
      <w:lang w:val="en-GB"/>
    </w:rPr>
  </w:style>
  <w:style w:type="paragraph" w:styleId="Footer">
    <w:name w:val="footer"/>
    <w:basedOn w:val="Normal"/>
    <w:link w:val="FooterChar"/>
    <w:uiPriority w:val="99"/>
    <w:qFormat/>
    <w:pPr>
      <w:tabs>
        <w:tab w:val="center" w:pos="4320"/>
        <w:tab w:val="right" w:pos="8640"/>
      </w:tabs>
    </w:pPr>
  </w:style>
  <w:style w:type="paragraph" w:styleId="FootnoteText">
    <w:name w:val="footnote text"/>
    <w:basedOn w:val="Normal"/>
    <w:link w:val="FootnoteTextChar"/>
    <w:uiPriority w:val="99"/>
    <w:semiHidden/>
    <w:qFormat/>
    <w:rPr>
      <w:szCs w:val="20"/>
    </w:rPr>
  </w:style>
  <w:style w:type="paragraph" w:styleId="Header">
    <w:name w:val="header"/>
    <w:basedOn w:val="Normal"/>
    <w:link w:val="HeaderChar"/>
    <w:uiPriority w:val="99"/>
    <w:qFormat/>
    <w:pPr>
      <w:tabs>
        <w:tab w:val="center" w:pos="4320"/>
        <w:tab w:val="right" w:pos="8640"/>
      </w:tabs>
    </w:pPr>
    <w:rPr>
      <w:b/>
      <w:sz w:val="16"/>
    </w:rPr>
  </w:style>
  <w:style w:type="paragraph" w:styleId="Index1">
    <w:name w:val="index 1"/>
    <w:basedOn w:val="Normal"/>
    <w:next w:val="Normal"/>
    <w:semiHidden/>
    <w:qFormat/>
    <w:pPr>
      <w:spacing w:after="240"/>
      <w:ind w:left="240" w:hanging="240"/>
      <w:jc w:val="both"/>
    </w:pPr>
    <w:rPr>
      <w:rFonts w:ascii="Times New Roman" w:hAnsi="Times New Roman"/>
      <w:sz w:val="24"/>
      <w:szCs w:val="20"/>
      <w:lang w:val="en-GB"/>
    </w:rPr>
  </w:style>
  <w:style w:type="paragraph" w:styleId="Index2">
    <w:name w:val="index 2"/>
    <w:basedOn w:val="Normal"/>
    <w:next w:val="Normal"/>
    <w:semiHidden/>
    <w:qFormat/>
    <w:pPr>
      <w:spacing w:after="240"/>
      <w:ind w:left="480" w:hanging="240"/>
      <w:jc w:val="both"/>
    </w:pPr>
    <w:rPr>
      <w:rFonts w:ascii="Times New Roman" w:hAnsi="Times New Roman"/>
      <w:sz w:val="24"/>
      <w:szCs w:val="20"/>
      <w:lang w:val="en-GB"/>
    </w:rPr>
  </w:style>
  <w:style w:type="paragraph" w:styleId="Index3">
    <w:name w:val="index 3"/>
    <w:basedOn w:val="Normal"/>
    <w:next w:val="Normal"/>
    <w:semiHidden/>
    <w:qFormat/>
    <w:pPr>
      <w:spacing w:after="240"/>
      <w:ind w:left="720" w:hanging="240"/>
      <w:jc w:val="both"/>
    </w:pPr>
    <w:rPr>
      <w:rFonts w:ascii="Times New Roman" w:hAnsi="Times New Roman"/>
      <w:sz w:val="24"/>
      <w:szCs w:val="20"/>
      <w:lang w:val="en-GB"/>
    </w:rPr>
  </w:style>
  <w:style w:type="paragraph" w:styleId="Index4">
    <w:name w:val="index 4"/>
    <w:basedOn w:val="Normal"/>
    <w:next w:val="Normal"/>
    <w:semiHidden/>
    <w:pPr>
      <w:spacing w:after="240"/>
      <w:ind w:left="960" w:hanging="240"/>
      <w:jc w:val="both"/>
    </w:pPr>
    <w:rPr>
      <w:rFonts w:ascii="Times New Roman" w:hAnsi="Times New Roman"/>
      <w:sz w:val="24"/>
      <w:szCs w:val="20"/>
      <w:lang w:val="en-GB"/>
    </w:rPr>
  </w:style>
  <w:style w:type="paragraph" w:styleId="Index5">
    <w:name w:val="index 5"/>
    <w:basedOn w:val="Normal"/>
    <w:next w:val="Normal"/>
    <w:semiHidden/>
    <w:qFormat/>
    <w:pPr>
      <w:spacing w:after="240"/>
      <w:ind w:left="1200" w:hanging="240"/>
      <w:jc w:val="both"/>
    </w:pPr>
    <w:rPr>
      <w:rFonts w:ascii="Times New Roman" w:hAnsi="Times New Roman"/>
      <w:sz w:val="24"/>
      <w:szCs w:val="20"/>
      <w:lang w:val="en-GB"/>
    </w:rPr>
  </w:style>
  <w:style w:type="paragraph" w:styleId="Index6">
    <w:name w:val="index 6"/>
    <w:basedOn w:val="Normal"/>
    <w:next w:val="Normal"/>
    <w:semiHidden/>
    <w:pPr>
      <w:spacing w:after="240"/>
      <w:ind w:left="1440" w:hanging="240"/>
      <w:jc w:val="both"/>
    </w:pPr>
    <w:rPr>
      <w:rFonts w:ascii="Times New Roman" w:hAnsi="Times New Roman"/>
      <w:sz w:val="24"/>
      <w:szCs w:val="20"/>
      <w:lang w:val="en-GB"/>
    </w:rPr>
  </w:style>
  <w:style w:type="paragraph" w:styleId="Index7">
    <w:name w:val="index 7"/>
    <w:basedOn w:val="Normal"/>
    <w:next w:val="Normal"/>
    <w:semiHidden/>
    <w:qFormat/>
    <w:pPr>
      <w:spacing w:after="240"/>
      <w:ind w:left="1680" w:hanging="240"/>
      <w:jc w:val="both"/>
    </w:pPr>
    <w:rPr>
      <w:rFonts w:ascii="Times New Roman" w:hAnsi="Times New Roman"/>
      <w:sz w:val="24"/>
      <w:szCs w:val="20"/>
      <w:lang w:val="en-GB"/>
    </w:rPr>
  </w:style>
  <w:style w:type="paragraph" w:styleId="Index8">
    <w:name w:val="index 8"/>
    <w:basedOn w:val="Normal"/>
    <w:next w:val="Normal"/>
    <w:semiHidden/>
    <w:qFormat/>
    <w:pPr>
      <w:spacing w:after="240"/>
      <w:ind w:left="1920" w:hanging="240"/>
      <w:jc w:val="both"/>
    </w:pPr>
    <w:rPr>
      <w:rFonts w:ascii="Times New Roman" w:hAnsi="Times New Roman"/>
      <w:sz w:val="24"/>
      <w:szCs w:val="20"/>
      <w:lang w:val="en-GB"/>
    </w:rPr>
  </w:style>
  <w:style w:type="paragraph" w:styleId="Index9">
    <w:name w:val="index 9"/>
    <w:basedOn w:val="Normal"/>
    <w:next w:val="Normal"/>
    <w:semiHidden/>
    <w:pPr>
      <w:spacing w:after="240"/>
      <w:ind w:left="2160" w:hanging="240"/>
      <w:jc w:val="both"/>
    </w:pPr>
    <w:rPr>
      <w:rFonts w:ascii="Times New Roman" w:hAnsi="Times New Roman"/>
      <w:sz w:val="24"/>
      <w:szCs w:val="20"/>
      <w:lang w:val="en-GB"/>
    </w:rPr>
  </w:style>
  <w:style w:type="paragraph" w:styleId="IndexHeading">
    <w:name w:val="index heading"/>
    <w:basedOn w:val="Normal"/>
    <w:next w:val="Index1"/>
    <w:semiHidden/>
    <w:qFormat/>
    <w:pPr>
      <w:spacing w:after="240"/>
      <w:jc w:val="both"/>
    </w:pPr>
    <w:rPr>
      <w:b/>
      <w:sz w:val="24"/>
      <w:szCs w:val="20"/>
      <w:lang w:val="en-GB"/>
    </w:rPr>
  </w:style>
  <w:style w:type="paragraph" w:styleId="List">
    <w:name w:val="List"/>
    <w:basedOn w:val="Normal"/>
    <w:qFormat/>
    <w:pPr>
      <w:spacing w:after="240"/>
      <w:ind w:left="283" w:hanging="283"/>
      <w:jc w:val="both"/>
    </w:pPr>
    <w:rPr>
      <w:rFonts w:ascii="Times New Roman" w:hAnsi="Times New Roman"/>
      <w:sz w:val="24"/>
      <w:szCs w:val="20"/>
      <w:lang w:val="en-GB"/>
    </w:rPr>
  </w:style>
  <w:style w:type="paragraph" w:styleId="List2">
    <w:name w:val="List 2"/>
    <w:basedOn w:val="Normal"/>
    <w:pPr>
      <w:spacing w:after="240"/>
      <w:ind w:left="566" w:hanging="283"/>
      <w:jc w:val="both"/>
    </w:pPr>
    <w:rPr>
      <w:rFonts w:ascii="Times New Roman" w:hAnsi="Times New Roman"/>
      <w:sz w:val="24"/>
      <w:szCs w:val="20"/>
      <w:lang w:val="en-GB"/>
    </w:rPr>
  </w:style>
  <w:style w:type="paragraph" w:styleId="List3">
    <w:name w:val="List 3"/>
    <w:basedOn w:val="Normal"/>
    <w:qFormat/>
    <w:pPr>
      <w:spacing w:after="240"/>
      <w:ind w:left="849" w:hanging="283"/>
      <w:jc w:val="both"/>
    </w:pPr>
    <w:rPr>
      <w:rFonts w:ascii="Times New Roman" w:hAnsi="Times New Roman"/>
      <w:sz w:val="24"/>
      <w:szCs w:val="20"/>
      <w:lang w:val="en-GB"/>
    </w:rPr>
  </w:style>
  <w:style w:type="paragraph" w:styleId="List4">
    <w:name w:val="List 4"/>
    <w:basedOn w:val="Normal"/>
    <w:qFormat/>
    <w:pPr>
      <w:spacing w:after="240"/>
      <w:ind w:left="1132" w:hanging="283"/>
      <w:jc w:val="both"/>
    </w:pPr>
    <w:rPr>
      <w:rFonts w:ascii="Times New Roman" w:hAnsi="Times New Roman"/>
      <w:sz w:val="24"/>
      <w:szCs w:val="20"/>
      <w:lang w:val="en-GB"/>
    </w:rPr>
  </w:style>
  <w:style w:type="paragraph" w:styleId="List5">
    <w:name w:val="List 5"/>
    <w:basedOn w:val="Normal"/>
    <w:pPr>
      <w:spacing w:after="240"/>
      <w:ind w:left="1415" w:hanging="283"/>
      <w:jc w:val="both"/>
    </w:pPr>
    <w:rPr>
      <w:rFonts w:ascii="Times New Roman" w:hAnsi="Times New Roman"/>
      <w:sz w:val="24"/>
      <w:szCs w:val="20"/>
      <w:lang w:val="en-GB"/>
    </w:rPr>
  </w:style>
  <w:style w:type="paragraph" w:styleId="ListBullet">
    <w:name w:val="List Bullet"/>
    <w:basedOn w:val="Normal"/>
    <w:pPr>
      <w:numPr>
        <w:numId w:val="2"/>
      </w:numPr>
      <w:spacing w:after="240"/>
      <w:jc w:val="both"/>
    </w:pPr>
    <w:rPr>
      <w:rFonts w:ascii="Times New Roman" w:hAnsi="Times New Roman"/>
      <w:sz w:val="24"/>
      <w:szCs w:val="20"/>
      <w:lang w:val="en-GB"/>
    </w:rPr>
  </w:style>
  <w:style w:type="paragraph" w:styleId="ListBullet2">
    <w:name w:val="List Bullet 2"/>
    <w:basedOn w:val="Normal"/>
    <w:rsid w:val="004351C2"/>
    <w:pPr>
      <w:numPr>
        <w:numId w:val="3"/>
      </w:numPr>
      <w:tabs>
        <w:tab w:val="left" w:pos="2302"/>
      </w:tabs>
      <w:spacing w:after="240"/>
      <w:jc w:val="both"/>
    </w:pPr>
    <w:rPr>
      <w:rFonts w:ascii="Times New Roman" w:hAnsi="Times New Roman"/>
      <w:sz w:val="24"/>
      <w:szCs w:val="20"/>
      <w:lang w:val="en-GB"/>
    </w:rPr>
  </w:style>
  <w:style w:type="character" w:customStyle="1" w:styleId="CommentTextChar">
    <w:name w:val="Comment Text Char"/>
    <w:basedOn w:val="DefaultParagraphFont"/>
    <w:link w:val="CommentText"/>
    <w:uiPriority w:val="99"/>
    <w:qFormat/>
    <w:rsid w:val="00E32656"/>
    <w:rPr>
      <w:rFonts w:ascii="Arial" w:hAnsi="Arial"/>
      <w:lang w:val="en-US" w:eastAsia="en-US"/>
    </w:rPr>
  </w:style>
  <w:style w:type="paragraph" w:styleId="ListBullet3">
    <w:name w:val="List Bullet 3"/>
    <w:basedOn w:val="Normal"/>
    <w:qFormat/>
    <w:rsid w:val="004351C2"/>
    <w:pPr>
      <w:numPr>
        <w:numId w:val="4"/>
      </w:numPr>
      <w:tabs>
        <w:tab w:val="left" w:pos="2302"/>
      </w:tabs>
      <w:spacing w:after="240"/>
      <w:jc w:val="both"/>
    </w:pPr>
    <w:rPr>
      <w:rFonts w:ascii="Times New Roman" w:hAnsi="Times New Roman"/>
      <w:sz w:val="24"/>
      <w:szCs w:val="20"/>
      <w:lang w:val="en-GB"/>
    </w:rPr>
  </w:style>
  <w:style w:type="paragraph" w:styleId="ListBullet4">
    <w:name w:val="List Bullet 4"/>
    <w:basedOn w:val="Normal"/>
    <w:rsid w:val="004351C2"/>
    <w:pPr>
      <w:numPr>
        <w:numId w:val="5"/>
      </w:numPr>
      <w:tabs>
        <w:tab w:val="left" w:pos="2302"/>
      </w:tabs>
      <w:spacing w:after="240"/>
      <w:jc w:val="both"/>
    </w:pPr>
    <w:rPr>
      <w:rFonts w:ascii="Times New Roman" w:hAnsi="Times New Roman"/>
      <w:sz w:val="24"/>
      <w:szCs w:val="20"/>
      <w:lang w:val="en-GB"/>
    </w:rPr>
  </w:style>
  <w:style w:type="paragraph" w:styleId="ListBullet5">
    <w:name w:val="List Bullet 5"/>
    <w:basedOn w:val="Normal"/>
    <w:pPr>
      <w:numPr>
        <w:numId w:val="6"/>
      </w:numPr>
      <w:spacing w:after="240"/>
      <w:jc w:val="both"/>
    </w:pPr>
    <w:rPr>
      <w:rFonts w:ascii="Times New Roman" w:hAnsi="Times New Roman"/>
      <w:sz w:val="24"/>
      <w:szCs w:val="20"/>
      <w:lang w:val="en-GB"/>
    </w:rPr>
  </w:style>
  <w:style w:type="paragraph" w:styleId="ListContinue">
    <w:name w:val="List Continue"/>
    <w:basedOn w:val="Normal"/>
    <w:pPr>
      <w:spacing w:after="120"/>
      <w:ind w:left="283"/>
      <w:jc w:val="both"/>
    </w:pPr>
    <w:rPr>
      <w:rFonts w:ascii="Times New Roman" w:hAnsi="Times New Roman"/>
      <w:sz w:val="24"/>
      <w:szCs w:val="20"/>
      <w:lang w:val="en-GB"/>
    </w:rPr>
  </w:style>
  <w:style w:type="paragraph" w:styleId="ListContinue2">
    <w:name w:val="List Continue 2"/>
    <w:basedOn w:val="Normal"/>
    <w:pPr>
      <w:spacing w:after="120"/>
      <w:ind w:left="566"/>
      <w:jc w:val="both"/>
    </w:pPr>
    <w:rPr>
      <w:rFonts w:ascii="Times New Roman" w:hAnsi="Times New Roman"/>
      <w:sz w:val="24"/>
      <w:szCs w:val="20"/>
      <w:lang w:val="en-GB"/>
    </w:rPr>
  </w:style>
  <w:style w:type="paragraph" w:styleId="ListContinue3">
    <w:name w:val="List Continue 3"/>
    <w:basedOn w:val="Normal"/>
    <w:pPr>
      <w:spacing w:after="120"/>
      <w:ind w:left="849"/>
      <w:jc w:val="both"/>
    </w:pPr>
    <w:rPr>
      <w:rFonts w:ascii="Times New Roman" w:hAnsi="Times New Roman"/>
      <w:sz w:val="24"/>
      <w:szCs w:val="20"/>
      <w:lang w:val="en-GB"/>
    </w:rPr>
  </w:style>
  <w:style w:type="paragraph" w:styleId="ListContinue4">
    <w:name w:val="List Continue 4"/>
    <w:basedOn w:val="Normal"/>
    <w:pPr>
      <w:spacing w:after="120"/>
      <w:ind w:left="1132"/>
      <w:jc w:val="both"/>
    </w:pPr>
    <w:rPr>
      <w:rFonts w:ascii="Times New Roman" w:hAnsi="Times New Roman"/>
      <w:sz w:val="24"/>
      <w:szCs w:val="20"/>
      <w:lang w:val="en-GB"/>
    </w:rPr>
  </w:style>
  <w:style w:type="paragraph" w:styleId="ListContinue5">
    <w:name w:val="List Continue 5"/>
    <w:basedOn w:val="Normal"/>
    <w:pPr>
      <w:spacing w:after="120"/>
      <w:ind w:left="1415"/>
      <w:jc w:val="both"/>
    </w:pPr>
    <w:rPr>
      <w:rFonts w:ascii="Times New Roman" w:hAnsi="Times New Roman"/>
      <w:sz w:val="24"/>
      <w:szCs w:val="20"/>
      <w:lang w:val="en-GB"/>
    </w:rPr>
  </w:style>
  <w:style w:type="paragraph" w:styleId="ListNumber">
    <w:name w:val="List Number"/>
    <w:basedOn w:val="Normal"/>
    <w:pPr>
      <w:numPr>
        <w:numId w:val="7"/>
      </w:numPr>
      <w:spacing w:after="240"/>
      <w:jc w:val="both"/>
    </w:pPr>
    <w:rPr>
      <w:rFonts w:ascii="Times New Roman" w:hAnsi="Times New Roman"/>
      <w:sz w:val="24"/>
      <w:szCs w:val="20"/>
      <w:lang w:val="en-GB"/>
    </w:rPr>
  </w:style>
  <w:style w:type="paragraph" w:styleId="ListNumber2">
    <w:name w:val="List Number 2"/>
    <w:basedOn w:val="Normal"/>
    <w:pPr>
      <w:numPr>
        <w:numId w:val="8"/>
      </w:numPr>
      <w:spacing w:after="240"/>
      <w:jc w:val="both"/>
    </w:pPr>
    <w:rPr>
      <w:rFonts w:ascii="Times New Roman" w:hAnsi="Times New Roman"/>
      <w:sz w:val="24"/>
      <w:szCs w:val="20"/>
      <w:lang w:val="en-GB"/>
    </w:rPr>
  </w:style>
  <w:style w:type="paragraph" w:styleId="ListNumber3">
    <w:name w:val="List Number 3"/>
    <w:basedOn w:val="Normal"/>
    <w:rsid w:val="004351C2"/>
    <w:pPr>
      <w:numPr>
        <w:numId w:val="9"/>
      </w:numPr>
      <w:spacing w:after="240"/>
      <w:jc w:val="both"/>
    </w:pPr>
    <w:rPr>
      <w:rFonts w:ascii="Times New Roman" w:hAnsi="Times New Roman"/>
      <w:sz w:val="24"/>
      <w:szCs w:val="20"/>
      <w:lang w:val="en-GB"/>
    </w:rPr>
  </w:style>
  <w:style w:type="paragraph" w:styleId="ListNumber4">
    <w:name w:val="List Number 4"/>
    <w:basedOn w:val="Normal"/>
    <w:rsid w:val="004351C2"/>
    <w:pPr>
      <w:numPr>
        <w:numId w:val="10"/>
      </w:numPr>
      <w:spacing w:after="240"/>
      <w:jc w:val="both"/>
    </w:pPr>
    <w:rPr>
      <w:rFonts w:ascii="Times New Roman" w:hAnsi="Times New Roman"/>
      <w:sz w:val="24"/>
      <w:szCs w:val="20"/>
      <w:lang w:val="en-GB"/>
    </w:rPr>
  </w:style>
  <w:style w:type="paragraph" w:styleId="ListNumber5">
    <w:name w:val="List Number 5"/>
    <w:basedOn w:val="Normal"/>
    <w:pPr>
      <w:numPr>
        <w:numId w:val="11"/>
      </w:numPr>
      <w:spacing w:after="240"/>
      <w:jc w:val="both"/>
    </w:pPr>
    <w:rPr>
      <w:rFonts w:ascii="Times New Roman" w:hAnsi="Times New Roman"/>
      <w:sz w:val="24"/>
      <w:szCs w:val="20"/>
      <w:lang w:val="en-GB"/>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ind w:left="1134" w:hanging="1134"/>
      <w:jc w:val="both"/>
    </w:pPr>
    <w:rPr>
      <w:sz w:val="24"/>
      <w:szCs w:val="20"/>
      <w:lang w:val="en-GB"/>
    </w:rPr>
  </w:style>
  <w:style w:type="paragraph" w:styleId="NormalWeb">
    <w:name w:val="Normal (Web)"/>
    <w:basedOn w:val="Normal"/>
    <w:uiPriority w:val="99"/>
    <w:semiHidden/>
    <w:unhideWhenUsed/>
    <w:qFormat/>
    <w:rPr>
      <w:rFonts w:ascii="Times New Roman" w:hAnsi="Times New Roman"/>
      <w:sz w:val="24"/>
    </w:rPr>
  </w:style>
  <w:style w:type="paragraph" w:styleId="NormalIndent">
    <w:name w:val="Normal Indent"/>
    <w:basedOn w:val="Normal"/>
    <w:pPr>
      <w:spacing w:after="240"/>
      <w:ind w:left="720"/>
      <w:jc w:val="both"/>
    </w:pPr>
    <w:rPr>
      <w:rFonts w:ascii="Times New Roman" w:hAnsi="Times New Roman"/>
      <w:sz w:val="24"/>
      <w:szCs w:val="20"/>
      <w:lang w:val="en-GB"/>
    </w:rPr>
  </w:style>
  <w:style w:type="paragraph" w:styleId="NoteHeading">
    <w:name w:val="Note Heading"/>
    <w:basedOn w:val="Normal"/>
    <w:next w:val="Normal"/>
    <w:link w:val="NoteHeadingChar"/>
    <w:pPr>
      <w:spacing w:after="240"/>
      <w:jc w:val="both"/>
    </w:pPr>
    <w:rPr>
      <w:rFonts w:ascii="Times New Roman" w:hAnsi="Times New Roman"/>
      <w:sz w:val="24"/>
      <w:szCs w:val="20"/>
      <w:lang w:val="en-GB"/>
    </w:rPr>
  </w:style>
  <w:style w:type="paragraph" w:styleId="PlainText">
    <w:name w:val="Plain Text"/>
    <w:basedOn w:val="Normal"/>
    <w:link w:val="PlainTextChar"/>
    <w:pPr>
      <w:spacing w:after="240"/>
      <w:jc w:val="both"/>
    </w:pPr>
    <w:rPr>
      <w:rFonts w:ascii="Courier New" w:hAnsi="Courier New"/>
      <w:szCs w:val="20"/>
      <w:lang w:val="en-GB"/>
    </w:rPr>
  </w:style>
  <w:style w:type="paragraph" w:styleId="Salutation">
    <w:name w:val="Salutation"/>
    <w:basedOn w:val="Normal"/>
    <w:next w:val="Normal"/>
    <w:link w:val="SalutationChar"/>
    <w:pPr>
      <w:spacing w:after="240"/>
      <w:jc w:val="both"/>
    </w:pPr>
    <w:rPr>
      <w:rFonts w:ascii="Times New Roman" w:hAnsi="Times New Roman"/>
      <w:sz w:val="24"/>
      <w:szCs w:val="20"/>
      <w:lang w:val="en-GB"/>
    </w:rPr>
  </w:style>
  <w:style w:type="paragraph" w:styleId="Signature">
    <w:name w:val="Signature"/>
    <w:basedOn w:val="Normal"/>
    <w:next w:val="Enclosures"/>
    <w:link w:val="SignatureChar"/>
    <w:pPr>
      <w:tabs>
        <w:tab w:val="left" w:pos="5103"/>
      </w:tabs>
      <w:spacing w:before="1200"/>
      <w:ind w:left="5103"/>
      <w:jc w:val="center"/>
    </w:pPr>
    <w:rPr>
      <w:rFonts w:ascii="Times New Roman" w:hAnsi="Times New Roman"/>
      <w:sz w:val="24"/>
      <w:szCs w:val="20"/>
      <w:lang w:val="en-GB"/>
    </w:rPr>
  </w:style>
  <w:style w:type="paragraph" w:customStyle="1" w:styleId="Enclosures">
    <w:name w:val="Enclosures"/>
    <w:basedOn w:val="Normal"/>
    <w:pPr>
      <w:keepNext/>
      <w:keepLines/>
      <w:tabs>
        <w:tab w:val="left" w:pos="5642"/>
      </w:tabs>
      <w:spacing w:before="480"/>
      <w:ind w:left="1191" w:hanging="1191"/>
    </w:pPr>
    <w:rPr>
      <w:rFonts w:ascii="Times New Roman" w:hAnsi="Times New Roman"/>
      <w:sz w:val="24"/>
      <w:szCs w:val="20"/>
      <w:lang w:val="en-GB"/>
    </w:rPr>
  </w:style>
  <w:style w:type="paragraph" w:styleId="TableofAuthorities">
    <w:name w:val="table of authorities"/>
    <w:basedOn w:val="Normal"/>
    <w:next w:val="Normal"/>
    <w:semiHidden/>
    <w:pPr>
      <w:spacing w:after="240"/>
      <w:ind w:left="240" w:hanging="240"/>
      <w:jc w:val="both"/>
    </w:pPr>
    <w:rPr>
      <w:rFonts w:ascii="Times New Roman" w:hAnsi="Times New Roman"/>
      <w:sz w:val="24"/>
      <w:szCs w:val="20"/>
      <w:lang w:val="en-GB"/>
    </w:rPr>
  </w:style>
  <w:style w:type="paragraph" w:styleId="TableofFigures">
    <w:name w:val="table of figures"/>
    <w:basedOn w:val="Normal"/>
    <w:next w:val="Normal"/>
    <w:semiHidden/>
    <w:pPr>
      <w:spacing w:after="240"/>
      <w:ind w:left="480" w:hanging="480"/>
      <w:jc w:val="both"/>
    </w:pPr>
    <w:rPr>
      <w:rFonts w:ascii="Times New Roman" w:hAnsi="Times New Roman"/>
      <w:sz w:val="24"/>
      <w:szCs w:val="20"/>
      <w:lang w:val="en-GB"/>
    </w:rPr>
  </w:style>
  <w:style w:type="paragraph" w:styleId="TOAHeading">
    <w:name w:val="toa heading"/>
    <w:basedOn w:val="Normal"/>
    <w:next w:val="Normal"/>
    <w:semiHidden/>
    <w:pPr>
      <w:spacing w:before="120" w:after="240"/>
      <w:jc w:val="both"/>
    </w:pPr>
    <w:rPr>
      <w:b/>
      <w:sz w:val="24"/>
      <w:szCs w:val="20"/>
      <w:lang w:val="en-GB"/>
    </w:rPr>
  </w:style>
  <w:style w:type="paragraph" w:styleId="TOC1">
    <w:name w:val="toc 1"/>
    <w:basedOn w:val="Normal"/>
    <w:next w:val="Normal"/>
    <w:uiPriority w:val="39"/>
    <w:qFormat/>
    <w:pPr>
      <w:tabs>
        <w:tab w:val="left" w:pos="360"/>
        <w:tab w:val="right" w:leader="dot" w:pos="9629"/>
      </w:tabs>
      <w:spacing w:before="240"/>
      <w:ind w:left="284" w:hanging="284"/>
    </w:pPr>
    <w:rPr>
      <w:b/>
      <w:caps/>
    </w:rPr>
  </w:style>
  <w:style w:type="paragraph" w:styleId="TOC2">
    <w:name w:val="toc 2"/>
    <w:basedOn w:val="Normal"/>
    <w:next w:val="Normal"/>
    <w:uiPriority w:val="39"/>
    <w:qFormat/>
    <w:pPr>
      <w:tabs>
        <w:tab w:val="left" w:pos="900"/>
        <w:tab w:val="right" w:leader="dot" w:pos="9629"/>
      </w:tabs>
      <w:ind w:left="851" w:hanging="491"/>
    </w:pPr>
  </w:style>
  <w:style w:type="paragraph" w:styleId="TOC3">
    <w:name w:val="toc 3"/>
    <w:basedOn w:val="Normal"/>
    <w:next w:val="Normal"/>
    <w:uiPriority w:val="39"/>
    <w:qFormat/>
    <w:pPr>
      <w:tabs>
        <w:tab w:val="left" w:pos="1440"/>
        <w:tab w:val="right" w:leader="dot" w:pos="9629"/>
      </w:tabs>
      <w:ind w:left="900"/>
    </w:pPr>
  </w:style>
  <w:style w:type="paragraph" w:styleId="TOC4">
    <w:name w:val="toc 4"/>
    <w:basedOn w:val="Normal"/>
    <w:next w:val="Normal"/>
    <w:uiPriority w:val="39"/>
    <w:qFormat/>
    <w:pPr>
      <w:tabs>
        <w:tab w:val="left" w:pos="2340"/>
        <w:tab w:val="right" w:leader="dot" w:pos="9629"/>
      </w:tabs>
      <w:ind w:left="1440"/>
    </w:pPr>
    <w:rPr>
      <w:i/>
    </w:rPr>
  </w:style>
  <w:style w:type="paragraph" w:styleId="TOC5">
    <w:name w:val="toc 5"/>
    <w:basedOn w:val="Normal"/>
    <w:next w:val="Normal"/>
    <w:semiHidden/>
    <w:qFormat/>
    <w:pPr>
      <w:tabs>
        <w:tab w:val="right" w:leader="dot" w:pos="8641"/>
      </w:tabs>
      <w:spacing w:before="240" w:after="120"/>
      <w:ind w:right="720"/>
      <w:jc w:val="both"/>
    </w:pPr>
    <w:rPr>
      <w:rFonts w:ascii="Times New Roman" w:hAnsi="Times New Roman"/>
      <w:caps/>
      <w:sz w:val="24"/>
      <w:szCs w:val="20"/>
      <w:lang w:val="en-GB"/>
    </w:rPr>
  </w:style>
  <w:style w:type="paragraph" w:styleId="TOC6">
    <w:name w:val="toc 6"/>
    <w:basedOn w:val="Normal"/>
    <w:next w:val="Normal"/>
    <w:semiHidden/>
    <w:pPr>
      <w:spacing w:after="240"/>
      <w:ind w:left="1200"/>
      <w:jc w:val="both"/>
    </w:pPr>
    <w:rPr>
      <w:rFonts w:ascii="Times New Roman" w:hAnsi="Times New Roman"/>
      <w:sz w:val="24"/>
      <w:szCs w:val="20"/>
      <w:lang w:val="en-GB"/>
    </w:rPr>
  </w:style>
  <w:style w:type="paragraph" w:styleId="TOC7">
    <w:name w:val="toc 7"/>
    <w:basedOn w:val="Normal"/>
    <w:next w:val="Normal"/>
    <w:semiHidden/>
    <w:pPr>
      <w:spacing w:after="240"/>
      <w:ind w:left="1440"/>
      <w:jc w:val="both"/>
    </w:pPr>
    <w:rPr>
      <w:rFonts w:ascii="Times New Roman" w:hAnsi="Times New Roman"/>
      <w:sz w:val="24"/>
      <w:szCs w:val="20"/>
      <w:lang w:val="en-GB"/>
    </w:rPr>
  </w:style>
  <w:style w:type="paragraph" w:styleId="TOC8">
    <w:name w:val="toc 8"/>
    <w:basedOn w:val="Normal"/>
    <w:next w:val="Normal"/>
    <w:semiHidden/>
    <w:qFormat/>
    <w:pPr>
      <w:spacing w:after="240"/>
      <w:ind w:left="1680"/>
      <w:jc w:val="both"/>
    </w:pPr>
    <w:rPr>
      <w:rFonts w:ascii="Times New Roman" w:hAnsi="Times New Roman"/>
      <w:sz w:val="24"/>
      <w:szCs w:val="20"/>
      <w:lang w:val="en-GB"/>
    </w:rPr>
  </w:style>
  <w:style w:type="paragraph" w:styleId="TOC9">
    <w:name w:val="toc 9"/>
    <w:basedOn w:val="Normal"/>
    <w:next w:val="Normal"/>
    <w:semiHidden/>
    <w:pPr>
      <w:spacing w:after="240"/>
      <w:ind w:left="1920"/>
      <w:jc w:val="both"/>
    </w:pPr>
    <w:rPr>
      <w:rFonts w:ascii="Times New Roman" w:hAnsi="Times New Roman"/>
      <w:sz w:val="24"/>
      <w:szCs w:val="20"/>
      <w:lang w:val="en-GB"/>
    </w:rPr>
  </w:style>
  <w:style w:type="character" w:styleId="CommentReference">
    <w:name w:val="annotation reference"/>
    <w:basedOn w:val="DefaultParagraphFont"/>
    <w:uiPriority w:val="99"/>
    <w:qFormat/>
    <w:rPr>
      <w:rFonts w:cs="Times New Roman"/>
      <w:sz w:val="16"/>
    </w:rPr>
  </w:style>
  <w:style w:type="character" w:styleId="Emphasis">
    <w:name w:val="Emphasis"/>
    <w:basedOn w:val="DefaultParagraphFont"/>
    <w:uiPriority w:val="99"/>
    <w:qFormat/>
    <w:rPr>
      <w:rFonts w:cs="Times New Roman"/>
      <w:i/>
      <w:iCs/>
    </w:rPr>
  </w:style>
  <w:style w:type="character" w:styleId="EndnoteReference">
    <w:name w:val="endnote reference"/>
    <w:uiPriority w:val="99"/>
    <w:semiHidden/>
    <w:unhideWhenUsed/>
    <w:qFormat/>
    <w:rPr>
      <w:vertAlign w:val="superscript"/>
    </w:r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FootnoteReference">
    <w:name w:val="footnote reference"/>
    <w:basedOn w:val="DefaultParagraphFont"/>
    <w:uiPriority w:val="99"/>
    <w:qFormat/>
    <w:rPr>
      <w:vertAlign w:val="superscript"/>
    </w:rPr>
  </w:style>
  <w:style w:type="character" w:styleId="Hyperlink">
    <w:name w:val="Hyperlink"/>
    <w:basedOn w:val="DefaultParagraphFont"/>
    <w:uiPriority w:val="99"/>
    <w:qFormat/>
    <w:rPr>
      <w:color w:val="0000FF"/>
      <w:u w:val="single"/>
    </w:rPr>
  </w:style>
  <w:style w:type="table" w:styleId="TableContemporary">
    <w:name w:val="Table Contemporary"/>
    <w:basedOn w:val="TableNormal"/>
    <w:uiPriority w:val="99"/>
    <w:semiHidden/>
    <w:unhideWhenUsed/>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ParBulleted">
    <w:name w:val="ECC Par Bulleted"/>
    <w:basedOn w:val="ECCParagraph"/>
    <w:uiPriority w:val="99"/>
    <w:qFormat/>
    <w:pPr>
      <w:numPr>
        <w:numId w:val="12"/>
      </w:numPr>
      <w:spacing w:after="0"/>
    </w:pPr>
  </w:style>
  <w:style w:type="paragraph" w:customStyle="1" w:styleId="ECCAnnexheading1">
    <w:name w:val="ECC Annex heading1"/>
    <w:basedOn w:val="Heading1"/>
    <w:next w:val="ECCParagraph"/>
    <w:qFormat/>
    <w:pPr>
      <w:numPr>
        <w:numId w:val="13"/>
      </w:numPr>
    </w:pPr>
  </w:style>
  <w:style w:type="paragraph" w:customStyle="1" w:styleId="ECCFiguretitle">
    <w:name w:val="ECC Figure title"/>
    <w:basedOn w:val="ECCParagraph"/>
    <w:next w:val="ECCParagraph"/>
    <w:qFormat/>
    <w:pPr>
      <w:numPr>
        <w:numId w:val="14"/>
      </w:numPr>
      <w:spacing w:before="240" w:after="480"/>
      <w:jc w:val="center"/>
    </w:pPr>
    <w:rPr>
      <w:b/>
      <w:color w:val="D2232A"/>
    </w:rPr>
  </w:style>
  <w:style w:type="paragraph" w:customStyle="1" w:styleId="ECCTabletitle">
    <w:name w:val="ECC Table title"/>
    <w:basedOn w:val="ECCFiguretitle"/>
    <w:next w:val="ECCParagraph"/>
    <w:uiPriority w:val="99"/>
    <w:qFormat/>
    <w:pPr>
      <w:numPr>
        <w:numId w:val="15"/>
      </w:numPr>
      <w:spacing w:before="360" w:after="240"/>
    </w:pPr>
  </w:style>
  <w:style w:type="paragraph" w:customStyle="1" w:styleId="ECCFootnote">
    <w:name w:val="ECC Footnote"/>
    <w:basedOn w:val="Normal"/>
    <w:uiPriority w:val="99"/>
    <w:qFormat/>
    <w:pPr>
      <w:ind w:left="454" w:hanging="454"/>
    </w:pPr>
    <w:rPr>
      <w:sz w:val="16"/>
    </w:rPr>
  </w:style>
  <w:style w:type="paragraph" w:customStyle="1" w:styleId="ECCTablenote">
    <w:name w:val="ECC Table note"/>
    <w:basedOn w:val="ECCParagraph"/>
    <w:next w:val="ECCParagraph"/>
    <w:qFormat/>
    <w:pPr>
      <w:spacing w:after="0"/>
      <w:ind w:left="284" w:hanging="284"/>
    </w:pPr>
    <w:rPr>
      <w:sz w:val="16"/>
      <w:szCs w:val="16"/>
    </w:rPr>
  </w:style>
  <w:style w:type="paragraph" w:customStyle="1" w:styleId="reference">
    <w:name w:val="reference"/>
    <w:basedOn w:val="Normal"/>
    <w:uiPriority w:val="99"/>
    <w:qFormat/>
    <w:pPr>
      <w:numPr>
        <w:numId w:val="16"/>
      </w:numPr>
    </w:pPr>
    <w:rPr>
      <w:lang w:eastAsia="ja-JP"/>
    </w:rPr>
  </w:style>
  <w:style w:type="paragraph" w:customStyle="1" w:styleId="ECCAnnexheading2">
    <w:name w:val="ECC Annex heading2"/>
    <w:basedOn w:val="Normal"/>
    <w:next w:val="ECCParagraph"/>
    <w:qFormat/>
    <w:pPr>
      <w:numPr>
        <w:ilvl w:val="1"/>
        <w:numId w:val="13"/>
      </w:numPr>
      <w:overflowPunct w:val="0"/>
      <w:autoSpaceDE w:val="0"/>
      <w:autoSpaceDN w:val="0"/>
      <w:adjustRightInd w:val="0"/>
      <w:spacing w:before="480" w:after="240"/>
      <w:ind w:left="578" w:hanging="578"/>
      <w:textAlignment w:val="baseline"/>
    </w:pPr>
    <w:rPr>
      <w:b/>
      <w:caps/>
    </w:rPr>
  </w:style>
  <w:style w:type="paragraph" w:customStyle="1" w:styleId="ECCAnnexheading3">
    <w:name w:val="ECC Annex heading3"/>
    <w:basedOn w:val="Normal"/>
    <w:next w:val="ECCParagraph"/>
    <w:qFormat/>
    <w:pPr>
      <w:numPr>
        <w:ilvl w:val="2"/>
        <w:numId w:val="13"/>
      </w:numPr>
      <w:overflowPunct w:val="0"/>
      <w:autoSpaceDE w:val="0"/>
      <w:autoSpaceDN w:val="0"/>
      <w:adjustRightInd w:val="0"/>
      <w:spacing w:before="360" w:after="120"/>
      <w:ind w:left="720"/>
      <w:textAlignment w:val="baseline"/>
    </w:pPr>
    <w:rPr>
      <w:b/>
    </w:rPr>
  </w:style>
  <w:style w:type="paragraph" w:customStyle="1" w:styleId="ECCAnnexheading4">
    <w:name w:val="ECC Annex heading4"/>
    <w:basedOn w:val="Normal"/>
    <w:next w:val="ECCParagraph"/>
    <w:qFormat/>
    <w:pPr>
      <w:numPr>
        <w:ilvl w:val="3"/>
        <w:numId w:val="13"/>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qFormat/>
    <w:pPr>
      <w:spacing w:before="120" w:after="120"/>
      <w:ind w:left="3402"/>
    </w:pPr>
    <w:rPr>
      <w:bCs/>
      <w:sz w:val="18"/>
    </w:rPr>
  </w:style>
  <w:style w:type="paragraph" w:customStyle="1" w:styleId="Reporttitledescription">
    <w:name w:val="Report title/description"/>
    <w:basedOn w:val="Normal"/>
    <w:qFormat/>
    <w:pPr>
      <w:spacing w:before="600" w:line="288" w:lineRule="auto"/>
      <w:ind w:left="3402"/>
    </w:pPr>
    <w:rPr>
      <w:sz w:val="24"/>
    </w:rPr>
  </w:style>
  <w:style w:type="paragraph" w:customStyle="1" w:styleId="ECCNumbered-LetteredList">
    <w:name w:val="ECC Numbered-Lettered List"/>
    <w:basedOn w:val="Normal"/>
    <w:qFormat/>
    <w:pPr>
      <w:numPr>
        <w:numId w:val="17"/>
      </w:numPr>
    </w:pPr>
  </w:style>
  <w:style w:type="paragraph" w:customStyle="1" w:styleId="ECCNumberedBullets">
    <w:name w:val="ECC Numbered Bullets"/>
    <w:basedOn w:val="Normal"/>
    <w:qFormat/>
    <w:pPr>
      <w:numPr>
        <w:numId w:val="18"/>
      </w:numPr>
    </w:pPr>
  </w:style>
  <w:style w:type="character" w:customStyle="1" w:styleId="BalloonTextChar">
    <w:name w:val="Balloon Text Char"/>
    <w:basedOn w:val="DefaultParagraphFont"/>
    <w:link w:val="BalloonText"/>
    <w:uiPriority w:val="99"/>
    <w:semiHidden/>
    <w:qFormat/>
    <w:rPr>
      <w:rFonts w:ascii="Lucida Grande" w:hAnsi="Lucida Grande" w:cs="Lucida Grande"/>
      <w:sz w:val="18"/>
      <w:szCs w:val="18"/>
      <w:lang w:val="en-US"/>
    </w:rPr>
  </w:style>
  <w:style w:type="character" w:customStyle="1" w:styleId="st">
    <w:name w:val="st"/>
    <w:basedOn w:val="DefaultParagraphFont"/>
    <w:uiPriority w:val="99"/>
    <w:qFormat/>
    <w:rPr>
      <w:rFonts w:cs="Times New Roman"/>
    </w:rPr>
  </w:style>
  <w:style w:type="character" w:customStyle="1" w:styleId="FootnoteTextChar">
    <w:name w:val="Footnote Text Char"/>
    <w:basedOn w:val="DefaultParagraphFont"/>
    <w:link w:val="FootnoteText"/>
    <w:uiPriority w:val="99"/>
    <w:qFormat/>
    <w:rPr>
      <w:rFonts w:ascii="Arial" w:hAnsi="Arial"/>
      <w:lang w:val="en-US"/>
    </w:rPr>
  </w:style>
  <w:style w:type="paragraph" w:customStyle="1" w:styleId="ListBullet1">
    <w:name w:val="List Bullet 1"/>
    <w:basedOn w:val="Normal"/>
    <w:uiPriority w:val="99"/>
    <w:qFormat/>
    <w:pPr>
      <w:numPr>
        <w:numId w:val="19"/>
      </w:numPr>
      <w:suppressAutoHyphens/>
      <w:spacing w:after="240"/>
      <w:jc w:val="both"/>
    </w:pPr>
    <w:rPr>
      <w:rFonts w:ascii="Times New Roman" w:hAnsi="Times New Roman"/>
      <w:sz w:val="24"/>
      <w:szCs w:val="20"/>
      <w:lang w:val="en-GB" w:eastAsia="ar-SA"/>
    </w:rPr>
  </w:style>
  <w:style w:type="table" w:customStyle="1" w:styleId="Question-group-table">
    <w:name w:val="Question-group-table"/>
    <w:qFormat/>
    <w:rPr>
      <w:lang w:eastAsia="da-DK"/>
    </w:rPr>
    <w:tblPr>
      <w:tblCellMar>
        <w:top w:w="0" w:type="dxa"/>
        <w:left w:w="0" w:type="dxa"/>
        <w:bottom w:w="0" w:type="dxa"/>
        <w:right w:w="0" w:type="dxa"/>
      </w:tblCellMar>
    </w:tblPr>
  </w:style>
  <w:style w:type="paragraph" w:styleId="ListParagraph">
    <w:name w:val="List Paragraph"/>
    <w:basedOn w:val="Normal"/>
    <w:link w:val="ListParagraphChar"/>
    <w:uiPriority w:val="1"/>
    <w:qFormat/>
    <w:pPr>
      <w:ind w:left="720"/>
      <w:contextualSpacing/>
    </w:pPr>
  </w:style>
  <w:style w:type="character" w:customStyle="1" w:styleId="Heading1Char">
    <w:name w:val="Heading 1 Char"/>
    <w:basedOn w:val="DefaultParagraphFont"/>
    <w:link w:val="Heading1"/>
    <w:qFormat/>
    <w:rPr>
      <w:rFonts w:ascii="Arial" w:hAnsi="Arial" w:cs="Arial"/>
      <w:b/>
      <w:bCs/>
      <w:caps/>
      <w:color w:val="D2232A"/>
      <w:kern w:val="32"/>
      <w:szCs w:val="32"/>
      <w:lang w:val="en-GB" w:eastAsia="en-US"/>
    </w:rPr>
  </w:style>
  <w:style w:type="table" w:customStyle="1" w:styleId="TableGrid2">
    <w:name w:val="Table Grid2"/>
    <w:basedOn w:val="TableNormal"/>
    <w:uiPriority w:val="59"/>
    <w:qFormat/>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locked/>
    <w:rPr>
      <w:rFonts w:ascii="Arial" w:hAnsi="Arial"/>
      <w:b/>
      <w:sz w:val="16"/>
      <w:szCs w:val="24"/>
      <w:lang w:val="en-US"/>
    </w:rPr>
  </w:style>
  <w:style w:type="character" w:customStyle="1" w:styleId="FooterChar">
    <w:name w:val="Footer Char"/>
    <w:basedOn w:val="DefaultParagraphFont"/>
    <w:link w:val="Footer"/>
    <w:uiPriority w:val="99"/>
    <w:qFormat/>
    <w:locked/>
    <w:rPr>
      <w:rFonts w:ascii="Arial" w:hAnsi="Arial"/>
      <w:szCs w:val="24"/>
      <w:lang w:val="en-US"/>
    </w:rPr>
  </w:style>
  <w:style w:type="paragraph" w:customStyle="1" w:styleId="ECCAnnex-heading1">
    <w:name w:val="ECC Annex - heading1"/>
    <w:basedOn w:val="Heading1"/>
    <w:next w:val="ECCParagraph"/>
    <w:uiPriority w:val="99"/>
    <w:qFormat/>
    <w:pPr>
      <w:tabs>
        <w:tab w:val="clear" w:pos="432"/>
      </w:tabs>
      <w:ind w:left="0" w:firstLine="0"/>
    </w:pPr>
    <w:rPr>
      <w:b w:val="0"/>
      <w:bCs w:val="0"/>
    </w:rPr>
  </w:style>
  <w:style w:type="character" w:customStyle="1" w:styleId="FootnoteCharacters">
    <w:name w:val="Footnote Characters"/>
    <w:qFormat/>
    <w:rPr>
      <w:vertAlign w:val="superscript"/>
    </w:rPr>
  </w:style>
  <w:style w:type="character" w:customStyle="1" w:styleId="observation">
    <w:name w:val="observation"/>
    <w:basedOn w:val="DefaultParagraphFont"/>
    <w:uiPriority w:val="99"/>
    <w:qFormat/>
    <w:rPr>
      <w:rFonts w:cs="Times New Roman"/>
    </w:rPr>
  </w:style>
  <w:style w:type="paragraph" w:customStyle="1" w:styleId="Sectionabullets">
    <w:name w:val="Section a bullets"/>
    <w:qFormat/>
    <w:pPr>
      <w:numPr>
        <w:ilvl w:val="5"/>
        <w:numId w:val="20"/>
      </w:numPr>
      <w:spacing w:after="240"/>
    </w:pPr>
    <w:rPr>
      <w:rFonts w:ascii="Arial" w:hAnsi="Arial"/>
      <w:color w:val="000000"/>
      <w:sz w:val="22"/>
      <w:szCs w:val="48"/>
      <w:lang w:val="en-GB" w:eastAsia="en-GB"/>
    </w:rPr>
  </w:style>
  <w:style w:type="paragraph" w:customStyle="1" w:styleId="SectionBodyText">
    <w:name w:val="Section Body Text"/>
    <w:qFormat/>
    <w:pPr>
      <w:numPr>
        <w:ilvl w:val="7"/>
        <w:numId w:val="20"/>
      </w:numPr>
      <w:spacing w:after="240"/>
    </w:pPr>
    <w:rPr>
      <w:rFonts w:ascii="Arial" w:hAnsi="Arial"/>
      <w:color w:val="000000"/>
      <w:sz w:val="22"/>
      <w:szCs w:val="22"/>
      <w:lang w:val="en-GB" w:eastAsia="en-GB"/>
    </w:rPr>
  </w:style>
  <w:style w:type="paragraph" w:customStyle="1" w:styleId="Sectionibullets">
    <w:name w:val="Section i bullets"/>
    <w:qFormat/>
    <w:pPr>
      <w:numPr>
        <w:ilvl w:val="6"/>
        <w:numId w:val="20"/>
      </w:numPr>
      <w:spacing w:after="240"/>
    </w:pPr>
    <w:rPr>
      <w:rFonts w:ascii="Arial" w:hAnsi="Arial"/>
      <w:color w:val="000000"/>
      <w:sz w:val="22"/>
      <w:szCs w:val="48"/>
      <w:lang w:val="en-GB" w:eastAsia="en-GB"/>
    </w:rPr>
  </w:style>
  <w:style w:type="paragraph" w:customStyle="1" w:styleId="Sectionlevel1">
    <w:name w:val="Section level 1"/>
    <w:next w:val="SectionLevel2"/>
    <w:qFormat/>
    <w:pPr>
      <w:numPr>
        <w:ilvl w:val="1"/>
        <w:numId w:val="20"/>
      </w:numPr>
      <w:spacing w:before="240" w:after="240"/>
    </w:pPr>
    <w:rPr>
      <w:rFonts w:ascii="Arial" w:hAnsi="Arial"/>
      <w:color w:val="CC0033"/>
      <w:sz w:val="48"/>
      <w:szCs w:val="48"/>
      <w:lang w:val="en-GB" w:eastAsia="en-GB"/>
    </w:rPr>
  </w:style>
  <w:style w:type="paragraph" w:customStyle="1" w:styleId="SectionLevel2">
    <w:name w:val="Section Level 2"/>
    <w:next w:val="SectionLevel3"/>
    <w:qFormat/>
    <w:pPr>
      <w:keepNext/>
      <w:keepLines/>
      <w:numPr>
        <w:ilvl w:val="2"/>
        <w:numId w:val="20"/>
      </w:numPr>
      <w:spacing w:after="240"/>
    </w:pPr>
    <w:rPr>
      <w:rFonts w:ascii="Arial" w:hAnsi="Arial"/>
      <w:b/>
      <w:color w:val="CC0033"/>
      <w:sz w:val="28"/>
      <w:szCs w:val="48"/>
      <w:lang w:val="en-GB" w:eastAsia="en-GB"/>
    </w:rPr>
  </w:style>
  <w:style w:type="paragraph" w:customStyle="1" w:styleId="SectionLevel3">
    <w:name w:val="Section Level 3"/>
    <w:link w:val="SectionLevel3Char"/>
    <w:qFormat/>
    <w:pPr>
      <w:numPr>
        <w:ilvl w:val="3"/>
        <w:numId w:val="20"/>
      </w:numPr>
      <w:tabs>
        <w:tab w:val="clear" w:pos="142"/>
      </w:tabs>
      <w:spacing w:after="240"/>
      <w:ind w:left="720"/>
    </w:pPr>
    <w:rPr>
      <w:rFonts w:ascii="Arial" w:hAnsi="Arial"/>
      <w:color w:val="000000"/>
      <w:sz w:val="22"/>
      <w:szCs w:val="48"/>
      <w:lang w:val="en-GB" w:eastAsia="en-GB"/>
    </w:rPr>
  </w:style>
  <w:style w:type="paragraph" w:customStyle="1" w:styleId="SectionLevel4">
    <w:name w:val="Section Level 4"/>
    <w:qFormat/>
    <w:pPr>
      <w:numPr>
        <w:ilvl w:val="4"/>
        <w:numId w:val="20"/>
      </w:numPr>
      <w:spacing w:after="240"/>
    </w:pPr>
    <w:rPr>
      <w:rFonts w:ascii="Arial" w:hAnsi="Arial"/>
      <w:color w:val="000000"/>
      <w:sz w:val="22"/>
      <w:szCs w:val="48"/>
      <w:lang w:val="en-GB" w:eastAsia="en-GB"/>
    </w:rPr>
  </w:style>
  <w:style w:type="paragraph" w:customStyle="1" w:styleId="SectionNumber">
    <w:name w:val="Section Number"/>
    <w:next w:val="Sectionlevel1"/>
    <w:qFormat/>
    <w:pPr>
      <w:pageBreakBefore/>
      <w:numPr>
        <w:numId w:val="20"/>
      </w:numPr>
      <w:spacing w:after="240"/>
    </w:pPr>
    <w:rPr>
      <w:rFonts w:ascii="Arial" w:hAnsi="Arial"/>
      <w:b/>
      <w:color w:val="CC0033"/>
      <w:sz w:val="24"/>
      <w:szCs w:val="48"/>
      <w:lang w:val="en-GB" w:eastAsia="en-GB"/>
    </w:rPr>
  </w:style>
  <w:style w:type="character" w:customStyle="1" w:styleId="SectionLevel3Char">
    <w:name w:val="Section Level 3 Char"/>
    <w:basedOn w:val="DefaultParagraphFont"/>
    <w:link w:val="SectionLevel3"/>
    <w:locked/>
    <w:rPr>
      <w:rFonts w:ascii="Arial" w:hAnsi="Arial"/>
      <w:color w:val="000000"/>
      <w:sz w:val="22"/>
      <w:szCs w:val="48"/>
      <w:lang w:val="en-GB" w:eastAsia="en-GB"/>
    </w:rPr>
  </w:style>
  <w:style w:type="character" w:customStyle="1" w:styleId="CaptionChar">
    <w:name w:val="Caption Char"/>
    <w:link w:val="Caption"/>
    <w:qFormat/>
    <w:locked/>
    <w:rPr>
      <w:rFonts w:ascii="Arial" w:hAnsi="Arial"/>
      <w:b/>
      <w:bCs/>
      <w:color w:val="D2232A"/>
      <w:lang w:val="en-US"/>
    </w:rPr>
  </w:style>
  <w:style w:type="character" w:customStyle="1" w:styleId="CommentSubjectChar">
    <w:name w:val="Comment Subject Char"/>
    <w:basedOn w:val="DefaultParagraphFont"/>
    <w:link w:val="CommentSubject"/>
    <w:uiPriority w:val="99"/>
    <w:semiHidden/>
    <w:rsid w:val="000B688C"/>
    <w:rPr>
      <w:rFonts w:ascii="Arial" w:hAnsi="Arial"/>
      <w:b/>
      <w:bCs/>
      <w:lang w:val="en-US"/>
    </w:rPr>
  </w:style>
  <w:style w:type="paragraph" w:customStyle="1" w:styleId="Rvision1">
    <w:name w:val="Révision1"/>
    <w:hidden/>
    <w:uiPriority w:val="99"/>
    <w:semiHidden/>
    <w:qFormat/>
    <w:rPr>
      <w:rFonts w:ascii="Arial" w:hAnsi="Arial"/>
      <w:szCs w:val="24"/>
      <w:lang w:val="en-US" w:eastAsia="en-US"/>
    </w:rPr>
  </w:style>
  <w:style w:type="paragraph" w:customStyle="1" w:styleId="ListNumber2Level2">
    <w:name w:val="List Number 2 (Level 2)"/>
    <w:basedOn w:val="Normal"/>
    <w:qFormat/>
    <w:pPr>
      <w:numPr>
        <w:ilvl w:val="1"/>
        <w:numId w:val="8"/>
      </w:numPr>
      <w:spacing w:after="240"/>
      <w:jc w:val="both"/>
    </w:pPr>
    <w:rPr>
      <w:rFonts w:ascii="Times New Roman" w:hAnsi="Times New Roman"/>
      <w:sz w:val="24"/>
      <w:szCs w:val="20"/>
      <w:lang w:val="en-GB"/>
    </w:rPr>
  </w:style>
  <w:style w:type="paragraph" w:customStyle="1" w:styleId="ListNumber2Level3">
    <w:name w:val="List Number 2 (Level 3)"/>
    <w:basedOn w:val="Normal"/>
    <w:pPr>
      <w:numPr>
        <w:ilvl w:val="2"/>
        <w:numId w:val="8"/>
      </w:numPr>
      <w:spacing w:after="240"/>
      <w:jc w:val="both"/>
    </w:pPr>
    <w:rPr>
      <w:rFonts w:ascii="Times New Roman" w:hAnsi="Times New Roman"/>
      <w:sz w:val="24"/>
      <w:szCs w:val="20"/>
      <w:lang w:val="en-GB"/>
    </w:rPr>
  </w:style>
  <w:style w:type="paragraph" w:customStyle="1" w:styleId="ListNumber2Level4">
    <w:name w:val="List Number 2 (Level 4)"/>
    <w:basedOn w:val="Normal"/>
    <w:pPr>
      <w:numPr>
        <w:ilvl w:val="3"/>
        <w:numId w:val="8"/>
      </w:numPr>
      <w:spacing w:after="240"/>
      <w:ind w:left="3901" w:hanging="703"/>
      <w:jc w:val="both"/>
    </w:pPr>
    <w:rPr>
      <w:rFonts w:ascii="Times New Roman" w:hAnsi="Times New Roman"/>
      <w:sz w:val="24"/>
      <w:szCs w:val="20"/>
      <w:lang w:val="en-GB"/>
    </w:rPr>
  </w:style>
  <w:style w:type="paragraph" w:customStyle="1" w:styleId="Address">
    <w:name w:val="Address"/>
    <w:basedOn w:val="Normal"/>
    <w:rPr>
      <w:rFonts w:ascii="Times New Roman" w:hAnsi="Times New Roman"/>
      <w:sz w:val="24"/>
      <w:szCs w:val="20"/>
      <w:lang w:val="en-GB"/>
    </w:rPr>
  </w:style>
  <w:style w:type="paragraph" w:customStyle="1" w:styleId="AddressTL">
    <w:name w:val="AddressTL"/>
    <w:basedOn w:val="Normal"/>
    <w:next w:val="Normal"/>
    <w:pPr>
      <w:spacing w:after="720"/>
    </w:pPr>
    <w:rPr>
      <w:rFonts w:ascii="Times New Roman" w:hAnsi="Times New Roman"/>
      <w:sz w:val="24"/>
      <w:szCs w:val="20"/>
      <w:lang w:val="en-GB"/>
    </w:rPr>
  </w:style>
  <w:style w:type="character" w:customStyle="1" w:styleId="BodyTextChar">
    <w:name w:val="Body Text Char"/>
    <w:basedOn w:val="DefaultParagraphFont"/>
    <w:link w:val="BodyText"/>
    <w:rPr>
      <w:sz w:val="24"/>
      <w:lang w:val="en-GB"/>
    </w:rPr>
  </w:style>
  <w:style w:type="character" w:customStyle="1" w:styleId="BodyText2Char">
    <w:name w:val="Body Text 2 Char"/>
    <w:basedOn w:val="DefaultParagraphFont"/>
    <w:link w:val="BodyText2"/>
    <w:rPr>
      <w:sz w:val="24"/>
      <w:lang w:val="en-GB"/>
    </w:rPr>
  </w:style>
  <w:style w:type="character" w:customStyle="1" w:styleId="BodyText3Char">
    <w:name w:val="Body Text 3 Char"/>
    <w:basedOn w:val="DefaultParagraphFont"/>
    <w:link w:val="BodyText3"/>
    <w:rPr>
      <w:sz w:val="16"/>
      <w:lang w:val="en-GB"/>
    </w:rPr>
  </w:style>
  <w:style w:type="character" w:customStyle="1" w:styleId="BodyTextFirstIndentChar">
    <w:name w:val="Body Text First Indent Char"/>
    <w:basedOn w:val="BodyTextChar"/>
    <w:link w:val="BodyTextFirstIndent"/>
    <w:rPr>
      <w:sz w:val="24"/>
      <w:lang w:val="en-GB"/>
    </w:rPr>
  </w:style>
  <w:style w:type="character" w:customStyle="1" w:styleId="BodyTextIndentChar">
    <w:name w:val="Body Text Indent Char"/>
    <w:basedOn w:val="DefaultParagraphFont"/>
    <w:link w:val="BodyTextIndent"/>
    <w:rPr>
      <w:sz w:val="24"/>
      <w:lang w:val="en-GB"/>
    </w:rPr>
  </w:style>
  <w:style w:type="character" w:customStyle="1" w:styleId="BodyTextFirstIndent2Char">
    <w:name w:val="Body Text First Indent 2 Char"/>
    <w:basedOn w:val="BodyTextIndentChar"/>
    <w:link w:val="BodyTextFirstIndent2"/>
    <w:rPr>
      <w:sz w:val="24"/>
      <w:lang w:val="en-GB"/>
    </w:rPr>
  </w:style>
  <w:style w:type="character" w:customStyle="1" w:styleId="BodyTextIndent2Char">
    <w:name w:val="Body Text Indent 2 Char"/>
    <w:basedOn w:val="DefaultParagraphFont"/>
    <w:link w:val="BodyTextIndent2"/>
    <w:rPr>
      <w:sz w:val="24"/>
      <w:lang w:val="en-GB"/>
    </w:rPr>
  </w:style>
  <w:style w:type="character" w:customStyle="1" w:styleId="BodyTextIndent3Char">
    <w:name w:val="Body Text Indent 3 Char"/>
    <w:basedOn w:val="DefaultParagraphFont"/>
    <w:link w:val="BodyTextIndent3"/>
    <w:rPr>
      <w:sz w:val="16"/>
      <w:lang w:val="en-GB"/>
    </w:rPr>
  </w:style>
  <w:style w:type="paragraph" w:customStyle="1" w:styleId="ChapterTitle">
    <w:name w:val="ChapterTitle"/>
    <w:basedOn w:val="Normal"/>
    <w:next w:val="SectionTitle"/>
    <w:pPr>
      <w:keepNext/>
      <w:spacing w:after="480"/>
      <w:jc w:val="center"/>
    </w:pPr>
    <w:rPr>
      <w:rFonts w:ascii="Times New Roman" w:hAnsi="Times New Roman"/>
      <w:b/>
      <w:sz w:val="32"/>
      <w:szCs w:val="20"/>
      <w:lang w:val="en-GB"/>
    </w:rPr>
  </w:style>
  <w:style w:type="paragraph" w:customStyle="1" w:styleId="SectionTitle">
    <w:name w:val="SectionTitle"/>
    <w:basedOn w:val="Normal"/>
    <w:next w:val="Heading1"/>
    <w:pPr>
      <w:keepNext/>
      <w:spacing w:after="480"/>
      <w:jc w:val="center"/>
    </w:pPr>
    <w:rPr>
      <w:rFonts w:ascii="Times New Roman" w:hAnsi="Times New Roman"/>
      <w:b/>
      <w:smallCaps/>
      <w:sz w:val="28"/>
      <w:szCs w:val="20"/>
      <w:lang w:val="en-GB"/>
    </w:rPr>
  </w:style>
  <w:style w:type="character" w:customStyle="1" w:styleId="ClosingChar">
    <w:name w:val="Closing Char"/>
    <w:basedOn w:val="DefaultParagraphFont"/>
    <w:link w:val="Closing"/>
    <w:rPr>
      <w:sz w:val="24"/>
      <w:lang w:val="en-GB"/>
    </w:rPr>
  </w:style>
  <w:style w:type="character" w:customStyle="1" w:styleId="DateChar">
    <w:name w:val="Date Char"/>
    <w:basedOn w:val="DefaultParagraphFont"/>
    <w:link w:val="Date"/>
    <w:rPr>
      <w:sz w:val="24"/>
      <w:lang w:val="en-GB"/>
    </w:rPr>
  </w:style>
  <w:style w:type="character" w:customStyle="1" w:styleId="DocumentMapChar">
    <w:name w:val="Document Map Char"/>
    <w:basedOn w:val="DefaultParagraphFont"/>
    <w:link w:val="DocumentMap"/>
    <w:semiHidden/>
    <w:rPr>
      <w:rFonts w:ascii="Tahoma" w:hAnsi="Tahoma"/>
      <w:sz w:val="24"/>
      <w:shd w:val="clear" w:color="auto" w:fill="000080"/>
      <w:lang w:val="en-GB"/>
    </w:rPr>
  </w:style>
  <w:style w:type="paragraph" w:customStyle="1" w:styleId="DoubSign">
    <w:name w:val="DoubSign"/>
    <w:basedOn w:val="Normal"/>
    <w:next w:val="Enclosures"/>
    <w:pPr>
      <w:tabs>
        <w:tab w:val="left" w:pos="5103"/>
      </w:tabs>
      <w:spacing w:before="1200"/>
    </w:pPr>
    <w:rPr>
      <w:rFonts w:ascii="Times New Roman" w:hAnsi="Times New Roman"/>
      <w:sz w:val="24"/>
      <w:szCs w:val="20"/>
      <w:lang w:val="en-GB"/>
    </w:rPr>
  </w:style>
  <w:style w:type="character" w:customStyle="1" w:styleId="EndnoteTextChar">
    <w:name w:val="Endnote Text Char"/>
    <w:basedOn w:val="DefaultParagraphFont"/>
    <w:link w:val="EndnoteText"/>
    <w:uiPriority w:val="99"/>
    <w:semiHidden/>
    <w:rPr>
      <w:lang w:val="en-GB"/>
    </w:rPr>
  </w:style>
  <w:style w:type="character" w:customStyle="1" w:styleId="MacroTextChar">
    <w:name w:val="Macro Text Char"/>
    <w:basedOn w:val="DefaultParagraphFont"/>
    <w:link w:val="MacroText"/>
    <w:semiHidden/>
    <w:rPr>
      <w:rFonts w:ascii="Courier New" w:hAnsi="Courier New"/>
      <w:lang w:val="en-GB"/>
    </w:rPr>
  </w:style>
  <w:style w:type="character" w:customStyle="1" w:styleId="MessageHeaderChar">
    <w:name w:val="Message Header Char"/>
    <w:basedOn w:val="DefaultParagraphFont"/>
    <w:link w:val="MessageHeader"/>
    <w:rPr>
      <w:rFonts w:ascii="Arial" w:hAnsi="Arial"/>
      <w:sz w:val="24"/>
      <w:shd w:val="pct20" w:color="auto" w:fill="auto"/>
      <w:lang w:val="en-GB"/>
    </w:rPr>
  </w:style>
  <w:style w:type="character" w:customStyle="1" w:styleId="NoteHeadingChar">
    <w:name w:val="Note Heading Char"/>
    <w:basedOn w:val="DefaultParagraphFont"/>
    <w:link w:val="NoteHeading"/>
    <w:rPr>
      <w:sz w:val="24"/>
      <w:lang w:val="en-GB"/>
    </w:rPr>
  </w:style>
  <w:style w:type="paragraph" w:customStyle="1" w:styleId="NoteHead">
    <w:name w:val="NoteHead"/>
    <w:basedOn w:val="Normal"/>
    <w:next w:val="Normal"/>
    <w:pPr>
      <w:spacing w:before="720" w:after="720"/>
      <w:jc w:val="center"/>
    </w:pPr>
    <w:rPr>
      <w:rFonts w:ascii="Times New Roman" w:hAnsi="Times New Roman"/>
      <w:b/>
      <w:smallCaps/>
      <w:sz w:val="24"/>
      <w:szCs w:val="20"/>
      <w:lang w:val="en-GB"/>
    </w:rPr>
  </w:style>
  <w:style w:type="paragraph" w:customStyle="1" w:styleId="NoteList">
    <w:name w:val="NoteList"/>
    <w:basedOn w:val="Normal"/>
    <w:next w:val="Normal"/>
    <w:pPr>
      <w:tabs>
        <w:tab w:val="left" w:pos="5823"/>
      </w:tabs>
      <w:spacing w:before="720" w:after="720"/>
      <w:ind w:left="5104" w:hanging="3119"/>
    </w:pPr>
    <w:rPr>
      <w:rFonts w:ascii="Times New Roman" w:hAnsi="Times New Roman"/>
      <w:b/>
      <w:smallCaps/>
      <w:sz w:val="24"/>
      <w:szCs w:val="20"/>
      <w:lang w:val="en-GB"/>
    </w:rPr>
  </w:style>
  <w:style w:type="paragraph" w:customStyle="1" w:styleId="NumPar1">
    <w:name w:val="NumPar 1"/>
    <w:basedOn w:val="Heading1"/>
    <w:next w:val="Normal"/>
    <w:pPr>
      <w:keepNext w:val="0"/>
      <w:pageBreakBefore w:val="0"/>
      <w:tabs>
        <w:tab w:val="clear" w:pos="432"/>
        <w:tab w:val="left" w:pos="480"/>
      </w:tabs>
      <w:spacing w:before="0"/>
      <w:ind w:left="480" w:hanging="480"/>
      <w:jc w:val="both"/>
      <w:outlineLvl w:val="9"/>
    </w:pPr>
    <w:rPr>
      <w:rFonts w:ascii="Times New Roman" w:hAnsi="Times New Roman" w:cs="Times New Roman"/>
      <w:b w:val="0"/>
      <w:bCs w:val="0"/>
      <w:caps w:val="0"/>
      <w:color w:val="auto"/>
      <w:kern w:val="0"/>
      <w:sz w:val="24"/>
      <w:szCs w:val="20"/>
    </w:rPr>
  </w:style>
  <w:style w:type="paragraph" w:customStyle="1" w:styleId="NumPar2">
    <w:name w:val="NumPar 2"/>
    <w:basedOn w:val="Heading2"/>
    <w:next w:val="Normal"/>
    <w:pPr>
      <w:keepNext w:val="0"/>
      <w:tabs>
        <w:tab w:val="left" w:pos="1200"/>
      </w:tabs>
      <w:spacing w:before="0"/>
      <w:ind w:left="1200" w:hanging="720"/>
      <w:jc w:val="both"/>
      <w:outlineLvl w:val="9"/>
    </w:pPr>
    <w:rPr>
      <w:rFonts w:ascii="Times New Roman" w:hAnsi="Times New Roman" w:cs="Times New Roman"/>
      <w:b w:val="0"/>
      <w:bCs w:val="0"/>
      <w:iCs w:val="0"/>
      <w:caps w:val="0"/>
      <w:sz w:val="24"/>
      <w:szCs w:val="20"/>
      <w:lang w:val="en-GB"/>
    </w:rPr>
  </w:style>
  <w:style w:type="paragraph" w:customStyle="1" w:styleId="NumPar3">
    <w:name w:val="NumPar 3"/>
    <w:basedOn w:val="Heading3"/>
    <w:next w:val="Normal"/>
    <w:qFormat/>
    <w:pPr>
      <w:keepNext w:val="0"/>
      <w:tabs>
        <w:tab w:val="clear" w:pos="720"/>
        <w:tab w:val="left" w:pos="1920"/>
      </w:tabs>
      <w:spacing w:before="0" w:after="240"/>
      <w:ind w:left="1920"/>
      <w:jc w:val="both"/>
      <w:outlineLvl w:val="9"/>
    </w:pPr>
    <w:rPr>
      <w:rFonts w:ascii="Times New Roman" w:hAnsi="Times New Roman" w:cs="Times New Roman"/>
      <w:b w:val="0"/>
      <w:bCs w:val="0"/>
      <w:sz w:val="24"/>
      <w:szCs w:val="20"/>
      <w:lang w:val="en-GB"/>
    </w:rPr>
  </w:style>
  <w:style w:type="paragraph" w:customStyle="1" w:styleId="NumPar4">
    <w:name w:val="NumPar 4"/>
    <w:basedOn w:val="Heading4"/>
    <w:next w:val="Normal"/>
    <w:pPr>
      <w:tabs>
        <w:tab w:val="left" w:pos="1920"/>
      </w:tabs>
      <w:spacing w:before="0" w:after="240"/>
      <w:ind w:left="1920" w:hanging="720"/>
      <w:jc w:val="both"/>
      <w:outlineLvl w:val="9"/>
    </w:pPr>
    <w:rPr>
      <w:rFonts w:ascii="Times New Roman" w:hAnsi="Times New Roman" w:cs="Times New Roman"/>
      <w:bCs w:val="0"/>
      <w:i w:val="0"/>
      <w:color w:val="auto"/>
      <w:sz w:val="24"/>
      <w:szCs w:val="20"/>
      <w:lang w:val="en-GB"/>
    </w:rPr>
  </w:style>
  <w:style w:type="paragraph" w:customStyle="1" w:styleId="PartTitle">
    <w:name w:val="PartTitle"/>
    <w:basedOn w:val="Normal"/>
    <w:next w:val="ChapterTitle"/>
    <w:pPr>
      <w:keepNext/>
      <w:pageBreakBefore/>
      <w:spacing w:after="480"/>
      <w:jc w:val="center"/>
    </w:pPr>
    <w:rPr>
      <w:rFonts w:ascii="Times New Roman" w:hAnsi="Times New Roman"/>
      <w:b/>
      <w:sz w:val="36"/>
      <w:szCs w:val="20"/>
      <w:lang w:val="en-GB"/>
    </w:rPr>
  </w:style>
  <w:style w:type="character" w:customStyle="1" w:styleId="PlainTextChar">
    <w:name w:val="Plain Text Char"/>
    <w:basedOn w:val="DefaultParagraphFont"/>
    <w:link w:val="PlainText"/>
    <w:rPr>
      <w:rFonts w:ascii="Courier New" w:hAnsi="Courier New"/>
      <w:lang w:val="en-GB"/>
    </w:rPr>
  </w:style>
  <w:style w:type="character" w:customStyle="1" w:styleId="SalutationChar">
    <w:name w:val="Salutation Char"/>
    <w:basedOn w:val="DefaultParagraphFont"/>
    <w:link w:val="Salutation"/>
    <w:rPr>
      <w:sz w:val="24"/>
      <w:lang w:val="en-GB"/>
    </w:rPr>
  </w:style>
  <w:style w:type="character" w:customStyle="1" w:styleId="SignatureChar">
    <w:name w:val="Signature Char"/>
    <w:basedOn w:val="DefaultParagraphFont"/>
    <w:link w:val="Signature"/>
    <w:rPr>
      <w:sz w:val="24"/>
      <w:lang w:val="en-GB"/>
    </w:rPr>
  </w:style>
  <w:style w:type="paragraph" w:customStyle="1" w:styleId="ListDash">
    <w:name w:val="List Dash"/>
    <w:basedOn w:val="Normal"/>
    <w:pPr>
      <w:numPr>
        <w:numId w:val="21"/>
      </w:numPr>
      <w:spacing w:after="240"/>
      <w:jc w:val="both"/>
    </w:pPr>
    <w:rPr>
      <w:rFonts w:ascii="Times New Roman" w:hAnsi="Times New Roman"/>
      <w:sz w:val="24"/>
      <w:szCs w:val="20"/>
      <w:lang w:val="en-GB"/>
    </w:rPr>
  </w:style>
  <w:style w:type="paragraph" w:customStyle="1" w:styleId="ListDash2">
    <w:name w:val="List Dash 2"/>
    <w:basedOn w:val="Normal"/>
    <w:rsid w:val="004351C2"/>
    <w:pPr>
      <w:numPr>
        <w:numId w:val="22"/>
      </w:numPr>
      <w:spacing w:after="240"/>
      <w:jc w:val="both"/>
    </w:pPr>
    <w:rPr>
      <w:rFonts w:ascii="Times New Roman" w:hAnsi="Times New Roman"/>
      <w:sz w:val="24"/>
      <w:szCs w:val="20"/>
      <w:lang w:val="en-GB"/>
    </w:rPr>
  </w:style>
  <w:style w:type="paragraph" w:customStyle="1" w:styleId="ListDash3">
    <w:name w:val="List Dash 3"/>
    <w:basedOn w:val="Normal"/>
    <w:rsid w:val="004351C2"/>
    <w:pPr>
      <w:numPr>
        <w:numId w:val="23"/>
      </w:numPr>
      <w:spacing w:after="240"/>
      <w:jc w:val="both"/>
    </w:pPr>
    <w:rPr>
      <w:rFonts w:ascii="Times New Roman" w:hAnsi="Times New Roman"/>
      <w:sz w:val="24"/>
      <w:szCs w:val="20"/>
      <w:lang w:val="en-GB"/>
    </w:rPr>
  </w:style>
  <w:style w:type="paragraph" w:customStyle="1" w:styleId="ListDash4">
    <w:name w:val="List Dash 4"/>
    <w:basedOn w:val="Normal"/>
    <w:rsid w:val="004351C2"/>
    <w:pPr>
      <w:numPr>
        <w:numId w:val="24"/>
      </w:numPr>
      <w:spacing w:after="240"/>
      <w:jc w:val="both"/>
    </w:pPr>
    <w:rPr>
      <w:rFonts w:ascii="Times New Roman" w:hAnsi="Times New Roman"/>
      <w:sz w:val="24"/>
      <w:szCs w:val="20"/>
      <w:lang w:val="en-GB"/>
    </w:rPr>
  </w:style>
  <w:style w:type="paragraph" w:customStyle="1" w:styleId="ListNumberLevel2">
    <w:name w:val="List Number (Level 2)"/>
    <w:basedOn w:val="Normal"/>
    <w:qFormat/>
    <w:pPr>
      <w:numPr>
        <w:ilvl w:val="1"/>
        <w:numId w:val="7"/>
      </w:numPr>
      <w:spacing w:after="240"/>
      <w:jc w:val="both"/>
    </w:pPr>
    <w:rPr>
      <w:rFonts w:ascii="Times New Roman" w:hAnsi="Times New Roman"/>
      <w:sz w:val="24"/>
      <w:szCs w:val="20"/>
      <w:lang w:val="en-GB"/>
    </w:rPr>
  </w:style>
  <w:style w:type="paragraph" w:customStyle="1" w:styleId="ListNumberLevel3">
    <w:name w:val="List Number (Level 3)"/>
    <w:basedOn w:val="Normal"/>
    <w:pPr>
      <w:numPr>
        <w:ilvl w:val="2"/>
        <w:numId w:val="7"/>
      </w:numPr>
      <w:spacing w:after="240"/>
      <w:jc w:val="both"/>
    </w:pPr>
    <w:rPr>
      <w:rFonts w:ascii="Times New Roman" w:hAnsi="Times New Roman"/>
      <w:sz w:val="24"/>
      <w:szCs w:val="20"/>
      <w:lang w:val="en-GB"/>
    </w:rPr>
  </w:style>
  <w:style w:type="paragraph" w:customStyle="1" w:styleId="ListNumberLevel4">
    <w:name w:val="List Number (Level 4)"/>
    <w:basedOn w:val="Normal"/>
    <w:pPr>
      <w:numPr>
        <w:ilvl w:val="3"/>
        <w:numId w:val="7"/>
      </w:numPr>
      <w:spacing w:after="240"/>
      <w:jc w:val="both"/>
    </w:pPr>
    <w:rPr>
      <w:rFonts w:ascii="Times New Roman" w:hAnsi="Times New Roman"/>
      <w:sz w:val="24"/>
      <w:szCs w:val="20"/>
      <w:lang w:val="en-GB"/>
    </w:rPr>
  </w:style>
  <w:style w:type="paragraph" w:customStyle="1" w:styleId="ListNumber1">
    <w:name w:val="List Number 1"/>
    <w:basedOn w:val="Normal"/>
    <w:qFormat/>
    <w:rsid w:val="004351C2"/>
    <w:pPr>
      <w:numPr>
        <w:numId w:val="25"/>
      </w:numPr>
      <w:spacing w:after="240"/>
      <w:jc w:val="both"/>
    </w:pPr>
    <w:rPr>
      <w:rFonts w:ascii="Times New Roman" w:hAnsi="Times New Roman"/>
      <w:sz w:val="24"/>
      <w:szCs w:val="20"/>
      <w:lang w:val="en-GB"/>
    </w:rPr>
  </w:style>
  <w:style w:type="paragraph" w:customStyle="1" w:styleId="ListNumber1Level2">
    <w:name w:val="List Number 1 (Level 2)"/>
    <w:basedOn w:val="Normal"/>
    <w:qFormat/>
    <w:rsid w:val="004351C2"/>
    <w:pPr>
      <w:numPr>
        <w:ilvl w:val="1"/>
        <w:numId w:val="25"/>
      </w:numPr>
      <w:spacing w:after="240"/>
      <w:jc w:val="both"/>
    </w:pPr>
    <w:rPr>
      <w:rFonts w:ascii="Times New Roman" w:hAnsi="Times New Roman"/>
      <w:sz w:val="24"/>
      <w:szCs w:val="20"/>
      <w:lang w:val="en-GB"/>
    </w:rPr>
  </w:style>
  <w:style w:type="paragraph" w:customStyle="1" w:styleId="ListNumber1Level3">
    <w:name w:val="List Number 1 (Level 3)"/>
    <w:basedOn w:val="Normal"/>
    <w:rsid w:val="004351C2"/>
    <w:pPr>
      <w:numPr>
        <w:ilvl w:val="2"/>
        <w:numId w:val="25"/>
      </w:numPr>
      <w:spacing w:after="240"/>
      <w:jc w:val="both"/>
    </w:pPr>
    <w:rPr>
      <w:rFonts w:ascii="Times New Roman" w:hAnsi="Times New Roman"/>
      <w:sz w:val="24"/>
      <w:szCs w:val="20"/>
      <w:lang w:val="en-GB"/>
    </w:rPr>
  </w:style>
  <w:style w:type="paragraph" w:customStyle="1" w:styleId="ListNumber1Level4">
    <w:name w:val="List Number 1 (Level 4)"/>
    <w:basedOn w:val="Normal"/>
    <w:qFormat/>
    <w:rsid w:val="004351C2"/>
    <w:pPr>
      <w:numPr>
        <w:ilvl w:val="3"/>
        <w:numId w:val="25"/>
      </w:numPr>
      <w:spacing w:after="240"/>
      <w:jc w:val="both"/>
    </w:pPr>
    <w:rPr>
      <w:rFonts w:ascii="Times New Roman" w:hAnsi="Times New Roman"/>
      <w:sz w:val="24"/>
      <w:szCs w:val="20"/>
      <w:lang w:val="en-GB"/>
    </w:rPr>
  </w:style>
  <w:style w:type="paragraph" w:customStyle="1" w:styleId="ListNumber3Level2">
    <w:name w:val="List Number 3 (Level 2)"/>
    <w:basedOn w:val="Normal"/>
    <w:rsid w:val="004351C2"/>
    <w:pPr>
      <w:numPr>
        <w:ilvl w:val="1"/>
        <w:numId w:val="9"/>
      </w:numPr>
      <w:spacing w:after="240"/>
      <w:jc w:val="both"/>
    </w:pPr>
    <w:rPr>
      <w:rFonts w:ascii="Times New Roman" w:hAnsi="Times New Roman"/>
      <w:sz w:val="24"/>
      <w:szCs w:val="20"/>
      <w:lang w:val="en-GB"/>
    </w:rPr>
  </w:style>
  <w:style w:type="paragraph" w:customStyle="1" w:styleId="ListNumber3Level3">
    <w:name w:val="List Number 3 (Level 3)"/>
    <w:basedOn w:val="Normal"/>
    <w:rsid w:val="004351C2"/>
    <w:pPr>
      <w:numPr>
        <w:ilvl w:val="2"/>
        <w:numId w:val="9"/>
      </w:numPr>
      <w:spacing w:after="240"/>
      <w:jc w:val="both"/>
    </w:pPr>
    <w:rPr>
      <w:rFonts w:ascii="Times New Roman" w:hAnsi="Times New Roman"/>
      <w:sz w:val="24"/>
      <w:szCs w:val="20"/>
      <w:lang w:val="en-GB"/>
    </w:rPr>
  </w:style>
  <w:style w:type="paragraph" w:customStyle="1" w:styleId="ListNumber3Level4">
    <w:name w:val="List Number 3 (Level 4)"/>
    <w:basedOn w:val="Normal"/>
    <w:rsid w:val="004351C2"/>
    <w:pPr>
      <w:numPr>
        <w:ilvl w:val="3"/>
        <w:numId w:val="9"/>
      </w:numPr>
      <w:spacing w:after="240"/>
      <w:jc w:val="both"/>
    </w:pPr>
    <w:rPr>
      <w:rFonts w:ascii="Times New Roman" w:hAnsi="Times New Roman"/>
      <w:sz w:val="24"/>
      <w:szCs w:val="20"/>
      <w:lang w:val="en-GB"/>
    </w:rPr>
  </w:style>
  <w:style w:type="paragraph" w:customStyle="1" w:styleId="ListNumber4Level2">
    <w:name w:val="List Number 4 (Level 2)"/>
    <w:basedOn w:val="Normal"/>
    <w:rsid w:val="004351C2"/>
    <w:pPr>
      <w:numPr>
        <w:ilvl w:val="1"/>
        <w:numId w:val="10"/>
      </w:numPr>
      <w:spacing w:after="240"/>
      <w:jc w:val="both"/>
    </w:pPr>
    <w:rPr>
      <w:rFonts w:ascii="Times New Roman" w:hAnsi="Times New Roman"/>
      <w:sz w:val="24"/>
      <w:szCs w:val="20"/>
      <w:lang w:val="en-GB"/>
    </w:rPr>
  </w:style>
  <w:style w:type="paragraph" w:customStyle="1" w:styleId="ListNumber4Level3">
    <w:name w:val="List Number 4 (Level 3)"/>
    <w:basedOn w:val="Normal"/>
    <w:qFormat/>
    <w:rsid w:val="004351C2"/>
    <w:pPr>
      <w:numPr>
        <w:ilvl w:val="2"/>
        <w:numId w:val="10"/>
      </w:numPr>
      <w:spacing w:after="240"/>
      <w:jc w:val="both"/>
    </w:pPr>
    <w:rPr>
      <w:rFonts w:ascii="Times New Roman" w:hAnsi="Times New Roman"/>
      <w:sz w:val="24"/>
      <w:szCs w:val="20"/>
      <w:lang w:val="en-GB"/>
    </w:rPr>
  </w:style>
  <w:style w:type="paragraph" w:customStyle="1" w:styleId="ListNumber4Level4">
    <w:name w:val="List Number 4 (Level 4)"/>
    <w:basedOn w:val="Normal"/>
    <w:rsid w:val="004351C2"/>
    <w:pPr>
      <w:numPr>
        <w:ilvl w:val="3"/>
        <w:numId w:val="10"/>
      </w:numPr>
      <w:spacing w:after="240"/>
      <w:jc w:val="both"/>
    </w:pPr>
    <w:rPr>
      <w:rFonts w:ascii="Times New Roman" w:hAnsi="Times New Roman"/>
      <w:sz w:val="24"/>
      <w:szCs w:val="20"/>
      <w:lang w:val="en-GB"/>
    </w:rPr>
  </w:style>
  <w:style w:type="paragraph" w:customStyle="1" w:styleId="En-ttedetabledesmatires1">
    <w:name w:val="En-tête de table des matières1"/>
    <w:basedOn w:val="Normal"/>
    <w:next w:val="Normal"/>
    <w:qFormat/>
    <w:pPr>
      <w:keepNext/>
      <w:spacing w:before="240" w:after="240"/>
      <w:jc w:val="center"/>
    </w:pPr>
    <w:rPr>
      <w:rFonts w:ascii="Times New Roman" w:hAnsi="Times New Roman"/>
      <w:b/>
      <w:sz w:val="24"/>
      <w:szCs w:val="20"/>
      <w:lang w:val="en-GB"/>
    </w:rPr>
  </w:style>
  <w:style w:type="paragraph" w:customStyle="1" w:styleId="Contact">
    <w:name w:val="Contact"/>
    <w:basedOn w:val="Normal"/>
    <w:next w:val="Normal"/>
    <w:qFormat/>
    <w:pPr>
      <w:spacing w:after="480"/>
      <w:ind w:left="567" w:hanging="567"/>
    </w:pPr>
    <w:rPr>
      <w:rFonts w:ascii="Times New Roman" w:hAnsi="Times New Roman"/>
      <w:sz w:val="24"/>
      <w:szCs w:val="20"/>
      <w:lang w:val="en-GB"/>
    </w:rPr>
  </w:style>
  <w:style w:type="paragraph" w:customStyle="1" w:styleId="Designator">
    <w:name w:val="Designator"/>
    <w:basedOn w:val="Normal"/>
    <w:pPr>
      <w:jc w:val="center"/>
    </w:pPr>
    <w:rPr>
      <w:rFonts w:ascii="Times New Roman" w:hAnsi="Times New Roman"/>
      <w:b/>
      <w:caps/>
      <w:sz w:val="32"/>
      <w:szCs w:val="20"/>
      <w:lang w:val="en-GB"/>
    </w:rPr>
  </w:style>
  <w:style w:type="paragraph" w:customStyle="1" w:styleId="Releasable">
    <w:name w:val="Releasable"/>
    <w:basedOn w:val="Normal"/>
    <w:qFormat/>
    <w:pPr>
      <w:jc w:val="center"/>
    </w:pPr>
    <w:rPr>
      <w:rFonts w:ascii="Times New Roman" w:hAnsi="Times New Roman"/>
      <w:b/>
      <w:caps/>
      <w:sz w:val="32"/>
      <w:szCs w:val="20"/>
      <w:lang w:val="de-DE"/>
    </w:rPr>
  </w:style>
  <w:style w:type="paragraph" w:customStyle="1" w:styleId="RUE">
    <w:name w:val="RUE"/>
    <w:basedOn w:val="Normal"/>
    <w:pPr>
      <w:jc w:val="center"/>
    </w:pPr>
    <w:rPr>
      <w:rFonts w:ascii="Times New Roman" w:hAnsi="Times New Roman"/>
      <w:b/>
      <w:caps/>
      <w:sz w:val="32"/>
      <w:szCs w:val="20"/>
      <w:bdr w:val="single" w:sz="18" w:space="0" w:color="auto"/>
      <w:lang w:val="de-DE"/>
    </w:rPr>
  </w:style>
  <w:style w:type="paragraph" w:customStyle="1" w:styleId="ConfidentialUE">
    <w:name w:val="Confidential UE"/>
    <w:basedOn w:val="Normal"/>
    <w:pPr>
      <w:jc w:val="center"/>
    </w:pPr>
    <w:rPr>
      <w:rFonts w:ascii="Times New Roman" w:hAnsi="Times New Roman"/>
      <w:b/>
      <w:caps/>
      <w:sz w:val="32"/>
      <w:szCs w:val="20"/>
      <w:bdr w:val="single" w:sz="18" w:space="0" w:color="auto"/>
      <w:lang w:val="en-GB"/>
    </w:rPr>
  </w:style>
  <w:style w:type="paragraph" w:customStyle="1" w:styleId="SecretUE">
    <w:name w:val="Secret UE"/>
    <w:basedOn w:val="Normal"/>
    <w:qFormat/>
    <w:pPr>
      <w:jc w:val="center"/>
    </w:pPr>
    <w:rPr>
      <w:rFonts w:ascii="Times New Roman" w:hAnsi="Times New Roman"/>
      <w:b/>
      <w:caps/>
      <w:color w:val="FF0000"/>
      <w:sz w:val="32"/>
      <w:szCs w:val="20"/>
      <w:bdr w:val="single" w:sz="18" w:space="0" w:color="FF0000"/>
      <w:lang w:val="en-GB"/>
    </w:rPr>
  </w:style>
  <w:style w:type="paragraph" w:customStyle="1" w:styleId="LegalNumPar">
    <w:name w:val="LegalNumPar"/>
    <w:basedOn w:val="Normal"/>
    <w:pPr>
      <w:numPr>
        <w:numId w:val="26"/>
      </w:numPr>
      <w:tabs>
        <w:tab w:val="left" w:pos="360"/>
      </w:tabs>
      <w:spacing w:after="240" w:line="360" w:lineRule="auto"/>
      <w:ind w:left="0" w:firstLine="0"/>
    </w:pPr>
    <w:rPr>
      <w:rFonts w:ascii="Times New Roman" w:eastAsia="Calibri" w:hAnsi="Times New Roman"/>
      <w:sz w:val="24"/>
      <w:szCs w:val="22"/>
      <w:lang w:val="en-GB"/>
    </w:rPr>
  </w:style>
  <w:style w:type="paragraph" w:customStyle="1" w:styleId="LegalNumPar2">
    <w:name w:val="LegalNumPar2"/>
    <w:basedOn w:val="Normal"/>
    <w:pPr>
      <w:numPr>
        <w:ilvl w:val="1"/>
        <w:numId w:val="26"/>
      </w:numPr>
      <w:tabs>
        <w:tab w:val="left" w:pos="360"/>
      </w:tabs>
      <w:spacing w:after="240" w:line="360" w:lineRule="auto"/>
      <w:ind w:left="952" w:hanging="476"/>
    </w:pPr>
    <w:rPr>
      <w:rFonts w:ascii="Times New Roman" w:eastAsia="Calibri" w:hAnsi="Times New Roman"/>
      <w:sz w:val="24"/>
      <w:szCs w:val="22"/>
      <w:lang w:val="en-GB"/>
    </w:rPr>
  </w:style>
  <w:style w:type="paragraph" w:customStyle="1" w:styleId="LegalNumPar3">
    <w:name w:val="LegalNumPar3"/>
    <w:basedOn w:val="Normal"/>
    <w:pPr>
      <w:numPr>
        <w:ilvl w:val="2"/>
        <w:numId w:val="26"/>
      </w:numPr>
      <w:tabs>
        <w:tab w:val="left" w:pos="360"/>
      </w:tabs>
      <w:spacing w:after="240" w:line="360" w:lineRule="auto"/>
      <w:ind w:left="0" w:firstLine="0"/>
    </w:pPr>
    <w:rPr>
      <w:rFonts w:ascii="Times New Roman" w:eastAsia="Calibri" w:hAnsi="Times New Roman"/>
      <w:sz w:val="24"/>
      <w:szCs w:val="22"/>
      <w:lang w:val="en-GB"/>
    </w:rPr>
  </w:style>
  <w:style w:type="paragraph" w:customStyle="1" w:styleId="CarCar">
    <w:name w:val="Car Car"/>
    <w:basedOn w:val="Normal"/>
    <w:pPr>
      <w:tabs>
        <w:tab w:val="left" w:pos="540"/>
        <w:tab w:val="left" w:pos="1260"/>
        <w:tab w:val="left" w:pos="1800"/>
      </w:tabs>
      <w:spacing w:before="240" w:after="160" w:line="240" w:lineRule="exact"/>
    </w:pPr>
    <w:rPr>
      <w:rFonts w:ascii="Verdana" w:hAnsi="Verdana"/>
      <w:sz w:val="24"/>
      <w:szCs w:val="20"/>
    </w:rPr>
  </w:style>
  <w:style w:type="character" w:customStyle="1" w:styleId="Marker2">
    <w:name w:val="Marker2"/>
    <w:basedOn w:val="DefaultParagraphFont"/>
    <w:rPr>
      <w:color w:val="FF0000"/>
      <w:shd w:val="clear" w:color="auto" w:fill="auto"/>
    </w:rPr>
  </w:style>
  <w:style w:type="paragraph" w:customStyle="1" w:styleId="Bullet0">
    <w:name w:val="Bullet 0"/>
    <w:basedOn w:val="Normal"/>
    <w:pPr>
      <w:numPr>
        <w:numId w:val="27"/>
      </w:numPr>
      <w:tabs>
        <w:tab w:val="clear" w:pos="850"/>
        <w:tab w:val="left" w:pos="360"/>
      </w:tabs>
      <w:spacing w:before="120" w:after="120"/>
      <w:ind w:left="0" w:firstLine="0"/>
      <w:jc w:val="both"/>
    </w:pPr>
    <w:rPr>
      <w:rFonts w:ascii="Times New Roman" w:eastAsia="Calibri" w:hAnsi="Times New Roman"/>
      <w:sz w:val="24"/>
      <w:szCs w:val="22"/>
      <w:lang w:val="en-GB"/>
    </w:rPr>
  </w:style>
  <w:style w:type="paragraph" w:customStyle="1" w:styleId="Datedadoption">
    <w:name w:val="Date d'adoption"/>
    <w:basedOn w:val="Normal"/>
    <w:next w:val="Normal"/>
    <w:pPr>
      <w:spacing w:before="360"/>
      <w:jc w:val="center"/>
    </w:pPr>
    <w:rPr>
      <w:rFonts w:ascii="Times New Roman" w:eastAsia="Calibri" w:hAnsi="Times New Roman"/>
      <w:b/>
      <w:sz w:val="24"/>
      <w:szCs w:val="22"/>
      <w:lang w:val="en-GB"/>
    </w:rPr>
  </w:style>
  <w:style w:type="paragraph" w:customStyle="1" w:styleId="Fait">
    <w:name w:val="Fait à"/>
    <w:basedOn w:val="Normal"/>
    <w:next w:val="Institutionquisigne"/>
    <w:qFormat/>
    <w:pPr>
      <w:keepNext/>
      <w:spacing w:before="120"/>
      <w:jc w:val="both"/>
    </w:pPr>
    <w:rPr>
      <w:rFonts w:ascii="Times New Roman" w:eastAsia="Calibri" w:hAnsi="Times New Roman"/>
      <w:sz w:val="24"/>
      <w:szCs w:val="22"/>
      <w:lang w:val="en-GB"/>
    </w:rPr>
  </w:style>
  <w:style w:type="paragraph" w:customStyle="1" w:styleId="Institutionquisigne">
    <w:name w:val="Institution qui signe"/>
    <w:basedOn w:val="Normal"/>
    <w:next w:val="Personnequisigne"/>
    <w:pPr>
      <w:keepNext/>
      <w:tabs>
        <w:tab w:val="left" w:pos="4252"/>
      </w:tabs>
      <w:spacing w:before="720"/>
      <w:jc w:val="both"/>
    </w:pPr>
    <w:rPr>
      <w:rFonts w:ascii="Times New Roman" w:eastAsia="Calibri" w:hAnsi="Times New Roman"/>
      <w:i/>
      <w:sz w:val="24"/>
      <w:szCs w:val="22"/>
      <w:lang w:val="en-GB"/>
    </w:rPr>
  </w:style>
  <w:style w:type="paragraph" w:customStyle="1" w:styleId="Personnequisigne">
    <w:name w:val="Personne qui signe"/>
    <w:basedOn w:val="Normal"/>
    <w:next w:val="Institutionquisigne"/>
    <w:pPr>
      <w:tabs>
        <w:tab w:val="left" w:pos="4252"/>
      </w:tabs>
    </w:pPr>
    <w:rPr>
      <w:rFonts w:ascii="Times New Roman" w:eastAsia="Calibri" w:hAnsi="Times New Roman"/>
      <w:i/>
      <w:sz w:val="24"/>
      <w:szCs w:val="22"/>
      <w:lang w:val="en-GB"/>
    </w:rPr>
  </w:style>
  <w:style w:type="paragraph" w:customStyle="1" w:styleId="Formuledadoption">
    <w:name w:val="Formule d'adoption"/>
    <w:basedOn w:val="Normal"/>
    <w:next w:val="Normal"/>
    <w:qFormat/>
    <w:pPr>
      <w:keepNext/>
      <w:spacing w:before="120" w:after="120"/>
      <w:jc w:val="both"/>
    </w:pPr>
    <w:rPr>
      <w:rFonts w:ascii="Times New Roman" w:eastAsia="Calibri" w:hAnsi="Times New Roman"/>
      <w:sz w:val="24"/>
      <w:szCs w:val="22"/>
      <w:lang w:val="en-GB"/>
    </w:rPr>
  </w:style>
  <w:style w:type="paragraph" w:customStyle="1" w:styleId="Institutionquiagit">
    <w:name w:val="Institution qui agit"/>
    <w:basedOn w:val="Normal"/>
    <w:next w:val="Normal"/>
    <w:pPr>
      <w:keepNext/>
      <w:spacing w:before="600" w:after="120"/>
      <w:jc w:val="both"/>
    </w:pPr>
    <w:rPr>
      <w:rFonts w:ascii="Times New Roman" w:eastAsia="Calibri" w:hAnsi="Times New Roman"/>
      <w:sz w:val="24"/>
      <w:szCs w:val="22"/>
      <w:lang w:val="en-GB"/>
    </w:rPr>
  </w:style>
  <w:style w:type="paragraph" w:customStyle="1" w:styleId="ManualConsidrant">
    <w:name w:val="Manual Considérant"/>
    <w:basedOn w:val="Normal"/>
    <w:qFormat/>
    <w:pPr>
      <w:spacing w:before="120" w:after="120"/>
      <w:ind w:left="709" w:hanging="709"/>
      <w:jc w:val="both"/>
    </w:pPr>
    <w:rPr>
      <w:rFonts w:ascii="Times New Roman" w:eastAsia="Calibri" w:hAnsi="Times New Roman"/>
      <w:sz w:val="24"/>
      <w:szCs w:val="22"/>
      <w:lang w:val="en-GB"/>
    </w:rPr>
  </w:style>
  <w:style w:type="paragraph" w:customStyle="1" w:styleId="Pagedecouverture">
    <w:name w:val="Page de couverture"/>
    <w:basedOn w:val="Normal"/>
    <w:next w:val="Normal"/>
    <w:pPr>
      <w:jc w:val="both"/>
    </w:pPr>
    <w:rPr>
      <w:rFonts w:ascii="Times New Roman" w:eastAsia="Calibri" w:hAnsi="Times New Roman"/>
      <w:sz w:val="24"/>
      <w:szCs w:val="22"/>
      <w:lang w:val="en-GB"/>
    </w:rPr>
  </w:style>
  <w:style w:type="paragraph" w:customStyle="1" w:styleId="IntrtEEE">
    <w:name w:val="Intérêt EEE"/>
    <w:basedOn w:val="Normal"/>
    <w:next w:val="Normal"/>
    <w:pPr>
      <w:spacing w:before="360" w:after="240"/>
      <w:jc w:val="center"/>
    </w:pPr>
    <w:rPr>
      <w:rFonts w:ascii="Times New Roman" w:eastAsia="Calibri" w:hAnsi="Times New Roman"/>
      <w:sz w:val="24"/>
      <w:szCs w:val="22"/>
      <w:lang w:val="en-GB"/>
    </w:rPr>
  </w:style>
  <w:style w:type="character" w:customStyle="1" w:styleId="Heading2Char">
    <w:name w:val="Heading 2 Char"/>
    <w:link w:val="Heading2"/>
    <w:rsid w:val="00AD0EFB"/>
    <w:rPr>
      <w:rFonts w:ascii="Arial" w:hAnsi="Arial" w:cs="Arial"/>
      <w:b/>
      <w:bCs/>
      <w:iCs/>
      <w:caps/>
      <w:szCs w:val="28"/>
      <w:lang w:val="en-US" w:eastAsia="en-US"/>
    </w:rPr>
  </w:style>
  <w:style w:type="character" w:customStyle="1" w:styleId="Heading3Char">
    <w:name w:val="Heading 3 Char"/>
    <w:link w:val="Heading3"/>
    <w:rPr>
      <w:rFonts w:ascii="Arial" w:hAnsi="Arial" w:cs="Arial"/>
      <w:b/>
      <w:bCs/>
      <w:szCs w:val="26"/>
      <w:lang w:val="en-US" w:eastAsia="en-US"/>
    </w:rPr>
  </w:style>
  <w:style w:type="character" w:customStyle="1" w:styleId="Heading4Char">
    <w:name w:val="Heading 4 Char"/>
    <w:link w:val="Heading4"/>
    <w:rPr>
      <w:rFonts w:ascii="Arial" w:hAnsi="Arial" w:cs="Arial"/>
      <w:bCs/>
      <w:i/>
      <w:color w:val="D2232A"/>
      <w:szCs w:val="26"/>
      <w:lang w:val="en-US" w:eastAsia="en-US"/>
    </w:rPr>
  </w:style>
  <w:style w:type="character" w:customStyle="1" w:styleId="Heading5Char">
    <w:name w:val="Heading 5 Char"/>
    <w:link w:val="Heading5"/>
    <w:qFormat/>
    <w:rPr>
      <w:rFonts w:ascii="Arial" w:hAnsi="Arial"/>
      <w:b/>
      <w:bCs/>
      <w:i/>
      <w:iCs/>
      <w:sz w:val="26"/>
      <w:szCs w:val="26"/>
      <w:lang w:val="en-US" w:eastAsia="en-US"/>
    </w:rPr>
  </w:style>
  <w:style w:type="character" w:customStyle="1" w:styleId="Heading6Char">
    <w:name w:val="Heading 6 Char"/>
    <w:link w:val="Heading6"/>
    <w:rPr>
      <w:rFonts w:ascii="Arial" w:hAnsi="Arial"/>
      <w:b/>
      <w:bCs/>
      <w:sz w:val="22"/>
      <w:szCs w:val="22"/>
      <w:lang w:val="en-US" w:eastAsia="en-US"/>
    </w:rPr>
  </w:style>
  <w:style w:type="character" w:customStyle="1" w:styleId="Heading7Char">
    <w:name w:val="Heading 7 Char"/>
    <w:link w:val="Heading7"/>
    <w:qFormat/>
    <w:rPr>
      <w:rFonts w:ascii="Arial" w:hAnsi="Arial"/>
      <w:sz w:val="24"/>
      <w:szCs w:val="24"/>
      <w:lang w:val="en-US" w:eastAsia="en-US"/>
    </w:rPr>
  </w:style>
  <w:style w:type="character" w:customStyle="1" w:styleId="Heading8Char">
    <w:name w:val="Heading 8 Char"/>
    <w:link w:val="Heading8"/>
    <w:qFormat/>
    <w:rPr>
      <w:rFonts w:ascii="Arial" w:hAnsi="Arial"/>
      <w:i/>
      <w:iCs/>
      <w:sz w:val="24"/>
      <w:szCs w:val="24"/>
      <w:lang w:val="en-US" w:eastAsia="en-US"/>
    </w:rPr>
  </w:style>
  <w:style w:type="character" w:customStyle="1" w:styleId="Heading9Char">
    <w:name w:val="Heading 9 Char"/>
    <w:link w:val="Heading9"/>
    <w:qFormat/>
    <w:rPr>
      <w:rFonts w:ascii="Arial" w:hAnsi="Arial" w:cs="Arial"/>
      <w:sz w:val="22"/>
      <w:szCs w:val="22"/>
      <w:lang w:val="en-US" w:eastAsia="en-US"/>
    </w:rPr>
  </w:style>
  <w:style w:type="paragraph" w:customStyle="1" w:styleId="Annexetitre">
    <w:name w:val="Annexe titre"/>
    <w:basedOn w:val="Normal"/>
    <w:next w:val="Normal"/>
    <w:qFormat/>
    <w:pPr>
      <w:spacing w:before="120" w:after="120"/>
      <w:jc w:val="center"/>
    </w:pPr>
    <w:rPr>
      <w:rFonts w:ascii="Times New Roman" w:hAnsi="Times New Roman"/>
      <w:b/>
      <w:sz w:val="24"/>
      <w:u w:val="single"/>
      <w:lang w:val="en-GB"/>
    </w:rPr>
  </w:style>
  <w:style w:type="character" w:customStyle="1" w:styleId="Marker1">
    <w:name w:val="Marker1"/>
    <w:qFormat/>
    <w:rPr>
      <w:color w:val="008000"/>
      <w:shd w:val="clear" w:color="auto" w:fill="auto"/>
    </w:rPr>
  </w:style>
  <w:style w:type="table" w:customStyle="1" w:styleId="TableGrid1">
    <w:name w:val="Table Grid1"/>
    <w:basedOn w:val="TableNormal"/>
    <w:uiPriority w:val="59"/>
    <w:qFormat/>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
    <w:name w:val="Table Contemporary1"/>
    <w:basedOn w:val="TableNormal"/>
    <w:uiPriority w:val="99"/>
    <w:qFormat/>
    <w:pPr>
      <w:tabs>
        <w:tab w:val="left" w:pos="1418"/>
      </w:tabs>
      <w:spacing w:before="120" w:after="120" w:line="288" w:lineRule="auto"/>
    </w:pPr>
    <w:rPr>
      <w:rFonts w:eastAsia="SimSun"/>
      <w:lang w:val="en-GB" w:eastAsia="en-GB"/>
    </w:rPr>
    <w:tblPr>
      <w:tblBorders>
        <w:insideH w:val="single" w:sz="18" w:space="0" w:color="FFFFFF"/>
        <w:insideV w:val="single" w:sz="18" w:space="0" w:color="FFFFFF"/>
      </w:tblBorders>
    </w:tblPr>
    <w:tblStylePr w:type="firstRow">
      <w:rPr>
        <w:rFonts w:cs="Times New Roman"/>
        <w:b/>
        <w:bCs/>
        <w:color w:val="auto"/>
      </w:rPr>
      <w:tblPr/>
      <w:tcPr>
        <w:tcBorders>
          <w:tl2br w:val="nil"/>
          <w:tr2bl w:val="nil"/>
        </w:tcBorders>
        <w:shd w:val="pct20" w:color="000000" w:fill="FFFFFF"/>
      </w:tcPr>
    </w:tblStylePr>
    <w:tblStylePr w:type="band1Horz">
      <w:rPr>
        <w:rFonts w:cs="Times New Roman"/>
        <w:color w:val="auto"/>
      </w:rPr>
      <w:tblPr/>
      <w:tcPr>
        <w:tcBorders>
          <w:tl2br w:val="nil"/>
          <w:tr2bl w:val="nil"/>
        </w:tcBorders>
        <w:shd w:val="pct5" w:color="000000" w:fill="FFFFFF"/>
      </w:tcPr>
    </w:tblStylePr>
    <w:tblStylePr w:type="band2Horz">
      <w:rPr>
        <w:rFonts w:cs="Times New Roman"/>
        <w:color w:val="auto"/>
      </w:rPr>
      <w:tblPr/>
      <w:tcPr>
        <w:tcBorders>
          <w:tl2br w:val="nil"/>
          <w:tr2bl w:val="nil"/>
        </w:tcBorders>
        <w:shd w:val="pct20" w:color="000000" w:fill="FFFFFF"/>
      </w:tcPr>
    </w:tblStylePr>
  </w:style>
  <w:style w:type="paragraph" w:customStyle="1" w:styleId="B2">
    <w:name w:val="B2+"/>
    <w:basedOn w:val="Normal"/>
    <w:qFormat/>
    <w:pPr>
      <w:numPr>
        <w:numId w:val="28"/>
      </w:numPr>
      <w:overflowPunct w:val="0"/>
      <w:autoSpaceDE w:val="0"/>
      <w:autoSpaceDN w:val="0"/>
      <w:adjustRightInd w:val="0"/>
      <w:textAlignment w:val="baseline"/>
    </w:pPr>
    <w:rPr>
      <w:rFonts w:ascii="Times New Roman" w:hAnsi="Times New Roman"/>
      <w:szCs w:val="20"/>
      <w:lang w:val="en-GB"/>
    </w:rPr>
  </w:style>
  <w:style w:type="paragraph" w:customStyle="1" w:styleId="BN">
    <w:name w:val="BN"/>
    <w:basedOn w:val="Normal"/>
    <w:qFormat/>
    <w:pPr>
      <w:numPr>
        <w:numId w:val="29"/>
      </w:numPr>
      <w:overflowPunct w:val="0"/>
      <w:autoSpaceDE w:val="0"/>
      <w:autoSpaceDN w:val="0"/>
      <w:adjustRightInd w:val="0"/>
      <w:textAlignment w:val="baseline"/>
    </w:pPr>
    <w:rPr>
      <w:rFonts w:ascii="Times New Roman" w:hAnsi="Times New Roman"/>
      <w:szCs w:val="20"/>
      <w:lang w:val="en-GB"/>
    </w:rPr>
  </w:style>
  <w:style w:type="table" w:customStyle="1" w:styleId="TableContemporary2">
    <w:name w:val="Table Contemporary2"/>
    <w:basedOn w:val="TableNormal"/>
    <w:uiPriority w:val="99"/>
    <w:qFormat/>
    <w:pPr>
      <w:tabs>
        <w:tab w:val="left" w:pos="1418"/>
      </w:tabs>
      <w:spacing w:before="120" w:after="120" w:line="288" w:lineRule="auto"/>
    </w:pPr>
    <w:rPr>
      <w:rFonts w:eastAsia="SimSun"/>
      <w:lang w:val="en-GB" w:eastAsia="en-GB"/>
    </w:rPr>
    <w:tblPr>
      <w:tblBorders>
        <w:insideH w:val="single" w:sz="18" w:space="0" w:color="FFFFFF"/>
        <w:insideV w:val="single" w:sz="18" w:space="0" w:color="FFFFFF"/>
      </w:tblBorders>
    </w:tblPr>
    <w:tblStylePr w:type="firstRow">
      <w:rPr>
        <w:rFonts w:cs="Times New Roman"/>
        <w:b/>
        <w:bCs/>
        <w:color w:val="auto"/>
      </w:rPr>
      <w:tblPr/>
      <w:tcPr>
        <w:tcBorders>
          <w:tl2br w:val="nil"/>
          <w:tr2bl w:val="nil"/>
        </w:tcBorders>
        <w:shd w:val="pct20" w:color="000000" w:fill="FFFFFF"/>
      </w:tcPr>
    </w:tblStylePr>
    <w:tblStylePr w:type="band1Horz">
      <w:rPr>
        <w:rFonts w:cs="Times New Roman"/>
        <w:color w:val="auto"/>
      </w:rPr>
      <w:tblPr/>
      <w:tcPr>
        <w:tcBorders>
          <w:tl2br w:val="nil"/>
          <w:tr2bl w:val="nil"/>
        </w:tcBorders>
        <w:shd w:val="pct5" w:color="000000" w:fill="FFFFFF"/>
      </w:tcPr>
    </w:tblStylePr>
    <w:tblStylePr w:type="band2Horz">
      <w:rPr>
        <w:rFonts w:cs="Times New Roman"/>
        <w:color w:val="auto"/>
      </w:rPr>
      <w:tblPr/>
      <w:tcPr>
        <w:tcBorders>
          <w:tl2br w:val="nil"/>
          <w:tr2bl w:val="nil"/>
        </w:tcBorders>
        <w:shd w:val="pct20" w:color="000000" w:fill="FFFFFF"/>
      </w:tcPr>
    </w:tblStylePr>
  </w:style>
  <w:style w:type="table" w:customStyle="1" w:styleId="TableGrid3">
    <w:name w:val="Table Grid3"/>
    <w:basedOn w:val="TableNormal"/>
    <w:uiPriority w:val="59"/>
    <w:qFormat/>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redheader">
    <w:name w:val="ECC Table - red header"/>
    <w:basedOn w:val="TableNormal"/>
    <w:uiPriority w:val="99"/>
    <w:qFormat/>
    <w:pPr>
      <w:spacing w:before="60"/>
    </w:pPr>
    <w:rPr>
      <w:rFonts w:ascii="Arial" w:eastAsia="Calibri" w:hAnsi="Arial"/>
    </w:rPr>
    <w:tblPr>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auto"/>
          <w:tl2br w:val="nil"/>
          <w:tr2bl w:val="nil"/>
        </w:tcBorders>
        <w:shd w:val="clear" w:color="auto" w:fill="D22A23"/>
      </w:tcPr>
    </w:tblStylePr>
  </w:style>
  <w:style w:type="paragraph" w:customStyle="1" w:styleId="berarbeitung1">
    <w:name w:val="Überarbeitung1"/>
    <w:hidden/>
    <w:uiPriority w:val="99"/>
    <w:unhideWhenUsed/>
    <w:qFormat/>
    <w:pPr>
      <w:spacing w:after="0" w:line="240" w:lineRule="auto"/>
    </w:pPr>
    <w:rPr>
      <w:rFonts w:ascii="Arial" w:hAnsi="Arial"/>
      <w:szCs w:val="24"/>
      <w:lang w:val="en-US" w:eastAsia="en-US"/>
    </w:rPr>
  </w:style>
  <w:style w:type="character" w:customStyle="1" w:styleId="ListParagraphChar">
    <w:name w:val="List Paragraph Char"/>
    <w:link w:val="ListParagraph"/>
    <w:uiPriority w:val="34"/>
    <w:qFormat/>
    <w:locked/>
    <w:rPr>
      <w:rFonts w:ascii="Arial" w:hAnsi="Arial"/>
      <w:szCs w:val="24"/>
      <w:lang w:val="en-US" w:eastAsia="en-US"/>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val="fr-FR" w:eastAsia="en-US"/>
    </w:rPr>
  </w:style>
  <w:style w:type="paragraph" w:customStyle="1" w:styleId="ECCBulletsLv1">
    <w:name w:val="ECC Bullets Lv1"/>
    <w:basedOn w:val="Normal"/>
    <w:qFormat/>
    <w:pPr>
      <w:numPr>
        <w:numId w:val="30"/>
      </w:numPr>
      <w:tabs>
        <w:tab w:val="left" w:pos="340"/>
      </w:tabs>
      <w:spacing w:before="60" w:after="0" w:line="240" w:lineRule="auto"/>
      <w:jc w:val="both"/>
    </w:pPr>
    <w:rPr>
      <w:rFonts w:eastAsia="Calibri"/>
      <w:szCs w:val="22"/>
      <w:lang w:val="en-GB"/>
    </w:rPr>
  </w:style>
  <w:style w:type="character" w:customStyle="1" w:styleId="ECCHLbold">
    <w:name w:val="ECC HL bold"/>
    <w:uiPriority w:val="1"/>
    <w:qFormat/>
    <w:rPr>
      <w:b/>
    </w:rPr>
  </w:style>
  <w:style w:type="paragraph" w:customStyle="1" w:styleId="ECCTabletext">
    <w:name w:val="ECC Table text"/>
    <w:basedOn w:val="Normal"/>
    <w:qFormat/>
    <w:pPr>
      <w:spacing w:after="60" w:line="240" w:lineRule="auto"/>
      <w:jc w:val="both"/>
    </w:pPr>
    <w:rPr>
      <w:rFonts w:eastAsia="Calibri"/>
      <w:szCs w:val="22"/>
      <w:lang w:val="en-GB"/>
    </w:rPr>
  </w:style>
  <w:style w:type="paragraph" w:customStyle="1" w:styleId="ECCReference">
    <w:name w:val="ECC Reference"/>
    <w:basedOn w:val="Normal"/>
    <w:qFormat/>
    <w:pPr>
      <w:tabs>
        <w:tab w:val="left" w:pos="397"/>
      </w:tabs>
      <w:spacing w:after="0" w:line="240" w:lineRule="auto"/>
      <w:ind w:left="397" w:hanging="397"/>
      <w:jc w:val="both"/>
    </w:pPr>
    <w:rPr>
      <w:rFonts w:eastAsia="Calibri"/>
      <w:szCs w:val="22"/>
      <w:lang w:val="en-GB" w:eastAsia="ja-JP"/>
    </w:rPr>
  </w:style>
  <w:style w:type="paragraph" w:customStyle="1" w:styleId="Kopfzeile1">
    <w:name w:val="Kopfzeile1"/>
    <w:basedOn w:val="Header"/>
    <w:rsid w:val="00764F27"/>
    <w:pPr>
      <w:tabs>
        <w:tab w:val="clear" w:pos="4320"/>
        <w:tab w:val="clear" w:pos="8640"/>
        <w:tab w:val="center" w:pos="4536"/>
        <w:tab w:val="right" w:pos="9072"/>
      </w:tabs>
      <w:spacing w:after="0" w:line="240" w:lineRule="auto"/>
    </w:pPr>
    <w:rPr>
      <w:sz w:val="22"/>
      <w:szCs w:val="20"/>
      <w:lang w:val="nb-NO" w:eastAsia="de-DE"/>
    </w:rPr>
  </w:style>
  <w:style w:type="paragraph" w:styleId="Revision">
    <w:name w:val="Revision"/>
    <w:hidden/>
    <w:uiPriority w:val="99"/>
    <w:unhideWhenUsed/>
    <w:rsid w:val="00C05C04"/>
    <w:pPr>
      <w:spacing w:after="0" w:line="240" w:lineRule="auto"/>
    </w:pPr>
    <w:rPr>
      <w:rFonts w:ascii="Arial" w:hAnsi="Arial"/>
      <w:szCs w:val="24"/>
      <w:lang w:val="en-US" w:eastAsia="en-US"/>
    </w:rPr>
  </w:style>
  <w:style w:type="paragraph" w:styleId="NoSpacing">
    <w:name w:val="No Spacing"/>
    <w:uiPriority w:val="1"/>
    <w:qFormat/>
    <w:rsid w:val="0096295A"/>
    <w:pPr>
      <w:spacing w:after="0" w:line="240" w:lineRule="auto"/>
    </w:pPr>
    <w:rPr>
      <w:rFonts w:asciiTheme="minorHAnsi" w:eastAsiaTheme="minorHAnsi" w:hAnsiTheme="minorHAnsi" w:cstheme="minorBidi"/>
      <w:sz w:val="22"/>
      <w:szCs w:val="22"/>
      <w:lang w:val="en-GB" w:eastAsia="en-US"/>
    </w:rPr>
  </w:style>
  <w:style w:type="paragraph" w:customStyle="1" w:styleId="TableParagraph">
    <w:name w:val="Table Paragraph"/>
    <w:basedOn w:val="Normal"/>
    <w:uiPriority w:val="1"/>
    <w:qFormat/>
    <w:rsid w:val="00033176"/>
    <w:pPr>
      <w:widowControl w:val="0"/>
      <w:spacing w:after="0" w:line="240" w:lineRule="auto"/>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31401">
      <w:bodyDiv w:val="1"/>
      <w:marLeft w:val="0"/>
      <w:marRight w:val="0"/>
      <w:marTop w:val="0"/>
      <w:marBottom w:val="0"/>
      <w:divBdr>
        <w:top w:val="none" w:sz="0" w:space="0" w:color="auto"/>
        <w:left w:val="none" w:sz="0" w:space="0" w:color="auto"/>
        <w:bottom w:val="none" w:sz="0" w:space="0" w:color="auto"/>
        <w:right w:val="none" w:sz="0" w:space="0" w:color="auto"/>
      </w:divBdr>
    </w:div>
    <w:div w:id="56170231">
      <w:bodyDiv w:val="1"/>
      <w:marLeft w:val="0"/>
      <w:marRight w:val="0"/>
      <w:marTop w:val="0"/>
      <w:marBottom w:val="0"/>
      <w:divBdr>
        <w:top w:val="none" w:sz="0" w:space="0" w:color="auto"/>
        <w:left w:val="none" w:sz="0" w:space="0" w:color="auto"/>
        <w:bottom w:val="none" w:sz="0" w:space="0" w:color="auto"/>
        <w:right w:val="none" w:sz="0" w:space="0" w:color="auto"/>
      </w:divBdr>
    </w:div>
    <w:div w:id="105928692">
      <w:bodyDiv w:val="1"/>
      <w:marLeft w:val="0"/>
      <w:marRight w:val="0"/>
      <w:marTop w:val="0"/>
      <w:marBottom w:val="0"/>
      <w:divBdr>
        <w:top w:val="none" w:sz="0" w:space="0" w:color="auto"/>
        <w:left w:val="none" w:sz="0" w:space="0" w:color="auto"/>
        <w:bottom w:val="none" w:sz="0" w:space="0" w:color="auto"/>
        <w:right w:val="none" w:sz="0" w:space="0" w:color="auto"/>
      </w:divBdr>
    </w:div>
    <w:div w:id="119229810">
      <w:bodyDiv w:val="1"/>
      <w:marLeft w:val="0"/>
      <w:marRight w:val="0"/>
      <w:marTop w:val="0"/>
      <w:marBottom w:val="0"/>
      <w:divBdr>
        <w:top w:val="none" w:sz="0" w:space="0" w:color="auto"/>
        <w:left w:val="none" w:sz="0" w:space="0" w:color="auto"/>
        <w:bottom w:val="none" w:sz="0" w:space="0" w:color="auto"/>
        <w:right w:val="none" w:sz="0" w:space="0" w:color="auto"/>
      </w:divBdr>
    </w:div>
    <w:div w:id="124544886">
      <w:bodyDiv w:val="1"/>
      <w:marLeft w:val="0"/>
      <w:marRight w:val="0"/>
      <w:marTop w:val="0"/>
      <w:marBottom w:val="0"/>
      <w:divBdr>
        <w:top w:val="none" w:sz="0" w:space="0" w:color="auto"/>
        <w:left w:val="none" w:sz="0" w:space="0" w:color="auto"/>
        <w:bottom w:val="none" w:sz="0" w:space="0" w:color="auto"/>
        <w:right w:val="none" w:sz="0" w:space="0" w:color="auto"/>
      </w:divBdr>
    </w:div>
    <w:div w:id="186606320">
      <w:bodyDiv w:val="1"/>
      <w:marLeft w:val="0"/>
      <w:marRight w:val="0"/>
      <w:marTop w:val="0"/>
      <w:marBottom w:val="0"/>
      <w:divBdr>
        <w:top w:val="none" w:sz="0" w:space="0" w:color="auto"/>
        <w:left w:val="none" w:sz="0" w:space="0" w:color="auto"/>
        <w:bottom w:val="none" w:sz="0" w:space="0" w:color="auto"/>
        <w:right w:val="none" w:sz="0" w:space="0" w:color="auto"/>
      </w:divBdr>
    </w:div>
    <w:div w:id="216160704">
      <w:bodyDiv w:val="1"/>
      <w:marLeft w:val="0"/>
      <w:marRight w:val="0"/>
      <w:marTop w:val="0"/>
      <w:marBottom w:val="0"/>
      <w:divBdr>
        <w:top w:val="none" w:sz="0" w:space="0" w:color="auto"/>
        <w:left w:val="none" w:sz="0" w:space="0" w:color="auto"/>
        <w:bottom w:val="none" w:sz="0" w:space="0" w:color="auto"/>
        <w:right w:val="none" w:sz="0" w:space="0" w:color="auto"/>
      </w:divBdr>
    </w:div>
    <w:div w:id="235405397">
      <w:bodyDiv w:val="1"/>
      <w:marLeft w:val="0"/>
      <w:marRight w:val="0"/>
      <w:marTop w:val="0"/>
      <w:marBottom w:val="0"/>
      <w:divBdr>
        <w:top w:val="none" w:sz="0" w:space="0" w:color="auto"/>
        <w:left w:val="none" w:sz="0" w:space="0" w:color="auto"/>
        <w:bottom w:val="none" w:sz="0" w:space="0" w:color="auto"/>
        <w:right w:val="none" w:sz="0" w:space="0" w:color="auto"/>
      </w:divBdr>
    </w:div>
    <w:div w:id="279189676">
      <w:bodyDiv w:val="1"/>
      <w:marLeft w:val="0"/>
      <w:marRight w:val="0"/>
      <w:marTop w:val="0"/>
      <w:marBottom w:val="0"/>
      <w:divBdr>
        <w:top w:val="none" w:sz="0" w:space="0" w:color="auto"/>
        <w:left w:val="none" w:sz="0" w:space="0" w:color="auto"/>
        <w:bottom w:val="none" w:sz="0" w:space="0" w:color="auto"/>
        <w:right w:val="none" w:sz="0" w:space="0" w:color="auto"/>
      </w:divBdr>
    </w:div>
    <w:div w:id="343482187">
      <w:bodyDiv w:val="1"/>
      <w:marLeft w:val="0"/>
      <w:marRight w:val="0"/>
      <w:marTop w:val="0"/>
      <w:marBottom w:val="0"/>
      <w:divBdr>
        <w:top w:val="none" w:sz="0" w:space="0" w:color="auto"/>
        <w:left w:val="none" w:sz="0" w:space="0" w:color="auto"/>
        <w:bottom w:val="none" w:sz="0" w:space="0" w:color="auto"/>
        <w:right w:val="none" w:sz="0" w:space="0" w:color="auto"/>
      </w:divBdr>
    </w:div>
    <w:div w:id="366175198">
      <w:bodyDiv w:val="1"/>
      <w:marLeft w:val="0"/>
      <w:marRight w:val="0"/>
      <w:marTop w:val="0"/>
      <w:marBottom w:val="0"/>
      <w:divBdr>
        <w:top w:val="none" w:sz="0" w:space="0" w:color="auto"/>
        <w:left w:val="none" w:sz="0" w:space="0" w:color="auto"/>
        <w:bottom w:val="none" w:sz="0" w:space="0" w:color="auto"/>
        <w:right w:val="none" w:sz="0" w:space="0" w:color="auto"/>
      </w:divBdr>
    </w:div>
    <w:div w:id="443812170">
      <w:bodyDiv w:val="1"/>
      <w:marLeft w:val="0"/>
      <w:marRight w:val="0"/>
      <w:marTop w:val="0"/>
      <w:marBottom w:val="0"/>
      <w:divBdr>
        <w:top w:val="none" w:sz="0" w:space="0" w:color="auto"/>
        <w:left w:val="none" w:sz="0" w:space="0" w:color="auto"/>
        <w:bottom w:val="none" w:sz="0" w:space="0" w:color="auto"/>
        <w:right w:val="none" w:sz="0" w:space="0" w:color="auto"/>
      </w:divBdr>
    </w:div>
    <w:div w:id="447699111">
      <w:bodyDiv w:val="1"/>
      <w:marLeft w:val="0"/>
      <w:marRight w:val="0"/>
      <w:marTop w:val="0"/>
      <w:marBottom w:val="0"/>
      <w:divBdr>
        <w:top w:val="none" w:sz="0" w:space="0" w:color="auto"/>
        <w:left w:val="none" w:sz="0" w:space="0" w:color="auto"/>
        <w:bottom w:val="none" w:sz="0" w:space="0" w:color="auto"/>
        <w:right w:val="none" w:sz="0" w:space="0" w:color="auto"/>
      </w:divBdr>
    </w:div>
    <w:div w:id="643391679">
      <w:bodyDiv w:val="1"/>
      <w:marLeft w:val="0"/>
      <w:marRight w:val="0"/>
      <w:marTop w:val="0"/>
      <w:marBottom w:val="0"/>
      <w:divBdr>
        <w:top w:val="none" w:sz="0" w:space="0" w:color="auto"/>
        <w:left w:val="none" w:sz="0" w:space="0" w:color="auto"/>
        <w:bottom w:val="none" w:sz="0" w:space="0" w:color="auto"/>
        <w:right w:val="none" w:sz="0" w:space="0" w:color="auto"/>
      </w:divBdr>
    </w:div>
    <w:div w:id="674840473">
      <w:bodyDiv w:val="1"/>
      <w:marLeft w:val="0"/>
      <w:marRight w:val="0"/>
      <w:marTop w:val="0"/>
      <w:marBottom w:val="0"/>
      <w:divBdr>
        <w:top w:val="none" w:sz="0" w:space="0" w:color="auto"/>
        <w:left w:val="none" w:sz="0" w:space="0" w:color="auto"/>
        <w:bottom w:val="none" w:sz="0" w:space="0" w:color="auto"/>
        <w:right w:val="none" w:sz="0" w:space="0" w:color="auto"/>
      </w:divBdr>
    </w:div>
    <w:div w:id="722949576">
      <w:bodyDiv w:val="1"/>
      <w:marLeft w:val="0"/>
      <w:marRight w:val="0"/>
      <w:marTop w:val="0"/>
      <w:marBottom w:val="0"/>
      <w:divBdr>
        <w:top w:val="none" w:sz="0" w:space="0" w:color="auto"/>
        <w:left w:val="none" w:sz="0" w:space="0" w:color="auto"/>
        <w:bottom w:val="none" w:sz="0" w:space="0" w:color="auto"/>
        <w:right w:val="none" w:sz="0" w:space="0" w:color="auto"/>
      </w:divBdr>
    </w:div>
    <w:div w:id="734476709">
      <w:bodyDiv w:val="1"/>
      <w:marLeft w:val="0"/>
      <w:marRight w:val="0"/>
      <w:marTop w:val="0"/>
      <w:marBottom w:val="0"/>
      <w:divBdr>
        <w:top w:val="none" w:sz="0" w:space="0" w:color="auto"/>
        <w:left w:val="none" w:sz="0" w:space="0" w:color="auto"/>
        <w:bottom w:val="none" w:sz="0" w:space="0" w:color="auto"/>
        <w:right w:val="none" w:sz="0" w:space="0" w:color="auto"/>
      </w:divBdr>
    </w:div>
    <w:div w:id="920333040">
      <w:bodyDiv w:val="1"/>
      <w:marLeft w:val="0"/>
      <w:marRight w:val="0"/>
      <w:marTop w:val="0"/>
      <w:marBottom w:val="0"/>
      <w:divBdr>
        <w:top w:val="none" w:sz="0" w:space="0" w:color="auto"/>
        <w:left w:val="none" w:sz="0" w:space="0" w:color="auto"/>
        <w:bottom w:val="none" w:sz="0" w:space="0" w:color="auto"/>
        <w:right w:val="none" w:sz="0" w:space="0" w:color="auto"/>
      </w:divBdr>
    </w:div>
    <w:div w:id="990866487">
      <w:bodyDiv w:val="1"/>
      <w:marLeft w:val="0"/>
      <w:marRight w:val="0"/>
      <w:marTop w:val="0"/>
      <w:marBottom w:val="0"/>
      <w:divBdr>
        <w:top w:val="none" w:sz="0" w:space="0" w:color="auto"/>
        <w:left w:val="none" w:sz="0" w:space="0" w:color="auto"/>
        <w:bottom w:val="none" w:sz="0" w:space="0" w:color="auto"/>
        <w:right w:val="none" w:sz="0" w:space="0" w:color="auto"/>
      </w:divBdr>
    </w:div>
    <w:div w:id="1030911060">
      <w:bodyDiv w:val="1"/>
      <w:marLeft w:val="0"/>
      <w:marRight w:val="0"/>
      <w:marTop w:val="0"/>
      <w:marBottom w:val="0"/>
      <w:divBdr>
        <w:top w:val="none" w:sz="0" w:space="0" w:color="auto"/>
        <w:left w:val="none" w:sz="0" w:space="0" w:color="auto"/>
        <w:bottom w:val="none" w:sz="0" w:space="0" w:color="auto"/>
        <w:right w:val="none" w:sz="0" w:space="0" w:color="auto"/>
      </w:divBdr>
    </w:div>
    <w:div w:id="1039092417">
      <w:bodyDiv w:val="1"/>
      <w:marLeft w:val="0"/>
      <w:marRight w:val="0"/>
      <w:marTop w:val="0"/>
      <w:marBottom w:val="0"/>
      <w:divBdr>
        <w:top w:val="none" w:sz="0" w:space="0" w:color="auto"/>
        <w:left w:val="none" w:sz="0" w:space="0" w:color="auto"/>
        <w:bottom w:val="none" w:sz="0" w:space="0" w:color="auto"/>
        <w:right w:val="none" w:sz="0" w:space="0" w:color="auto"/>
      </w:divBdr>
    </w:div>
    <w:div w:id="1096948061">
      <w:bodyDiv w:val="1"/>
      <w:marLeft w:val="0"/>
      <w:marRight w:val="0"/>
      <w:marTop w:val="0"/>
      <w:marBottom w:val="0"/>
      <w:divBdr>
        <w:top w:val="none" w:sz="0" w:space="0" w:color="auto"/>
        <w:left w:val="none" w:sz="0" w:space="0" w:color="auto"/>
        <w:bottom w:val="none" w:sz="0" w:space="0" w:color="auto"/>
        <w:right w:val="none" w:sz="0" w:space="0" w:color="auto"/>
      </w:divBdr>
    </w:div>
    <w:div w:id="1121804728">
      <w:bodyDiv w:val="1"/>
      <w:marLeft w:val="0"/>
      <w:marRight w:val="0"/>
      <w:marTop w:val="0"/>
      <w:marBottom w:val="0"/>
      <w:divBdr>
        <w:top w:val="none" w:sz="0" w:space="0" w:color="auto"/>
        <w:left w:val="none" w:sz="0" w:space="0" w:color="auto"/>
        <w:bottom w:val="none" w:sz="0" w:space="0" w:color="auto"/>
        <w:right w:val="none" w:sz="0" w:space="0" w:color="auto"/>
      </w:divBdr>
    </w:div>
    <w:div w:id="1236474545">
      <w:bodyDiv w:val="1"/>
      <w:marLeft w:val="0"/>
      <w:marRight w:val="0"/>
      <w:marTop w:val="0"/>
      <w:marBottom w:val="0"/>
      <w:divBdr>
        <w:top w:val="none" w:sz="0" w:space="0" w:color="auto"/>
        <w:left w:val="none" w:sz="0" w:space="0" w:color="auto"/>
        <w:bottom w:val="none" w:sz="0" w:space="0" w:color="auto"/>
        <w:right w:val="none" w:sz="0" w:space="0" w:color="auto"/>
      </w:divBdr>
    </w:div>
    <w:div w:id="1242717017">
      <w:bodyDiv w:val="1"/>
      <w:marLeft w:val="0"/>
      <w:marRight w:val="0"/>
      <w:marTop w:val="0"/>
      <w:marBottom w:val="0"/>
      <w:divBdr>
        <w:top w:val="none" w:sz="0" w:space="0" w:color="auto"/>
        <w:left w:val="none" w:sz="0" w:space="0" w:color="auto"/>
        <w:bottom w:val="none" w:sz="0" w:space="0" w:color="auto"/>
        <w:right w:val="none" w:sz="0" w:space="0" w:color="auto"/>
      </w:divBdr>
    </w:div>
    <w:div w:id="1268074858">
      <w:bodyDiv w:val="1"/>
      <w:marLeft w:val="0"/>
      <w:marRight w:val="0"/>
      <w:marTop w:val="0"/>
      <w:marBottom w:val="0"/>
      <w:divBdr>
        <w:top w:val="none" w:sz="0" w:space="0" w:color="auto"/>
        <w:left w:val="none" w:sz="0" w:space="0" w:color="auto"/>
        <w:bottom w:val="none" w:sz="0" w:space="0" w:color="auto"/>
        <w:right w:val="none" w:sz="0" w:space="0" w:color="auto"/>
      </w:divBdr>
    </w:div>
    <w:div w:id="1276400387">
      <w:bodyDiv w:val="1"/>
      <w:marLeft w:val="0"/>
      <w:marRight w:val="0"/>
      <w:marTop w:val="0"/>
      <w:marBottom w:val="0"/>
      <w:divBdr>
        <w:top w:val="none" w:sz="0" w:space="0" w:color="auto"/>
        <w:left w:val="none" w:sz="0" w:space="0" w:color="auto"/>
        <w:bottom w:val="none" w:sz="0" w:space="0" w:color="auto"/>
        <w:right w:val="none" w:sz="0" w:space="0" w:color="auto"/>
      </w:divBdr>
    </w:div>
    <w:div w:id="1285690800">
      <w:bodyDiv w:val="1"/>
      <w:marLeft w:val="0"/>
      <w:marRight w:val="0"/>
      <w:marTop w:val="0"/>
      <w:marBottom w:val="0"/>
      <w:divBdr>
        <w:top w:val="none" w:sz="0" w:space="0" w:color="auto"/>
        <w:left w:val="none" w:sz="0" w:space="0" w:color="auto"/>
        <w:bottom w:val="none" w:sz="0" w:space="0" w:color="auto"/>
        <w:right w:val="none" w:sz="0" w:space="0" w:color="auto"/>
      </w:divBdr>
    </w:div>
    <w:div w:id="1288587947">
      <w:bodyDiv w:val="1"/>
      <w:marLeft w:val="0"/>
      <w:marRight w:val="0"/>
      <w:marTop w:val="0"/>
      <w:marBottom w:val="0"/>
      <w:divBdr>
        <w:top w:val="none" w:sz="0" w:space="0" w:color="auto"/>
        <w:left w:val="none" w:sz="0" w:space="0" w:color="auto"/>
        <w:bottom w:val="none" w:sz="0" w:space="0" w:color="auto"/>
        <w:right w:val="none" w:sz="0" w:space="0" w:color="auto"/>
      </w:divBdr>
    </w:div>
    <w:div w:id="1391347529">
      <w:bodyDiv w:val="1"/>
      <w:marLeft w:val="0"/>
      <w:marRight w:val="0"/>
      <w:marTop w:val="0"/>
      <w:marBottom w:val="0"/>
      <w:divBdr>
        <w:top w:val="none" w:sz="0" w:space="0" w:color="auto"/>
        <w:left w:val="none" w:sz="0" w:space="0" w:color="auto"/>
        <w:bottom w:val="none" w:sz="0" w:space="0" w:color="auto"/>
        <w:right w:val="none" w:sz="0" w:space="0" w:color="auto"/>
      </w:divBdr>
    </w:div>
    <w:div w:id="1407847934">
      <w:bodyDiv w:val="1"/>
      <w:marLeft w:val="0"/>
      <w:marRight w:val="0"/>
      <w:marTop w:val="0"/>
      <w:marBottom w:val="0"/>
      <w:divBdr>
        <w:top w:val="none" w:sz="0" w:space="0" w:color="auto"/>
        <w:left w:val="none" w:sz="0" w:space="0" w:color="auto"/>
        <w:bottom w:val="none" w:sz="0" w:space="0" w:color="auto"/>
        <w:right w:val="none" w:sz="0" w:space="0" w:color="auto"/>
      </w:divBdr>
    </w:div>
    <w:div w:id="1417939486">
      <w:bodyDiv w:val="1"/>
      <w:marLeft w:val="0"/>
      <w:marRight w:val="0"/>
      <w:marTop w:val="0"/>
      <w:marBottom w:val="0"/>
      <w:divBdr>
        <w:top w:val="none" w:sz="0" w:space="0" w:color="auto"/>
        <w:left w:val="none" w:sz="0" w:space="0" w:color="auto"/>
        <w:bottom w:val="none" w:sz="0" w:space="0" w:color="auto"/>
        <w:right w:val="none" w:sz="0" w:space="0" w:color="auto"/>
      </w:divBdr>
    </w:div>
    <w:div w:id="1454055490">
      <w:bodyDiv w:val="1"/>
      <w:marLeft w:val="0"/>
      <w:marRight w:val="0"/>
      <w:marTop w:val="0"/>
      <w:marBottom w:val="0"/>
      <w:divBdr>
        <w:top w:val="none" w:sz="0" w:space="0" w:color="auto"/>
        <w:left w:val="none" w:sz="0" w:space="0" w:color="auto"/>
        <w:bottom w:val="none" w:sz="0" w:space="0" w:color="auto"/>
        <w:right w:val="none" w:sz="0" w:space="0" w:color="auto"/>
      </w:divBdr>
    </w:div>
    <w:div w:id="1507555124">
      <w:bodyDiv w:val="1"/>
      <w:marLeft w:val="0"/>
      <w:marRight w:val="0"/>
      <w:marTop w:val="0"/>
      <w:marBottom w:val="0"/>
      <w:divBdr>
        <w:top w:val="none" w:sz="0" w:space="0" w:color="auto"/>
        <w:left w:val="none" w:sz="0" w:space="0" w:color="auto"/>
        <w:bottom w:val="none" w:sz="0" w:space="0" w:color="auto"/>
        <w:right w:val="none" w:sz="0" w:space="0" w:color="auto"/>
      </w:divBdr>
    </w:div>
    <w:div w:id="1526022827">
      <w:bodyDiv w:val="1"/>
      <w:marLeft w:val="0"/>
      <w:marRight w:val="0"/>
      <w:marTop w:val="0"/>
      <w:marBottom w:val="0"/>
      <w:divBdr>
        <w:top w:val="none" w:sz="0" w:space="0" w:color="auto"/>
        <w:left w:val="none" w:sz="0" w:space="0" w:color="auto"/>
        <w:bottom w:val="none" w:sz="0" w:space="0" w:color="auto"/>
        <w:right w:val="none" w:sz="0" w:space="0" w:color="auto"/>
      </w:divBdr>
    </w:div>
    <w:div w:id="1534734506">
      <w:bodyDiv w:val="1"/>
      <w:marLeft w:val="0"/>
      <w:marRight w:val="0"/>
      <w:marTop w:val="0"/>
      <w:marBottom w:val="0"/>
      <w:divBdr>
        <w:top w:val="none" w:sz="0" w:space="0" w:color="auto"/>
        <w:left w:val="none" w:sz="0" w:space="0" w:color="auto"/>
        <w:bottom w:val="none" w:sz="0" w:space="0" w:color="auto"/>
        <w:right w:val="none" w:sz="0" w:space="0" w:color="auto"/>
      </w:divBdr>
    </w:div>
    <w:div w:id="1605772496">
      <w:bodyDiv w:val="1"/>
      <w:marLeft w:val="0"/>
      <w:marRight w:val="0"/>
      <w:marTop w:val="0"/>
      <w:marBottom w:val="0"/>
      <w:divBdr>
        <w:top w:val="none" w:sz="0" w:space="0" w:color="auto"/>
        <w:left w:val="none" w:sz="0" w:space="0" w:color="auto"/>
        <w:bottom w:val="none" w:sz="0" w:space="0" w:color="auto"/>
        <w:right w:val="none" w:sz="0" w:space="0" w:color="auto"/>
      </w:divBdr>
    </w:div>
    <w:div w:id="1704095174">
      <w:bodyDiv w:val="1"/>
      <w:marLeft w:val="0"/>
      <w:marRight w:val="0"/>
      <w:marTop w:val="0"/>
      <w:marBottom w:val="0"/>
      <w:divBdr>
        <w:top w:val="none" w:sz="0" w:space="0" w:color="auto"/>
        <w:left w:val="none" w:sz="0" w:space="0" w:color="auto"/>
        <w:bottom w:val="none" w:sz="0" w:space="0" w:color="auto"/>
        <w:right w:val="none" w:sz="0" w:space="0" w:color="auto"/>
      </w:divBdr>
    </w:div>
    <w:div w:id="1720938113">
      <w:bodyDiv w:val="1"/>
      <w:marLeft w:val="0"/>
      <w:marRight w:val="0"/>
      <w:marTop w:val="0"/>
      <w:marBottom w:val="0"/>
      <w:divBdr>
        <w:top w:val="none" w:sz="0" w:space="0" w:color="auto"/>
        <w:left w:val="none" w:sz="0" w:space="0" w:color="auto"/>
        <w:bottom w:val="none" w:sz="0" w:space="0" w:color="auto"/>
        <w:right w:val="none" w:sz="0" w:space="0" w:color="auto"/>
      </w:divBdr>
    </w:div>
    <w:div w:id="1798989703">
      <w:bodyDiv w:val="1"/>
      <w:marLeft w:val="0"/>
      <w:marRight w:val="0"/>
      <w:marTop w:val="0"/>
      <w:marBottom w:val="0"/>
      <w:divBdr>
        <w:top w:val="none" w:sz="0" w:space="0" w:color="auto"/>
        <w:left w:val="none" w:sz="0" w:space="0" w:color="auto"/>
        <w:bottom w:val="none" w:sz="0" w:space="0" w:color="auto"/>
        <w:right w:val="none" w:sz="0" w:space="0" w:color="auto"/>
      </w:divBdr>
    </w:div>
    <w:div w:id="1829201604">
      <w:bodyDiv w:val="1"/>
      <w:marLeft w:val="0"/>
      <w:marRight w:val="0"/>
      <w:marTop w:val="0"/>
      <w:marBottom w:val="0"/>
      <w:divBdr>
        <w:top w:val="none" w:sz="0" w:space="0" w:color="auto"/>
        <w:left w:val="none" w:sz="0" w:space="0" w:color="auto"/>
        <w:bottom w:val="none" w:sz="0" w:space="0" w:color="auto"/>
        <w:right w:val="none" w:sz="0" w:space="0" w:color="auto"/>
      </w:divBdr>
    </w:div>
    <w:div w:id="1854299940">
      <w:bodyDiv w:val="1"/>
      <w:marLeft w:val="0"/>
      <w:marRight w:val="0"/>
      <w:marTop w:val="0"/>
      <w:marBottom w:val="0"/>
      <w:divBdr>
        <w:top w:val="none" w:sz="0" w:space="0" w:color="auto"/>
        <w:left w:val="none" w:sz="0" w:space="0" w:color="auto"/>
        <w:bottom w:val="none" w:sz="0" w:space="0" w:color="auto"/>
        <w:right w:val="none" w:sz="0" w:space="0" w:color="auto"/>
      </w:divBdr>
    </w:div>
    <w:div w:id="1859271098">
      <w:bodyDiv w:val="1"/>
      <w:marLeft w:val="0"/>
      <w:marRight w:val="0"/>
      <w:marTop w:val="0"/>
      <w:marBottom w:val="0"/>
      <w:divBdr>
        <w:top w:val="none" w:sz="0" w:space="0" w:color="auto"/>
        <w:left w:val="none" w:sz="0" w:space="0" w:color="auto"/>
        <w:bottom w:val="none" w:sz="0" w:space="0" w:color="auto"/>
        <w:right w:val="none" w:sz="0" w:space="0" w:color="auto"/>
      </w:divBdr>
    </w:div>
    <w:div w:id="1882356388">
      <w:bodyDiv w:val="1"/>
      <w:marLeft w:val="0"/>
      <w:marRight w:val="0"/>
      <w:marTop w:val="0"/>
      <w:marBottom w:val="0"/>
      <w:divBdr>
        <w:top w:val="none" w:sz="0" w:space="0" w:color="auto"/>
        <w:left w:val="none" w:sz="0" w:space="0" w:color="auto"/>
        <w:bottom w:val="none" w:sz="0" w:space="0" w:color="auto"/>
        <w:right w:val="none" w:sz="0" w:space="0" w:color="auto"/>
      </w:divBdr>
    </w:div>
    <w:div w:id="2045517160">
      <w:bodyDiv w:val="1"/>
      <w:marLeft w:val="0"/>
      <w:marRight w:val="0"/>
      <w:marTop w:val="0"/>
      <w:marBottom w:val="0"/>
      <w:divBdr>
        <w:top w:val="none" w:sz="0" w:space="0" w:color="auto"/>
        <w:left w:val="none" w:sz="0" w:space="0" w:color="auto"/>
        <w:bottom w:val="none" w:sz="0" w:space="0" w:color="auto"/>
        <w:right w:val="none" w:sz="0" w:space="0" w:color="auto"/>
      </w:divBdr>
    </w:div>
    <w:div w:id="2084142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ept.org/Documents/ecc/49595/ecc-19-013_ls-from-etsi-to-ecc-and-wg-fm-on-road-its-coexistence" TargetMode="External"/><Relationship Id="rId18" Type="http://schemas.openxmlformats.org/officeDocument/2006/relationships/hyperlink" Target="https://www.cept.org/Documents/ecc/49595/ecc-19-013_ls-from-etsi-to-ecc-and-wg-fm-on-road-its-coexistence" TargetMode="External"/><Relationship Id="rId26" Type="http://schemas.openxmlformats.org/officeDocument/2006/relationships/hyperlink" Target="https://en.wikipedia.org/wiki/Radio_frequency" TargetMode="External"/><Relationship Id="rId39" Type="http://schemas.openxmlformats.org/officeDocument/2006/relationships/hyperlink" Target="https://www.regjeringen.no/contentassets/ba7ab6e2a0e14e39baa77f5b76f59d14/2016-04-08-declaration-of-amsterdam---final1400661.pdf" TargetMode="External"/><Relationship Id="rId21" Type="http://schemas.openxmlformats.org/officeDocument/2006/relationships/header" Target="header6.xml"/><Relationship Id="rId34" Type="http://schemas.openxmlformats.org/officeDocument/2006/relationships/hyperlink" Target="mailto:infso-rsc@cec.eu.int" TargetMode="External"/><Relationship Id="rId42" Type="http://schemas.openxmlformats.org/officeDocument/2006/relationships/hyperlink" Target="https://circabc.europa.eu/sd/a/b30590d7-5190-480b-b1d1-def24719e061/RSPG17-008-Final_opinion_ITS.pdf" TargetMode="External"/><Relationship Id="rId47" Type="http://schemas.openxmlformats.org/officeDocument/2006/relationships/hyperlink" Target="https://www.c-roads.eu/platform/about/news/News/entry/show/c-its-cooperation-between-c2c-cc-and-c-roads-platform-1.html" TargetMode="External"/><Relationship Id="rId50" Type="http://schemas.openxmlformats.org/officeDocument/2006/relationships/hyperlink" Target="https://ec.europa.eu/transport/sites/transport/files/themes/its/doc/c-its-platform-final-report-january-2016.pdf" TargetMode="External"/><Relationship Id="rId55" Type="http://schemas.openxmlformats.org/officeDocument/2006/relationships/hyperlink" Target="http://www.c-roads.eu/" TargetMode="External"/><Relationship Id="rId63" Type="http://schemas.openxmlformats.org/officeDocument/2006/relationships/hyperlink" Target="http://platooningensemble.eu/" TargetMode="External"/><Relationship Id="rId68" Type="http://schemas.openxmlformats.org/officeDocument/2006/relationships/hyperlink" Target="https://ec.europa.eu/transport/sites/transport/files/3rd-mobility-pack/com20180283_en.pdf" TargetMode="External"/><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file:///\\ECOFILE\Users\Anne-Dorthe\Editorial%20reports,%20recommendations%20etc\2019%20WG%20FM%20February\here" TargetMode="External"/><Relationship Id="rId2" Type="http://schemas.openxmlformats.org/officeDocument/2006/relationships/customXml" Target="../customXml/item2.xml"/><Relationship Id="rId16" Type="http://schemas.openxmlformats.org/officeDocument/2006/relationships/hyperlink" Target="https://cept.org/Documents/wg-fm/34863/fm-17-067-annex-36_ls-to-etsi-on-urban-rail-adopted" TargetMode="External"/><Relationship Id="rId29" Type="http://schemas.openxmlformats.org/officeDocument/2006/relationships/header" Target="header8.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7.png"/><Relationship Id="rId37" Type="http://schemas.openxmlformats.org/officeDocument/2006/relationships/hyperlink" Target="https://www.eea.europa.eu/data-and-maps/indicators/transport-emissions-of-air-pollutants-8/transport-emissions-of-air-pollutants-4" TargetMode="External"/><Relationship Id="rId40" Type="http://schemas.openxmlformats.org/officeDocument/2006/relationships/hyperlink" Target="https://ec.europa.eu/commission/work-programme-2017_en" TargetMode="External"/><Relationship Id="rId45" Type="http://schemas.openxmlformats.org/officeDocument/2006/relationships/hyperlink" Target="https://www.eurofiber.nl/assets/uploads/2017/02/EATA_5GAA_MOU_final-for-signature-20170227.pdf" TargetMode="External"/><Relationship Id="rId53" Type="http://schemas.openxmlformats.org/officeDocument/2006/relationships/hyperlink" Target="https://ec.europa.eu/digital-single-market/en/news/workshop-short-range-vehicular-communications-59-ghz-band" TargetMode="External"/><Relationship Id="rId58" Type="http://schemas.openxmlformats.org/officeDocument/2006/relationships/hyperlink" Target="http://www.urbanrail.net/eu/euromet.htm)" TargetMode="External"/><Relationship Id="rId66" Type="http://schemas.openxmlformats.org/officeDocument/2006/relationships/hyperlink" Target="https://www.dbschenker.com/usa/about-us/press/corporate-news/platooning-in-logistics-applications-509962" TargetMode="External"/><Relationship Id="rId74" Type="http://schemas.openxmlformats.org/officeDocument/2006/relationships/hyperlink" Target="http://www.miit.gov.cn/n1146290/n4388791/c6483506/content.html" TargetMode="External"/><Relationship Id="rId79" Type="http://schemas.microsoft.com/office/2011/relationships/people" Target="people.xml"/><Relationship Id="rId5" Type="http://schemas.microsoft.com/office/2007/relationships/stylesWithEffects" Target="stylesWithEffects.xml"/><Relationship Id="rId61" Type="http://schemas.openxmlformats.org/officeDocument/2006/relationships/hyperlink" Target="https://www.nhtsa.gov/speeches-presentations/prepared-keynote-remarks-international-symposium-advanced-radio-technologies" TargetMode="Externa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hyperlink" Target="https://www.eurofiber.nl/assets/uploads/2017/02/EATA_5GAA_MOU_final-for-signature-20170227.pdf" TargetMode="External"/><Relationship Id="rId52" Type="http://schemas.openxmlformats.org/officeDocument/2006/relationships/hyperlink" Target="https://ec.europa.eu/digital-single-market/en/news/workshop-short-range-vehicular-communications-59-ghz-band" TargetMode="External"/><Relationship Id="rId60" Type="http://schemas.openxmlformats.org/officeDocument/2006/relationships/hyperlink" Target="https://www.imda.gov.sg/-/media/imda/files/regulation-licensing-and-consultations/consultations/pending-consultations/proposed-regulatory-framework-and-standards-for-its/decision---its-regulatory-framework-and-standards.pdf?la=en" TargetMode="External"/><Relationship Id="rId65" Type="http://schemas.openxmlformats.org/officeDocument/2006/relationships/hyperlink" Target="https://www.volvogroup.com/en-en/news/2017/oct/trucks-talking-to-each-other-in-multi-brand-platooning-project.html" TargetMode="External"/><Relationship Id="rId73" Type="http://schemas.openxmlformats.org/officeDocument/2006/relationships/hyperlink" Target="https://www.c-roads.eu/fileadmin/user_upload/media/Dokumente/C-Roads_Position_paper_on_59GHz_final.pdf" TargetMode="External"/><Relationship Id="rId78"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hyperlink" Target="https://en.wikipedia.org/wiki/IEEE_802.11" TargetMode="External"/><Relationship Id="rId30" Type="http://schemas.openxmlformats.org/officeDocument/2006/relationships/footer" Target="footer1.xml"/><Relationship Id="rId35" Type="http://schemas.openxmlformats.org/officeDocument/2006/relationships/hyperlink" Target="https://ec.europa.eu/transport/road_safety/sites/roadsafety/files/pdf/observatory/trends_figures.pdf" TargetMode="External"/><Relationship Id="rId43" Type="http://schemas.openxmlformats.org/officeDocument/2006/relationships/hyperlink" Target="https://ec.europa.eu/digital-single-market/en/node/88557" TargetMode="External"/><Relationship Id="rId48" Type="http://schemas.openxmlformats.org/officeDocument/2006/relationships/hyperlink" Target="https://www.c-roads.eu/platform.html" TargetMode="External"/><Relationship Id="rId56" Type="http://schemas.openxmlformats.org/officeDocument/2006/relationships/hyperlink" Target="http://eur-lex.europa.eu/legal-content/EN/TXT/?uri=uriserv%3AOJ.C_.2017.180.01.0005.01.ENG&amp;amp;toc=OJ%3AC%3A2017%3A180%3ATOC" TargetMode="External"/><Relationship Id="rId64" Type="http://schemas.openxmlformats.org/officeDocument/2006/relationships/hyperlink" Target="https://ec.europa.eu/transport/sites/transport/files/3rd-mobility-pack/com20180283_en.pdf" TargetMode="External"/><Relationship Id="rId69" Type="http://schemas.openxmlformats.org/officeDocument/2006/relationships/hyperlink" Target="https://www.c-roads.eu/fileadmin/user_upload/media/Dokumente/C-Roads_Position_paper_on_59GHz_final.pdf" TargetMode="External"/><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footer" Target="footer2.xml"/><Relationship Id="rId72" Type="http://schemas.openxmlformats.org/officeDocument/2006/relationships/hyperlink" Target="herehttps://www.transportation.gov/sites/dot.gov/files/docs/policy-initiatives/automated-vehicles/327941/usdot-v2x-rfc.pdf" TargetMode="External"/><Relationship Id="rId80" Type="http://schemas.microsoft.com/office/2016/09/relationships/commentsIds" Target="commentsIds.xm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hyperlink" Target="http://www.etsi.org/deliver/etsi_tr/103400_103499/103442/01.02.01_60/tr_103442v010201p.pdf" TargetMode="External"/><Relationship Id="rId25" Type="http://schemas.openxmlformats.org/officeDocument/2006/relationships/hyperlink" Target="http://www.uitp.org/sites/default/files/cck-focus-papers-files/Position%20Paper%20UITP%20UNIFE%20CBTC%20Frequency%20bandwidth%2023-11-2015.pdf" TargetMode="External"/><Relationship Id="rId33" Type="http://schemas.openxmlformats.org/officeDocument/2006/relationships/image" Target="media/image8.jpeg"/><Relationship Id="rId38" Type="http://schemas.openxmlformats.org/officeDocument/2006/relationships/hyperlink" Target="https://www.regjeringen.no/contentassets/ba7ab6e2a0e14e39baa77f5b76f59d14/2016-04-08-declaration-of-amsterdam---final1400661.pdf" TargetMode="External"/><Relationship Id="rId46" Type="http://schemas.openxmlformats.org/officeDocument/2006/relationships/hyperlink" Target="https://www.c-roads.eu/platform/about/news/News/entry/show/c-its-cooperation-between-c2c-cc-and-c-roads-platform-1.html" TargetMode="External"/><Relationship Id="rId59" Type="http://schemas.openxmlformats.org/officeDocument/2006/relationships/hyperlink" Target="http://www.etsi.org/deliver/etsi_tr/103100_103199/103111/01.01.01_60/tr_103111v010101p.pdf" TargetMode="External"/><Relationship Id="rId67" Type="http://schemas.openxmlformats.org/officeDocument/2006/relationships/hyperlink" Target="http://www.daf.com/en/news-and-media/articles/global/2017/q3/30-08-2017-daf-trucks-participates-in-uk-truck-platooning-trial" TargetMode="External"/><Relationship Id="rId20" Type="http://schemas.openxmlformats.org/officeDocument/2006/relationships/header" Target="header5.xml"/><Relationship Id="rId41" Type="http://schemas.openxmlformats.org/officeDocument/2006/relationships/hyperlink" Target="https://circabc.europa.eu/sd/a/b30590d7-5190-480b-b1d1-def24719e061/RSPG17-008-Final_opinion_ITS.pdf" TargetMode="External"/><Relationship Id="rId54" Type="http://schemas.openxmlformats.org/officeDocument/2006/relationships/hyperlink" Target="https://www.c-roads.eu/fileadmin/user_upload/media/Dokumente/c-roads-flyer_2.pdf" TargetMode="External"/><Relationship Id="rId62" Type="http://schemas.openxmlformats.org/officeDocument/2006/relationships/hyperlink" Target="https://eutruckplatooning.com/" TargetMode="External"/><Relationship Id="rId70" Type="http://schemas.openxmlformats.org/officeDocument/2006/relationships/hyperlink" Target="https://www.c-roads.eu/platform/about/news/News/entry/show/release-13-of-c-roads-harmonised-c-its-specifications.html" TargetMode="External"/><Relationship Id="rId75" Type="http://schemas.openxmlformats.org/officeDocument/2006/relationships/hyperlink" Target="http://en.silkroad.news.cn/2018/1116/119878.shtm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cid:image003.png@01D4A43B.25DDDDF0" TargetMode="External"/><Relationship Id="rId23" Type="http://schemas.openxmlformats.org/officeDocument/2006/relationships/image" Target="media/image5.png"/><Relationship Id="rId28" Type="http://schemas.openxmlformats.org/officeDocument/2006/relationships/header" Target="header7.xml"/><Relationship Id="rId36" Type="http://schemas.openxmlformats.org/officeDocument/2006/relationships/hyperlink" Target="https://www.eea.europa.eu/data-and-maps/indicators/transport-emissions-of-air-pollutants-8/transport-emissions-of-air-pollutants-4" TargetMode="External"/><Relationship Id="rId49" Type="http://schemas.openxmlformats.org/officeDocument/2006/relationships/hyperlink" Target="https://ec.europa.eu/transport/sites/transport/files/themes/its/doc/c-its-platform-final-report-january-2016.pdf" TargetMode="External"/><Relationship Id="rId57" Type="http://schemas.openxmlformats.org/officeDocument/2006/relationships/hyperlink" Target="http://eur-lex.europa.eu/legal-content/EN/TXT/?uri=uriserv%3AOJ.C_.2017.180.01.0005.01.ENG&amp;amp;toc=OJ%3AC%3A2017%3A180%3ATOC"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2"/>
    <customShpInfo spid="_x0000_s2051"/>
    <customShpInfo spid="_x0000_s2050"/>
    <customShpInfo spid="_x0000_s2055"/>
    <customShpInfo spid="_x0000_s2054"/>
    <customShpInfo spid="_x0000_s2053"/>
    <customShpInfo spid="_x0000_s2060"/>
    <customShpInfo spid="_x0000_s2058"/>
    <customShpInfo spid="_x0000_s2059"/>
    <customShpInfo spid="_x0000_s2057"/>
    <customShpInfo spid="_x0000_s2056"/>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123FC7-5A97-4D65-984B-237A1B272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16812</Words>
  <Characters>96000</Characters>
  <Application>Microsoft Office Word</Application>
  <DocSecurity>0</DocSecurity>
  <Lines>1684</Lines>
  <Paragraphs>705</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Draft CEPT Report 71</vt:lpstr>
      <vt:lpstr>Draft CEPT Report 71</vt:lpstr>
      <vt:lpstr>Draft CEPT Report 71</vt:lpstr>
    </vt:vector>
  </TitlesOfParts>
  <Company>ECC#50</Company>
  <LinksUpToDate>false</LinksUpToDate>
  <CharactersWithSpaces>112107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CEPT Report 71</dc:title>
  <dc:subject>ITS</dc:subject>
  <dc:creator>Thomas Weber</dc:creator>
  <cp:keywords>06 March 2019</cp:keywords>
  <cp:lastModifiedBy>ECO</cp:lastModifiedBy>
  <cp:revision>2</cp:revision>
  <cp:lastPrinted>2019-02-12T08:26:00Z</cp:lastPrinted>
  <dcterms:created xsi:type="dcterms:W3CDTF">2019-03-21T11:34:00Z</dcterms:created>
  <dcterms:modified xsi:type="dcterms:W3CDTF">2019-03-21T11:34:00Z</dcterms:modified>
  <cp:category>ECC meeting in Brighton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2057-10.2.0.6020</vt:lpwstr>
  </property>
</Properties>
</file>