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EF9" w:rsidRPr="00FD0F60" w:rsidRDefault="00643EF9">
      <w:pPr>
        <w:rPr>
          <w:lang w:val="en-GB"/>
        </w:rPr>
      </w:pPr>
    </w:p>
    <w:p w:rsidR="00643EF9" w:rsidRPr="00FD0F60" w:rsidRDefault="00643EF9" w:rsidP="008A54FC">
      <w:pPr>
        <w:jc w:val="center"/>
        <w:rPr>
          <w:lang w:val="en-GB"/>
        </w:rPr>
      </w:pPr>
    </w:p>
    <w:p w:rsidR="00643EF9" w:rsidRPr="00FD0F60" w:rsidRDefault="00643EF9" w:rsidP="008A54FC">
      <w:pPr>
        <w:jc w:val="center"/>
        <w:rPr>
          <w:lang w:val="en-GB"/>
        </w:rPr>
      </w:pPr>
    </w:p>
    <w:p w:rsidR="00643EF9" w:rsidRPr="00FD0F60" w:rsidRDefault="00643EF9" w:rsidP="008A54FC">
      <w:pPr>
        <w:rPr>
          <w:lang w:val="en-GB"/>
        </w:rPr>
      </w:pPr>
    </w:p>
    <w:p w:rsidR="00643EF9" w:rsidRPr="00FD0F60" w:rsidRDefault="00643EF9" w:rsidP="008A54FC">
      <w:pPr>
        <w:rPr>
          <w:lang w:val="en-GB"/>
        </w:rPr>
      </w:pPr>
    </w:p>
    <w:p w:rsidR="00643EF9" w:rsidRPr="00FD0F60" w:rsidRDefault="00C71F37" w:rsidP="008A54FC">
      <w:pPr>
        <w:jc w:val="center"/>
        <w:rPr>
          <w:b/>
          <w:sz w:val="24"/>
          <w:lang w:val="en-GB"/>
        </w:rPr>
      </w:pPr>
      <w:r>
        <w:rPr>
          <w:noProof/>
          <w:lang w:val="da-DK" w:eastAsia="da-DK"/>
        </w:rPr>
        <mc:AlternateContent>
          <mc:Choice Requires="wps">
            <w:drawing>
              <wp:anchor distT="0" distB="0" distL="114300" distR="114300" simplePos="0" relativeHeight="251656704"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DF8" w:rsidRPr="00080D86" w:rsidRDefault="00DE7DF8" w:rsidP="008A54FC">
                            <w:pPr>
                              <w:rPr>
                                <w:sz w:val="68"/>
                              </w:rPr>
                            </w:pPr>
                            <w:r w:rsidRPr="00080D86">
                              <w:rPr>
                                <w:color w:val="FFFFFF"/>
                                <w:sz w:val="68"/>
                              </w:rPr>
                              <w:t>ECC Report</w:t>
                            </w:r>
                            <w:r>
                              <w:rPr>
                                <w:color w:val="FFFFFF"/>
                                <w:sz w:val="68"/>
                              </w:rPr>
                              <w:t xml:space="preserve"> </w:t>
                            </w:r>
                            <w:r>
                              <w:rPr>
                                <w:color w:val="57433E"/>
                                <w:sz w:val="68"/>
                              </w:rPr>
                              <w:t>190</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Si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B3nOSijQIAABQFAAAOAAAAAAAAAAAAAAAAAC4CAABkcnMvZTJvRG9jLnhtbFBLAQIt&#10;ABQABgAIAAAAIQBqArUC3wAAAAkBAAAPAAAAAAAAAAAAAAAAAOcEAABkcnMvZG93bnJldi54bWxQ&#10;SwUGAAAAAAQABADzAAAA8wUAAAAA&#10;" fillcolor="#887e6e" stroked="f">
                <v:textbox inset="80mm,15mm">
                  <w:txbxContent>
                    <w:p w:rsidR="00DE7DF8" w:rsidRPr="00080D86" w:rsidRDefault="00DE7DF8" w:rsidP="008A54FC">
                      <w:pPr>
                        <w:rPr>
                          <w:sz w:val="68"/>
                        </w:rPr>
                      </w:pPr>
                      <w:r w:rsidRPr="00080D86">
                        <w:rPr>
                          <w:color w:val="FFFFFF"/>
                          <w:sz w:val="68"/>
                        </w:rPr>
                        <w:t>ECC Report</w:t>
                      </w:r>
                      <w:r>
                        <w:rPr>
                          <w:color w:val="FFFFFF"/>
                          <w:sz w:val="68"/>
                        </w:rPr>
                        <w:t xml:space="preserve"> </w:t>
                      </w:r>
                      <w:r>
                        <w:rPr>
                          <w:color w:val="57433E"/>
                          <w:sz w:val="68"/>
                        </w:rPr>
                        <w:t>190</w:t>
                      </w:r>
                    </w:p>
                  </w:txbxContent>
                </v:textbox>
                <w10:wrap anchorx="page" anchory="page"/>
              </v:shape>
            </w:pict>
          </mc:Fallback>
        </mc:AlternateContent>
      </w:r>
      <w:r>
        <w:rPr>
          <w:noProof/>
          <w:lang w:val="da-DK" w:eastAsia="da-DK"/>
        </w:rPr>
        <mc:AlternateContent>
          <mc:Choice Requires="wpg">
            <w:drawing>
              <wp:anchor distT="0" distB="0" distL="114300" distR="114300" simplePos="0" relativeHeight="251657728"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7"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CSTFWFQAwAAZQ8AAA4AAAAAAAAAAAAA&#10;AAAALgIAAGRycy9lMm9Eb2MueG1sUEsBAi0AFAAGAAgAAAAhAIe8IfjhAAAACgEAAA8AAAAAAAAA&#10;AAAAAAAAqgUAAGRycy9kb3ducmV2LnhtbFBLBQYAAAAABAAEAPMAAAC4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fyMIAAADbAAAADwAAAGRycy9kb3ducmV2LnhtbERPTWvCQBC9F/wPywje6sZKQ0xdRaRi&#10;FS9qi9chO02C2dmwu2r8965Q6G0e73Om88404krO15YVjIYJCOLC6ppLBd/H1WsGwgdkjY1lUnAn&#10;D/NZ72WKubY33tP1EEoRQ9jnqKAKoc2l9EVFBv3QtsSR+7XOYIjQlVI7vMVw08i3JEmlwZpjQ4Ut&#10;LSsqzoeLUbDOdp/pqZjUW3Rp9rO6bE7b8btSg363+AARqAv/4j/3l47zx/D8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fyM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mDsEAAADbAAAADwAAAGRycy9kb3ducmV2LnhtbERPS2uDQBC+B/oflinkFteWKs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mYO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ngsMAAADbAAAADwAAAGRycy9kb3ducmV2LnhtbERPTWvCQBC9C/0PyxR6EbOxgpSYVazQ&#10;Ug8FoyIeh+yYhGZn0901pv++WxB6m8f7nHw1mFb05HxjWcE0SUEQl1Y3XCk4Ht4mLyB8QNbYWiYF&#10;P+RhtXwY5Zhpe+OC+n2oRAxhn6GCOoQuk9KXNRn0ie2II3exzmCI0FVSO7zFcNPK5zSdS4MNx4Ya&#10;O9rUVH7tr0bB1X2jex+/4ml3Wof2PCu2/Weh1NPjsF6ACDSEf/Hd/aHj/Dn8/R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0J4L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VhsAAAADbAAAADwAAAGRycy9kb3ducmV2LnhtbERPS4vCMBC+C/sfwizsTVM9qFuNUkRh&#10;b+uTvQ7N2BSbSW2ytv57Iwje5uN7znzZ2UrcqPGlYwXDQQKCOHe65ELB8bDpT0H4gKyxckwK7uRh&#10;ufjozTHVruUd3fahEDGEfYoKTAh1KqXPDVn0A1cTR+7sGoshwqaQusE2httKjpJkLC2WHBsM1rQy&#10;lF/2/1ZBliV/1ep42vyOtFlvT1f8bqdjpb4+u2wGIlAX3uKX+0fH+RN4/hIP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I1YbAAAAA2wAAAA8AAAAAAAAAAAAAAAAA&#10;oQIAAGRycy9kb3ducmV2LnhtbFBLBQYAAAAABAAEAPkAAACOAwAAAAA=&#10;" strokecolor="#887e6e" strokeweight="15.5pt"/>
                <w10:wrap anchorx="page"/>
              </v:group>
            </w:pict>
          </mc:Fallback>
        </mc:AlternateContent>
      </w: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jc w:val="center"/>
        <w:rPr>
          <w:b/>
          <w:sz w:val="24"/>
          <w:lang w:val="en-GB"/>
        </w:rPr>
      </w:pPr>
    </w:p>
    <w:p w:rsidR="00643EF9" w:rsidRPr="00FD0F60" w:rsidRDefault="00643EF9" w:rsidP="008A54FC">
      <w:pPr>
        <w:rPr>
          <w:b/>
          <w:sz w:val="24"/>
          <w:lang w:val="en-GB"/>
        </w:rPr>
      </w:pPr>
    </w:p>
    <w:p w:rsidR="00643EF9" w:rsidRPr="00FD0F60" w:rsidRDefault="00643EF9" w:rsidP="008A54FC">
      <w:pPr>
        <w:jc w:val="center"/>
        <w:rPr>
          <w:b/>
          <w:sz w:val="24"/>
          <w:lang w:val="en-GB"/>
        </w:rPr>
      </w:pPr>
    </w:p>
    <w:p w:rsidR="00643EF9" w:rsidRPr="00FD0F60" w:rsidRDefault="00643EF9" w:rsidP="009E47EB">
      <w:pPr>
        <w:pStyle w:val="Reporttitledescription"/>
        <w:rPr>
          <w:lang w:val="en-GB"/>
        </w:rPr>
      </w:pPr>
      <w:bookmarkStart w:id="0" w:name="Text7"/>
      <w:r w:rsidRPr="00FD0F60">
        <w:rPr>
          <w:lang w:val="en-GB"/>
        </w:rPr>
        <w:t>Compatibility between Short-Range Devices (SRD) and EESS (passive) in the 122 to 122.25 GHz band</w:t>
      </w:r>
      <w:bookmarkEnd w:id="0"/>
    </w:p>
    <w:p w:rsidR="00643EF9" w:rsidRPr="00FD0F60" w:rsidRDefault="00DE7DF8" w:rsidP="008A54FC">
      <w:pPr>
        <w:pStyle w:val="Reporttitledescription"/>
        <w:rPr>
          <w:b/>
          <w:sz w:val="18"/>
          <w:lang w:val="en-GB"/>
        </w:rPr>
      </w:pPr>
      <w:bookmarkStart w:id="1" w:name="Text8"/>
      <w:r>
        <w:rPr>
          <w:b/>
          <w:sz w:val="18"/>
          <w:lang w:val="en-GB"/>
        </w:rPr>
        <w:t>app</w:t>
      </w:r>
      <w:bookmarkStart w:id="2" w:name="_GoBack"/>
      <w:bookmarkEnd w:id="2"/>
      <w:r>
        <w:rPr>
          <w:b/>
          <w:sz w:val="18"/>
          <w:lang w:val="en-GB"/>
        </w:rPr>
        <w:t>roved May</w:t>
      </w:r>
      <w:r w:rsidR="00643EF9" w:rsidRPr="00FD0F60">
        <w:rPr>
          <w:b/>
          <w:sz w:val="18"/>
          <w:lang w:val="en-GB"/>
        </w:rPr>
        <w:t xml:space="preserve"> 2013</w:t>
      </w:r>
      <w:bookmarkEnd w:id="1"/>
    </w:p>
    <w:p w:rsidR="00643EF9" w:rsidRPr="00FD0F60" w:rsidRDefault="00C71F37" w:rsidP="008A54FC">
      <w:pPr>
        <w:pStyle w:val="Lastupdated"/>
        <w:rPr>
          <w:b/>
          <w:lang w:val="en-GB"/>
        </w:rPr>
      </w:pPr>
      <w:r>
        <w:rPr>
          <w:noProof/>
          <w:lang w:val="da-DK" w:eastAsia="da-DK"/>
        </w:rPr>
        <mc:AlternateContent>
          <mc:Choice Requires="wps">
            <w:drawing>
              <wp:anchor distT="0" distB="0" distL="114300" distR="114300" simplePos="0" relativeHeight="251655680"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iK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Dw8biK&#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643EF9" w:rsidRPr="00FD0F60" w:rsidRDefault="00643EF9">
      <w:pPr>
        <w:rPr>
          <w:lang w:val="en-GB"/>
        </w:rPr>
        <w:sectPr w:rsidR="00643EF9" w:rsidRPr="00FD0F60">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CF3606" w:rsidRDefault="00CF3606" w:rsidP="00CF3606">
      <w:pPr>
        <w:pStyle w:val="Heading1"/>
      </w:pPr>
      <w:bookmarkStart w:id="3" w:name="_Toc356376808"/>
      <w:r w:rsidRPr="00FD0F60">
        <w:lastRenderedPageBreak/>
        <w:t>Executive summary</w:t>
      </w:r>
      <w:bookmarkEnd w:id="3"/>
    </w:p>
    <w:p w:rsidR="00CF3606" w:rsidRPr="00FD0F60" w:rsidRDefault="00CF3606" w:rsidP="00CF3606">
      <w:pPr>
        <w:pStyle w:val="ECCParagraph"/>
      </w:pPr>
      <w:r w:rsidRPr="00FD0F60">
        <w:t>This ECC Report deals with the compatibility analysis between Short-Range Devices (SRD) and EESS (passive) in the 122-122.25 GHz band.</w:t>
      </w:r>
    </w:p>
    <w:p w:rsidR="00CF3606" w:rsidRPr="007B2402" w:rsidRDefault="00CF3606" w:rsidP="00CF3606">
      <w:pPr>
        <w:jc w:val="both"/>
        <w:rPr>
          <w:lang w:val="en-GB"/>
        </w:rPr>
      </w:pPr>
      <w:r w:rsidRPr="00C91E2B">
        <w:rPr>
          <w:lang w:val="en-GB"/>
        </w:rPr>
        <w:t>Although the ERC/REC 70-03</w:t>
      </w:r>
      <w:r w:rsidR="00DE7DF8">
        <w:rPr>
          <w:lang w:val="en-GB"/>
        </w:rPr>
        <w:t xml:space="preserve"> </w:t>
      </w:r>
      <w:r w:rsidR="00DE7DF8">
        <w:rPr>
          <w:lang w:val="en-GB"/>
        </w:rPr>
        <w:fldChar w:fldCharType="begin"/>
      </w:r>
      <w:r w:rsidR="00DE7DF8">
        <w:rPr>
          <w:lang w:val="en-GB"/>
        </w:rPr>
        <w:instrText xml:space="preserve"> REF _Ref356376057 \r \h </w:instrText>
      </w:r>
      <w:r w:rsidR="00DE7DF8">
        <w:rPr>
          <w:lang w:val="en-GB"/>
        </w:rPr>
      </w:r>
      <w:r w:rsidR="00DE7DF8">
        <w:rPr>
          <w:lang w:val="en-GB"/>
        </w:rPr>
        <w:fldChar w:fldCharType="separate"/>
      </w:r>
      <w:r w:rsidR="00437883">
        <w:rPr>
          <w:lang w:val="en-GB"/>
        </w:rPr>
        <w:t>[9]</w:t>
      </w:r>
      <w:r w:rsidR="00DE7DF8">
        <w:rPr>
          <w:lang w:val="en-GB"/>
        </w:rPr>
        <w:fldChar w:fldCharType="end"/>
      </w:r>
      <w:r w:rsidRPr="00C91E2B">
        <w:rPr>
          <w:lang w:val="en-GB"/>
        </w:rPr>
        <w:t xml:space="preserve"> has contained for many years the band 122-123 GHz, </w:t>
      </w:r>
      <w:r w:rsidRPr="007B2402">
        <w:rPr>
          <w:lang w:val="en-GB"/>
        </w:rPr>
        <w:t>there is no SRD application known at the time this report was prepared. In addition RR Footnote 5.138 mentions the designation of the band 122-123 GHz for industrial, scientific and medical (ISM</w:t>
      </w:r>
      <w:r w:rsidR="00DE7DF8">
        <w:rPr>
          <w:lang w:val="en-GB"/>
        </w:rPr>
        <w:t xml:space="preserve">) applications, but here also, </w:t>
      </w:r>
      <w:r w:rsidRPr="007B2402">
        <w:rPr>
          <w:lang w:val="en-GB"/>
        </w:rPr>
        <w:t>no applications are known and the standard CISPR 11 does not contain limits for this frequency band.</w:t>
      </w:r>
    </w:p>
    <w:p w:rsidR="00CF3606" w:rsidRPr="007B2402" w:rsidRDefault="00CF3606" w:rsidP="00CF3606">
      <w:pPr>
        <w:jc w:val="both"/>
        <w:rPr>
          <w:lang w:val="en-GB"/>
        </w:rPr>
      </w:pPr>
    </w:p>
    <w:p w:rsidR="00CF3606" w:rsidRPr="00C91E2B" w:rsidRDefault="00CF3606" w:rsidP="00CF3606">
      <w:pPr>
        <w:jc w:val="both"/>
        <w:rPr>
          <w:rFonts w:cs="Arial"/>
          <w:szCs w:val="20"/>
          <w:lang w:val="en-GB"/>
        </w:rPr>
      </w:pPr>
      <w:r>
        <w:rPr>
          <w:rFonts w:cs="Arial"/>
          <w:szCs w:val="20"/>
          <w:lang w:val="en-GB"/>
        </w:rPr>
        <w:t>Given the uncertainties around the applications foreseen at 122 GHz, it was agreed to base the studies on the following assumptions:</w:t>
      </w:r>
    </w:p>
    <w:p w:rsidR="00CF3606" w:rsidRPr="007B2402" w:rsidRDefault="00CF3606" w:rsidP="00CF3606">
      <w:pPr>
        <w:pStyle w:val="ListParagraph1"/>
        <w:numPr>
          <w:ilvl w:val="0"/>
          <w:numId w:val="34"/>
        </w:numPr>
        <w:spacing w:before="120"/>
        <w:jc w:val="both"/>
        <w:rPr>
          <w:rFonts w:ascii="Arial" w:hAnsi="Arial" w:cs="Arial"/>
          <w:sz w:val="20"/>
          <w:szCs w:val="20"/>
          <w:lang w:val="en-GB"/>
        </w:rPr>
      </w:pPr>
      <w:r w:rsidRPr="007B2402">
        <w:rPr>
          <w:rFonts w:ascii="Arial" w:hAnsi="Arial" w:cs="Arial"/>
          <w:sz w:val="20"/>
          <w:szCs w:val="20"/>
          <w:lang w:val="en-GB"/>
        </w:rPr>
        <w:t>1 SRD/household (in the long term) over a European Capital</w:t>
      </w:r>
    </w:p>
    <w:p w:rsidR="00CF3606" w:rsidRPr="007B2402" w:rsidRDefault="00CF3606" w:rsidP="00CF3606">
      <w:pPr>
        <w:pStyle w:val="ListParagraph1"/>
        <w:numPr>
          <w:ilvl w:val="0"/>
          <w:numId w:val="34"/>
        </w:numPr>
        <w:spacing w:before="120"/>
        <w:jc w:val="both"/>
        <w:rPr>
          <w:rFonts w:ascii="Arial" w:hAnsi="Arial" w:cs="Arial"/>
          <w:sz w:val="20"/>
          <w:szCs w:val="20"/>
          <w:lang w:val="en-GB"/>
        </w:rPr>
      </w:pPr>
      <w:r w:rsidRPr="007B2402">
        <w:rPr>
          <w:rFonts w:ascii="Arial" w:hAnsi="Arial" w:cs="Arial"/>
          <w:sz w:val="20"/>
          <w:szCs w:val="20"/>
          <w:lang w:val="en-GB"/>
        </w:rPr>
        <w:t xml:space="preserve">5% outdoor devices </w:t>
      </w:r>
    </w:p>
    <w:p w:rsidR="00CF3606" w:rsidRPr="007B2402" w:rsidRDefault="00CF3606" w:rsidP="00CF3606">
      <w:pPr>
        <w:pStyle w:val="ListParagraph1"/>
        <w:numPr>
          <w:ilvl w:val="0"/>
          <w:numId w:val="34"/>
        </w:numPr>
        <w:spacing w:before="120"/>
        <w:jc w:val="both"/>
        <w:rPr>
          <w:rFonts w:ascii="Arial" w:hAnsi="Arial" w:cs="Arial"/>
          <w:sz w:val="20"/>
          <w:szCs w:val="20"/>
          <w:lang w:val="en-GB"/>
        </w:rPr>
      </w:pPr>
      <w:r w:rsidRPr="007B2402">
        <w:rPr>
          <w:rFonts w:ascii="Arial" w:hAnsi="Arial" w:cs="Arial"/>
          <w:sz w:val="20"/>
          <w:szCs w:val="20"/>
          <w:lang w:val="en-GB"/>
        </w:rPr>
        <w:t>100% activity factor (for some outdoor applications, activity factor is likely to be below 50%)</w:t>
      </w:r>
    </w:p>
    <w:p w:rsidR="00CF3606" w:rsidRPr="007B2402" w:rsidRDefault="00CF3606" w:rsidP="00CF3606">
      <w:pPr>
        <w:pStyle w:val="ListParagraph1"/>
        <w:numPr>
          <w:ilvl w:val="0"/>
          <w:numId w:val="34"/>
        </w:numPr>
        <w:spacing w:before="120"/>
        <w:jc w:val="both"/>
        <w:rPr>
          <w:rFonts w:ascii="Arial" w:hAnsi="Arial" w:cs="Arial"/>
          <w:sz w:val="20"/>
          <w:szCs w:val="20"/>
          <w:lang w:val="en-GB"/>
        </w:rPr>
      </w:pPr>
      <w:r w:rsidRPr="007B2402">
        <w:rPr>
          <w:rFonts w:ascii="Arial" w:hAnsi="Arial" w:cs="Arial"/>
          <w:sz w:val="20"/>
          <w:szCs w:val="20"/>
          <w:lang w:val="en-GB"/>
        </w:rPr>
        <w:t>Indoor/outdoor attenuation &gt; 60 dB (this leads to the fact that indoor applications will not be source of interference to EESS spatial sensors and that hence 95% indoor applications are not considered)</w:t>
      </w:r>
    </w:p>
    <w:p w:rsidR="00CF3606" w:rsidRPr="00C91E2B" w:rsidRDefault="00CF3606" w:rsidP="00CF3606">
      <w:pPr>
        <w:pStyle w:val="ECCParBulleted"/>
        <w:numPr>
          <w:ilvl w:val="0"/>
          <w:numId w:val="34"/>
        </w:numPr>
        <w:spacing w:before="120"/>
      </w:pPr>
      <w:r>
        <w:t>Power level up to 20dBm could be reached in standard</w:t>
      </w:r>
    </w:p>
    <w:p w:rsidR="00CF3606" w:rsidRPr="00C91E2B" w:rsidRDefault="00CF3606" w:rsidP="00CF3606">
      <w:pPr>
        <w:pStyle w:val="ECCParBulleted"/>
        <w:numPr>
          <w:ilvl w:val="0"/>
          <w:numId w:val="34"/>
        </w:numPr>
        <w:spacing w:before="120"/>
      </w:pPr>
      <w:r>
        <w:t>Bandwidth likely to be above 500 MHz</w:t>
      </w:r>
    </w:p>
    <w:p w:rsidR="00CF3606" w:rsidRDefault="00CF3606" w:rsidP="00CF3606">
      <w:pPr>
        <w:pStyle w:val="ECCParBulleted"/>
        <w:numPr>
          <w:ilvl w:val="0"/>
          <w:numId w:val="34"/>
        </w:numPr>
        <w:spacing w:before="120"/>
      </w:pPr>
      <w:r>
        <w:t>Antenna will more than likely be directive with a gain up to around 35dBi</w:t>
      </w:r>
      <w:r w:rsidR="00DE7DF8">
        <w:t>.</w:t>
      </w:r>
    </w:p>
    <w:p w:rsidR="00CF3606" w:rsidRPr="00C91E2B" w:rsidRDefault="00CF3606" w:rsidP="00CF3606">
      <w:pPr>
        <w:pStyle w:val="ECCParBulleted"/>
        <w:numPr>
          <w:ilvl w:val="0"/>
          <w:numId w:val="0"/>
        </w:numPr>
        <w:spacing w:before="120"/>
      </w:pPr>
    </w:p>
    <w:p w:rsidR="00CF3606" w:rsidRPr="00C91E2B" w:rsidRDefault="00CF3606" w:rsidP="00CF3606">
      <w:pPr>
        <w:spacing w:before="120"/>
        <w:jc w:val="both"/>
        <w:rPr>
          <w:lang w:val="en-GB"/>
        </w:rPr>
      </w:pPr>
      <w:r>
        <w:rPr>
          <w:lang w:val="en-GB"/>
        </w:rPr>
        <w:t>The calculations presented in this document show that SRDs operated with the currently regulated 20 dBm maximum e.i.r.p. are not compatible with EESS (passive) sensors operating in the 122-122.25 GHz band:</w:t>
      </w:r>
    </w:p>
    <w:p w:rsidR="00CF3606" w:rsidRPr="007B2402" w:rsidRDefault="00CF3606" w:rsidP="00CF3606">
      <w:pPr>
        <w:numPr>
          <w:ilvl w:val="0"/>
          <w:numId w:val="33"/>
        </w:numPr>
        <w:spacing w:before="120"/>
        <w:jc w:val="both"/>
        <w:rPr>
          <w:lang w:val="en-GB"/>
        </w:rPr>
      </w:pPr>
      <w:proofErr w:type="gramStart"/>
      <w:r w:rsidRPr="007B2402">
        <w:rPr>
          <w:lang w:val="en-GB"/>
        </w:rPr>
        <w:t>the</w:t>
      </w:r>
      <w:proofErr w:type="gramEnd"/>
      <w:r w:rsidRPr="007B2402">
        <w:rPr>
          <w:lang w:val="en-GB"/>
        </w:rPr>
        <w:t xml:space="preserve"> single entry scenario requires an additional limit of 10dBm/250 MHz e.i.r.p density.</w:t>
      </w:r>
    </w:p>
    <w:p w:rsidR="00CF3606" w:rsidRPr="00C91E2B" w:rsidRDefault="00CF3606" w:rsidP="00CF3606">
      <w:pPr>
        <w:numPr>
          <w:ilvl w:val="0"/>
          <w:numId w:val="33"/>
        </w:numPr>
        <w:spacing w:before="120"/>
        <w:jc w:val="both"/>
        <w:rPr>
          <w:lang w:val="en-GB"/>
        </w:rPr>
      </w:pPr>
      <w:r w:rsidRPr="007B2402">
        <w:rPr>
          <w:lang w:val="en-GB"/>
        </w:rPr>
        <w:t>the aggregated (hot-spot) impact of 2100 SRD devices deployed outdoor in an area of 100 km</w:t>
      </w:r>
      <w:r>
        <w:rPr>
          <w:vertAlign w:val="superscript"/>
          <w:lang w:val="en-GB"/>
        </w:rPr>
        <w:t>2</w:t>
      </w:r>
      <w:r>
        <w:rPr>
          <w:lang w:val="en-GB"/>
        </w:rPr>
        <w:t xml:space="preserve"> require a reduction to -25 dBm/200 MHz e.i.r.p. density (or -</w:t>
      </w:r>
      <w:smartTag w:uri="urn:schemas-microsoft-com:office:smarttags" w:element="PersonName">
        <w:r>
          <w:rPr>
            <w:lang w:val="en-GB"/>
          </w:rPr>
          <w:t>4</w:t>
        </w:r>
      </w:smartTag>
      <w:r>
        <w:rPr>
          <w:lang w:val="en-GB"/>
        </w:rPr>
        <w:t xml:space="preserve">8 dBm/MHz). </w:t>
      </w:r>
    </w:p>
    <w:p w:rsidR="00CF3606" w:rsidRPr="00C91E2B" w:rsidRDefault="00CF3606" w:rsidP="00CF3606">
      <w:pPr>
        <w:spacing w:before="120"/>
        <w:jc w:val="both"/>
        <w:rPr>
          <w:lang w:val="en-GB"/>
        </w:rPr>
      </w:pPr>
      <w:r>
        <w:rPr>
          <w:lang w:val="en-GB"/>
        </w:rPr>
        <w:t>Considering both single entry and hot spot scenario calculations, it is suggested that, in addition to the maximum e.i.r.p. of 20 dBm pertaining to the 122-123 GHz band, SRDs using the 122-122.25 GHz sub-band should comply with both of the following limitations:</w:t>
      </w:r>
    </w:p>
    <w:p w:rsidR="00CF3606" w:rsidRPr="00C91E2B" w:rsidRDefault="00CF3606" w:rsidP="00CF3606">
      <w:pPr>
        <w:pStyle w:val="ListParagraph1"/>
        <w:numPr>
          <w:ilvl w:val="0"/>
          <w:numId w:val="35"/>
        </w:numPr>
        <w:spacing w:before="120"/>
        <w:jc w:val="both"/>
        <w:rPr>
          <w:rFonts w:ascii="Arial" w:hAnsi="Arial" w:cs="Arial"/>
          <w:b/>
          <w:sz w:val="20"/>
          <w:szCs w:val="20"/>
          <w:lang w:val="en-GB"/>
        </w:rPr>
      </w:pPr>
      <w:r>
        <w:rPr>
          <w:rFonts w:ascii="Arial" w:hAnsi="Arial" w:cs="Arial"/>
          <w:b/>
          <w:sz w:val="20"/>
          <w:szCs w:val="20"/>
          <w:lang w:val="en-GB"/>
        </w:rPr>
        <w:t xml:space="preserve">Maximum e.i.r.p. density </w:t>
      </w:r>
      <w:r>
        <w:rPr>
          <w:rFonts w:ascii="Arial" w:hAnsi="Arial" w:cs="Arial"/>
          <w:b/>
          <w:sz w:val="20"/>
          <w:szCs w:val="20"/>
          <w:lang w:val="en-GB"/>
        </w:rPr>
        <w:tab/>
      </w:r>
      <w:r>
        <w:rPr>
          <w:rFonts w:ascii="Arial" w:hAnsi="Arial" w:cs="Arial"/>
          <w:b/>
          <w:sz w:val="20"/>
          <w:szCs w:val="20"/>
          <w:lang w:val="en-GB"/>
        </w:rPr>
        <w:tab/>
      </w:r>
      <w:r>
        <w:rPr>
          <w:rFonts w:ascii="Arial" w:hAnsi="Arial" w:cs="Arial"/>
          <w:b/>
          <w:sz w:val="20"/>
          <w:szCs w:val="20"/>
          <w:lang w:val="en-GB"/>
        </w:rPr>
        <w:tab/>
      </w:r>
      <w:r>
        <w:rPr>
          <w:rFonts w:ascii="Arial" w:hAnsi="Arial" w:cs="Arial"/>
          <w:b/>
          <w:sz w:val="20"/>
          <w:szCs w:val="20"/>
          <w:lang w:val="en-GB"/>
        </w:rPr>
        <w:tab/>
        <w:t>: 10 dBm/250 MHz (rms) (Note)</w:t>
      </w:r>
    </w:p>
    <w:p w:rsidR="00CF3606" w:rsidRPr="00C91E2B" w:rsidRDefault="00CF3606" w:rsidP="00CF3606">
      <w:pPr>
        <w:pStyle w:val="ListParagraph1"/>
        <w:numPr>
          <w:ilvl w:val="0"/>
          <w:numId w:val="35"/>
        </w:numPr>
        <w:spacing w:before="120"/>
        <w:jc w:val="both"/>
        <w:rPr>
          <w:rFonts w:ascii="Arial" w:hAnsi="Arial" w:cs="Arial"/>
          <w:b/>
          <w:sz w:val="20"/>
          <w:szCs w:val="20"/>
          <w:lang w:val="en-GB"/>
        </w:rPr>
      </w:pPr>
      <w:r>
        <w:rPr>
          <w:rFonts w:ascii="Arial" w:hAnsi="Arial" w:cs="Arial"/>
          <w:b/>
          <w:sz w:val="20"/>
          <w:szCs w:val="20"/>
          <w:lang w:val="en-GB"/>
        </w:rPr>
        <w:t xml:space="preserve">Maximum e.i.r.p. density above 30° elevation </w:t>
      </w:r>
      <w:r>
        <w:rPr>
          <w:rFonts w:ascii="Arial" w:hAnsi="Arial" w:cs="Arial"/>
          <w:b/>
          <w:sz w:val="20"/>
          <w:szCs w:val="20"/>
          <w:lang w:val="en-GB"/>
        </w:rPr>
        <w:tab/>
      </w:r>
      <w:r>
        <w:rPr>
          <w:rFonts w:ascii="Arial" w:hAnsi="Arial" w:cs="Arial"/>
          <w:b/>
          <w:sz w:val="20"/>
          <w:szCs w:val="20"/>
          <w:lang w:val="en-GB"/>
        </w:rPr>
        <w:tab/>
        <w:t>: -48 dBm/MHz (rms) (Note)</w:t>
      </w:r>
    </w:p>
    <w:p w:rsidR="00CF3606" w:rsidRPr="007B2402" w:rsidRDefault="00CF3606" w:rsidP="00CF3606">
      <w:pPr>
        <w:pStyle w:val="ListParagraph1"/>
        <w:spacing w:before="120"/>
        <w:ind w:left="993" w:hanging="993"/>
        <w:jc w:val="both"/>
        <w:rPr>
          <w:rFonts w:ascii="Arial" w:hAnsi="Arial" w:cs="Arial"/>
          <w:i/>
          <w:sz w:val="20"/>
          <w:szCs w:val="20"/>
          <w:lang w:val="en-GB"/>
        </w:rPr>
      </w:pPr>
      <w:r>
        <w:rPr>
          <w:rFonts w:ascii="Arial" w:hAnsi="Arial" w:cs="Arial"/>
          <w:b/>
          <w:i/>
          <w:sz w:val="20"/>
          <w:szCs w:val="20"/>
          <w:lang w:val="en-GB"/>
        </w:rPr>
        <w:t xml:space="preserve">Note: </w:t>
      </w:r>
      <w:r>
        <w:rPr>
          <w:rFonts w:ascii="Arial" w:hAnsi="Arial" w:cs="Arial"/>
          <w:i/>
          <w:sz w:val="20"/>
          <w:szCs w:val="20"/>
          <w:lang w:val="en-GB"/>
        </w:rPr>
        <w:t>T</w:t>
      </w:r>
      <w:r w:rsidRPr="007B2402">
        <w:rPr>
          <w:rFonts w:ascii="Arial" w:hAnsi="Arial" w:cs="Arial"/>
          <w:i/>
          <w:sz w:val="20"/>
          <w:szCs w:val="20"/>
          <w:lang w:val="en-GB"/>
        </w:rPr>
        <w:t>hese limits should be measured with a rms de</w:t>
      </w:r>
      <w:r>
        <w:rPr>
          <w:rFonts w:ascii="Arial" w:hAnsi="Arial" w:cs="Arial"/>
          <w:i/>
          <w:sz w:val="20"/>
          <w:szCs w:val="20"/>
          <w:lang w:val="en-GB"/>
        </w:rPr>
        <w:t>tector and an averaging time of</w:t>
      </w:r>
      <w:r w:rsidRPr="007B2402">
        <w:rPr>
          <w:rFonts w:ascii="Arial" w:hAnsi="Arial" w:cs="Arial"/>
          <w:i/>
          <w:sz w:val="20"/>
          <w:szCs w:val="20"/>
          <w:lang w:val="en-GB"/>
        </w:rPr>
        <w:t xml:space="preserve"> 1 ms or less</w:t>
      </w:r>
      <w:r>
        <w:rPr>
          <w:rFonts w:ascii="Arial" w:hAnsi="Arial" w:cs="Arial"/>
          <w:i/>
          <w:sz w:val="20"/>
          <w:szCs w:val="20"/>
          <w:lang w:val="en-GB"/>
        </w:rPr>
        <w:t>.</w:t>
      </w:r>
    </w:p>
    <w:p w:rsidR="00CF3606" w:rsidRPr="00C91E2B" w:rsidRDefault="00CF3606" w:rsidP="00CF3606">
      <w:pPr>
        <w:pStyle w:val="ListParagraph1"/>
        <w:spacing w:before="120"/>
        <w:ind w:left="993" w:hanging="993"/>
        <w:jc w:val="both"/>
        <w:rPr>
          <w:rFonts w:ascii="Arial" w:hAnsi="Arial" w:cs="Arial"/>
          <w:i/>
          <w:sz w:val="20"/>
          <w:szCs w:val="20"/>
          <w:lang w:val="en-GB"/>
        </w:rPr>
      </w:pPr>
    </w:p>
    <w:p w:rsidR="00CF3606" w:rsidRPr="00C91E2B" w:rsidRDefault="00CF3606" w:rsidP="00CF3606">
      <w:pPr>
        <w:rPr>
          <w:lang w:val="en-GB"/>
        </w:rPr>
      </w:pPr>
    </w:p>
    <w:p w:rsidR="00CF3606" w:rsidRPr="00C91E2B" w:rsidRDefault="00CF3606" w:rsidP="00CF3606">
      <w:pPr>
        <w:pStyle w:val="ECCParagraph"/>
      </w:pPr>
      <w:r>
        <w:t xml:space="preserve">In addition, since the studies in this Report have been performed with theoretical assumptions related to SRDs in the 122 GHz frequency range these conclusions are therefore valid on a generic basis. </w:t>
      </w:r>
    </w:p>
    <w:p w:rsidR="00CF3606" w:rsidRDefault="00CF3606" w:rsidP="00CF3606">
      <w:pPr>
        <w:pStyle w:val="ECCParagraph"/>
      </w:pPr>
      <w:r>
        <w:t>In case any future specific SRD applications aiming at operating in the 122-122.25 GHz were shown not being able to comply with these limits, it could be recommended to undertake new studies to take into any possible mitigation techniques that could provide relevant protection to EESS (passive) sensors for that specific SRD application.</w:t>
      </w:r>
    </w:p>
    <w:p w:rsidR="00CF3606" w:rsidRDefault="00CF3606">
      <w:pPr>
        <w:rPr>
          <w:rFonts w:cs="Arial"/>
          <w:b/>
          <w:bCs/>
          <w:caps/>
          <w:color w:val="D2232A"/>
          <w:kern w:val="32"/>
          <w:szCs w:val="32"/>
          <w:lang w:val="en-GB"/>
        </w:rPr>
      </w:pPr>
      <w:r>
        <w:br w:type="page"/>
      </w:r>
    </w:p>
    <w:p w:rsidR="00643EF9" w:rsidRPr="00FD0F60" w:rsidRDefault="00C71F37" w:rsidP="008A54FC">
      <w:pPr>
        <w:rPr>
          <w:b/>
          <w:color w:val="FFFFFF"/>
          <w:lang w:val="en-GB"/>
        </w:rPr>
      </w:pPr>
      <w:r>
        <w:rPr>
          <w:noProof/>
          <w:lang w:val="da-DK" w:eastAsia="da-DK"/>
        </w:rPr>
        <w:lastRenderedPageBreak/>
        <mc:AlternateContent>
          <mc:Choice Requires="wps">
            <w:drawing>
              <wp:anchor distT="0" distB="0" distL="114300" distR="114300" simplePos="0" relativeHeight="251658752" behindDoc="1" locked="0" layoutInCell="1" allowOverlap="1" wp14:anchorId="696F0BC0" wp14:editId="6422BB0F">
                <wp:simplePos x="0" y="0"/>
                <wp:positionH relativeFrom="page">
                  <wp:posOffset>0</wp:posOffset>
                </wp:positionH>
                <wp:positionV relativeFrom="page">
                  <wp:posOffset>900430</wp:posOffset>
                </wp:positionV>
                <wp:extent cx="7560310" cy="720090"/>
                <wp:effectExtent l="0" t="0" r="2540" b="381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RZgA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Bl05F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643EF9" w:rsidRPr="00FD0F60" w:rsidRDefault="00643EF9" w:rsidP="008A54FC">
      <w:pPr>
        <w:rPr>
          <w:b/>
          <w:color w:val="FFFFFF"/>
          <w:szCs w:val="20"/>
          <w:lang w:val="en-GB"/>
        </w:rPr>
      </w:pPr>
    </w:p>
    <w:p w:rsidR="00643EF9" w:rsidRPr="00FD0F60" w:rsidRDefault="00643EF9" w:rsidP="008A54FC">
      <w:pPr>
        <w:rPr>
          <w:b/>
          <w:color w:val="FFFFFF"/>
          <w:szCs w:val="20"/>
          <w:lang w:val="en-GB"/>
        </w:rPr>
      </w:pPr>
      <w:r w:rsidRPr="00FD0F60">
        <w:rPr>
          <w:b/>
          <w:color w:val="FFFFFF"/>
          <w:szCs w:val="20"/>
          <w:lang w:val="en-GB"/>
        </w:rPr>
        <w:t>TABLE OF CONTENTS</w:t>
      </w:r>
    </w:p>
    <w:p w:rsidR="00643EF9" w:rsidRPr="00FD0F60" w:rsidRDefault="00643EF9" w:rsidP="008A54FC">
      <w:pPr>
        <w:rPr>
          <w:b/>
          <w:color w:val="FFFFFF"/>
          <w:szCs w:val="20"/>
          <w:lang w:val="en-GB"/>
        </w:rPr>
      </w:pPr>
    </w:p>
    <w:p w:rsidR="00643EF9" w:rsidRPr="00FD0F60" w:rsidRDefault="00643EF9" w:rsidP="008A54FC">
      <w:pPr>
        <w:rPr>
          <w:b/>
          <w:color w:val="FFFFFF"/>
          <w:szCs w:val="20"/>
          <w:lang w:val="en-GB"/>
        </w:rPr>
      </w:pPr>
    </w:p>
    <w:p w:rsidR="00643EF9" w:rsidRPr="00FD0F60" w:rsidRDefault="00643EF9">
      <w:pPr>
        <w:rPr>
          <w:lang w:val="en-GB"/>
        </w:rPr>
      </w:pPr>
    </w:p>
    <w:p w:rsidR="00437883" w:rsidRDefault="00643EF9">
      <w:pPr>
        <w:pStyle w:val="TOC1"/>
        <w:rPr>
          <w:rFonts w:asciiTheme="minorHAnsi" w:eastAsiaTheme="minorEastAsia" w:hAnsiTheme="minorHAnsi" w:cstheme="minorBidi"/>
          <w:b w:val="0"/>
          <w:caps w:val="0"/>
          <w:noProof/>
          <w:sz w:val="22"/>
          <w:szCs w:val="22"/>
          <w:lang w:val="da-DK" w:eastAsia="da-DK"/>
        </w:rPr>
      </w:pPr>
      <w:r w:rsidRPr="00FD0F60">
        <w:rPr>
          <w:caps w:val="0"/>
          <w:lang w:val="en-GB"/>
        </w:rPr>
        <w:fldChar w:fldCharType="begin"/>
      </w:r>
      <w:r w:rsidRPr="00FD0F60">
        <w:rPr>
          <w:caps w:val="0"/>
          <w:lang w:val="en-GB"/>
        </w:rPr>
        <w:instrText xml:space="preserve"> TOC \o "1-4" \h \z \u </w:instrText>
      </w:r>
      <w:r w:rsidRPr="00FD0F60">
        <w:rPr>
          <w:caps w:val="0"/>
          <w:lang w:val="en-GB"/>
        </w:rPr>
        <w:fldChar w:fldCharType="separate"/>
      </w:r>
      <w:hyperlink w:anchor="_Toc356376808" w:history="1">
        <w:r w:rsidR="00437883" w:rsidRPr="00C520A8">
          <w:rPr>
            <w:rStyle w:val="Hyperlink"/>
            <w:noProof/>
          </w:rPr>
          <w:t>0</w:t>
        </w:r>
        <w:r w:rsidR="00437883">
          <w:rPr>
            <w:rFonts w:asciiTheme="minorHAnsi" w:eastAsiaTheme="minorEastAsia" w:hAnsiTheme="minorHAnsi" w:cstheme="minorBidi"/>
            <w:b w:val="0"/>
            <w:caps w:val="0"/>
            <w:noProof/>
            <w:sz w:val="22"/>
            <w:szCs w:val="22"/>
            <w:lang w:val="da-DK" w:eastAsia="da-DK"/>
          </w:rPr>
          <w:tab/>
        </w:r>
        <w:r w:rsidR="00437883" w:rsidRPr="00C520A8">
          <w:rPr>
            <w:rStyle w:val="Hyperlink"/>
            <w:noProof/>
          </w:rPr>
          <w:t>Executive summary</w:t>
        </w:r>
        <w:r w:rsidR="00437883">
          <w:rPr>
            <w:noProof/>
            <w:webHidden/>
          </w:rPr>
          <w:tab/>
        </w:r>
        <w:r w:rsidR="00437883">
          <w:rPr>
            <w:noProof/>
            <w:webHidden/>
          </w:rPr>
          <w:fldChar w:fldCharType="begin"/>
        </w:r>
        <w:r w:rsidR="00437883">
          <w:rPr>
            <w:noProof/>
            <w:webHidden/>
          </w:rPr>
          <w:instrText xml:space="preserve"> PAGEREF _Toc356376808 \h </w:instrText>
        </w:r>
        <w:r w:rsidR="00437883">
          <w:rPr>
            <w:noProof/>
            <w:webHidden/>
          </w:rPr>
        </w:r>
        <w:r w:rsidR="00437883">
          <w:rPr>
            <w:noProof/>
            <w:webHidden/>
          </w:rPr>
          <w:fldChar w:fldCharType="separate"/>
        </w:r>
        <w:r w:rsidR="00437883">
          <w:rPr>
            <w:noProof/>
            <w:webHidden/>
          </w:rPr>
          <w:t>2</w:t>
        </w:r>
        <w:r w:rsidR="00437883">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09" w:history="1">
        <w:r w:rsidRPr="00C520A8">
          <w:rPr>
            <w:rStyle w:val="Hyperlink"/>
            <w:noProof/>
          </w:rPr>
          <w:t>1</w:t>
        </w:r>
        <w:r>
          <w:rPr>
            <w:rFonts w:asciiTheme="minorHAnsi" w:eastAsiaTheme="minorEastAsia" w:hAnsiTheme="minorHAnsi" w:cstheme="minorBidi"/>
            <w:b w:val="0"/>
            <w:caps w:val="0"/>
            <w:noProof/>
            <w:sz w:val="22"/>
            <w:szCs w:val="22"/>
            <w:lang w:val="da-DK" w:eastAsia="da-DK"/>
          </w:rPr>
          <w:tab/>
        </w:r>
        <w:r w:rsidRPr="00C520A8">
          <w:rPr>
            <w:rStyle w:val="Hyperlink"/>
            <w:noProof/>
          </w:rPr>
          <w:t>Introduction and background</w:t>
        </w:r>
        <w:r>
          <w:rPr>
            <w:noProof/>
            <w:webHidden/>
          </w:rPr>
          <w:tab/>
        </w:r>
        <w:r>
          <w:rPr>
            <w:noProof/>
            <w:webHidden/>
          </w:rPr>
          <w:fldChar w:fldCharType="begin"/>
        </w:r>
        <w:r>
          <w:rPr>
            <w:noProof/>
            <w:webHidden/>
          </w:rPr>
          <w:instrText xml:space="preserve"> PAGEREF _Toc356376809 \h </w:instrText>
        </w:r>
        <w:r>
          <w:rPr>
            <w:noProof/>
            <w:webHidden/>
          </w:rPr>
        </w:r>
        <w:r>
          <w:rPr>
            <w:noProof/>
            <w:webHidden/>
          </w:rPr>
          <w:fldChar w:fldCharType="separate"/>
        </w:r>
        <w:r>
          <w:rPr>
            <w:noProof/>
            <w:webHidden/>
          </w:rPr>
          <w:t>5</w:t>
        </w:r>
        <w:r>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10" w:history="1">
        <w:r w:rsidRPr="00C520A8">
          <w:rPr>
            <w:rStyle w:val="Hyperlink"/>
            <w:noProof/>
          </w:rPr>
          <w:t>2</w:t>
        </w:r>
        <w:r>
          <w:rPr>
            <w:rFonts w:asciiTheme="minorHAnsi" w:eastAsiaTheme="minorEastAsia" w:hAnsiTheme="minorHAnsi" w:cstheme="minorBidi"/>
            <w:b w:val="0"/>
            <w:caps w:val="0"/>
            <w:noProof/>
            <w:sz w:val="22"/>
            <w:szCs w:val="22"/>
            <w:lang w:val="da-DK" w:eastAsia="da-DK"/>
          </w:rPr>
          <w:tab/>
        </w:r>
        <w:r w:rsidRPr="00C520A8">
          <w:rPr>
            <w:rStyle w:val="Hyperlink"/>
            <w:noProof/>
          </w:rPr>
          <w:t>Current situation</w:t>
        </w:r>
        <w:r>
          <w:rPr>
            <w:noProof/>
            <w:webHidden/>
          </w:rPr>
          <w:tab/>
        </w:r>
        <w:r>
          <w:rPr>
            <w:noProof/>
            <w:webHidden/>
          </w:rPr>
          <w:fldChar w:fldCharType="begin"/>
        </w:r>
        <w:r>
          <w:rPr>
            <w:noProof/>
            <w:webHidden/>
          </w:rPr>
          <w:instrText xml:space="preserve"> PAGEREF _Toc356376810 \h </w:instrText>
        </w:r>
        <w:r>
          <w:rPr>
            <w:noProof/>
            <w:webHidden/>
          </w:rPr>
        </w:r>
        <w:r>
          <w:rPr>
            <w:noProof/>
            <w:webHidden/>
          </w:rPr>
          <w:fldChar w:fldCharType="separate"/>
        </w:r>
        <w:r>
          <w:rPr>
            <w:noProof/>
            <w:webHidden/>
          </w:rPr>
          <w:t>6</w:t>
        </w:r>
        <w:r>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11" w:history="1">
        <w:r w:rsidRPr="00C520A8">
          <w:rPr>
            <w:rStyle w:val="Hyperlink"/>
            <w:noProof/>
          </w:rPr>
          <w:t>3</w:t>
        </w:r>
        <w:r>
          <w:rPr>
            <w:rFonts w:asciiTheme="minorHAnsi" w:eastAsiaTheme="minorEastAsia" w:hAnsiTheme="minorHAnsi" w:cstheme="minorBidi"/>
            <w:b w:val="0"/>
            <w:caps w:val="0"/>
            <w:noProof/>
            <w:sz w:val="22"/>
            <w:szCs w:val="22"/>
            <w:lang w:val="da-DK" w:eastAsia="da-DK"/>
          </w:rPr>
          <w:tab/>
        </w:r>
        <w:r w:rsidRPr="00C520A8">
          <w:rPr>
            <w:rStyle w:val="Hyperlink"/>
            <w:noProof/>
          </w:rPr>
          <w:t>EESS (passive) characteristics</w:t>
        </w:r>
        <w:r>
          <w:rPr>
            <w:noProof/>
            <w:webHidden/>
          </w:rPr>
          <w:tab/>
        </w:r>
        <w:r>
          <w:rPr>
            <w:noProof/>
            <w:webHidden/>
          </w:rPr>
          <w:fldChar w:fldCharType="begin"/>
        </w:r>
        <w:r>
          <w:rPr>
            <w:noProof/>
            <w:webHidden/>
          </w:rPr>
          <w:instrText xml:space="preserve"> PAGEREF _Toc356376811 \h </w:instrText>
        </w:r>
        <w:r>
          <w:rPr>
            <w:noProof/>
            <w:webHidden/>
          </w:rPr>
        </w:r>
        <w:r>
          <w:rPr>
            <w:noProof/>
            <w:webHidden/>
          </w:rPr>
          <w:fldChar w:fldCharType="separate"/>
        </w:r>
        <w:r>
          <w:rPr>
            <w:noProof/>
            <w:webHidden/>
          </w:rPr>
          <w:t>7</w:t>
        </w:r>
        <w:r>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12" w:history="1">
        <w:r w:rsidRPr="00C520A8">
          <w:rPr>
            <w:rStyle w:val="Hyperlink"/>
            <w:noProof/>
          </w:rPr>
          <w:t>4</w:t>
        </w:r>
        <w:r>
          <w:rPr>
            <w:rFonts w:asciiTheme="minorHAnsi" w:eastAsiaTheme="minorEastAsia" w:hAnsiTheme="minorHAnsi" w:cstheme="minorBidi"/>
            <w:b w:val="0"/>
            <w:caps w:val="0"/>
            <w:noProof/>
            <w:sz w:val="22"/>
            <w:szCs w:val="22"/>
            <w:lang w:val="da-DK" w:eastAsia="da-DK"/>
          </w:rPr>
          <w:tab/>
        </w:r>
        <w:r w:rsidRPr="00C520A8">
          <w:rPr>
            <w:rStyle w:val="Hyperlink"/>
            <w:noProof/>
          </w:rPr>
          <w:t>SRD technical and operational characteristics</w:t>
        </w:r>
        <w:r>
          <w:rPr>
            <w:noProof/>
            <w:webHidden/>
          </w:rPr>
          <w:tab/>
        </w:r>
        <w:r>
          <w:rPr>
            <w:noProof/>
            <w:webHidden/>
          </w:rPr>
          <w:fldChar w:fldCharType="begin"/>
        </w:r>
        <w:r>
          <w:rPr>
            <w:noProof/>
            <w:webHidden/>
          </w:rPr>
          <w:instrText xml:space="preserve"> PAGEREF _Toc356376812 \h </w:instrText>
        </w:r>
        <w:r>
          <w:rPr>
            <w:noProof/>
            <w:webHidden/>
          </w:rPr>
        </w:r>
        <w:r>
          <w:rPr>
            <w:noProof/>
            <w:webHidden/>
          </w:rPr>
          <w:fldChar w:fldCharType="separate"/>
        </w:r>
        <w:r>
          <w:rPr>
            <w:noProof/>
            <w:webHidden/>
          </w:rPr>
          <w:t>10</w:t>
        </w:r>
        <w:r>
          <w:rPr>
            <w:noProof/>
            <w:webHidden/>
          </w:rPr>
          <w:fldChar w:fldCharType="end"/>
        </w:r>
      </w:hyperlink>
    </w:p>
    <w:p w:rsidR="00437883" w:rsidRDefault="00437883">
      <w:pPr>
        <w:pStyle w:val="TOC2"/>
        <w:rPr>
          <w:rFonts w:asciiTheme="minorHAnsi" w:eastAsiaTheme="minorEastAsia" w:hAnsiTheme="minorHAnsi" w:cstheme="minorBidi"/>
          <w:noProof/>
          <w:sz w:val="22"/>
          <w:szCs w:val="22"/>
          <w:lang w:val="da-DK" w:eastAsia="da-DK"/>
        </w:rPr>
      </w:pPr>
      <w:hyperlink w:anchor="_Toc356376813" w:history="1">
        <w:r w:rsidRPr="00C520A8">
          <w:rPr>
            <w:rStyle w:val="Hyperlink"/>
            <w:noProof/>
            <w:lang w:val="en-GB"/>
          </w:rPr>
          <w:t>4.1</w:t>
        </w:r>
        <w:r>
          <w:rPr>
            <w:rFonts w:asciiTheme="minorHAnsi" w:eastAsiaTheme="minorEastAsia" w:hAnsiTheme="minorHAnsi" w:cstheme="minorBidi"/>
            <w:noProof/>
            <w:sz w:val="22"/>
            <w:szCs w:val="22"/>
            <w:lang w:val="da-DK" w:eastAsia="da-DK"/>
          </w:rPr>
          <w:tab/>
        </w:r>
        <w:r w:rsidRPr="00C520A8">
          <w:rPr>
            <w:rStyle w:val="Hyperlink"/>
            <w:noProof/>
            <w:lang w:val="en-GB"/>
          </w:rPr>
          <w:t>Technical parameters</w:t>
        </w:r>
        <w:r>
          <w:rPr>
            <w:noProof/>
            <w:webHidden/>
          </w:rPr>
          <w:tab/>
        </w:r>
        <w:r>
          <w:rPr>
            <w:noProof/>
            <w:webHidden/>
          </w:rPr>
          <w:fldChar w:fldCharType="begin"/>
        </w:r>
        <w:r>
          <w:rPr>
            <w:noProof/>
            <w:webHidden/>
          </w:rPr>
          <w:instrText xml:space="preserve"> PAGEREF _Toc356376813 \h </w:instrText>
        </w:r>
        <w:r>
          <w:rPr>
            <w:noProof/>
            <w:webHidden/>
          </w:rPr>
        </w:r>
        <w:r>
          <w:rPr>
            <w:noProof/>
            <w:webHidden/>
          </w:rPr>
          <w:fldChar w:fldCharType="separate"/>
        </w:r>
        <w:r>
          <w:rPr>
            <w:noProof/>
            <w:webHidden/>
          </w:rPr>
          <w:t>10</w:t>
        </w:r>
        <w:r>
          <w:rPr>
            <w:noProof/>
            <w:webHidden/>
          </w:rPr>
          <w:fldChar w:fldCharType="end"/>
        </w:r>
      </w:hyperlink>
    </w:p>
    <w:p w:rsidR="00437883" w:rsidRDefault="00437883">
      <w:pPr>
        <w:pStyle w:val="TOC2"/>
        <w:rPr>
          <w:rFonts w:asciiTheme="minorHAnsi" w:eastAsiaTheme="minorEastAsia" w:hAnsiTheme="minorHAnsi" w:cstheme="minorBidi"/>
          <w:noProof/>
          <w:sz w:val="22"/>
          <w:szCs w:val="22"/>
          <w:lang w:val="da-DK" w:eastAsia="da-DK"/>
        </w:rPr>
      </w:pPr>
      <w:hyperlink w:anchor="_Toc356376814" w:history="1">
        <w:r w:rsidRPr="00C520A8">
          <w:rPr>
            <w:rStyle w:val="Hyperlink"/>
            <w:noProof/>
            <w:lang w:val="en-GB"/>
          </w:rPr>
          <w:t>4.2</w:t>
        </w:r>
        <w:r>
          <w:rPr>
            <w:rFonts w:asciiTheme="minorHAnsi" w:eastAsiaTheme="minorEastAsia" w:hAnsiTheme="minorHAnsi" w:cstheme="minorBidi"/>
            <w:noProof/>
            <w:sz w:val="22"/>
            <w:szCs w:val="22"/>
            <w:lang w:val="da-DK" w:eastAsia="da-DK"/>
          </w:rPr>
          <w:tab/>
        </w:r>
        <w:r w:rsidRPr="00C520A8">
          <w:rPr>
            <w:rStyle w:val="Hyperlink"/>
            <w:noProof/>
            <w:lang w:val="en-GB"/>
          </w:rPr>
          <w:t>Description of applications</w:t>
        </w:r>
        <w:r>
          <w:rPr>
            <w:noProof/>
            <w:webHidden/>
          </w:rPr>
          <w:tab/>
        </w:r>
        <w:r>
          <w:rPr>
            <w:noProof/>
            <w:webHidden/>
          </w:rPr>
          <w:fldChar w:fldCharType="begin"/>
        </w:r>
        <w:r>
          <w:rPr>
            <w:noProof/>
            <w:webHidden/>
          </w:rPr>
          <w:instrText xml:space="preserve"> PAGEREF _Toc356376814 \h </w:instrText>
        </w:r>
        <w:r>
          <w:rPr>
            <w:noProof/>
            <w:webHidden/>
          </w:rPr>
        </w:r>
        <w:r>
          <w:rPr>
            <w:noProof/>
            <w:webHidden/>
          </w:rPr>
          <w:fldChar w:fldCharType="separate"/>
        </w:r>
        <w:r>
          <w:rPr>
            <w:noProof/>
            <w:webHidden/>
          </w:rPr>
          <w:t>10</w:t>
        </w:r>
        <w:r>
          <w:rPr>
            <w:noProof/>
            <w:webHidden/>
          </w:rPr>
          <w:fldChar w:fldCharType="end"/>
        </w:r>
      </w:hyperlink>
    </w:p>
    <w:p w:rsidR="00437883" w:rsidRDefault="00437883">
      <w:pPr>
        <w:pStyle w:val="TOC2"/>
        <w:rPr>
          <w:rFonts w:asciiTheme="minorHAnsi" w:eastAsiaTheme="minorEastAsia" w:hAnsiTheme="minorHAnsi" w:cstheme="minorBidi"/>
          <w:noProof/>
          <w:sz w:val="22"/>
          <w:szCs w:val="22"/>
          <w:lang w:val="da-DK" w:eastAsia="da-DK"/>
        </w:rPr>
      </w:pPr>
      <w:hyperlink w:anchor="_Toc356376815" w:history="1">
        <w:r w:rsidRPr="00C520A8">
          <w:rPr>
            <w:rStyle w:val="Hyperlink"/>
            <w:noProof/>
            <w:lang w:val="en-GB"/>
          </w:rPr>
          <w:t>4.3</w:t>
        </w:r>
        <w:r>
          <w:rPr>
            <w:rFonts w:asciiTheme="minorHAnsi" w:eastAsiaTheme="minorEastAsia" w:hAnsiTheme="minorHAnsi" w:cstheme="minorBidi"/>
            <w:noProof/>
            <w:sz w:val="22"/>
            <w:szCs w:val="22"/>
            <w:lang w:val="da-DK" w:eastAsia="da-DK"/>
          </w:rPr>
          <w:tab/>
        </w:r>
        <w:r w:rsidRPr="00C520A8">
          <w:rPr>
            <w:rStyle w:val="Hyperlink"/>
            <w:noProof/>
            <w:lang w:val="en-GB"/>
          </w:rPr>
          <w:t>Deployment characteristics</w:t>
        </w:r>
        <w:r>
          <w:rPr>
            <w:noProof/>
            <w:webHidden/>
          </w:rPr>
          <w:tab/>
        </w:r>
        <w:r>
          <w:rPr>
            <w:noProof/>
            <w:webHidden/>
          </w:rPr>
          <w:fldChar w:fldCharType="begin"/>
        </w:r>
        <w:r>
          <w:rPr>
            <w:noProof/>
            <w:webHidden/>
          </w:rPr>
          <w:instrText xml:space="preserve"> PAGEREF _Toc356376815 \h </w:instrText>
        </w:r>
        <w:r>
          <w:rPr>
            <w:noProof/>
            <w:webHidden/>
          </w:rPr>
        </w:r>
        <w:r>
          <w:rPr>
            <w:noProof/>
            <w:webHidden/>
          </w:rPr>
          <w:fldChar w:fldCharType="separate"/>
        </w:r>
        <w:r>
          <w:rPr>
            <w:noProof/>
            <w:webHidden/>
          </w:rPr>
          <w:t>10</w:t>
        </w:r>
        <w:r>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16" w:history="1">
        <w:r w:rsidRPr="00C520A8">
          <w:rPr>
            <w:rStyle w:val="Hyperlink"/>
            <w:noProof/>
          </w:rPr>
          <w:t>5</w:t>
        </w:r>
        <w:r>
          <w:rPr>
            <w:rFonts w:asciiTheme="minorHAnsi" w:eastAsiaTheme="minorEastAsia" w:hAnsiTheme="minorHAnsi" w:cstheme="minorBidi"/>
            <w:b w:val="0"/>
            <w:caps w:val="0"/>
            <w:noProof/>
            <w:sz w:val="22"/>
            <w:szCs w:val="22"/>
            <w:lang w:val="da-DK" w:eastAsia="da-DK"/>
          </w:rPr>
          <w:tab/>
        </w:r>
        <w:r w:rsidRPr="00C520A8">
          <w:rPr>
            <w:rStyle w:val="Hyperlink"/>
            <w:noProof/>
          </w:rPr>
          <w:t>Attenuation on the path</w:t>
        </w:r>
        <w:r>
          <w:rPr>
            <w:noProof/>
            <w:webHidden/>
          </w:rPr>
          <w:tab/>
        </w:r>
        <w:r>
          <w:rPr>
            <w:noProof/>
            <w:webHidden/>
          </w:rPr>
          <w:fldChar w:fldCharType="begin"/>
        </w:r>
        <w:r>
          <w:rPr>
            <w:noProof/>
            <w:webHidden/>
          </w:rPr>
          <w:instrText xml:space="preserve"> PAGEREF _Toc356376816 \h </w:instrText>
        </w:r>
        <w:r>
          <w:rPr>
            <w:noProof/>
            <w:webHidden/>
          </w:rPr>
        </w:r>
        <w:r>
          <w:rPr>
            <w:noProof/>
            <w:webHidden/>
          </w:rPr>
          <w:fldChar w:fldCharType="separate"/>
        </w:r>
        <w:r>
          <w:rPr>
            <w:noProof/>
            <w:webHidden/>
          </w:rPr>
          <w:t>11</w:t>
        </w:r>
        <w:r>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17" w:history="1">
        <w:r w:rsidRPr="00C520A8">
          <w:rPr>
            <w:rStyle w:val="Hyperlink"/>
            <w:noProof/>
          </w:rPr>
          <w:t>6</w:t>
        </w:r>
        <w:r>
          <w:rPr>
            <w:rFonts w:asciiTheme="minorHAnsi" w:eastAsiaTheme="minorEastAsia" w:hAnsiTheme="minorHAnsi" w:cstheme="minorBidi"/>
            <w:b w:val="0"/>
            <w:caps w:val="0"/>
            <w:noProof/>
            <w:sz w:val="22"/>
            <w:szCs w:val="22"/>
            <w:lang w:val="da-DK" w:eastAsia="da-DK"/>
          </w:rPr>
          <w:tab/>
        </w:r>
        <w:r w:rsidRPr="00C520A8">
          <w:rPr>
            <w:rStyle w:val="Hyperlink"/>
            <w:noProof/>
          </w:rPr>
          <w:t>Compatibility Calculations</w:t>
        </w:r>
        <w:r>
          <w:rPr>
            <w:noProof/>
            <w:webHidden/>
          </w:rPr>
          <w:tab/>
        </w:r>
        <w:r>
          <w:rPr>
            <w:noProof/>
            <w:webHidden/>
          </w:rPr>
          <w:fldChar w:fldCharType="begin"/>
        </w:r>
        <w:r>
          <w:rPr>
            <w:noProof/>
            <w:webHidden/>
          </w:rPr>
          <w:instrText xml:space="preserve"> PAGEREF _Toc356376817 \h </w:instrText>
        </w:r>
        <w:r>
          <w:rPr>
            <w:noProof/>
            <w:webHidden/>
          </w:rPr>
        </w:r>
        <w:r>
          <w:rPr>
            <w:noProof/>
            <w:webHidden/>
          </w:rPr>
          <w:fldChar w:fldCharType="separate"/>
        </w:r>
        <w:r>
          <w:rPr>
            <w:noProof/>
            <w:webHidden/>
          </w:rPr>
          <w:t>12</w:t>
        </w:r>
        <w:r>
          <w:rPr>
            <w:noProof/>
            <w:webHidden/>
          </w:rPr>
          <w:fldChar w:fldCharType="end"/>
        </w:r>
      </w:hyperlink>
    </w:p>
    <w:p w:rsidR="00437883" w:rsidRDefault="00437883">
      <w:pPr>
        <w:pStyle w:val="TOC2"/>
        <w:rPr>
          <w:rFonts w:asciiTheme="minorHAnsi" w:eastAsiaTheme="minorEastAsia" w:hAnsiTheme="minorHAnsi" w:cstheme="minorBidi"/>
          <w:noProof/>
          <w:sz w:val="22"/>
          <w:szCs w:val="22"/>
          <w:lang w:val="da-DK" w:eastAsia="da-DK"/>
        </w:rPr>
      </w:pPr>
      <w:hyperlink w:anchor="_Toc356376818" w:history="1">
        <w:r w:rsidRPr="00C520A8">
          <w:rPr>
            <w:rStyle w:val="Hyperlink"/>
            <w:noProof/>
            <w:lang w:val="en-GB"/>
          </w:rPr>
          <w:t>6.1</w:t>
        </w:r>
        <w:r>
          <w:rPr>
            <w:rFonts w:asciiTheme="minorHAnsi" w:eastAsiaTheme="minorEastAsia" w:hAnsiTheme="minorHAnsi" w:cstheme="minorBidi"/>
            <w:noProof/>
            <w:sz w:val="22"/>
            <w:szCs w:val="22"/>
            <w:lang w:val="da-DK" w:eastAsia="da-DK"/>
          </w:rPr>
          <w:tab/>
        </w:r>
        <w:r w:rsidRPr="00C520A8">
          <w:rPr>
            <w:rStyle w:val="Hyperlink"/>
            <w:noProof/>
            <w:lang w:val="en-GB"/>
          </w:rPr>
          <w:t>low density uniform scenario (dynamic)</w:t>
        </w:r>
        <w:r>
          <w:rPr>
            <w:noProof/>
            <w:webHidden/>
          </w:rPr>
          <w:tab/>
        </w:r>
        <w:r>
          <w:rPr>
            <w:noProof/>
            <w:webHidden/>
          </w:rPr>
          <w:fldChar w:fldCharType="begin"/>
        </w:r>
        <w:r>
          <w:rPr>
            <w:noProof/>
            <w:webHidden/>
          </w:rPr>
          <w:instrText xml:space="preserve"> PAGEREF _Toc356376818 \h </w:instrText>
        </w:r>
        <w:r>
          <w:rPr>
            <w:noProof/>
            <w:webHidden/>
          </w:rPr>
        </w:r>
        <w:r>
          <w:rPr>
            <w:noProof/>
            <w:webHidden/>
          </w:rPr>
          <w:fldChar w:fldCharType="separate"/>
        </w:r>
        <w:r>
          <w:rPr>
            <w:noProof/>
            <w:webHidden/>
          </w:rPr>
          <w:t>12</w:t>
        </w:r>
        <w:r>
          <w:rPr>
            <w:noProof/>
            <w:webHidden/>
          </w:rPr>
          <w:fldChar w:fldCharType="end"/>
        </w:r>
      </w:hyperlink>
    </w:p>
    <w:p w:rsidR="00437883" w:rsidRDefault="00437883">
      <w:pPr>
        <w:pStyle w:val="TOC2"/>
        <w:rPr>
          <w:rFonts w:asciiTheme="minorHAnsi" w:eastAsiaTheme="minorEastAsia" w:hAnsiTheme="minorHAnsi" w:cstheme="minorBidi"/>
          <w:noProof/>
          <w:sz w:val="22"/>
          <w:szCs w:val="22"/>
          <w:lang w:val="da-DK" w:eastAsia="da-DK"/>
        </w:rPr>
      </w:pPr>
      <w:hyperlink w:anchor="_Toc356376819" w:history="1">
        <w:r w:rsidRPr="00C520A8">
          <w:rPr>
            <w:rStyle w:val="Hyperlink"/>
            <w:noProof/>
            <w:lang w:val="en-GB"/>
          </w:rPr>
          <w:t>6.2</w:t>
        </w:r>
        <w:r>
          <w:rPr>
            <w:rFonts w:asciiTheme="minorHAnsi" w:eastAsiaTheme="minorEastAsia" w:hAnsiTheme="minorHAnsi" w:cstheme="minorBidi"/>
            <w:noProof/>
            <w:sz w:val="22"/>
            <w:szCs w:val="22"/>
            <w:lang w:val="da-DK" w:eastAsia="da-DK"/>
          </w:rPr>
          <w:tab/>
        </w:r>
        <w:r w:rsidRPr="00C520A8">
          <w:rPr>
            <w:rStyle w:val="Hyperlink"/>
            <w:noProof/>
            <w:lang w:val="en-GB"/>
          </w:rPr>
          <w:t>Analysis with one single SRD (static)</w:t>
        </w:r>
        <w:r>
          <w:rPr>
            <w:noProof/>
            <w:webHidden/>
          </w:rPr>
          <w:tab/>
        </w:r>
        <w:r>
          <w:rPr>
            <w:noProof/>
            <w:webHidden/>
          </w:rPr>
          <w:fldChar w:fldCharType="begin"/>
        </w:r>
        <w:r>
          <w:rPr>
            <w:noProof/>
            <w:webHidden/>
          </w:rPr>
          <w:instrText xml:space="preserve"> PAGEREF _Toc356376819 \h </w:instrText>
        </w:r>
        <w:r>
          <w:rPr>
            <w:noProof/>
            <w:webHidden/>
          </w:rPr>
        </w:r>
        <w:r>
          <w:rPr>
            <w:noProof/>
            <w:webHidden/>
          </w:rPr>
          <w:fldChar w:fldCharType="separate"/>
        </w:r>
        <w:r>
          <w:rPr>
            <w:noProof/>
            <w:webHidden/>
          </w:rPr>
          <w:t>14</w:t>
        </w:r>
        <w:r>
          <w:rPr>
            <w:noProof/>
            <w:webHidden/>
          </w:rPr>
          <w:fldChar w:fldCharType="end"/>
        </w:r>
      </w:hyperlink>
    </w:p>
    <w:p w:rsidR="00437883" w:rsidRDefault="00437883">
      <w:pPr>
        <w:pStyle w:val="TOC2"/>
        <w:rPr>
          <w:rFonts w:asciiTheme="minorHAnsi" w:eastAsiaTheme="minorEastAsia" w:hAnsiTheme="minorHAnsi" w:cstheme="minorBidi"/>
          <w:noProof/>
          <w:sz w:val="22"/>
          <w:szCs w:val="22"/>
          <w:lang w:val="da-DK" w:eastAsia="da-DK"/>
        </w:rPr>
      </w:pPr>
      <w:hyperlink w:anchor="_Toc356376820" w:history="1">
        <w:r w:rsidRPr="00C520A8">
          <w:rPr>
            <w:rStyle w:val="Hyperlink"/>
            <w:noProof/>
            <w:lang w:val="en-GB"/>
          </w:rPr>
          <w:t>6.3</w:t>
        </w:r>
        <w:r>
          <w:rPr>
            <w:rFonts w:asciiTheme="minorHAnsi" w:eastAsiaTheme="minorEastAsia" w:hAnsiTheme="minorHAnsi" w:cstheme="minorBidi"/>
            <w:noProof/>
            <w:sz w:val="22"/>
            <w:szCs w:val="22"/>
            <w:lang w:val="da-DK" w:eastAsia="da-DK"/>
          </w:rPr>
          <w:tab/>
        </w:r>
        <w:r w:rsidRPr="00C520A8">
          <w:rPr>
            <w:rStyle w:val="Hyperlink"/>
            <w:noProof/>
            <w:lang w:val="en-GB"/>
          </w:rPr>
          <w:t>Hot spot scenario (dynamic)</w:t>
        </w:r>
        <w:r>
          <w:rPr>
            <w:noProof/>
            <w:webHidden/>
          </w:rPr>
          <w:tab/>
        </w:r>
        <w:r>
          <w:rPr>
            <w:noProof/>
            <w:webHidden/>
          </w:rPr>
          <w:fldChar w:fldCharType="begin"/>
        </w:r>
        <w:r>
          <w:rPr>
            <w:noProof/>
            <w:webHidden/>
          </w:rPr>
          <w:instrText xml:space="preserve"> PAGEREF _Toc356376820 \h </w:instrText>
        </w:r>
        <w:r>
          <w:rPr>
            <w:noProof/>
            <w:webHidden/>
          </w:rPr>
        </w:r>
        <w:r>
          <w:rPr>
            <w:noProof/>
            <w:webHidden/>
          </w:rPr>
          <w:fldChar w:fldCharType="separate"/>
        </w:r>
        <w:r>
          <w:rPr>
            <w:noProof/>
            <w:webHidden/>
          </w:rPr>
          <w:t>14</w:t>
        </w:r>
        <w:r>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21" w:history="1">
        <w:r w:rsidRPr="00C520A8">
          <w:rPr>
            <w:rStyle w:val="Hyperlink"/>
            <w:noProof/>
          </w:rPr>
          <w:t>7</w:t>
        </w:r>
        <w:r>
          <w:rPr>
            <w:rFonts w:asciiTheme="minorHAnsi" w:eastAsiaTheme="minorEastAsia" w:hAnsiTheme="minorHAnsi" w:cstheme="minorBidi"/>
            <w:b w:val="0"/>
            <w:caps w:val="0"/>
            <w:noProof/>
            <w:sz w:val="22"/>
            <w:szCs w:val="22"/>
            <w:lang w:val="da-DK" w:eastAsia="da-DK"/>
          </w:rPr>
          <w:tab/>
        </w:r>
        <w:r w:rsidRPr="00C520A8">
          <w:rPr>
            <w:rStyle w:val="Hyperlink"/>
            <w:noProof/>
          </w:rPr>
          <w:t>Conclusions</w:t>
        </w:r>
        <w:r>
          <w:rPr>
            <w:noProof/>
            <w:webHidden/>
          </w:rPr>
          <w:tab/>
        </w:r>
        <w:r>
          <w:rPr>
            <w:noProof/>
            <w:webHidden/>
          </w:rPr>
          <w:fldChar w:fldCharType="begin"/>
        </w:r>
        <w:r>
          <w:rPr>
            <w:noProof/>
            <w:webHidden/>
          </w:rPr>
          <w:instrText xml:space="preserve"> PAGEREF _Toc356376821 \h </w:instrText>
        </w:r>
        <w:r>
          <w:rPr>
            <w:noProof/>
            <w:webHidden/>
          </w:rPr>
        </w:r>
        <w:r>
          <w:rPr>
            <w:noProof/>
            <w:webHidden/>
          </w:rPr>
          <w:fldChar w:fldCharType="separate"/>
        </w:r>
        <w:r>
          <w:rPr>
            <w:noProof/>
            <w:webHidden/>
          </w:rPr>
          <w:t>17</w:t>
        </w:r>
        <w:r>
          <w:rPr>
            <w:noProof/>
            <w:webHidden/>
          </w:rPr>
          <w:fldChar w:fldCharType="end"/>
        </w:r>
      </w:hyperlink>
    </w:p>
    <w:p w:rsidR="00437883" w:rsidRDefault="00437883">
      <w:pPr>
        <w:pStyle w:val="TOC1"/>
        <w:rPr>
          <w:rFonts w:asciiTheme="minorHAnsi" w:eastAsiaTheme="minorEastAsia" w:hAnsiTheme="minorHAnsi" w:cstheme="minorBidi"/>
          <w:b w:val="0"/>
          <w:caps w:val="0"/>
          <w:noProof/>
          <w:sz w:val="22"/>
          <w:szCs w:val="22"/>
          <w:lang w:val="da-DK" w:eastAsia="da-DK"/>
        </w:rPr>
      </w:pPr>
      <w:hyperlink w:anchor="_Toc356376822" w:history="1">
        <w:r w:rsidRPr="00C520A8">
          <w:rPr>
            <w:rStyle w:val="Hyperlink"/>
            <w:noProof/>
          </w:rPr>
          <w:t>ANNEX 1: List of reference</w:t>
        </w:r>
        <w:r>
          <w:rPr>
            <w:noProof/>
            <w:webHidden/>
          </w:rPr>
          <w:tab/>
        </w:r>
        <w:r>
          <w:rPr>
            <w:noProof/>
            <w:webHidden/>
          </w:rPr>
          <w:fldChar w:fldCharType="begin"/>
        </w:r>
        <w:r>
          <w:rPr>
            <w:noProof/>
            <w:webHidden/>
          </w:rPr>
          <w:instrText xml:space="preserve"> PAGEREF _Toc356376822 \h </w:instrText>
        </w:r>
        <w:r>
          <w:rPr>
            <w:noProof/>
            <w:webHidden/>
          </w:rPr>
        </w:r>
        <w:r>
          <w:rPr>
            <w:noProof/>
            <w:webHidden/>
          </w:rPr>
          <w:fldChar w:fldCharType="separate"/>
        </w:r>
        <w:r>
          <w:rPr>
            <w:noProof/>
            <w:webHidden/>
          </w:rPr>
          <w:t>18</w:t>
        </w:r>
        <w:r>
          <w:rPr>
            <w:noProof/>
            <w:webHidden/>
          </w:rPr>
          <w:fldChar w:fldCharType="end"/>
        </w:r>
      </w:hyperlink>
    </w:p>
    <w:p w:rsidR="00643EF9" w:rsidRPr="00FD0F60" w:rsidRDefault="00643EF9" w:rsidP="008A54FC">
      <w:pPr>
        <w:rPr>
          <w:lang w:val="en-GB"/>
        </w:rPr>
      </w:pPr>
      <w:r w:rsidRPr="00FD0F60">
        <w:rPr>
          <w:caps/>
          <w:lang w:val="en-GB"/>
        </w:rPr>
        <w:fldChar w:fldCharType="end"/>
      </w:r>
    </w:p>
    <w:p w:rsidR="00643EF9" w:rsidRPr="00FD0F60" w:rsidRDefault="00643EF9" w:rsidP="008A54FC">
      <w:pPr>
        <w:rPr>
          <w:b/>
          <w:color w:val="FFFFFF"/>
          <w:szCs w:val="20"/>
          <w:lang w:val="en-GB"/>
        </w:rPr>
      </w:pPr>
      <w:r w:rsidRPr="00FD0F60">
        <w:rPr>
          <w:lang w:val="en-GB"/>
        </w:rPr>
        <w:br w:type="page"/>
      </w:r>
    </w:p>
    <w:p w:rsidR="00643EF9" w:rsidRPr="00FD0F60" w:rsidRDefault="00643EF9" w:rsidP="008A54FC">
      <w:pPr>
        <w:rPr>
          <w:b/>
          <w:color w:val="FFFFFF"/>
          <w:szCs w:val="20"/>
          <w:lang w:val="en-GB"/>
        </w:rPr>
      </w:pPr>
    </w:p>
    <w:p w:rsidR="00CF3606" w:rsidRDefault="00CF3606" w:rsidP="008A54FC">
      <w:pPr>
        <w:rPr>
          <w:b/>
          <w:color w:val="FFFFFF"/>
          <w:szCs w:val="20"/>
          <w:lang w:val="en-GB"/>
        </w:rPr>
      </w:pPr>
    </w:p>
    <w:p w:rsidR="00643EF9" w:rsidRPr="00FD0F60" w:rsidRDefault="00C71F37" w:rsidP="008A54FC">
      <w:pPr>
        <w:rPr>
          <w:b/>
          <w:color w:val="FFFFFF"/>
          <w:szCs w:val="20"/>
          <w:lang w:val="en-GB"/>
        </w:rPr>
      </w:pPr>
      <w:r>
        <w:rPr>
          <w:noProof/>
          <w:lang w:val="da-DK" w:eastAsia="da-DK"/>
        </w:rPr>
        <mc:AlternateContent>
          <mc:Choice Requires="wps">
            <w:drawing>
              <wp:anchor distT="0" distB="0" distL="114300" distR="114300" simplePos="0" relativeHeight="251659776" behindDoc="1" locked="0" layoutInCell="1" allowOverlap="1" wp14:anchorId="236F2763" wp14:editId="7A46BAE2">
                <wp:simplePos x="0" y="0"/>
                <wp:positionH relativeFrom="page">
                  <wp:align>center</wp:align>
                </wp:positionH>
                <wp:positionV relativeFrom="page">
                  <wp:posOffset>900430</wp:posOffset>
                </wp:positionV>
                <wp:extent cx="7560310" cy="720090"/>
                <wp:effectExtent l="0" t="0" r="2540" b="381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sC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E&#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BwXE+&#10;jtwv0Ltzkmn8/YlkJzw0ohRdjWenIFIFYV8rBrRJ5YmQwzy5hB+rDDU4/seqRBsE5QcHrTV7AhdY&#10;DSKBnvBkwKTV9hmjHtqvxu7rlliOkXyrwEllVhShX+OiGIP0GNnznfX5DlEUUtXYYzRMb/3Q41tj&#10;xaaFm7JYGKWX4L5GRGMEZw6oDp6FFosMDs9B6OHzdYz6+WgtfgA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2rlbA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643EF9" w:rsidRPr="00FD0F60">
        <w:rPr>
          <w:b/>
          <w:color w:val="FFFFFF"/>
          <w:szCs w:val="20"/>
          <w:lang w:val="en-GB"/>
        </w:rPr>
        <w:t>LIST OF ABBREVIATIONS</w:t>
      </w:r>
    </w:p>
    <w:p w:rsidR="00CF3606" w:rsidRPr="00FD0F60" w:rsidRDefault="00CF3606" w:rsidP="008A54FC">
      <w:pPr>
        <w:rPr>
          <w:b/>
          <w:color w:val="FFFFFF"/>
          <w:szCs w:val="20"/>
          <w:lang w:val="en-GB"/>
        </w:rPr>
      </w:pPr>
    </w:p>
    <w:p w:rsidR="00643EF9" w:rsidRPr="00FD0F60" w:rsidRDefault="00643EF9" w:rsidP="008A54FC">
      <w:pPr>
        <w:rPr>
          <w:b/>
          <w:color w:val="FFFFFF"/>
          <w:szCs w:val="20"/>
          <w:lang w:val="en-GB"/>
        </w:rPr>
      </w:pPr>
    </w:p>
    <w:p w:rsidR="00643EF9" w:rsidRPr="00FD0F60" w:rsidRDefault="00643EF9" w:rsidP="008A54FC">
      <w:pPr>
        <w:rPr>
          <w:lang w:val="en-GB"/>
        </w:rPr>
      </w:pPr>
    </w:p>
    <w:p w:rsidR="00643EF9" w:rsidRPr="00FD0F60" w:rsidRDefault="00643EF9"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643EF9" w:rsidRPr="00FD0F60">
        <w:trPr>
          <w:trHeight w:val="76"/>
        </w:trPr>
        <w:tc>
          <w:tcPr>
            <w:tcW w:w="2088" w:type="dxa"/>
          </w:tcPr>
          <w:p w:rsidR="00643EF9" w:rsidRPr="00FD0F60" w:rsidRDefault="00643EF9" w:rsidP="008A54FC">
            <w:pPr>
              <w:spacing w:line="288" w:lineRule="auto"/>
              <w:rPr>
                <w:b/>
                <w:color w:val="D2232A"/>
                <w:lang w:val="en-GB"/>
              </w:rPr>
            </w:pPr>
            <w:r w:rsidRPr="00FD0F60">
              <w:rPr>
                <w:b/>
                <w:color w:val="D2232A"/>
                <w:lang w:val="en-GB"/>
              </w:rPr>
              <w:t>Abbreviation</w:t>
            </w:r>
          </w:p>
        </w:tc>
        <w:tc>
          <w:tcPr>
            <w:tcW w:w="7767" w:type="dxa"/>
          </w:tcPr>
          <w:p w:rsidR="00643EF9" w:rsidRPr="00FD0F60" w:rsidRDefault="00643EF9" w:rsidP="008A54FC">
            <w:pPr>
              <w:spacing w:line="288" w:lineRule="auto"/>
              <w:rPr>
                <w:b/>
                <w:color w:val="D2232A"/>
                <w:lang w:val="en-GB"/>
              </w:rPr>
            </w:pPr>
            <w:r w:rsidRPr="00FD0F60">
              <w:rPr>
                <w:b/>
                <w:color w:val="D2232A"/>
                <w:lang w:val="en-GB"/>
              </w:rPr>
              <w:t xml:space="preserve">Explanation </w:t>
            </w:r>
          </w:p>
        </w:tc>
      </w:tr>
      <w:tr w:rsidR="00643EF9" w:rsidRPr="00FD0F60">
        <w:tc>
          <w:tcPr>
            <w:tcW w:w="2088" w:type="dxa"/>
          </w:tcPr>
          <w:p w:rsidR="00643EF9" w:rsidRPr="00FD0F60" w:rsidRDefault="00643EF9" w:rsidP="008A54FC">
            <w:pPr>
              <w:spacing w:line="288" w:lineRule="auto"/>
              <w:rPr>
                <w:b/>
                <w:lang w:val="en-GB"/>
              </w:rPr>
            </w:pPr>
            <w:r w:rsidRPr="00FD0F60">
              <w:rPr>
                <w:b/>
                <w:lang w:val="en-GB"/>
              </w:rPr>
              <w:t>CEPT</w:t>
            </w:r>
          </w:p>
        </w:tc>
        <w:tc>
          <w:tcPr>
            <w:tcW w:w="7767" w:type="dxa"/>
          </w:tcPr>
          <w:p w:rsidR="00643EF9" w:rsidRPr="00FD0F60" w:rsidRDefault="00643EF9" w:rsidP="008A54FC">
            <w:pPr>
              <w:spacing w:line="288" w:lineRule="auto"/>
              <w:rPr>
                <w:szCs w:val="20"/>
                <w:lang w:val="en-GB"/>
              </w:rPr>
            </w:pPr>
            <w:r w:rsidRPr="00FD0F60">
              <w:rPr>
                <w:szCs w:val="20"/>
                <w:lang w:val="en-GB"/>
              </w:rPr>
              <w:t>European Conference of Postal and Telecommunications Administrations</w:t>
            </w:r>
          </w:p>
        </w:tc>
      </w:tr>
      <w:tr w:rsidR="00643EF9" w:rsidRPr="000E6288" w:rsidTr="00E41DB2">
        <w:tc>
          <w:tcPr>
            <w:tcW w:w="2088" w:type="dxa"/>
          </w:tcPr>
          <w:p w:rsidR="00643EF9" w:rsidRPr="00FD0F60" w:rsidRDefault="00643EF9" w:rsidP="00E41DB2">
            <w:pPr>
              <w:spacing w:line="288" w:lineRule="auto"/>
              <w:rPr>
                <w:b/>
                <w:lang w:val="en-GB"/>
              </w:rPr>
            </w:pPr>
            <w:r>
              <w:rPr>
                <w:b/>
                <w:lang w:val="en-GB"/>
              </w:rPr>
              <w:t>CISPR</w:t>
            </w:r>
          </w:p>
        </w:tc>
        <w:tc>
          <w:tcPr>
            <w:tcW w:w="7767" w:type="dxa"/>
          </w:tcPr>
          <w:p w:rsidR="00643EF9" w:rsidRPr="00003210" w:rsidRDefault="00643EF9" w:rsidP="00E41DB2">
            <w:pPr>
              <w:pStyle w:val="ECCParagraph"/>
              <w:spacing w:after="0" w:line="288" w:lineRule="auto"/>
              <w:jc w:val="left"/>
              <w:rPr>
                <w:lang w:val="fr-FR"/>
              </w:rPr>
            </w:pPr>
            <w:r w:rsidRPr="00003210">
              <w:rPr>
                <w:lang w:val="fr-FR"/>
              </w:rPr>
              <w:t>Comité international spécial des perturbations radioélectriques</w:t>
            </w:r>
          </w:p>
        </w:tc>
      </w:tr>
      <w:tr w:rsidR="00643EF9" w:rsidRPr="00FD0F60">
        <w:tc>
          <w:tcPr>
            <w:tcW w:w="2088" w:type="dxa"/>
          </w:tcPr>
          <w:p w:rsidR="00643EF9" w:rsidRPr="00FD0F60" w:rsidRDefault="00643EF9" w:rsidP="008A54FC">
            <w:pPr>
              <w:spacing w:line="288" w:lineRule="auto"/>
              <w:rPr>
                <w:b/>
                <w:lang w:val="en-GB"/>
              </w:rPr>
            </w:pPr>
            <w:r w:rsidRPr="00FD0F60">
              <w:rPr>
                <w:b/>
                <w:lang w:val="en-GB"/>
              </w:rPr>
              <w:t>ECC</w:t>
            </w:r>
          </w:p>
        </w:tc>
        <w:tc>
          <w:tcPr>
            <w:tcW w:w="7767" w:type="dxa"/>
          </w:tcPr>
          <w:p w:rsidR="00643EF9" w:rsidRPr="00FD0F60" w:rsidRDefault="00643EF9" w:rsidP="008A54FC">
            <w:pPr>
              <w:pStyle w:val="ECCParagraph"/>
              <w:spacing w:after="0" w:line="288" w:lineRule="auto"/>
              <w:jc w:val="left"/>
              <w:rPr>
                <w:szCs w:val="20"/>
              </w:rPr>
            </w:pPr>
            <w:r w:rsidRPr="00FD0F60">
              <w:t>Electronic Communications Committee</w:t>
            </w:r>
          </w:p>
        </w:tc>
      </w:tr>
      <w:tr w:rsidR="00643EF9" w:rsidRPr="00FD0F60" w:rsidTr="00E41DB2">
        <w:tc>
          <w:tcPr>
            <w:tcW w:w="2088" w:type="dxa"/>
          </w:tcPr>
          <w:p w:rsidR="00643EF9" w:rsidRPr="00FD0F60" w:rsidRDefault="00643EF9" w:rsidP="00E41DB2">
            <w:pPr>
              <w:spacing w:line="288" w:lineRule="auto"/>
              <w:rPr>
                <w:b/>
                <w:lang w:val="en-GB"/>
              </w:rPr>
            </w:pPr>
            <w:r>
              <w:rPr>
                <w:b/>
                <w:lang w:val="en-GB"/>
              </w:rPr>
              <w:t>EESS</w:t>
            </w:r>
          </w:p>
        </w:tc>
        <w:tc>
          <w:tcPr>
            <w:tcW w:w="7767" w:type="dxa"/>
          </w:tcPr>
          <w:p w:rsidR="00643EF9" w:rsidRPr="00FD0F60" w:rsidRDefault="00643EF9" w:rsidP="00E41DB2">
            <w:pPr>
              <w:pStyle w:val="ECCParagraph"/>
              <w:spacing w:after="0" w:line="288" w:lineRule="auto"/>
              <w:jc w:val="left"/>
              <w:rPr>
                <w:color w:val="000000"/>
              </w:rPr>
            </w:pPr>
            <w:r>
              <w:rPr>
                <w:color w:val="000000"/>
              </w:rPr>
              <w:t>Earth Exploration Satellite Service</w:t>
            </w:r>
          </w:p>
        </w:tc>
      </w:tr>
      <w:tr w:rsidR="00437883" w:rsidRPr="00FD0F60" w:rsidTr="00E41DB2">
        <w:tc>
          <w:tcPr>
            <w:tcW w:w="2088" w:type="dxa"/>
          </w:tcPr>
          <w:p w:rsidR="00437883" w:rsidRDefault="00437883" w:rsidP="00E41DB2">
            <w:pPr>
              <w:spacing w:line="288" w:lineRule="auto"/>
              <w:rPr>
                <w:b/>
                <w:lang w:val="en-GB"/>
              </w:rPr>
            </w:pPr>
            <w:r>
              <w:rPr>
                <w:b/>
                <w:lang w:val="en-GB"/>
              </w:rPr>
              <w:t>e.i.r.p.</w:t>
            </w:r>
          </w:p>
        </w:tc>
        <w:tc>
          <w:tcPr>
            <w:tcW w:w="7767" w:type="dxa"/>
          </w:tcPr>
          <w:p w:rsidR="00437883" w:rsidRDefault="00437883" w:rsidP="00E41DB2">
            <w:pPr>
              <w:pStyle w:val="ECCParagraph"/>
              <w:spacing w:after="0" w:line="288" w:lineRule="auto"/>
              <w:jc w:val="left"/>
              <w:rPr>
                <w:color w:val="000000"/>
              </w:rPr>
            </w:pPr>
            <w:r>
              <w:rPr>
                <w:color w:val="000000"/>
              </w:rPr>
              <w:t xml:space="preserve">Equivalent </w:t>
            </w:r>
            <w:proofErr w:type="spellStart"/>
            <w:r>
              <w:rPr>
                <w:color w:val="000000"/>
              </w:rPr>
              <w:t>isotropically</w:t>
            </w:r>
            <w:proofErr w:type="spellEnd"/>
            <w:r>
              <w:rPr>
                <w:color w:val="000000"/>
              </w:rPr>
              <w:t xml:space="preserve"> radiated power</w:t>
            </w:r>
          </w:p>
        </w:tc>
      </w:tr>
      <w:tr w:rsidR="00437883" w:rsidRPr="00FD0F60" w:rsidTr="00E41DB2">
        <w:tc>
          <w:tcPr>
            <w:tcW w:w="2088" w:type="dxa"/>
          </w:tcPr>
          <w:p w:rsidR="00437883" w:rsidRDefault="00437883" w:rsidP="00E41DB2">
            <w:pPr>
              <w:spacing w:line="288" w:lineRule="auto"/>
              <w:rPr>
                <w:b/>
                <w:lang w:val="en-GB"/>
              </w:rPr>
            </w:pPr>
            <w:r>
              <w:rPr>
                <w:b/>
                <w:lang w:val="en-GB"/>
              </w:rPr>
              <w:t>EUMETSAT</w:t>
            </w:r>
          </w:p>
        </w:tc>
        <w:tc>
          <w:tcPr>
            <w:tcW w:w="7767" w:type="dxa"/>
          </w:tcPr>
          <w:p w:rsidR="00437883" w:rsidRPr="00437883" w:rsidRDefault="00437883" w:rsidP="00E41DB2">
            <w:pPr>
              <w:pStyle w:val="ECCParagraph"/>
              <w:spacing w:after="0" w:line="288" w:lineRule="auto"/>
              <w:jc w:val="left"/>
              <w:rPr>
                <w:color w:val="000000"/>
                <w:szCs w:val="20"/>
              </w:rPr>
            </w:pPr>
            <w:r w:rsidRPr="00437883">
              <w:rPr>
                <w:rFonts w:cs="Arial"/>
                <w:color w:val="000000"/>
                <w:szCs w:val="20"/>
                <w:shd w:val="clear" w:color="auto" w:fill="FFFFFF"/>
              </w:rPr>
              <w:t>Eu</w:t>
            </w:r>
            <w:r w:rsidRPr="00437883">
              <w:rPr>
                <w:rFonts w:cs="Arial"/>
                <w:color w:val="000000"/>
                <w:szCs w:val="20"/>
                <w:shd w:val="clear" w:color="auto" w:fill="FFFFFF"/>
              </w:rPr>
              <w:t>ropean Organisat</w:t>
            </w:r>
            <w:r>
              <w:rPr>
                <w:rFonts w:cs="Arial"/>
                <w:color w:val="000000"/>
                <w:szCs w:val="20"/>
                <w:shd w:val="clear" w:color="auto" w:fill="FFFFFF"/>
              </w:rPr>
              <w:t>ion for the Exploitation of Meteorological Sat</w:t>
            </w:r>
            <w:r w:rsidRPr="00437883">
              <w:rPr>
                <w:rFonts w:cs="Arial"/>
                <w:color w:val="000000"/>
                <w:szCs w:val="20"/>
                <w:shd w:val="clear" w:color="auto" w:fill="FFFFFF"/>
              </w:rPr>
              <w:t>ellites</w:t>
            </w:r>
          </w:p>
        </w:tc>
      </w:tr>
      <w:tr w:rsidR="00643EF9" w:rsidRPr="00260AD8" w:rsidTr="00E41DB2">
        <w:tc>
          <w:tcPr>
            <w:tcW w:w="2088" w:type="dxa"/>
          </w:tcPr>
          <w:p w:rsidR="00643EF9" w:rsidRDefault="00643EF9" w:rsidP="00E41DB2">
            <w:pPr>
              <w:spacing w:line="288" w:lineRule="auto"/>
              <w:rPr>
                <w:b/>
                <w:lang w:val="en-GB"/>
              </w:rPr>
            </w:pPr>
            <w:r>
              <w:rPr>
                <w:b/>
                <w:lang w:val="en-GB"/>
              </w:rPr>
              <w:t>ISM</w:t>
            </w:r>
          </w:p>
        </w:tc>
        <w:tc>
          <w:tcPr>
            <w:tcW w:w="7767" w:type="dxa"/>
          </w:tcPr>
          <w:p w:rsidR="00643EF9" w:rsidRPr="00260AD8" w:rsidRDefault="00643EF9" w:rsidP="00E41DB2">
            <w:pPr>
              <w:spacing w:line="288" w:lineRule="auto"/>
              <w:rPr>
                <w:lang w:val="en-GB"/>
              </w:rPr>
            </w:pPr>
            <w:r w:rsidRPr="00260AD8">
              <w:rPr>
                <w:lang w:val="en-GB"/>
              </w:rPr>
              <w:t>industrial, scientific and medical (ISM) applications</w:t>
            </w:r>
          </w:p>
        </w:tc>
      </w:tr>
      <w:tr w:rsidR="00643EF9" w:rsidTr="00E41DB2">
        <w:tc>
          <w:tcPr>
            <w:tcW w:w="2088" w:type="dxa"/>
          </w:tcPr>
          <w:p w:rsidR="00643EF9" w:rsidRDefault="00643EF9" w:rsidP="00E41DB2">
            <w:pPr>
              <w:spacing w:line="288" w:lineRule="auto"/>
              <w:rPr>
                <w:b/>
                <w:lang w:val="en-GB"/>
              </w:rPr>
            </w:pPr>
            <w:r>
              <w:rPr>
                <w:b/>
                <w:lang w:val="en-GB"/>
              </w:rPr>
              <w:t>LOS</w:t>
            </w:r>
          </w:p>
        </w:tc>
        <w:tc>
          <w:tcPr>
            <w:tcW w:w="7767" w:type="dxa"/>
          </w:tcPr>
          <w:p w:rsidR="00643EF9" w:rsidRDefault="00643EF9" w:rsidP="00E41DB2">
            <w:pPr>
              <w:spacing w:line="288" w:lineRule="auto"/>
              <w:rPr>
                <w:lang w:val="en-GB"/>
              </w:rPr>
            </w:pPr>
            <w:r>
              <w:rPr>
                <w:lang w:val="en-GB"/>
              </w:rPr>
              <w:t>Line of sight</w:t>
            </w:r>
          </w:p>
        </w:tc>
      </w:tr>
      <w:tr w:rsidR="00643EF9" w:rsidTr="00E41DB2">
        <w:tc>
          <w:tcPr>
            <w:tcW w:w="2088" w:type="dxa"/>
          </w:tcPr>
          <w:p w:rsidR="00643EF9" w:rsidRDefault="00643EF9" w:rsidP="00E41DB2">
            <w:pPr>
              <w:spacing w:line="288" w:lineRule="auto"/>
              <w:rPr>
                <w:b/>
                <w:lang w:val="en-GB"/>
              </w:rPr>
            </w:pPr>
            <w:r>
              <w:rPr>
                <w:b/>
                <w:lang w:val="en-GB"/>
              </w:rPr>
              <w:t>NLOS</w:t>
            </w:r>
          </w:p>
        </w:tc>
        <w:tc>
          <w:tcPr>
            <w:tcW w:w="7767" w:type="dxa"/>
          </w:tcPr>
          <w:p w:rsidR="00643EF9" w:rsidRDefault="00643EF9" w:rsidP="00E41DB2">
            <w:pPr>
              <w:spacing w:line="288" w:lineRule="auto"/>
              <w:rPr>
                <w:lang w:val="en-GB"/>
              </w:rPr>
            </w:pPr>
            <w:r>
              <w:rPr>
                <w:lang w:val="en-GB"/>
              </w:rPr>
              <w:t>Non line of sight</w:t>
            </w:r>
          </w:p>
        </w:tc>
      </w:tr>
      <w:tr w:rsidR="00643EF9" w:rsidRPr="00FD0F60" w:rsidTr="00E41DB2">
        <w:tc>
          <w:tcPr>
            <w:tcW w:w="2088" w:type="dxa"/>
          </w:tcPr>
          <w:p w:rsidR="00643EF9" w:rsidRPr="00FD0F60" w:rsidRDefault="00643EF9" w:rsidP="00E41DB2">
            <w:pPr>
              <w:spacing w:line="288" w:lineRule="auto"/>
              <w:rPr>
                <w:b/>
                <w:lang w:val="en-GB"/>
              </w:rPr>
            </w:pPr>
            <w:r>
              <w:rPr>
                <w:b/>
                <w:lang w:val="en-GB"/>
              </w:rPr>
              <w:t>SRD</w:t>
            </w:r>
          </w:p>
        </w:tc>
        <w:tc>
          <w:tcPr>
            <w:tcW w:w="7767" w:type="dxa"/>
          </w:tcPr>
          <w:p w:rsidR="00643EF9" w:rsidRPr="00FD0F60" w:rsidRDefault="00643EF9" w:rsidP="00E41DB2">
            <w:pPr>
              <w:spacing w:line="288" w:lineRule="auto"/>
              <w:rPr>
                <w:lang w:val="en-GB"/>
              </w:rPr>
            </w:pPr>
            <w:smartTag w:uri="urn:schemas-microsoft-com:office:smarttags" w:element="place">
              <w:smartTag w:uri="urn:schemas-microsoft-com:office:smarttags" w:element="place">
                <w:r>
                  <w:rPr>
                    <w:lang w:val="en-GB"/>
                  </w:rPr>
                  <w:t>Short</w:t>
                </w:r>
              </w:smartTag>
              <w:r>
                <w:rPr>
                  <w:lang w:val="en-GB"/>
                </w:rPr>
                <w:t xml:space="preserve"> </w:t>
              </w:r>
              <w:smartTag w:uri="urn:schemas-microsoft-com:office:smarttags" w:element="place">
                <w:r>
                  <w:rPr>
                    <w:lang w:val="en-GB"/>
                  </w:rPr>
                  <w:t>Range</w:t>
                </w:r>
              </w:smartTag>
            </w:smartTag>
            <w:r>
              <w:rPr>
                <w:lang w:val="en-GB"/>
              </w:rPr>
              <w:t xml:space="preserve"> Devices</w:t>
            </w:r>
          </w:p>
        </w:tc>
      </w:tr>
      <w:tr w:rsidR="00643EF9" w:rsidRPr="00FD0F60" w:rsidTr="00E41DB2">
        <w:tc>
          <w:tcPr>
            <w:tcW w:w="2088" w:type="dxa"/>
          </w:tcPr>
          <w:p w:rsidR="00643EF9" w:rsidRPr="00FD0F60" w:rsidRDefault="00643EF9" w:rsidP="00E41DB2">
            <w:pPr>
              <w:spacing w:line="288" w:lineRule="auto"/>
              <w:rPr>
                <w:b/>
                <w:lang w:val="en-GB"/>
              </w:rPr>
            </w:pPr>
            <w:r>
              <w:rPr>
                <w:b/>
                <w:lang w:val="en-GB"/>
              </w:rPr>
              <w:t>TRP</w:t>
            </w:r>
          </w:p>
        </w:tc>
        <w:tc>
          <w:tcPr>
            <w:tcW w:w="7767" w:type="dxa"/>
          </w:tcPr>
          <w:p w:rsidR="00643EF9" w:rsidRPr="00FD0F60" w:rsidRDefault="00643EF9" w:rsidP="00E41DB2">
            <w:pPr>
              <w:spacing w:line="288" w:lineRule="auto"/>
              <w:rPr>
                <w:lang w:val="en-GB"/>
              </w:rPr>
            </w:pPr>
            <w:r>
              <w:rPr>
                <w:lang w:val="en-GB"/>
              </w:rPr>
              <w:t>Total Radiated Power</w:t>
            </w:r>
          </w:p>
        </w:tc>
      </w:tr>
    </w:tbl>
    <w:p w:rsidR="00643EF9" w:rsidRPr="00FD0F60" w:rsidRDefault="00643EF9" w:rsidP="00797D4C">
      <w:pPr>
        <w:pStyle w:val="Heading1"/>
      </w:pPr>
      <w:bookmarkStart w:id="4" w:name="_Toc356376809"/>
      <w:r w:rsidRPr="00FD0F60">
        <w:lastRenderedPageBreak/>
        <w:t>Introduction</w:t>
      </w:r>
      <w:r>
        <w:t xml:space="preserve"> and background</w:t>
      </w:r>
      <w:bookmarkEnd w:id="4"/>
    </w:p>
    <w:p w:rsidR="00643EF9" w:rsidRDefault="00643EF9" w:rsidP="007D4EFA">
      <w:pPr>
        <w:pStyle w:val="ECCParagraph"/>
      </w:pPr>
      <w:r w:rsidRPr="00FD0F60">
        <w:t>This ECC Report deals with the compatibility analysis between Short-Range Devices (SRD) and EESS (passive) in the 122-122.25 GHz band.</w:t>
      </w:r>
    </w:p>
    <w:p w:rsidR="00643EF9" w:rsidRPr="00FD0F60" w:rsidRDefault="00643EF9" w:rsidP="00E41DB2">
      <w:pPr>
        <w:spacing w:before="120"/>
        <w:jc w:val="both"/>
        <w:rPr>
          <w:lang w:val="en-GB"/>
        </w:rPr>
      </w:pPr>
      <w:r w:rsidRPr="00FD0F60">
        <w:rPr>
          <w:lang w:val="en-GB"/>
        </w:rPr>
        <w:t xml:space="preserve">CEPT Report 38 </w:t>
      </w:r>
      <w:r>
        <w:rPr>
          <w:lang w:val="en-GB"/>
        </w:rPr>
        <w:fldChar w:fldCharType="begin"/>
      </w:r>
      <w:r>
        <w:rPr>
          <w:lang w:val="en-GB"/>
        </w:rPr>
        <w:instrText xml:space="preserve"> REF _Ref334181734 \r \h </w:instrText>
      </w:r>
      <w:r>
        <w:rPr>
          <w:lang w:val="en-GB"/>
        </w:rPr>
      </w:r>
      <w:r>
        <w:rPr>
          <w:lang w:val="en-GB"/>
        </w:rPr>
        <w:fldChar w:fldCharType="separate"/>
      </w:r>
      <w:r w:rsidR="00437883">
        <w:rPr>
          <w:lang w:val="en-GB"/>
        </w:rPr>
        <w:t>[1]</w:t>
      </w:r>
      <w:r>
        <w:rPr>
          <w:lang w:val="en-GB"/>
        </w:rPr>
        <w:fldChar w:fldCharType="end"/>
      </w:r>
      <w:r>
        <w:rPr>
          <w:lang w:val="en-GB"/>
        </w:rPr>
        <w:t xml:space="preserve"> </w:t>
      </w:r>
      <w:r w:rsidRPr="00FD0F60">
        <w:rPr>
          <w:lang w:val="en-GB"/>
        </w:rPr>
        <w:t xml:space="preserve">suggested to the European Commission the mandatory harmonisation of the 122 to </w:t>
      </w:r>
      <w:r w:rsidR="00DE7DF8">
        <w:rPr>
          <w:lang w:val="en-GB"/>
        </w:rPr>
        <w:br/>
      </w:r>
      <w:r w:rsidRPr="00FD0F60">
        <w:rPr>
          <w:lang w:val="en-GB"/>
        </w:rPr>
        <w:t>123 GHz non-specific SRD with a 100 mW e.i.r.p.</w:t>
      </w:r>
    </w:p>
    <w:p w:rsidR="00643EF9" w:rsidRPr="00FD0F60" w:rsidRDefault="00643EF9" w:rsidP="00E41DB2">
      <w:pPr>
        <w:spacing w:before="120"/>
        <w:jc w:val="both"/>
        <w:rPr>
          <w:lang w:val="en-GB"/>
        </w:rPr>
      </w:pPr>
      <w:r w:rsidRPr="00FD0F60">
        <w:rPr>
          <w:lang w:val="en-GB"/>
        </w:rPr>
        <w:t>Within this range, there is however an ITU-R allocation to EESS in the 122-122.25 GHz band for which compatibility with SRD was not considered. Therefore</w:t>
      </w:r>
      <w:r>
        <w:rPr>
          <w:lang w:val="en-GB"/>
        </w:rPr>
        <w:t xml:space="preserve"> this report aims </w:t>
      </w:r>
      <w:r w:rsidRPr="00FD0F60">
        <w:rPr>
          <w:lang w:val="en-GB"/>
        </w:rPr>
        <w:t>undertak</w:t>
      </w:r>
      <w:r>
        <w:rPr>
          <w:lang w:val="en-GB"/>
        </w:rPr>
        <w:t>ing</w:t>
      </w:r>
      <w:r w:rsidRPr="00FD0F60">
        <w:rPr>
          <w:lang w:val="en-GB"/>
        </w:rPr>
        <w:t xml:space="preserve"> compatibility studies of the potential for interference from SRD into EESS (passive) in this spectrum</w:t>
      </w:r>
      <w:r>
        <w:rPr>
          <w:lang w:val="en-GB"/>
        </w:rPr>
        <w:t>, especially</w:t>
      </w:r>
      <w:r w:rsidRPr="00FD0F60">
        <w:rPr>
          <w:lang w:val="en-GB"/>
        </w:rPr>
        <w:t> </w:t>
      </w:r>
      <w:r>
        <w:rPr>
          <w:lang w:val="en-GB"/>
        </w:rPr>
        <w:t xml:space="preserve"> considering</w:t>
      </w:r>
      <w:r w:rsidRPr="00FD0F60">
        <w:rPr>
          <w:lang w:val="en-GB"/>
        </w:rPr>
        <w:t xml:space="preserve"> the cumulative effect of many SRD</w:t>
      </w:r>
      <w:r>
        <w:rPr>
          <w:lang w:val="en-GB"/>
        </w:rPr>
        <w:t xml:space="preserve"> devices  </w:t>
      </w:r>
      <w:r w:rsidRPr="00FD0F60">
        <w:rPr>
          <w:lang w:val="en-GB"/>
        </w:rPr>
        <w:t>.</w:t>
      </w:r>
    </w:p>
    <w:p w:rsidR="00643EF9" w:rsidRPr="00FD0F60" w:rsidRDefault="00643EF9" w:rsidP="00E41DB2">
      <w:pPr>
        <w:spacing w:before="120"/>
        <w:jc w:val="both"/>
        <w:rPr>
          <w:lang w:val="en-GB"/>
        </w:rPr>
      </w:pPr>
      <w:r w:rsidRPr="00FD0F60">
        <w:rPr>
          <w:lang w:val="en-GB"/>
        </w:rPr>
        <w:t> </w:t>
      </w:r>
    </w:p>
    <w:p w:rsidR="00643EF9" w:rsidRPr="00FD0F60" w:rsidRDefault="00643EF9" w:rsidP="007D4EFA">
      <w:pPr>
        <w:pStyle w:val="ECCParagraph"/>
      </w:pPr>
    </w:p>
    <w:p w:rsidR="00643EF9" w:rsidRPr="00FD0F60" w:rsidRDefault="00643EF9" w:rsidP="007D4EFA">
      <w:pPr>
        <w:spacing w:before="120"/>
        <w:jc w:val="both"/>
        <w:rPr>
          <w:lang w:val="en-GB"/>
        </w:rPr>
      </w:pPr>
    </w:p>
    <w:p w:rsidR="00643EF9" w:rsidRPr="00FD0F60" w:rsidRDefault="00643EF9" w:rsidP="006C2210">
      <w:pPr>
        <w:pStyle w:val="Heading1"/>
      </w:pPr>
      <w:bookmarkStart w:id="5" w:name="_Toc356376810"/>
      <w:r w:rsidRPr="00FD0F60">
        <w:lastRenderedPageBreak/>
        <w:t>Current situation</w:t>
      </w:r>
      <w:bookmarkEnd w:id="5"/>
    </w:p>
    <w:p w:rsidR="00643EF9" w:rsidRPr="00A52D56" w:rsidRDefault="00643EF9" w:rsidP="007D4EFA">
      <w:pPr>
        <w:spacing w:before="120"/>
        <w:jc w:val="both"/>
        <w:rPr>
          <w:lang w:val="en-GB"/>
        </w:rPr>
      </w:pPr>
      <w:r w:rsidRPr="00FD0F60">
        <w:rPr>
          <w:lang w:val="en-GB"/>
        </w:rPr>
        <w:t xml:space="preserve">The following table provides an overview of the allocations as given in the RR and in ECC Report 25 </w:t>
      </w:r>
      <w:r>
        <w:rPr>
          <w:lang w:val="en-GB"/>
        </w:rPr>
        <w:fldChar w:fldCharType="begin"/>
      </w:r>
      <w:r>
        <w:rPr>
          <w:lang w:val="en-GB"/>
        </w:rPr>
        <w:instrText xml:space="preserve"> REF _Ref334181839 \r \h </w:instrText>
      </w:r>
      <w:r>
        <w:rPr>
          <w:lang w:val="en-GB"/>
        </w:rPr>
      </w:r>
      <w:r>
        <w:rPr>
          <w:lang w:val="en-GB"/>
        </w:rPr>
        <w:fldChar w:fldCharType="separate"/>
      </w:r>
      <w:r w:rsidR="00437883">
        <w:rPr>
          <w:lang w:val="en-GB"/>
        </w:rPr>
        <w:t>[2]</w:t>
      </w:r>
      <w:r>
        <w:rPr>
          <w:lang w:val="en-GB"/>
        </w:rPr>
        <w:fldChar w:fldCharType="end"/>
      </w:r>
      <w:r>
        <w:rPr>
          <w:lang w:val="en-GB"/>
        </w:rPr>
        <w:t xml:space="preserve"> </w:t>
      </w:r>
      <w:r w:rsidRPr="00FD0F60">
        <w:rPr>
          <w:lang w:val="en-GB"/>
        </w:rPr>
        <w:t xml:space="preserve">for </w:t>
      </w:r>
      <w:r w:rsidRPr="00A52D56">
        <w:rPr>
          <w:lang w:val="en-GB"/>
        </w:rPr>
        <w:t>119.98 - 122.25 GHz</w:t>
      </w:r>
      <w:r w:rsidRPr="00FD0F60">
        <w:rPr>
          <w:lang w:val="en-GB"/>
        </w:rPr>
        <w:t>.</w:t>
      </w:r>
    </w:p>
    <w:p w:rsidR="00643EF9" w:rsidRPr="00FD0F60" w:rsidRDefault="00643EF9" w:rsidP="00DC780A">
      <w:pPr>
        <w:pStyle w:val="ECCTabletitle"/>
      </w:pPr>
      <w:r w:rsidRPr="00FD0F60">
        <w:t>Frequency allocations</w:t>
      </w:r>
    </w:p>
    <w:tbl>
      <w:tblPr>
        <w:tblW w:w="10207"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978"/>
        <w:gridCol w:w="2410"/>
        <w:gridCol w:w="1701"/>
        <w:gridCol w:w="1417"/>
        <w:gridCol w:w="1701"/>
      </w:tblGrid>
      <w:tr w:rsidR="00643EF9" w:rsidRPr="00FD0F60" w:rsidTr="00683A1B">
        <w:trPr>
          <w:tblHeader/>
        </w:trPr>
        <w:tc>
          <w:tcPr>
            <w:tcW w:w="2978" w:type="dxa"/>
            <w:tcBorders>
              <w:left w:val="single" w:sz="8" w:space="0" w:color="FFFFFF"/>
              <w:right w:val="single" w:sz="8" w:space="0" w:color="FFFFFF"/>
            </w:tcBorders>
            <w:shd w:val="clear" w:color="auto" w:fill="D2232A"/>
          </w:tcPr>
          <w:p w:rsidR="00643EF9" w:rsidRPr="00683A1B" w:rsidRDefault="00643EF9" w:rsidP="00683A1B">
            <w:pPr>
              <w:spacing w:before="60" w:after="60" w:line="288" w:lineRule="auto"/>
              <w:jc w:val="center"/>
              <w:rPr>
                <w:rFonts w:cs="Arial"/>
                <w:b/>
                <w:bCs/>
                <w:iCs/>
                <w:color w:val="FFFFFF"/>
                <w:szCs w:val="20"/>
                <w:lang w:val="en-GB" w:eastAsia="da-DK"/>
              </w:rPr>
            </w:pPr>
            <w:r w:rsidRPr="00683A1B">
              <w:rPr>
                <w:rFonts w:cs="Arial"/>
                <w:b/>
                <w:bCs/>
                <w:iCs/>
                <w:color w:val="FFFFFF"/>
                <w:szCs w:val="20"/>
                <w:lang w:val="en-GB" w:eastAsia="da-DK"/>
              </w:rPr>
              <w:t>RR Region 1 Allocation and RR footnotes applicable to CEPT</w:t>
            </w:r>
          </w:p>
        </w:tc>
        <w:tc>
          <w:tcPr>
            <w:tcW w:w="2410" w:type="dxa"/>
            <w:tcBorders>
              <w:left w:val="single" w:sz="8" w:space="0" w:color="FFFFFF"/>
              <w:right w:val="single" w:sz="8" w:space="0" w:color="FFFFFF"/>
            </w:tcBorders>
            <w:shd w:val="clear" w:color="auto" w:fill="D2232A"/>
            <w:vAlign w:val="center"/>
          </w:tcPr>
          <w:p w:rsidR="00643EF9" w:rsidRPr="00683A1B" w:rsidRDefault="00643EF9" w:rsidP="00683A1B">
            <w:pPr>
              <w:spacing w:before="60" w:after="60" w:line="288" w:lineRule="auto"/>
              <w:jc w:val="center"/>
              <w:rPr>
                <w:b/>
                <w:color w:val="FFFFFF"/>
                <w:szCs w:val="20"/>
                <w:lang w:val="en-GB"/>
              </w:rPr>
            </w:pPr>
            <w:r w:rsidRPr="00683A1B">
              <w:rPr>
                <w:rFonts w:cs="Arial"/>
                <w:b/>
                <w:bCs/>
                <w:iCs/>
                <w:color w:val="FFFFFF"/>
                <w:szCs w:val="20"/>
                <w:lang w:val="en-GB" w:eastAsia="da-DK"/>
              </w:rPr>
              <w:t>European Common Allocation</w:t>
            </w:r>
          </w:p>
        </w:tc>
        <w:tc>
          <w:tcPr>
            <w:tcW w:w="1701" w:type="dxa"/>
            <w:tcBorders>
              <w:left w:val="single" w:sz="8" w:space="0" w:color="FFFFFF"/>
              <w:right w:val="single" w:sz="8" w:space="0" w:color="FFFFFF"/>
            </w:tcBorders>
            <w:shd w:val="clear" w:color="auto" w:fill="D2232A"/>
            <w:vAlign w:val="center"/>
          </w:tcPr>
          <w:p w:rsidR="00643EF9" w:rsidRPr="00683A1B" w:rsidRDefault="00643EF9" w:rsidP="00683A1B">
            <w:pPr>
              <w:autoSpaceDE w:val="0"/>
              <w:autoSpaceDN w:val="0"/>
              <w:adjustRightInd w:val="0"/>
              <w:spacing w:before="60" w:after="60"/>
              <w:jc w:val="center"/>
              <w:rPr>
                <w:rFonts w:cs="Arial"/>
                <w:b/>
                <w:bCs/>
                <w:iCs/>
                <w:color w:val="FFFFFF"/>
                <w:szCs w:val="20"/>
                <w:lang w:val="en-GB" w:eastAsia="da-DK"/>
              </w:rPr>
            </w:pPr>
            <w:r w:rsidRPr="00683A1B">
              <w:rPr>
                <w:rFonts w:cs="Arial"/>
                <w:b/>
                <w:bCs/>
                <w:iCs/>
                <w:color w:val="FFFFFF"/>
                <w:szCs w:val="20"/>
                <w:lang w:val="en-GB" w:eastAsia="da-DK"/>
              </w:rPr>
              <w:t>ECC/ERC</w:t>
            </w:r>
          </w:p>
          <w:p w:rsidR="00643EF9" w:rsidRPr="00683A1B" w:rsidRDefault="00643EF9" w:rsidP="00683A1B">
            <w:pPr>
              <w:autoSpaceDE w:val="0"/>
              <w:autoSpaceDN w:val="0"/>
              <w:adjustRightInd w:val="0"/>
              <w:spacing w:before="60" w:after="60"/>
              <w:jc w:val="center"/>
              <w:rPr>
                <w:rFonts w:cs="Arial"/>
                <w:b/>
                <w:bCs/>
                <w:iCs/>
                <w:color w:val="FFFFFF"/>
                <w:szCs w:val="20"/>
                <w:lang w:val="en-GB" w:eastAsia="da-DK"/>
              </w:rPr>
            </w:pPr>
            <w:r w:rsidRPr="00683A1B">
              <w:rPr>
                <w:rFonts w:cs="Arial"/>
                <w:b/>
                <w:bCs/>
                <w:iCs/>
                <w:color w:val="FFFFFF"/>
                <w:szCs w:val="20"/>
                <w:lang w:val="en-GB" w:eastAsia="da-DK"/>
              </w:rPr>
              <w:t>harmonisation</w:t>
            </w:r>
          </w:p>
          <w:p w:rsidR="00643EF9" w:rsidRPr="00683A1B" w:rsidRDefault="00643EF9" w:rsidP="00683A1B">
            <w:pPr>
              <w:spacing w:before="60" w:after="60" w:line="288" w:lineRule="auto"/>
              <w:jc w:val="center"/>
              <w:rPr>
                <w:b/>
                <w:color w:val="FFFFFF"/>
                <w:szCs w:val="20"/>
                <w:lang w:val="en-GB"/>
              </w:rPr>
            </w:pPr>
            <w:r w:rsidRPr="00683A1B">
              <w:rPr>
                <w:rFonts w:cs="Arial"/>
                <w:b/>
                <w:bCs/>
                <w:iCs/>
                <w:color w:val="FFFFFF"/>
                <w:szCs w:val="20"/>
                <w:lang w:val="en-GB" w:eastAsia="da-DK"/>
              </w:rPr>
              <w:t>measures</w:t>
            </w:r>
          </w:p>
        </w:tc>
        <w:tc>
          <w:tcPr>
            <w:tcW w:w="1417" w:type="dxa"/>
            <w:tcBorders>
              <w:left w:val="single" w:sz="8" w:space="0" w:color="FFFFFF"/>
            </w:tcBorders>
            <w:shd w:val="clear" w:color="auto" w:fill="D2232A"/>
            <w:vAlign w:val="center"/>
          </w:tcPr>
          <w:p w:rsidR="00643EF9" w:rsidRPr="00683A1B" w:rsidRDefault="00643EF9" w:rsidP="00683A1B">
            <w:pPr>
              <w:spacing w:before="60" w:after="60" w:line="288" w:lineRule="auto"/>
              <w:jc w:val="center"/>
              <w:rPr>
                <w:b/>
                <w:color w:val="FFFFFF"/>
                <w:szCs w:val="20"/>
                <w:lang w:val="en-GB"/>
              </w:rPr>
            </w:pPr>
            <w:r w:rsidRPr="00683A1B">
              <w:rPr>
                <w:rFonts w:cs="Arial"/>
                <w:b/>
                <w:bCs/>
                <w:iCs/>
                <w:color w:val="FFFFFF"/>
                <w:szCs w:val="20"/>
                <w:lang w:val="en-GB" w:eastAsia="da-DK"/>
              </w:rPr>
              <w:t>Application</w:t>
            </w:r>
          </w:p>
        </w:tc>
        <w:tc>
          <w:tcPr>
            <w:tcW w:w="1701" w:type="dxa"/>
            <w:tcBorders>
              <w:left w:val="single" w:sz="8" w:space="0" w:color="FFFFFF"/>
            </w:tcBorders>
            <w:shd w:val="clear" w:color="auto" w:fill="D2232A"/>
          </w:tcPr>
          <w:p w:rsidR="00643EF9" w:rsidRPr="00683A1B" w:rsidRDefault="00643EF9" w:rsidP="00683A1B">
            <w:pPr>
              <w:spacing w:before="60" w:after="60" w:line="288" w:lineRule="auto"/>
              <w:jc w:val="center"/>
              <w:rPr>
                <w:rFonts w:cs="Arial"/>
                <w:b/>
                <w:bCs/>
                <w:iCs/>
                <w:color w:val="FFFFFF"/>
                <w:szCs w:val="20"/>
                <w:lang w:val="en-GB" w:eastAsia="da-DK"/>
              </w:rPr>
            </w:pPr>
            <w:r w:rsidRPr="00683A1B">
              <w:rPr>
                <w:rFonts w:cs="Arial"/>
                <w:b/>
                <w:bCs/>
                <w:iCs/>
                <w:color w:val="FFFFFF"/>
                <w:szCs w:val="20"/>
                <w:lang w:val="en-GB" w:eastAsia="da-DK"/>
              </w:rPr>
              <w:t>Notes</w:t>
            </w:r>
          </w:p>
        </w:tc>
      </w:tr>
      <w:tr w:rsidR="00643EF9" w:rsidRPr="00FD0F60" w:rsidTr="00683A1B">
        <w:trPr>
          <w:trHeight w:val="701"/>
        </w:trPr>
        <w:tc>
          <w:tcPr>
            <w:tcW w:w="2978" w:type="dxa"/>
            <w:vMerge w:val="restart"/>
          </w:tcPr>
          <w:p w:rsidR="00643EF9" w:rsidRPr="00FD0F60" w:rsidRDefault="00643EF9" w:rsidP="00FD0F60">
            <w:pPr>
              <w:spacing w:line="288" w:lineRule="auto"/>
              <w:jc w:val="both"/>
              <w:rPr>
                <w:rFonts w:cs="Arial"/>
                <w:b/>
                <w:bCs/>
                <w:szCs w:val="20"/>
                <w:lang w:val="en-GB" w:eastAsia="da-DK"/>
              </w:rPr>
            </w:pPr>
            <w:r w:rsidRPr="00FD0F60">
              <w:rPr>
                <w:rFonts w:cs="Arial"/>
                <w:b/>
                <w:bCs/>
                <w:szCs w:val="20"/>
                <w:lang w:val="en-GB" w:eastAsia="da-DK"/>
              </w:rPr>
              <w:t>119.98 - 122.25 GHz</w:t>
            </w:r>
          </w:p>
          <w:p w:rsidR="00643EF9" w:rsidRPr="00FD0F60" w:rsidRDefault="00643EF9" w:rsidP="00FD0F60">
            <w:pPr>
              <w:autoSpaceDE w:val="0"/>
              <w:autoSpaceDN w:val="0"/>
              <w:adjustRightInd w:val="0"/>
              <w:jc w:val="both"/>
              <w:rPr>
                <w:rFonts w:cs="Arial"/>
                <w:sz w:val="16"/>
                <w:szCs w:val="16"/>
                <w:lang w:val="en-GB" w:eastAsia="da-DK"/>
              </w:rPr>
            </w:pPr>
            <w:r w:rsidRPr="00FD0F60">
              <w:rPr>
                <w:rFonts w:cs="Arial"/>
                <w:sz w:val="16"/>
                <w:szCs w:val="16"/>
                <w:lang w:val="en-GB" w:eastAsia="da-DK"/>
              </w:rPr>
              <w:t>EARTH EXPLORATION-SATELLITE</w:t>
            </w:r>
          </w:p>
          <w:p w:rsidR="00643EF9" w:rsidRPr="00FD0F60" w:rsidRDefault="00643EF9" w:rsidP="00FD0F60">
            <w:pPr>
              <w:autoSpaceDE w:val="0"/>
              <w:autoSpaceDN w:val="0"/>
              <w:adjustRightInd w:val="0"/>
              <w:jc w:val="both"/>
              <w:rPr>
                <w:rFonts w:cs="Arial"/>
                <w:sz w:val="16"/>
                <w:szCs w:val="16"/>
                <w:lang w:val="en-GB" w:eastAsia="da-DK"/>
              </w:rPr>
            </w:pPr>
            <w:r w:rsidRPr="00FD0F60">
              <w:rPr>
                <w:rFonts w:cs="Arial"/>
                <w:sz w:val="16"/>
                <w:szCs w:val="16"/>
                <w:lang w:val="en-GB" w:eastAsia="da-DK"/>
              </w:rPr>
              <w:t>(passive)</w:t>
            </w:r>
          </w:p>
          <w:p w:rsidR="00643EF9" w:rsidRPr="00FD0F60" w:rsidRDefault="00643EF9" w:rsidP="00FD0F60">
            <w:pPr>
              <w:autoSpaceDE w:val="0"/>
              <w:autoSpaceDN w:val="0"/>
              <w:adjustRightInd w:val="0"/>
              <w:jc w:val="both"/>
              <w:rPr>
                <w:rFonts w:cs="Arial"/>
                <w:sz w:val="16"/>
                <w:szCs w:val="16"/>
                <w:lang w:val="en-GB" w:eastAsia="da-DK"/>
              </w:rPr>
            </w:pPr>
            <w:r w:rsidRPr="00FD0F60">
              <w:rPr>
                <w:rFonts w:cs="Arial"/>
                <w:sz w:val="16"/>
                <w:szCs w:val="16"/>
                <w:lang w:val="en-GB" w:eastAsia="da-DK"/>
              </w:rPr>
              <w:t>INTER-SATELLITE 5.562C</w:t>
            </w:r>
          </w:p>
          <w:p w:rsidR="00643EF9" w:rsidRPr="00FD0F60" w:rsidRDefault="00643EF9" w:rsidP="00FD0F60">
            <w:pPr>
              <w:spacing w:line="288" w:lineRule="auto"/>
              <w:jc w:val="both"/>
              <w:rPr>
                <w:rFonts w:cs="Arial"/>
                <w:sz w:val="16"/>
                <w:szCs w:val="16"/>
                <w:lang w:val="en-GB" w:eastAsia="da-DK"/>
              </w:rPr>
            </w:pPr>
            <w:r w:rsidRPr="00FD0F60">
              <w:rPr>
                <w:rFonts w:cs="Arial"/>
                <w:sz w:val="16"/>
                <w:szCs w:val="16"/>
                <w:lang w:val="en-GB" w:eastAsia="da-DK"/>
              </w:rPr>
              <w:t>SPACE RESEARCH (passive)</w:t>
            </w:r>
          </w:p>
          <w:p w:rsidR="00643EF9" w:rsidRPr="00FD0F60" w:rsidRDefault="00643EF9" w:rsidP="00683A1B">
            <w:pPr>
              <w:spacing w:before="120"/>
              <w:jc w:val="both"/>
              <w:rPr>
                <w:rFonts w:cs="Arial"/>
                <w:b/>
                <w:bCs/>
                <w:sz w:val="22"/>
                <w:lang w:val="en-GB" w:eastAsia="da-DK"/>
              </w:rPr>
            </w:pPr>
            <w:r w:rsidRPr="00FD0F60">
              <w:rPr>
                <w:rFonts w:cs="Arial"/>
                <w:sz w:val="16"/>
                <w:szCs w:val="16"/>
                <w:lang w:val="en-GB" w:eastAsia="da-DK"/>
              </w:rPr>
              <w:t>5.138</w:t>
            </w:r>
          </w:p>
        </w:tc>
        <w:tc>
          <w:tcPr>
            <w:tcW w:w="2410" w:type="dxa"/>
            <w:vMerge w:val="restart"/>
            <w:vAlign w:val="center"/>
          </w:tcPr>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EARTH EXPLORATIONSATELLITE</w:t>
            </w:r>
          </w:p>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(passive)</w:t>
            </w:r>
          </w:p>
          <w:p w:rsidR="00643EF9" w:rsidRPr="00FD0F60" w:rsidRDefault="00643EF9" w:rsidP="00FD0F60">
            <w:pPr>
              <w:autoSpaceDE w:val="0"/>
              <w:autoSpaceDN w:val="0"/>
              <w:adjustRightInd w:val="0"/>
              <w:rPr>
                <w:rFonts w:cs="Arial"/>
                <w:sz w:val="16"/>
                <w:szCs w:val="16"/>
                <w:lang w:val="en-GB" w:eastAsia="da-DK"/>
              </w:rPr>
            </w:pPr>
            <w:r w:rsidRPr="00FD0F60">
              <w:rPr>
                <w:rFonts w:cs="Arial"/>
                <w:sz w:val="16"/>
                <w:szCs w:val="16"/>
                <w:lang w:val="en-GB" w:eastAsia="da-DK"/>
              </w:rPr>
              <w:t>INTER-SATELLITE 5.562C</w:t>
            </w:r>
          </w:p>
          <w:p w:rsidR="00643EF9" w:rsidRPr="00FD0F60" w:rsidRDefault="00643EF9" w:rsidP="00FD0F60">
            <w:pPr>
              <w:spacing w:line="288" w:lineRule="auto"/>
              <w:rPr>
                <w:rFonts w:cs="Arial"/>
                <w:sz w:val="16"/>
                <w:szCs w:val="16"/>
                <w:lang w:val="en-GB" w:eastAsia="da-DK"/>
              </w:rPr>
            </w:pPr>
            <w:r w:rsidRPr="00FD0F60">
              <w:rPr>
                <w:rFonts w:cs="Arial"/>
                <w:sz w:val="16"/>
                <w:szCs w:val="16"/>
                <w:lang w:val="en-GB" w:eastAsia="da-DK"/>
              </w:rPr>
              <w:t>SPACE RESEARCH (passive)</w:t>
            </w:r>
          </w:p>
          <w:p w:rsidR="00643EF9" w:rsidRPr="00FD0F60" w:rsidRDefault="00643EF9" w:rsidP="00FD0F60">
            <w:pPr>
              <w:spacing w:line="288" w:lineRule="auto"/>
              <w:rPr>
                <w:szCs w:val="20"/>
                <w:lang w:val="en-GB"/>
              </w:rPr>
            </w:pPr>
            <w:r w:rsidRPr="00FD0F60">
              <w:rPr>
                <w:rFonts w:cs="Arial"/>
                <w:sz w:val="16"/>
                <w:szCs w:val="16"/>
                <w:lang w:val="en-GB" w:eastAsia="da-DK"/>
              </w:rPr>
              <w:t>5.138</w:t>
            </w:r>
          </w:p>
        </w:tc>
        <w:tc>
          <w:tcPr>
            <w:tcW w:w="1701" w:type="dxa"/>
            <w:vAlign w:val="center"/>
          </w:tcPr>
          <w:p w:rsidR="00643EF9" w:rsidRPr="00FD0F60" w:rsidRDefault="00643EF9" w:rsidP="00FD0F60">
            <w:pPr>
              <w:spacing w:line="288" w:lineRule="auto"/>
              <w:rPr>
                <w:szCs w:val="20"/>
                <w:lang w:val="en-GB"/>
              </w:rPr>
            </w:pPr>
            <w:r w:rsidRPr="00FD0F60">
              <w:rPr>
                <w:rFonts w:cs="Arial"/>
                <w:sz w:val="16"/>
                <w:szCs w:val="16"/>
                <w:lang w:val="en-GB" w:eastAsia="da-DK"/>
              </w:rPr>
              <w:t>ERC/REC 70-03</w:t>
            </w:r>
          </w:p>
        </w:tc>
        <w:tc>
          <w:tcPr>
            <w:tcW w:w="1417" w:type="dxa"/>
            <w:vAlign w:val="center"/>
          </w:tcPr>
          <w:p w:rsidR="00643EF9" w:rsidRPr="00FD0F60" w:rsidRDefault="00643EF9" w:rsidP="00FD0F60">
            <w:pPr>
              <w:spacing w:line="288" w:lineRule="auto"/>
              <w:rPr>
                <w:szCs w:val="20"/>
                <w:lang w:val="en-GB"/>
              </w:rPr>
            </w:pPr>
            <w:r w:rsidRPr="00FD0F60">
              <w:rPr>
                <w:rFonts w:cs="Arial"/>
                <w:sz w:val="16"/>
                <w:szCs w:val="16"/>
                <w:lang w:val="en-GB" w:eastAsia="da-DK"/>
              </w:rPr>
              <w:t>Non-Specific SRDs</w:t>
            </w:r>
          </w:p>
        </w:tc>
        <w:tc>
          <w:tcPr>
            <w:tcW w:w="1701" w:type="dxa"/>
          </w:tcPr>
          <w:p w:rsidR="00643EF9" w:rsidRPr="00FD0F60" w:rsidRDefault="00643EF9" w:rsidP="00FD0F60">
            <w:pPr>
              <w:autoSpaceDE w:val="0"/>
              <w:autoSpaceDN w:val="0"/>
              <w:adjustRightInd w:val="0"/>
              <w:rPr>
                <w:rFonts w:cs="Arial"/>
                <w:szCs w:val="20"/>
                <w:lang w:val="en-GB" w:eastAsia="da-DK"/>
              </w:rPr>
            </w:pPr>
            <w:r w:rsidRPr="00FD0F60">
              <w:rPr>
                <w:rFonts w:cs="Arial"/>
                <w:sz w:val="16"/>
                <w:szCs w:val="16"/>
                <w:lang w:val="en-GB" w:eastAsia="da-DK"/>
              </w:rPr>
              <w:t>Within the band 122-123 GHz</w:t>
            </w:r>
          </w:p>
        </w:tc>
      </w:tr>
      <w:tr w:rsidR="00643EF9" w:rsidRPr="00FD0F60" w:rsidTr="00683A1B">
        <w:trPr>
          <w:trHeight w:val="700"/>
        </w:trPr>
        <w:tc>
          <w:tcPr>
            <w:tcW w:w="2978" w:type="dxa"/>
            <w:vMerge/>
          </w:tcPr>
          <w:p w:rsidR="00643EF9" w:rsidRPr="00FD0F60" w:rsidRDefault="00643EF9" w:rsidP="00FD0F60">
            <w:pPr>
              <w:autoSpaceDE w:val="0"/>
              <w:autoSpaceDN w:val="0"/>
              <w:adjustRightInd w:val="0"/>
              <w:rPr>
                <w:rFonts w:cs="Arial"/>
                <w:sz w:val="16"/>
                <w:szCs w:val="16"/>
                <w:lang w:val="en-GB" w:eastAsia="da-DK"/>
              </w:rPr>
            </w:pPr>
          </w:p>
        </w:tc>
        <w:tc>
          <w:tcPr>
            <w:tcW w:w="2410" w:type="dxa"/>
            <w:vMerge/>
            <w:vAlign w:val="center"/>
          </w:tcPr>
          <w:p w:rsidR="00643EF9" w:rsidRPr="00FD0F60" w:rsidRDefault="00643EF9" w:rsidP="00FD0F60">
            <w:pPr>
              <w:autoSpaceDE w:val="0"/>
              <w:autoSpaceDN w:val="0"/>
              <w:adjustRightInd w:val="0"/>
              <w:rPr>
                <w:rFonts w:cs="Arial"/>
                <w:sz w:val="16"/>
                <w:szCs w:val="16"/>
                <w:lang w:val="en-GB" w:eastAsia="da-DK"/>
              </w:rPr>
            </w:pPr>
          </w:p>
        </w:tc>
        <w:tc>
          <w:tcPr>
            <w:tcW w:w="1701" w:type="dxa"/>
            <w:vAlign w:val="center"/>
          </w:tcPr>
          <w:p w:rsidR="00643EF9" w:rsidRPr="00FD0F60" w:rsidRDefault="00643EF9" w:rsidP="00FD0F60">
            <w:pPr>
              <w:spacing w:line="288" w:lineRule="auto"/>
              <w:rPr>
                <w:rFonts w:cs="Arial"/>
                <w:sz w:val="16"/>
                <w:szCs w:val="16"/>
                <w:lang w:val="en-GB" w:eastAsia="da-DK"/>
              </w:rPr>
            </w:pPr>
          </w:p>
        </w:tc>
        <w:tc>
          <w:tcPr>
            <w:tcW w:w="1417" w:type="dxa"/>
            <w:vAlign w:val="center"/>
          </w:tcPr>
          <w:p w:rsidR="00643EF9" w:rsidRPr="00FD0F60" w:rsidRDefault="00643EF9" w:rsidP="00FD0F60">
            <w:pPr>
              <w:spacing w:line="288" w:lineRule="auto"/>
              <w:rPr>
                <w:rFonts w:cs="Arial"/>
                <w:sz w:val="16"/>
                <w:szCs w:val="16"/>
                <w:lang w:val="en-GB" w:eastAsia="da-DK"/>
              </w:rPr>
            </w:pPr>
            <w:r w:rsidRPr="00FD0F60">
              <w:rPr>
                <w:rFonts w:cs="Arial"/>
                <w:sz w:val="16"/>
                <w:szCs w:val="16"/>
                <w:lang w:val="en-GB" w:eastAsia="da-DK"/>
              </w:rPr>
              <w:t>Passive sensors (satellite)</w:t>
            </w:r>
          </w:p>
        </w:tc>
        <w:tc>
          <w:tcPr>
            <w:tcW w:w="1701" w:type="dxa"/>
          </w:tcPr>
          <w:p w:rsidR="00643EF9" w:rsidRPr="00FD0F60" w:rsidRDefault="00643EF9" w:rsidP="00683A1B">
            <w:pPr>
              <w:autoSpaceDE w:val="0"/>
              <w:autoSpaceDN w:val="0"/>
              <w:adjustRightInd w:val="0"/>
              <w:rPr>
                <w:rFonts w:cs="Arial"/>
                <w:szCs w:val="20"/>
                <w:lang w:val="en-GB" w:eastAsia="da-DK"/>
              </w:rPr>
            </w:pPr>
            <w:r w:rsidRPr="00FD0F60">
              <w:rPr>
                <w:rFonts w:cs="Arial"/>
                <w:sz w:val="16"/>
                <w:szCs w:val="16"/>
                <w:lang w:val="en-GB" w:eastAsia="da-DK"/>
              </w:rPr>
              <w:t>Passive sensing as part of the</w:t>
            </w:r>
            <w:r w:rsidR="00683A1B">
              <w:rPr>
                <w:rFonts w:cs="Arial"/>
                <w:sz w:val="16"/>
                <w:szCs w:val="16"/>
                <w:lang w:val="en-GB" w:eastAsia="da-DK"/>
              </w:rPr>
              <w:t xml:space="preserve"> </w:t>
            </w:r>
            <w:r w:rsidRPr="00FD0F60">
              <w:rPr>
                <w:rFonts w:cs="Arial"/>
                <w:sz w:val="16"/>
                <w:szCs w:val="16"/>
                <w:lang w:val="en-GB" w:eastAsia="da-DK"/>
              </w:rPr>
              <w:t>oxygen absorption band with peak at</w:t>
            </w:r>
            <w:r w:rsidR="00683A1B">
              <w:rPr>
                <w:rFonts w:cs="Arial"/>
                <w:sz w:val="16"/>
                <w:szCs w:val="16"/>
                <w:lang w:val="en-GB" w:eastAsia="da-DK"/>
              </w:rPr>
              <w:t xml:space="preserve"> </w:t>
            </w:r>
            <w:r w:rsidRPr="00FD0F60">
              <w:rPr>
                <w:rFonts w:cs="Arial"/>
                <w:sz w:val="16"/>
                <w:szCs w:val="16"/>
                <w:lang w:val="en-GB" w:eastAsia="da-DK"/>
              </w:rPr>
              <w:t>118.75 GHz</w:t>
            </w:r>
          </w:p>
        </w:tc>
      </w:tr>
    </w:tbl>
    <w:p w:rsidR="00643EF9" w:rsidRPr="00FD0F60" w:rsidRDefault="00643EF9" w:rsidP="007D4EFA">
      <w:pPr>
        <w:autoSpaceDE w:val="0"/>
        <w:autoSpaceDN w:val="0"/>
        <w:adjustRightInd w:val="0"/>
        <w:rPr>
          <w:rFonts w:cs="Arial"/>
          <w:b/>
          <w:bCs/>
          <w:szCs w:val="20"/>
          <w:lang w:val="en-GB" w:eastAsia="da-DK"/>
        </w:rPr>
      </w:pPr>
    </w:p>
    <w:p w:rsidR="00643EF9" w:rsidRPr="00683A1B" w:rsidRDefault="00643EF9" w:rsidP="00FD0F60">
      <w:pPr>
        <w:pStyle w:val="ECCTablenote"/>
        <w:rPr>
          <w:sz w:val="20"/>
          <w:szCs w:val="20"/>
          <w:lang w:eastAsia="da-DK"/>
        </w:rPr>
      </w:pPr>
      <w:r w:rsidRPr="00683A1B">
        <w:rPr>
          <w:b/>
          <w:bCs/>
          <w:sz w:val="20"/>
          <w:szCs w:val="20"/>
          <w:lang w:eastAsia="da-DK"/>
        </w:rPr>
        <w:t>5.138</w:t>
      </w:r>
      <w:r w:rsidRPr="00683A1B">
        <w:rPr>
          <w:b/>
          <w:bCs/>
          <w:sz w:val="20"/>
          <w:szCs w:val="20"/>
          <w:lang w:eastAsia="da-DK"/>
        </w:rPr>
        <w:tab/>
      </w:r>
      <w:r w:rsidRPr="00683A1B">
        <w:rPr>
          <w:sz w:val="20"/>
          <w:szCs w:val="20"/>
          <w:lang w:eastAsia="da-DK"/>
        </w:rPr>
        <w:t>The following bands:</w:t>
      </w:r>
    </w:p>
    <w:p w:rsidR="00643EF9" w:rsidRPr="00683A1B" w:rsidRDefault="00643EF9" w:rsidP="00FD0F60">
      <w:pPr>
        <w:pStyle w:val="ECCTablenote"/>
        <w:rPr>
          <w:sz w:val="20"/>
          <w:szCs w:val="20"/>
          <w:lang w:eastAsia="da-DK"/>
        </w:rPr>
      </w:pPr>
      <w:r w:rsidRPr="00683A1B">
        <w:rPr>
          <w:sz w:val="20"/>
          <w:szCs w:val="20"/>
          <w:lang w:eastAsia="da-DK"/>
        </w:rPr>
        <w:t>6765-6 795 kHz (centre frequency 6 780 kHz),</w:t>
      </w:r>
    </w:p>
    <w:p w:rsidR="00643EF9" w:rsidRPr="00683A1B" w:rsidRDefault="00643EF9" w:rsidP="00FD0F60">
      <w:pPr>
        <w:pStyle w:val="ECCTablenote"/>
        <w:rPr>
          <w:sz w:val="20"/>
          <w:szCs w:val="20"/>
          <w:lang w:eastAsia="da-DK"/>
        </w:rPr>
      </w:pPr>
      <w:r w:rsidRPr="00683A1B">
        <w:rPr>
          <w:sz w:val="20"/>
          <w:szCs w:val="20"/>
          <w:lang w:eastAsia="da-DK"/>
        </w:rPr>
        <w:t xml:space="preserve">433.05-434.79 MHz (centre frequency 433.92 MHz) in Region 1 except in the countries mentioned in No. </w:t>
      </w:r>
      <w:r w:rsidRPr="00683A1B">
        <w:rPr>
          <w:b/>
          <w:bCs/>
          <w:sz w:val="20"/>
          <w:szCs w:val="20"/>
          <w:lang w:eastAsia="da-DK"/>
        </w:rPr>
        <w:t>5.280</w:t>
      </w:r>
      <w:r w:rsidRPr="00683A1B">
        <w:rPr>
          <w:sz w:val="20"/>
          <w:szCs w:val="20"/>
          <w:lang w:eastAsia="da-DK"/>
        </w:rPr>
        <w:t>,</w:t>
      </w:r>
    </w:p>
    <w:p w:rsidR="00643EF9" w:rsidRPr="00683A1B" w:rsidRDefault="00643EF9" w:rsidP="00FD0F60">
      <w:pPr>
        <w:pStyle w:val="ECCTablenote"/>
        <w:rPr>
          <w:sz w:val="20"/>
          <w:szCs w:val="20"/>
          <w:lang w:eastAsia="da-DK"/>
        </w:rPr>
      </w:pPr>
      <w:r w:rsidRPr="00683A1B">
        <w:rPr>
          <w:sz w:val="20"/>
          <w:szCs w:val="20"/>
          <w:lang w:eastAsia="da-DK"/>
        </w:rPr>
        <w:t>61-61.5 GHz (centre frequency 61.25 GHz),</w:t>
      </w:r>
    </w:p>
    <w:p w:rsidR="00643EF9" w:rsidRPr="00683A1B" w:rsidRDefault="00643EF9" w:rsidP="00FD0F60">
      <w:pPr>
        <w:pStyle w:val="ECCTablenote"/>
        <w:rPr>
          <w:sz w:val="20"/>
          <w:szCs w:val="20"/>
          <w:lang w:eastAsia="da-DK"/>
        </w:rPr>
      </w:pPr>
      <w:r w:rsidRPr="00683A1B">
        <w:rPr>
          <w:sz w:val="20"/>
          <w:szCs w:val="20"/>
          <w:lang w:eastAsia="da-DK"/>
        </w:rPr>
        <w:t>122-123 GHz (centre frequency 122.5 GHz), and</w:t>
      </w:r>
    </w:p>
    <w:p w:rsidR="00643EF9" w:rsidRPr="00683A1B" w:rsidRDefault="00643EF9" w:rsidP="00FD0F60">
      <w:pPr>
        <w:pStyle w:val="ECCTablenote"/>
        <w:rPr>
          <w:sz w:val="20"/>
          <w:szCs w:val="20"/>
          <w:lang w:eastAsia="da-DK"/>
        </w:rPr>
      </w:pPr>
      <w:r w:rsidRPr="00683A1B">
        <w:rPr>
          <w:sz w:val="20"/>
          <w:szCs w:val="20"/>
          <w:lang w:eastAsia="da-DK"/>
        </w:rPr>
        <w:t>244-246 GHz (centre frequency 245 GHz)</w:t>
      </w:r>
    </w:p>
    <w:p w:rsidR="00643EF9" w:rsidRPr="00683A1B" w:rsidRDefault="00643EF9" w:rsidP="00FD0F60">
      <w:pPr>
        <w:pStyle w:val="ECCTablenote"/>
        <w:rPr>
          <w:sz w:val="20"/>
          <w:szCs w:val="20"/>
          <w:lang w:eastAsia="da-DK"/>
        </w:rPr>
      </w:pPr>
      <w:r w:rsidRPr="00683A1B">
        <w:rPr>
          <w:sz w:val="20"/>
          <w:szCs w:val="20"/>
          <w:lang w:eastAsia="da-DK"/>
        </w:rPr>
        <w:t>are designated for industrial, scientific and medical (ISM) applications.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ITU-R Recommendations.</w:t>
      </w:r>
    </w:p>
    <w:p w:rsidR="00643EF9" w:rsidRPr="00683A1B" w:rsidRDefault="00643EF9" w:rsidP="007D4EFA">
      <w:pPr>
        <w:rPr>
          <w:szCs w:val="20"/>
          <w:lang w:val="en-GB"/>
        </w:rPr>
      </w:pPr>
    </w:p>
    <w:p w:rsidR="00643EF9" w:rsidRPr="00FD0F60" w:rsidRDefault="00643EF9" w:rsidP="00683A1B">
      <w:pPr>
        <w:pStyle w:val="ECCParagraph"/>
      </w:pPr>
      <w:r w:rsidRPr="00683A1B">
        <w:t>Although the ERC/REC 70-03</w:t>
      </w:r>
      <w:r w:rsidR="00DE7DF8">
        <w:t xml:space="preserve"> </w:t>
      </w:r>
      <w:r w:rsidR="00DE7DF8">
        <w:fldChar w:fldCharType="begin"/>
      </w:r>
      <w:r w:rsidR="00DE7DF8">
        <w:instrText xml:space="preserve"> REF _Ref356376057 \r \h </w:instrText>
      </w:r>
      <w:r w:rsidR="00DE7DF8">
        <w:fldChar w:fldCharType="separate"/>
      </w:r>
      <w:r w:rsidR="00437883">
        <w:t>[9]</w:t>
      </w:r>
      <w:r w:rsidR="00DE7DF8">
        <w:fldChar w:fldCharType="end"/>
      </w:r>
      <w:r w:rsidRPr="00683A1B">
        <w:t xml:space="preserve"> has contained for many years the band 122-123 GHz, there is no SRD application known at the time this report was prepared. In addition RR Footnote 5.138 mentions the designation of the band 122-123 GHz for industrial, scientific and medical (ISM) applications, but here also,  no applications are known and the standard CISPR 11 does not contain limits for this frequency</w:t>
      </w:r>
      <w:r>
        <w:t xml:space="preserve"> band.</w:t>
      </w:r>
    </w:p>
    <w:p w:rsidR="00643EF9" w:rsidRPr="00FD0F60" w:rsidRDefault="00643EF9" w:rsidP="006C2210">
      <w:pPr>
        <w:pStyle w:val="Heading1"/>
      </w:pPr>
      <w:bookmarkStart w:id="6" w:name="_Toc356376811"/>
      <w:r w:rsidRPr="00FD0F60">
        <w:t>EESS (passive) characteristics</w:t>
      </w:r>
      <w:bookmarkEnd w:id="6"/>
    </w:p>
    <w:p w:rsidR="00643EF9" w:rsidRPr="00FD0F60" w:rsidRDefault="00643EF9" w:rsidP="007D4EFA">
      <w:pPr>
        <w:spacing w:before="120"/>
        <w:jc w:val="both"/>
        <w:rPr>
          <w:lang w:val="en-GB"/>
        </w:rPr>
      </w:pPr>
      <w:r w:rsidRPr="00FD0F60">
        <w:rPr>
          <w:lang w:val="en-GB"/>
        </w:rPr>
        <w:t>The band 11</w:t>
      </w:r>
      <w:smartTag w:uri="urn:schemas-microsoft-com:office:smarttags" w:element="place">
        <w:r w:rsidRPr="00FD0F60">
          <w:rPr>
            <w:lang w:val="en-GB"/>
          </w:rPr>
          <w:t>4</w:t>
        </w:r>
      </w:smartTag>
      <w:r w:rsidRPr="00FD0F60">
        <w:rPr>
          <w:lang w:val="en-GB"/>
        </w:rPr>
        <w:t>.25-122.25 GHz is of primary interest for atmospheric temperature profiling (O</w:t>
      </w:r>
      <w:r w:rsidRPr="00FD0F60">
        <w:rPr>
          <w:vertAlign w:val="subscript"/>
          <w:lang w:val="en-GB"/>
        </w:rPr>
        <w:t>2 </w:t>
      </w:r>
      <w:r w:rsidRPr="00FD0F60">
        <w:rPr>
          <w:lang w:val="en-GB"/>
        </w:rPr>
        <w:t>absorption lines).</w:t>
      </w:r>
    </w:p>
    <w:p w:rsidR="00643EF9" w:rsidRPr="00FD0F60" w:rsidRDefault="00643EF9" w:rsidP="007D4EFA">
      <w:pPr>
        <w:spacing w:before="120"/>
        <w:jc w:val="both"/>
        <w:rPr>
          <w:lang w:val="en-GB"/>
        </w:rPr>
      </w:pPr>
      <w:r>
        <w:rPr>
          <w:lang w:val="en-GB"/>
        </w:rPr>
        <w:fldChar w:fldCharType="begin"/>
      </w:r>
      <w:r>
        <w:rPr>
          <w:lang w:val="en-GB"/>
        </w:rPr>
        <w:instrText xml:space="preserve"> REF _Ref333956688 \r \h </w:instrText>
      </w:r>
      <w:r>
        <w:rPr>
          <w:lang w:val="en-GB"/>
        </w:rPr>
      </w:r>
      <w:r>
        <w:rPr>
          <w:lang w:val="en-GB"/>
        </w:rPr>
        <w:fldChar w:fldCharType="separate"/>
      </w:r>
      <w:r w:rsidR="00437883">
        <w:rPr>
          <w:lang w:val="en-GB"/>
        </w:rPr>
        <w:t>Table 2</w:t>
      </w:r>
      <w:proofErr w:type="gramStart"/>
      <w:r w:rsidR="00437883">
        <w:rPr>
          <w:lang w:val="en-GB"/>
        </w:rPr>
        <w:t>:</w:t>
      </w:r>
      <w:r>
        <w:rPr>
          <w:lang w:val="en-GB"/>
        </w:rPr>
        <w:fldChar w:fldCharType="end"/>
      </w:r>
      <w:r w:rsidRPr="00FD0F60">
        <w:rPr>
          <w:lang w:val="en-GB"/>
        </w:rPr>
        <w:t>,</w:t>
      </w:r>
      <w:proofErr w:type="gramEnd"/>
      <w:r w:rsidRPr="00FD0F60">
        <w:rPr>
          <w:lang w:val="en-GB"/>
        </w:rPr>
        <w:t xml:space="preserve"> taken from </w:t>
      </w:r>
      <w:r w:rsidR="00DE7DF8" w:rsidRPr="00FD0F60">
        <w:rPr>
          <w:lang w:val="en-GB"/>
        </w:rPr>
        <w:t xml:space="preserve">Recommendation </w:t>
      </w:r>
      <w:r w:rsidRPr="00FD0F60">
        <w:rPr>
          <w:lang w:val="en-GB"/>
        </w:rPr>
        <w:t>ITU-R RS.1861</w:t>
      </w:r>
      <w:r>
        <w:rPr>
          <w:lang w:val="en-GB"/>
        </w:rPr>
        <w:t xml:space="preserve"> </w:t>
      </w:r>
      <w:r>
        <w:rPr>
          <w:lang w:val="en-GB"/>
        </w:rPr>
        <w:fldChar w:fldCharType="begin"/>
      </w:r>
      <w:r>
        <w:rPr>
          <w:lang w:val="en-GB"/>
        </w:rPr>
        <w:instrText xml:space="preserve"> REF _Ref334181878 \r \h </w:instrText>
      </w:r>
      <w:r>
        <w:rPr>
          <w:lang w:val="en-GB"/>
        </w:rPr>
      </w:r>
      <w:r>
        <w:rPr>
          <w:lang w:val="en-GB"/>
        </w:rPr>
        <w:fldChar w:fldCharType="separate"/>
      </w:r>
      <w:r w:rsidR="00437883">
        <w:rPr>
          <w:lang w:val="en-GB"/>
        </w:rPr>
        <w:t>[3]</w:t>
      </w:r>
      <w:r>
        <w:rPr>
          <w:lang w:val="en-GB"/>
        </w:rPr>
        <w:fldChar w:fldCharType="end"/>
      </w:r>
      <w:r w:rsidRPr="00FD0F60">
        <w:rPr>
          <w:lang w:val="en-GB"/>
        </w:rPr>
        <w:t>, provides the parameters of limb sounding passive sensors that would be operating in this band.</w:t>
      </w:r>
    </w:p>
    <w:p w:rsidR="00643EF9" w:rsidRPr="00FD0F60" w:rsidRDefault="00643EF9" w:rsidP="007D4EFA">
      <w:pPr>
        <w:spacing w:before="120"/>
        <w:jc w:val="both"/>
        <w:rPr>
          <w:lang w:val="en-GB"/>
        </w:rPr>
      </w:pPr>
    </w:p>
    <w:p w:rsidR="00643EF9" w:rsidRPr="00FD0F60" w:rsidRDefault="00643EF9" w:rsidP="00DC780A">
      <w:pPr>
        <w:pStyle w:val="ECCTabletitle"/>
      </w:pPr>
      <w:bookmarkStart w:id="7" w:name="_Ref333956688"/>
      <w:r w:rsidRPr="00FD0F60">
        <w:t>EESS (passive) sensor (Limb sounder) in the 114.25-122.25 GHz band</w:t>
      </w:r>
      <w:bookmarkEnd w:id="7"/>
      <w:r w:rsidRPr="00FD0F60">
        <w:t xml:space="preserve">  </w:t>
      </w:r>
    </w:p>
    <w:tbl>
      <w:tblPr>
        <w:tblW w:w="0" w:type="auto"/>
        <w:tblInd w:w="11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08"/>
        <w:gridCol w:w="3246"/>
      </w:tblGrid>
      <w:tr w:rsidR="00643EF9" w:rsidTr="00683A1B">
        <w:trPr>
          <w:tblHeader/>
        </w:trPr>
        <w:tc>
          <w:tcPr>
            <w:tcW w:w="4408" w:type="dxa"/>
            <w:tcBorders>
              <w:right w:val="single" w:sz="8" w:space="0" w:color="FFFFFF"/>
            </w:tcBorders>
            <w:shd w:val="clear" w:color="auto" w:fill="D2232A"/>
            <w:vAlign w:val="center"/>
          </w:tcPr>
          <w:p w:rsidR="00643EF9" w:rsidRPr="00FE1795" w:rsidRDefault="00643EF9" w:rsidP="00FD0F60">
            <w:pPr>
              <w:spacing w:line="288" w:lineRule="auto"/>
              <w:jc w:val="center"/>
              <w:rPr>
                <w:b/>
                <w:color w:val="FFFFFF"/>
              </w:rPr>
            </w:pPr>
          </w:p>
        </w:tc>
        <w:tc>
          <w:tcPr>
            <w:tcW w:w="3246" w:type="dxa"/>
            <w:tcBorders>
              <w:left w:val="single" w:sz="8" w:space="0" w:color="FFFFFF"/>
            </w:tcBorders>
            <w:shd w:val="clear" w:color="auto" w:fill="D2232A"/>
            <w:vAlign w:val="center"/>
          </w:tcPr>
          <w:p w:rsidR="00643EF9" w:rsidRPr="00FE1795" w:rsidRDefault="00643EF9" w:rsidP="00FD0F60">
            <w:pPr>
              <w:spacing w:line="288" w:lineRule="auto"/>
              <w:jc w:val="center"/>
              <w:rPr>
                <w:b/>
                <w:color w:val="FFFFFF"/>
              </w:rPr>
            </w:pPr>
            <w:r>
              <w:rPr>
                <w:b/>
                <w:color w:val="FFFFFF"/>
              </w:rPr>
              <w:t>Sensor M1</w:t>
            </w:r>
          </w:p>
        </w:tc>
      </w:tr>
      <w:tr w:rsidR="00643EF9" w:rsidTr="00683A1B">
        <w:tc>
          <w:tcPr>
            <w:tcW w:w="4408" w:type="dxa"/>
          </w:tcPr>
          <w:p w:rsidR="00643EF9" w:rsidRPr="00643A96" w:rsidRDefault="00643EF9" w:rsidP="00FD0F60">
            <w:pPr>
              <w:rPr>
                <w:b/>
              </w:rPr>
            </w:pPr>
            <w:r w:rsidRPr="00643A96">
              <w:rPr>
                <w:b/>
              </w:rPr>
              <w:t>Sensor type</w:t>
            </w:r>
          </w:p>
        </w:tc>
        <w:tc>
          <w:tcPr>
            <w:tcW w:w="3246" w:type="dxa"/>
          </w:tcPr>
          <w:p w:rsidR="00643EF9" w:rsidRDefault="00643EF9" w:rsidP="00FD0F60">
            <w:r w:rsidRPr="0081760B">
              <w:t>Limb sounder</w:t>
            </w:r>
          </w:p>
        </w:tc>
      </w:tr>
      <w:tr w:rsidR="00643EF9" w:rsidTr="00683A1B">
        <w:tc>
          <w:tcPr>
            <w:tcW w:w="7654" w:type="dxa"/>
            <w:gridSpan w:val="2"/>
            <w:vAlign w:val="center"/>
          </w:tcPr>
          <w:p w:rsidR="00643EF9" w:rsidRPr="00FD0F60" w:rsidRDefault="00643EF9" w:rsidP="00FD0F60">
            <w:pPr>
              <w:spacing w:line="288" w:lineRule="auto"/>
              <w:rPr>
                <w:b/>
              </w:rPr>
            </w:pPr>
            <w:r w:rsidRPr="00FD0F60">
              <w:rPr>
                <w:b/>
                <w:lang w:val="en-GB"/>
              </w:rPr>
              <w:t>Orbit parameters</w:t>
            </w:r>
          </w:p>
        </w:tc>
      </w:tr>
      <w:tr w:rsidR="00643EF9" w:rsidTr="00683A1B">
        <w:tc>
          <w:tcPr>
            <w:tcW w:w="4408" w:type="dxa"/>
          </w:tcPr>
          <w:p w:rsidR="00643EF9" w:rsidRPr="002A1F61" w:rsidRDefault="00643EF9" w:rsidP="0057438C">
            <w:r w:rsidRPr="002A1F61">
              <w:t>Altitude</w:t>
            </w:r>
          </w:p>
        </w:tc>
        <w:tc>
          <w:tcPr>
            <w:tcW w:w="3246" w:type="dxa"/>
          </w:tcPr>
          <w:p w:rsidR="00643EF9" w:rsidRPr="002A1F61" w:rsidRDefault="00643EF9" w:rsidP="0057438C">
            <w:r w:rsidRPr="002A1F61">
              <w:t>705 km</w:t>
            </w:r>
          </w:p>
        </w:tc>
      </w:tr>
      <w:tr w:rsidR="00643EF9" w:rsidTr="00683A1B">
        <w:tc>
          <w:tcPr>
            <w:tcW w:w="4408" w:type="dxa"/>
          </w:tcPr>
          <w:p w:rsidR="00643EF9" w:rsidRPr="002A1F61" w:rsidRDefault="00643EF9" w:rsidP="0057438C">
            <w:r w:rsidRPr="002A1F61">
              <w:t>Inclination</w:t>
            </w:r>
          </w:p>
        </w:tc>
        <w:tc>
          <w:tcPr>
            <w:tcW w:w="3246" w:type="dxa"/>
          </w:tcPr>
          <w:p w:rsidR="00643EF9" w:rsidRPr="002A1F61" w:rsidRDefault="00643EF9" w:rsidP="0057438C">
            <w:r w:rsidRPr="002A1F61">
              <w:t>98.2°</w:t>
            </w:r>
          </w:p>
        </w:tc>
      </w:tr>
      <w:tr w:rsidR="00643EF9" w:rsidTr="00683A1B">
        <w:tc>
          <w:tcPr>
            <w:tcW w:w="4408" w:type="dxa"/>
          </w:tcPr>
          <w:p w:rsidR="00643EF9" w:rsidRPr="002A1F61" w:rsidRDefault="00643EF9" w:rsidP="0057438C">
            <w:r w:rsidRPr="002A1F61">
              <w:t>Eccentricity</w:t>
            </w:r>
          </w:p>
        </w:tc>
        <w:tc>
          <w:tcPr>
            <w:tcW w:w="3246" w:type="dxa"/>
          </w:tcPr>
          <w:p w:rsidR="00643EF9" w:rsidRPr="002A1F61" w:rsidRDefault="00643EF9" w:rsidP="0057438C">
            <w:r w:rsidRPr="002A1F61">
              <w:t>0.0015</w:t>
            </w:r>
          </w:p>
        </w:tc>
      </w:tr>
      <w:tr w:rsidR="00643EF9" w:rsidTr="00683A1B">
        <w:tc>
          <w:tcPr>
            <w:tcW w:w="4408" w:type="dxa"/>
          </w:tcPr>
          <w:p w:rsidR="00643EF9" w:rsidRPr="002A1F61" w:rsidRDefault="00643EF9" w:rsidP="0057438C">
            <w:r w:rsidRPr="002A1F61">
              <w:t>Repeat period</w:t>
            </w:r>
          </w:p>
        </w:tc>
        <w:tc>
          <w:tcPr>
            <w:tcW w:w="3246" w:type="dxa"/>
          </w:tcPr>
          <w:p w:rsidR="00643EF9" w:rsidRDefault="00643EF9" w:rsidP="0057438C">
            <w:r w:rsidRPr="002A1F61">
              <w:t>16 days</w:t>
            </w:r>
          </w:p>
        </w:tc>
      </w:tr>
      <w:tr w:rsidR="00643EF9" w:rsidTr="00683A1B">
        <w:tc>
          <w:tcPr>
            <w:tcW w:w="7654" w:type="dxa"/>
            <w:gridSpan w:val="2"/>
            <w:vAlign w:val="center"/>
          </w:tcPr>
          <w:p w:rsidR="00643EF9" w:rsidRPr="00643A96" w:rsidRDefault="00643EF9" w:rsidP="00643A96">
            <w:pPr>
              <w:spacing w:line="288" w:lineRule="auto"/>
              <w:rPr>
                <w:b/>
              </w:rPr>
            </w:pPr>
            <w:r w:rsidRPr="00643A96">
              <w:rPr>
                <w:b/>
                <w:lang w:val="en-GB"/>
              </w:rPr>
              <w:t>Sensor antenna parameters</w:t>
            </w:r>
          </w:p>
        </w:tc>
      </w:tr>
      <w:tr w:rsidR="00643EF9" w:rsidTr="00683A1B">
        <w:tc>
          <w:tcPr>
            <w:tcW w:w="4408" w:type="dxa"/>
          </w:tcPr>
          <w:p w:rsidR="00643EF9" w:rsidRPr="00B739CF" w:rsidRDefault="00643EF9" w:rsidP="0057438C">
            <w:r w:rsidRPr="00B739CF">
              <w:t>Number of beams</w:t>
            </w:r>
          </w:p>
        </w:tc>
        <w:tc>
          <w:tcPr>
            <w:tcW w:w="3246" w:type="dxa"/>
          </w:tcPr>
          <w:p w:rsidR="00643EF9" w:rsidRPr="00B739CF" w:rsidRDefault="00643EF9" w:rsidP="0057438C">
            <w:r w:rsidRPr="00B739CF">
              <w:t>2</w:t>
            </w:r>
          </w:p>
        </w:tc>
      </w:tr>
      <w:tr w:rsidR="00643EF9" w:rsidTr="00683A1B">
        <w:tc>
          <w:tcPr>
            <w:tcW w:w="4408" w:type="dxa"/>
          </w:tcPr>
          <w:p w:rsidR="00643EF9" w:rsidRPr="00B739CF" w:rsidRDefault="00643EF9" w:rsidP="0057438C">
            <w:r w:rsidRPr="00B739CF">
              <w:t>Reflector diameter</w:t>
            </w:r>
          </w:p>
        </w:tc>
        <w:tc>
          <w:tcPr>
            <w:tcW w:w="3246" w:type="dxa"/>
          </w:tcPr>
          <w:p w:rsidR="00643EF9" w:rsidRPr="00B739CF" w:rsidRDefault="00643EF9" w:rsidP="0057438C">
            <w:r w:rsidRPr="00B739CF">
              <w:t>1.6 m × 0.8 m</w:t>
            </w:r>
          </w:p>
        </w:tc>
      </w:tr>
      <w:tr w:rsidR="00643EF9" w:rsidTr="00683A1B">
        <w:tc>
          <w:tcPr>
            <w:tcW w:w="4408" w:type="dxa"/>
          </w:tcPr>
          <w:p w:rsidR="00643EF9" w:rsidRPr="00B739CF" w:rsidRDefault="00643EF9" w:rsidP="0057438C">
            <w:r w:rsidRPr="00B739CF">
              <w:t>Maximum beam gain</w:t>
            </w:r>
          </w:p>
        </w:tc>
        <w:tc>
          <w:tcPr>
            <w:tcW w:w="3246" w:type="dxa"/>
          </w:tcPr>
          <w:p w:rsidR="00643EF9" w:rsidRPr="00B739CF" w:rsidRDefault="00643EF9" w:rsidP="0057438C">
            <w:r w:rsidRPr="00B739CF">
              <w:t>60 dBi</w:t>
            </w:r>
          </w:p>
        </w:tc>
      </w:tr>
      <w:tr w:rsidR="00643EF9" w:rsidTr="00683A1B">
        <w:tc>
          <w:tcPr>
            <w:tcW w:w="4408" w:type="dxa"/>
          </w:tcPr>
          <w:p w:rsidR="00643EF9" w:rsidRPr="00B739CF" w:rsidRDefault="00643EF9" w:rsidP="0057438C">
            <w:r w:rsidRPr="00B739CF">
              <w:t>Polarization</w:t>
            </w:r>
          </w:p>
        </w:tc>
        <w:tc>
          <w:tcPr>
            <w:tcW w:w="3246" w:type="dxa"/>
          </w:tcPr>
          <w:p w:rsidR="00643EF9" w:rsidRPr="00B739CF" w:rsidRDefault="00643EF9" w:rsidP="0057438C">
            <w:r w:rsidRPr="00B739CF">
              <w:t>2 orthogonal</w:t>
            </w:r>
          </w:p>
        </w:tc>
      </w:tr>
      <w:tr w:rsidR="00643EF9" w:rsidTr="00683A1B">
        <w:tc>
          <w:tcPr>
            <w:tcW w:w="4408" w:type="dxa"/>
          </w:tcPr>
          <w:p w:rsidR="00643EF9" w:rsidRPr="00B739CF" w:rsidRDefault="00643EF9" w:rsidP="0057438C">
            <w:r w:rsidRPr="00B739CF">
              <w:t>–3 dB beamwidth</w:t>
            </w:r>
          </w:p>
        </w:tc>
        <w:tc>
          <w:tcPr>
            <w:tcW w:w="3246" w:type="dxa"/>
          </w:tcPr>
          <w:p w:rsidR="00643EF9" w:rsidRPr="00B739CF" w:rsidRDefault="00643EF9" w:rsidP="0057438C">
            <w:r w:rsidRPr="00B739CF">
              <w:t>0.19° × 0.245</w:t>
            </w:r>
            <w:r w:rsidRPr="00B739CF">
              <w:rPr>
                <w:rFonts w:cs="Arial"/>
              </w:rPr>
              <w:t></w:t>
            </w:r>
          </w:p>
        </w:tc>
      </w:tr>
      <w:tr w:rsidR="00643EF9" w:rsidTr="00683A1B">
        <w:tc>
          <w:tcPr>
            <w:tcW w:w="4408" w:type="dxa"/>
          </w:tcPr>
          <w:p w:rsidR="00643EF9" w:rsidRPr="00B739CF" w:rsidRDefault="00643EF9" w:rsidP="0057438C">
            <w:r w:rsidRPr="00B739CF">
              <w:t>Instantaneous field of view</w:t>
            </w:r>
          </w:p>
        </w:tc>
        <w:tc>
          <w:tcPr>
            <w:tcW w:w="3246" w:type="dxa"/>
          </w:tcPr>
          <w:p w:rsidR="00643EF9" w:rsidRPr="00B739CF" w:rsidRDefault="00643EF9" w:rsidP="0057438C">
            <w:r w:rsidRPr="00B739CF">
              <w:t>6.5 km × 13 km</w:t>
            </w:r>
          </w:p>
        </w:tc>
      </w:tr>
      <w:tr w:rsidR="00643EF9" w:rsidTr="00683A1B">
        <w:tc>
          <w:tcPr>
            <w:tcW w:w="4408" w:type="dxa"/>
          </w:tcPr>
          <w:p w:rsidR="00643EF9" w:rsidRPr="00B739CF" w:rsidRDefault="00643EF9" w:rsidP="0057438C">
            <w:r w:rsidRPr="00B739CF">
              <w:t>Off-nadir pointing angle</w:t>
            </w:r>
          </w:p>
        </w:tc>
        <w:tc>
          <w:tcPr>
            <w:tcW w:w="3246" w:type="dxa"/>
          </w:tcPr>
          <w:p w:rsidR="00643EF9" w:rsidRPr="00B739CF" w:rsidRDefault="00643EF9" w:rsidP="0057438C">
            <w:r w:rsidRPr="00B739CF">
              <w:t>Limb</w:t>
            </w:r>
          </w:p>
        </w:tc>
      </w:tr>
      <w:tr w:rsidR="00643EF9" w:rsidTr="00683A1B">
        <w:tc>
          <w:tcPr>
            <w:tcW w:w="4408" w:type="dxa"/>
          </w:tcPr>
          <w:p w:rsidR="00643EF9" w:rsidRPr="00B739CF" w:rsidRDefault="00643EF9" w:rsidP="0057438C">
            <w:r w:rsidRPr="00B739CF">
              <w:t>Beam dynamics</w:t>
            </w:r>
          </w:p>
        </w:tc>
        <w:tc>
          <w:tcPr>
            <w:tcW w:w="3246" w:type="dxa"/>
          </w:tcPr>
          <w:p w:rsidR="00643EF9" w:rsidRPr="00B739CF" w:rsidRDefault="00643EF9" w:rsidP="0057438C">
            <w:r w:rsidRPr="00B739CF">
              <w:t>Measurements from 2 to 60 km altitude</w:t>
            </w:r>
          </w:p>
        </w:tc>
      </w:tr>
      <w:tr w:rsidR="00643EF9" w:rsidTr="00683A1B">
        <w:tc>
          <w:tcPr>
            <w:tcW w:w="4408" w:type="dxa"/>
          </w:tcPr>
          <w:p w:rsidR="00643EF9" w:rsidRPr="00B739CF" w:rsidRDefault="00643EF9" w:rsidP="0057438C">
            <w:r w:rsidRPr="00B739CF">
              <w:t>–3 dB beam dimensions</w:t>
            </w:r>
          </w:p>
        </w:tc>
        <w:tc>
          <w:tcPr>
            <w:tcW w:w="3246" w:type="dxa"/>
          </w:tcPr>
          <w:p w:rsidR="00643EF9" w:rsidRDefault="00643EF9" w:rsidP="0057438C">
            <w:r w:rsidRPr="00B739CF">
              <w:t>3 km</w:t>
            </w:r>
          </w:p>
        </w:tc>
      </w:tr>
      <w:tr w:rsidR="00643EF9" w:rsidTr="00683A1B">
        <w:tc>
          <w:tcPr>
            <w:tcW w:w="7654" w:type="dxa"/>
            <w:gridSpan w:val="2"/>
            <w:vAlign w:val="center"/>
          </w:tcPr>
          <w:p w:rsidR="00643EF9" w:rsidRPr="00643A96" w:rsidRDefault="00643EF9" w:rsidP="00643A96">
            <w:pPr>
              <w:spacing w:line="288" w:lineRule="auto"/>
              <w:rPr>
                <w:b/>
              </w:rPr>
            </w:pPr>
            <w:r w:rsidRPr="00643A96">
              <w:rPr>
                <w:b/>
                <w:lang w:val="en-GB"/>
              </w:rPr>
              <w:t>Sensor receiver parameters</w:t>
            </w:r>
          </w:p>
        </w:tc>
      </w:tr>
      <w:tr w:rsidR="00643EF9" w:rsidTr="00683A1B">
        <w:tc>
          <w:tcPr>
            <w:tcW w:w="4408" w:type="dxa"/>
          </w:tcPr>
          <w:p w:rsidR="00643EF9" w:rsidRPr="005E7D36" w:rsidRDefault="00643EF9" w:rsidP="0057438C">
            <w:r w:rsidRPr="005E7D36">
              <w:t>Sensor integration time</w:t>
            </w:r>
            <w:r>
              <w:t xml:space="preserve"> </w:t>
            </w:r>
          </w:p>
        </w:tc>
        <w:tc>
          <w:tcPr>
            <w:tcW w:w="3246" w:type="dxa"/>
          </w:tcPr>
          <w:p w:rsidR="00643EF9" w:rsidRDefault="00643EF9" w:rsidP="0057438C">
            <w:r w:rsidRPr="005A399B">
              <w:t>0.166 s</w:t>
            </w:r>
          </w:p>
        </w:tc>
      </w:tr>
      <w:tr w:rsidR="00643EF9" w:rsidTr="00683A1B">
        <w:tc>
          <w:tcPr>
            <w:tcW w:w="7654" w:type="dxa"/>
            <w:gridSpan w:val="2"/>
            <w:vAlign w:val="center"/>
          </w:tcPr>
          <w:p w:rsidR="00643EF9" w:rsidRPr="0052738E" w:rsidRDefault="00643EF9" w:rsidP="00643A96">
            <w:pPr>
              <w:spacing w:line="288" w:lineRule="auto"/>
            </w:pPr>
            <w:r w:rsidRPr="00FD0F60">
              <w:rPr>
                <w:b/>
                <w:bCs/>
              </w:rPr>
              <w:t>Measurement spatial resolution</w:t>
            </w:r>
          </w:p>
        </w:tc>
      </w:tr>
      <w:tr w:rsidR="00643EF9" w:rsidTr="00683A1B">
        <w:tc>
          <w:tcPr>
            <w:tcW w:w="4408" w:type="dxa"/>
          </w:tcPr>
          <w:p w:rsidR="00643EF9" w:rsidRPr="0092644B" w:rsidRDefault="00643EF9" w:rsidP="0057438C">
            <w:r w:rsidRPr="0092644B">
              <w:t>Horizontal resolution</w:t>
            </w:r>
          </w:p>
        </w:tc>
        <w:tc>
          <w:tcPr>
            <w:tcW w:w="3246" w:type="dxa"/>
          </w:tcPr>
          <w:p w:rsidR="00643EF9" w:rsidRPr="0092644B" w:rsidRDefault="00643EF9" w:rsidP="0057438C">
            <w:r w:rsidRPr="0092644B">
              <w:t>13 km</w:t>
            </w:r>
          </w:p>
        </w:tc>
      </w:tr>
      <w:tr w:rsidR="00643EF9" w:rsidTr="00683A1B">
        <w:tc>
          <w:tcPr>
            <w:tcW w:w="4408" w:type="dxa"/>
          </w:tcPr>
          <w:p w:rsidR="00643EF9" w:rsidRPr="0092644B" w:rsidRDefault="00643EF9" w:rsidP="0057438C">
            <w:r w:rsidRPr="0092644B">
              <w:t>Vertical resolution</w:t>
            </w:r>
          </w:p>
        </w:tc>
        <w:tc>
          <w:tcPr>
            <w:tcW w:w="3246" w:type="dxa"/>
          </w:tcPr>
          <w:p w:rsidR="00643EF9" w:rsidRDefault="00643EF9" w:rsidP="0057438C">
            <w:r w:rsidRPr="0092644B">
              <w:t>6.5 km</w:t>
            </w:r>
          </w:p>
        </w:tc>
      </w:tr>
    </w:tbl>
    <w:p w:rsidR="00643EF9" w:rsidRPr="00FD0F60" w:rsidRDefault="00643EF9" w:rsidP="007D4EFA">
      <w:pPr>
        <w:spacing w:before="120"/>
        <w:jc w:val="both"/>
        <w:rPr>
          <w:lang w:val="en-GB"/>
        </w:rPr>
      </w:pPr>
    </w:p>
    <w:p w:rsidR="00643EF9" w:rsidRPr="00FD0F60" w:rsidRDefault="00643EF9" w:rsidP="007D4EFA">
      <w:pPr>
        <w:spacing w:before="120"/>
        <w:jc w:val="both"/>
        <w:rPr>
          <w:lang w:val="en-GB"/>
        </w:rPr>
      </w:pPr>
      <w:r w:rsidRPr="00FD0F60">
        <w:rPr>
          <w:lang w:val="en-GB"/>
        </w:rPr>
        <w:t>In addition, a vertical/conical scanning radiometer is under development in Europe for the next generation of EUMETSAT polar meteorological satellites. It uses, among others, the frequency range 114.25-122.25 GHz in which several different channels will be used.</w:t>
      </w:r>
    </w:p>
    <w:p w:rsidR="00643EF9" w:rsidRPr="00FD0F60" w:rsidRDefault="00643EF9" w:rsidP="007D4EFA">
      <w:pPr>
        <w:spacing w:before="120"/>
        <w:jc w:val="both"/>
        <w:rPr>
          <w:lang w:val="en-GB"/>
        </w:rPr>
      </w:pPr>
      <w:r w:rsidRPr="00FD0F60">
        <w:rPr>
          <w:lang w:val="en-GB"/>
        </w:rPr>
        <w:t xml:space="preserve">Some values are not frozen yet, since the design is on-going, but likely parameters necessary for the sharing studies are given in </w:t>
      </w:r>
      <w:r>
        <w:rPr>
          <w:lang w:val="en-GB"/>
        </w:rPr>
        <w:fldChar w:fldCharType="begin"/>
      </w:r>
      <w:r>
        <w:rPr>
          <w:lang w:val="en-GB"/>
        </w:rPr>
        <w:instrText xml:space="preserve"> REF _Ref333956703 \r \h </w:instrText>
      </w:r>
      <w:r>
        <w:rPr>
          <w:lang w:val="en-GB"/>
        </w:rPr>
      </w:r>
      <w:r>
        <w:rPr>
          <w:lang w:val="en-GB"/>
        </w:rPr>
        <w:fldChar w:fldCharType="separate"/>
      </w:r>
      <w:r w:rsidR="00437883">
        <w:rPr>
          <w:lang w:val="en-GB"/>
        </w:rPr>
        <w:t>Table 3:</w:t>
      </w:r>
      <w:r>
        <w:rPr>
          <w:lang w:val="en-GB"/>
        </w:rPr>
        <w:fldChar w:fldCharType="end"/>
      </w:r>
      <w:r>
        <w:rPr>
          <w:lang w:val="en-GB"/>
        </w:rPr>
        <w:t xml:space="preserve"> </w:t>
      </w:r>
      <w:r w:rsidRPr="00FD0F60">
        <w:rPr>
          <w:lang w:val="en-GB"/>
        </w:rPr>
        <w:t>below.</w:t>
      </w:r>
    </w:p>
    <w:p w:rsidR="00643EF9" w:rsidRPr="00FD0F60" w:rsidRDefault="00643EF9" w:rsidP="007D4EFA">
      <w:pPr>
        <w:spacing w:before="120"/>
        <w:jc w:val="both"/>
        <w:rPr>
          <w:lang w:val="en-GB"/>
        </w:rPr>
      </w:pPr>
    </w:p>
    <w:p w:rsidR="00643EF9" w:rsidRPr="00FD0F60" w:rsidRDefault="00643EF9" w:rsidP="007D4EFA">
      <w:pPr>
        <w:pStyle w:val="Tablefin"/>
        <w:rPr>
          <w:sz w:val="2"/>
        </w:rPr>
      </w:pPr>
    </w:p>
    <w:p w:rsidR="00643EF9" w:rsidRPr="00D447E4" w:rsidRDefault="00643EF9" w:rsidP="00D447E4">
      <w:pPr>
        <w:pStyle w:val="ECCTabletitle"/>
        <w:keepNext/>
        <w:rPr>
          <w:color w:val="000000"/>
        </w:rPr>
      </w:pPr>
      <w:bookmarkStart w:id="8" w:name="_Ref333956703"/>
      <w:r w:rsidRPr="00FD0F60">
        <w:t>EESS (passive) sensor (Conical scan) in the 114.25-122.25 GHz band</w:t>
      </w:r>
      <w:bookmarkEnd w:id="8"/>
    </w:p>
    <w:tbl>
      <w:tblPr>
        <w:tblW w:w="0" w:type="auto"/>
        <w:tblInd w:w="110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408"/>
        <w:gridCol w:w="3246"/>
      </w:tblGrid>
      <w:tr w:rsidR="00643EF9" w:rsidRPr="00FE1795" w:rsidTr="00683A1B">
        <w:trPr>
          <w:tblHeader/>
        </w:trPr>
        <w:tc>
          <w:tcPr>
            <w:tcW w:w="4408" w:type="dxa"/>
            <w:tcBorders>
              <w:right w:val="single" w:sz="8" w:space="0" w:color="FFFFFF"/>
            </w:tcBorders>
            <w:shd w:val="clear" w:color="auto" w:fill="D2232A"/>
          </w:tcPr>
          <w:p w:rsidR="00643EF9" w:rsidRPr="00683A1B" w:rsidRDefault="00643EF9" w:rsidP="00D447E4">
            <w:pPr>
              <w:keepNext/>
              <w:spacing w:line="288" w:lineRule="auto"/>
              <w:jc w:val="center"/>
              <w:rPr>
                <w:color w:val="FFFFFF" w:themeColor="background1"/>
              </w:rPr>
            </w:pPr>
          </w:p>
        </w:tc>
        <w:tc>
          <w:tcPr>
            <w:tcW w:w="3246" w:type="dxa"/>
            <w:tcBorders>
              <w:left w:val="single" w:sz="8" w:space="0" w:color="FFFFFF"/>
            </w:tcBorders>
            <w:shd w:val="clear" w:color="auto" w:fill="D2232A"/>
          </w:tcPr>
          <w:p w:rsidR="00643EF9" w:rsidRPr="00683A1B" w:rsidRDefault="00643EF9" w:rsidP="00D447E4">
            <w:pPr>
              <w:keepNext/>
              <w:spacing w:line="288" w:lineRule="auto"/>
              <w:jc w:val="center"/>
              <w:rPr>
                <w:color w:val="FFFFFF" w:themeColor="background1"/>
              </w:rPr>
            </w:pPr>
          </w:p>
        </w:tc>
      </w:tr>
      <w:tr w:rsidR="00643EF9" w:rsidTr="00683A1B">
        <w:tc>
          <w:tcPr>
            <w:tcW w:w="4408" w:type="dxa"/>
          </w:tcPr>
          <w:p w:rsidR="00643EF9" w:rsidRPr="00017470" w:rsidRDefault="00643EF9" w:rsidP="00D447E4">
            <w:pPr>
              <w:keepNext/>
            </w:pPr>
            <w:r w:rsidRPr="00017470">
              <w:t>Sensor type</w:t>
            </w:r>
          </w:p>
        </w:tc>
        <w:tc>
          <w:tcPr>
            <w:tcW w:w="3246" w:type="dxa"/>
          </w:tcPr>
          <w:p w:rsidR="00643EF9" w:rsidRPr="00017470" w:rsidRDefault="00643EF9" w:rsidP="00D447E4">
            <w:pPr>
              <w:keepNext/>
            </w:pPr>
            <w:r w:rsidRPr="00017470">
              <w:t>Conical scan</w:t>
            </w:r>
          </w:p>
        </w:tc>
      </w:tr>
      <w:tr w:rsidR="00643EF9" w:rsidRPr="00FD0F60" w:rsidTr="00683A1B">
        <w:tc>
          <w:tcPr>
            <w:tcW w:w="7654" w:type="dxa"/>
            <w:gridSpan w:val="2"/>
          </w:tcPr>
          <w:p w:rsidR="00643EF9" w:rsidRPr="00017470" w:rsidRDefault="00643EF9" w:rsidP="00D447E4">
            <w:pPr>
              <w:keepNext/>
            </w:pPr>
            <w:r w:rsidRPr="00017470">
              <w:t>Orbit parameters</w:t>
            </w:r>
          </w:p>
        </w:tc>
      </w:tr>
      <w:tr w:rsidR="00643EF9" w:rsidRPr="002A1F61" w:rsidTr="00683A1B">
        <w:tc>
          <w:tcPr>
            <w:tcW w:w="4408" w:type="dxa"/>
          </w:tcPr>
          <w:p w:rsidR="00643EF9" w:rsidRPr="00017470" w:rsidRDefault="00643EF9" w:rsidP="00D447E4">
            <w:pPr>
              <w:keepNext/>
            </w:pPr>
            <w:r w:rsidRPr="00017470">
              <w:t>Altitude</w:t>
            </w:r>
          </w:p>
        </w:tc>
        <w:tc>
          <w:tcPr>
            <w:tcW w:w="3246" w:type="dxa"/>
          </w:tcPr>
          <w:p w:rsidR="00643EF9" w:rsidRPr="00017470" w:rsidRDefault="00643EF9" w:rsidP="00D447E4">
            <w:pPr>
              <w:keepNext/>
            </w:pPr>
            <w:r w:rsidRPr="00017470">
              <w:t>800-850 km</w:t>
            </w:r>
          </w:p>
        </w:tc>
      </w:tr>
      <w:tr w:rsidR="00643EF9" w:rsidRPr="002A1F61" w:rsidTr="00683A1B">
        <w:tc>
          <w:tcPr>
            <w:tcW w:w="4408" w:type="dxa"/>
          </w:tcPr>
          <w:p w:rsidR="00643EF9" w:rsidRPr="00017470" w:rsidRDefault="00643EF9" w:rsidP="00D447E4">
            <w:pPr>
              <w:keepNext/>
            </w:pPr>
            <w:r w:rsidRPr="00017470">
              <w:t>Inclination</w:t>
            </w:r>
          </w:p>
        </w:tc>
        <w:tc>
          <w:tcPr>
            <w:tcW w:w="3246" w:type="dxa"/>
          </w:tcPr>
          <w:p w:rsidR="00643EF9" w:rsidRPr="00017470" w:rsidRDefault="00643EF9" w:rsidP="00D447E4">
            <w:pPr>
              <w:keepNext/>
            </w:pPr>
            <w:r w:rsidRPr="00017470">
              <w:t>98.7 deg</w:t>
            </w:r>
          </w:p>
        </w:tc>
      </w:tr>
      <w:tr w:rsidR="00643EF9" w:rsidRPr="002A1F61" w:rsidTr="00683A1B">
        <w:tc>
          <w:tcPr>
            <w:tcW w:w="4408" w:type="dxa"/>
          </w:tcPr>
          <w:p w:rsidR="00643EF9" w:rsidRPr="00017470" w:rsidRDefault="00643EF9" w:rsidP="00D447E4">
            <w:pPr>
              <w:keepNext/>
            </w:pPr>
            <w:r w:rsidRPr="00017470">
              <w:t>Eccentricity</w:t>
            </w:r>
          </w:p>
        </w:tc>
        <w:tc>
          <w:tcPr>
            <w:tcW w:w="3246" w:type="dxa"/>
          </w:tcPr>
          <w:p w:rsidR="00643EF9" w:rsidRPr="00017470" w:rsidRDefault="00643EF9" w:rsidP="00D447E4">
            <w:pPr>
              <w:keepNext/>
            </w:pPr>
            <w:r w:rsidRPr="00017470">
              <w:t>0</w:t>
            </w:r>
          </w:p>
        </w:tc>
      </w:tr>
      <w:tr w:rsidR="00643EF9" w:rsidTr="00683A1B">
        <w:tc>
          <w:tcPr>
            <w:tcW w:w="4408" w:type="dxa"/>
          </w:tcPr>
          <w:p w:rsidR="00643EF9" w:rsidRPr="00017470" w:rsidRDefault="00643EF9" w:rsidP="00D447E4">
            <w:pPr>
              <w:keepNext/>
            </w:pPr>
            <w:r w:rsidRPr="00017470">
              <w:t>Repeat period</w:t>
            </w:r>
          </w:p>
        </w:tc>
        <w:tc>
          <w:tcPr>
            <w:tcW w:w="3246" w:type="dxa"/>
          </w:tcPr>
          <w:p w:rsidR="00643EF9" w:rsidRPr="00017470" w:rsidRDefault="00643EF9" w:rsidP="00D447E4">
            <w:pPr>
              <w:keepNext/>
            </w:pPr>
            <w:r w:rsidRPr="00017470">
              <w:t>9 days</w:t>
            </w:r>
          </w:p>
        </w:tc>
      </w:tr>
      <w:tr w:rsidR="00643EF9" w:rsidRPr="00643A96" w:rsidTr="00683A1B">
        <w:tc>
          <w:tcPr>
            <w:tcW w:w="7654" w:type="dxa"/>
            <w:gridSpan w:val="2"/>
            <w:vAlign w:val="center"/>
          </w:tcPr>
          <w:p w:rsidR="00643EF9" w:rsidRPr="00643A96" w:rsidRDefault="00643EF9" w:rsidP="00D447E4">
            <w:pPr>
              <w:keepNext/>
              <w:spacing w:line="288" w:lineRule="auto"/>
              <w:rPr>
                <w:b/>
              </w:rPr>
            </w:pPr>
            <w:r>
              <w:rPr>
                <w:b/>
                <w:lang w:val="en-GB"/>
              </w:rPr>
              <w:t>Sensor</w:t>
            </w:r>
            <w:r w:rsidRPr="00643A96">
              <w:rPr>
                <w:b/>
                <w:lang w:val="en-GB"/>
              </w:rPr>
              <w:t xml:space="preserve"> parameters</w:t>
            </w:r>
          </w:p>
        </w:tc>
      </w:tr>
      <w:tr w:rsidR="00643EF9" w:rsidRPr="00B739CF" w:rsidTr="00683A1B">
        <w:tc>
          <w:tcPr>
            <w:tcW w:w="4408" w:type="dxa"/>
          </w:tcPr>
          <w:p w:rsidR="00643EF9" w:rsidRPr="00FD3609" w:rsidRDefault="00643EF9" w:rsidP="00D447E4">
            <w:pPr>
              <w:keepNext/>
            </w:pPr>
            <w:r w:rsidRPr="00FD3609">
              <w:t>Minimum bandwidth of individual channels</w:t>
            </w:r>
          </w:p>
        </w:tc>
        <w:tc>
          <w:tcPr>
            <w:tcW w:w="3246" w:type="dxa"/>
          </w:tcPr>
          <w:p w:rsidR="00643EF9" w:rsidRPr="00FD3609" w:rsidRDefault="00643EF9" w:rsidP="00D447E4">
            <w:pPr>
              <w:keepNext/>
            </w:pPr>
            <w:r w:rsidRPr="00FD3609">
              <w:t>700 MHz</w:t>
            </w:r>
          </w:p>
        </w:tc>
      </w:tr>
      <w:tr w:rsidR="00643EF9" w:rsidRPr="00B739CF" w:rsidTr="00683A1B">
        <w:tc>
          <w:tcPr>
            <w:tcW w:w="4408" w:type="dxa"/>
          </w:tcPr>
          <w:p w:rsidR="00643EF9" w:rsidRPr="00FD3609" w:rsidRDefault="00643EF9" w:rsidP="00D447E4">
            <w:pPr>
              <w:keepNext/>
            </w:pPr>
            <w:r w:rsidRPr="00FD3609">
              <w:t>Number of beams</w:t>
            </w:r>
          </w:p>
        </w:tc>
        <w:tc>
          <w:tcPr>
            <w:tcW w:w="3246" w:type="dxa"/>
          </w:tcPr>
          <w:p w:rsidR="00643EF9" w:rsidRPr="00FD3609" w:rsidRDefault="00643EF9" w:rsidP="00D447E4">
            <w:pPr>
              <w:keepNext/>
            </w:pPr>
            <w:r w:rsidRPr="00FD3609">
              <w:t>1</w:t>
            </w:r>
          </w:p>
        </w:tc>
      </w:tr>
      <w:tr w:rsidR="00643EF9" w:rsidRPr="00B739CF" w:rsidTr="00683A1B">
        <w:tc>
          <w:tcPr>
            <w:tcW w:w="4408" w:type="dxa"/>
          </w:tcPr>
          <w:p w:rsidR="00643EF9" w:rsidRPr="00FD3609" w:rsidRDefault="00643EF9" w:rsidP="00D447E4">
            <w:pPr>
              <w:keepNext/>
            </w:pPr>
            <w:r w:rsidRPr="00FD3609">
              <w:t>Reflector diameter</w:t>
            </w:r>
          </w:p>
        </w:tc>
        <w:tc>
          <w:tcPr>
            <w:tcW w:w="3246" w:type="dxa"/>
          </w:tcPr>
          <w:p w:rsidR="00643EF9" w:rsidRPr="00FD3609" w:rsidRDefault="00643EF9" w:rsidP="00D447E4">
            <w:pPr>
              <w:keepNext/>
            </w:pPr>
            <w:r w:rsidRPr="00FD3609">
              <w:t>0.5- 0.6m</w:t>
            </w:r>
          </w:p>
        </w:tc>
      </w:tr>
      <w:tr w:rsidR="00643EF9" w:rsidRPr="00B739CF" w:rsidTr="00683A1B">
        <w:tc>
          <w:tcPr>
            <w:tcW w:w="4408" w:type="dxa"/>
          </w:tcPr>
          <w:p w:rsidR="00643EF9" w:rsidRPr="00FD3609" w:rsidRDefault="00643EF9" w:rsidP="00D447E4">
            <w:r w:rsidRPr="00FD3609">
              <w:t>Maximum beam gain</w:t>
            </w:r>
          </w:p>
        </w:tc>
        <w:tc>
          <w:tcPr>
            <w:tcW w:w="3246" w:type="dxa"/>
          </w:tcPr>
          <w:p w:rsidR="00643EF9" w:rsidRPr="00FD3609" w:rsidRDefault="00643EF9" w:rsidP="00D447E4">
            <w:r w:rsidRPr="00FD3609">
              <w:t>55dBi</w:t>
            </w:r>
          </w:p>
        </w:tc>
      </w:tr>
      <w:tr w:rsidR="00643EF9" w:rsidRPr="00B739CF" w:rsidTr="00683A1B">
        <w:tc>
          <w:tcPr>
            <w:tcW w:w="4408" w:type="dxa"/>
          </w:tcPr>
          <w:p w:rsidR="00643EF9" w:rsidRPr="00FD3609" w:rsidRDefault="00643EF9" w:rsidP="00D447E4">
            <w:r w:rsidRPr="00FD3609">
              <w:t>Polarization</w:t>
            </w:r>
          </w:p>
        </w:tc>
        <w:tc>
          <w:tcPr>
            <w:tcW w:w="3246" w:type="dxa"/>
          </w:tcPr>
          <w:p w:rsidR="00643EF9" w:rsidRPr="00FD3609" w:rsidRDefault="00643EF9" w:rsidP="00D447E4">
            <w:r w:rsidRPr="00FD3609">
              <w:t>H, V</w:t>
            </w:r>
          </w:p>
        </w:tc>
      </w:tr>
      <w:tr w:rsidR="00643EF9" w:rsidRPr="00B739CF" w:rsidTr="00683A1B">
        <w:tc>
          <w:tcPr>
            <w:tcW w:w="4408" w:type="dxa"/>
          </w:tcPr>
          <w:p w:rsidR="00643EF9" w:rsidRPr="00FD3609" w:rsidRDefault="00643EF9" w:rsidP="00D447E4">
            <w:r w:rsidRPr="00FD3609">
              <w:t>–3 dB beamwidth</w:t>
            </w:r>
          </w:p>
        </w:tc>
        <w:tc>
          <w:tcPr>
            <w:tcW w:w="3246" w:type="dxa"/>
          </w:tcPr>
          <w:p w:rsidR="00643EF9" w:rsidRPr="00FD3609" w:rsidRDefault="00643EF9" w:rsidP="00D447E4">
            <w:r w:rsidRPr="00FD3609">
              <w:t>0.35deg</w:t>
            </w:r>
          </w:p>
        </w:tc>
      </w:tr>
      <w:tr w:rsidR="00643EF9" w:rsidRPr="00B739CF" w:rsidTr="00683A1B">
        <w:tc>
          <w:tcPr>
            <w:tcW w:w="4408" w:type="dxa"/>
          </w:tcPr>
          <w:p w:rsidR="00643EF9" w:rsidRPr="00FD3609" w:rsidRDefault="00643EF9" w:rsidP="00D447E4">
            <w:r w:rsidRPr="005E7D36">
              <w:t>Sensor integration time</w:t>
            </w:r>
          </w:p>
        </w:tc>
        <w:tc>
          <w:tcPr>
            <w:tcW w:w="3246" w:type="dxa"/>
          </w:tcPr>
          <w:p w:rsidR="00643EF9" w:rsidRPr="00FD3609" w:rsidRDefault="00643EF9" w:rsidP="00D447E4">
            <w:r>
              <w:t>&gt;1ms</w:t>
            </w:r>
          </w:p>
        </w:tc>
      </w:tr>
      <w:tr w:rsidR="00643EF9" w:rsidRPr="00B739CF" w:rsidTr="00683A1B">
        <w:tc>
          <w:tcPr>
            <w:tcW w:w="4408" w:type="dxa"/>
          </w:tcPr>
          <w:p w:rsidR="00643EF9" w:rsidRPr="00FD3609" w:rsidRDefault="00643EF9" w:rsidP="00D447E4">
            <w:r w:rsidRPr="00FD3609">
              <w:t>Instantaneous field of view</w:t>
            </w:r>
          </w:p>
        </w:tc>
        <w:tc>
          <w:tcPr>
            <w:tcW w:w="3246" w:type="dxa"/>
          </w:tcPr>
          <w:p w:rsidR="00643EF9" w:rsidRPr="00FD3609" w:rsidRDefault="00643EF9" w:rsidP="00D447E4">
            <w:r w:rsidRPr="00FD3609">
              <w:t>10km</w:t>
            </w:r>
          </w:p>
        </w:tc>
      </w:tr>
      <w:tr w:rsidR="00643EF9" w:rsidRPr="00B739CF" w:rsidTr="00683A1B">
        <w:tc>
          <w:tcPr>
            <w:tcW w:w="4408" w:type="dxa"/>
          </w:tcPr>
          <w:p w:rsidR="00643EF9" w:rsidRPr="00FD3609" w:rsidRDefault="00643EF9" w:rsidP="00D447E4">
            <w:r w:rsidRPr="00FD3609">
              <w:t>Main beam efficiency</w:t>
            </w:r>
          </w:p>
        </w:tc>
        <w:tc>
          <w:tcPr>
            <w:tcW w:w="3246" w:type="dxa"/>
          </w:tcPr>
          <w:p w:rsidR="00643EF9" w:rsidRPr="00FD3609" w:rsidRDefault="00643EF9" w:rsidP="00D447E4">
            <w:r w:rsidRPr="00FD3609">
              <w:t>95% - 99%</w:t>
            </w:r>
          </w:p>
        </w:tc>
      </w:tr>
      <w:tr w:rsidR="00643EF9" w:rsidTr="00683A1B">
        <w:tc>
          <w:tcPr>
            <w:tcW w:w="4408" w:type="dxa"/>
          </w:tcPr>
          <w:p w:rsidR="00643EF9" w:rsidRPr="00FD3609" w:rsidRDefault="00643EF9" w:rsidP="00D447E4">
            <w:r w:rsidRPr="00FD3609">
              <w:t>Incidence angle at Earth (from zenith)</w:t>
            </w:r>
          </w:p>
        </w:tc>
        <w:tc>
          <w:tcPr>
            <w:tcW w:w="3246" w:type="dxa"/>
          </w:tcPr>
          <w:p w:rsidR="00643EF9" w:rsidRPr="00FD3609" w:rsidRDefault="00643EF9" w:rsidP="00D447E4">
            <w:r w:rsidRPr="00FD3609">
              <w:t>53deg  (+/- 1.5)</w:t>
            </w:r>
          </w:p>
        </w:tc>
      </w:tr>
      <w:tr w:rsidR="00643EF9" w:rsidTr="00683A1B">
        <w:tc>
          <w:tcPr>
            <w:tcW w:w="4408" w:type="dxa"/>
          </w:tcPr>
          <w:p w:rsidR="00643EF9" w:rsidRPr="00FD3609" w:rsidRDefault="00643EF9" w:rsidP="00D447E4">
            <w:r w:rsidRPr="00FD3609">
              <w:t>Swath width</w:t>
            </w:r>
          </w:p>
        </w:tc>
        <w:tc>
          <w:tcPr>
            <w:tcW w:w="3246" w:type="dxa"/>
          </w:tcPr>
          <w:p w:rsidR="00643EF9" w:rsidRDefault="00643EF9" w:rsidP="00D447E4">
            <w:r w:rsidRPr="00FD3609">
              <w:t>1700km</w:t>
            </w:r>
          </w:p>
        </w:tc>
      </w:tr>
      <w:tr w:rsidR="00643EF9" w:rsidTr="00683A1B">
        <w:tc>
          <w:tcPr>
            <w:tcW w:w="4408" w:type="dxa"/>
          </w:tcPr>
          <w:p w:rsidR="00643EF9" w:rsidRPr="00FD3609" w:rsidRDefault="00643EF9" w:rsidP="0081440D">
            <w:r>
              <w:t>Nadir angle (</w:t>
            </w:r>
            <w:r w:rsidRPr="005A399B">
              <w:rPr>
                <w:rFonts w:cs="Arial"/>
                <w:lang w:val="en-GB"/>
              </w:rPr>
              <w:t>α</w:t>
            </w:r>
            <w:r w:rsidRPr="003E4C73">
              <w:rPr>
                <w:rFonts w:cs="Arial"/>
                <w:lang w:val="en-GB"/>
              </w:rPr>
              <w:t>)</w:t>
            </w:r>
            <w:r>
              <w:t xml:space="preserve"> (for H =800 km and L=53°</w:t>
            </w:r>
            <w:r w:rsidRPr="00FD3609">
              <w:t>)</w:t>
            </w:r>
            <w:r>
              <w:t>(see figure 1 below)</w:t>
            </w:r>
          </w:p>
        </w:tc>
        <w:tc>
          <w:tcPr>
            <w:tcW w:w="3246" w:type="dxa"/>
          </w:tcPr>
          <w:p w:rsidR="00643EF9" w:rsidRPr="00FD3609" w:rsidRDefault="00643EF9" w:rsidP="0081440D">
            <w:r>
              <w:t xml:space="preserve">45.2 deg </w:t>
            </w:r>
          </w:p>
        </w:tc>
      </w:tr>
      <w:tr w:rsidR="00643EF9" w:rsidTr="00683A1B">
        <w:tc>
          <w:tcPr>
            <w:tcW w:w="4408" w:type="dxa"/>
          </w:tcPr>
          <w:p w:rsidR="00643EF9" w:rsidRPr="00FD3609" w:rsidRDefault="00643EF9" w:rsidP="0081440D">
            <w:r>
              <w:t>Distance to field of view (or distance to Earth in the main beam) (for H =800 km and L=53°</w:t>
            </w:r>
            <w:r w:rsidRPr="00FD3609">
              <w:t>)</w:t>
            </w:r>
            <w:r>
              <w:t xml:space="preserve">(see figure 1 below) </w:t>
            </w:r>
          </w:p>
        </w:tc>
        <w:tc>
          <w:tcPr>
            <w:tcW w:w="3246" w:type="dxa"/>
          </w:tcPr>
          <w:p w:rsidR="00643EF9" w:rsidRPr="00FD3609" w:rsidRDefault="00643EF9" w:rsidP="0081440D">
            <w:r>
              <w:t>1219 km</w:t>
            </w:r>
          </w:p>
        </w:tc>
      </w:tr>
    </w:tbl>
    <w:p w:rsidR="00643EF9" w:rsidRDefault="00643EF9" w:rsidP="007074BF">
      <w:pPr>
        <w:spacing w:before="120"/>
        <w:jc w:val="both"/>
        <w:rPr>
          <w:lang w:val="en-GB"/>
        </w:rPr>
      </w:pPr>
    </w:p>
    <w:p w:rsidR="00643EF9" w:rsidRDefault="00643EF9" w:rsidP="007074BF">
      <w:pPr>
        <w:spacing w:before="120"/>
        <w:jc w:val="both"/>
        <w:rPr>
          <w:lang w:val="en-GB"/>
        </w:rPr>
      </w:pPr>
      <w:r w:rsidRPr="00A51D3F">
        <w:rPr>
          <w:lang w:val="en-GB"/>
        </w:rPr>
        <w:t>Figure 1 below is taken from Recommendation ITU-R RS.1861 and provides an overview of the EESS (passive) conical scan geometry</w:t>
      </w:r>
      <w:r>
        <w:rPr>
          <w:lang w:val="en-GB"/>
        </w:rPr>
        <w:t>.</w:t>
      </w:r>
      <w:r w:rsidRPr="00A51D3F">
        <w:rPr>
          <w:lang w:val="en-GB"/>
        </w:rPr>
        <w:t xml:space="preserve"> It also provide</w:t>
      </w:r>
      <w:r>
        <w:rPr>
          <w:lang w:val="en-GB"/>
        </w:rPr>
        <w:t>s</w:t>
      </w:r>
      <w:r w:rsidRPr="00A51D3F">
        <w:rPr>
          <w:lang w:val="en-GB"/>
        </w:rPr>
        <w:t xml:space="preserve"> the formulae between the incidence angle at Earth (L or i), the nadir angle (</w:t>
      </w:r>
      <w:r w:rsidRPr="00A51D3F">
        <w:rPr>
          <w:rFonts w:cs="Arial"/>
          <w:lang w:val="en-GB"/>
        </w:rPr>
        <w:t>α</w:t>
      </w:r>
      <w:r w:rsidRPr="00A51D3F">
        <w:rPr>
          <w:lang w:val="en-GB"/>
        </w:rPr>
        <w:t xml:space="preserve">) and the distance </w:t>
      </w:r>
      <w:r w:rsidRPr="00A51D3F">
        <w:t>to field of view</w:t>
      </w:r>
      <w:r w:rsidRPr="00A51D3F">
        <w:rPr>
          <w:lang w:val="en-GB"/>
        </w:rPr>
        <w:t>.</w:t>
      </w:r>
    </w:p>
    <w:p w:rsidR="00683A1B" w:rsidRDefault="00683A1B" w:rsidP="007074BF">
      <w:pPr>
        <w:spacing w:before="120"/>
        <w:jc w:val="both"/>
        <w:rPr>
          <w:lang w:val="en-GB"/>
        </w:rPr>
      </w:pPr>
    </w:p>
    <w:p w:rsidR="00643EF9" w:rsidRDefault="00643EF9" w:rsidP="007074BF">
      <w:pPr>
        <w:jc w:val="center"/>
      </w:pPr>
      <w:r>
        <w:rPr>
          <w:lang w:eastAsia="fr-FR"/>
        </w:rPr>
        <w:object w:dxaOrig="6004" w:dyaOrig="7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234pt" o:ole="">
            <v:imagedata r:id="rId15" o:title=""/>
          </v:shape>
          <o:OLEObject Type="Embed" ProgID="CorelDRAW.Graphic.14" ShapeID="_x0000_i1025" DrawAspect="Content" ObjectID="_1430119258" r:id="rId16"/>
        </w:object>
      </w:r>
    </w:p>
    <w:p w:rsidR="00643EF9" w:rsidRDefault="00643EF9" w:rsidP="007074BF">
      <w:pPr>
        <w:pStyle w:val="ECCFiguretitle"/>
      </w:pPr>
      <w:r>
        <w:rPr>
          <w:bCs/>
          <w:lang w:val="en-US"/>
        </w:rPr>
        <w:t>EESS scanning configuration</w:t>
      </w:r>
    </w:p>
    <w:p w:rsidR="00643EF9" w:rsidRPr="00FD0F60" w:rsidRDefault="00643EF9" w:rsidP="007D4EFA">
      <w:pPr>
        <w:spacing w:before="120"/>
        <w:jc w:val="both"/>
        <w:rPr>
          <w:lang w:val="en-GB"/>
        </w:rPr>
      </w:pPr>
      <w:r w:rsidRPr="00FD0F60">
        <w:rPr>
          <w:lang w:val="en-GB"/>
        </w:rPr>
        <w:t xml:space="preserve">For both Limb and vertical sounders, EESS (passive) protection criteria relevant to the present compatibility study in the 122-122.25 GHz band are given in </w:t>
      </w:r>
      <w:r w:rsidR="00DE7DF8" w:rsidRPr="00FD0F60">
        <w:rPr>
          <w:lang w:val="en-GB"/>
        </w:rPr>
        <w:t xml:space="preserve">Recommendation </w:t>
      </w:r>
      <w:r w:rsidRPr="00FD0F60">
        <w:rPr>
          <w:lang w:val="en-GB"/>
        </w:rPr>
        <w:t xml:space="preserve">ITU-R RS.1029-2 </w:t>
      </w:r>
      <w:r>
        <w:rPr>
          <w:lang w:val="en-GB"/>
        </w:rPr>
        <w:fldChar w:fldCharType="begin"/>
      </w:r>
      <w:r>
        <w:rPr>
          <w:lang w:val="en-GB"/>
        </w:rPr>
        <w:instrText xml:space="preserve"> REF _Ref334181916 \r \h </w:instrText>
      </w:r>
      <w:r>
        <w:rPr>
          <w:lang w:val="en-GB"/>
        </w:rPr>
      </w:r>
      <w:r>
        <w:rPr>
          <w:lang w:val="en-GB"/>
        </w:rPr>
        <w:fldChar w:fldCharType="separate"/>
      </w:r>
      <w:r w:rsidR="00437883">
        <w:rPr>
          <w:lang w:val="en-GB"/>
        </w:rPr>
        <w:t>[4]</w:t>
      </w:r>
      <w:r>
        <w:rPr>
          <w:lang w:val="en-GB"/>
        </w:rPr>
        <w:fldChar w:fldCharType="end"/>
      </w:r>
      <w:r>
        <w:rPr>
          <w:lang w:val="en-GB"/>
        </w:rPr>
        <w:t xml:space="preserve"> </w:t>
      </w:r>
      <w:r w:rsidRPr="00FD0F60">
        <w:rPr>
          <w:lang w:val="en-GB"/>
        </w:rPr>
        <w:t>as follows</w:t>
      </w:r>
      <w:r>
        <w:rPr>
          <w:lang w:val="en-GB"/>
        </w:rPr>
        <w:t xml:space="preserve"> (irrespective of the sensors’ integration time)</w:t>
      </w:r>
      <w:r w:rsidRPr="00FD0F60">
        <w:rPr>
          <w:lang w:val="en-GB"/>
        </w:rPr>
        <w:t>:</w:t>
      </w:r>
    </w:p>
    <w:p w:rsidR="00643EF9" w:rsidRPr="00FD0F60" w:rsidRDefault="00643EF9" w:rsidP="007D4EFA">
      <w:pPr>
        <w:spacing w:before="120"/>
        <w:jc w:val="both"/>
        <w:rPr>
          <w:lang w:val="en-GB"/>
        </w:rPr>
      </w:pPr>
    </w:p>
    <w:p w:rsidR="00643EF9" w:rsidRDefault="00643EF9" w:rsidP="00DC780A">
      <w:pPr>
        <w:pStyle w:val="ECCTabletitle"/>
      </w:pPr>
      <w:r w:rsidRPr="00FD0F60">
        <w:t>Protection criteria for EESS (passive) sensors in the 122-122.25 GHz band</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60"/>
        <w:gridCol w:w="1559"/>
        <w:gridCol w:w="1276"/>
        <w:gridCol w:w="1559"/>
        <w:gridCol w:w="2410"/>
        <w:gridCol w:w="1383"/>
      </w:tblGrid>
      <w:tr w:rsidR="00643EF9" w:rsidRPr="00FE1795" w:rsidTr="00683A1B">
        <w:trPr>
          <w:tblHeader/>
        </w:trPr>
        <w:tc>
          <w:tcPr>
            <w:tcW w:w="1560" w:type="dxa"/>
            <w:tcBorders>
              <w:right w:val="single" w:sz="8" w:space="0" w:color="FFFFFF"/>
            </w:tcBorders>
            <w:shd w:val="clear" w:color="auto" w:fill="D2232A"/>
          </w:tcPr>
          <w:p w:rsidR="00643EF9" w:rsidRPr="00FE1795" w:rsidRDefault="00643EF9" w:rsidP="001D2225">
            <w:pPr>
              <w:spacing w:line="288" w:lineRule="auto"/>
              <w:jc w:val="center"/>
              <w:rPr>
                <w:b/>
                <w:color w:val="FFFFFF"/>
              </w:rPr>
            </w:pPr>
            <w:r w:rsidRPr="00A52D56">
              <w:rPr>
                <w:b/>
                <w:color w:val="FFFFFF"/>
              </w:rPr>
              <w:t>Frequency band(s)</w:t>
            </w:r>
            <w:r w:rsidRPr="001D2225">
              <w:rPr>
                <w:b/>
                <w:color w:val="FFFFFF"/>
                <w:vertAlign w:val="superscript"/>
              </w:rPr>
              <w:t>(1)</w:t>
            </w:r>
            <w:r w:rsidRPr="00A52D56">
              <w:rPr>
                <w:b/>
                <w:color w:val="FFFFFF"/>
              </w:rPr>
              <w:t xml:space="preserve"> (GHz)</w:t>
            </w:r>
          </w:p>
        </w:tc>
        <w:tc>
          <w:tcPr>
            <w:tcW w:w="1559" w:type="dxa"/>
            <w:tcBorders>
              <w:right w:val="single" w:sz="8" w:space="0" w:color="FFFFFF"/>
            </w:tcBorders>
            <w:shd w:val="clear" w:color="auto" w:fill="D2232A"/>
          </w:tcPr>
          <w:p w:rsidR="00643EF9" w:rsidRPr="00FE1795" w:rsidRDefault="00643EF9" w:rsidP="00A52D56">
            <w:pPr>
              <w:spacing w:line="288" w:lineRule="auto"/>
              <w:jc w:val="center"/>
              <w:rPr>
                <w:b/>
                <w:color w:val="FFFFFF"/>
              </w:rPr>
            </w:pPr>
            <w:r w:rsidRPr="00A52D56">
              <w:rPr>
                <w:b/>
                <w:color w:val="FFFFFF"/>
              </w:rPr>
              <w:t>Total bandwidth required (MHz)</w:t>
            </w:r>
          </w:p>
        </w:tc>
        <w:tc>
          <w:tcPr>
            <w:tcW w:w="1276" w:type="dxa"/>
            <w:tcBorders>
              <w:right w:val="single" w:sz="8" w:space="0" w:color="FFFFFF"/>
            </w:tcBorders>
            <w:shd w:val="clear" w:color="auto" w:fill="D2232A"/>
          </w:tcPr>
          <w:p w:rsidR="00643EF9" w:rsidRPr="00FE1795" w:rsidRDefault="00643EF9" w:rsidP="00A52D56">
            <w:pPr>
              <w:spacing w:line="288" w:lineRule="auto"/>
              <w:jc w:val="center"/>
              <w:rPr>
                <w:b/>
                <w:color w:val="FFFFFF"/>
              </w:rPr>
            </w:pPr>
            <w:r w:rsidRPr="00A52D56">
              <w:rPr>
                <w:b/>
                <w:bCs/>
                <w:color w:val="FFFFFF"/>
                <w:lang w:val="en-GB"/>
              </w:rPr>
              <w:t>Reference bandwidth (MHz)</w:t>
            </w:r>
          </w:p>
        </w:tc>
        <w:tc>
          <w:tcPr>
            <w:tcW w:w="1559" w:type="dxa"/>
            <w:tcBorders>
              <w:right w:val="single" w:sz="8" w:space="0" w:color="FFFFFF"/>
            </w:tcBorders>
            <w:shd w:val="clear" w:color="auto" w:fill="D2232A"/>
          </w:tcPr>
          <w:p w:rsidR="00643EF9" w:rsidRPr="00FE1795" w:rsidRDefault="00643EF9" w:rsidP="001D2225">
            <w:pPr>
              <w:spacing w:line="288" w:lineRule="auto"/>
              <w:jc w:val="center"/>
              <w:rPr>
                <w:b/>
                <w:color w:val="FFFFFF"/>
              </w:rPr>
            </w:pPr>
            <w:r w:rsidRPr="00A52D56">
              <w:rPr>
                <w:b/>
                <w:color w:val="FFFFFF"/>
                <w:lang w:val="en-GB"/>
              </w:rPr>
              <w:t>Maximum interference level (dBW)</w:t>
            </w:r>
          </w:p>
        </w:tc>
        <w:tc>
          <w:tcPr>
            <w:tcW w:w="2410" w:type="dxa"/>
            <w:tcBorders>
              <w:right w:val="single" w:sz="8" w:space="0" w:color="FFFFFF"/>
            </w:tcBorders>
            <w:shd w:val="clear" w:color="auto" w:fill="D2232A"/>
            <w:vAlign w:val="center"/>
          </w:tcPr>
          <w:p w:rsidR="00643EF9" w:rsidRPr="00FE1795" w:rsidRDefault="00643EF9" w:rsidP="00A52D56">
            <w:pPr>
              <w:spacing w:line="288" w:lineRule="auto"/>
              <w:jc w:val="center"/>
              <w:rPr>
                <w:b/>
                <w:color w:val="FFFFFF"/>
              </w:rPr>
            </w:pPr>
            <w:r w:rsidRPr="00A52D56">
              <w:rPr>
                <w:b/>
                <w:color w:val="FFFFFF"/>
                <w:lang w:val="en-GB"/>
              </w:rPr>
              <w:t>Percentage of area or time permissible interference level may be exceeded</w:t>
            </w:r>
            <w:r w:rsidRPr="00A52D56">
              <w:rPr>
                <w:b/>
                <w:color w:val="FFFFFF"/>
                <w:vertAlign w:val="superscript"/>
                <w:lang w:val="en-GB"/>
              </w:rPr>
              <w:t>(2)</w:t>
            </w:r>
            <w:r w:rsidRPr="00A52D56">
              <w:rPr>
                <w:b/>
                <w:color w:val="FFFFFF"/>
                <w:lang w:val="en-GB"/>
              </w:rPr>
              <w:t xml:space="preserve"> (%)</w:t>
            </w:r>
          </w:p>
        </w:tc>
        <w:tc>
          <w:tcPr>
            <w:tcW w:w="1383" w:type="dxa"/>
            <w:tcBorders>
              <w:left w:val="single" w:sz="8" w:space="0" w:color="FFFFFF"/>
            </w:tcBorders>
            <w:shd w:val="clear" w:color="auto" w:fill="D2232A"/>
            <w:vAlign w:val="center"/>
          </w:tcPr>
          <w:p w:rsidR="00643EF9" w:rsidRPr="00FE1795" w:rsidRDefault="00643EF9" w:rsidP="00A52D56">
            <w:pPr>
              <w:spacing w:line="288" w:lineRule="auto"/>
              <w:jc w:val="center"/>
              <w:rPr>
                <w:b/>
                <w:color w:val="FFFFFF"/>
              </w:rPr>
            </w:pPr>
            <w:r w:rsidRPr="00A52D56">
              <w:rPr>
                <w:b/>
                <w:color w:val="FFFFFF"/>
                <w:lang w:val="en-GB"/>
              </w:rPr>
              <w:t>Scan mode (N, L)</w:t>
            </w:r>
            <w:r w:rsidRPr="00A52D56">
              <w:rPr>
                <w:b/>
                <w:color w:val="FFFFFF"/>
                <w:vertAlign w:val="superscript"/>
                <w:lang w:val="en-GB"/>
              </w:rPr>
              <w:t>(3)</w:t>
            </w:r>
          </w:p>
        </w:tc>
      </w:tr>
      <w:tr w:rsidR="00643EF9" w:rsidTr="00683A1B">
        <w:tc>
          <w:tcPr>
            <w:tcW w:w="1560" w:type="dxa"/>
          </w:tcPr>
          <w:p w:rsidR="00643EF9" w:rsidRDefault="00643EF9" w:rsidP="001D2225">
            <w:r w:rsidRPr="00371298">
              <w:t>115.25-116P,</w:t>
            </w:r>
          </w:p>
          <w:p w:rsidR="00643EF9" w:rsidRPr="00371298" w:rsidRDefault="00643EF9" w:rsidP="001D2225">
            <w:r w:rsidRPr="00371298">
              <w:t>116-122.25p</w:t>
            </w:r>
          </w:p>
        </w:tc>
        <w:tc>
          <w:tcPr>
            <w:tcW w:w="1559" w:type="dxa"/>
          </w:tcPr>
          <w:p w:rsidR="00643EF9" w:rsidRPr="00371298" w:rsidRDefault="00643EF9" w:rsidP="001D2225">
            <w:r w:rsidRPr="00371298">
              <w:t>7 000</w:t>
            </w:r>
            <w:r w:rsidRPr="001D2225">
              <w:rPr>
                <w:vertAlign w:val="superscript"/>
              </w:rPr>
              <w:t>(4)</w:t>
            </w:r>
          </w:p>
        </w:tc>
        <w:tc>
          <w:tcPr>
            <w:tcW w:w="1276" w:type="dxa"/>
          </w:tcPr>
          <w:p w:rsidR="00643EF9" w:rsidRPr="00371298" w:rsidRDefault="00643EF9" w:rsidP="001D2225">
            <w:r w:rsidRPr="00371298">
              <w:t>200/10</w:t>
            </w:r>
            <w:r w:rsidRPr="001D2225">
              <w:rPr>
                <w:vertAlign w:val="superscript"/>
              </w:rPr>
              <w:t>(5)</w:t>
            </w:r>
          </w:p>
        </w:tc>
        <w:tc>
          <w:tcPr>
            <w:tcW w:w="1559" w:type="dxa"/>
          </w:tcPr>
          <w:p w:rsidR="00643EF9" w:rsidRPr="00371298" w:rsidRDefault="00643EF9" w:rsidP="001D2225">
            <w:r>
              <w:t>-</w:t>
            </w:r>
            <w:r w:rsidRPr="00371298">
              <w:t>166/</w:t>
            </w:r>
            <w:r>
              <w:t>-</w:t>
            </w:r>
            <w:r w:rsidRPr="00371298">
              <w:t>189</w:t>
            </w:r>
            <w:r w:rsidRPr="001D2225">
              <w:rPr>
                <w:vertAlign w:val="superscript"/>
              </w:rPr>
              <w:t>(5)</w:t>
            </w:r>
          </w:p>
        </w:tc>
        <w:tc>
          <w:tcPr>
            <w:tcW w:w="2410" w:type="dxa"/>
          </w:tcPr>
          <w:p w:rsidR="00643EF9" w:rsidRPr="00371298" w:rsidRDefault="00643EF9" w:rsidP="001D2225">
            <w:r w:rsidRPr="00371298">
              <w:t>0.01/1</w:t>
            </w:r>
            <w:r w:rsidRPr="001D2225">
              <w:rPr>
                <w:vertAlign w:val="superscript"/>
              </w:rPr>
              <w:t>(2)</w:t>
            </w:r>
          </w:p>
        </w:tc>
        <w:tc>
          <w:tcPr>
            <w:tcW w:w="1383" w:type="dxa"/>
          </w:tcPr>
          <w:p w:rsidR="00643EF9" w:rsidRDefault="00643EF9" w:rsidP="001D2225">
            <w:r w:rsidRPr="00371298">
              <w:t>N, L</w:t>
            </w:r>
          </w:p>
        </w:tc>
      </w:tr>
    </w:tbl>
    <w:p w:rsidR="00643EF9" w:rsidRPr="00FD0F60" w:rsidRDefault="00643EF9" w:rsidP="007D4EFA">
      <w:pPr>
        <w:rPr>
          <w:b/>
          <w:szCs w:val="20"/>
          <w:lang w:val="en-GB"/>
        </w:rPr>
      </w:pPr>
    </w:p>
    <w:p w:rsidR="00643EF9" w:rsidRPr="00FD0F60" w:rsidRDefault="00643EF9" w:rsidP="001D2225">
      <w:pPr>
        <w:pStyle w:val="ECCTablenote"/>
      </w:pPr>
      <w:r w:rsidRPr="00FD0F60">
        <w:rPr>
          <w:b/>
        </w:rPr>
        <w:t>Note 1</w:t>
      </w:r>
      <w:r w:rsidRPr="00FD0F60">
        <w:t>: P: Primary allocation, shared only with passive services (No. 5.340 of the Radio Regulations); p: primary allocation, shared with active services; s: secondary allocation.</w:t>
      </w:r>
    </w:p>
    <w:p w:rsidR="00643EF9" w:rsidRPr="00FD0F60" w:rsidRDefault="00643EF9" w:rsidP="001D2225">
      <w:pPr>
        <w:pStyle w:val="ECCTablenote"/>
      </w:pPr>
      <w:r w:rsidRPr="00FD0F60">
        <w:rPr>
          <w:b/>
        </w:rPr>
        <w:t>Note 2</w:t>
      </w:r>
      <w:r w:rsidRPr="00FD0F60">
        <w:t>: For a 0.01% level, the measurement area is a square on the Earth of 2</w:t>
      </w:r>
      <w:r w:rsidRPr="00FD0F60">
        <w:rPr>
          <w:rFonts w:ascii="Tms Rmn" w:hAnsi="Tms Rmn"/>
        </w:rPr>
        <w:t> </w:t>
      </w:r>
      <w:r w:rsidRPr="00FD0F60">
        <w:t>000</w:t>
      </w:r>
      <w:r w:rsidRPr="00FD0F60">
        <w:rPr>
          <w:rFonts w:ascii="Tms Rmn" w:hAnsi="Tms Rmn"/>
        </w:rPr>
        <w:t> </w:t>
      </w:r>
      <w:r w:rsidRPr="00FD0F60">
        <w:t>000 km</w:t>
      </w:r>
      <w:r w:rsidRPr="00FD0F60">
        <w:rPr>
          <w:vertAlign w:val="superscript"/>
        </w:rPr>
        <w:t>2</w:t>
      </w:r>
      <w:r w:rsidRPr="00FD0F60">
        <w:t>, unless otherwise justified; for a 1% level, the measurement time is 24 h, unless otherwise justified.</w:t>
      </w:r>
    </w:p>
    <w:p w:rsidR="00643EF9" w:rsidRPr="00FD0F60" w:rsidRDefault="00643EF9" w:rsidP="001D2225">
      <w:pPr>
        <w:pStyle w:val="ECCTablenote"/>
      </w:pPr>
      <w:r w:rsidRPr="00FD0F60">
        <w:rPr>
          <w:b/>
        </w:rPr>
        <w:t>Note 3</w:t>
      </w:r>
      <w:r w:rsidRPr="00FD0F60">
        <w:t>: 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w:t>
      </w:r>
    </w:p>
    <w:p w:rsidR="00643EF9" w:rsidRPr="00FD0F60" w:rsidRDefault="00643EF9" w:rsidP="001D2225">
      <w:pPr>
        <w:pStyle w:val="ECCTablenote"/>
      </w:pPr>
      <w:r w:rsidRPr="00FD0F60">
        <w:rPr>
          <w:b/>
        </w:rPr>
        <w:t>Note 4</w:t>
      </w:r>
      <w:r w:rsidRPr="00FD0F60">
        <w:t>: This bandwidth is occupied by multiple channels.</w:t>
      </w:r>
    </w:p>
    <w:p w:rsidR="00643EF9" w:rsidRPr="00FD0F60" w:rsidRDefault="00643EF9" w:rsidP="001D2225">
      <w:pPr>
        <w:pStyle w:val="ECCTablenote"/>
      </w:pPr>
      <w:r w:rsidRPr="00FD0F60">
        <w:rPr>
          <w:b/>
        </w:rPr>
        <w:t>Note 5</w:t>
      </w:r>
      <w:r w:rsidRPr="00FD0F60">
        <w:t>: Second number for microwave Limb sounding applications.</w:t>
      </w:r>
      <w:r>
        <w:t xml:space="preserve"> </w:t>
      </w:r>
    </w:p>
    <w:p w:rsidR="00643EF9" w:rsidRPr="00FD0F60" w:rsidRDefault="00643EF9" w:rsidP="007D4EFA">
      <w:pPr>
        <w:rPr>
          <w:b/>
          <w:lang w:val="en-GB"/>
        </w:rPr>
      </w:pPr>
    </w:p>
    <w:p w:rsidR="00643EF9" w:rsidRPr="00FD0F60" w:rsidRDefault="00643EF9" w:rsidP="006C2210">
      <w:pPr>
        <w:pStyle w:val="Heading1"/>
      </w:pPr>
      <w:bookmarkStart w:id="9" w:name="_Ref334183215"/>
      <w:bookmarkStart w:id="10" w:name="_Ref334183227"/>
      <w:bookmarkStart w:id="11" w:name="_Toc356376812"/>
      <w:r w:rsidRPr="00FD0F60">
        <w:t>SRD technical and operational characteristics</w:t>
      </w:r>
      <w:bookmarkEnd w:id="9"/>
      <w:bookmarkEnd w:id="10"/>
      <w:bookmarkEnd w:id="11"/>
    </w:p>
    <w:p w:rsidR="00643EF9" w:rsidRPr="00FD0F60" w:rsidRDefault="00643EF9" w:rsidP="006C2210">
      <w:pPr>
        <w:pStyle w:val="Heading2"/>
        <w:rPr>
          <w:lang w:val="en-GB"/>
        </w:rPr>
      </w:pPr>
      <w:bookmarkStart w:id="12" w:name="_Toc356376813"/>
      <w:r w:rsidRPr="00FD0F60">
        <w:rPr>
          <w:lang w:val="en-GB"/>
        </w:rPr>
        <w:t>Technical parameters</w:t>
      </w:r>
      <w:bookmarkEnd w:id="12"/>
    </w:p>
    <w:p w:rsidR="00643EF9" w:rsidRPr="00FD0F60" w:rsidRDefault="00643EF9" w:rsidP="007D4EFA">
      <w:pPr>
        <w:spacing w:before="120"/>
        <w:jc w:val="both"/>
        <w:rPr>
          <w:rFonts w:cs="Arial"/>
          <w:szCs w:val="20"/>
          <w:lang w:val="en-GB" w:eastAsia="da-DK"/>
        </w:rPr>
      </w:pPr>
      <w:r w:rsidRPr="00FD0F60">
        <w:rPr>
          <w:rFonts w:cs="Arial"/>
          <w:szCs w:val="20"/>
          <w:lang w:val="en-GB"/>
        </w:rPr>
        <w:t xml:space="preserve">According to EC Decision </w:t>
      </w:r>
      <w:bookmarkStart w:id="13" w:name="content"/>
      <w:r w:rsidRPr="00FD0F60">
        <w:rPr>
          <w:rStyle w:val="Strong"/>
          <w:rFonts w:cs="Arial"/>
          <w:bCs/>
          <w:szCs w:val="20"/>
          <w:lang w:val="en-GB"/>
        </w:rPr>
        <w:t>2011/829/UE</w:t>
      </w:r>
      <w:bookmarkEnd w:id="13"/>
      <w:r w:rsidRPr="00FD0F60">
        <w:rPr>
          <w:rFonts w:cs="Arial"/>
          <w:szCs w:val="20"/>
          <w:lang w:val="en-GB"/>
        </w:rPr>
        <w:t xml:space="preserve"> </w:t>
      </w:r>
      <w:r>
        <w:rPr>
          <w:rFonts w:cs="Arial"/>
          <w:szCs w:val="20"/>
          <w:lang w:val="en-GB"/>
        </w:rPr>
        <w:fldChar w:fldCharType="begin"/>
      </w:r>
      <w:r>
        <w:rPr>
          <w:rFonts w:cs="Arial"/>
          <w:szCs w:val="20"/>
          <w:lang w:val="en-GB"/>
        </w:rPr>
        <w:instrText xml:space="preserve"> REF _Ref334182003 \r \h </w:instrText>
      </w:r>
      <w:r>
        <w:rPr>
          <w:rFonts w:cs="Arial"/>
          <w:szCs w:val="20"/>
          <w:lang w:val="en-GB"/>
        </w:rPr>
      </w:r>
      <w:r>
        <w:rPr>
          <w:rFonts w:cs="Arial"/>
          <w:szCs w:val="20"/>
          <w:lang w:val="en-GB"/>
        </w:rPr>
        <w:fldChar w:fldCharType="separate"/>
      </w:r>
      <w:r w:rsidR="00437883">
        <w:rPr>
          <w:rFonts w:cs="Arial"/>
          <w:szCs w:val="20"/>
          <w:lang w:val="en-GB"/>
        </w:rPr>
        <w:t>[5]</w:t>
      </w:r>
      <w:r>
        <w:rPr>
          <w:rFonts w:cs="Arial"/>
          <w:szCs w:val="20"/>
          <w:lang w:val="en-GB"/>
        </w:rPr>
        <w:fldChar w:fldCharType="end"/>
      </w:r>
      <w:r>
        <w:rPr>
          <w:rFonts w:cs="Arial"/>
          <w:szCs w:val="20"/>
          <w:lang w:val="en-GB"/>
        </w:rPr>
        <w:t xml:space="preserve"> </w:t>
      </w:r>
      <w:r w:rsidRPr="00FD0F60">
        <w:rPr>
          <w:rFonts w:cs="Arial"/>
          <w:szCs w:val="20"/>
          <w:lang w:val="en-GB"/>
        </w:rPr>
        <w:t>and EN 305 550</w:t>
      </w:r>
      <w:r>
        <w:rPr>
          <w:rFonts w:cs="Arial"/>
          <w:szCs w:val="20"/>
          <w:lang w:val="en-GB"/>
        </w:rPr>
        <w:t xml:space="preserve"> </w:t>
      </w:r>
      <w:r>
        <w:rPr>
          <w:rFonts w:cs="Arial"/>
          <w:szCs w:val="20"/>
          <w:lang w:val="en-GB"/>
        </w:rPr>
        <w:fldChar w:fldCharType="begin"/>
      </w:r>
      <w:r>
        <w:rPr>
          <w:rFonts w:cs="Arial"/>
          <w:szCs w:val="20"/>
          <w:lang w:val="en-GB"/>
        </w:rPr>
        <w:instrText xml:space="preserve"> REF _Ref334182014 \r \h </w:instrText>
      </w:r>
      <w:r>
        <w:rPr>
          <w:rFonts w:cs="Arial"/>
          <w:szCs w:val="20"/>
          <w:lang w:val="en-GB"/>
        </w:rPr>
      </w:r>
      <w:r>
        <w:rPr>
          <w:rFonts w:cs="Arial"/>
          <w:szCs w:val="20"/>
          <w:lang w:val="en-GB"/>
        </w:rPr>
        <w:fldChar w:fldCharType="separate"/>
      </w:r>
      <w:r w:rsidR="00437883">
        <w:rPr>
          <w:rFonts w:cs="Arial"/>
          <w:szCs w:val="20"/>
          <w:lang w:val="en-GB"/>
        </w:rPr>
        <w:t>[6]</w:t>
      </w:r>
      <w:r>
        <w:rPr>
          <w:rFonts w:cs="Arial"/>
          <w:szCs w:val="20"/>
          <w:lang w:val="en-GB"/>
        </w:rPr>
        <w:fldChar w:fldCharType="end"/>
      </w:r>
      <w:r w:rsidRPr="00FD0F60">
        <w:rPr>
          <w:rFonts w:cs="Arial"/>
          <w:szCs w:val="20"/>
          <w:lang w:val="en-GB"/>
        </w:rPr>
        <w:t xml:space="preserve">, the maximum e.i.r.p. </w:t>
      </w:r>
      <w:r w:rsidRPr="00FD0F60">
        <w:rPr>
          <w:rFonts w:cs="Arial"/>
          <w:szCs w:val="20"/>
          <w:lang w:val="en-GB" w:eastAsia="da-DK"/>
        </w:rPr>
        <w:t xml:space="preserve">for SRD in the 122- 123 GHz band is fixed to 100 mW (20 dBm). Although there is currently no detailed characteristic of SRD </w:t>
      </w:r>
      <w:r>
        <w:rPr>
          <w:rFonts w:cs="Arial"/>
          <w:szCs w:val="20"/>
          <w:lang w:val="en-GB" w:eastAsia="da-DK"/>
        </w:rPr>
        <w:t xml:space="preserve">available </w:t>
      </w:r>
      <w:r w:rsidRPr="00FD0F60">
        <w:rPr>
          <w:rFonts w:cs="Arial"/>
          <w:szCs w:val="20"/>
          <w:lang w:val="en-GB" w:eastAsia="da-DK"/>
        </w:rPr>
        <w:t>in this band, the following assumptions were considered:</w:t>
      </w:r>
    </w:p>
    <w:p w:rsidR="00643EF9" w:rsidRPr="00FD0F60" w:rsidRDefault="00643EF9" w:rsidP="00683A1B">
      <w:pPr>
        <w:pStyle w:val="ECCParBulleted"/>
        <w:numPr>
          <w:ilvl w:val="0"/>
          <w:numId w:val="37"/>
        </w:numPr>
        <w:spacing w:before="120"/>
      </w:pPr>
      <w:r w:rsidRPr="00FD0F60">
        <w:t>Power level up to 20dBm could be reached in standard</w:t>
      </w:r>
    </w:p>
    <w:p w:rsidR="00643EF9" w:rsidRPr="00FD0F60" w:rsidRDefault="00643EF9" w:rsidP="00683A1B">
      <w:pPr>
        <w:pStyle w:val="ECCParBulleted"/>
        <w:numPr>
          <w:ilvl w:val="0"/>
          <w:numId w:val="37"/>
        </w:numPr>
        <w:spacing w:before="120"/>
      </w:pPr>
      <w:r w:rsidRPr="00FD0F60">
        <w:t>Bandwidth likely to be above 500 MHz</w:t>
      </w:r>
    </w:p>
    <w:p w:rsidR="00643EF9" w:rsidRPr="00FD0F60" w:rsidRDefault="00643EF9" w:rsidP="00683A1B">
      <w:pPr>
        <w:pStyle w:val="ECCParBulleted"/>
        <w:numPr>
          <w:ilvl w:val="0"/>
          <w:numId w:val="37"/>
        </w:numPr>
        <w:spacing w:before="120"/>
      </w:pPr>
      <w:r>
        <w:t xml:space="preserve">The </w:t>
      </w:r>
      <w:r w:rsidRPr="00FD0F60">
        <w:t>antenna will more than likely be directive with a gain up to around 35dBi</w:t>
      </w:r>
      <w:r>
        <w:t>; however, in the simulations in section 6 an omni directional antenna was assumed.</w:t>
      </w:r>
    </w:p>
    <w:p w:rsidR="00643EF9" w:rsidRPr="00FD0F60" w:rsidRDefault="00643EF9" w:rsidP="006C2210">
      <w:pPr>
        <w:pStyle w:val="Heading2"/>
        <w:rPr>
          <w:lang w:val="en-GB"/>
        </w:rPr>
      </w:pPr>
      <w:bookmarkStart w:id="14" w:name="_Toc356376814"/>
      <w:r w:rsidRPr="00FD0F60">
        <w:rPr>
          <w:lang w:val="en-GB"/>
        </w:rPr>
        <w:t>Description of applications</w:t>
      </w:r>
      <w:bookmarkEnd w:id="14"/>
    </w:p>
    <w:p w:rsidR="00643EF9" w:rsidRPr="00FD0F60" w:rsidRDefault="00643EF9" w:rsidP="007D4EFA">
      <w:pPr>
        <w:spacing w:before="120"/>
        <w:jc w:val="both"/>
        <w:rPr>
          <w:lang w:val="en-GB"/>
        </w:rPr>
      </w:pPr>
      <w:r>
        <w:rPr>
          <w:lang w:val="en-GB"/>
        </w:rPr>
        <w:t xml:space="preserve">There are currently no SRD and ISM applications available. </w:t>
      </w:r>
      <w:r w:rsidRPr="00FD0F60">
        <w:rPr>
          <w:lang w:val="en-GB"/>
        </w:rPr>
        <w:t>Various radar applications are foreseen at 122 GHz within research projects</w:t>
      </w:r>
      <w:r w:rsidRPr="00FD0F60">
        <w:rPr>
          <w:rStyle w:val="FootnoteReference"/>
          <w:lang w:val="en-GB"/>
        </w:rPr>
        <w:footnoteReference w:id="1"/>
      </w:r>
      <w:r w:rsidRPr="00FD0F60">
        <w:rPr>
          <w:lang w:val="en-GB"/>
        </w:rPr>
        <w:t xml:space="preserve"> for vehicles (adaptive cruise control or ACC, blind spot detection, sensors), industry (distance and drill depth measurement, level metering, traffic jam detection), security (door openers, light switching, intrusion detection), medicine (position sensing, blind people assistance, breathing rate/heartbeat monitoring), consumers (mobile phone ruler, speed meters, sport sensors, …). </w:t>
      </w:r>
    </w:p>
    <w:p w:rsidR="00643EF9" w:rsidRPr="00FD0F60" w:rsidRDefault="00643EF9" w:rsidP="007D4EFA">
      <w:pPr>
        <w:spacing w:before="120"/>
        <w:jc w:val="both"/>
        <w:rPr>
          <w:lang w:val="en-GB"/>
        </w:rPr>
      </w:pPr>
      <w:r w:rsidRPr="00FD0F60">
        <w:rPr>
          <w:lang w:val="en-GB"/>
        </w:rPr>
        <w:t>However all these applications are only at a “prospective stage” and</w:t>
      </w:r>
      <w:r>
        <w:rPr>
          <w:lang w:val="en-GB"/>
        </w:rPr>
        <w:t>,</w:t>
      </w:r>
      <w:r w:rsidRPr="00FD0F60">
        <w:rPr>
          <w:lang w:val="en-GB"/>
        </w:rPr>
        <w:t xml:space="preserve"> according to some manufacturers, there is no intention from the European (and worldwide) automotive industry to use the 122 GHz band for automotive radars. Indeed, for this purpose the frequency band 76-81 GHz offers a larger bandwidth (5 GHz), a much higher performance, and may be subject to a worldwide harmonization.</w:t>
      </w:r>
    </w:p>
    <w:p w:rsidR="00643EF9" w:rsidRPr="00FD0F60" w:rsidRDefault="00643EF9" w:rsidP="006C2210">
      <w:pPr>
        <w:pStyle w:val="Heading2"/>
        <w:rPr>
          <w:lang w:val="en-GB"/>
        </w:rPr>
      </w:pPr>
      <w:bookmarkStart w:id="15" w:name="_Toc356376815"/>
      <w:r w:rsidRPr="00FD0F60">
        <w:rPr>
          <w:lang w:val="en-GB"/>
        </w:rPr>
        <w:t>Deployment characteristics</w:t>
      </w:r>
      <w:bookmarkEnd w:id="15"/>
    </w:p>
    <w:p w:rsidR="00643EF9" w:rsidRPr="00FD0F60" w:rsidRDefault="00643EF9" w:rsidP="007D4EFA">
      <w:pPr>
        <w:spacing w:before="120"/>
        <w:jc w:val="both"/>
        <w:rPr>
          <w:rFonts w:cs="Arial"/>
          <w:szCs w:val="20"/>
          <w:lang w:val="en-GB"/>
        </w:rPr>
      </w:pPr>
      <w:r w:rsidRPr="00FD0F60">
        <w:rPr>
          <w:rFonts w:cs="Arial"/>
          <w:szCs w:val="20"/>
          <w:lang w:val="en-GB"/>
        </w:rPr>
        <w:t>Given the uncertainties around the applications foreseen at 122 GHz, it was agreed to base the studies on the following assumptions:</w:t>
      </w:r>
    </w:p>
    <w:p w:rsidR="00643EF9" w:rsidRPr="00FD0F60" w:rsidRDefault="00643EF9" w:rsidP="00683A1B">
      <w:pPr>
        <w:pStyle w:val="ListParagraph1"/>
        <w:numPr>
          <w:ilvl w:val="0"/>
          <w:numId w:val="38"/>
        </w:numPr>
        <w:spacing w:before="120"/>
        <w:jc w:val="both"/>
        <w:rPr>
          <w:rFonts w:ascii="Arial" w:hAnsi="Arial" w:cs="Arial"/>
          <w:sz w:val="20"/>
          <w:szCs w:val="20"/>
          <w:lang w:val="en-GB"/>
        </w:rPr>
      </w:pPr>
      <w:r w:rsidRPr="00FD0F60">
        <w:rPr>
          <w:rFonts w:ascii="Arial" w:hAnsi="Arial" w:cs="Arial"/>
          <w:sz w:val="20"/>
          <w:szCs w:val="20"/>
          <w:lang w:val="en-GB"/>
        </w:rPr>
        <w:t>1 SRD/household (in the long term)</w:t>
      </w:r>
    </w:p>
    <w:p w:rsidR="00643EF9" w:rsidRPr="00FD0F60" w:rsidRDefault="00643EF9" w:rsidP="00683A1B">
      <w:pPr>
        <w:pStyle w:val="ListParagraph1"/>
        <w:numPr>
          <w:ilvl w:val="0"/>
          <w:numId w:val="38"/>
        </w:numPr>
        <w:spacing w:before="120"/>
        <w:jc w:val="both"/>
        <w:rPr>
          <w:rFonts w:ascii="Arial" w:hAnsi="Arial" w:cs="Arial"/>
          <w:sz w:val="20"/>
          <w:szCs w:val="20"/>
          <w:lang w:val="en-GB"/>
        </w:rPr>
      </w:pPr>
      <w:r w:rsidRPr="00FD0F60">
        <w:rPr>
          <w:rFonts w:ascii="Arial" w:hAnsi="Arial" w:cs="Arial"/>
          <w:sz w:val="20"/>
          <w:szCs w:val="20"/>
          <w:lang w:val="en-GB"/>
        </w:rPr>
        <w:t xml:space="preserve">5% outdoor devices </w:t>
      </w:r>
    </w:p>
    <w:p w:rsidR="00643EF9" w:rsidRPr="00FD0F60" w:rsidRDefault="00643EF9" w:rsidP="00683A1B">
      <w:pPr>
        <w:pStyle w:val="ListParagraph1"/>
        <w:numPr>
          <w:ilvl w:val="0"/>
          <w:numId w:val="38"/>
        </w:numPr>
        <w:spacing w:before="120"/>
        <w:jc w:val="both"/>
        <w:rPr>
          <w:rFonts w:ascii="Arial" w:hAnsi="Arial" w:cs="Arial"/>
          <w:sz w:val="20"/>
          <w:szCs w:val="20"/>
          <w:lang w:val="en-GB"/>
        </w:rPr>
      </w:pPr>
      <w:r w:rsidRPr="00FD0F60">
        <w:rPr>
          <w:rFonts w:ascii="Arial" w:hAnsi="Arial" w:cs="Arial"/>
          <w:sz w:val="20"/>
          <w:szCs w:val="20"/>
          <w:lang w:val="en-GB"/>
        </w:rPr>
        <w:t>100% activity factor (for some outdoor applications, activity factor is likely to be below 50%)</w:t>
      </w:r>
    </w:p>
    <w:p w:rsidR="00643EF9" w:rsidRPr="00FD0F60" w:rsidRDefault="00643EF9" w:rsidP="00683A1B">
      <w:pPr>
        <w:pStyle w:val="ListParagraph1"/>
        <w:numPr>
          <w:ilvl w:val="0"/>
          <w:numId w:val="38"/>
        </w:numPr>
        <w:spacing w:before="120"/>
        <w:jc w:val="both"/>
        <w:rPr>
          <w:rFonts w:ascii="Arial" w:hAnsi="Arial" w:cs="Arial"/>
          <w:sz w:val="20"/>
          <w:szCs w:val="20"/>
          <w:lang w:val="en-GB"/>
        </w:rPr>
      </w:pPr>
      <w:r w:rsidRPr="00FD0F60">
        <w:rPr>
          <w:rFonts w:ascii="Arial" w:hAnsi="Arial" w:cs="Arial"/>
          <w:sz w:val="20"/>
          <w:szCs w:val="20"/>
          <w:lang w:val="en-GB"/>
        </w:rPr>
        <w:t>Indoor/outdoor attenuation &gt; 60 dB (this leads to the fact that indoor applications will not be source of interference to EESS spatial sensors and that hence 95% indoor applications are not considered)</w:t>
      </w:r>
    </w:p>
    <w:p w:rsidR="00643EF9" w:rsidRPr="00FD0F60" w:rsidRDefault="00643EF9" w:rsidP="007D4EFA">
      <w:pPr>
        <w:spacing w:before="120"/>
        <w:jc w:val="both"/>
        <w:rPr>
          <w:rFonts w:cs="Arial"/>
          <w:szCs w:val="20"/>
          <w:lang w:val="en-GB"/>
        </w:rPr>
      </w:pPr>
      <w:r w:rsidRPr="00FD0F60">
        <w:rPr>
          <w:rFonts w:cs="Arial"/>
          <w:szCs w:val="20"/>
          <w:lang w:val="en-GB"/>
        </w:rPr>
        <w:t>Under these assumptions and a general assumption of 4 inhabitants per household, the following table provides calculation of SRD deployment densities in various areas in Europe.</w:t>
      </w:r>
    </w:p>
    <w:p w:rsidR="00643EF9" w:rsidRDefault="00643EF9" w:rsidP="00376672">
      <w:pPr>
        <w:pStyle w:val="ECCTabletitle"/>
      </w:pPr>
      <w:bookmarkStart w:id="16" w:name="_Ref334183195"/>
      <w:r w:rsidRPr="00FD0F60">
        <w:t>potential SRD deployment densities in the 122-122.25 GHz band</w:t>
      </w:r>
      <w:bookmarkEnd w:id="1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13"/>
        <w:gridCol w:w="1240"/>
        <w:gridCol w:w="1361"/>
        <w:gridCol w:w="1505"/>
        <w:gridCol w:w="1676"/>
        <w:gridCol w:w="1760"/>
      </w:tblGrid>
      <w:tr w:rsidR="00643EF9" w:rsidTr="00147597">
        <w:trPr>
          <w:tblHeader/>
        </w:trPr>
        <w:tc>
          <w:tcPr>
            <w:tcW w:w="2313" w:type="dxa"/>
            <w:tcBorders>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sidRPr="00147597">
              <w:rPr>
                <w:b/>
                <w:color w:val="FFFFFF"/>
                <w:lang w:val="en-GB"/>
              </w:rPr>
              <w:t>Scenario (area)</w:t>
            </w:r>
          </w:p>
        </w:tc>
        <w:tc>
          <w:tcPr>
            <w:tcW w:w="1240" w:type="dxa"/>
            <w:tcBorders>
              <w:right w:val="single" w:sz="8" w:space="0" w:color="FFFFFF"/>
            </w:tcBorders>
            <w:shd w:val="clear" w:color="auto" w:fill="D2232A"/>
          </w:tcPr>
          <w:p w:rsidR="00643EF9" w:rsidRPr="00FE1795" w:rsidRDefault="00643EF9" w:rsidP="000B419D">
            <w:pPr>
              <w:spacing w:line="288" w:lineRule="auto"/>
              <w:jc w:val="center"/>
              <w:rPr>
                <w:b/>
                <w:color w:val="FFFFFF"/>
              </w:rPr>
            </w:pPr>
            <w:r w:rsidRPr="00147597">
              <w:rPr>
                <w:b/>
                <w:color w:val="FFFFFF"/>
                <w:lang w:val="en-GB"/>
              </w:rPr>
              <w:t>Area (km²)</w:t>
            </w:r>
          </w:p>
        </w:tc>
        <w:tc>
          <w:tcPr>
            <w:tcW w:w="1361" w:type="dxa"/>
            <w:tcBorders>
              <w:right w:val="single" w:sz="8" w:space="0" w:color="FFFFFF"/>
            </w:tcBorders>
            <w:shd w:val="clear" w:color="auto" w:fill="D2232A"/>
          </w:tcPr>
          <w:p w:rsidR="00643EF9" w:rsidRPr="00FE1795" w:rsidRDefault="00643EF9" w:rsidP="000B419D">
            <w:pPr>
              <w:spacing w:line="288" w:lineRule="auto"/>
              <w:jc w:val="center"/>
              <w:rPr>
                <w:b/>
                <w:color w:val="FFFFFF"/>
              </w:rPr>
            </w:pPr>
            <w:r w:rsidRPr="00147597">
              <w:rPr>
                <w:b/>
                <w:color w:val="FFFFFF"/>
                <w:lang w:val="en-GB"/>
              </w:rPr>
              <w:t>Population (M)</w:t>
            </w:r>
          </w:p>
        </w:tc>
        <w:tc>
          <w:tcPr>
            <w:tcW w:w="1505" w:type="dxa"/>
            <w:tcBorders>
              <w:right w:val="single" w:sz="8" w:space="0" w:color="FFFFFF"/>
            </w:tcBorders>
            <w:shd w:val="clear" w:color="auto" w:fill="D2232A"/>
          </w:tcPr>
          <w:p w:rsidR="00643EF9" w:rsidRPr="00FE1795" w:rsidRDefault="00643EF9" w:rsidP="000B419D">
            <w:pPr>
              <w:spacing w:line="288" w:lineRule="auto"/>
              <w:jc w:val="center"/>
              <w:rPr>
                <w:b/>
                <w:color w:val="FFFFFF"/>
              </w:rPr>
            </w:pPr>
            <w:r w:rsidRPr="00147597">
              <w:rPr>
                <w:b/>
                <w:color w:val="FFFFFF"/>
                <w:lang w:val="en-GB"/>
              </w:rPr>
              <w:t>Density (inhab/km²)</w:t>
            </w:r>
          </w:p>
        </w:tc>
        <w:tc>
          <w:tcPr>
            <w:tcW w:w="1676" w:type="dxa"/>
            <w:tcBorders>
              <w:left w:val="single" w:sz="8" w:space="0" w:color="FFFFFF"/>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sidRPr="00147597">
              <w:rPr>
                <w:b/>
                <w:color w:val="FFFFFF"/>
                <w:lang w:val="en-GB"/>
              </w:rPr>
              <w:t>Household/km²</w:t>
            </w:r>
          </w:p>
        </w:tc>
        <w:tc>
          <w:tcPr>
            <w:tcW w:w="1760" w:type="dxa"/>
            <w:tcBorders>
              <w:left w:val="single" w:sz="8" w:space="0" w:color="FFFFFF"/>
            </w:tcBorders>
            <w:shd w:val="clear" w:color="auto" w:fill="D2232A"/>
            <w:vAlign w:val="center"/>
          </w:tcPr>
          <w:p w:rsidR="00643EF9" w:rsidRPr="00FE1795" w:rsidRDefault="00643EF9" w:rsidP="000B419D">
            <w:pPr>
              <w:spacing w:line="288" w:lineRule="auto"/>
              <w:jc w:val="center"/>
              <w:rPr>
                <w:b/>
                <w:color w:val="FFFFFF"/>
              </w:rPr>
            </w:pPr>
            <w:r w:rsidRPr="00147597">
              <w:rPr>
                <w:b/>
                <w:color w:val="FFFFFF"/>
                <w:lang w:val="en-GB"/>
              </w:rPr>
              <w:t>Outdoor SRD per km²</w:t>
            </w:r>
          </w:p>
        </w:tc>
      </w:tr>
      <w:tr w:rsidR="00643EF9" w:rsidTr="000B419D">
        <w:tc>
          <w:tcPr>
            <w:tcW w:w="2313"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THE NETHERLANDS</w:t>
            </w:r>
          </w:p>
        </w:tc>
        <w:tc>
          <w:tcPr>
            <w:tcW w:w="1240"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41526</w:t>
            </w:r>
          </w:p>
        </w:tc>
        <w:tc>
          <w:tcPr>
            <w:tcW w:w="1361"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16.2</w:t>
            </w:r>
          </w:p>
        </w:tc>
        <w:tc>
          <w:tcPr>
            <w:tcW w:w="1505"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390</w:t>
            </w:r>
          </w:p>
        </w:tc>
        <w:tc>
          <w:tcPr>
            <w:tcW w:w="1676"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98</w:t>
            </w:r>
          </w:p>
        </w:tc>
        <w:tc>
          <w:tcPr>
            <w:tcW w:w="1760" w:type="dxa"/>
            <w:vAlign w:val="center"/>
          </w:tcPr>
          <w:p w:rsidR="00643EF9" w:rsidRPr="00683A1B" w:rsidRDefault="00643EF9" w:rsidP="00683A1B">
            <w:pPr>
              <w:autoSpaceDE w:val="0"/>
              <w:autoSpaceDN w:val="0"/>
              <w:adjustRightInd w:val="0"/>
              <w:spacing w:before="40"/>
              <w:jc w:val="center"/>
              <w:rPr>
                <w:rFonts w:cs="Arial"/>
                <w:b/>
                <w:color w:val="000000"/>
                <w:szCs w:val="20"/>
                <w:lang w:val="en-GB" w:eastAsia="fr-FR"/>
              </w:rPr>
            </w:pPr>
            <w:r w:rsidRPr="00683A1B">
              <w:rPr>
                <w:rFonts w:cs="Arial"/>
                <w:b/>
                <w:color w:val="000000"/>
                <w:szCs w:val="20"/>
                <w:lang w:val="en-GB" w:eastAsia="fr-FR"/>
              </w:rPr>
              <w:t>5</w:t>
            </w:r>
          </w:p>
        </w:tc>
      </w:tr>
      <w:tr w:rsidR="00643EF9" w:rsidTr="000B419D">
        <w:tc>
          <w:tcPr>
            <w:tcW w:w="2313"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France</w:t>
            </w:r>
          </w:p>
        </w:tc>
        <w:tc>
          <w:tcPr>
            <w:tcW w:w="1240"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550030</w:t>
            </w:r>
          </w:p>
        </w:tc>
        <w:tc>
          <w:tcPr>
            <w:tcW w:w="1361"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66.7</w:t>
            </w:r>
          </w:p>
        </w:tc>
        <w:tc>
          <w:tcPr>
            <w:tcW w:w="1505"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121</w:t>
            </w:r>
          </w:p>
        </w:tc>
        <w:tc>
          <w:tcPr>
            <w:tcW w:w="1676"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30</w:t>
            </w:r>
          </w:p>
        </w:tc>
        <w:tc>
          <w:tcPr>
            <w:tcW w:w="1760" w:type="dxa"/>
            <w:vAlign w:val="center"/>
          </w:tcPr>
          <w:p w:rsidR="00643EF9" w:rsidRPr="00683A1B" w:rsidRDefault="00643EF9" w:rsidP="00683A1B">
            <w:pPr>
              <w:autoSpaceDE w:val="0"/>
              <w:autoSpaceDN w:val="0"/>
              <w:adjustRightInd w:val="0"/>
              <w:spacing w:before="40"/>
              <w:jc w:val="center"/>
              <w:rPr>
                <w:rFonts w:cs="Arial"/>
                <w:b/>
                <w:color w:val="000000"/>
                <w:szCs w:val="20"/>
                <w:lang w:val="en-GB" w:eastAsia="fr-FR"/>
              </w:rPr>
            </w:pPr>
            <w:r w:rsidRPr="00683A1B">
              <w:rPr>
                <w:rFonts w:cs="Arial"/>
                <w:b/>
                <w:color w:val="000000"/>
                <w:szCs w:val="20"/>
                <w:lang w:val="en-GB" w:eastAsia="fr-FR"/>
              </w:rPr>
              <w:t>2</w:t>
            </w:r>
          </w:p>
        </w:tc>
      </w:tr>
      <w:tr w:rsidR="00643EF9" w:rsidTr="000B419D">
        <w:tc>
          <w:tcPr>
            <w:tcW w:w="2313"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PARIS</w:t>
            </w:r>
          </w:p>
        </w:tc>
        <w:tc>
          <w:tcPr>
            <w:tcW w:w="1240"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105</w:t>
            </w:r>
          </w:p>
        </w:tc>
        <w:tc>
          <w:tcPr>
            <w:tcW w:w="1361"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2.234</w:t>
            </w:r>
          </w:p>
        </w:tc>
        <w:tc>
          <w:tcPr>
            <w:tcW w:w="1505"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21276</w:t>
            </w:r>
          </w:p>
        </w:tc>
        <w:tc>
          <w:tcPr>
            <w:tcW w:w="1676"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5319</w:t>
            </w:r>
          </w:p>
        </w:tc>
        <w:tc>
          <w:tcPr>
            <w:tcW w:w="1760" w:type="dxa"/>
            <w:vAlign w:val="center"/>
          </w:tcPr>
          <w:p w:rsidR="00643EF9" w:rsidRPr="00683A1B" w:rsidRDefault="00643EF9" w:rsidP="00683A1B">
            <w:pPr>
              <w:autoSpaceDE w:val="0"/>
              <w:autoSpaceDN w:val="0"/>
              <w:adjustRightInd w:val="0"/>
              <w:spacing w:before="40"/>
              <w:jc w:val="center"/>
              <w:rPr>
                <w:rFonts w:cs="Arial"/>
                <w:b/>
                <w:color w:val="000000"/>
                <w:szCs w:val="20"/>
                <w:lang w:val="en-GB" w:eastAsia="fr-FR"/>
              </w:rPr>
            </w:pPr>
            <w:r w:rsidRPr="00683A1B">
              <w:rPr>
                <w:rFonts w:cs="Arial"/>
                <w:b/>
                <w:color w:val="000000"/>
                <w:szCs w:val="20"/>
                <w:lang w:val="en-GB" w:eastAsia="fr-FR"/>
              </w:rPr>
              <w:t>266</w:t>
            </w:r>
          </w:p>
        </w:tc>
      </w:tr>
      <w:tr w:rsidR="00643EF9" w:rsidTr="000B419D">
        <w:tc>
          <w:tcPr>
            <w:tcW w:w="2313"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PARIS AREA</w:t>
            </w:r>
          </w:p>
        </w:tc>
        <w:tc>
          <w:tcPr>
            <w:tcW w:w="1240"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762</w:t>
            </w:r>
          </w:p>
        </w:tc>
        <w:tc>
          <w:tcPr>
            <w:tcW w:w="1361"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6.6</w:t>
            </w:r>
          </w:p>
        </w:tc>
        <w:tc>
          <w:tcPr>
            <w:tcW w:w="1505"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8661</w:t>
            </w:r>
          </w:p>
        </w:tc>
        <w:tc>
          <w:tcPr>
            <w:tcW w:w="1676"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2165</w:t>
            </w:r>
          </w:p>
        </w:tc>
        <w:tc>
          <w:tcPr>
            <w:tcW w:w="1760" w:type="dxa"/>
            <w:vAlign w:val="center"/>
          </w:tcPr>
          <w:p w:rsidR="00643EF9" w:rsidRPr="00683A1B" w:rsidRDefault="00643EF9" w:rsidP="00683A1B">
            <w:pPr>
              <w:autoSpaceDE w:val="0"/>
              <w:autoSpaceDN w:val="0"/>
              <w:adjustRightInd w:val="0"/>
              <w:spacing w:before="40"/>
              <w:jc w:val="center"/>
              <w:rPr>
                <w:rFonts w:cs="Arial"/>
                <w:b/>
                <w:color w:val="000000"/>
                <w:szCs w:val="20"/>
                <w:lang w:val="en-GB" w:eastAsia="fr-FR"/>
              </w:rPr>
            </w:pPr>
            <w:r w:rsidRPr="00683A1B">
              <w:rPr>
                <w:rFonts w:cs="Arial"/>
                <w:b/>
                <w:color w:val="000000"/>
                <w:szCs w:val="20"/>
                <w:lang w:val="en-GB" w:eastAsia="fr-FR"/>
              </w:rPr>
              <w:t>108</w:t>
            </w:r>
          </w:p>
        </w:tc>
      </w:tr>
      <w:tr w:rsidR="00643EF9" w:rsidTr="000B419D">
        <w:tc>
          <w:tcPr>
            <w:tcW w:w="2313"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GREAT PARIS</w:t>
            </w:r>
          </w:p>
        </w:tc>
        <w:tc>
          <w:tcPr>
            <w:tcW w:w="1240"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6096</w:t>
            </w:r>
          </w:p>
        </w:tc>
        <w:tc>
          <w:tcPr>
            <w:tcW w:w="1361"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10.4</w:t>
            </w:r>
          </w:p>
        </w:tc>
        <w:tc>
          <w:tcPr>
            <w:tcW w:w="1505"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1706</w:t>
            </w:r>
          </w:p>
        </w:tc>
        <w:tc>
          <w:tcPr>
            <w:tcW w:w="1676" w:type="dxa"/>
            <w:vAlign w:val="center"/>
          </w:tcPr>
          <w:p w:rsidR="00643EF9" w:rsidRPr="00683A1B" w:rsidRDefault="00643EF9" w:rsidP="00683A1B">
            <w:pPr>
              <w:autoSpaceDE w:val="0"/>
              <w:autoSpaceDN w:val="0"/>
              <w:adjustRightInd w:val="0"/>
              <w:spacing w:before="40"/>
              <w:jc w:val="center"/>
              <w:rPr>
                <w:rFonts w:cs="Arial"/>
                <w:color w:val="000000"/>
                <w:szCs w:val="20"/>
                <w:lang w:val="en-GB" w:eastAsia="fr-FR"/>
              </w:rPr>
            </w:pPr>
            <w:r w:rsidRPr="00683A1B">
              <w:rPr>
                <w:rFonts w:cs="Arial"/>
                <w:color w:val="000000"/>
                <w:szCs w:val="20"/>
                <w:lang w:val="en-GB" w:eastAsia="fr-FR"/>
              </w:rPr>
              <w:t>427</w:t>
            </w:r>
          </w:p>
        </w:tc>
        <w:tc>
          <w:tcPr>
            <w:tcW w:w="1760" w:type="dxa"/>
            <w:vAlign w:val="center"/>
          </w:tcPr>
          <w:p w:rsidR="00643EF9" w:rsidRPr="00683A1B" w:rsidRDefault="00643EF9" w:rsidP="00683A1B">
            <w:pPr>
              <w:autoSpaceDE w:val="0"/>
              <w:autoSpaceDN w:val="0"/>
              <w:adjustRightInd w:val="0"/>
              <w:spacing w:before="40"/>
              <w:jc w:val="center"/>
              <w:rPr>
                <w:rFonts w:cs="Arial"/>
                <w:b/>
                <w:color w:val="000000"/>
                <w:szCs w:val="20"/>
                <w:lang w:val="en-GB" w:eastAsia="fr-FR"/>
              </w:rPr>
            </w:pPr>
            <w:r w:rsidRPr="00683A1B">
              <w:rPr>
                <w:rFonts w:cs="Arial"/>
                <w:b/>
                <w:color w:val="000000"/>
                <w:szCs w:val="20"/>
                <w:lang w:val="en-GB" w:eastAsia="fr-FR"/>
              </w:rPr>
              <w:t>21</w:t>
            </w:r>
          </w:p>
        </w:tc>
      </w:tr>
    </w:tbl>
    <w:p w:rsidR="00643EF9" w:rsidRPr="00FD0F60" w:rsidRDefault="00643EF9" w:rsidP="006C2210">
      <w:pPr>
        <w:pStyle w:val="Heading1"/>
      </w:pPr>
      <w:bookmarkStart w:id="17" w:name="_Toc356376816"/>
      <w:r w:rsidRPr="00FD0F60">
        <w:t>Attenuation on the path</w:t>
      </w:r>
      <w:bookmarkEnd w:id="17"/>
    </w:p>
    <w:p w:rsidR="00643EF9" w:rsidRPr="00FD0F60" w:rsidRDefault="00643EF9" w:rsidP="007D4EFA">
      <w:pPr>
        <w:spacing w:before="120"/>
        <w:jc w:val="both"/>
        <w:rPr>
          <w:lang w:val="en-GB"/>
        </w:rPr>
      </w:pPr>
      <w:r w:rsidRPr="00FD0F60">
        <w:rPr>
          <w:lang w:val="en-GB"/>
        </w:rPr>
        <w:t>The attenuation between SRDs and EESS (sensors) is related to free-space loss and gas attenuation. It varies depending on the geometry of the path, depending on the type of sensor.</w:t>
      </w:r>
    </w:p>
    <w:p w:rsidR="00683A1B" w:rsidRDefault="00643EF9" w:rsidP="00683A1B">
      <w:pPr>
        <w:spacing w:before="120"/>
        <w:jc w:val="both"/>
        <w:rPr>
          <w:lang w:val="en-GB"/>
        </w:rPr>
      </w:pPr>
      <w:r w:rsidRPr="00FD0F60">
        <w:rPr>
          <w:lang w:val="en-GB"/>
        </w:rPr>
        <w:t>The attenuation free space loss (from Recommendation ITU-R P.525</w:t>
      </w:r>
      <w:r>
        <w:rPr>
          <w:lang w:val="en-GB"/>
        </w:rPr>
        <w:t xml:space="preserve"> </w:t>
      </w:r>
      <w:r>
        <w:rPr>
          <w:lang w:val="en-GB"/>
        </w:rPr>
        <w:fldChar w:fldCharType="begin"/>
      </w:r>
      <w:r>
        <w:rPr>
          <w:lang w:val="en-GB"/>
        </w:rPr>
        <w:instrText xml:space="preserve"> REF _Ref334182665 \r \h </w:instrText>
      </w:r>
      <w:r>
        <w:rPr>
          <w:lang w:val="en-GB"/>
        </w:rPr>
      </w:r>
      <w:r>
        <w:rPr>
          <w:lang w:val="en-GB"/>
        </w:rPr>
        <w:fldChar w:fldCharType="separate"/>
      </w:r>
      <w:r w:rsidR="00437883">
        <w:rPr>
          <w:lang w:val="en-GB"/>
        </w:rPr>
        <w:t>[7]</w:t>
      </w:r>
      <w:r>
        <w:rPr>
          <w:lang w:val="en-GB"/>
        </w:rPr>
        <w:fldChar w:fldCharType="end"/>
      </w:r>
      <w:r w:rsidRPr="00FD0F60">
        <w:rPr>
          <w:lang w:val="en-GB"/>
        </w:rPr>
        <w:t>):</w:t>
      </w:r>
      <w:bookmarkStart w:id="18" w:name="F004"/>
    </w:p>
    <w:p w:rsidR="00643EF9" w:rsidRPr="00683A1B" w:rsidRDefault="00643EF9" w:rsidP="00683A1B">
      <w:pPr>
        <w:spacing w:before="120"/>
        <w:jc w:val="center"/>
        <w:rPr>
          <w:lang w:val="en-GB"/>
        </w:rPr>
      </w:pPr>
      <w:r w:rsidRPr="00FD0F60">
        <w:rPr>
          <w:i/>
        </w:rPr>
        <w:t>L</w:t>
      </w:r>
      <w:r w:rsidRPr="00FD0F60">
        <w:rPr>
          <w:i/>
          <w:position w:val="-4"/>
          <w:sz w:val="18"/>
        </w:rPr>
        <w:t>bf</w:t>
      </w:r>
      <w:r w:rsidRPr="00FD0F60">
        <w:t xml:space="preserve">  =  32.4  </w:t>
      </w:r>
      <w:r w:rsidRPr="00FD0F60">
        <w:rPr>
          <w:rFonts w:ascii="Symbol" w:hAnsi="Symbol"/>
        </w:rPr>
        <w:t></w:t>
      </w:r>
      <w:r w:rsidRPr="00FD0F60">
        <w:t xml:space="preserve">  20 log</w:t>
      </w:r>
      <w:r w:rsidRPr="00FD0F60">
        <w:rPr>
          <w:i/>
        </w:rPr>
        <w:t xml:space="preserve"> </w:t>
      </w:r>
      <w:r w:rsidRPr="00FD0F60">
        <w:rPr>
          <w:rFonts w:ascii="Symbol" w:hAnsi="Symbol"/>
        </w:rPr>
        <w:t></w:t>
      </w:r>
      <w:r w:rsidRPr="00FD0F60">
        <w:t xml:space="preserve">  </w:t>
      </w:r>
      <w:r w:rsidRPr="00FD0F60">
        <w:rPr>
          <w:rFonts w:ascii="Symbol" w:hAnsi="Symbol"/>
          <w:position w:val="-2"/>
        </w:rPr>
        <w:t></w:t>
      </w:r>
      <w:r w:rsidRPr="00FD0F60">
        <w:rPr>
          <w:position w:val="-2"/>
        </w:rPr>
        <w:t xml:space="preserve">  </w:t>
      </w:r>
      <w:r w:rsidRPr="00FD0F60">
        <w:t>20 log</w:t>
      </w:r>
      <w:r w:rsidRPr="00FD0F60">
        <w:rPr>
          <w:i/>
        </w:rPr>
        <w:t xml:space="preserve"> d</w:t>
      </w:r>
      <w:r w:rsidRPr="00FD0F60">
        <w:rPr>
          <w:color w:val="FFFFFF"/>
        </w:rPr>
        <w:t>mmmmmm</w:t>
      </w:r>
      <w:r w:rsidRPr="00FD0F60">
        <w:t>dB</w:t>
      </w:r>
      <w:bookmarkEnd w:id="18"/>
    </w:p>
    <w:p w:rsidR="00643EF9" w:rsidRPr="00FD0F60" w:rsidRDefault="00643EF9" w:rsidP="00683A1B">
      <w:pPr>
        <w:spacing w:before="120"/>
        <w:jc w:val="both"/>
        <w:rPr>
          <w:position w:val="-2"/>
          <w:lang w:val="en-GB"/>
        </w:rPr>
      </w:pPr>
      <w:r w:rsidRPr="00FD0F60">
        <w:rPr>
          <w:position w:val="-2"/>
          <w:lang w:val="en-GB"/>
        </w:rPr>
        <w:t>where:</w:t>
      </w:r>
    </w:p>
    <w:p w:rsidR="00643EF9" w:rsidRPr="00FD0F60" w:rsidRDefault="00643EF9" w:rsidP="00683A1B">
      <w:pPr>
        <w:spacing w:before="120"/>
        <w:jc w:val="center"/>
        <w:rPr>
          <w:lang w:val="en-GB"/>
        </w:rPr>
      </w:pPr>
      <w:r w:rsidRPr="00FD0F60">
        <w:rPr>
          <w:i/>
          <w:lang w:val="en-GB"/>
        </w:rPr>
        <w:t>f</w:t>
      </w:r>
      <w:r w:rsidRPr="00FD0F60">
        <w:rPr>
          <w:rFonts w:ascii="Tms Rmn" w:hAnsi="Tms Rmn"/>
          <w:i/>
          <w:sz w:val="12"/>
          <w:lang w:val="en-GB"/>
        </w:rPr>
        <w:t> </w:t>
      </w:r>
      <w:r w:rsidRPr="00FD0F60">
        <w:rPr>
          <w:lang w:val="en-GB"/>
        </w:rPr>
        <w:t>:</w:t>
      </w:r>
      <w:r w:rsidRPr="00FD0F60">
        <w:rPr>
          <w:lang w:val="en-GB"/>
        </w:rPr>
        <w:tab/>
        <w:t>frequency (MHz)</w:t>
      </w:r>
    </w:p>
    <w:p w:rsidR="00643EF9" w:rsidRPr="00FD0F60" w:rsidRDefault="00643EF9" w:rsidP="00683A1B">
      <w:pPr>
        <w:spacing w:before="120"/>
        <w:jc w:val="center"/>
        <w:rPr>
          <w:lang w:val="en-GB"/>
        </w:rPr>
      </w:pPr>
      <w:r w:rsidRPr="00FD0F60">
        <w:rPr>
          <w:i/>
          <w:lang w:val="en-GB"/>
        </w:rPr>
        <w:t>d</w:t>
      </w:r>
      <w:r w:rsidRPr="00FD0F60">
        <w:rPr>
          <w:rFonts w:ascii="Tms Rmn" w:hAnsi="Tms Rmn"/>
          <w:sz w:val="12"/>
          <w:lang w:val="en-GB"/>
        </w:rPr>
        <w:t> </w:t>
      </w:r>
      <w:r w:rsidRPr="00FD0F60">
        <w:rPr>
          <w:lang w:val="en-GB"/>
        </w:rPr>
        <w:t>:</w:t>
      </w:r>
      <w:r w:rsidRPr="00FD0F60">
        <w:rPr>
          <w:lang w:val="en-GB"/>
        </w:rPr>
        <w:tab/>
        <w:t>distance (km)</w:t>
      </w:r>
    </w:p>
    <w:p w:rsidR="00643EF9" w:rsidRPr="00FD0F60" w:rsidRDefault="00643EF9" w:rsidP="00683A1B">
      <w:pPr>
        <w:pStyle w:val="ECCParagraph"/>
      </w:pPr>
      <w:r w:rsidRPr="00FD0F60">
        <w:t>The gas attenuation is provided in Recommendation ITU-R P.676</w:t>
      </w:r>
      <w:r>
        <w:t xml:space="preserve"> </w:t>
      </w:r>
      <w:r>
        <w:fldChar w:fldCharType="begin"/>
      </w:r>
      <w:r>
        <w:instrText xml:space="preserve"> REF _Ref334182675 \r \h </w:instrText>
      </w:r>
      <w:r>
        <w:fldChar w:fldCharType="separate"/>
      </w:r>
      <w:r w:rsidR="00437883">
        <w:t>[8]</w:t>
      </w:r>
      <w:r>
        <w:fldChar w:fldCharType="end"/>
      </w:r>
      <w:r w:rsidRPr="00FD0F60">
        <w:t>. The nearest peak is at 118.75 GHz. At typical European latitude and conditions of temperature and pressure (10°C and 1013 psi) the atmospheric attenuation in the nadir direction is about 3.5 dB and the attenuation will range 3.4 to 38.7 dB for an elevation from 5 to 90° on the path between the SRD and the EESS satellite.</w:t>
      </w:r>
    </w:p>
    <w:p w:rsidR="00643EF9" w:rsidRPr="00FD0F60" w:rsidRDefault="00643EF9" w:rsidP="00683A1B">
      <w:pPr>
        <w:pStyle w:val="ECCParagraph"/>
      </w:pPr>
      <w:r w:rsidRPr="00FD0F60">
        <w:t>As a simplified approach, the values of attenuation versus elevation have been estimated using the following formula:</w:t>
      </w:r>
    </w:p>
    <w:p w:rsidR="00643EF9" w:rsidRPr="0057438C" w:rsidRDefault="00643EF9" w:rsidP="007D4EFA">
      <w:pPr>
        <w:spacing w:before="120"/>
        <w:ind w:left="1842" w:firstLine="282"/>
        <w:jc w:val="both"/>
        <w:rPr>
          <w:lang w:val="da-DK"/>
        </w:rPr>
      </w:pPr>
      <w:r w:rsidRPr="0057438C">
        <w:rPr>
          <w:lang w:val="da-DK"/>
        </w:rPr>
        <w:t xml:space="preserve">For Elevations &gt;5° </w:t>
      </w:r>
      <w:r w:rsidRPr="0057438C">
        <w:rPr>
          <w:lang w:val="da-DK"/>
        </w:rPr>
        <w:tab/>
        <w:t>: A = 3.38/sin(elev)</w:t>
      </w:r>
    </w:p>
    <w:p w:rsidR="00643EF9" w:rsidRPr="00FD0F60" w:rsidRDefault="00643EF9" w:rsidP="007D4EFA">
      <w:pPr>
        <w:spacing w:before="120"/>
        <w:ind w:left="1560" w:firstLine="564"/>
        <w:jc w:val="both"/>
        <w:rPr>
          <w:lang w:val="en-GB"/>
        </w:rPr>
      </w:pPr>
      <w:r w:rsidRPr="00FD0F60">
        <w:rPr>
          <w:lang w:val="en-GB"/>
        </w:rPr>
        <w:t xml:space="preserve">For Elevations &lt;5° </w:t>
      </w:r>
      <w:r w:rsidRPr="00FD0F60">
        <w:rPr>
          <w:lang w:val="en-GB"/>
        </w:rPr>
        <w:tab/>
        <w:t xml:space="preserve">: A = 3.38/sin(5°) </w:t>
      </w:r>
    </w:p>
    <w:p w:rsidR="00643EF9" w:rsidRPr="00FD0F60" w:rsidRDefault="00643EF9" w:rsidP="007D4EFA">
      <w:pPr>
        <w:rPr>
          <w:lang w:val="en-GB"/>
        </w:rPr>
      </w:pPr>
    </w:p>
    <w:p w:rsidR="00643EF9" w:rsidRPr="00FD0F60" w:rsidRDefault="00643EF9" w:rsidP="006C2210">
      <w:pPr>
        <w:pStyle w:val="Heading1"/>
      </w:pPr>
      <w:bookmarkStart w:id="19" w:name="_Toc356376817"/>
      <w:r w:rsidRPr="00FD0F60">
        <w:t>Compatibility Calculations</w:t>
      </w:r>
      <w:bookmarkEnd w:id="19"/>
    </w:p>
    <w:p w:rsidR="00643EF9" w:rsidRPr="00FD0F60" w:rsidRDefault="00643EF9" w:rsidP="00683A1B">
      <w:pPr>
        <w:pStyle w:val="ECCParagraph"/>
      </w:pPr>
      <w:r w:rsidRPr="00FD0F60">
        <w:t xml:space="preserve">In order to determine the necessary compatibility conditions between SRD and EESS (passive) in the 122-122.25 GHz band, </w:t>
      </w:r>
      <w:r>
        <w:t>three</w:t>
      </w:r>
      <w:r w:rsidRPr="00FD0F60">
        <w:t xml:space="preserve"> different calculations were performed:</w:t>
      </w:r>
    </w:p>
    <w:p w:rsidR="00643EF9" w:rsidRPr="00FD0F60" w:rsidRDefault="00643EF9" w:rsidP="00683A1B">
      <w:pPr>
        <w:pStyle w:val="ECCNumberedBullets"/>
        <w:numPr>
          <w:ilvl w:val="0"/>
          <w:numId w:val="39"/>
        </w:numPr>
        <w:spacing w:before="120"/>
        <w:rPr>
          <w:lang w:val="en-GB"/>
        </w:rPr>
      </w:pPr>
      <w:r w:rsidRPr="00FD0F60">
        <w:rPr>
          <w:lang w:val="en-GB"/>
        </w:rPr>
        <w:t>A dynamic simulation over Europe with a “low density uniform” scenario</w:t>
      </w:r>
      <w:r>
        <w:rPr>
          <w:lang w:val="en-GB"/>
        </w:rPr>
        <w:t xml:space="preserve"> (see chapter 6.1)</w:t>
      </w:r>
    </w:p>
    <w:p w:rsidR="00643EF9" w:rsidRPr="00FD0F60" w:rsidRDefault="00643EF9" w:rsidP="00683A1B">
      <w:pPr>
        <w:pStyle w:val="ECCNumberedBullets"/>
        <w:numPr>
          <w:ilvl w:val="0"/>
          <w:numId w:val="39"/>
        </w:numPr>
        <w:spacing w:before="120"/>
        <w:rPr>
          <w:lang w:val="en-GB"/>
        </w:rPr>
      </w:pPr>
      <w:r w:rsidRPr="00FD0F60">
        <w:rPr>
          <w:lang w:val="en-GB"/>
        </w:rPr>
        <w:t>A static analysis with one single SRD</w:t>
      </w:r>
      <w:r>
        <w:rPr>
          <w:lang w:val="en-GB"/>
        </w:rPr>
        <w:t xml:space="preserve"> (see chapter 6.2)</w:t>
      </w:r>
    </w:p>
    <w:p w:rsidR="00643EF9" w:rsidRPr="00FD0F60" w:rsidRDefault="00643EF9" w:rsidP="00683A1B">
      <w:pPr>
        <w:pStyle w:val="ECCNumberedBullets"/>
        <w:numPr>
          <w:ilvl w:val="0"/>
          <w:numId w:val="39"/>
        </w:numPr>
        <w:spacing w:before="120"/>
        <w:rPr>
          <w:lang w:val="en-GB"/>
        </w:rPr>
      </w:pPr>
      <w:r w:rsidRPr="00FD0F60">
        <w:rPr>
          <w:lang w:val="en-GB"/>
        </w:rPr>
        <w:t>A dynamic simulation over Europe with a “hot spot” scenario</w:t>
      </w:r>
      <w:r>
        <w:rPr>
          <w:lang w:val="en-GB"/>
        </w:rPr>
        <w:t xml:space="preserve"> (see chapter 6.3)</w:t>
      </w:r>
    </w:p>
    <w:p w:rsidR="00643EF9" w:rsidRPr="00FD0F60" w:rsidRDefault="00643EF9" w:rsidP="00DC780A">
      <w:pPr>
        <w:pStyle w:val="Heading2"/>
        <w:rPr>
          <w:lang w:val="en-GB"/>
        </w:rPr>
      </w:pPr>
      <w:bookmarkStart w:id="20" w:name="_Toc356376818"/>
      <w:r w:rsidRPr="00FD0F60">
        <w:rPr>
          <w:lang w:val="en-GB"/>
        </w:rPr>
        <w:t>low density uniform scenario (dynamic)</w:t>
      </w:r>
      <w:bookmarkEnd w:id="20"/>
    </w:p>
    <w:p w:rsidR="00643EF9" w:rsidRPr="00FD0F60" w:rsidRDefault="00643EF9" w:rsidP="00683A1B">
      <w:pPr>
        <w:pStyle w:val="ECCParagraph"/>
      </w:pPr>
      <w:r w:rsidRPr="00FD0F60">
        <w:t xml:space="preserve">A first calculation with a low uniform density of 0.01 SRD/km² </w:t>
      </w:r>
      <w:r>
        <w:t>(which is equivalent t</w:t>
      </w:r>
      <w:r w:rsidRPr="00FD0F60">
        <w:t>o 1 SRD/100 km</w:t>
      </w:r>
      <w:r>
        <w:t>²)</w:t>
      </w:r>
      <w:r w:rsidRPr="00FD0F60">
        <w:t xml:space="preserve"> was considered. This is equivalent to 87 340 outdoor devices over Europe (10°W-30°E, 37°N-65°N).</w:t>
      </w:r>
    </w:p>
    <w:p w:rsidR="00643EF9" w:rsidRDefault="00643EF9" w:rsidP="00683A1B">
      <w:pPr>
        <w:pStyle w:val="ECCParagraph"/>
      </w:pPr>
      <w:r w:rsidRPr="00FD0F60">
        <w:t>The simulation duration is 24 hours, with a time step of 1 second for the limb sounding sensor and 0.1 second for the conical scan sensor.</w:t>
      </w:r>
    </w:p>
    <w:p w:rsidR="00683A1B" w:rsidRPr="00FD0F60" w:rsidRDefault="00683A1B" w:rsidP="007D4EFA">
      <w:pPr>
        <w:spacing w:before="120"/>
        <w:jc w:val="both"/>
        <w:rPr>
          <w:lang w:val="en-GB"/>
        </w:rPr>
      </w:pPr>
    </w:p>
    <w:tbl>
      <w:tblPr>
        <w:tblW w:w="0" w:type="auto"/>
        <w:tblLook w:val="00A0" w:firstRow="1" w:lastRow="0" w:firstColumn="1" w:lastColumn="0" w:noHBand="0" w:noVBand="0"/>
      </w:tblPr>
      <w:tblGrid>
        <w:gridCol w:w="9276"/>
      </w:tblGrid>
      <w:tr w:rsidR="00643EF9" w:rsidRPr="00FD0F60" w:rsidTr="00FD0F60">
        <w:tc>
          <w:tcPr>
            <w:tcW w:w="9276" w:type="dxa"/>
          </w:tcPr>
          <w:p w:rsidR="00643EF9" w:rsidRPr="00FD0F60" w:rsidRDefault="00C71F37" w:rsidP="00FD0F60">
            <w:pPr>
              <w:spacing w:before="120"/>
              <w:jc w:val="both"/>
              <w:rPr>
                <w:lang w:val="en-GB"/>
              </w:rPr>
            </w:pPr>
            <w:r>
              <w:rPr>
                <w:noProof/>
                <w:lang w:val="da-DK" w:eastAsia="da-DK"/>
              </w:rPr>
              <w:drawing>
                <wp:inline distT="0" distB="0" distL="0" distR="0" wp14:anchorId="067C599B" wp14:editId="6B863931">
                  <wp:extent cx="5753100" cy="3136900"/>
                  <wp:effectExtent l="0" t="0" r="0" b="6350"/>
                  <wp:docPr id="7" name="Image 20" descr="Conical 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onical geomet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136900"/>
                          </a:xfrm>
                          <a:prstGeom prst="rect">
                            <a:avLst/>
                          </a:prstGeom>
                          <a:noFill/>
                          <a:ln>
                            <a:noFill/>
                          </a:ln>
                        </pic:spPr>
                      </pic:pic>
                    </a:graphicData>
                  </a:graphic>
                </wp:inline>
              </w:drawing>
            </w:r>
          </w:p>
          <w:p w:rsidR="00643EF9" w:rsidRDefault="00643EF9" w:rsidP="00C352E6">
            <w:pPr>
              <w:pStyle w:val="ECCFiguretitle"/>
            </w:pPr>
            <w:r w:rsidRPr="00C352E6">
              <w:rPr>
                <w:bCs/>
                <w:lang w:val="en-US"/>
              </w:rPr>
              <w:t>Unif</w:t>
            </w:r>
            <w:r>
              <w:rPr>
                <w:bCs/>
                <w:lang w:val="en-US"/>
              </w:rPr>
              <w:t>orm SRD deployment over Europe</w:t>
            </w:r>
            <w:r w:rsidR="00683A1B">
              <w:rPr>
                <w:bCs/>
                <w:lang w:val="en-US"/>
              </w:rPr>
              <w:br/>
            </w:r>
            <w:r w:rsidRPr="00C352E6">
              <w:rPr>
                <w:b w:val="0"/>
                <w:lang w:val="en-US"/>
              </w:rPr>
              <w:t xml:space="preserve">(in black: the satellite track on the Earth during a time interval of 24h and </w:t>
            </w:r>
            <w:r w:rsidR="00683A1B">
              <w:rPr>
                <w:b w:val="0"/>
                <w:lang w:val="en-US"/>
              </w:rPr>
              <w:br/>
            </w:r>
            <w:r w:rsidRPr="00C352E6">
              <w:rPr>
                <w:b w:val="0"/>
                <w:lang w:val="en-US"/>
              </w:rPr>
              <w:t>in pink: the conical scan trace)</w:t>
            </w:r>
          </w:p>
          <w:p w:rsidR="00643EF9" w:rsidRPr="00FD0F60" w:rsidRDefault="00643EF9" w:rsidP="00C352E6">
            <w:pPr>
              <w:spacing w:before="120"/>
              <w:jc w:val="center"/>
              <w:rPr>
                <w:lang w:val="en-GB"/>
              </w:rPr>
            </w:pPr>
          </w:p>
        </w:tc>
      </w:tr>
      <w:tr w:rsidR="00643EF9" w:rsidRPr="00FD0F60" w:rsidTr="00FD0F60">
        <w:tc>
          <w:tcPr>
            <w:tcW w:w="9276" w:type="dxa"/>
          </w:tcPr>
          <w:p w:rsidR="00643EF9" w:rsidRPr="00FD0F60" w:rsidRDefault="00C71F37" w:rsidP="00FD0F60">
            <w:pPr>
              <w:spacing w:before="120"/>
              <w:jc w:val="both"/>
              <w:rPr>
                <w:lang w:val="en-GB"/>
              </w:rPr>
            </w:pPr>
            <w:r>
              <w:rPr>
                <w:noProof/>
                <w:lang w:val="da-DK" w:eastAsia="da-DK"/>
              </w:rPr>
              <w:drawing>
                <wp:inline distT="0" distB="0" distL="0" distR="0" wp14:anchorId="174CFB3F" wp14:editId="7F4F6FAF">
                  <wp:extent cx="5753100" cy="3136900"/>
                  <wp:effectExtent l="0" t="0" r="0" b="6350"/>
                  <wp:docPr id="3" name="Image 19" descr="Conical geometry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onical geometry z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136900"/>
                          </a:xfrm>
                          <a:prstGeom prst="rect">
                            <a:avLst/>
                          </a:prstGeom>
                          <a:noFill/>
                          <a:ln>
                            <a:noFill/>
                          </a:ln>
                        </pic:spPr>
                      </pic:pic>
                    </a:graphicData>
                  </a:graphic>
                </wp:inline>
              </w:drawing>
            </w:r>
          </w:p>
        </w:tc>
      </w:tr>
    </w:tbl>
    <w:p w:rsidR="00643EF9" w:rsidRPr="00923645" w:rsidRDefault="00643EF9" w:rsidP="00C352E6">
      <w:pPr>
        <w:pStyle w:val="ECCFiguretitle"/>
      </w:pPr>
      <w:bookmarkStart w:id="21" w:name="_Ref334190305"/>
      <w:r w:rsidRPr="00923645">
        <w:rPr>
          <w:rFonts w:cs="Arial"/>
          <w:bCs/>
          <w:szCs w:val="20"/>
        </w:rPr>
        <w:t xml:space="preserve">Uniform SRD deployment over Europe </w:t>
      </w:r>
      <w:r w:rsidR="00683A1B">
        <w:rPr>
          <w:rFonts w:cs="Arial"/>
          <w:bCs/>
          <w:szCs w:val="20"/>
        </w:rPr>
        <w:br/>
      </w:r>
      <w:r w:rsidRPr="006329D9">
        <w:rPr>
          <w:rFonts w:cs="Arial"/>
          <w:bCs/>
          <w:szCs w:val="20"/>
        </w:rPr>
        <w:t>(zoom over part of France and UK)</w:t>
      </w:r>
      <w:bookmarkEnd w:id="21"/>
    </w:p>
    <w:p w:rsidR="00643EF9" w:rsidRPr="00FD0F60" w:rsidRDefault="00643EF9" w:rsidP="00683A1B">
      <w:pPr>
        <w:pStyle w:val="ECCParagraph"/>
      </w:pPr>
      <w:r>
        <w:fldChar w:fldCharType="begin"/>
      </w:r>
      <w:r>
        <w:instrText xml:space="preserve"> REF _Ref334190339 \r \h </w:instrText>
      </w:r>
      <w:r>
        <w:fldChar w:fldCharType="separate"/>
      </w:r>
      <w:r w:rsidR="00437883">
        <w:t>Figure 4:</w:t>
      </w:r>
      <w:r>
        <w:fldChar w:fldCharType="end"/>
      </w:r>
      <w:r>
        <w:t xml:space="preserve"> </w:t>
      </w:r>
      <w:r w:rsidRPr="00FD0F60">
        <w:t>below provides the corresponding interference distributions for both Limb sounder and Conical scan instruments and it can be seen that in both cases the protection criterion is largely exceeded (by 20 dB for the conical scan case, and by 6 dB for the limb sounding case).</w:t>
      </w:r>
    </w:p>
    <w:p w:rsidR="00643EF9" w:rsidRPr="00FD0F60" w:rsidRDefault="00643EF9" w:rsidP="007D4EFA">
      <w:pPr>
        <w:spacing w:before="120"/>
        <w:jc w:val="both"/>
        <w:rPr>
          <w:lang w:val="en-GB"/>
        </w:rPr>
      </w:pPr>
    </w:p>
    <w:p w:rsidR="00643EF9" w:rsidRPr="00FD0F60" w:rsidRDefault="00C71F37" w:rsidP="007D4EFA">
      <w:pPr>
        <w:spacing w:before="120"/>
        <w:jc w:val="center"/>
        <w:rPr>
          <w:rFonts w:cs="Arial"/>
          <w:b/>
          <w:bCs/>
          <w:color w:val="D2232A"/>
          <w:szCs w:val="20"/>
          <w:lang w:val="en-GB"/>
        </w:rPr>
      </w:pPr>
      <w:r>
        <w:rPr>
          <w:noProof/>
          <w:lang w:val="da-DK" w:eastAsia="da-DK"/>
        </w:rPr>
        <w:drawing>
          <wp:inline distT="0" distB="0" distL="0" distR="0" wp14:anchorId="257C7793" wp14:editId="33040491">
            <wp:extent cx="5626100" cy="2971800"/>
            <wp:effectExtent l="0" t="0" r="0" b="0"/>
            <wp:docPr id="4" name="Image 18" descr="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Resul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6100" cy="2971800"/>
                    </a:xfrm>
                    <a:prstGeom prst="rect">
                      <a:avLst/>
                    </a:prstGeom>
                    <a:noFill/>
                    <a:ln>
                      <a:noFill/>
                    </a:ln>
                  </pic:spPr>
                </pic:pic>
              </a:graphicData>
            </a:graphic>
          </wp:inline>
        </w:drawing>
      </w:r>
      <w:r w:rsidR="00643EF9" w:rsidRPr="00FD0F60">
        <w:rPr>
          <w:rFonts w:cs="Arial"/>
          <w:b/>
          <w:bCs/>
          <w:color w:val="D2232A"/>
          <w:szCs w:val="20"/>
          <w:lang w:val="en-GB"/>
        </w:rPr>
        <w:t xml:space="preserve"> </w:t>
      </w:r>
    </w:p>
    <w:p w:rsidR="00643EF9" w:rsidRPr="00923645" w:rsidRDefault="00643EF9" w:rsidP="00C352E6">
      <w:pPr>
        <w:pStyle w:val="ECCFiguretitle"/>
      </w:pPr>
      <w:bookmarkStart w:id="22" w:name="_Ref334190339"/>
      <w:r w:rsidRPr="00923645">
        <w:rPr>
          <w:rFonts w:cs="Arial"/>
          <w:bCs/>
          <w:szCs w:val="20"/>
        </w:rPr>
        <w:t>Results for the uniform deployment scenario (conical scan and limb sounder)</w:t>
      </w:r>
      <w:bookmarkEnd w:id="22"/>
    </w:p>
    <w:p w:rsidR="00643EF9" w:rsidRPr="00FD0F60" w:rsidRDefault="00643EF9" w:rsidP="007D4EFA">
      <w:pPr>
        <w:spacing w:before="120"/>
        <w:jc w:val="both"/>
        <w:rPr>
          <w:lang w:val="en-GB"/>
        </w:rPr>
      </w:pPr>
    </w:p>
    <w:p w:rsidR="00643EF9" w:rsidRPr="00FD0F60" w:rsidRDefault="00643EF9" w:rsidP="00683A1B">
      <w:pPr>
        <w:pStyle w:val="ECCParagraph"/>
      </w:pPr>
      <w:r w:rsidRPr="00FD0F60">
        <w:t>These calculations show that even with a very low density, SRD using 20 dBm e.i.r.p. would not be compatible with EESS (passive) in the 122-122.25 GHz band.</w:t>
      </w:r>
    </w:p>
    <w:p w:rsidR="00643EF9" w:rsidRPr="00FD0F60" w:rsidRDefault="00643EF9" w:rsidP="00683A1B">
      <w:pPr>
        <w:pStyle w:val="ECCParagraph"/>
      </w:pPr>
      <w:r w:rsidRPr="00FD0F60">
        <w:t>It is therefore necessary to consider additional conditions to be applied to SRD within the 122-122.25 GHz band.</w:t>
      </w:r>
    </w:p>
    <w:p w:rsidR="00643EF9" w:rsidRPr="00FD0F60" w:rsidRDefault="00643EF9" w:rsidP="00376672">
      <w:pPr>
        <w:pStyle w:val="Heading2"/>
        <w:rPr>
          <w:lang w:val="en-GB"/>
        </w:rPr>
      </w:pPr>
      <w:bookmarkStart w:id="23" w:name="_Ref334190702"/>
      <w:bookmarkStart w:id="24" w:name="_Ref334190719"/>
      <w:bookmarkStart w:id="25" w:name="_Toc356376819"/>
      <w:r w:rsidRPr="00FD0F60">
        <w:rPr>
          <w:lang w:val="en-GB"/>
        </w:rPr>
        <w:t>Analysis with one single SRD (static)</w:t>
      </w:r>
      <w:bookmarkEnd w:id="23"/>
      <w:bookmarkEnd w:id="24"/>
      <w:bookmarkEnd w:id="25"/>
    </w:p>
    <w:p w:rsidR="00643EF9" w:rsidRPr="00FD0F60" w:rsidRDefault="00643EF9" w:rsidP="00683A1B">
      <w:pPr>
        <w:pStyle w:val="ECCParagraph"/>
      </w:pPr>
      <w:r w:rsidRPr="00FD0F60">
        <w:t xml:space="preserve">As mentioned in section </w:t>
      </w:r>
      <w:r>
        <w:fldChar w:fldCharType="begin"/>
      </w:r>
      <w:r>
        <w:instrText xml:space="preserve"> REF _Ref334183215 \r \h </w:instrText>
      </w:r>
      <w:r w:rsidR="00683A1B">
        <w:instrText xml:space="preserve"> \* MERGEFORMAT </w:instrText>
      </w:r>
      <w:r>
        <w:fldChar w:fldCharType="separate"/>
      </w:r>
      <w:r w:rsidR="00437883">
        <w:t>4</w:t>
      </w:r>
      <w:r>
        <w:fldChar w:fldCharType="end"/>
      </w:r>
      <w:r>
        <w:t xml:space="preserve"> </w:t>
      </w:r>
      <w:r w:rsidRPr="00FD0F60">
        <w:t>above, SRD in the 122-123 GHz band will use directive antennas. This means that their operations will in most cases be at relatively low elevation (few tens° maximum) and hence avoid main beam coupling with EESS (passive) sensors.</w:t>
      </w:r>
    </w:p>
    <w:p w:rsidR="00643EF9" w:rsidRPr="00FD0F60" w:rsidRDefault="00643EF9" w:rsidP="00683A1B">
      <w:pPr>
        <w:pStyle w:val="ECCParagraph"/>
      </w:pPr>
      <w:r w:rsidRPr="00FD0F60">
        <w:t>However any misapplication of SRD equipment that would be used at higher elevations would represent a threat to EESS (passive) service, mainly Conical Scan instrument and hence shall be banned.</w:t>
      </w:r>
    </w:p>
    <w:p w:rsidR="00643EF9" w:rsidRPr="00FD0F60" w:rsidRDefault="00643EF9" w:rsidP="00683A1B">
      <w:pPr>
        <w:pStyle w:val="ECCParagraph"/>
      </w:pPr>
      <w:r w:rsidRPr="00FD0F60">
        <w:t xml:space="preserve">This can be done by limiting the maximum e.i.r.p. density of </w:t>
      </w:r>
      <w:r>
        <w:t xml:space="preserve">one single </w:t>
      </w:r>
      <w:r w:rsidRPr="00FD0F60">
        <w:t xml:space="preserve">SRD within the 122-122.25 GHz band (i.e. in a 250 MHz bandwidth) </w:t>
      </w:r>
      <w:r>
        <w:t>to</w:t>
      </w:r>
      <w:r w:rsidRPr="00FD0F60">
        <w:t xml:space="preserve"> a level </w:t>
      </w:r>
      <w:r>
        <w:t xml:space="preserve">that </w:t>
      </w:r>
      <w:r w:rsidRPr="00FD0F60">
        <w:t>meet</w:t>
      </w:r>
      <w:r>
        <w:t>s</w:t>
      </w:r>
      <w:r w:rsidRPr="00FD0F60">
        <w:t xml:space="preserve"> the required protection criteria. </w:t>
      </w:r>
      <w:r>
        <w:t>Those c</w:t>
      </w:r>
      <w:r w:rsidRPr="00FD0F60">
        <w:t>alculation</w:t>
      </w:r>
      <w:r>
        <w:t>s</w:t>
      </w:r>
      <w:r w:rsidRPr="00FD0F60">
        <w:t xml:space="preserve"> </w:t>
      </w:r>
      <w:r>
        <w:t>are</w:t>
      </w:r>
      <w:r w:rsidRPr="00FD0F60">
        <w:t xml:space="preserve"> given in </w:t>
      </w:r>
      <w:r>
        <w:fldChar w:fldCharType="begin"/>
      </w:r>
      <w:r>
        <w:instrText xml:space="preserve"> REF _Ref334183138 \r \h </w:instrText>
      </w:r>
      <w:r>
        <w:fldChar w:fldCharType="separate"/>
      </w:r>
      <w:r w:rsidR="00437883">
        <w:t>Table 6:</w:t>
      </w:r>
      <w:r>
        <w:fldChar w:fldCharType="end"/>
      </w:r>
      <w:r>
        <w:t xml:space="preserve"> </w:t>
      </w:r>
      <w:r w:rsidRPr="00FD0F60">
        <w:t>below.</w:t>
      </w:r>
    </w:p>
    <w:p w:rsidR="00643EF9" w:rsidRPr="00FD0F60" w:rsidRDefault="00643EF9" w:rsidP="00DC780A">
      <w:pPr>
        <w:pStyle w:val="ECCTabletitle"/>
      </w:pPr>
      <w:bookmarkStart w:id="26" w:name="_Ref334183138"/>
      <w:r w:rsidRPr="00FD0F60">
        <w:t>maximum single entry SRD e.i.r.p. density in the 122-122.25 GHz band</w:t>
      </w:r>
      <w:bookmarkEnd w:id="26"/>
      <w:r>
        <w:t xml:space="preserve">, </w:t>
      </w:r>
      <w:r w:rsidR="006329D9">
        <w:br/>
      </w:r>
      <w:r>
        <w:t>EESS conical scan instrument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28"/>
        <w:gridCol w:w="2551"/>
        <w:gridCol w:w="2376"/>
      </w:tblGrid>
      <w:tr w:rsidR="00643EF9" w:rsidTr="00437883">
        <w:trPr>
          <w:tblHeader/>
        </w:trPr>
        <w:tc>
          <w:tcPr>
            <w:tcW w:w="4928" w:type="dxa"/>
            <w:tcBorders>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Pr>
                <w:b/>
                <w:color w:val="FFFFFF"/>
              </w:rPr>
              <w:t>Parameter</w:t>
            </w:r>
            <w:r w:rsidRPr="00FE1795">
              <w:rPr>
                <w:b/>
                <w:color w:val="FFFFFF"/>
              </w:rPr>
              <w:t xml:space="preserve"> </w:t>
            </w:r>
          </w:p>
        </w:tc>
        <w:tc>
          <w:tcPr>
            <w:tcW w:w="2551" w:type="dxa"/>
            <w:tcBorders>
              <w:left w:val="single" w:sz="8" w:space="0" w:color="FFFFFF"/>
              <w:right w:val="single" w:sz="8" w:space="0" w:color="FFFFFF"/>
            </w:tcBorders>
            <w:shd w:val="clear" w:color="auto" w:fill="D2232A"/>
            <w:vAlign w:val="center"/>
          </w:tcPr>
          <w:p w:rsidR="00643EF9" w:rsidRPr="00FE1795" w:rsidRDefault="00643EF9" w:rsidP="000B419D">
            <w:pPr>
              <w:spacing w:line="288" w:lineRule="auto"/>
              <w:jc w:val="center"/>
              <w:rPr>
                <w:b/>
                <w:color w:val="FFFFFF"/>
              </w:rPr>
            </w:pPr>
            <w:r>
              <w:rPr>
                <w:b/>
                <w:color w:val="FFFFFF"/>
              </w:rPr>
              <w:t>Unit</w:t>
            </w:r>
          </w:p>
        </w:tc>
        <w:tc>
          <w:tcPr>
            <w:tcW w:w="2376" w:type="dxa"/>
            <w:tcBorders>
              <w:left w:val="single" w:sz="8" w:space="0" w:color="FFFFFF"/>
            </w:tcBorders>
            <w:shd w:val="clear" w:color="auto" w:fill="D2232A"/>
            <w:vAlign w:val="center"/>
          </w:tcPr>
          <w:p w:rsidR="00643EF9" w:rsidRPr="00FE1795" w:rsidRDefault="00643EF9" w:rsidP="000B419D">
            <w:pPr>
              <w:spacing w:line="288" w:lineRule="auto"/>
              <w:jc w:val="center"/>
              <w:rPr>
                <w:b/>
                <w:color w:val="FFFFFF"/>
              </w:rPr>
            </w:pPr>
            <w:r>
              <w:rPr>
                <w:b/>
                <w:color w:val="FFFFFF"/>
              </w:rPr>
              <w:t>Value</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 xml:space="preserve">Maximum SRD </w:t>
            </w:r>
            <w:r w:rsidR="00C71F37">
              <w:rPr>
                <w:rFonts w:cs="Arial"/>
                <w:color w:val="000000"/>
                <w:szCs w:val="20"/>
                <w:lang w:val="en-GB" w:eastAsia="fr-FR"/>
              </w:rPr>
              <w:t>e.i.r.p.</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dBW</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-10</w:t>
            </w:r>
          </w:p>
        </w:tc>
      </w:tr>
      <w:tr w:rsidR="00643EF9" w:rsidTr="00437883">
        <w:tc>
          <w:tcPr>
            <w:tcW w:w="4928" w:type="dxa"/>
          </w:tcPr>
          <w:p w:rsidR="00643EF9"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Distance SRD - EESS sensor in km</w:t>
            </w:r>
          </w:p>
          <w:p w:rsidR="00643EF9" w:rsidRPr="00FD0F60" w:rsidRDefault="00643EF9" w:rsidP="00683A1B">
            <w:pPr>
              <w:autoSpaceDE w:val="0"/>
              <w:autoSpaceDN w:val="0"/>
              <w:adjustRightInd w:val="0"/>
              <w:rPr>
                <w:rFonts w:cs="Arial"/>
                <w:color w:val="000000"/>
                <w:szCs w:val="20"/>
                <w:lang w:val="en-GB" w:eastAsia="fr-FR"/>
              </w:rPr>
            </w:pPr>
            <w:r>
              <w:rPr>
                <w:rFonts w:cs="Arial"/>
                <w:color w:val="000000"/>
                <w:szCs w:val="20"/>
                <w:lang w:val="en-GB" w:eastAsia="fr-FR"/>
              </w:rPr>
              <w:t>(see Table 3 and figure 1)</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km</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1219</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Space attenuation in dB</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195.9</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Atmospherical loss (</w:t>
            </w:r>
            <w:r w:rsidR="00437883">
              <w:rPr>
                <w:rFonts w:cs="Arial"/>
                <w:color w:val="000000"/>
                <w:szCs w:val="20"/>
                <w:lang w:val="en-GB" w:eastAsia="fr-FR"/>
              </w:rPr>
              <w:t xml:space="preserve">Recommendation </w:t>
            </w:r>
            <w:r w:rsidRPr="00FD0F60">
              <w:rPr>
                <w:rFonts w:cs="Arial"/>
                <w:color w:val="000000"/>
                <w:szCs w:val="20"/>
                <w:lang w:val="en-GB" w:eastAsia="fr-FR"/>
              </w:rPr>
              <w:t>ITU-R P.676)</w:t>
            </w:r>
          </w:p>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(at 53° elevation</w:t>
            </w:r>
            <w:r>
              <w:rPr>
                <w:rFonts w:cs="Arial"/>
                <w:color w:val="000000"/>
                <w:szCs w:val="20"/>
                <w:lang w:val="en-GB" w:eastAsia="fr-FR"/>
              </w:rPr>
              <w:t>, in the EESS sensor main beam</w:t>
            </w:r>
            <w:r w:rsidRPr="00FD0F60">
              <w:rPr>
                <w:rFonts w:cs="Arial"/>
                <w:color w:val="000000"/>
                <w:szCs w:val="20"/>
                <w:lang w:val="en-GB" w:eastAsia="fr-FR"/>
              </w:rPr>
              <w:t>)</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4.2</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EESS antenna gain in dBi</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dBi</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55</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Received power at the EESS</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dBW</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-155.1</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EESS interference threshold in a reference bandwidth of 200 MHz</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dBW/200 MHz</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-166</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EESS interference threshold in the common band of 250 MHz</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dBW/250 MHz</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-165</w:t>
            </w:r>
          </w:p>
        </w:tc>
      </w:tr>
      <w:tr w:rsidR="00643EF9" w:rsidTr="00437883">
        <w:tc>
          <w:tcPr>
            <w:tcW w:w="4928" w:type="dxa"/>
          </w:tcPr>
          <w:p w:rsidR="00643EF9" w:rsidRPr="00FD0F60" w:rsidRDefault="00643EF9" w:rsidP="00683A1B">
            <w:pPr>
              <w:autoSpaceDE w:val="0"/>
              <w:autoSpaceDN w:val="0"/>
              <w:adjustRightInd w:val="0"/>
              <w:rPr>
                <w:rFonts w:cs="Arial"/>
                <w:b/>
                <w:bCs/>
                <w:color w:val="000000"/>
                <w:szCs w:val="20"/>
                <w:lang w:val="en-GB" w:eastAsia="fr-FR"/>
              </w:rPr>
            </w:pPr>
            <w:r w:rsidRPr="00FD0F60">
              <w:rPr>
                <w:rFonts w:cs="Arial"/>
                <w:b/>
                <w:bCs/>
                <w:color w:val="000000"/>
                <w:szCs w:val="20"/>
                <w:lang w:val="en-GB" w:eastAsia="fr-FR"/>
              </w:rPr>
              <w:t>Margin for 1 single SRD operating with 250 MHz bandwidth</w:t>
            </w:r>
          </w:p>
        </w:tc>
        <w:tc>
          <w:tcPr>
            <w:tcW w:w="2551" w:type="dxa"/>
          </w:tcPr>
          <w:p w:rsidR="00643EF9" w:rsidRPr="00FD0F60" w:rsidRDefault="00643EF9" w:rsidP="00683A1B">
            <w:pPr>
              <w:autoSpaceDE w:val="0"/>
              <w:autoSpaceDN w:val="0"/>
              <w:adjustRightInd w:val="0"/>
              <w:rPr>
                <w:rFonts w:cs="Arial"/>
                <w:b/>
                <w:bCs/>
                <w:color w:val="000000"/>
                <w:szCs w:val="20"/>
                <w:lang w:val="en-GB" w:eastAsia="fr-FR"/>
              </w:rPr>
            </w:pPr>
            <w:r w:rsidRPr="00FD0F60">
              <w:rPr>
                <w:rFonts w:cs="Arial"/>
                <w:b/>
                <w:bCs/>
                <w:color w:val="000000"/>
                <w:szCs w:val="20"/>
                <w:lang w:val="en-GB" w:eastAsia="fr-FR"/>
              </w:rPr>
              <w:t>dB</w:t>
            </w:r>
          </w:p>
        </w:tc>
        <w:tc>
          <w:tcPr>
            <w:tcW w:w="2376" w:type="dxa"/>
          </w:tcPr>
          <w:p w:rsidR="00643EF9" w:rsidRPr="00FD0F60" w:rsidRDefault="00643EF9" w:rsidP="00683A1B">
            <w:pPr>
              <w:autoSpaceDE w:val="0"/>
              <w:autoSpaceDN w:val="0"/>
              <w:adjustRightInd w:val="0"/>
              <w:rPr>
                <w:rFonts w:cs="Arial"/>
                <w:b/>
                <w:bCs/>
                <w:color w:val="000000"/>
                <w:szCs w:val="20"/>
                <w:lang w:val="en-GB" w:eastAsia="fr-FR"/>
              </w:rPr>
            </w:pPr>
            <w:r w:rsidRPr="00FD0F60">
              <w:rPr>
                <w:rFonts w:cs="Arial"/>
                <w:b/>
                <w:bCs/>
                <w:color w:val="000000"/>
                <w:szCs w:val="20"/>
                <w:lang w:val="en-GB" w:eastAsia="fr-FR"/>
              </w:rPr>
              <w:t>-9.9</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 xml:space="preserve">Required SRD maximum </w:t>
            </w:r>
            <w:r w:rsidR="00C71F37">
              <w:rPr>
                <w:rFonts w:cs="Arial"/>
                <w:color w:val="000000"/>
                <w:szCs w:val="20"/>
                <w:lang w:val="en-GB" w:eastAsia="fr-FR"/>
              </w:rPr>
              <w:t>e.i.r.p.</w:t>
            </w:r>
            <w:r w:rsidRPr="00FD0F60">
              <w:rPr>
                <w:rFonts w:cs="Arial"/>
                <w:color w:val="000000"/>
                <w:szCs w:val="20"/>
                <w:lang w:val="en-GB" w:eastAsia="fr-FR"/>
              </w:rPr>
              <w:t xml:space="preserve"> density</w:t>
            </w:r>
          </w:p>
        </w:tc>
        <w:tc>
          <w:tcPr>
            <w:tcW w:w="2551"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dBW/250 MHz</w:t>
            </w:r>
          </w:p>
        </w:tc>
        <w:tc>
          <w:tcPr>
            <w:tcW w:w="2376"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-20</w:t>
            </w:r>
          </w:p>
        </w:tc>
      </w:tr>
      <w:tr w:rsidR="00643EF9" w:rsidTr="00437883">
        <w:tc>
          <w:tcPr>
            <w:tcW w:w="4928" w:type="dxa"/>
          </w:tcPr>
          <w:p w:rsidR="00643EF9" w:rsidRPr="00FD0F60" w:rsidRDefault="00643EF9" w:rsidP="00683A1B">
            <w:pPr>
              <w:autoSpaceDE w:val="0"/>
              <w:autoSpaceDN w:val="0"/>
              <w:adjustRightInd w:val="0"/>
              <w:rPr>
                <w:rFonts w:cs="Arial"/>
                <w:color w:val="000000"/>
                <w:szCs w:val="20"/>
                <w:lang w:val="en-GB" w:eastAsia="fr-FR"/>
              </w:rPr>
            </w:pPr>
            <w:r w:rsidRPr="00FD0F60">
              <w:rPr>
                <w:rFonts w:cs="Arial"/>
                <w:color w:val="000000"/>
                <w:szCs w:val="20"/>
                <w:lang w:val="en-GB" w:eastAsia="fr-FR"/>
              </w:rPr>
              <w:t xml:space="preserve">Required SRD maximum </w:t>
            </w:r>
            <w:r w:rsidR="00C71F37">
              <w:rPr>
                <w:rFonts w:cs="Arial"/>
                <w:color w:val="000000"/>
                <w:szCs w:val="20"/>
                <w:lang w:val="en-GB" w:eastAsia="fr-FR"/>
              </w:rPr>
              <w:t>e.i.r.p.</w:t>
            </w:r>
            <w:r w:rsidRPr="00FD0F60">
              <w:rPr>
                <w:rFonts w:cs="Arial"/>
                <w:color w:val="000000"/>
                <w:szCs w:val="20"/>
                <w:lang w:val="en-GB" w:eastAsia="fr-FR"/>
              </w:rPr>
              <w:t xml:space="preserve"> density</w:t>
            </w:r>
          </w:p>
        </w:tc>
        <w:tc>
          <w:tcPr>
            <w:tcW w:w="2551" w:type="dxa"/>
          </w:tcPr>
          <w:p w:rsidR="00643EF9" w:rsidRPr="00FD0F60" w:rsidRDefault="00643EF9" w:rsidP="00683A1B">
            <w:pPr>
              <w:autoSpaceDE w:val="0"/>
              <w:autoSpaceDN w:val="0"/>
              <w:adjustRightInd w:val="0"/>
              <w:rPr>
                <w:rFonts w:cs="Arial"/>
                <w:b/>
                <w:bCs/>
                <w:color w:val="000000"/>
                <w:szCs w:val="20"/>
                <w:lang w:val="en-GB" w:eastAsia="fr-FR"/>
              </w:rPr>
            </w:pPr>
            <w:r w:rsidRPr="00FD0F60">
              <w:rPr>
                <w:rFonts w:cs="Arial"/>
                <w:b/>
                <w:bCs/>
                <w:color w:val="000000"/>
                <w:szCs w:val="20"/>
                <w:lang w:val="en-GB" w:eastAsia="fr-FR"/>
              </w:rPr>
              <w:t>dBm/250 MHz</w:t>
            </w:r>
          </w:p>
        </w:tc>
        <w:tc>
          <w:tcPr>
            <w:tcW w:w="2376" w:type="dxa"/>
          </w:tcPr>
          <w:p w:rsidR="00643EF9" w:rsidRPr="00FD0F60" w:rsidRDefault="00643EF9" w:rsidP="00683A1B">
            <w:pPr>
              <w:autoSpaceDE w:val="0"/>
              <w:autoSpaceDN w:val="0"/>
              <w:adjustRightInd w:val="0"/>
              <w:rPr>
                <w:rFonts w:cs="Arial"/>
                <w:b/>
                <w:bCs/>
                <w:color w:val="000000"/>
                <w:szCs w:val="20"/>
                <w:lang w:val="en-GB" w:eastAsia="fr-FR"/>
              </w:rPr>
            </w:pPr>
            <w:r w:rsidRPr="00FD0F60">
              <w:rPr>
                <w:rFonts w:cs="Arial"/>
                <w:b/>
                <w:bCs/>
                <w:color w:val="000000"/>
                <w:szCs w:val="20"/>
                <w:lang w:val="en-GB" w:eastAsia="fr-FR"/>
              </w:rPr>
              <w:t>10</w:t>
            </w:r>
          </w:p>
        </w:tc>
      </w:tr>
    </w:tbl>
    <w:p w:rsidR="00643EF9" w:rsidRDefault="00643EF9" w:rsidP="00147597">
      <w:pPr>
        <w:pStyle w:val="ECCTablenote"/>
      </w:pPr>
    </w:p>
    <w:p w:rsidR="00643EF9" w:rsidRPr="00FD0F60" w:rsidRDefault="00643EF9" w:rsidP="00376672">
      <w:pPr>
        <w:pStyle w:val="Heading2"/>
        <w:rPr>
          <w:lang w:val="en-GB"/>
        </w:rPr>
      </w:pPr>
      <w:bookmarkStart w:id="27" w:name="_Toc356376820"/>
      <w:r w:rsidRPr="00FD0F60">
        <w:rPr>
          <w:lang w:val="en-GB"/>
        </w:rPr>
        <w:t>Hot spot scenario (dynamic)</w:t>
      </w:r>
      <w:bookmarkEnd w:id="27"/>
    </w:p>
    <w:p w:rsidR="00643EF9" w:rsidRPr="00FD0F60" w:rsidRDefault="00643EF9" w:rsidP="00683A1B">
      <w:pPr>
        <w:pStyle w:val="ECCParagraph"/>
      </w:pPr>
      <w:r w:rsidRPr="00FD0F60">
        <w:t>EESS (passive) protection criteria for “nadir” instruments (such as conical scans) are given for a 0.01% of area (or time) over a 2000000 km² reference area, hence representing a maximum of 200 km² in which permissible interference is exceeded.</w:t>
      </w:r>
    </w:p>
    <w:p w:rsidR="00643EF9" w:rsidRPr="00FD0F60" w:rsidRDefault="00643EF9" w:rsidP="00683A1B">
      <w:pPr>
        <w:pStyle w:val="ECCParagraph"/>
      </w:pPr>
      <w:r w:rsidRPr="00FD0F60">
        <w:t>With a 55 dBi antenna assumed for such conical scan instruments in the 122 GHz band, the size of the sensor pixel is roughly 100 km², hence allowing for only 2 pixels interfered over the reference area (representing about Western Europe).</w:t>
      </w:r>
    </w:p>
    <w:p w:rsidR="00643EF9" w:rsidRPr="00FD0F60" w:rsidRDefault="00643EF9" w:rsidP="00683A1B">
      <w:pPr>
        <w:pStyle w:val="ECCParagraph"/>
      </w:pPr>
      <w:r w:rsidRPr="00FD0F60">
        <w:t>To this respect, protection of EESS (passive) is hence an issue for “hot-spots” and not for uniform spreading density.</w:t>
      </w:r>
    </w:p>
    <w:p w:rsidR="00643EF9" w:rsidRPr="00FD0F60" w:rsidRDefault="00643EF9" w:rsidP="00683A1B">
      <w:pPr>
        <w:pStyle w:val="ECCParagraph"/>
      </w:pPr>
      <w:r>
        <w:t>Thus,</w:t>
      </w:r>
      <w:r w:rsidRPr="00FD0F60">
        <w:t xml:space="preserve"> the scenario type “Great Paris” with a 21 outdoor SRD per km² </w:t>
      </w:r>
      <w:r>
        <w:t xml:space="preserve">(see </w:t>
      </w:r>
      <w:r>
        <w:fldChar w:fldCharType="begin"/>
      </w:r>
      <w:r>
        <w:instrText xml:space="preserve"> REF _Ref334183195 \r \h </w:instrText>
      </w:r>
      <w:r w:rsidR="00683A1B">
        <w:instrText xml:space="preserve"> \* MERGEFORMAT </w:instrText>
      </w:r>
      <w:r>
        <w:fldChar w:fldCharType="separate"/>
      </w:r>
      <w:r w:rsidR="00437883">
        <w:t>Table 5:</w:t>
      </w:r>
      <w:r>
        <w:fldChar w:fldCharType="end"/>
      </w:r>
      <w:r>
        <w:t xml:space="preserve"> </w:t>
      </w:r>
      <w:r w:rsidRPr="00FD0F60">
        <w:t xml:space="preserve">in Section </w:t>
      </w:r>
      <w:r>
        <w:fldChar w:fldCharType="begin"/>
      </w:r>
      <w:r>
        <w:instrText xml:space="preserve"> REF _Ref334183227 \r \h </w:instrText>
      </w:r>
      <w:r w:rsidR="00683A1B">
        <w:instrText xml:space="preserve"> \* MERGEFORMAT </w:instrText>
      </w:r>
      <w:r>
        <w:fldChar w:fldCharType="separate"/>
      </w:r>
      <w:r w:rsidR="00437883">
        <w:t>4</w:t>
      </w:r>
      <w:r>
        <w:fldChar w:fldCharType="end"/>
      </w:r>
      <w:r>
        <w:t>)</w:t>
      </w:r>
      <w:r w:rsidRPr="00FD0F60">
        <w:t xml:space="preserve"> </w:t>
      </w:r>
      <w:r>
        <w:t xml:space="preserve">was assumed to </w:t>
      </w:r>
      <w:proofErr w:type="gramStart"/>
      <w:r>
        <w:t>be</w:t>
      </w:r>
      <w:r w:rsidRPr="00FD0F60">
        <w:t xml:space="preserve">  representative</w:t>
      </w:r>
      <w:proofErr w:type="gramEnd"/>
      <w:r w:rsidRPr="00FD0F60">
        <w:t xml:space="preserve"> of a typical urban SRD deployment</w:t>
      </w:r>
      <w:r>
        <w:t xml:space="preserve"> and used in the simulation below</w:t>
      </w:r>
      <w:r w:rsidRPr="00FD0F60">
        <w:t>.</w:t>
      </w:r>
    </w:p>
    <w:p w:rsidR="00643EF9" w:rsidRDefault="00643EF9" w:rsidP="007D4EFA">
      <w:pPr>
        <w:spacing w:before="120"/>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643EF9" w:rsidRPr="00FD0F60" w:rsidTr="00FD0F60">
        <w:tc>
          <w:tcPr>
            <w:tcW w:w="9212" w:type="dxa"/>
            <w:tcBorders>
              <w:top w:val="nil"/>
              <w:left w:val="nil"/>
              <w:bottom w:val="nil"/>
              <w:right w:val="nil"/>
            </w:tcBorders>
          </w:tcPr>
          <w:p w:rsidR="00643EF9" w:rsidRPr="00FD0F60" w:rsidRDefault="00C71F37" w:rsidP="00FD0F60">
            <w:pPr>
              <w:spacing w:before="120"/>
              <w:jc w:val="center"/>
              <w:rPr>
                <w:lang w:val="en-GB"/>
              </w:rPr>
            </w:pPr>
            <w:r>
              <w:rPr>
                <w:noProof/>
                <w:lang w:val="da-DK" w:eastAsia="da-DK"/>
              </w:rPr>
              <w:drawing>
                <wp:inline distT="0" distB="0" distL="0" distR="0" wp14:anchorId="3C2FF110" wp14:editId="163FCA1B">
                  <wp:extent cx="4673600" cy="3467100"/>
                  <wp:effectExtent l="0" t="0" r="0" b="0"/>
                  <wp:docPr id="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3600" cy="3467100"/>
                          </a:xfrm>
                          <a:prstGeom prst="rect">
                            <a:avLst/>
                          </a:prstGeom>
                          <a:noFill/>
                          <a:ln>
                            <a:noFill/>
                          </a:ln>
                        </pic:spPr>
                      </pic:pic>
                    </a:graphicData>
                  </a:graphic>
                </wp:inline>
              </w:drawing>
            </w:r>
          </w:p>
        </w:tc>
      </w:tr>
    </w:tbl>
    <w:p w:rsidR="00643EF9" w:rsidRDefault="00643EF9" w:rsidP="00C352E6">
      <w:pPr>
        <w:pStyle w:val="ECCFiguretitle"/>
        <w:rPr>
          <w:rFonts w:cs="Arial"/>
          <w:szCs w:val="20"/>
        </w:rPr>
      </w:pPr>
      <w:r w:rsidRPr="00641507">
        <w:rPr>
          <w:rFonts w:cs="Arial"/>
          <w:bCs/>
          <w:szCs w:val="20"/>
        </w:rPr>
        <w:t xml:space="preserve">Hot spot SRD deployment over Europe. </w:t>
      </w:r>
      <w:r w:rsidR="00683A1B">
        <w:rPr>
          <w:rFonts w:cs="Arial"/>
          <w:bCs/>
          <w:szCs w:val="20"/>
        </w:rPr>
        <w:br/>
      </w:r>
      <w:r w:rsidRPr="006329D9">
        <w:rPr>
          <w:rFonts w:cs="Arial"/>
          <w:szCs w:val="20"/>
        </w:rPr>
        <w:t>(</w:t>
      </w:r>
      <w:r w:rsidR="00DE7DF8">
        <w:rPr>
          <w:rFonts w:cs="Arial"/>
          <w:szCs w:val="20"/>
        </w:rPr>
        <w:t>I</w:t>
      </w:r>
      <w:r w:rsidRPr="006329D9">
        <w:rPr>
          <w:rFonts w:cs="Arial"/>
          <w:szCs w:val="20"/>
        </w:rPr>
        <w:t>n</w:t>
      </w:r>
      <w:r w:rsidR="00DE7DF8">
        <w:rPr>
          <w:rFonts w:cs="Arial"/>
          <w:szCs w:val="20"/>
        </w:rPr>
        <w:t xml:space="preserve"> black: T</w:t>
      </w:r>
      <w:r w:rsidRPr="006329D9">
        <w:rPr>
          <w:rFonts w:cs="Arial"/>
          <w:szCs w:val="20"/>
        </w:rPr>
        <w:t xml:space="preserve">he satellite track on the Earth during a time interval of 24h </w:t>
      </w:r>
      <w:r w:rsidR="00DE7DF8">
        <w:rPr>
          <w:rFonts w:cs="Arial"/>
          <w:szCs w:val="20"/>
        </w:rPr>
        <w:br/>
      </w:r>
      <w:r w:rsidRPr="006329D9">
        <w:rPr>
          <w:rFonts w:cs="Arial"/>
          <w:szCs w:val="20"/>
        </w:rPr>
        <w:t xml:space="preserve">and in pink: </w:t>
      </w:r>
      <w:r w:rsidR="00DE7DF8">
        <w:rPr>
          <w:rFonts w:cs="Arial"/>
          <w:szCs w:val="20"/>
        </w:rPr>
        <w:t>T</w:t>
      </w:r>
      <w:r w:rsidRPr="006329D9">
        <w:rPr>
          <w:rFonts w:cs="Arial"/>
          <w:szCs w:val="20"/>
        </w:rPr>
        <w:t>he conical scan trace).</w:t>
      </w:r>
    </w:p>
    <w:p w:rsidR="00643EF9" w:rsidRDefault="00643EF9" w:rsidP="00683A1B">
      <w:pPr>
        <w:pStyle w:val="ECCParagraph"/>
      </w:pPr>
      <w:r>
        <w:fldChar w:fldCharType="begin"/>
      </w:r>
      <w:r>
        <w:instrText xml:space="preserve"> REF _Ref334190663 \r \h </w:instrText>
      </w:r>
      <w:r>
        <w:fldChar w:fldCharType="separate"/>
      </w:r>
      <w:r w:rsidR="00437883">
        <w:t>Figure 6:</w:t>
      </w:r>
      <w:r>
        <w:fldChar w:fldCharType="end"/>
      </w:r>
      <w:r>
        <w:t xml:space="preserve">6 </w:t>
      </w:r>
      <w:r w:rsidRPr="00FD0F60">
        <w:t>below provides the corresponding interference distribution for Conical scan instruments showing a maximum interference of -121 dBW within the 200 MHz EESS reference bandwidth, thus exceeding EESS (passive) protection by 45 dB.</w:t>
      </w:r>
    </w:p>
    <w:tbl>
      <w:tblPr>
        <w:tblW w:w="0" w:type="auto"/>
        <w:tblLook w:val="00A0" w:firstRow="1" w:lastRow="0" w:firstColumn="1" w:lastColumn="0" w:noHBand="0" w:noVBand="0"/>
      </w:tblPr>
      <w:tblGrid>
        <w:gridCol w:w="9855"/>
      </w:tblGrid>
      <w:tr w:rsidR="00643EF9" w:rsidRPr="00FD0F60" w:rsidTr="00683A1B">
        <w:tc>
          <w:tcPr>
            <w:tcW w:w="9854" w:type="dxa"/>
          </w:tcPr>
          <w:p w:rsidR="00643EF9" w:rsidRPr="00FD0F60" w:rsidRDefault="00C71F37" w:rsidP="00FD0F60">
            <w:pPr>
              <w:spacing w:before="120"/>
              <w:jc w:val="center"/>
              <w:rPr>
                <w:lang w:val="en-GB"/>
              </w:rPr>
            </w:pPr>
            <w:r>
              <w:rPr>
                <w:noProof/>
                <w:lang w:val="da-DK" w:eastAsia="da-DK"/>
              </w:rPr>
              <w:drawing>
                <wp:inline distT="0" distB="0" distL="0" distR="0" wp14:anchorId="283938BD" wp14:editId="364276B7">
                  <wp:extent cx="6121400" cy="2857500"/>
                  <wp:effectExtent l="0" t="0" r="0" b="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2857500"/>
                          </a:xfrm>
                          <a:prstGeom prst="rect">
                            <a:avLst/>
                          </a:prstGeom>
                          <a:noFill/>
                          <a:ln>
                            <a:noFill/>
                          </a:ln>
                        </pic:spPr>
                      </pic:pic>
                    </a:graphicData>
                  </a:graphic>
                </wp:inline>
              </w:drawing>
            </w:r>
          </w:p>
        </w:tc>
      </w:tr>
    </w:tbl>
    <w:p w:rsidR="00643EF9" w:rsidRPr="00641507" w:rsidRDefault="00643EF9" w:rsidP="00C352E6">
      <w:pPr>
        <w:pStyle w:val="ECCFiguretitle"/>
        <w:rPr>
          <w:rFonts w:cs="Arial"/>
          <w:bCs/>
          <w:szCs w:val="20"/>
        </w:rPr>
      </w:pPr>
      <w:bookmarkStart w:id="28" w:name="_Ref334190663"/>
      <w:r w:rsidRPr="00641507">
        <w:rPr>
          <w:rFonts w:cs="Arial"/>
          <w:bCs/>
          <w:szCs w:val="20"/>
        </w:rPr>
        <w:t>Results for the “hot spot” scenario (conical scan only)</w:t>
      </w:r>
      <w:bookmarkEnd w:id="28"/>
    </w:p>
    <w:p w:rsidR="00643EF9" w:rsidRPr="00FD0F60" w:rsidRDefault="00643EF9" w:rsidP="00683A1B">
      <w:pPr>
        <w:pStyle w:val="ECCParagraph"/>
      </w:pPr>
      <w:r w:rsidRPr="00FD0F60">
        <w:t xml:space="preserve">Considering this hot spot scenario, such result would hence lead to a </w:t>
      </w:r>
      <w:r w:rsidRPr="00FD0F60">
        <w:rPr>
          <w:b/>
        </w:rPr>
        <w:t>-</w:t>
      </w:r>
      <w:r>
        <w:rPr>
          <w:b/>
        </w:rPr>
        <w:t>2</w:t>
      </w:r>
      <w:r w:rsidRPr="00FD0F60">
        <w:rPr>
          <w:b/>
        </w:rPr>
        <w:t>5 dB</w:t>
      </w:r>
      <w:r>
        <w:rPr>
          <w:b/>
        </w:rPr>
        <w:t>m</w:t>
      </w:r>
      <w:r w:rsidRPr="00FD0F60">
        <w:rPr>
          <w:b/>
        </w:rPr>
        <w:t>/200 MHz</w:t>
      </w:r>
      <w:r w:rsidRPr="00FD0F60">
        <w:t xml:space="preserve"> maximum e</w:t>
      </w:r>
      <w:r w:rsidR="00683A1B">
        <w:t>.</w:t>
      </w:r>
      <w:r w:rsidRPr="00FD0F60">
        <w:t>i</w:t>
      </w:r>
      <w:r w:rsidR="00683A1B">
        <w:t>.</w:t>
      </w:r>
      <w:r w:rsidRPr="00FD0F60">
        <w:t>r</w:t>
      </w:r>
      <w:r w:rsidR="00683A1B">
        <w:t>.</w:t>
      </w:r>
      <w:r w:rsidRPr="00FD0F60">
        <w:t>p</w:t>
      </w:r>
      <w:r w:rsidR="00683A1B">
        <w:t>.</w:t>
      </w:r>
      <w:r w:rsidRPr="00FD0F60">
        <w:t xml:space="preserve"> (</w:t>
      </w:r>
      <w:r w:rsidRPr="00FD0F60">
        <w:rPr>
          <w:b/>
        </w:rPr>
        <w:t>or -48 dBm/MHz</w:t>
      </w:r>
      <w:r w:rsidRPr="00FD0F60">
        <w:t>).</w:t>
      </w:r>
    </w:p>
    <w:p w:rsidR="00643EF9" w:rsidRPr="00FD0F60" w:rsidRDefault="00643EF9" w:rsidP="00683A1B">
      <w:pPr>
        <w:pStyle w:val="ECCParagraph"/>
      </w:pPr>
      <w:r w:rsidRPr="00FD0F60">
        <w:t xml:space="preserve">One can note that this calculation is consistent with a “static” calculation as follows: </w:t>
      </w:r>
    </w:p>
    <w:p w:rsidR="00643EF9" w:rsidRPr="00FD0F60" w:rsidRDefault="00643EF9" w:rsidP="00683A1B">
      <w:pPr>
        <w:pStyle w:val="ECCParBulleted"/>
        <w:numPr>
          <w:ilvl w:val="0"/>
          <w:numId w:val="40"/>
        </w:numPr>
        <w:spacing w:before="120"/>
      </w:pPr>
      <w:r w:rsidRPr="00FD0F60">
        <w:t>Required maximum e</w:t>
      </w:r>
      <w:r>
        <w:t>.</w:t>
      </w:r>
      <w:r w:rsidRPr="00FD0F60">
        <w:t>i</w:t>
      </w:r>
      <w:r>
        <w:t>.</w:t>
      </w:r>
      <w:r w:rsidRPr="00FD0F60">
        <w:t>r</w:t>
      </w:r>
      <w:r>
        <w:t>.</w:t>
      </w:r>
      <w:r w:rsidRPr="00FD0F60">
        <w:t>p</w:t>
      </w:r>
      <w:r>
        <w:t>.</w:t>
      </w:r>
      <w:r w:rsidRPr="00FD0F60">
        <w:t xml:space="preserve">for 1 single SRD (see section </w:t>
      </w:r>
      <w:r>
        <w:fldChar w:fldCharType="begin"/>
      </w:r>
      <w:r>
        <w:instrText xml:space="preserve"> REF _Ref334190702 \r \h </w:instrText>
      </w:r>
      <w:r>
        <w:fldChar w:fldCharType="separate"/>
      </w:r>
      <w:r w:rsidR="00437883">
        <w:t>6.2</w:t>
      </w:r>
      <w:r>
        <w:fldChar w:fldCharType="end"/>
      </w:r>
      <w:r>
        <w:t xml:space="preserve"> </w:t>
      </w:r>
      <w:r w:rsidRPr="00FD0F60">
        <w:t>above) = 10 dBm/250 MHz</w:t>
      </w:r>
    </w:p>
    <w:p w:rsidR="00643EF9" w:rsidRPr="00FD0F60" w:rsidRDefault="00643EF9" w:rsidP="00683A1B">
      <w:pPr>
        <w:pStyle w:val="ECCParBulleted"/>
        <w:numPr>
          <w:ilvl w:val="0"/>
          <w:numId w:val="40"/>
        </w:numPr>
        <w:spacing w:before="120"/>
      </w:pPr>
      <w:r w:rsidRPr="00FD0F60">
        <w:t>Required maximum e</w:t>
      </w:r>
      <w:r>
        <w:t>.</w:t>
      </w:r>
      <w:r w:rsidRPr="00FD0F60">
        <w:t>i</w:t>
      </w:r>
      <w:r>
        <w:t>.</w:t>
      </w:r>
      <w:r w:rsidRPr="00FD0F60">
        <w:t>r</w:t>
      </w:r>
      <w:r>
        <w:t>.</w:t>
      </w:r>
      <w:r w:rsidRPr="00FD0F60">
        <w:t>p</w:t>
      </w:r>
      <w:r>
        <w:t>.</w:t>
      </w:r>
      <w:r w:rsidRPr="00FD0F60">
        <w:t xml:space="preserve"> for 1 single SRD (see section </w:t>
      </w:r>
      <w:r>
        <w:fldChar w:fldCharType="begin"/>
      </w:r>
      <w:r>
        <w:instrText xml:space="preserve"> REF _Ref334190719 \r \h </w:instrText>
      </w:r>
      <w:r>
        <w:fldChar w:fldCharType="separate"/>
      </w:r>
      <w:r w:rsidR="00437883">
        <w:t>6.2</w:t>
      </w:r>
      <w:r>
        <w:fldChar w:fldCharType="end"/>
      </w:r>
      <w:r>
        <w:t xml:space="preserve"> </w:t>
      </w:r>
      <w:r w:rsidRPr="00FD0F60">
        <w:t>above) = -14 dBm/MHz</w:t>
      </w:r>
    </w:p>
    <w:p w:rsidR="00643EF9" w:rsidRPr="00FD0F60" w:rsidRDefault="00643EF9" w:rsidP="00683A1B">
      <w:pPr>
        <w:pStyle w:val="ECCParBulleted"/>
        <w:numPr>
          <w:ilvl w:val="0"/>
          <w:numId w:val="40"/>
        </w:numPr>
        <w:spacing w:before="120"/>
      </w:pPr>
      <w:r w:rsidRPr="00FD0F60">
        <w:t>Number of SRD in the EESS pixel for hot spot = 21 (SRD/km²) * 100 (km²) = 2100 = 33.2 dB</w:t>
      </w:r>
    </w:p>
    <w:p w:rsidR="00643EF9" w:rsidRPr="00FD0F60" w:rsidRDefault="00643EF9" w:rsidP="00683A1B">
      <w:pPr>
        <w:pStyle w:val="ECCParBulleted"/>
        <w:numPr>
          <w:ilvl w:val="0"/>
          <w:numId w:val="40"/>
        </w:numPr>
        <w:spacing w:before="120"/>
      </w:pPr>
      <w:r w:rsidRPr="00FD0F60">
        <w:t>Required maximum e</w:t>
      </w:r>
      <w:r>
        <w:t>.</w:t>
      </w:r>
      <w:r w:rsidRPr="00FD0F60">
        <w:t>i</w:t>
      </w:r>
      <w:r>
        <w:t>.</w:t>
      </w:r>
      <w:r w:rsidRPr="00FD0F60">
        <w:t>r</w:t>
      </w:r>
      <w:r>
        <w:t>.</w:t>
      </w:r>
      <w:r w:rsidRPr="00FD0F60">
        <w:t>p</w:t>
      </w:r>
      <w:r>
        <w:t>.</w:t>
      </w:r>
      <w:r w:rsidRPr="00FD0F60">
        <w:t xml:space="preserve"> for hot spot = -14 -33.2 </w:t>
      </w:r>
      <w:r w:rsidRPr="005155ED">
        <w:t>=</w:t>
      </w:r>
      <w:r w:rsidRPr="003503D1">
        <w:t>-47.2 dBm/MHz</w:t>
      </w:r>
      <w:r w:rsidR="00683A1B">
        <w:t>.</w:t>
      </w:r>
    </w:p>
    <w:p w:rsidR="00643EF9" w:rsidRDefault="00643EF9" w:rsidP="007D4EFA">
      <w:pPr>
        <w:spacing w:before="120"/>
        <w:jc w:val="both"/>
        <w:rPr>
          <w:lang w:val="en-GB"/>
        </w:rPr>
      </w:pPr>
    </w:p>
    <w:p w:rsidR="00643EF9" w:rsidRPr="00FD0F60" w:rsidRDefault="00643EF9" w:rsidP="00683A1B">
      <w:pPr>
        <w:pStyle w:val="ECCParagraph"/>
      </w:pPr>
      <w:r w:rsidRPr="00FD0F60">
        <w:t>On the other hand, taking into account the geometry between EESS (passive) conical scan instruments and high atmospheric attenuation at low elevation, it can be expected that the interference mechanism of EESS (passive) from an aggregation of SRD in hot spot is more than likely controlled by the SRD e</w:t>
      </w:r>
      <w:r>
        <w:t>.</w:t>
      </w:r>
      <w:r w:rsidRPr="00FD0F60">
        <w:t>i</w:t>
      </w:r>
      <w:r>
        <w:t>.</w:t>
      </w:r>
      <w:r w:rsidRPr="00FD0F60">
        <w:t>r</w:t>
      </w:r>
      <w:r>
        <w:t>.</w:t>
      </w:r>
      <w:r w:rsidRPr="00FD0F60">
        <w:t>p</w:t>
      </w:r>
      <w:r>
        <w:t>.</w:t>
      </w:r>
      <w:r w:rsidRPr="00FD0F60">
        <w:t xml:space="preserve"> at relatively high elevation (above 30°).</w:t>
      </w:r>
    </w:p>
    <w:p w:rsidR="00643EF9" w:rsidRPr="00FD0F60" w:rsidRDefault="00643EF9" w:rsidP="00683A1B">
      <w:pPr>
        <w:pStyle w:val="ECCParagraph"/>
      </w:pPr>
      <w:r w:rsidRPr="00FD0F60">
        <w:t xml:space="preserve">To this respect, one can assume that limiting the </w:t>
      </w:r>
      <w:r w:rsidRPr="00FD0F60">
        <w:rPr>
          <w:b/>
        </w:rPr>
        <w:t xml:space="preserve">SRD </w:t>
      </w:r>
      <w:r w:rsidR="00C71F37">
        <w:rPr>
          <w:b/>
        </w:rPr>
        <w:t>e.i.r.p.</w:t>
      </w:r>
      <w:r w:rsidRPr="00FD0F60">
        <w:rPr>
          <w:b/>
        </w:rPr>
        <w:t xml:space="preserve"> to -48 dBm/MHz above 30°</w:t>
      </w:r>
      <w:r w:rsidRPr="00FD0F60">
        <w:t xml:space="preserve"> would be sufficient to avoid interference towards conical scan sensors from “hot spot” SRD deployment in the 122-122.25 GHz band.</w:t>
      </w:r>
    </w:p>
    <w:p w:rsidR="00643EF9" w:rsidRPr="00FD0F60" w:rsidRDefault="00643EF9" w:rsidP="007D4EFA">
      <w:pPr>
        <w:spacing w:before="120"/>
        <w:jc w:val="both"/>
        <w:rPr>
          <w:lang w:val="en-GB"/>
        </w:rPr>
      </w:pPr>
    </w:p>
    <w:p w:rsidR="00643EF9" w:rsidRPr="00FD0F60" w:rsidRDefault="00643EF9" w:rsidP="006C2210">
      <w:pPr>
        <w:pStyle w:val="Heading1"/>
      </w:pPr>
      <w:bookmarkStart w:id="29" w:name="_Toc356376821"/>
      <w:r w:rsidRPr="00FD0F60">
        <w:t>Conclusions</w:t>
      </w:r>
      <w:bookmarkEnd w:id="29"/>
      <w:r>
        <w:t xml:space="preserve"> </w:t>
      </w:r>
    </w:p>
    <w:p w:rsidR="00643EF9" w:rsidRDefault="00643EF9" w:rsidP="007A517C">
      <w:pPr>
        <w:spacing w:before="120"/>
        <w:jc w:val="both"/>
        <w:rPr>
          <w:lang w:val="en-GB"/>
        </w:rPr>
      </w:pPr>
      <w:r w:rsidRPr="00FD0F60">
        <w:rPr>
          <w:lang w:val="en-GB"/>
        </w:rPr>
        <w:t xml:space="preserve">The calculations presented in this document show that SRDs operated with </w:t>
      </w:r>
      <w:r>
        <w:rPr>
          <w:lang w:val="en-GB"/>
        </w:rPr>
        <w:t xml:space="preserve">the currently regulated </w:t>
      </w:r>
      <w:r w:rsidRPr="00FD0F60">
        <w:rPr>
          <w:lang w:val="en-GB"/>
        </w:rPr>
        <w:t>20 dBm maximum e.i.r.p. are not compatible with EESS (passive) sensors operating in the 122-122.25 GHz band</w:t>
      </w:r>
      <w:r>
        <w:rPr>
          <w:lang w:val="en-GB"/>
        </w:rPr>
        <w:t>:</w:t>
      </w:r>
    </w:p>
    <w:p w:rsidR="00643EF9" w:rsidRDefault="00643EF9" w:rsidP="007A517C">
      <w:pPr>
        <w:numPr>
          <w:ilvl w:val="0"/>
          <w:numId w:val="33"/>
        </w:numPr>
        <w:spacing w:before="120"/>
        <w:jc w:val="both"/>
        <w:rPr>
          <w:lang w:val="en-GB"/>
        </w:rPr>
      </w:pPr>
      <w:r>
        <w:rPr>
          <w:lang w:val="en-GB"/>
        </w:rPr>
        <w:t>the single entry scenario requires an additional limit of 10dBm/250 MHz e.i.r.p density.</w:t>
      </w:r>
    </w:p>
    <w:p w:rsidR="00643EF9" w:rsidRDefault="00643EF9" w:rsidP="007A517C">
      <w:pPr>
        <w:numPr>
          <w:ilvl w:val="0"/>
          <w:numId w:val="33"/>
        </w:numPr>
        <w:spacing w:before="120"/>
        <w:jc w:val="both"/>
        <w:rPr>
          <w:lang w:val="en-GB"/>
        </w:rPr>
      </w:pPr>
      <w:r>
        <w:rPr>
          <w:lang w:val="en-GB"/>
        </w:rPr>
        <w:t>the aggregated (hot-spot) impact of 2100 SRD devices deployed outdoor in an area of 100 km</w:t>
      </w:r>
      <w:r>
        <w:rPr>
          <w:vertAlign w:val="superscript"/>
          <w:lang w:val="en-GB"/>
        </w:rPr>
        <w:t>2</w:t>
      </w:r>
      <w:r>
        <w:rPr>
          <w:lang w:val="en-GB"/>
        </w:rPr>
        <w:t xml:space="preserve"> require a reduction to -25 dBm/200 MHz e.i.r.p. density (or -48 dBm/MHz). </w:t>
      </w:r>
    </w:p>
    <w:p w:rsidR="00643EF9" w:rsidRPr="00FD0F60" w:rsidRDefault="00643EF9" w:rsidP="007A517C">
      <w:pPr>
        <w:spacing w:before="120"/>
        <w:jc w:val="both"/>
        <w:rPr>
          <w:lang w:val="en-GB"/>
        </w:rPr>
      </w:pPr>
      <w:r w:rsidRPr="00FD0F60">
        <w:rPr>
          <w:lang w:val="en-GB"/>
        </w:rPr>
        <w:t xml:space="preserve">Considering both single entry and hot spot scenario calculations, it is </w:t>
      </w:r>
      <w:r>
        <w:rPr>
          <w:lang w:val="en-GB"/>
        </w:rPr>
        <w:t>suggested</w:t>
      </w:r>
      <w:r w:rsidRPr="00FD0F60">
        <w:rPr>
          <w:lang w:val="en-GB"/>
        </w:rPr>
        <w:t xml:space="preserve"> that</w:t>
      </w:r>
      <w:r>
        <w:rPr>
          <w:lang w:val="en-GB"/>
        </w:rPr>
        <w:t>, in addition to the maximum e.i.r.p. of 20 dBm pertaining to the 122-123 GHz band,</w:t>
      </w:r>
      <w:r w:rsidRPr="00FD0F60">
        <w:rPr>
          <w:lang w:val="en-GB"/>
        </w:rPr>
        <w:t xml:space="preserve"> SRDs using the 122-122.25 GHz sub-band should comply with </w:t>
      </w:r>
      <w:r>
        <w:rPr>
          <w:lang w:val="en-GB"/>
        </w:rPr>
        <w:t xml:space="preserve">both of </w:t>
      </w:r>
      <w:r w:rsidRPr="00FD0F60">
        <w:rPr>
          <w:lang w:val="en-GB"/>
        </w:rPr>
        <w:t>the following limitations:</w:t>
      </w:r>
    </w:p>
    <w:p w:rsidR="00643EF9" w:rsidRPr="00FD0F60" w:rsidRDefault="00643EF9" w:rsidP="00683A1B">
      <w:pPr>
        <w:pStyle w:val="ListParagraph1"/>
        <w:numPr>
          <w:ilvl w:val="0"/>
          <w:numId w:val="41"/>
        </w:numPr>
        <w:spacing w:before="120"/>
        <w:jc w:val="both"/>
        <w:rPr>
          <w:rFonts w:ascii="Arial" w:hAnsi="Arial" w:cs="Arial"/>
          <w:b/>
          <w:sz w:val="20"/>
          <w:szCs w:val="20"/>
          <w:lang w:val="en-GB"/>
        </w:rPr>
      </w:pPr>
      <w:r w:rsidRPr="00FD0F60">
        <w:rPr>
          <w:rFonts w:ascii="Arial" w:hAnsi="Arial" w:cs="Arial"/>
          <w:b/>
          <w:sz w:val="20"/>
          <w:szCs w:val="20"/>
          <w:lang w:val="en-GB"/>
        </w:rPr>
        <w:t xml:space="preserve">Maximum e.i.r.p. density </w:t>
      </w:r>
      <w:r w:rsidRPr="00FD0F60">
        <w:rPr>
          <w:rFonts w:ascii="Arial" w:hAnsi="Arial" w:cs="Arial"/>
          <w:b/>
          <w:sz w:val="20"/>
          <w:szCs w:val="20"/>
          <w:lang w:val="en-GB"/>
        </w:rPr>
        <w:tab/>
      </w:r>
      <w:r w:rsidRPr="00FD0F60">
        <w:rPr>
          <w:rFonts w:ascii="Arial" w:hAnsi="Arial" w:cs="Arial"/>
          <w:b/>
          <w:sz w:val="20"/>
          <w:szCs w:val="20"/>
          <w:lang w:val="en-GB"/>
        </w:rPr>
        <w:tab/>
      </w:r>
      <w:r w:rsidRPr="00FD0F60">
        <w:rPr>
          <w:rFonts w:ascii="Arial" w:hAnsi="Arial" w:cs="Arial"/>
          <w:b/>
          <w:sz w:val="20"/>
          <w:szCs w:val="20"/>
          <w:lang w:val="en-GB"/>
        </w:rPr>
        <w:tab/>
      </w:r>
      <w:r w:rsidRPr="00FD0F60">
        <w:rPr>
          <w:rFonts w:ascii="Arial" w:hAnsi="Arial" w:cs="Arial"/>
          <w:b/>
          <w:sz w:val="20"/>
          <w:szCs w:val="20"/>
          <w:lang w:val="en-GB"/>
        </w:rPr>
        <w:tab/>
        <w:t>: 10 dBm/250 MHz (rms)</w:t>
      </w:r>
      <w:r w:rsidRPr="00B5169A">
        <w:rPr>
          <w:rFonts w:ascii="Arial" w:hAnsi="Arial" w:cs="Arial"/>
          <w:b/>
          <w:sz w:val="20"/>
          <w:szCs w:val="20"/>
          <w:lang w:val="en-GB"/>
        </w:rPr>
        <w:t xml:space="preserve"> </w:t>
      </w:r>
      <w:r>
        <w:rPr>
          <w:rFonts w:ascii="Arial" w:hAnsi="Arial" w:cs="Arial"/>
          <w:b/>
          <w:sz w:val="20"/>
          <w:szCs w:val="20"/>
          <w:lang w:val="en-GB"/>
        </w:rPr>
        <w:t>(Note)</w:t>
      </w:r>
    </w:p>
    <w:p w:rsidR="00643EF9" w:rsidRPr="00FD0F60" w:rsidRDefault="00643EF9" w:rsidP="00683A1B">
      <w:pPr>
        <w:pStyle w:val="ListParagraph1"/>
        <w:numPr>
          <w:ilvl w:val="0"/>
          <w:numId w:val="41"/>
        </w:numPr>
        <w:spacing w:before="120"/>
        <w:jc w:val="both"/>
        <w:rPr>
          <w:rFonts w:ascii="Arial" w:hAnsi="Arial" w:cs="Arial"/>
          <w:b/>
          <w:sz w:val="20"/>
          <w:szCs w:val="20"/>
          <w:lang w:val="en-GB"/>
        </w:rPr>
      </w:pPr>
      <w:r w:rsidRPr="00FD0F60">
        <w:rPr>
          <w:rFonts w:ascii="Arial" w:hAnsi="Arial" w:cs="Arial"/>
          <w:b/>
          <w:sz w:val="20"/>
          <w:szCs w:val="20"/>
          <w:lang w:val="en-GB"/>
        </w:rPr>
        <w:t>Maximum e.i.r.p. d</w:t>
      </w:r>
      <w:r>
        <w:rPr>
          <w:rFonts w:ascii="Arial" w:hAnsi="Arial" w:cs="Arial"/>
          <w:b/>
          <w:sz w:val="20"/>
          <w:szCs w:val="20"/>
          <w:lang w:val="en-GB"/>
        </w:rPr>
        <w:t xml:space="preserve">ensity above 30° elevation </w:t>
      </w:r>
      <w:r>
        <w:rPr>
          <w:rFonts w:ascii="Arial" w:hAnsi="Arial" w:cs="Arial"/>
          <w:b/>
          <w:sz w:val="20"/>
          <w:szCs w:val="20"/>
          <w:lang w:val="en-GB"/>
        </w:rPr>
        <w:tab/>
      </w:r>
      <w:r>
        <w:rPr>
          <w:rFonts w:ascii="Arial" w:hAnsi="Arial" w:cs="Arial"/>
          <w:b/>
          <w:sz w:val="20"/>
          <w:szCs w:val="20"/>
          <w:lang w:val="en-GB"/>
        </w:rPr>
        <w:tab/>
        <w:t xml:space="preserve">: </w:t>
      </w:r>
      <w:r w:rsidRPr="00FD0F60">
        <w:rPr>
          <w:rFonts w:ascii="Arial" w:hAnsi="Arial" w:cs="Arial"/>
          <w:b/>
          <w:sz w:val="20"/>
          <w:szCs w:val="20"/>
          <w:lang w:val="en-GB"/>
        </w:rPr>
        <w:t>-48 dBm/MHz (rms)</w:t>
      </w:r>
      <w:r>
        <w:rPr>
          <w:rFonts w:ascii="Arial" w:hAnsi="Arial" w:cs="Arial"/>
          <w:b/>
          <w:sz w:val="20"/>
          <w:szCs w:val="20"/>
          <w:lang w:val="en-GB"/>
        </w:rPr>
        <w:t xml:space="preserve"> (Note)</w:t>
      </w:r>
    </w:p>
    <w:p w:rsidR="00643EF9" w:rsidRPr="005A399B" w:rsidRDefault="00643EF9" w:rsidP="005A399B">
      <w:pPr>
        <w:pStyle w:val="ListParagraph1"/>
        <w:spacing w:before="120"/>
        <w:ind w:left="993" w:hanging="993"/>
        <w:jc w:val="both"/>
        <w:rPr>
          <w:rFonts w:ascii="Arial" w:hAnsi="Arial" w:cs="Arial"/>
          <w:i/>
          <w:sz w:val="20"/>
          <w:szCs w:val="20"/>
          <w:lang w:val="en-GB"/>
        </w:rPr>
      </w:pPr>
      <w:r w:rsidRPr="005677E3">
        <w:rPr>
          <w:rFonts w:ascii="Arial" w:hAnsi="Arial" w:cs="Arial"/>
          <w:b/>
          <w:i/>
          <w:sz w:val="20"/>
          <w:szCs w:val="20"/>
          <w:lang w:val="en-GB"/>
        </w:rPr>
        <w:t>Note:</w:t>
      </w:r>
      <w:r>
        <w:rPr>
          <w:rFonts w:ascii="Arial" w:hAnsi="Arial" w:cs="Arial"/>
          <w:b/>
          <w:i/>
          <w:sz w:val="20"/>
          <w:szCs w:val="20"/>
          <w:lang w:val="en-GB"/>
        </w:rPr>
        <w:t xml:space="preserve"> </w:t>
      </w:r>
      <w:r>
        <w:rPr>
          <w:rFonts w:ascii="Arial" w:hAnsi="Arial" w:cs="Arial"/>
          <w:i/>
          <w:sz w:val="20"/>
          <w:szCs w:val="20"/>
          <w:lang w:val="en-GB"/>
        </w:rPr>
        <w:t>Th</w:t>
      </w:r>
      <w:r w:rsidRPr="003503D1">
        <w:rPr>
          <w:rFonts w:ascii="Arial" w:hAnsi="Arial" w:cs="Arial"/>
          <w:i/>
          <w:sz w:val="20"/>
          <w:szCs w:val="20"/>
          <w:lang w:val="en-GB"/>
        </w:rPr>
        <w:t>e</w:t>
      </w:r>
      <w:r>
        <w:rPr>
          <w:rFonts w:ascii="Arial" w:hAnsi="Arial" w:cs="Arial"/>
          <w:i/>
          <w:sz w:val="20"/>
          <w:szCs w:val="20"/>
          <w:lang w:val="en-GB"/>
        </w:rPr>
        <w:t xml:space="preserve">se limits should be measured with </w:t>
      </w:r>
      <w:proofErr w:type="gramStart"/>
      <w:r>
        <w:rPr>
          <w:rFonts w:ascii="Arial" w:hAnsi="Arial" w:cs="Arial"/>
          <w:i/>
          <w:sz w:val="20"/>
          <w:szCs w:val="20"/>
          <w:lang w:val="en-GB"/>
        </w:rPr>
        <w:t>a</w:t>
      </w:r>
      <w:proofErr w:type="gramEnd"/>
      <w:r>
        <w:rPr>
          <w:rFonts w:ascii="Arial" w:hAnsi="Arial" w:cs="Arial"/>
          <w:i/>
          <w:sz w:val="20"/>
          <w:szCs w:val="20"/>
          <w:lang w:val="en-GB"/>
        </w:rPr>
        <w:t xml:space="preserve"> </w:t>
      </w:r>
      <w:r w:rsidRPr="003503D1">
        <w:rPr>
          <w:rFonts w:ascii="Arial" w:hAnsi="Arial" w:cs="Arial"/>
          <w:i/>
          <w:sz w:val="20"/>
          <w:szCs w:val="20"/>
          <w:lang w:val="en-GB"/>
        </w:rPr>
        <w:t xml:space="preserve">rms detector and an averaging time of </w:t>
      </w:r>
      <w:r w:rsidRPr="00335155">
        <w:rPr>
          <w:rFonts w:ascii="Arial" w:hAnsi="Arial" w:cs="Arial"/>
          <w:i/>
          <w:sz w:val="20"/>
          <w:szCs w:val="20"/>
          <w:lang w:val="en-GB"/>
        </w:rPr>
        <w:t>1 ms or less</w:t>
      </w:r>
      <w:r w:rsidR="00DE7DF8">
        <w:rPr>
          <w:rFonts w:ascii="Arial" w:hAnsi="Arial" w:cs="Arial"/>
          <w:i/>
          <w:sz w:val="20"/>
          <w:szCs w:val="20"/>
          <w:lang w:val="en-GB"/>
        </w:rPr>
        <w:t>.</w:t>
      </w:r>
    </w:p>
    <w:p w:rsidR="00643EF9" w:rsidRDefault="00643EF9" w:rsidP="005A399B">
      <w:pPr>
        <w:pStyle w:val="ListParagraph1"/>
        <w:spacing w:before="120"/>
        <w:ind w:left="993" w:hanging="993"/>
        <w:jc w:val="both"/>
        <w:rPr>
          <w:rFonts w:ascii="Arial" w:hAnsi="Arial" w:cs="Arial"/>
          <w:i/>
          <w:sz w:val="20"/>
          <w:szCs w:val="20"/>
          <w:lang w:val="en-GB"/>
        </w:rPr>
      </w:pPr>
    </w:p>
    <w:p w:rsidR="00643EF9" w:rsidRDefault="00643EF9" w:rsidP="005A399B">
      <w:pPr>
        <w:pStyle w:val="ListParagraph1"/>
        <w:spacing w:before="120"/>
        <w:jc w:val="both"/>
        <w:rPr>
          <w:rFonts w:ascii="Arial" w:hAnsi="Arial" w:cs="Arial"/>
          <w:sz w:val="20"/>
          <w:szCs w:val="20"/>
          <w:lang w:val="en-GB"/>
        </w:rPr>
      </w:pPr>
    </w:p>
    <w:p w:rsidR="00643EF9" w:rsidRPr="00FD0F60" w:rsidRDefault="00643EF9" w:rsidP="00550D79">
      <w:pPr>
        <w:pStyle w:val="ECCAnnexheading1"/>
      </w:pPr>
      <w:bookmarkStart w:id="30" w:name="_Toc356376822"/>
      <w:r w:rsidRPr="00FD0F60">
        <w:t>List of reference</w:t>
      </w:r>
      <w:bookmarkEnd w:id="30"/>
    </w:p>
    <w:p w:rsidR="00643EF9" w:rsidRDefault="00643EF9">
      <w:pPr>
        <w:pStyle w:val="reference"/>
        <w:numPr>
          <w:ilvl w:val="0"/>
          <w:numId w:val="7"/>
        </w:numPr>
        <w:spacing w:before="120"/>
        <w:rPr>
          <w:lang w:val="en-GB"/>
        </w:rPr>
      </w:pPr>
      <w:bookmarkStart w:id="31" w:name="_Ref334181734"/>
      <w:r>
        <w:rPr>
          <w:lang w:val="en-GB"/>
        </w:rPr>
        <w:t xml:space="preserve">CEPT Report 38 </w:t>
      </w:r>
      <w:r>
        <w:t>in response to the EC Permanent Mandate on the ”Annual update of the technical annex of the Commission Decision on the technical</w:t>
      </w:r>
      <w:r w:rsidRPr="00DE7DF8">
        <w:rPr>
          <w:lang w:val="en-GB"/>
        </w:rPr>
        <w:t xml:space="preserve"> harmonisation</w:t>
      </w:r>
      <w:r>
        <w:t xml:space="preserve"> of radio spectrum for use by short range devices”, March 2011</w:t>
      </w:r>
      <w:bookmarkEnd w:id="31"/>
    </w:p>
    <w:p w:rsidR="00643EF9" w:rsidRDefault="00643EF9">
      <w:pPr>
        <w:pStyle w:val="reference"/>
        <w:numPr>
          <w:ilvl w:val="0"/>
          <w:numId w:val="7"/>
        </w:numPr>
        <w:spacing w:before="120"/>
        <w:rPr>
          <w:lang w:val="en-GB"/>
        </w:rPr>
      </w:pPr>
      <w:bookmarkStart w:id="32" w:name="_Ref334181839"/>
      <w:r>
        <w:rPr>
          <w:lang w:val="en-GB"/>
        </w:rPr>
        <w:t>ECC Report 25</w:t>
      </w:r>
      <w:bookmarkEnd w:id="32"/>
      <w:r>
        <w:rPr>
          <w:lang w:val="en-GB"/>
        </w:rPr>
        <w:t xml:space="preserve"> “</w:t>
      </w:r>
      <w:r>
        <w:t>Strategies for the European use of frequency spectrum for PMR/PAMR applications”, May 2003</w:t>
      </w:r>
    </w:p>
    <w:p w:rsidR="00643EF9" w:rsidRDefault="00643EF9">
      <w:pPr>
        <w:pStyle w:val="reference"/>
        <w:numPr>
          <w:ilvl w:val="0"/>
          <w:numId w:val="7"/>
        </w:numPr>
        <w:spacing w:before="120"/>
        <w:rPr>
          <w:lang w:val="en-GB"/>
        </w:rPr>
      </w:pPr>
      <w:bookmarkStart w:id="33" w:name="_Ref334181878"/>
      <w:r w:rsidRPr="00FD0F60">
        <w:rPr>
          <w:lang w:val="en-GB"/>
        </w:rPr>
        <w:t xml:space="preserve">Recommendation </w:t>
      </w:r>
      <w:r>
        <w:rPr>
          <w:lang w:val="en-GB"/>
        </w:rPr>
        <w:t xml:space="preserve">ITU-R </w:t>
      </w:r>
      <w:r w:rsidRPr="00FD0F60">
        <w:rPr>
          <w:lang w:val="en-GB"/>
        </w:rPr>
        <w:t>RS.1861</w:t>
      </w:r>
      <w:bookmarkEnd w:id="33"/>
      <w:r>
        <w:rPr>
          <w:lang w:val="en-GB"/>
        </w:rPr>
        <w:t xml:space="preserve"> ”</w:t>
      </w:r>
      <w:r>
        <w:t>Typical technical and operational characteristics of Earth exploration-satellite service (passive) systems using allocations between 1.4 and 275 GHz”</w:t>
      </w:r>
    </w:p>
    <w:p w:rsidR="00643EF9" w:rsidRDefault="00643EF9">
      <w:pPr>
        <w:pStyle w:val="reference"/>
        <w:numPr>
          <w:ilvl w:val="0"/>
          <w:numId w:val="7"/>
        </w:numPr>
        <w:spacing w:before="120"/>
        <w:rPr>
          <w:lang w:val="en-GB"/>
        </w:rPr>
      </w:pPr>
      <w:bookmarkStart w:id="34" w:name="_Ref334181916"/>
      <w:r w:rsidRPr="00FD0F60">
        <w:rPr>
          <w:lang w:val="en-GB"/>
        </w:rPr>
        <w:t xml:space="preserve">Recommendation </w:t>
      </w:r>
      <w:r>
        <w:rPr>
          <w:lang w:val="en-GB"/>
        </w:rPr>
        <w:t xml:space="preserve">ITU-R </w:t>
      </w:r>
      <w:r w:rsidRPr="00FD0F60">
        <w:rPr>
          <w:lang w:val="en-GB"/>
        </w:rPr>
        <w:t>RS.1029-2</w:t>
      </w:r>
      <w:bookmarkEnd w:id="34"/>
      <w:r>
        <w:rPr>
          <w:lang w:val="en-GB"/>
        </w:rPr>
        <w:t xml:space="preserve"> “I</w:t>
      </w:r>
      <w:r>
        <w:t>nterference criteria for satellite passive remote sensing”</w:t>
      </w:r>
    </w:p>
    <w:p w:rsidR="00643EF9" w:rsidRDefault="00643EF9">
      <w:pPr>
        <w:pStyle w:val="reference"/>
        <w:numPr>
          <w:ilvl w:val="0"/>
          <w:numId w:val="7"/>
        </w:numPr>
        <w:spacing w:before="120"/>
        <w:rPr>
          <w:rStyle w:val="Strong"/>
          <w:b w:val="0"/>
          <w:lang w:val="en-GB" w:eastAsia="en-US"/>
        </w:rPr>
      </w:pPr>
      <w:bookmarkStart w:id="35" w:name="_Ref334182003"/>
      <w:r w:rsidRPr="00FD0F60">
        <w:rPr>
          <w:rFonts w:cs="Arial"/>
          <w:szCs w:val="20"/>
          <w:lang w:val="en-GB"/>
        </w:rPr>
        <w:t xml:space="preserve">EC Decision </w:t>
      </w:r>
      <w:r w:rsidRPr="00FD0F60">
        <w:rPr>
          <w:rStyle w:val="Strong"/>
          <w:rFonts w:cs="Arial"/>
          <w:bCs/>
          <w:szCs w:val="20"/>
          <w:lang w:val="en-GB"/>
        </w:rPr>
        <w:t>2011/829/UE</w:t>
      </w:r>
      <w:bookmarkEnd w:id="35"/>
      <w:r>
        <w:rPr>
          <w:rStyle w:val="Strong"/>
          <w:rFonts w:cs="Arial"/>
          <w:bCs/>
          <w:szCs w:val="20"/>
          <w:lang w:val="en-GB"/>
        </w:rPr>
        <w:t xml:space="preserve"> </w:t>
      </w:r>
      <w:r w:rsidRPr="00267FD5">
        <w:rPr>
          <w:rStyle w:val="Strong"/>
          <w:rFonts w:cs="Arial"/>
          <w:b w:val="0"/>
          <w:bCs/>
          <w:szCs w:val="20"/>
          <w:lang w:val="en-GB"/>
        </w:rPr>
        <w:t>amending</w:t>
      </w:r>
      <w:r>
        <w:rPr>
          <w:rStyle w:val="Strong"/>
          <w:rFonts w:cs="Arial"/>
          <w:bCs/>
          <w:szCs w:val="20"/>
          <w:lang w:val="en-GB"/>
        </w:rPr>
        <w:t xml:space="preserve"> </w:t>
      </w:r>
      <w:r w:rsidRPr="00267FD5">
        <w:rPr>
          <w:rStyle w:val="Strong"/>
          <w:rFonts w:cs="Arial"/>
          <w:b w:val="0"/>
          <w:bCs/>
          <w:szCs w:val="20"/>
          <w:lang w:val="en-GB"/>
        </w:rPr>
        <w:t>Decision</w:t>
      </w:r>
      <w:r w:rsidRPr="005A4E2C">
        <w:rPr>
          <w:rStyle w:val="Strong"/>
          <w:rFonts w:cs="Arial"/>
          <w:b w:val="0"/>
          <w:bCs/>
          <w:szCs w:val="20"/>
          <w:lang w:val="en-GB"/>
        </w:rPr>
        <w:t xml:space="preserve"> 2006/771/EC on harmonisation of the radio spectrum </w:t>
      </w:r>
      <w:r w:rsidRPr="009B6B8D">
        <w:rPr>
          <w:rStyle w:val="Strong"/>
          <w:rFonts w:cs="Arial"/>
          <w:b w:val="0"/>
          <w:bCs/>
          <w:szCs w:val="20"/>
          <w:lang w:val="en-GB"/>
        </w:rPr>
        <w:t>for use by short-range devices</w:t>
      </w:r>
      <w:r>
        <w:rPr>
          <w:rStyle w:val="Strong"/>
          <w:rFonts w:cs="Arial"/>
          <w:b w:val="0"/>
          <w:bCs/>
          <w:szCs w:val="20"/>
          <w:lang w:val="en-GB"/>
        </w:rPr>
        <w:t>, December 2011</w:t>
      </w:r>
    </w:p>
    <w:p w:rsidR="00643EF9" w:rsidRDefault="00643EF9">
      <w:pPr>
        <w:pStyle w:val="reference"/>
        <w:numPr>
          <w:ilvl w:val="0"/>
          <w:numId w:val="7"/>
        </w:numPr>
        <w:spacing w:before="120"/>
        <w:rPr>
          <w:lang w:val="en-GB"/>
        </w:rPr>
      </w:pPr>
      <w:bookmarkStart w:id="36" w:name="_Ref334182014"/>
      <w:r>
        <w:rPr>
          <w:rFonts w:cs="Arial"/>
          <w:szCs w:val="20"/>
          <w:lang w:val="en-GB"/>
        </w:rPr>
        <w:t xml:space="preserve">ETSI </w:t>
      </w:r>
      <w:r w:rsidRPr="00FD0F60">
        <w:rPr>
          <w:rFonts w:cs="Arial"/>
          <w:szCs w:val="20"/>
          <w:lang w:val="en-GB"/>
        </w:rPr>
        <w:t>EN 305</w:t>
      </w:r>
      <w:r>
        <w:rPr>
          <w:rFonts w:cs="Arial"/>
          <w:szCs w:val="20"/>
          <w:lang w:val="en-GB"/>
        </w:rPr>
        <w:t> </w:t>
      </w:r>
      <w:r w:rsidRPr="00FD0F60">
        <w:rPr>
          <w:rFonts w:cs="Arial"/>
          <w:szCs w:val="20"/>
          <w:lang w:val="en-GB"/>
        </w:rPr>
        <w:t>550</w:t>
      </w:r>
      <w:bookmarkEnd w:id="36"/>
      <w:r>
        <w:rPr>
          <w:rFonts w:cs="Arial"/>
          <w:szCs w:val="20"/>
          <w:lang w:val="en-GB"/>
        </w:rPr>
        <w:t xml:space="preserve"> Electromagnetic compatibility and Radio spectrum Matters (ERM); Short Range Devices (SRD); Radio equipment to be used in the 40 GHz to 246 GHz frequency range; Part 1: Technical characteristics and test methods</w:t>
      </w:r>
    </w:p>
    <w:p w:rsidR="00643EF9" w:rsidRDefault="00643EF9">
      <w:pPr>
        <w:pStyle w:val="reference"/>
        <w:numPr>
          <w:ilvl w:val="0"/>
          <w:numId w:val="7"/>
        </w:numPr>
        <w:spacing w:before="120"/>
        <w:rPr>
          <w:lang w:val="en-GB"/>
        </w:rPr>
      </w:pPr>
      <w:bookmarkStart w:id="37" w:name="_Ref334182665"/>
      <w:r w:rsidRPr="00FD0F60">
        <w:rPr>
          <w:lang w:val="en-GB"/>
        </w:rPr>
        <w:t xml:space="preserve">Recommendation </w:t>
      </w:r>
      <w:r>
        <w:rPr>
          <w:lang w:val="en-GB"/>
        </w:rPr>
        <w:t>ITU-R P.525</w:t>
      </w:r>
      <w:bookmarkEnd w:id="37"/>
      <w:r>
        <w:rPr>
          <w:lang w:val="en-GB"/>
        </w:rPr>
        <w:t xml:space="preserve"> “</w:t>
      </w:r>
      <w:r>
        <w:t>Calculation of free-space attenuation”</w:t>
      </w:r>
    </w:p>
    <w:p w:rsidR="00643EF9" w:rsidRPr="005A399B" w:rsidRDefault="00643EF9">
      <w:pPr>
        <w:pStyle w:val="reference"/>
        <w:numPr>
          <w:ilvl w:val="0"/>
          <w:numId w:val="7"/>
        </w:numPr>
        <w:spacing w:before="120"/>
      </w:pPr>
      <w:bookmarkStart w:id="38" w:name="_Ref334182675"/>
      <w:r w:rsidRPr="005A399B">
        <w:t>Recommendation ITU-R P.676</w:t>
      </w:r>
      <w:bookmarkEnd w:id="38"/>
      <w:r w:rsidRPr="005A399B">
        <w:t xml:space="preserve"> </w:t>
      </w:r>
      <w:r>
        <w:t>“Attenuation by atmospheric gases”</w:t>
      </w:r>
    </w:p>
    <w:p w:rsidR="00643EF9" w:rsidRDefault="00DE7DF8">
      <w:pPr>
        <w:pStyle w:val="reference"/>
        <w:numPr>
          <w:ilvl w:val="0"/>
          <w:numId w:val="7"/>
        </w:numPr>
        <w:spacing w:before="120"/>
      </w:pPr>
      <w:bookmarkStart w:id="39" w:name="_Ref334183298"/>
      <w:bookmarkStart w:id="40" w:name="_Ref356376057"/>
      <w:r>
        <w:t>ERC Recommendation 70</w:t>
      </w:r>
      <w:r w:rsidR="00643EF9" w:rsidRPr="005A399B">
        <w:t>-0</w:t>
      </w:r>
      <w:bookmarkEnd w:id="39"/>
      <w:r>
        <w:t xml:space="preserve">3 </w:t>
      </w:r>
      <w:r w:rsidR="00643EF9" w:rsidRPr="005A399B">
        <w:t>relating to the use of S</w:t>
      </w:r>
      <w:r>
        <w:t>hort Range Devices (SRD)</w:t>
      </w:r>
      <w:bookmarkEnd w:id="40"/>
    </w:p>
    <w:p w:rsidR="00643EF9" w:rsidRPr="005A399B" w:rsidRDefault="00643EF9" w:rsidP="00281598">
      <w:pPr>
        <w:pStyle w:val="reference"/>
        <w:numPr>
          <w:ilvl w:val="0"/>
          <w:numId w:val="0"/>
        </w:numPr>
        <w:ind w:left="397"/>
      </w:pPr>
    </w:p>
    <w:p w:rsidR="00643EF9" w:rsidRPr="005A399B" w:rsidRDefault="00643EF9" w:rsidP="008A54FC">
      <w:pPr>
        <w:pStyle w:val="ECCParagraph"/>
        <w:rPr>
          <w:lang w:val="en-US"/>
        </w:rPr>
      </w:pPr>
    </w:p>
    <w:sectPr w:rsidR="00643EF9" w:rsidRPr="005A399B" w:rsidSect="008A54FC">
      <w:headerReference w:type="even" r:id="rId22"/>
      <w:headerReference w:type="default" r:id="rId23"/>
      <w:headerReference w:type="first" r:id="rId2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DF8" w:rsidRDefault="00DE7DF8" w:rsidP="008A54FC">
      <w:r>
        <w:separator/>
      </w:r>
    </w:p>
  </w:endnote>
  <w:endnote w:type="continuationSeparator" w:id="0">
    <w:p w:rsidR="00DE7DF8" w:rsidRDefault="00DE7DF8"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Default="00DE7D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Default="00DE7D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Default="00DE7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DF8" w:rsidRDefault="00DE7DF8" w:rsidP="008A54FC">
      <w:r>
        <w:separator/>
      </w:r>
    </w:p>
  </w:footnote>
  <w:footnote w:type="continuationSeparator" w:id="0">
    <w:p w:rsidR="00DE7DF8" w:rsidRDefault="00DE7DF8" w:rsidP="008A54FC">
      <w:r>
        <w:continuationSeparator/>
      </w:r>
    </w:p>
  </w:footnote>
  <w:footnote w:id="1">
    <w:p w:rsidR="00DE7DF8" w:rsidRDefault="00DE7DF8" w:rsidP="001D2225">
      <w:pPr>
        <w:pStyle w:val="ECCFootnote"/>
      </w:pPr>
      <w:r w:rsidRPr="00C01419">
        <w:rPr>
          <w:rStyle w:val="FootnoteReference"/>
          <w:i/>
        </w:rPr>
        <w:footnoteRef/>
      </w:r>
      <w:r w:rsidRPr="00C01419">
        <w:t xml:space="preserve"> See for instance the FP7 funded project SUCCESS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Pr="007C5F95" w:rsidRDefault="00DE7DF8">
    <w:pPr>
      <w:pStyle w:val="Header"/>
      <w:rPr>
        <w:b w:val="0"/>
        <w:lang w:val="da-DK"/>
      </w:rPr>
    </w:pPr>
    <w:r w:rsidRPr="007C5F95">
      <w:rPr>
        <w:b w:val="0"/>
        <w:lang w:val="da-DK"/>
      </w:rPr>
      <w:t>Draft ECC REPORT XXX</w:t>
    </w:r>
  </w:p>
  <w:p w:rsidR="00DE7DF8" w:rsidRPr="007C5F95" w:rsidRDefault="00DE7DF8">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Pr="007C5F95" w:rsidRDefault="00DE7DF8" w:rsidP="008A54FC">
    <w:pPr>
      <w:pStyle w:val="Header"/>
      <w:jc w:val="right"/>
      <w:rPr>
        <w:b w:val="0"/>
        <w:lang w:val="da-DK"/>
      </w:rPr>
    </w:pPr>
    <w:r w:rsidRPr="007C5F95">
      <w:rPr>
        <w:b w:val="0"/>
        <w:lang w:val="da-DK"/>
      </w:rPr>
      <w:t>Draft ECC REPORT XXX</w:t>
    </w:r>
  </w:p>
  <w:p w:rsidR="00DE7DF8" w:rsidRPr="007C5F95" w:rsidRDefault="00DE7DF8"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Default="00DE7DF8">
    <w:pPr>
      <w:pStyle w:val="Header"/>
    </w:pPr>
    <w:r>
      <w:rPr>
        <w:noProof/>
        <w:lang w:val="da-DK" w:eastAsia="da-DK"/>
      </w:rPr>
      <w:drawing>
        <wp:anchor distT="0" distB="0" distL="114300" distR="114300" simplePos="0" relativeHeight="251658240"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7216"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Pr="007C5F95" w:rsidRDefault="00DE7DF8">
    <w:pPr>
      <w:pStyle w:val="Header"/>
      <w:rPr>
        <w:szCs w:val="16"/>
        <w:lang w:val="da-DK"/>
      </w:rPr>
    </w:pPr>
    <w:r>
      <w:rPr>
        <w:lang w:val="da-DK"/>
      </w:rPr>
      <w:t xml:space="preserve">ECC REPORT 190-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26813" w:rsidRPr="00826813">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Pr="007C5F95" w:rsidRDefault="00DE7DF8" w:rsidP="008A54FC">
    <w:pPr>
      <w:pStyle w:val="Header"/>
      <w:jc w:val="right"/>
      <w:rPr>
        <w:szCs w:val="16"/>
        <w:lang w:val="da-DK"/>
      </w:rPr>
    </w:pPr>
    <w:r>
      <w:rPr>
        <w:lang w:val="da-DK"/>
      </w:rPr>
      <w:t xml:space="preserve">ECC REPORT 190-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26813" w:rsidRPr="00826813">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F8" w:rsidRPr="001223D0" w:rsidRDefault="00DE7DF8"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5209"/>
    <w:multiLevelType w:val="multilevel"/>
    <w:tmpl w:val="FCEC7FBC"/>
    <w:numStyleLink w:val="ECCBullets"/>
  </w:abstractNum>
  <w:abstractNum w:abstractNumId="1">
    <w:nsid w:val="09483B43"/>
    <w:multiLevelType w:val="hybridMultilevel"/>
    <w:tmpl w:val="60C03C82"/>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80A6A60"/>
    <w:multiLevelType w:val="hybridMultilevel"/>
    <w:tmpl w:val="47F057F6"/>
    <w:lvl w:ilvl="0" w:tplc="314E00FE">
      <w:start w:val="5"/>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4C5B5A"/>
    <w:multiLevelType w:val="hybridMultilevel"/>
    <w:tmpl w:val="C896977A"/>
    <w:lvl w:ilvl="0" w:tplc="E3BAE2E8">
      <w:start w:val="5"/>
      <w:numFmt w:val="bullet"/>
      <w:lvlText w:val="-"/>
      <w:lvlJc w:val="left"/>
      <w:pPr>
        <w:ind w:left="720" w:hanging="360"/>
      </w:pPr>
      <w:rPr>
        <w:rFonts w:ascii="Times New Roman" w:eastAsia="MS Mincho" w:hAnsi="Times New Roman"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8D83E84"/>
    <w:multiLevelType w:val="multilevel"/>
    <w:tmpl w:val="6AA6CE8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7">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2AC5D46"/>
    <w:multiLevelType w:val="hybridMultilevel"/>
    <w:tmpl w:val="3DC89EFA"/>
    <w:lvl w:ilvl="0" w:tplc="08A62078">
      <w:start w:val="1"/>
      <w:numFmt w:val="bullet"/>
      <w:lvlText w:val=""/>
      <w:lvlJc w:val="left"/>
      <w:pPr>
        <w:ind w:left="720" w:hanging="360"/>
      </w:pPr>
      <w:rPr>
        <w:rFonts w:ascii="Wingdings" w:hAnsi="Wingdings"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B46606A"/>
    <w:multiLevelType w:val="multilevel"/>
    <w:tmpl w:val="FCEC7FBC"/>
    <w:numStyleLink w:val="ECCBullets"/>
  </w:abstractNum>
  <w:abstractNum w:abstractNumId="10">
    <w:nsid w:val="32860AD0"/>
    <w:multiLevelType w:val="hybridMultilevel"/>
    <w:tmpl w:val="15942072"/>
    <w:lvl w:ilvl="0" w:tplc="08A62078">
      <w:start w:val="1"/>
      <w:numFmt w:val="bullet"/>
      <w:lvlText w:val=""/>
      <w:lvlJc w:val="left"/>
      <w:pPr>
        <w:ind w:left="720" w:hanging="360"/>
      </w:pPr>
      <w:rPr>
        <w:rFonts w:ascii="Wingdings" w:hAnsi="Wingdings"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2">
    <w:nsid w:val="3D163F7A"/>
    <w:multiLevelType w:val="multilevel"/>
    <w:tmpl w:val="AFF0222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nsid w:val="3E0E6BAA"/>
    <w:multiLevelType w:val="multilevel"/>
    <w:tmpl w:val="FCEC7FBC"/>
    <w:numStyleLink w:val="ECCBullets"/>
  </w:abstractNum>
  <w:abstractNum w:abstractNumId="14">
    <w:nsid w:val="3E755CD1"/>
    <w:multiLevelType w:val="hybridMultilevel"/>
    <w:tmpl w:val="16BEDBD6"/>
    <w:lvl w:ilvl="0" w:tplc="08A62078">
      <w:start w:val="1"/>
      <w:numFmt w:val="bullet"/>
      <w:lvlText w:val=""/>
      <w:lvlJc w:val="left"/>
      <w:pPr>
        <w:ind w:left="720" w:hanging="360"/>
      </w:pPr>
      <w:rPr>
        <w:rFonts w:ascii="Wingdings" w:hAnsi="Wingdings"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02803DD"/>
    <w:multiLevelType w:val="hybridMultilevel"/>
    <w:tmpl w:val="90664598"/>
    <w:lvl w:ilvl="0" w:tplc="63BA4E14">
      <w:start w:val="1"/>
      <w:numFmt w:val="bullet"/>
      <w:lvlText w:val=""/>
      <w:lvlJc w:val="left"/>
      <w:pPr>
        <w:ind w:left="720" w:hanging="360"/>
      </w:pPr>
      <w:rPr>
        <w:rFonts w:ascii="Symbol" w:hAnsi="Symbo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8">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4A8A4CFE"/>
    <w:multiLevelType w:val="hybridMultilevel"/>
    <w:tmpl w:val="6D3CFCE0"/>
    <w:lvl w:ilvl="0" w:tplc="08A62078">
      <w:start w:val="1"/>
      <w:numFmt w:val="bullet"/>
      <w:lvlText w:val=""/>
      <w:lvlJc w:val="left"/>
      <w:pPr>
        <w:tabs>
          <w:tab w:val="num" w:pos="770"/>
        </w:tabs>
        <w:ind w:left="770" w:hanging="360"/>
      </w:pPr>
      <w:rPr>
        <w:rFonts w:ascii="Wingdings" w:hAnsi="Wingdings" w:hint="default"/>
        <w:color w:val="C00000"/>
      </w:rPr>
    </w:lvl>
    <w:lvl w:ilvl="1" w:tplc="04070003" w:tentative="1">
      <w:start w:val="1"/>
      <w:numFmt w:val="bullet"/>
      <w:lvlText w:val="o"/>
      <w:lvlJc w:val="left"/>
      <w:pPr>
        <w:tabs>
          <w:tab w:val="num" w:pos="1490"/>
        </w:tabs>
        <w:ind w:left="1490" w:hanging="360"/>
      </w:pPr>
      <w:rPr>
        <w:rFonts w:ascii="Courier New" w:hAnsi="Courier New" w:hint="default"/>
      </w:rPr>
    </w:lvl>
    <w:lvl w:ilvl="2" w:tplc="04070005" w:tentative="1">
      <w:start w:val="1"/>
      <w:numFmt w:val="bullet"/>
      <w:lvlText w:val=""/>
      <w:lvlJc w:val="left"/>
      <w:pPr>
        <w:tabs>
          <w:tab w:val="num" w:pos="2210"/>
        </w:tabs>
        <w:ind w:left="2210" w:hanging="360"/>
      </w:pPr>
      <w:rPr>
        <w:rFonts w:ascii="Wingdings" w:hAnsi="Wingdings" w:hint="default"/>
      </w:rPr>
    </w:lvl>
    <w:lvl w:ilvl="3" w:tplc="04070001" w:tentative="1">
      <w:start w:val="1"/>
      <w:numFmt w:val="bullet"/>
      <w:lvlText w:val=""/>
      <w:lvlJc w:val="left"/>
      <w:pPr>
        <w:tabs>
          <w:tab w:val="num" w:pos="2930"/>
        </w:tabs>
        <w:ind w:left="2930" w:hanging="360"/>
      </w:pPr>
      <w:rPr>
        <w:rFonts w:ascii="Symbol" w:hAnsi="Symbol" w:hint="default"/>
      </w:rPr>
    </w:lvl>
    <w:lvl w:ilvl="4" w:tplc="04070003" w:tentative="1">
      <w:start w:val="1"/>
      <w:numFmt w:val="bullet"/>
      <w:lvlText w:val="o"/>
      <w:lvlJc w:val="left"/>
      <w:pPr>
        <w:tabs>
          <w:tab w:val="num" w:pos="3650"/>
        </w:tabs>
        <w:ind w:left="3650" w:hanging="360"/>
      </w:pPr>
      <w:rPr>
        <w:rFonts w:ascii="Courier New" w:hAnsi="Courier New" w:hint="default"/>
      </w:rPr>
    </w:lvl>
    <w:lvl w:ilvl="5" w:tplc="04070005" w:tentative="1">
      <w:start w:val="1"/>
      <w:numFmt w:val="bullet"/>
      <w:lvlText w:val=""/>
      <w:lvlJc w:val="left"/>
      <w:pPr>
        <w:tabs>
          <w:tab w:val="num" w:pos="4370"/>
        </w:tabs>
        <w:ind w:left="4370" w:hanging="360"/>
      </w:pPr>
      <w:rPr>
        <w:rFonts w:ascii="Wingdings" w:hAnsi="Wingdings" w:hint="default"/>
      </w:rPr>
    </w:lvl>
    <w:lvl w:ilvl="6" w:tplc="04070001" w:tentative="1">
      <w:start w:val="1"/>
      <w:numFmt w:val="bullet"/>
      <w:lvlText w:val=""/>
      <w:lvlJc w:val="left"/>
      <w:pPr>
        <w:tabs>
          <w:tab w:val="num" w:pos="5090"/>
        </w:tabs>
        <w:ind w:left="5090" w:hanging="360"/>
      </w:pPr>
      <w:rPr>
        <w:rFonts w:ascii="Symbol" w:hAnsi="Symbol" w:hint="default"/>
      </w:rPr>
    </w:lvl>
    <w:lvl w:ilvl="7" w:tplc="04070003" w:tentative="1">
      <w:start w:val="1"/>
      <w:numFmt w:val="bullet"/>
      <w:lvlText w:val="o"/>
      <w:lvlJc w:val="left"/>
      <w:pPr>
        <w:tabs>
          <w:tab w:val="num" w:pos="5810"/>
        </w:tabs>
        <w:ind w:left="5810" w:hanging="360"/>
      </w:pPr>
      <w:rPr>
        <w:rFonts w:ascii="Courier New" w:hAnsi="Courier New" w:hint="default"/>
      </w:rPr>
    </w:lvl>
    <w:lvl w:ilvl="8" w:tplc="04070005" w:tentative="1">
      <w:start w:val="1"/>
      <w:numFmt w:val="bullet"/>
      <w:lvlText w:val=""/>
      <w:lvlJc w:val="left"/>
      <w:pPr>
        <w:tabs>
          <w:tab w:val="num" w:pos="6530"/>
        </w:tabs>
        <w:ind w:left="6530" w:hanging="360"/>
      </w:pPr>
      <w:rPr>
        <w:rFonts w:ascii="Wingdings" w:hAnsi="Wingdings" w:hint="default"/>
      </w:rPr>
    </w:lvl>
  </w:abstractNum>
  <w:abstractNum w:abstractNumId="20">
    <w:nsid w:val="4E264B24"/>
    <w:multiLevelType w:val="multilevel"/>
    <w:tmpl w:val="8DB4B360"/>
    <w:styleLink w:val="ECCNumbers-Letters"/>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52CF13F3"/>
    <w:multiLevelType w:val="hybridMultilevel"/>
    <w:tmpl w:val="0A0E2AD8"/>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3">
    <w:nsid w:val="5A566097"/>
    <w:multiLevelType w:val="hybridMultilevel"/>
    <w:tmpl w:val="EF2C27CA"/>
    <w:lvl w:ilvl="0" w:tplc="E3BAE2E8">
      <w:start w:val="5"/>
      <w:numFmt w:val="bullet"/>
      <w:lvlText w:val="-"/>
      <w:lvlJc w:val="left"/>
      <w:pPr>
        <w:ind w:left="720" w:hanging="360"/>
      </w:pPr>
      <w:rPr>
        <w:rFonts w:ascii="Times New Roman" w:eastAsia="MS Mincho" w:hAnsi="Times New Roman"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5">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6">
    <w:nsid w:val="5DF66E3D"/>
    <w:multiLevelType w:val="multilevel"/>
    <w:tmpl w:val="FCEC7FBC"/>
    <w:numStyleLink w:val="ECCBullets"/>
  </w:abstractNum>
  <w:abstractNum w:abstractNumId="27">
    <w:nsid w:val="66E36C84"/>
    <w:multiLevelType w:val="multilevel"/>
    <w:tmpl w:val="FCEC7FBC"/>
    <w:numStyleLink w:val="ECCBullets"/>
  </w:abstractNum>
  <w:abstractNum w:abstractNumId="28">
    <w:nsid w:val="6C275932"/>
    <w:multiLevelType w:val="multilevel"/>
    <w:tmpl w:val="FCEC7FBC"/>
    <w:numStyleLink w:val="ECCBullets"/>
  </w:abstractNum>
  <w:abstractNum w:abstractNumId="29">
    <w:nsid w:val="6D1A4B3B"/>
    <w:multiLevelType w:val="hybridMultilevel"/>
    <w:tmpl w:val="C31E0E9C"/>
    <w:lvl w:ilvl="0" w:tplc="E3BAE2E8">
      <w:start w:val="5"/>
      <w:numFmt w:val="bullet"/>
      <w:lvlText w:val="-"/>
      <w:lvlJc w:val="left"/>
      <w:pPr>
        <w:ind w:left="720" w:hanging="360"/>
      </w:pPr>
      <w:rPr>
        <w:rFonts w:ascii="Times New Roman" w:eastAsia="MS Mincho" w:hAnsi="Times New Roman"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E2A1411"/>
    <w:multiLevelType w:val="multilevel"/>
    <w:tmpl w:val="4E047EBE"/>
    <w:lvl w:ilvl="0">
      <w:start w:val="1"/>
      <w:numFmt w:val="decimal"/>
      <w:lvlText w:val="%1"/>
      <w:lvlJc w:val="left"/>
      <w:pPr>
        <w:tabs>
          <w:tab w:val="num" w:pos="998"/>
        </w:tabs>
        <w:ind w:left="998" w:hanging="432"/>
      </w:pPr>
      <w:rPr>
        <w:rFonts w:cs="Times New Roman"/>
      </w:rPr>
    </w:lvl>
    <w:lvl w:ilvl="1">
      <w:start w:val="1"/>
      <w:numFmt w:val="decimal"/>
      <w:lvlText w:val="%1.%2"/>
      <w:lvlJc w:val="left"/>
      <w:pPr>
        <w:tabs>
          <w:tab w:val="num" w:pos="1142"/>
        </w:tabs>
        <w:ind w:left="1142" w:hanging="576"/>
      </w:pPr>
      <w:rPr>
        <w:rFonts w:cs="Times New Roman"/>
      </w:rPr>
    </w:lvl>
    <w:lvl w:ilvl="2">
      <w:start w:val="1"/>
      <w:numFmt w:val="decimal"/>
      <w:lvlText w:val="%1.%2.%3"/>
      <w:lvlJc w:val="left"/>
      <w:pPr>
        <w:tabs>
          <w:tab w:val="num" w:pos="1286"/>
        </w:tabs>
        <w:ind w:left="1286" w:hanging="720"/>
      </w:pPr>
      <w:rPr>
        <w:rFonts w:cs="Times New Roman"/>
      </w:rPr>
    </w:lvl>
    <w:lvl w:ilvl="3">
      <w:start w:val="1"/>
      <w:numFmt w:val="decimal"/>
      <w:lvlText w:val="%1.%2.%3.%4"/>
      <w:lvlJc w:val="left"/>
      <w:pPr>
        <w:tabs>
          <w:tab w:val="num" w:pos="1430"/>
        </w:tabs>
        <w:ind w:left="1430" w:hanging="864"/>
      </w:pPr>
      <w:rPr>
        <w:rFonts w:cs="Times New Roman"/>
      </w:rPr>
    </w:lvl>
    <w:lvl w:ilvl="4">
      <w:start w:val="1"/>
      <w:numFmt w:val="decimal"/>
      <w:lvlText w:val="%1.%2.%3.%4.%5"/>
      <w:lvlJc w:val="left"/>
      <w:pPr>
        <w:tabs>
          <w:tab w:val="num" w:pos="1574"/>
        </w:tabs>
        <w:ind w:left="1574" w:hanging="1008"/>
      </w:pPr>
      <w:rPr>
        <w:rFonts w:cs="Times New Roman"/>
      </w:rPr>
    </w:lvl>
    <w:lvl w:ilvl="5">
      <w:start w:val="1"/>
      <w:numFmt w:val="decimal"/>
      <w:lvlText w:val="%1.%2.%3.%4.%5.%6"/>
      <w:lvlJc w:val="left"/>
      <w:pPr>
        <w:tabs>
          <w:tab w:val="num" w:pos="1718"/>
        </w:tabs>
        <w:ind w:left="1718" w:hanging="1152"/>
      </w:pPr>
      <w:rPr>
        <w:rFonts w:cs="Times New Roman"/>
      </w:rPr>
    </w:lvl>
    <w:lvl w:ilvl="6">
      <w:start w:val="1"/>
      <w:numFmt w:val="decimal"/>
      <w:lvlText w:val="%1.%2.%3.%4.%5.%6.%7"/>
      <w:lvlJc w:val="left"/>
      <w:pPr>
        <w:tabs>
          <w:tab w:val="num" w:pos="1862"/>
        </w:tabs>
        <w:ind w:left="1862" w:hanging="1296"/>
      </w:pPr>
      <w:rPr>
        <w:rFonts w:cs="Times New Roman"/>
      </w:rPr>
    </w:lvl>
    <w:lvl w:ilvl="7">
      <w:start w:val="1"/>
      <w:numFmt w:val="decimal"/>
      <w:lvlText w:val="%1.%2.%3.%4.%5.%6.%7.%8"/>
      <w:lvlJc w:val="left"/>
      <w:pPr>
        <w:tabs>
          <w:tab w:val="num" w:pos="2006"/>
        </w:tabs>
        <w:ind w:left="2006" w:hanging="1440"/>
      </w:pPr>
      <w:rPr>
        <w:rFonts w:cs="Times New Roman"/>
      </w:rPr>
    </w:lvl>
    <w:lvl w:ilvl="8">
      <w:start w:val="1"/>
      <w:numFmt w:val="decimal"/>
      <w:lvlText w:val="%1.%2.%3.%4.%5.%6.%7.%8.%9"/>
      <w:lvlJc w:val="left"/>
      <w:pPr>
        <w:tabs>
          <w:tab w:val="num" w:pos="2150"/>
        </w:tabs>
        <w:ind w:left="2150" w:hanging="1584"/>
      </w:pPr>
      <w:rPr>
        <w:rFonts w:cs="Times New Roman"/>
      </w:rPr>
    </w:lvl>
  </w:abstractNum>
  <w:abstractNum w:abstractNumId="31">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
  </w:num>
  <w:num w:numId="2">
    <w:abstractNumId w:val="12"/>
  </w:num>
  <w:num w:numId="3">
    <w:abstractNumId w:val="32"/>
  </w:num>
  <w:num w:numId="4">
    <w:abstractNumId w:val="18"/>
  </w:num>
  <w:num w:numId="5">
    <w:abstractNumId w:val="7"/>
  </w:num>
  <w:num w:numId="6">
    <w:abstractNumId w:val="16"/>
  </w:num>
  <w:num w:numId="7">
    <w:abstractNumId w:val="16"/>
    <w:lvlOverride w:ilvl="0">
      <w:startOverride w:val="1"/>
    </w:lvlOverride>
  </w:num>
  <w:num w:numId="8">
    <w:abstractNumId w:val="2"/>
  </w:num>
  <w:num w:numId="9">
    <w:abstractNumId w:val="27"/>
  </w:num>
  <w:num w:numId="10">
    <w:abstractNumId w:val="24"/>
  </w:num>
  <w:num w:numId="11">
    <w:abstractNumId w:val="17"/>
  </w:num>
  <w:num w:numId="12">
    <w:abstractNumId w:val="11"/>
  </w:num>
  <w:num w:numId="13">
    <w:abstractNumId w:val="25"/>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5"/>
  </w:num>
  <w:num w:numId="20">
    <w:abstractNumId w:val="3"/>
  </w:num>
  <w:num w:numId="21">
    <w:abstractNumId w:val="1"/>
  </w:num>
  <w:num w:numId="22">
    <w:abstractNumId w:val="0"/>
  </w:num>
  <w:num w:numId="23">
    <w:abstractNumId w:val="9"/>
  </w:num>
  <w:num w:numId="24">
    <w:abstractNumId w:val="13"/>
  </w:num>
  <w:num w:numId="25">
    <w:abstractNumId w:val="28"/>
  </w:num>
  <w:num w:numId="26">
    <w:abstractNumId w:val="26"/>
  </w:num>
  <w:num w:numId="27">
    <w:abstractNumId w:val="18"/>
  </w:num>
  <w:num w:numId="28">
    <w:abstractNumId w:val="18"/>
  </w:num>
  <w:num w:numId="29">
    <w:abstractNumId w:val="18"/>
  </w:num>
  <w:num w:numId="30">
    <w:abstractNumId w:val="18"/>
  </w:num>
  <w:num w:numId="31">
    <w:abstractNumId w:val="18"/>
  </w:num>
  <w:num w:numId="32">
    <w:abstractNumId w:val="30"/>
  </w:num>
  <w:num w:numId="33">
    <w:abstractNumId w:val="19"/>
  </w:num>
  <w:num w:numId="34">
    <w:abstractNumId w:val="15"/>
  </w:num>
  <w:num w:numId="35">
    <w:abstractNumId w:val="23"/>
  </w:num>
  <w:num w:numId="36">
    <w:abstractNumId w:val="29"/>
  </w:num>
  <w:num w:numId="37">
    <w:abstractNumId w:val="10"/>
  </w:num>
  <w:num w:numId="38">
    <w:abstractNumId w:val="14"/>
  </w:num>
  <w:num w:numId="39">
    <w:abstractNumId w:val="21"/>
  </w:num>
  <w:num w:numId="40">
    <w:abstractNumId w:val="8"/>
  </w:num>
  <w:num w:numId="4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efaultTabStop w:val="720"/>
  <w:hyphenationZone w:val="425"/>
  <w:evenAndOddHeaders/>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86F"/>
    <w:rsid w:val="00003210"/>
    <w:rsid w:val="00017470"/>
    <w:rsid w:val="0003151C"/>
    <w:rsid w:val="000673FC"/>
    <w:rsid w:val="00067793"/>
    <w:rsid w:val="00080D86"/>
    <w:rsid w:val="00082DD7"/>
    <w:rsid w:val="00097D50"/>
    <w:rsid w:val="000B419D"/>
    <w:rsid w:val="000C028F"/>
    <w:rsid w:val="000E42F5"/>
    <w:rsid w:val="000E6288"/>
    <w:rsid w:val="00103F3D"/>
    <w:rsid w:val="001223D0"/>
    <w:rsid w:val="0013455F"/>
    <w:rsid w:val="00147597"/>
    <w:rsid w:val="00183FE0"/>
    <w:rsid w:val="001D2225"/>
    <w:rsid w:val="001F57CD"/>
    <w:rsid w:val="0024276C"/>
    <w:rsid w:val="00244B39"/>
    <w:rsid w:val="00260AD8"/>
    <w:rsid w:val="00267FD5"/>
    <w:rsid w:val="00274F84"/>
    <w:rsid w:val="00277798"/>
    <w:rsid w:val="00281598"/>
    <w:rsid w:val="00285C15"/>
    <w:rsid w:val="002A1EBE"/>
    <w:rsid w:val="002A1F61"/>
    <w:rsid w:val="002B4465"/>
    <w:rsid w:val="00333B38"/>
    <w:rsid w:val="00335155"/>
    <w:rsid w:val="003503D1"/>
    <w:rsid w:val="00351DD9"/>
    <w:rsid w:val="003564FE"/>
    <w:rsid w:val="0036691C"/>
    <w:rsid w:val="00371298"/>
    <w:rsid w:val="00376672"/>
    <w:rsid w:val="003833C3"/>
    <w:rsid w:val="003B4DD3"/>
    <w:rsid w:val="003D506B"/>
    <w:rsid w:val="003E4C73"/>
    <w:rsid w:val="003F2C75"/>
    <w:rsid w:val="004110CA"/>
    <w:rsid w:val="004215CE"/>
    <w:rsid w:val="00437883"/>
    <w:rsid w:val="00452F6A"/>
    <w:rsid w:val="00454086"/>
    <w:rsid w:val="00477F26"/>
    <w:rsid w:val="004F31EA"/>
    <w:rsid w:val="005155ED"/>
    <w:rsid w:val="0052738E"/>
    <w:rsid w:val="00550D79"/>
    <w:rsid w:val="00557B5A"/>
    <w:rsid w:val="005677E3"/>
    <w:rsid w:val="0057438C"/>
    <w:rsid w:val="00594186"/>
    <w:rsid w:val="005A399B"/>
    <w:rsid w:val="005A4E2C"/>
    <w:rsid w:val="005C10EB"/>
    <w:rsid w:val="005D133B"/>
    <w:rsid w:val="005E7D36"/>
    <w:rsid w:val="006329D9"/>
    <w:rsid w:val="00641507"/>
    <w:rsid w:val="00643A96"/>
    <w:rsid w:val="00643EF9"/>
    <w:rsid w:val="00666EA5"/>
    <w:rsid w:val="00675FD8"/>
    <w:rsid w:val="00683A1B"/>
    <w:rsid w:val="006A4E8B"/>
    <w:rsid w:val="006C2210"/>
    <w:rsid w:val="006C6C60"/>
    <w:rsid w:val="007074BF"/>
    <w:rsid w:val="00726FB7"/>
    <w:rsid w:val="00734A4F"/>
    <w:rsid w:val="00763BA3"/>
    <w:rsid w:val="00767BB2"/>
    <w:rsid w:val="00771B90"/>
    <w:rsid w:val="00780376"/>
    <w:rsid w:val="007858D7"/>
    <w:rsid w:val="00797D4C"/>
    <w:rsid w:val="007A2AEE"/>
    <w:rsid w:val="007A517C"/>
    <w:rsid w:val="007B2402"/>
    <w:rsid w:val="007C5EFB"/>
    <w:rsid w:val="007C5F95"/>
    <w:rsid w:val="007D4EFA"/>
    <w:rsid w:val="0081440D"/>
    <w:rsid w:val="0081760B"/>
    <w:rsid w:val="00826813"/>
    <w:rsid w:val="00850649"/>
    <w:rsid w:val="00872378"/>
    <w:rsid w:val="00887718"/>
    <w:rsid w:val="008A54FC"/>
    <w:rsid w:val="008B70CD"/>
    <w:rsid w:val="008D6293"/>
    <w:rsid w:val="008E03EE"/>
    <w:rsid w:val="008F382D"/>
    <w:rsid w:val="00915E95"/>
    <w:rsid w:val="00923645"/>
    <w:rsid w:val="0092644B"/>
    <w:rsid w:val="00943F4E"/>
    <w:rsid w:val="009451D9"/>
    <w:rsid w:val="009A4F18"/>
    <w:rsid w:val="009B6B8D"/>
    <w:rsid w:val="009C63CC"/>
    <w:rsid w:val="009D686F"/>
    <w:rsid w:val="009E47EB"/>
    <w:rsid w:val="00A076B5"/>
    <w:rsid w:val="00A325E2"/>
    <w:rsid w:val="00A51D3F"/>
    <w:rsid w:val="00A52D56"/>
    <w:rsid w:val="00A95ACB"/>
    <w:rsid w:val="00AA086A"/>
    <w:rsid w:val="00AC3D07"/>
    <w:rsid w:val="00AD38EB"/>
    <w:rsid w:val="00AF3AEC"/>
    <w:rsid w:val="00B276A6"/>
    <w:rsid w:val="00B30D3B"/>
    <w:rsid w:val="00B31432"/>
    <w:rsid w:val="00B432D4"/>
    <w:rsid w:val="00B43F4B"/>
    <w:rsid w:val="00B5169A"/>
    <w:rsid w:val="00B739CF"/>
    <w:rsid w:val="00B83915"/>
    <w:rsid w:val="00BF1EFA"/>
    <w:rsid w:val="00C01419"/>
    <w:rsid w:val="00C05BA9"/>
    <w:rsid w:val="00C079E1"/>
    <w:rsid w:val="00C352E6"/>
    <w:rsid w:val="00C513EF"/>
    <w:rsid w:val="00C71F37"/>
    <w:rsid w:val="00C87873"/>
    <w:rsid w:val="00C91E2B"/>
    <w:rsid w:val="00CC2020"/>
    <w:rsid w:val="00CD0D4F"/>
    <w:rsid w:val="00CD41E7"/>
    <w:rsid w:val="00CF3606"/>
    <w:rsid w:val="00D11D27"/>
    <w:rsid w:val="00D447E4"/>
    <w:rsid w:val="00D94B7A"/>
    <w:rsid w:val="00DB23EE"/>
    <w:rsid w:val="00DC780A"/>
    <w:rsid w:val="00DD7CE6"/>
    <w:rsid w:val="00DE7DF8"/>
    <w:rsid w:val="00DF2C67"/>
    <w:rsid w:val="00E06FD8"/>
    <w:rsid w:val="00E41DB2"/>
    <w:rsid w:val="00E71AE7"/>
    <w:rsid w:val="00EA6088"/>
    <w:rsid w:val="00F1421B"/>
    <w:rsid w:val="00F33A9F"/>
    <w:rsid w:val="00F728C9"/>
    <w:rsid w:val="00F93115"/>
    <w:rsid w:val="00FB39B4"/>
    <w:rsid w:val="00FD0F60"/>
    <w:rsid w:val="00FD3609"/>
    <w:rsid w:val="00FE17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D41E7"/>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F33A9F"/>
    <w:rPr>
      <w:rFonts w:ascii="Cambria" w:hAnsi="Cambria" w:cs="Times New Roman"/>
      <w:b/>
      <w:bCs/>
      <w:kern w:val="32"/>
      <w:sz w:val="32"/>
      <w:szCs w:val="32"/>
      <w:lang w:val="en-US" w:eastAsia="en-US"/>
    </w:rPr>
  </w:style>
  <w:style w:type="character" w:customStyle="1" w:styleId="Heading2Char">
    <w:name w:val="Heading 2 Char"/>
    <w:aliases w:val="ECC Heading 2 Char"/>
    <w:basedOn w:val="DefaultParagraphFont"/>
    <w:link w:val="Heading2"/>
    <w:uiPriority w:val="99"/>
    <w:locked/>
    <w:rsid w:val="005677E3"/>
    <w:rPr>
      <w:rFonts w:ascii="Arial" w:hAnsi="Arial" w:cs="Arial"/>
      <w:b/>
      <w:bCs/>
      <w:iCs/>
      <w:caps/>
      <w:sz w:val="28"/>
      <w:szCs w:val="28"/>
      <w:lang w:val="en-US"/>
    </w:rPr>
  </w:style>
  <w:style w:type="character" w:customStyle="1" w:styleId="Heading3Char">
    <w:name w:val="Heading 3 Char"/>
    <w:aliases w:val="ECC Heading 3 Char"/>
    <w:basedOn w:val="DefaultParagraphFont"/>
    <w:link w:val="Heading3"/>
    <w:uiPriority w:val="99"/>
    <w:semiHidden/>
    <w:locked/>
    <w:rsid w:val="00F33A9F"/>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F33A9F"/>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F33A9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F33A9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F33A9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F33A9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F33A9F"/>
    <w:rPr>
      <w:rFonts w:ascii="Cambria" w:hAnsi="Cambria" w:cs="Times New Roman"/>
      <w:lang w:val="en-US" w:eastAsia="en-US"/>
    </w:rPr>
  </w:style>
  <w:style w:type="paragraph" w:customStyle="1" w:styleId="ECCParagraph">
    <w:name w:val="ECC Paragraph"/>
    <w:basedOn w:val="Normal"/>
    <w:uiPriority w:val="99"/>
    <w:rsid w:val="00CD41E7"/>
    <w:pPr>
      <w:spacing w:after="240"/>
      <w:jc w:val="both"/>
    </w:pPr>
    <w:rPr>
      <w:lang w:val="en-GB"/>
    </w:rPr>
  </w:style>
  <w:style w:type="paragraph" w:customStyle="1" w:styleId="ECCParBulleted">
    <w:name w:val="ECC Par Bulleted"/>
    <w:basedOn w:val="ECCParagraph"/>
    <w:uiPriority w:val="99"/>
    <w:rsid w:val="00CD41E7"/>
    <w:pPr>
      <w:numPr>
        <w:numId w:val="1"/>
      </w:numPr>
      <w:spacing w:after="0"/>
    </w:pPr>
  </w:style>
  <w:style w:type="paragraph" w:styleId="Header">
    <w:name w:val="header"/>
    <w:basedOn w:val="Normal"/>
    <w:link w:val="HeaderChar"/>
    <w:uiPriority w:val="99"/>
    <w:semiHidden/>
    <w:rsid w:val="00CD41E7"/>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F33A9F"/>
    <w:rPr>
      <w:rFonts w:ascii="Arial" w:hAnsi="Arial" w:cs="Times New Roman"/>
      <w:sz w:val="24"/>
      <w:szCs w:val="24"/>
      <w:lang w:val="en-US" w:eastAsia="en-US"/>
    </w:rPr>
  </w:style>
  <w:style w:type="paragraph" w:styleId="Footer">
    <w:name w:val="footer"/>
    <w:basedOn w:val="Normal"/>
    <w:link w:val="FooterChar"/>
    <w:uiPriority w:val="99"/>
    <w:semiHidden/>
    <w:rsid w:val="00CD41E7"/>
    <w:pPr>
      <w:tabs>
        <w:tab w:val="center" w:pos="4320"/>
        <w:tab w:val="right" w:pos="8640"/>
      </w:tabs>
    </w:pPr>
  </w:style>
  <w:style w:type="character" w:customStyle="1" w:styleId="FooterChar">
    <w:name w:val="Footer Char"/>
    <w:basedOn w:val="DefaultParagraphFont"/>
    <w:link w:val="Footer"/>
    <w:uiPriority w:val="99"/>
    <w:semiHidden/>
    <w:locked/>
    <w:rsid w:val="00F33A9F"/>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CD41E7"/>
    <w:pPr>
      <w:tabs>
        <w:tab w:val="left" w:pos="360"/>
        <w:tab w:val="right" w:leader="dot" w:pos="9629"/>
      </w:tabs>
      <w:spacing w:before="240"/>
    </w:pPr>
    <w:rPr>
      <w:b/>
      <w:caps/>
    </w:rPr>
  </w:style>
  <w:style w:type="character" w:styleId="Hyperlink">
    <w:name w:val="Hyperlink"/>
    <w:basedOn w:val="DefaultParagraphFont"/>
    <w:uiPriority w:val="99"/>
    <w:rsid w:val="00CD41E7"/>
    <w:rPr>
      <w:rFonts w:cs="Times New Roman"/>
      <w:color w:val="0000FF"/>
      <w:u w:val="single"/>
    </w:rPr>
  </w:style>
  <w:style w:type="paragraph" w:styleId="TOC2">
    <w:name w:val="toc 2"/>
    <w:basedOn w:val="Normal"/>
    <w:next w:val="Normal"/>
    <w:autoRedefine/>
    <w:uiPriority w:val="39"/>
    <w:rsid w:val="00CD41E7"/>
    <w:pPr>
      <w:tabs>
        <w:tab w:val="left" w:pos="900"/>
        <w:tab w:val="right" w:leader="dot" w:pos="9629"/>
      </w:tabs>
      <w:ind w:left="360"/>
    </w:pPr>
  </w:style>
  <w:style w:type="paragraph" w:styleId="TOC3">
    <w:name w:val="toc 3"/>
    <w:basedOn w:val="Normal"/>
    <w:next w:val="Normal"/>
    <w:autoRedefine/>
    <w:uiPriority w:val="99"/>
    <w:rsid w:val="00CD41E7"/>
    <w:pPr>
      <w:tabs>
        <w:tab w:val="left" w:pos="1440"/>
        <w:tab w:val="right" w:leader="dot" w:pos="9629"/>
      </w:tabs>
      <w:ind w:left="900"/>
    </w:pPr>
  </w:style>
  <w:style w:type="paragraph" w:styleId="TOC4">
    <w:name w:val="toc 4"/>
    <w:basedOn w:val="Normal"/>
    <w:next w:val="Normal"/>
    <w:autoRedefine/>
    <w:uiPriority w:val="99"/>
    <w:rsid w:val="00CD41E7"/>
    <w:pPr>
      <w:tabs>
        <w:tab w:val="left" w:pos="2340"/>
        <w:tab w:val="right" w:leader="dot" w:pos="9629"/>
      </w:tabs>
      <w:ind w:left="1440"/>
    </w:pPr>
    <w:rPr>
      <w:i/>
    </w:rPr>
  </w:style>
  <w:style w:type="table" w:styleId="TableGrid">
    <w:name w:val="Table Grid"/>
    <w:basedOn w:val="TableNormal"/>
    <w:uiPriority w:val="99"/>
    <w:semiHidden/>
    <w:rsid w:val="00CD41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D41E7"/>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CD41E7"/>
    <w:pPr>
      <w:numPr>
        <w:numId w:val="3"/>
      </w:numPr>
      <w:spacing w:before="360" w:after="240"/>
    </w:pPr>
  </w:style>
  <w:style w:type="paragraph" w:customStyle="1" w:styleId="ECCFootnote">
    <w:name w:val="ECC Footnote"/>
    <w:basedOn w:val="Normal"/>
    <w:autoRedefine/>
    <w:uiPriority w:val="99"/>
    <w:rsid w:val="00CD41E7"/>
    <w:pPr>
      <w:ind w:left="454" w:hanging="454"/>
    </w:pPr>
    <w:rPr>
      <w:sz w:val="16"/>
    </w:rPr>
  </w:style>
  <w:style w:type="paragraph" w:styleId="FootnoteText">
    <w:name w:val="footnote text"/>
    <w:basedOn w:val="Normal"/>
    <w:link w:val="FootnoteTextChar"/>
    <w:uiPriority w:val="99"/>
    <w:rsid w:val="00CD41E7"/>
    <w:rPr>
      <w:szCs w:val="20"/>
      <w:lang w:eastAsia="de-DE"/>
    </w:rPr>
  </w:style>
  <w:style w:type="character" w:customStyle="1" w:styleId="FootnoteTextChar">
    <w:name w:val="Footnote Text Char"/>
    <w:basedOn w:val="DefaultParagraphFont"/>
    <w:link w:val="FootnoteText"/>
    <w:uiPriority w:val="99"/>
    <w:locked/>
    <w:rsid w:val="007D4EFA"/>
    <w:rPr>
      <w:rFonts w:ascii="Arial" w:hAnsi="Arial" w:cs="Times New Roman"/>
      <w:lang w:val="en-US"/>
    </w:rPr>
  </w:style>
  <w:style w:type="character" w:styleId="FootnoteReference">
    <w:name w:val="footnote reference"/>
    <w:basedOn w:val="DefaultParagraphFont"/>
    <w:uiPriority w:val="99"/>
    <w:rsid w:val="00CD41E7"/>
    <w:rPr>
      <w:rFonts w:cs="Times New Roman"/>
      <w:vertAlign w:val="superscript"/>
    </w:rPr>
  </w:style>
  <w:style w:type="paragraph" w:customStyle="1" w:styleId="Text">
    <w:name w:val="Text"/>
    <w:basedOn w:val="Normal"/>
    <w:uiPriority w:val="99"/>
    <w:rsid w:val="00CD41E7"/>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FD0F60"/>
    <w:pPr>
      <w:spacing w:after="0"/>
    </w:pPr>
    <w:rPr>
      <w:sz w:val="16"/>
      <w:szCs w:val="16"/>
    </w:rPr>
  </w:style>
  <w:style w:type="paragraph" w:customStyle="1" w:styleId="reference">
    <w:name w:val="reference"/>
    <w:basedOn w:val="Normal"/>
    <w:uiPriority w:val="99"/>
    <w:rsid w:val="00CD41E7"/>
    <w:pPr>
      <w:numPr>
        <w:numId w:val="6"/>
      </w:numPr>
    </w:pPr>
    <w:rPr>
      <w:lang w:eastAsia="ja-JP"/>
    </w:rPr>
  </w:style>
  <w:style w:type="paragraph" w:customStyle="1" w:styleId="ECCAnnexheading2">
    <w:name w:val="ECC Annex heading2"/>
    <w:basedOn w:val="Normal"/>
    <w:next w:val="ECCParagraph"/>
    <w:uiPriority w:val="99"/>
    <w:rsid w:val="00CD41E7"/>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CD41E7"/>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D41E7"/>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CD41E7"/>
    <w:pPr>
      <w:spacing w:before="120" w:after="120"/>
      <w:ind w:left="3402"/>
    </w:pPr>
    <w:rPr>
      <w:bCs/>
      <w:sz w:val="18"/>
    </w:rPr>
  </w:style>
  <w:style w:type="paragraph" w:customStyle="1" w:styleId="Reporttitledescription">
    <w:name w:val="Report title/description"/>
    <w:basedOn w:val="Normal"/>
    <w:uiPriority w:val="99"/>
    <w:rsid w:val="00CD41E7"/>
    <w:pPr>
      <w:spacing w:before="600" w:line="288" w:lineRule="auto"/>
      <w:ind w:left="3402"/>
    </w:pPr>
    <w:rPr>
      <w:sz w:val="24"/>
    </w:rPr>
  </w:style>
  <w:style w:type="paragraph" w:styleId="Caption">
    <w:name w:val="caption"/>
    <w:basedOn w:val="Normal"/>
    <w:next w:val="Normal"/>
    <w:uiPriority w:val="99"/>
    <w:qFormat/>
    <w:rsid w:val="00CD41E7"/>
    <w:pPr>
      <w:spacing w:before="240" w:after="240"/>
      <w:jc w:val="center"/>
    </w:pPr>
    <w:rPr>
      <w:b/>
      <w:bCs/>
      <w:color w:val="D2232A"/>
      <w:szCs w:val="20"/>
    </w:rPr>
  </w:style>
  <w:style w:type="paragraph" w:customStyle="1" w:styleId="ECCNumbered-LetteredList">
    <w:name w:val="ECC Numbered-Lettered List"/>
    <w:basedOn w:val="Normal"/>
    <w:uiPriority w:val="99"/>
    <w:rsid w:val="00DF2C67"/>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customStyle="1" w:styleId="Tabletext">
    <w:name w:val="Table_text"/>
    <w:basedOn w:val="Normal"/>
    <w:link w:val="TabletextChar"/>
    <w:uiPriority w:val="99"/>
    <w:rsid w:val="007D4EFA"/>
    <w:pPr>
      <w:tabs>
        <w:tab w:val="left" w:pos="284"/>
        <w:tab w:val="left" w:pos="540"/>
        <w:tab w:val="left" w:pos="567"/>
        <w:tab w:val="left" w:pos="851"/>
        <w:tab w:val="left" w:pos="1134"/>
        <w:tab w:val="left" w:pos="1260"/>
        <w:tab w:val="left" w:pos="1418"/>
        <w:tab w:val="left" w:pos="1701"/>
        <w:tab w:val="left" w:pos="1800"/>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pPr>
    <w:rPr>
      <w:rFonts w:ascii="Times New Roman" w:eastAsia="SimSun" w:hAnsi="Times New Roman"/>
      <w:sz w:val="22"/>
      <w:szCs w:val="20"/>
      <w:lang w:val="en-GB" w:eastAsia="de-DE"/>
    </w:rPr>
  </w:style>
  <w:style w:type="paragraph" w:customStyle="1" w:styleId="Tablehead">
    <w:name w:val="Table_head"/>
    <w:basedOn w:val="Normal"/>
    <w:next w:val="Normal"/>
    <w:uiPriority w:val="99"/>
    <w:rsid w:val="007D4E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MS Mincho" w:hAnsi="Times New Roman"/>
      <w:b/>
      <w:sz w:val="22"/>
      <w:szCs w:val="20"/>
      <w:lang w:val="fr-FR"/>
    </w:rPr>
  </w:style>
  <w:style w:type="paragraph" w:customStyle="1" w:styleId="Equation">
    <w:name w:val="Equation"/>
    <w:basedOn w:val="Normal"/>
    <w:uiPriority w:val="99"/>
    <w:rsid w:val="007D4EFA"/>
    <w:pPr>
      <w:tabs>
        <w:tab w:val="left" w:pos="794"/>
        <w:tab w:val="center" w:pos="4849"/>
        <w:tab w:val="right" w:pos="9696"/>
      </w:tabs>
      <w:overflowPunct w:val="0"/>
      <w:autoSpaceDE w:val="0"/>
      <w:autoSpaceDN w:val="0"/>
      <w:adjustRightInd w:val="0"/>
      <w:spacing w:before="140" w:after="40"/>
    </w:pPr>
    <w:rPr>
      <w:rFonts w:ascii="Times New Roman" w:eastAsia="MS Mincho" w:hAnsi="Times New Roman"/>
      <w:sz w:val="22"/>
      <w:szCs w:val="20"/>
      <w:lang w:val="en-GB" w:eastAsia="zh-CN"/>
    </w:rPr>
  </w:style>
  <w:style w:type="character" w:customStyle="1" w:styleId="TabletextChar">
    <w:name w:val="Table_text Char"/>
    <w:link w:val="Tabletext"/>
    <w:uiPriority w:val="99"/>
    <w:locked/>
    <w:rsid w:val="007D4EFA"/>
    <w:rPr>
      <w:rFonts w:eastAsia="SimSun"/>
      <w:sz w:val="22"/>
      <w:lang w:val="en-GB"/>
    </w:rPr>
  </w:style>
  <w:style w:type="paragraph" w:customStyle="1" w:styleId="Tablefin">
    <w:name w:val="Table_fin"/>
    <w:basedOn w:val="Normal"/>
    <w:next w:val="Normal"/>
    <w:uiPriority w:val="99"/>
    <w:rsid w:val="007D4EFA"/>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MS Mincho" w:hAnsi="Times New Roman"/>
      <w:szCs w:val="20"/>
      <w:lang w:val="en-GB"/>
    </w:rPr>
  </w:style>
  <w:style w:type="paragraph" w:customStyle="1" w:styleId="ListParagraph1">
    <w:name w:val="List Paragraph1"/>
    <w:basedOn w:val="Normal"/>
    <w:uiPriority w:val="99"/>
    <w:rsid w:val="007D4EFA"/>
    <w:pPr>
      <w:ind w:left="720"/>
    </w:pPr>
    <w:rPr>
      <w:rFonts w:ascii="Calibri" w:hAnsi="Calibri" w:cs="Calibri"/>
      <w:sz w:val="22"/>
      <w:szCs w:val="22"/>
      <w:lang w:val="fr-FR"/>
    </w:rPr>
  </w:style>
  <w:style w:type="character" w:styleId="Strong">
    <w:name w:val="Strong"/>
    <w:basedOn w:val="DefaultParagraphFont"/>
    <w:uiPriority w:val="99"/>
    <w:qFormat/>
    <w:rsid w:val="007D4EFA"/>
    <w:rPr>
      <w:rFonts w:cs="Times New Roman"/>
      <w:b/>
    </w:rPr>
  </w:style>
  <w:style w:type="numbering" w:customStyle="1" w:styleId="ECCBullets">
    <w:name w:val="ECC Bullets"/>
    <w:rsid w:val="00BA6504"/>
    <w:pPr>
      <w:numPr>
        <w:numId w:val="8"/>
      </w:numPr>
    </w:pPr>
  </w:style>
  <w:style w:type="numbering" w:customStyle="1" w:styleId="ECCNumbers-Letters">
    <w:name w:val="ECC Numbers-Letters"/>
    <w:rsid w:val="00BA6504"/>
    <w:pPr>
      <w:numPr>
        <w:numId w:val="16"/>
      </w:numPr>
    </w:pPr>
  </w:style>
  <w:style w:type="numbering" w:customStyle="1" w:styleId="ECCNumbers-Bullets">
    <w:name w:val="ECC Numbers-Bullets"/>
    <w:rsid w:val="00BA6504"/>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D41E7"/>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F33A9F"/>
    <w:rPr>
      <w:rFonts w:ascii="Cambria" w:hAnsi="Cambria" w:cs="Times New Roman"/>
      <w:b/>
      <w:bCs/>
      <w:kern w:val="32"/>
      <w:sz w:val="32"/>
      <w:szCs w:val="32"/>
      <w:lang w:val="en-US" w:eastAsia="en-US"/>
    </w:rPr>
  </w:style>
  <w:style w:type="character" w:customStyle="1" w:styleId="Heading2Char">
    <w:name w:val="Heading 2 Char"/>
    <w:aliases w:val="ECC Heading 2 Char"/>
    <w:basedOn w:val="DefaultParagraphFont"/>
    <w:link w:val="Heading2"/>
    <w:uiPriority w:val="99"/>
    <w:locked/>
    <w:rsid w:val="005677E3"/>
    <w:rPr>
      <w:rFonts w:ascii="Arial" w:hAnsi="Arial" w:cs="Arial"/>
      <w:b/>
      <w:bCs/>
      <w:iCs/>
      <w:caps/>
      <w:sz w:val="28"/>
      <w:szCs w:val="28"/>
      <w:lang w:val="en-US"/>
    </w:rPr>
  </w:style>
  <w:style w:type="character" w:customStyle="1" w:styleId="Heading3Char">
    <w:name w:val="Heading 3 Char"/>
    <w:aliases w:val="ECC Heading 3 Char"/>
    <w:basedOn w:val="DefaultParagraphFont"/>
    <w:link w:val="Heading3"/>
    <w:uiPriority w:val="99"/>
    <w:semiHidden/>
    <w:locked/>
    <w:rsid w:val="00F33A9F"/>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F33A9F"/>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F33A9F"/>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F33A9F"/>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F33A9F"/>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F33A9F"/>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F33A9F"/>
    <w:rPr>
      <w:rFonts w:ascii="Cambria" w:hAnsi="Cambria" w:cs="Times New Roman"/>
      <w:lang w:val="en-US" w:eastAsia="en-US"/>
    </w:rPr>
  </w:style>
  <w:style w:type="paragraph" w:customStyle="1" w:styleId="ECCParagraph">
    <w:name w:val="ECC Paragraph"/>
    <w:basedOn w:val="Normal"/>
    <w:uiPriority w:val="99"/>
    <w:rsid w:val="00CD41E7"/>
    <w:pPr>
      <w:spacing w:after="240"/>
      <w:jc w:val="both"/>
    </w:pPr>
    <w:rPr>
      <w:lang w:val="en-GB"/>
    </w:rPr>
  </w:style>
  <w:style w:type="paragraph" w:customStyle="1" w:styleId="ECCParBulleted">
    <w:name w:val="ECC Par Bulleted"/>
    <w:basedOn w:val="ECCParagraph"/>
    <w:uiPriority w:val="99"/>
    <w:rsid w:val="00CD41E7"/>
    <w:pPr>
      <w:numPr>
        <w:numId w:val="1"/>
      </w:numPr>
      <w:spacing w:after="0"/>
    </w:pPr>
  </w:style>
  <w:style w:type="paragraph" w:styleId="Header">
    <w:name w:val="header"/>
    <w:basedOn w:val="Normal"/>
    <w:link w:val="HeaderChar"/>
    <w:uiPriority w:val="99"/>
    <w:semiHidden/>
    <w:rsid w:val="00CD41E7"/>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F33A9F"/>
    <w:rPr>
      <w:rFonts w:ascii="Arial" w:hAnsi="Arial" w:cs="Times New Roman"/>
      <w:sz w:val="24"/>
      <w:szCs w:val="24"/>
      <w:lang w:val="en-US" w:eastAsia="en-US"/>
    </w:rPr>
  </w:style>
  <w:style w:type="paragraph" w:styleId="Footer">
    <w:name w:val="footer"/>
    <w:basedOn w:val="Normal"/>
    <w:link w:val="FooterChar"/>
    <w:uiPriority w:val="99"/>
    <w:semiHidden/>
    <w:rsid w:val="00CD41E7"/>
    <w:pPr>
      <w:tabs>
        <w:tab w:val="center" w:pos="4320"/>
        <w:tab w:val="right" w:pos="8640"/>
      </w:tabs>
    </w:pPr>
  </w:style>
  <w:style w:type="character" w:customStyle="1" w:styleId="FooterChar">
    <w:name w:val="Footer Char"/>
    <w:basedOn w:val="DefaultParagraphFont"/>
    <w:link w:val="Footer"/>
    <w:uiPriority w:val="99"/>
    <w:semiHidden/>
    <w:locked/>
    <w:rsid w:val="00F33A9F"/>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rsid w:val="00CD41E7"/>
    <w:pPr>
      <w:tabs>
        <w:tab w:val="left" w:pos="360"/>
        <w:tab w:val="right" w:leader="dot" w:pos="9629"/>
      </w:tabs>
      <w:spacing w:before="240"/>
    </w:pPr>
    <w:rPr>
      <w:b/>
      <w:caps/>
    </w:rPr>
  </w:style>
  <w:style w:type="character" w:styleId="Hyperlink">
    <w:name w:val="Hyperlink"/>
    <w:basedOn w:val="DefaultParagraphFont"/>
    <w:uiPriority w:val="99"/>
    <w:rsid w:val="00CD41E7"/>
    <w:rPr>
      <w:rFonts w:cs="Times New Roman"/>
      <w:color w:val="0000FF"/>
      <w:u w:val="single"/>
    </w:rPr>
  </w:style>
  <w:style w:type="paragraph" w:styleId="TOC2">
    <w:name w:val="toc 2"/>
    <w:basedOn w:val="Normal"/>
    <w:next w:val="Normal"/>
    <w:autoRedefine/>
    <w:uiPriority w:val="39"/>
    <w:rsid w:val="00CD41E7"/>
    <w:pPr>
      <w:tabs>
        <w:tab w:val="left" w:pos="900"/>
        <w:tab w:val="right" w:leader="dot" w:pos="9629"/>
      </w:tabs>
      <w:ind w:left="360"/>
    </w:pPr>
  </w:style>
  <w:style w:type="paragraph" w:styleId="TOC3">
    <w:name w:val="toc 3"/>
    <w:basedOn w:val="Normal"/>
    <w:next w:val="Normal"/>
    <w:autoRedefine/>
    <w:uiPriority w:val="99"/>
    <w:rsid w:val="00CD41E7"/>
    <w:pPr>
      <w:tabs>
        <w:tab w:val="left" w:pos="1440"/>
        <w:tab w:val="right" w:leader="dot" w:pos="9629"/>
      </w:tabs>
      <w:ind w:left="900"/>
    </w:pPr>
  </w:style>
  <w:style w:type="paragraph" w:styleId="TOC4">
    <w:name w:val="toc 4"/>
    <w:basedOn w:val="Normal"/>
    <w:next w:val="Normal"/>
    <w:autoRedefine/>
    <w:uiPriority w:val="99"/>
    <w:rsid w:val="00CD41E7"/>
    <w:pPr>
      <w:tabs>
        <w:tab w:val="left" w:pos="2340"/>
        <w:tab w:val="right" w:leader="dot" w:pos="9629"/>
      </w:tabs>
      <w:ind w:left="1440"/>
    </w:pPr>
    <w:rPr>
      <w:i/>
    </w:rPr>
  </w:style>
  <w:style w:type="table" w:styleId="TableGrid">
    <w:name w:val="Table Grid"/>
    <w:basedOn w:val="TableNormal"/>
    <w:uiPriority w:val="99"/>
    <w:semiHidden/>
    <w:rsid w:val="00CD41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D41E7"/>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CD41E7"/>
    <w:pPr>
      <w:numPr>
        <w:numId w:val="3"/>
      </w:numPr>
      <w:spacing w:before="360" w:after="240"/>
    </w:pPr>
  </w:style>
  <w:style w:type="paragraph" w:customStyle="1" w:styleId="ECCFootnote">
    <w:name w:val="ECC Footnote"/>
    <w:basedOn w:val="Normal"/>
    <w:autoRedefine/>
    <w:uiPriority w:val="99"/>
    <w:rsid w:val="00CD41E7"/>
    <w:pPr>
      <w:ind w:left="454" w:hanging="454"/>
    </w:pPr>
    <w:rPr>
      <w:sz w:val="16"/>
    </w:rPr>
  </w:style>
  <w:style w:type="paragraph" w:styleId="FootnoteText">
    <w:name w:val="footnote text"/>
    <w:basedOn w:val="Normal"/>
    <w:link w:val="FootnoteTextChar"/>
    <w:uiPriority w:val="99"/>
    <w:rsid w:val="00CD41E7"/>
    <w:rPr>
      <w:szCs w:val="20"/>
      <w:lang w:eastAsia="de-DE"/>
    </w:rPr>
  </w:style>
  <w:style w:type="character" w:customStyle="1" w:styleId="FootnoteTextChar">
    <w:name w:val="Footnote Text Char"/>
    <w:basedOn w:val="DefaultParagraphFont"/>
    <w:link w:val="FootnoteText"/>
    <w:uiPriority w:val="99"/>
    <w:locked/>
    <w:rsid w:val="007D4EFA"/>
    <w:rPr>
      <w:rFonts w:ascii="Arial" w:hAnsi="Arial" w:cs="Times New Roman"/>
      <w:lang w:val="en-US"/>
    </w:rPr>
  </w:style>
  <w:style w:type="character" w:styleId="FootnoteReference">
    <w:name w:val="footnote reference"/>
    <w:basedOn w:val="DefaultParagraphFont"/>
    <w:uiPriority w:val="99"/>
    <w:rsid w:val="00CD41E7"/>
    <w:rPr>
      <w:rFonts w:cs="Times New Roman"/>
      <w:vertAlign w:val="superscript"/>
    </w:rPr>
  </w:style>
  <w:style w:type="paragraph" w:customStyle="1" w:styleId="Text">
    <w:name w:val="Text"/>
    <w:basedOn w:val="Normal"/>
    <w:uiPriority w:val="99"/>
    <w:rsid w:val="00CD41E7"/>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FD0F60"/>
    <w:pPr>
      <w:spacing w:after="0"/>
    </w:pPr>
    <w:rPr>
      <w:sz w:val="16"/>
      <w:szCs w:val="16"/>
    </w:rPr>
  </w:style>
  <w:style w:type="paragraph" w:customStyle="1" w:styleId="reference">
    <w:name w:val="reference"/>
    <w:basedOn w:val="Normal"/>
    <w:uiPriority w:val="99"/>
    <w:rsid w:val="00CD41E7"/>
    <w:pPr>
      <w:numPr>
        <w:numId w:val="6"/>
      </w:numPr>
    </w:pPr>
    <w:rPr>
      <w:lang w:eastAsia="ja-JP"/>
    </w:rPr>
  </w:style>
  <w:style w:type="paragraph" w:customStyle="1" w:styleId="ECCAnnexheading2">
    <w:name w:val="ECC Annex heading2"/>
    <w:basedOn w:val="Normal"/>
    <w:next w:val="ECCParagraph"/>
    <w:uiPriority w:val="99"/>
    <w:rsid w:val="00CD41E7"/>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CD41E7"/>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D41E7"/>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CD41E7"/>
    <w:pPr>
      <w:spacing w:before="120" w:after="120"/>
      <w:ind w:left="3402"/>
    </w:pPr>
    <w:rPr>
      <w:bCs/>
      <w:sz w:val="18"/>
    </w:rPr>
  </w:style>
  <w:style w:type="paragraph" w:customStyle="1" w:styleId="Reporttitledescription">
    <w:name w:val="Report title/description"/>
    <w:basedOn w:val="Normal"/>
    <w:uiPriority w:val="99"/>
    <w:rsid w:val="00CD41E7"/>
    <w:pPr>
      <w:spacing w:before="600" w:line="288" w:lineRule="auto"/>
      <w:ind w:left="3402"/>
    </w:pPr>
    <w:rPr>
      <w:sz w:val="24"/>
    </w:rPr>
  </w:style>
  <w:style w:type="paragraph" w:styleId="Caption">
    <w:name w:val="caption"/>
    <w:basedOn w:val="Normal"/>
    <w:next w:val="Normal"/>
    <w:uiPriority w:val="99"/>
    <w:qFormat/>
    <w:rsid w:val="00CD41E7"/>
    <w:pPr>
      <w:spacing w:before="240" w:after="240"/>
      <w:jc w:val="center"/>
    </w:pPr>
    <w:rPr>
      <w:b/>
      <w:bCs/>
      <w:color w:val="D2232A"/>
      <w:szCs w:val="20"/>
    </w:rPr>
  </w:style>
  <w:style w:type="paragraph" w:customStyle="1" w:styleId="ECCNumbered-LetteredList">
    <w:name w:val="ECC Numbered-Lettered List"/>
    <w:basedOn w:val="Normal"/>
    <w:uiPriority w:val="99"/>
    <w:rsid w:val="00DF2C67"/>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customStyle="1" w:styleId="Tabletext">
    <w:name w:val="Table_text"/>
    <w:basedOn w:val="Normal"/>
    <w:link w:val="TabletextChar"/>
    <w:uiPriority w:val="99"/>
    <w:rsid w:val="007D4EFA"/>
    <w:pPr>
      <w:tabs>
        <w:tab w:val="left" w:pos="284"/>
        <w:tab w:val="left" w:pos="540"/>
        <w:tab w:val="left" w:pos="567"/>
        <w:tab w:val="left" w:pos="851"/>
        <w:tab w:val="left" w:pos="1134"/>
        <w:tab w:val="left" w:pos="1260"/>
        <w:tab w:val="left" w:pos="1418"/>
        <w:tab w:val="left" w:pos="1701"/>
        <w:tab w:val="left" w:pos="1800"/>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exact"/>
      <w:textAlignment w:val="baseline"/>
    </w:pPr>
    <w:rPr>
      <w:rFonts w:ascii="Times New Roman" w:eastAsia="SimSun" w:hAnsi="Times New Roman"/>
      <w:sz w:val="22"/>
      <w:szCs w:val="20"/>
      <w:lang w:val="en-GB" w:eastAsia="de-DE"/>
    </w:rPr>
  </w:style>
  <w:style w:type="paragraph" w:customStyle="1" w:styleId="Tablehead">
    <w:name w:val="Table_head"/>
    <w:basedOn w:val="Normal"/>
    <w:next w:val="Normal"/>
    <w:uiPriority w:val="99"/>
    <w:rsid w:val="007D4E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MS Mincho" w:hAnsi="Times New Roman"/>
      <w:b/>
      <w:sz w:val="22"/>
      <w:szCs w:val="20"/>
      <w:lang w:val="fr-FR"/>
    </w:rPr>
  </w:style>
  <w:style w:type="paragraph" w:customStyle="1" w:styleId="Equation">
    <w:name w:val="Equation"/>
    <w:basedOn w:val="Normal"/>
    <w:uiPriority w:val="99"/>
    <w:rsid w:val="007D4EFA"/>
    <w:pPr>
      <w:tabs>
        <w:tab w:val="left" w:pos="794"/>
        <w:tab w:val="center" w:pos="4849"/>
        <w:tab w:val="right" w:pos="9696"/>
      </w:tabs>
      <w:overflowPunct w:val="0"/>
      <w:autoSpaceDE w:val="0"/>
      <w:autoSpaceDN w:val="0"/>
      <w:adjustRightInd w:val="0"/>
      <w:spacing w:before="140" w:after="40"/>
    </w:pPr>
    <w:rPr>
      <w:rFonts w:ascii="Times New Roman" w:eastAsia="MS Mincho" w:hAnsi="Times New Roman"/>
      <w:sz w:val="22"/>
      <w:szCs w:val="20"/>
      <w:lang w:val="en-GB" w:eastAsia="zh-CN"/>
    </w:rPr>
  </w:style>
  <w:style w:type="character" w:customStyle="1" w:styleId="TabletextChar">
    <w:name w:val="Table_text Char"/>
    <w:link w:val="Tabletext"/>
    <w:uiPriority w:val="99"/>
    <w:locked/>
    <w:rsid w:val="007D4EFA"/>
    <w:rPr>
      <w:rFonts w:eastAsia="SimSun"/>
      <w:sz w:val="22"/>
      <w:lang w:val="en-GB"/>
    </w:rPr>
  </w:style>
  <w:style w:type="paragraph" w:customStyle="1" w:styleId="Tablefin">
    <w:name w:val="Table_fin"/>
    <w:basedOn w:val="Normal"/>
    <w:next w:val="Normal"/>
    <w:uiPriority w:val="99"/>
    <w:rsid w:val="007D4EFA"/>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MS Mincho" w:hAnsi="Times New Roman"/>
      <w:szCs w:val="20"/>
      <w:lang w:val="en-GB"/>
    </w:rPr>
  </w:style>
  <w:style w:type="paragraph" w:customStyle="1" w:styleId="ListParagraph1">
    <w:name w:val="List Paragraph1"/>
    <w:basedOn w:val="Normal"/>
    <w:uiPriority w:val="99"/>
    <w:rsid w:val="007D4EFA"/>
    <w:pPr>
      <w:ind w:left="720"/>
    </w:pPr>
    <w:rPr>
      <w:rFonts w:ascii="Calibri" w:hAnsi="Calibri" w:cs="Calibri"/>
      <w:sz w:val="22"/>
      <w:szCs w:val="22"/>
      <w:lang w:val="fr-FR"/>
    </w:rPr>
  </w:style>
  <w:style w:type="character" w:styleId="Strong">
    <w:name w:val="Strong"/>
    <w:basedOn w:val="DefaultParagraphFont"/>
    <w:uiPriority w:val="99"/>
    <w:qFormat/>
    <w:rsid w:val="007D4EFA"/>
    <w:rPr>
      <w:rFonts w:cs="Times New Roman"/>
      <w:b/>
    </w:rPr>
  </w:style>
  <w:style w:type="numbering" w:customStyle="1" w:styleId="ECCBullets">
    <w:name w:val="ECC Bullets"/>
    <w:rsid w:val="00BA6504"/>
    <w:pPr>
      <w:numPr>
        <w:numId w:val="8"/>
      </w:numPr>
    </w:pPr>
  </w:style>
  <w:style w:type="numbering" w:customStyle="1" w:styleId="ECCNumbers-Letters">
    <w:name w:val="ECC Numbers-Letters"/>
    <w:rsid w:val="00BA6504"/>
    <w:pPr>
      <w:numPr>
        <w:numId w:val="16"/>
      </w:numPr>
    </w:pPr>
  </w:style>
  <w:style w:type="numbering" w:customStyle="1" w:styleId="ECCNumbers-Bullets">
    <w:name w:val="ECC Numbers-Bullets"/>
    <w:rsid w:val="00BA650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TANT\AppData\Local\Temp\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1C77C-3C22-4E8A-B73D-BFDA201ED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Report_June_2012.dotx</Template>
  <TotalTime>1</TotalTime>
  <Pages>18</Pages>
  <Words>3444</Words>
  <Characters>19817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23215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TRISTANT</dc:creator>
  <cp:lastModifiedBy>Bente Pedersen</cp:lastModifiedBy>
  <cp:revision>3</cp:revision>
  <cp:lastPrinted>1901-01-01T00:00:00Z</cp:lastPrinted>
  <dcterms:created xsi:type="dcterms:W3CDTF">2013-05-15T08:34:00Z</dcterms:created>
  <dcterms:modified xsi:type="dcterms:W3CDTF">2013-05-15T08:34:00Z</dcterms:modified>
</cp:coreProperties>
</file>