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BBD22A" w14:textId="1FD19D69" w:rsidR="005A47F3" w:rsidRPr="008946B0" w:rsidRDefault="005A47F3" w:rsidP="002C16F1">
      <w:pPr>
        <w:spacing w:after="100" w:afterAutospacing="1" w:line="240" w:lineRule="auto"/>
        <w:rPr>
          <w:lang w:val="en-GB"/>
        </w:rPr>
      </w:pPr>
    </w:p>
    <w:p w14:paraId="797A3C71" w14:textId="729A5AC5" w:rsidR="005A47F3" w:rsidRPr="008946B0" w:rsidRDefault="005A47F3">
      <w:pPr>
        <w:spacing w:after="0" w:line="240" w:lineRule="auto"/>
        <w:jc w:val="center"/>
        <w:rPr>
          <w:lang w:val="en-GB"/>
        </w:rPr>
      </w:pPr>
    </w:p>
    <w:p w14:paraId="616DBB2D" w14:textId="2E42F173" w:rsidR="005A47F3" w:rsidRPr="008946B0" w:rsidRDefault="005A47F3">
      <w:pPr>
        <w:spacing w:after="0" w:line="240" w:lineRule="auto"/>
        <w:jc w:val="center"/>
        <w:rPr>
          <w:lang w:val="en-GB"/>
        </w:rPr>
      </w:pPr>
    </w:p>
    <w:p w14:paraId="49B29E90" w14:textId="77777777" w:rsidR="005A47F3" w:rsidRPr="008946B0" w:rsidRDefault="005A47F3">
      <w:pPr>
        <w:spacing w:after="0" w:line="240" w:lineRule="auto"/>
        <w:jc w:val="center"/>
        <w:rPr>
          <w:lang w:val="en-GB"/>
        </w:rPr>
      </w:pPr>
    </w:p>
    <w:p w14:paraId="6479E5C2" w14:textId="77777777" w:rsidR="005A47F3" w:rsidRPr="008946B0" w:rsidRDefault="005A47F3">
      <w:pPr>
        <w:spacing w:after="0" w:line="240" w:lineRule="auto"/>
        <w:jc w:val="center"/>
        <w:rPr>
          <w:lang w:val="en-GB"/>
        </w:rPr>
      </w:pPr>
    </w:p>
    <w:p w14:paraId="33702F73" w14:textId="77777777" w:rsidR="005A47F3" w:rsidRPr="008946B0" w:rsidRDefault="00AB77EF">
      <w:pPr>
        <w:spacing w:after="0" w:line="240" w:lineRule="auto"/>
        <w:jc w:val="center"/>
        <w:rPr>
          <w:b/>
          <w:sz w:val="24"/>
          <w:lang w:val="en-GB"/>
        </w:rPr>
      </w:pPr>
      <w:r w:rsidRPr="008946B0">
        <w:rPr>
          <w:b/>
          <w:noProof/>
          <w:sz w:val="24"/>
          <w:szCs w:val="20"/>
          <w:lang w:val="fr-FR" w:eastAsia="fr-FR"/>
        </w:rPr>
        <mc:AlternateContent>
          <mc:Choice Requires="wpg">
            <w:drawing>
              <wp:anchor distT="0" distB="0" distL="114300" distR="114300" simplePos="0" relativeHeight="251659264" behindDoc="0" locked="0" layoutInCell="1" allowOverlap="1" wp14:anchorId="2350C62C" wp14:editId="5EFD7263">
                <wp:simplePos x="0" y="0"/>
                <wp:positionH relativeFrom="column">
                  <wp:posOffset>-716280</wp:posOffset>
                </wp:positionH>
                <wp:positionV relativeFrom="paragraph">
                  <wp:posOffset>125730</wp:posOffset>
                </wp:positionV>
                <wp:extent cx="7724140" cy="8268970"/>
                <wp:effectExtent l="0" t="0" r="0" b="0"/>
                <wp:wrapNone/>
                <wp:docPr id="7" name="Group 37"/>
                <wp:cNvGraphicFramePr/>
                <a:graphic xmlns:a="http://schemas.openxmlformats.org/drawingml/2006/main">
                  <a:graphicData uri="http://schemas.microsoft.com/office/word/2010/wordprocessingGroup">
                    <wpg:wgp>
                      <wpg:cNvGrpSpPr/>
                      <wpg:grpSpPr>
                        <a:xfrm>
                          <a:off x="0" y="0"/>
                          <a:ext cx="7724140" cy="8268970"/>
                          <a:chOff x="-252" y="2700"/>
                          <a:chExt cx="12164" cy="13022"/>
                        </a:xfrm>
                      </wpg:grpSpPr>
                      <wps:wsp>
                        <wps:cNvPr id="8" name="Rectangle 24"/>
                        <wps:cNvSpPr>
                          <a:spLocks noChangeArrowheads="1"/>
                        </wps:cNvSpPr>
                        <wps:spPr bwMode="auto">
                          <a:xfrm>
                            <a:off x="6" y="15439"/>
                            <a:ext cx="11906" cy="283"/>
                          </a:xfrm>
                          <a:prstGeom prst="rect">
                            <a:avLst/>
                          </a:prstGeom>
                          <a:solidFill>
                            <a:srgbClr val="828282"/>
                          </a:solidFill>
                          <a:ln>
                            <a:noFill/>
                          </a:ln>
                        </wps:spPr>
                        <wps:bodyPr rot="0" vert="horz" wrap="square" lIns="91440" tIns="540000" rIns="72000" bIns="45720" anchor="t" anchorCtr="0" upright="1">
                          <a:noAutofit/>
                        </wps:bodyPr>
                      </wps:wsp>
                      <wps:wsp>
                        <wps:cNvPr id="9" name="Text Box 25"/>
                        <wps:cNvSpPr txBox="1">
                          <a:spLocks noChangeArrowheads="1"/>
                        </wps:cNvSpPr>
                        <wps:spPr bwMode="auto">
                          <a:xfrm>
                            <a:off x="-252" y="2700"/>
                            <a:ext cx="11906" cy="2564"/>
                          </a:xfrm>
                          <a:prstGeom prst="rect">
                            <a:avLst/>
                          </a:prstGeom>
                          <a:solidFill>
                            <a:srgbClr val="828282"/>
                          </a:solidFill>
                          <a:ln>
                            <a:noFill/>
                          </a:ln>
                        </wps:spPr>
                        <wps:txbx>
                          <w:txbxContent>
                            <w:p w14:paraId="66AE295A" w14:textId="46795817" w:rsidR="002374ED" w:rsidRDefault="002374ED">
                              <w:pPr>
                                <w:rPr>
                                  <w:color w:val="57433E"/>
                                  <w:sz w:val="68"/>
                                </w:rPr>
                              </w:pPr>
                              <w:r>
                                <w:rPr>
                                  <w:color w:val="FFFFFF"/>
                                  <w:sz w:val="68"/>
                                </w:rPr>
                                <w:t xml:space="preserve">CEPT Report </w:t>
                              </w:r>
                              <w:r>
                                <w:rPr>
                                  <w:color w:val="D2232A"/>
                                  <w:sz w:val="68"/>
                                </w:rPr>
                                <w:t>74</w:t>
                              </w:r>
                            </w:p>
                          </w:txbxContent>
                        </wps:txbx>
                        <wps:bodyPr rot="0" vert="horz" wrap="square" lIns="2880000" tIns="540000" rIns="72000" bIns="45720" anchor="t" anchorCtr="0" upright="1">
                          <a:noAutofit/>
                        </wps:bodyPr>
                      </wps:wsp>
                      <wpg:grpSp>
                        <wpg:cNvPr id="10" name="Group 36"/>
                        <wpg:cNvGrpSpPr/>
                        <wpg:grpSpPr>
                          <a:xfrm>
                            <a:off x="1304" y="2744"/>
                            <a:ext cx="2683" cy="2464"/>
                            <a:chOff x="1304" y="2744"/>
                            <a:chExt cx="2683" cy="2464"/>
                          </a:xfrm>
                        </wpg:grpSpPr>
                        <wps:wsp>
                          <wps:cNvPr id="11" name="Line 30"/>
                          <wps:cNvCnPr/>
                          <wps:spPr bwMode="auto">
                            <a:xfrm rot="2700000">
                              <a:off x="2138" y="2646"/>
                              <a:ext cx="14" cy="1682"/>
                            </a:xfrm>
                            <a:prstGeom prst="line">
                              <a:avLst/>
                            </a:prstGeom>
                            <a:noFill/>
                            <a:ln w="190500">
                              <a:solidFill>
                                <a:srgbClr val="D2232A"/>
                              </a:solidFill>
                              <a:round/>
                            </a:ln>
                          </wps:spPr>
                          <wps:bodyPr/>
                        </wps:wsp>
                        <wps:wsp>
                          <wps:cNvPr id="12" name="Line 31"/>
                          <wps:cNvCnPr/>
                          <wps:spPr bwMode="auto">
                            <a:xfrm rot="2700000" flipH="1">
                              <a:off x="1447" y="4478"/>
                              <a:ext cx="1431" cy="0"/>
                            </a:xfrm>
                            <a:prstGeom prst="line">
                              <a:avLst/>
                            </a:prstGeom>
                            <a:noFill/>
                            <a:ln w="190500">
                              <a:solidFill>
                                <a:srgbClr val="D2232A"/>
                              </a:solidFill>
                              <a:round/>
                            </a:ln>
                          </wps:spPr>
                          <wps:bodyPr/>
                        </wps:wsp>
                        <wps:wsp>
                          <wps:cNvPr id="13" name="Line 32"/>
                          <wps:cNvCnPr/>
                          <wps:spPr bwMode="auto">
                            <a:xfrm rot="2700000" flipH="1">
                              <a:off x="3225" y="3653"/>
                              <a:ext cx="1" cy="1555"/>
                            </a:xfrm>
                            <a:prstGeom prst="line">
                              <a:avLst/>
                            </a:prstGeom>
                            <a:noFill/>
                            <a:ln w="190500">
                              <a:solidFill>
                                <a:srgbClr val="FFFFFF"/>
                              </a:solidFill>
                              <a:round/>
                            </a:ln>
                          </wps:spPr>
                          <wps:bodyPr/>
                        </wps:wsp>
                        <wps:wsp>
                          <wps:cNvPr id="14" name="Line 33"/>
                          <wps:cNvCnPr/>
                          <wps:spPr bwMode="auto">
                            <a:xfrm rot="2700000" flipH="1">
                              <a:off x="2439" y="3520"/>
                              <a:ext cx="1548" cy="1"/>
                            </a:xfrm>
                            <a:prstGeom prst="line">
                              <a:avLst/>
                            </a:prstGeom>
                            <a:noFill/>
                            <a:ln w="190500">
                              <a:solidFill>
                                <a:srgbClr val="FFFFFF"/>
                              </a:solidFill>
                              <a:round/>
                            </a:ln>
                          </wps:spPr>
                          <wps:bodyPr/>
                        </wps:wsp>
                        <wps:wsp>
                          <wps:cNvPr id="15" name="Line 34"/>
                          <wps:cNvCnPr/>
                          <wps:spPr bwMode="auto">
                            <a:xfrm>
                              <a:off x="2670" y="2744"/>
                              <a:ext cx="1" cy="2340"/>
                            </a:xfrm>
                            <a:prstGeom prst="line">
                              <a:avLst/>
                            </a:prstGeom>
                            <a:noFill/>
                            <a:ln w="196850">
                              <a:solidFill>
                                <a:srgbClr val="828282"/>
                              </a:solidFill>
                              <a:round/>
                            </a:ln>
                          </wps:spPr>
                          <wps:bodyPr/>
                        </wps:wsp>
                      </wpg:grpSp>
                    </wpg:wgp>
                  </a:graphicData>
                </a:graphic>
              </wp:anchor>
            </w:drawing>
          </mc:Choice>
          <mc:Fallback>
            <w:pict>
              <v:group w14:anchorId="2350C62C" id="Group 37" o:spid="_x0000_s1026" style="position:absolute;left:0;text-align:left;margin-left:-56.4pt;margin-top:9.9pt;width:608.2pt;height:651.1pt;z-index:251659264" coordorigin="-252,2700" coordsize="12164,1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">
                <v:rect id="Rectangle 24" o:spid="_x0000_s1027" style="position:absolute;left:6;top:15439;width:1190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" fillcolor="#828282" stroked="f">
                  <v:textbox inset=",15mm,2mm"/>
                </v:rect>
                <v:shapetype id="_x0000_t202" coordsize="21600,21600" o:spt="202" path="m,l,21600r21600,l21600,xe">
                  <v:stroke joinstyle="miter"/>
                  <v:path gradientshapeok="t" o:connecttype="rect"/>
                </v:shapetype>
                <v:shape id="_x0000_s1028" type="#_x0000_t202" style="position:absolute;left:-252;top:2700;width:11906;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" fillcolor="#828282" stroked="f">
                  <v:textbox inset="80mm,15mm,2mm">
                    <w:txbxContent>
                      <w:p w14:paraId="66AE295A" w14:textId="46795817" w:rsidR="002374ED" w:rsidRDefault="002374ED">
                        <w:pPr>
                          <w:rPr>
                            <w:color w:val="57433E"/>
                            <w:sz w:val="68"/>
                          </w:rPr>
                        </w:pPr>
                        <w:r>
                          <w:rPr>
                            <w:color w:val="FFFFFF"/>
                            <w:sz w:val="68"/>
                          </w:rPr>
                          <w:t xml:space="preserve">CEPT Report </w:t>
                        </w:r>
                        <w:r>
                          <w:rPr>
                            <w:color w:val="D2232A"/>
                            <w:sz w:val="68"/>
                          </w:rPr>
                          <w:t>74</w:t>
                        </w:r>
                      </w:p>
                    </w:txbxContent>
                  </v:textbox>
                </v:shape>
                <v:group id="Group 36" o:spid="_x0000_s1029" style="position:absolute;left:1304;top:2744;width:2683;height:2464" coordorigin="1304,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line id="Line 30" o:spid="_x0000_s1030" style="position:absolute;rotation:45;visibility:visible;mso-wrap-style:square" from="2138,2646" to="2152,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" strokecolor="#d2232a" strokeweight="15pt"/>
                  <v:line id="Line 31" o:spid="_x0000_s1031" style="position:absolute;rotation:-45;flip:x;visibility:visible;mso-wrap-style:square" from="1447,4478" to="2878,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" strokecolor="#d2232a" strokeweight="15pt"/>
                  <v:line id="Line 32" o:spid="_x0000_s1032" style="position:absolute;rotation:-45;flip:x;visibility:visible;mso-wrap-style:square" from="3225,3653" to="3226,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" strokecolor="white" strokeweight="15pt"/>
                  <v:line id="Line 33" o:spid="_x0000_s1033" style="position:absolute;rotation:-45;flip:x;visibility:visible;mso-wrap-style:square" from="2439,3520" to="3987,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" strokecolor="white" strokeweight="15pt"/>
                  <v:line id="Line 34" o:spid="_x0000_s1034" style="position:absolute;visibility:visible;mso-wrap-style:square" from="2670,2744" to="2671,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" strokecolor="#828282" strokeweight="15.5pt"/>
                </v:group>
              </v:group>
            </w:pict>
          </mc:Fallback>
        </mc:AlternateContent>
      </w:r>
    </w:p>
    <w:p w14:paraId="71D91ECC" w14:textId="77777777" w:rsidR="005A47F3" w:rsidRPr="008946B0" w:rsidRDefault="005A47F3">
      <w:pPr>
        <w:spacing w:after="0" w:line="240" w:lineRule="auto"/>
        <w:jc w:val="center"/>
        <w:rPr>
          <w:b/>
          <w:sz w:val="24"/>
          <w:lang w:val="en-GB"/>
        </w:rPr>
      </w:pPr>
    </w:p>
    <w:p w14:paraId="317F7803" w14:textId="77777777" w:rsidR="005A47F3" w:rsidRPr="008946B0" w:rsidRDefault="005A47F3">
      <w:pPr>
        <w:spacing w:after="0" w:line="240" w:lineRule="auto"/>
        <w:jc w:val="center"/>
        <w:rPr>
          <w:b/>
          <w:sz w:val="24"/>
          <w:lang w:val="en-GB"/>
        </w:rPr>
      </w:pPr>
    </w:p>
    <w:p w14:paraId="022BE755" w14:textId="77777777" w:rsidR="005A47F3" w:rsidRPr="008946B0" w:rsidRDefault="005A47F3">
      <w:pPr>
        <w:spacing w:after="0" w:line="240" w:lineRule="auto"/>
        <w:jc w:val="center"/>
        <w:rPr>
          <w:b/>
          <w:sz w:val="24"/>
          <w:lang w:val="en-GB"/>
        </w:rPr>
      </w:pPr>
    </w:p>
    <w:p w14:paraId="69564BFE" w14:textId="77777777" w:rsidR="005A47F3" w:rsidRPr="008946B0" w:rsidRDefault="005A47F3">
      <w:pPr>
        <w:spacing w:after="0" w:line="240" w:lineRule="auto"/>
        <w:jc w:val="center"/>
        <w:rPr>
          <w:b/>
          <w:sz w:val="24"/>
          <w:lang w:val="en-GB"/>
        </w:rPr>
      </w:pPr>
    </w:p>
    <w:p w14:paraId="2EAE3E3F" w14:textId="77777777" w:rsidR="005A47F3" w:rsidRPr="008946B0" w:rsidRDefault="005A47F3">
      <w:pPr>
        <w:spacing w:after="0" w:line="240" w:lineRule="auto"/>
        <w:jc w:val="center"/>
        <w:rPr>
          <w:b/>
          <w:sz w:val="24"/>
          <w:lang w:val="en-GB"/>
        </w:rPr>
      </w:pPr>
    </w:p>
    <w:p w14:paraId="6D96C1BD" w14:textId="77777777" w:rsidR="005A47F3" w:rsidRPr="008946B0" w:rsidRDefault="005A47F3">
      <w:pPr>
        <w:spacing w:after="0" w:line="240" w:lineRule="auto"/>
        <w:jc w:val="center"/>
        <w:rPr>
          <w:b/>
          <w:sz w:val="24"/>
          <w:lang w:val="en-GB"/>
        </w:rPr>
      </w:pPr>
    </w:p>
    <w:p w14:paraId="4B935B1B" w14:textId="77777777" w:rsidR="005A47F3" w:rsidRPr="008946B0" w:rsidRDefault="005A47F3">
      <w:pPr>
        <w:spacing w:after="0" w:line="240" w:lineRule="auto"/>
        <w:jc w:val="center"/>
        <w:rPr>
          <w:b/>
          <w:sz w:val="24"/>
          <w:lang w:val="en-GB"/>
        </w:rPr>
      </w:pPr>
    </w:p>
    <w:p w14:paraId="6F1B06ED" w14:textId="77777777" w:rsidR="005A47F3" w:rsidRPr="008946B0" w:rsidRDefault="005A47F3">
      <w:pPr>
        <w:spacing w:after="0" w:line="240" w:lineRule="auto"/>
        <w:jc w:val="center"/>
        <w:rPr>
          <w:b/>
          <w:sz w:val="24"/>
          <w:lang w:val="en-GB"/>
        </w:rPr>
      </w:pPr>
    </w:p>
    <w:p w14:paraId="7AE5B66B" w14:textId="77777777" w:rsidR="005A47F3" w:rsidRPr="008946B0" w:rsidRDefault="005A47F3">
      <w:pPr>
        <w:spacing w:after="0" w:line="240" w:lineRule="auto"/>
        <w:jc w:val="center"/>
        <w:rPr>
          <w:b/>
          <w:sz w:val="24"/>
          <w:lang w:val="en-GB"/>
        </w:rPr>
      </w:pPr>
    </w:p>
    <w:p w14:paraId="59941EAE" w14:textId="77777777" w:rsidR="005A47F3" w:rsidRPr="008946B0" w:rsidRDefault="005A47F3">
      <w:pPr>
        <w:spacing w:after="0" w:line="240" w:lineRule="auto"/>
        <w:jc w:val="center"/>
        <w:rPr>
          <w:b/>
          <w:sz w:val="24"/>
          <w:lang w:val="en-GB"/>
        </w:rPr>
      </w:pPr>
    </w:p>
    <w:p w14:paraId="2269E423" w14:textId="77777777" w:rsidR="005A47F3" w:rsidRPr="008946B0" w:rsidRDefault="005A47F3">
      <w:pPr>
        <w:spacing w:after="0" w:line="240" w:lineRule="auto"/>
        <w:jc w:val="center"/>
        <w:rPr>
          <w:b/>
          <w:sz w:val="24"/>
          <w:lang w:val="en-GB"/>
        </w:rPr>
      </w:pPr>
    </w:p>
    <w:p w14:paraId="5361CDE8" w14:textId="77777777" w:rsidR="005A47F3" w:rsidRPr="008946B0" w:rsidRDefault="005A47F3">
      <w:pPr>
        <w:spacing w:after="0" w:line="240" w:lineRule="auto"/>
        <w:jc w:val="center"/>
        <w:rPr>
          <w:b/>
          <w:sz w:val="24"/>
          <w:lang w:val="en-GB"/>
        </w:rPr>
      </w:pPr>
    </w:p>
    <w:p w14:paraId="6A252A26" w14:textId="77777777" w:rsidR="005A47F3" w:rsidRPr="008946B0" w:rsidRDefault="00AB77EF">
      <w:pPr>
        <w:pStyle w:val="Reporttitledescription"/>
        <w:rPr>
          <w:lang w:val="en-GB"/>
        </w:rPr>
      </w:pPr>
      <w:r w:rsidRPr="008946B0">
        <w:rPr>
          <w:lang w:val="en-GB"/>
        </w:rPr>
        <w:fldChar w:fldCharType="begin">
          <w:ffData>
            <w:name w:val="Text7"/>
            <w:enabled/>
            <w:calcOnExit w:val="0"/>
            <w:textInput>
              <w:default w:val="Report from CEPT to the European Commission in response to the Mandate on spectrum for the future railway mobile communications system"/>
            </w:textInput>
          </w:ffData>
        </w:fldChar>
      </w:r>
      <w:bookmarkStart w:id="0" w:name="Text7"/>
      <w:r w:rsidRPr="008946B0">
        <w:rPr>
          <w:lang w:val="en-GB"/>
        </w:rPr>
        <w:instrText xml:space="preserve"> FORMTEXT </w:instrText>
      </w:r>
      <w:r w:rsidRPr="008946B0">
        <w:rPr>
          <w:lang w:val="en-GB"/>
        </w:rPr>
      </w:r>
      <w:r w:rsidRPr="008946B0">
        <w:rPr>
          <w:lang w:val="en-GB"/>
        </w:rPr>
        <w:fldChar w:fldCharType="separate"/>
      </w:r>
      <w:r w:rsidRPr="008946B0">
        <w:rPr>
          <w:lang w:val="en-GB"/>
        </w:rPr>
        <w:t>Report from CEPT to the European Commission in response to the Mandate on spectrum for the future railway mobile communications system</w:t>
      </w:r>
      <w:r w:rsidRPr="008946B0">
        <w:rPr>
          <w:lang w:val="en-GB"/>
        </w:rPr>
        <w:fldChar w:fldCharType="end"/>
      </w:r>
      <w:bookmarkEnd w:id="0"/>
    </w:p>
    <w:p w14:paraId="2ECEF116" w14:textId="27ACE39D" w:rsidR="005A47F3" w:rsidRPr="008946B0" w:rsidRDefault="00387A57">
      <w:pPr>
        <w:pStyle w:val="Reporttitledescription"/>
        <w:rPr>
          <w:lang w:val="en-GB"/>
        </w:rPr>
      </w:pPr>
      <w:r w:rsidRPr="008946B0">
        <w:rPr>
          <w:lang w:val="en-GB"/>
        </w:rPr>
        <w:t xml:space="preserve">Report A: </w:t>
      </w:r>
      <w:r w:rsidR="00AB77EF" w:rsidRPr="008946B0">
        <w:rPr>
          <w:lang w:val="en-GB"/>
        </w:rPr>
        <w:t>Spectrum needs and feasibility</w:t>
      </w:r>
      <w:r w:rsidR="00B94775" w:rsidRPr="008946B0">
        <w:rPr>
          <w:lang w:val="en-GB"/>
        </w:rPr>
        <w:t xml:space="preserve"> (tasks 1 to 4)</w:t>
      </w:r>
    </w:p>
    <w:p w14:paraId="2B3B7AB6" w14:textId="7862A8FB" w:rsidR="005A47F3" w:rsidRPr="008946B0" w:rsidRDefault="006528FA">
      <w:pPr>
        <w:pStyle w:val="Reporttitledescription"/>
        <w:rPr>
          <w:b/>
          <w:sz w:val="18"/>
          <w:lang w:val="en-GB"/>
        </w:rPr>
      </w:pPr>
      <w:r>
        <w:rPr>
          <w:b/>
          <w:sz w:val="18"/>
          <w:lang w:val="en-GB"/>
        </w:rPr>
        <w:fldChar w:fldCharType="begin">
          <w:ffData>
            <w:name w:val="Text8"/>
            <w:enabled/>
            <w:calcOnExit w:val="0"/>
            <w:textInput>
              <w:default w:val="Report approved on 3 July 2020 by the ECC"/>
            </w:textInput>
          </w:ffData>
        </w:fldChar>
      </w:r>
      <w:r>
        <w:rPr>
          <w:b/>
          <w:sz w:val="18"/>
          <w:lang w:val="en-GB"/>
        </w:rPr>
        <w:instrText xml:space="preserve"> </w:instrText>
      </w:r>
      <w:bookmarkStart w:id="1" w:name="Text8"/>
      <w:r>
        <w:rPr>
          <w:b/>
          <w:sz w:val="18"/>
          <w:lang w:val="en-GB"/>
        </w:rPr>
        <w:instrText xml:space="preserve">FORMTEXT </w:instrText>
      </w:r>
      <w:r>
        <w:rPr>
          <w:b/>
          <w:sz w:val="18"/>
          <w:lang w:val="en-GB"/>
        </w:rPr>
      </w:r>
      <w:r>
        <w:rPr>
          <w:b/>
          <w:sz w:val="18"/>
          <w:lang w:val="en-GB"/>
        </w:rPr>
        <w:fldChar w:fldCharType="separate"/>
      </w:r>
      <w:r>
        <w:rPr>
          <w:b/>
          <w:noProof/>
          <w:sz w:val="18"/>
          <w:lang w:val="en-GB"/>
        </w:rPr>
        <w:t>Report approved on 3 July 2020 by the ECC</w:t>
      </w:r>
      <w:r>
        <w:rPr>
          <w:b/>
          <w:sz w:val="18"/>
          <w:lang w:val="en-GB"/>
        </w:rPr>
        <w:fldChar w:fldCharType="end"/>
      </w:r>
      <w:bookmarkEnd w:id="1"/>
    </w:p>
    <w:p w14:paraId="1D7EDD5E" w14:textId="77777777" w:rsidR="00CF6E1D" w:rsidRPr="008946B0" w:rsidRDefault="00CF6E1D">
      <w:pPr>
        <w:pStyle w:val="Reporttitledescription"/>
        <w:rPr>
          <w:b/>
          <w:sz w:val="18"/>
          <w:lang w:val="en-GB"/>
        </w:rPr>
      </w:pPr>
    </w:p>
    <w:p w14:paraId="4A3582F1" w14:textId="77777777" w:rsidR="005A47F3" w:rsidRPr="008946B0" w:rsidRDefault="005A47F3">
      <w:pPr>
        <w:rPr>
          <w:lang w:val="en-GB"/>
        </w:rPr>
        <w:sectPr w:rsidR="005A47F3" w:rsidRPr="008946B0">
          <w:headerReference w:type="even" r:id="rId12"/>
          <w:headerReference w:type="default" r:id="rId13"/>
          <w:headerReference w:type="first" r:id="rId14"/>
          <w:pgSz w:w="11907" w:h="16840"/>
          <w:pgMar w:top="1440" w:right="1134" w:bottom="1440" w:left="1134" w:header="709" w:footer="709" w:gutter="0"/>
          <w:cols w:space="708"/>
          <w:titlePg/>
          <w:docGrid w:linePitch="360"/>
        </w:sectPr>
      </w:pPr>
    </w:p>
    <w:p w14:paraId="01ED2182" w14:textId="77777777" w:rsidR="005A47F3" w:rsidRPr="008946B0" w:rsidRDefault="00AB77EF">
      <w:pPr>
        <w:pStyle w:val="Heading1"/>
      </w:pPr>
      <w:bookmarkStart w:id="2" w:name="_Toc42722807"/>
      <w:r w:rsidRPr="008946B0">
        <w:lastRenderedPageBreak/>
        <w:t>Executive summary</w:t>
      </w:r>
      <w:bookmarkEnd w:id="2"/>
    </w:p>
    <w:p w14:paraId="012B366C" w14:textId="254B533F" w:rsidR="005A47F3" w:rsidRPr="008946B0" w:rsidRDefault="00AB77EF" w:rsidP="00791B16">
      <w:pPr>
        <w:pStyle w:val="ECCParagraph"/>
        <w:spacing w:before="240" w:after="60"/>
      </w:pPr>
      <w:r w:rsidRPr="008946B0">
        <w:t xml:space="preserve">The present CEPT Report answers tasks 1 to 4 of the </w:t>
      </w:r>
      <w:r w:rsidR="00047A6E" w:rsidRPr="008946B0">
        <w:t>M</w:t>
      </w:r>
      <w:r w:rsidRPr="008946B0">
        <w:t>andate from the European Commission to CEPT on spectrum for the future railway mobile communications system (FRMCS).</w:t>
      </w:r>
    </w:p>
    <w:p w14:paraId="71D37792" w14:textId="77777777" w:rsidR="005A47F3" w:rsidRPr="008946B0" w:rsidRDefault="00AB77EF" w:rsidP="00791B16">
      <w:pPr>
        <w:pStyle w:val="ECCParagraph"/>
        <w:spacing w:before="240" w:after="60"/>
      </w:pPr>
      <w:r w:rsidRPr="008946B0">
        <w:t>Only non-AAS FRMCS has been considered. Additional studies should be performed in case AAS are considered for FRMCS deployments.</w:t>
      </w:r>
    </w:p>
    <w:p w14:paraId="589EFE90" w14:textId="77777777" w:rsidR="005A47F3" w:rsidRPr="008946B0" w:rsidRDefault="00AB77EF" w:rsidP="00791B16">
      <w:pPr>
        <w:pStyle w:val="ECCParagraph"/>
        <w:spacing w:before="240" w:after="60"/>
        <w:rPr>
          <w:b/>
        </w:rPr>
      </w:pPr>
      <w:r w:rsidRPr="008946B0">
        <w:rPr>
          <w:b/>
        </w:rPr>
        <w:t>Task 1: spectrum needs for mission critical operation of the future railway mobile communications system (successor system of GSM-R)</w:t>
      </w:r>
    </w:p>
    <w:p w14:paraId="4CC89837" w14:textId="5C5A1003" w:rsidR="00D43F3B" w:rsidRPr="008946B0" w:rsidRDefault="00D43F3B" w:rsidP="00D43F3B">
      <w:pPr>
        <w:pStyle w:val="ECCParagraph"/>
        <w:spacing w:before="240" w:after="60"/>
      </w:pPr>
      <w:r w:rsidRPr="008946B0">
        <w:rPr>
          <w:rFonts w:cs="Arial"/>
          <w:szCs w:val="20"/>
        </w:rPr>
        <w:t xml:space="preserve">Ensuring railway interoperability throughout Europe must be considered when determining spectrum needs. </w:t>
      </w:r>
      <w:r w:rsidRPr="008946B0">
        <w:t>Having the possibility to reuse as much as possible the current radio network infrastructure (BS sites) would save costs, time and reduce operational burden. Therefore, the spectrum in the whole 2x5.6 MHz in 874.4-880 MHz / 919.4-925 MHz is one of the two identified</w:t>
      </w:r>
      <w:r w:rsidRPr="008946B0">
        <w:rPr>
          <w:rFonts w:eastAsia="Calibri"/>
          <w:szCs w:val="22"/>
        </w:rPr>
        <w:t xml:space="preserve"> spectrum bands for </w:t>
      </w:r>
      <w:r w:rsidRPr="008946B0">
        <w:t>the successor to GSM-R for the migration and beyond. Considering the FRMCS rollout timeframe, it may not make sense to invest in a 4G network compared to 5G. A migration using only the 900 MHz spectrum would require that the initial FRMCS deployment uses a deployment of a 1.4 MHz LTE carrier adjacent to GSM-R, or the realisation of overlapping NR wideband channels in a co-channel deployment with GSM-R.</w:t>
      </w:r>
    </w:p>
    <w:p w14:paraId="4684434E" w14:textId="77777777" w:rsidR="00D43F3B" w:rsidRPr="008946B0" w:rsidRDefault="00D43F3B" w:rsidP="00D43F3B">
      <w:pPr>
        <w:pStyle w:val="ECCParagraph"/>
        <w:spacing w:before="240" w:after="60"/>
      </w:pPr>
      <w:r w:rsidRPr="008946B0">
        <w:t xml:space="preserve">The targeted 2x5.6 MHz of spectrum could be used by a 5.6 MHz FDD NR carrier </w:t>
      </w:r>
      <w:r w:rsidRPr="008946B0">
        <w:rPr>
          <w:rFonts w:cs="Arial"/>
          <w:szCs w:val="20"/>
        </w:rPr>
        <w:t>during both migration and post-migration</w:t>
      </w:r>
      <w:r w:rsidRPr="008946B0">
        <w:t>. Such a carrier would provide a higher traffic handling capacity than the current 3GPP defined 5 MHz carrier and thus would better support the anticipated growth of the FRMCS traffic volume. Although current indications are that such a 5.6 MHz carrier should be feasible within the 3GPP NR specifications, additional work is necessary in 3GPP to confirm feasibility and carry out the specification work.</w:t>
      </w:r>
    </w:p>
    <w:p w14:paraId="5B16F28F" w14:textId="0331A408" w:rsidR="00D43F3B" w:rsidRPr="008946B0" w:rsidRDefault="00D43F3B" w:rsidP="00D43F3B">
      <w:pPr>
        <w:pStyle w:val="ECCParagraph"/>
        <w:spacing w:before="240" w:after="60"/>
      </w:pPr>
      <w:r w:rsidRPr="008946B0">
        <w:t>In-band coexistence, based on an overlay of a 5 MHz FDD NR carrier or of a 5.6 MHz FDD NR carrier, co-channel with GSM-R carriers, would be an option for the migration using the 900 MHz spectrum while maintaining operation of GSM-R.</w:t>
      </w:r>
    </w:p>
    <w:p w14:paraId="71C3C0EF" w14:textId="33089602" w:rsidR="0045575F" w:rsidRPr="008946B0" w:rsidRDefault="0045575F" w:rsidP="00791B16">
      <w:pPr>
        <w:pStyle w:val="ECCParagraph"/>
        <w:spacing w:before="240" w:after="60"/>
      </w:pPr>
      <w:r w:rsidRPr="008946B0">
        <w:t xml:space="preserve">Alternatively, a 5 MHz FDD LTE/NR carrier could be implemented plus several NB-IoT carriers in the remaining 600 kHz. An NB-IoT carrier potentially supports a larger coverage area than a 5 MHz LTE/NR carrier. </w:t>
      </w:r>
      <w:r w:rsidR="0062362C" w:rsidRPr="008946B0">
        <w:rPr>
          <w:rFonts w:cs="Arial"/>
          <w:szCs w:val="20"/>
        </w:rPr>
        <w:t>C</w:t>
      </w:r>
      <w:r w:rsidR="007F77BE" w:rsidRPr="008946B0">
        <w:rPr>
          <w:rFonts w:cs="Arial"/>
          <w:szCs w:val="20"/>
        </w:rPr>
        <w:t>ertain c</w:t>
      </w:r>
      <w:r w:rsidR="0062362C" w:rsidRPr="008946B0">
        <w:rPr>
          <w:rFonts w:cs="Arial"/>
          <w:szCs w:val="20"/>
        </w:rPr>
        <w:t>ritical railway applications like monitoring and control of critical infrastructure may benefit from the usage of NB-IoT.</w:t>
      </w:r>
    </w:p>
    <w:p w14:paraId="55419AD2" w14:textId="13176304" w:rsidR="00D43F3B" w:rsidRPr="008946B0" w:rsidRDefault="00D43F3B" w:rsidP="00D43F3B">
      <w:pPr>
        <w:pStyle w:val="ECCParagraph"/>
        <w:spacing w:before="240" w:after="60"/>
      </w:pPr>
      <w:r w:rsidRPr="008946B0">
        <w:t xml:space="preserve">As another alternative, a 1.4 MHz FDD LTE carrier may be used, adjacent to the 4 MHz for GSM-R during migration. This approach </w:t>
      </w:r>
      <w:r w:rsidR="007F77BE" w:rsidRPr="008946B0">
        <w:t>would have a lower</w:t>
      </w:r>
      <w:r w:rsidRPr="008946B0">
        <w:t xml:space="preserve"> traffic handling capacity</w:t>
      </w:r>
      <w:r w:rsidR="007F77BE" w:rsidRPr="008946B0">
        <w:t xml:space="preserve"> and need</w:t>
      </w:r>
      <w:r w:rsidR="005716DA" w:rsidRPr="008946B0">
        <w:t>s</w:t>
      </w:r>
      <w:r w:rsidR="007F77BE" w:rsidRPr="008946B0">
        <w:t xml:space="preserve"> to be considered</w:t>
      </w:r>
      <w:r w:rsidRPr="008946B0">
        <w:t xml:space="preserve"> in terms of </w:t>
      </w:r>
      <w:r w:rsidR="007F77BE" w:rsidRPr="008946B0">
        <w:t xml:space="preserve">product </w:t>
      </w:r>
      <w:r w:rsidRPr="008946B0">
        <w:t xml:space="preserve">lifecycle </w:t>
      </w:r>
      <w:r w:rsidR="00202C1B" w:rsidRPr="008946B0">
        <w:t>and</w:t>
      </w:r>
      <w:r w:rsidRPr="008946B0">
        <w:t xml:space="preserve"> long</w:t>
      </w:r>
      <w:r w:rsidR="00202C1B" w:rsidRPr="008946B0">
        <w:t>er</w:t>
      </w:r>
      <w:r w:rsidRPr="008946B0">
        <w:t xml:space="preserve">-term </w:t>
      </w:r>
      <w:r w:rsidR="00202C1B" w:rsidRPr="008946B0">
        <w:t>migration</w:t>
      </w:r>
      <w:r w:rsidRPr="008946B0">
        <w:t xml:space="preserve"> to NR.</w:t>
      </w:r>
    </w:p>
    <w:p w14:paraId="50DD4DF1" w14:textId="184FAACC" w:rsidR="00D43F3B" w:rsidRPr="008946B0" w:rsidRDefault="00D43F3B" w:rsidP="00D43F3B">
      <w:pPr>
        <w:pStyle w:val="ECCParagraph"/>
        <w:spacing w:before="240" w:after="60"/>
      </w:pPr>
      <w:r w:rsidRPr="008946B0">
        <w:t>Furthermore, considering the throughput requirements, access to complementary spectrum, such as 1900-1910 MHz, is a prerequisite for many countries in order to fulfil the interoperability requirements, to enable parallel operation of GSM-R and its successor, to benefit from new railway critical applications (including ATO and critical sensing/video), and to deal with border and hotspot areas. Hence the spectrum 1900-1910 MHz is one of the two identified</w:t>
      </w:r>
      <w:r w:rsidRPr="008946B0">
        <w:rPr>
          <w:rFonts w:eastAsia="Calibri"/>
          <w:szCs w:val="22"/>
        </w:rPr>
        <w:t xml:space="preserve"> spectrum bands for </w:t>
      </w:r>
      <w:r w:rsidRPr="008946B0">
        <w:t>the successor to GSM-R for the migration and beyond.</w:t>
      </w:r>
    </w:p>
    <w:p w14:paraId="550406B8" w14:textId="77777777" w:rsidR="00D43F3B" w:rsidRPr="008946B0" w:rsidRDefault="00D43F3B" w:rsidP="00D43F3B">
      <w:pPr>
        <w:pStyle w:val="ECCParagraph"/>
        <w:spacing w:before="240" w:after="60"/>
      </w:pPr>
      <w:r w:rsidRPr="008946B0">
        <w:t>This does not preclude the use of public mobile networks, noting that the railway interoperability, coverage, availability and QoS requirements still needs to be fulfilled.</w:t>
      </w:r>
    </w:p>
    <w:p w14:paraId="0F6FE661" w14:textId="6F972755" w:rsidR="005A47F3" w:rsidRPr="008946B0" w:rsidRDefault="00AB77EF" w:rsidP="00246663">
      <w:pPr>
        <w:pStyle w:val="ECCParagraph"/>
        <w:spacing w:before="240" w:after="60"/>
        <w:rPr>
          <w:b/>
        </w:rPr>
      </w:pPr>
      <w:r w:rsidRPr="008946B0">
        <w:rPr>
          <w:b/>
        </w:rPr>
        <w:t>Task 2: technical feasibility for operating the successor system in the 874.4-880 MHz / 919.4-925 MHz frequency band while ensuring simultaneous operation of GSM-R and the successor system in these bands during a migration period</w:t>
      </w:r>
    </w:p>
    <w:p w14:paraId="1662FB73" w14:textId="77777777" w:rsidR="00AE5781" w:rsidRPr="008946B0" w:rsidRDefault="00AE5781" w:rsidP="00AE5781">
      <w:pPr>
        <w:spacing w:before="240" w:after="60" w:line="240" w:lineRule="auto"/>
        <w:jc w:val="both"/>
        <w:rPr>
          <w:rFonts w:eastAsia="Calibri"/>
          <w:szCs w:val="22"/>
          <w:lang w:val="en-GB"/>
        </w:rPr>
      </w:pPr>
      <w:r w:rsidRPr="008946B0">
        <w:rPr>
          <w:rFonts w:eastAsia="Calibri"/>
          <w:szCs w:val="22"/>
          <w:lang w:val="en-GB"/>
        </w:rPr>
        <w:t>The 874.4-880 MHz / 919.4-925 MHz frequency band is feasible for RMR, provided that the following conditions are met.</w:t>
      </w:r>
    </w:p>
    <w:p w14:paraId="6E552DD6" w14:textId="55FEB523" w:rsidR="00AE5781" w:rsidRPr="008946B0" w:rsidRDefault="00AE5781" w:rsidP="00AE5781">
      <w:pPr>
        <w:spacing w:before="240" w:after="60" w:line="240" w:lineRule="auto"/>
        <w:jc w:val="both"/>
        <w:rPr>
          <w:rFonts w:eastAsia="Calibri"/>
          <w:szCs w:val="22"/>
          <w:lang w:val="en-GB"/>
        </w:rPr>
      </w:pPr>
      <w:r w:rsidRPr="008946B0">
        <w:rPr>
          <w:lang w:val="en-GB"/>
        </w:rPr>
        <w:t>1. RMR BS shall ensure coexistence with ECS BS receiving below 915 MHz. The statistical approach, as described in ECC Report 318, relying on existing GSM-R and ECS deployment data, was chosen to define the BEM which</w:t>
      </w:r>
      <w:r w:rsidRPr="008946B0">
        <w:rPr>
          <w:rFonts w:eastAsia="Calibri"/>
          <w:szCs w:val="22"/>
          <w:lang w:val="en-GB"/>
        </w:rPr>
        <w:t xml:space="preserve"> enables uncoordinated deployments, while ensuring an acceptably low occurrence probability of </w:t>
      </w:r>
      <w:r w:rsidRPr="008946B0">
        <w:rPr>
          <w:rFonts w:eastAsia="Calibri"/>
          <w:szCs w:val="22"/>
          <w:lang w:val="en-GB"/>
        </w:rPr>
        <w:lastRenderedPageBreak/>
        <w:t>residual interference cases to be addressed at national level when interference occurs.</w:t>
      </w:r>
      <w:r w:rsidRPr="008946B0">
        <w:rPr>
          <w:lang w:val="en-GB"/>
        </w:rPr>
        <w:t xml:space="preserve"> The BEM for FRMCS will include channels of 1.4 MHz, 5 MHz and 5.6 MHz.</w:t>
      </w:r>
    </w:p>
    <w:p w14:paraId="54CC5A62" w14:textId="115A0E6A" w:rsidR="00AE5781" w:rsidRPr="008946B0" w:rsidRDefault="00AE5781" w:rsidP="00AE5781">
      <w:pPr>
        <w:spacing w:before="240" w:after="60" w:line="240" w:lineRule="auto"/>
        <w:jc w:val="both"/>
        <w:rPr>
          <w:rFonts w:eastAsia="Calibri"/>
          <w:szCs w:val="22"/>
          <w:lang w:val="en-GB"/>
        </w:rPr>
      </w:pPr>
      <w:r w:rsidRPr="008946B0">
        <w:rPr>
          <w:rFonts w:eastAsia="Calibri"/>
          <w:szCs w:val="22"/>
          <w:lang w:val="en-GB"/>
        </w:rPr>
        <w:t>National regulation may allow multiple carriers using wideband technologies</w:t>
      </w:r>
      <w:bookmarkStart w:id="3" w:name="_Ref40456121"/>
      <w:r w:rsidRPr="008946B0">
        <w:rPr>
          <w:rStyle w:val="FootnoteReference"/>
          <w:rFonts w:eastAsia="Calibri"/>
          <w:szCs w:val="22"/>
          <w:lang w:val="en-GB"/>
        </w:rPr>
        <w:footnoteReference w:id="1"/>
      </w:r>
      <w:bookmarkEnd w:id="3"/>
      <w:r w:rsidRPr="008946B0">
        <w:rPr>
          <w:rFonts w:eastAsia="Calibri"/>
          <w:szCs w:val="22"/>
          <w:lang w:val="en-GB"/>
        </w:rPr>
        <w:t xml:space="preserve"> or higher e.i.r.p. for RMR BS than stated in the technical conditions, as long as no harmful interference on ECS BS can be ensured. As part of a national coordination procedure, the infrastructure manager could, for example, demonstrate that a coexistence criterion with respect to each ECS BS in the vicinity of the RMR radio site is fulfilled. The relevant national coordination procedure may differ from country to country, taking into account that coordination procedures with regard to ECS / GSM-R are already in force based on the guidance as described in ECC Report 229 </w:t>
      </w:r>
      <w:r w:rsidRPr="008946B0">
        <w:rPr>
          <w:rFonts w:eastAsia="Calibri"/>
          <w:szCs w:val="22"/>
          <w:lang w:val="en-GB"/>
        </w:rPr>
        <w:fldChar w:fldCharType="begin"/>
      </w:r>
      <w:r w:rsidRPr="008946B0">
        <w:rPr>
          <w:rFonts w:eastAsia="Calibri"/>
          <w:szCs w:val="22"/>
          <w:lang w:val="en-GB"/>
        </w:rPr>
        <w:instrText xml:space="preserve"> REF _Ref34310692 \r \h </w:instrText>
      </w:r>
      <w:r w:rsidRPr="008946B0">
        <w:rPr>
          <w:rFonts w:eastAsia="Calibri"/>
          <w:szCs w:val="22"/>
          <w:lang w:val="en-GB"/>
        </w:rPr>
      </w:r>
      <w:r w:rsidRPr="008946B0">
        <w:rPr>
          <w:rFonts w:eastAsia="Calibri"/>
          <w:szCs w:val="22"/>
          <w:lang w:val="en-GB"/>
        </w:rPr>
        <w:fldChar w:fldCharType="separate"/>
      </w:r>
      <w:r w:rsidRPr="008946B0">
        <w:rPr>
          <w:rFonts w:eastAsia="Calibri"/>
          <w:szCs w:val="22"/>
          <w:lang w:val="en-GB"/>
        </w:rPr>
        <w:t>[27]</w:t>
      </w:r>
      <w:r w:rsidRPr="008946B0">
        <w:rPr>
          <w:rFonts w:eastAsia="Calibri"/>
          <w:szCs w:val="22"/>
          <w:lang w:val="en-GB"/>
        </w:rPr>
        <w:fldChar w:fldCharType="end"/>
      </w:r>
      <w:r w:rsidRPr="008946B0">
        <w:rPr>
          <w:rFonts w:eastAsia="Calibri"/>
          <w:szCs w:val="22"/>
          <w:lang w:val="en-GB"/>
        </w:rPr>
        <w:t>.</w:t>
      </w:r>
    </w:p>
    <w:p w14:paraId="3EB45451" w14:textId="765CE962" w:rsidR="00AE5781" w:rsidRPr="008946B0" w:rsidRDefault="00AE5781" w:rsidP="00AE5781">
      <w:pPr>
        <w:pStyle w:val="FootnoteText"/>
        <w:spacing w:before="240" w:after="60" w:line="240" w:lineRule="auto"/>
        <w:jc w:val="both"/>
        <w:rPr>
          <w:lang w:val="en-GB"/>
        </w:rPr>
      </w:pPr>
      <w:r w:rsidRPr="008946B0">
        <w:rPr>
          <w:rFonts w:eastAsia="Calibri"/>
          <w:lang w:val="en-GB"/>
        </w:rPr>
        <w:t>2. FRMCS high-power cab-radios transmitting up to 31 dBm (output power)</w:t>
      </w:r>
      <w:r w:rsidR="00427FD5" w:rsidRPr="008946B0">
        <w:rPr>
          <w:lang w:val="en-GB"/>
        </w:rPr>
        <w:t xml:space="preserve"> </w:t>
      </w:r>
      <w:r w:rsidR="00427FD5" w:rsidRPr="008946B0">
        <w:rPr>
          <w:rFonts w:eastAsia="Calibri"/>
          <w:lang w:val="en-GB"/>
        </w:rPr>
        <w:t>can be allowed in 874.4-880 MHz provided that</w:t>
      </w:r>
      <w:r w:rsidRPr="008946B0">
        <w:rPr>
          <w:rFonts w:eastAsia="Calibri"/>
          <w:lang w:val="en-GB"/>
        </w:rPr>
        <w:t xml:space="preserve"> UL power control </w:t>
      </w:r>
      <w:r w:rsidR="00427FD5" w:rsidRPr="008946B0">
        <w:rPr>
          <w:rFonts w:eastAsia="Calibri"/>
          <w:lang w:val="en-GB"/>
        </w:rPr>
        <w:t xml:space="preserve">is </w:t>
      </w:r>
      <w:r w:rsidRPr="008946B0">
        <w:rPr>
          <w:rFonts w:eastAsia="Calibri"/>
          <w:lang w:val="en-GB"/>
        </w:rPr>
        <w:t>activated</w:t>
      </w:r>
      <w:r w:rsidR="00427FD5" w:rsidRPr="008946B0">
        <w:rPr>
          <w:rFonts w:eastAsia="Calibri"/>
          <w:lang w:val="en-GB"/>
        </w:rPr>
        <w:t>,</w:t>
      </w:r>
      <w:r w:rsidRPr="008946B0">
        <w:rPr>
          <w:rFonts w:eastAsia="Calibri"/>
          <w:lang w:val="en-GB"/>
        </w:rPr>
        <w:t xml:space="preserve"> </w:t>
      </w:r>
      <w:r w:rsidRPr="008946B0">
        <w:rPr>
          <w:lang w:val="en-GB"/>
        </w:rPr>
        <w:t xml:space="preserve">and </w:t>
      </w:r>
      <w:r w:rsidR="009E355E" w:rsidRPr="008946B0">
        <w:rPr>
          <w:lang w:val="en-GB"/>
        </w:rPr>
        <w:t xml:space="preserve">that </w:t>
      </w:r>
      <w:r w:rsidR="00427FD5" w:rsidRPr="008946B0">
        <w:rPr>
          <w:lang w:val="en-GB"/>
        </w:rPr>
        <w:t xml:space="preserve">FRMCS cab-radios are </w:t>
      </w:r>
      <w:r w:rsidRPr="008946B0">
        <w:rPr>
          <w:lang w:val="en-GB"/>
        </w:rPr>
        <w:t>compliant with an ACLR of 37 dB and 3GPP LTE/NR spectrum emission mask</w:t>
      </w:r>
      <w:r w:rsidRPr="008946B0">
        <w:rPr>
          <w:rFonts w:eastAsia="Calibri"/>
          <w:lang w:val="en-GB"/>
        </w:rPr>
        <w:t>.</w:t>
      </w:r>
    </w:p>
    <w:p w14:paraId="271384CA" w14:textId="6D128141" w:rsidR="00AE5781" w:rsidRPr="008946B0" w:rsidRDefault="00AE5781" w:rsidP="00AE5781">
      <w:pPr>
        <w:spacing w:before="240" w:after="60" w:line="240" w:lineRule="auto"/>
        <w:jc w:val="both"/>
        <w:rPr>
          <w:rFonts w:eastAsia="Calibri"/>
          <w:szCs w:val="22"/>
          <w:lang w:val="en-GB"/>
        </w:rPr>
      </w:pPr>
      <w:r w:rsidRPr="008946B0">
        <w:rPr>
          <w:rFonts w:eastAsia="Calibri"/>
          <w:szCs w:val="22"/>
          <w:lang w:val="en-GB"/>
        </w:rPr>
        <w:t>3. RMR cab-radios shall be robust against adjacent emissions, including ECS BS above 925 MHz, aerial UE using ECS below 915 MHz and SRD below 919.4 MHz. For the latter case, the required level of robustness is driven by 4W RFID interrogators. ETSI shall take the results of the studies into account when specifying the Harmonised European Standard for RMR cab-radios.</w:t>
      </w:r>
    </w:p>
    <w:p w14:paraId="32D9F94C" w14:textId="4B8B5944" w:rsidR="00AE5781" w:rsidRPr="008946B0" w:rsidRDefault="00AE5781" w:rsidP="00C56A92">
      <w:pPr>
        <w:spacing w:before="240" w:after="60" w:line="240" w:lineRule="auto"/>
        <w:jc w:val="both"/>
        <w:rPr>
          <w:lang w:val="en-GB"/>
        </w:rPr>
      </w:pPr>
      <w:r w:rsidRPr="008946B0">
        <w:rPr>
          <w:lang w:val="en-GB"/>
        </w:rPr>
        <w:t xml:space="preserve">Improved GSM-R cab-radios as per ETSI TS 102 933-1 are currently </w:t>
      </w:r>
      <w:r w:rsidR="003E0A44" w:rsidRPr="008946B0">
        <w:rPr>
          <w:lang w:val="en-GB"/>
        </w:rPr>
        <w:t xml:space="preserve">being deployed and are </w:t>
      </w:r>
      <w:r w:rsidR="0095139D" w:rsidRPr="008946B0">
        <w:rPr>
          <w:lang w:val="en-GB"/>
        </w:rPr>
        <w:t>specified for the improved reception of GSM-R in the vicinity of intensive ECS emissions above 925 MHz, but the current GSM-R cab-radio receiver specification is less resilient against adjacent emissions from higher-power SRD below 919.4 MHz in some close proximity cases</w:t>
      </w:r>
      <w:r w:rsidR="003E0A44" w:rsidRPr="008946B0">
        <w:rPr>
          <w:lang w:val="en-GB"/>
        </w:rPr>
        <w:t>. Administrations may further consider the protection of GSM-R cab-radios</w:t>
      </w:r>
      <w:r w:rsidR="003E0A44" w:rsidRPr="008946B0">
        <w:rPr>
          <w:vertAlign w:val="superscript"/>
          <w:lang w:val="en-GB"/>
        </w:rPr>
        <w:footnoteReference w:id="2"/>
      </w:r>
      <w:r w:rsidR="003E0A44" w:rsidRPr="008946B0">
        <w:rPr>
          <w:lang w:val="en-GB"/>
        </w:rPr>
        <w:t xml:space="preserve"> if the requirements in 916.1-918.9 MHz on the GSM-R cab-radio receiver in Table 2 of ECC Report 313 are not met.</w:t>
      </w:r>
    </w:p>
    <w:p w14:paraId="6F3DB020" w14:textId="3BEC678F" w:rsidR="00AE5781" w:rsidRPr="008946B0" w:rsidRDefault="00AE5781" w:rsidP="00AE5781">
      <w:pPr>
        <w:spacing w:before="240" w:after="60" w:line="240" w:lineRule="auto"/>
        <w:jc w:val="both"/>
        <w:rPr>
          <w:rFonts w:eastAsia="Calibri"/>
          <w:szCs w:val="22"/>
          <w:lang w:val="en-GB"/>
        </w:rPr>
      </w:pPr>
      <w:r w:rsidRPr="008946B0">
        <w:rPr>
          <w:rFonts w:eastAsia="Calibri"/>
          <w:szCs w:val="22"/>
          <w:lang w:val="en-GB"/>
        </w:rPr>
        <w:t>FRMCS cab-radios need to fulfil the receiver characteristics determined in ECC Report 313.</w:t>
      </w:r>
    </w:p>
    <w:p w14:paraId="2C9A9B76" w14:textId="774DBB54" w:rsidR="00AE5781" w:rsidRPr="008946B0" w:rsidRDefault="00AE5781" w:rsidP="00AE5781">
      <w:pPr>
        <w:spacing w:before="240" w:after="60" w:line="240" w:lineRule="auto"/>
        <w:jc w:val="both"/>
        <w:rPr>
          <w:rFonts w:eastAsia="Calibri"/>
          <w:szCs w:val="22"/>
          <w:lang w:val="en-GB"/>
        </w:rPr>
      </w:pPr>
      <w:r w:rsidRPr="008946B0">
        <w:rPr>
          <w:rFonts w:eastAsia="Calibri"/>
          <w:szCs w:val="22"/>
          <w:lang w:val="en-GB"/>
        </w:rPr>
        <w:t>4. RMR BS shall be robust against adjacent emissions, including SRD below 874.4 MHz. ETSI shall take the results of the studies into account when specifying the Harmonised European Standard for RMR BS.</w:t>
      </w:r>
    </w:p>
    <w:p w14:paraId="424ABDA2" w14:textId="77777777" w:rsidR="00AE5781" w:rsidRPr="008946B0" w:rsidRDefault="00AE5781" w:rsidP="00AE5781">
      <w:pPr>
        <w:spacing w:before="240" w:after="60" w:line="240" w:lineRule="auto"/>
        <w:jc w:val="both"/>
        <w:rPr>
          <w:rFonts w:eastAsia="Calibri"/>
          <w:szCs w:val="22"/>
          <w:lang w:val="en-GB"/>
        </w:rPr>
      </w:pPr>
      <w:r w:rsidRPr="008946B0">
        <w:rPr>
          <w:rFonts w:eastAsia="Calibri"/>
          <w:szCs w:val="22"/>
          <w:lang w:val="en-GB"/>
        </w:rPr>
        <w:t>5. W</w:t>
      </w:r>
      <w:r w:rsidRPr="008946B0">
        <w:rPr>
          <w:rFonts w:eastAsiaTheme="minorEastAsia" w:cs="Arial"/>
          <w:szCs w:val="20"/>
          <w:lang w:val="en-GB"/>
        </w:rPr>
        <w:t>hen in close vicinity to rail tracks, ECS BS unwanted emissions may cause interference to FRMCS cab-radio. In practice, to solve these cases, technical and/or operational measures could be taken to ensure the coexistence of both ECS and FRMCS in parallel.</w:t>
      </w:r>
    </w:p>
    <w:p w14:paraId="352B990A" w14:textId="597C6A17" w:rsidR="00AE5781" w:rsidRPr="008946B0" w:rsidRDefault="00AE5781" w:rsidP="00AE5781">
      <w:pPr>
        <w:spacing w:before="240" w:after="60" w:line="240" w:lineRule="auto"/>
        <w:jc w:val="both"/>
        <w:rPr>
          <w:rFonts w:eastAsia="Calibri"/>
          <w:szCs w:val="22"/>
          <w:lang w:val="en-GB"/>
        </w:rPr>
      </w:pPr>
      <w:r w:rsidRPr="008946B0">
        <w:rPr>
          <w:rFonts w:eastAsia="Calibri"/>
          <w:szCs w:val="22"/>
          <w:lang w:val="en-GB"/>
        </w:rPr>
        <w:t xml:space="preserve">6. With respect to the use of a single NB-IoT carrier for FRMCS, the studies in </w:t>
      </w:r>
      <w:r w:rsidRPr="008946B0">
        <w:rPr>
          <w:lang w:val="en-GB"/>
        </w:rPr>
        <w:t>ECC Report 318</w:t>
      </w:r>
      <w:r w:rsidRPr="008946B0">
        <w:rPr>
          <w:rFonts w:eastAsia="Calibri"/>
          <w:szCs w:val="22"/>
          <w:lang w:val="en-GB"/>
        </w:rPr>
        <w:t xml:space="preserve"> can be applied to the in-band operation mode without power boost and to the standalone operation mode. If multiple carriers using wideband technologies</w:t>
      </w:r>
      <w:r w:rsidR="004B4398" w:rsidRPr="008946B0">
        <w:rPr>
          <w:rFonts w:eastAsia="Calibri"/>
          <w:szCs w:val="22"/>
          <w:vertAlign w:val="superscript"/>
          <w:lang w:val="en-GB"/>
        </w:rPr>
        <w:fldChar w:fldCharType="begin"/>
      </w:r>
      <w:r w:rsidR="004B4398" w:rsidRPr="008946B0">
        <w:rPr>
          <w:rFonts w:eastAsia="Calibri"/>
          <w:szCs w:val="22"/>
          <w:vertAlign w:val="superscript"/>
          <w:lang w:val="en-GB"/>
        </w:rPr>
        <w:instrText xml:space="preserve"> NOTEREF _Ref40456121 \h  \* MERGEFORMAT </w:instrText>
      </w:r>
      <w:r w:rsidR="004B4398" w:rsidRPr="008946B0">
        <w:rPr>
          <w:rFonts w:eastAsia="Calibri"/>
          <w:szCs w:val="22"/>
          <w:vertAlign w:val="superscript"/>
          <w:lang w:val="en-GB"/>
        </w:rPr>
      </w:r>
      <w:r w:rsidR="004B4398" w:rsidRPr="008946B0">
        <w:rPr>
          <w:rFonts w:eastAsia="Calibri"/>
          <w:szCs w:val="22"/>
          <w:vertAlign w:val="superscript"/>
          <w:lang w:val="en-GB"/>
        </w:rPr>
        <w:fldChar w:fldCharType="separate"/>
      </w:r>
      <w:r w:rsidR="004B4398" w:rsidRPr="008946B0">
        <w:rPr>
          <w:rFonts w:eastAsia="Calibri"/>
          <w:szCs w:val="22"/>
          <w:vertAlign w:val="superscript"/>
          <w:lang w:val="en-GB"/>
        </w:rPr>
        <w:t>1</w:t>
      </w:r>
      <w:r w:rsidR="004B4398" w:rsidRPr="008946B0">
        <w:rPr>
          <w:rFonts w:eastAsia="Calibri"/>
          <w:szCs w:val="22"/>
          <w:vertAlign w:val="superscript"/>
          <w:lang w:val="en-GB"/>
        </w:rPr>
        <w:fldChar w:fldCharType="end"/>
      </w:r>
      <w:r w:rsidRPr="008946B0">
        <w:rPr>
          <w:rFonts w:eastAsia="Calibri"/>
          <w:szCs w:val="22"/>
          <w:lang w:val="en-GB"/>
        </w:rPr>
        <w:t xml:space="preserve"> or power boost were to be used for in-band NB-IoT, the BEM would not directly be applicable.</w:t>
      </w:r>
    </w:p>
    <w:p w14:paraId="600977E5" w14:textId="77777777" w:rsidR="005A47F3" w:rsidRPr="008946B0" w:rsidRDefault="00AB77EF" w:rsidP="00190E7D">
      <w:pPr>
        <w:pStyle w:val="ECCParagraph"/>
        <w:spacing w:before="240" w:after="60"/>
        <w:rPr>
          <w:b/>
        </w:rPr>
      </w:pPr>
      <w:r w:rsidRPr="008946B0">
        <w:rPr>
          <w:b/>
        </w:rPr>
        <w:t>Task3: technical feasibility for operating the successor system in part of the 1900-1920 MHz frequency band</w:t>
      </w:r>
    </w:p>
    <w:p w14:paraId="3B5A1D64" w14:textId="77777777" w:rsidR="008767F1" w:rsidRPr="008946B0" w:rsidRDefault="008767F1" w:rsidP="008767F1">
      <w:pPr>
        <w:spacing w:before="240" w:after="60" w:line="240" w:lineRule="auto"/>
        <w:jc w:val="both"/>
        <w:rPr>
          <w:rFonts w:eastAsia="Calibri"/>
          <w:szCs w:val="22"/>
          <w:lang w:val="en-GB"/>
        </w:rPr>
      </w:pPr>
      <w:r w:rsidRPr="008946B0">
        <w:rPr>
          <w:rFonts w:eastAsia="Calibri"/>
          <w:szCs w:val="22"/>
          <w:lang w:val="en-GB"/>
        </w:rPr>
        <w:t>The 1900-1910 MHz frequency band is feasible for FRMCS, provided that the following conditions are met.</w:t>
      </w:r>
    </w:p>
    <w:p w14:paraId="0B2659B3" w14:textId="301C13D0" w:rsidR="008767F1" w:rsidRPr="008946B0" w:rsidRDefault="008767F1" w:rsidP="00023A57">
      <w:pPr>
        <w:spacing w:before="240" w:after="60" w:line="240" w:lineRule="auto"/>
        <w:jc w:val="both"/>
        <w:rPr>
          <w:rFonts w:eastAsia="Calibri"/>
          <w:szCs w:val="22"/>
          <w:lang w:val="en-GB"/>
        </w:rPr>
      </w:pPr>
      <w:r w:rsidRPr="008946B0">
        <w:rPr>
          <w:lang w:val="en-GB"/>
        </w:rPr>
        <w:t xml:space="preserve">1. FRMCS BS shall ensure coexistence with ECS BS receiving above 1920 MHz while ensuring an efficient use of spectrum. </w:t>
      </w:r>
      <w:r w:rsidR="00F04AED" w:rsidRPr="00BB56F6">
        <w:rPr>
          <w:lang w:val="en-GB"/>
        </w:rPr>
        <w:t>For uncoordinated deployment, the BEM</w:t>
      </w:r>
      <w:r w:rsidR="00437065" w:rsidRPr="00BB56F6">
        <w:rPr>
          <w:lang w:val="en-GB"/>
        </w:rPr>
        <w:t xml:space="preserve"> for FRMCS BS </w:t>
      </w:r>
      <w:r w:rsidR="00763CC4" w:rsidRPr="00BB56F6">
        <w:rPr>
          <w:lang w:val="en-GB"/>
        </w:rPr>
        <w:t xml:space="preserve">will </w:t>
      </w:r>
      <w:r w:rsidR="00437065" w:rsidRPr="00BB56F6">
        <w:rPr>
          <w:lang w:val="en-GB"/>
        </w:rPr>
        <w:t xml:space="preserve">assume </w:t>
      </w:r>
      <w:r w:rsidR="00437065" w:rsidRPr="00BB56F6">
        <w:rPr>
          <w:rFonts w:eastAsia="Calibri"/>
          <w:szCs w:val="22"/>
          <w:lang w:val="en-GB"/>
        </w:rPr>
        <w:t xml:space="preserve">that ECS BS have enhanced selectivity </w:t>
      </w:r>
      <w:r w:rsidR="00437065" w:rsidRPr="00BB56F6">
        <w:rPr>
          <w:lang w:val="en-GB"/>
        </w:rPr>
        <w:t xml:space="preserve">compared to the current Harmonised European Standards. This would facilitate coexistence with </w:t>
      </w:r>
      <w:r w:rsidR="00763CC4" w:rsidRPr="00BB56F6">
        <w:rPr>
          <w:lang w:val="en-GB"/>
        </w:rPr>
        <w:t>FRMCS</w:t>
      </w:r>
      <w:r w:rsidR="00437065" w:rsidRPr="00BB56F6">
        <w:rPr>
          <w:lang w:val="en-GB"/>
        </w:rPr>
        <w:t xml:space="preserve"> BS transmitting up to 65 dBm e.i.r.p.</w:t>
      </w:r>
      <w:r w:rsidR="00763CC4" w:rsidRPr="00BB56F6">
        <w:rPr>
          <w:lang w:val="en-GB"/>
        </w:rPr>
        <w:t xml:space="preserve"> w</w:t>
      </w:r>
      <w:r w:rsidRPr="00BB56F6">
        <w:rPr>
          <w:rFonts w:eastAsia="Calibri"/>
          <w:szCs w:val="22"/>
          <w:lang w:val="en-GB"/>
        </w:rPr>
        <w:t xml:space="preserve">ith the aim of having a future-proof regulation and allowing macro coverage. </w:t>
      </w:r>
      <w:r w:rsidR="000B4384" w:rsidRPr="00BB56F6">
        <w:rPr>
          <w:lang w:val="en-GB"/>
        </w:rPr>
        <w:t>Current</w:t>
      </w:r>
      <w:r w:rsidRPr="00BB56F6">
        <w:rPr>
          <w:lang w:val="en-GB"/>
        </w:rPr>
        <w:t xml:space="preserve"> ECS BS located near an FRMCS radio site may need to be adapted, in such a way that they do not suffer interference from FRMCS.</w:t>
      </w:r>
      <w:r w:rsidRPr="008946B0">
        <w:rPr>
          <w:lang w:val="en-GB"/>
        </w:rPr>
        <w:t xml:space="preserve"> In such case, additional mitigation techniques would be needed, such as the upgrade of the ECS BS selectivity </w:t>
      </w:r>
      <w:r w:rsidRPr="00BB56F6">
        <w:rPr>
          <w:lang w:val="en-GB"/>
        </w:rPr>
        <w:t>or</w:t>
      </w:r>
      <w:r w:rsidRPr="008946B0">
        <w:rPr>
          <w:lang w:val="en-GB"/>
        </w:rPr>
        <w:t xml:space="preserve"> on a case-by-case basis adjustment of antenna directivity, azimuth, tilt, etc. of the FRMCS and/or ECS BS</w:t>
      </w:r>
      <w:r w:rsidR="00023A57" w:rsidRPr="00BB56F6">
        <w:rPr>
          <w:rStyle w:val="FootnoteReference"/>
          <w:lang w:val="en-GB"/>
        </w:rPr>
        <w:footnoteReference w:id="3"/>
      </w:r>
      <w:r w:rsidRPr="008946B0">
        <w:rPr>
          <w:lang w:val="en-GB"/>
        </w:rPr>
        <w:t>.</w:t>
      </w:r>
    </w:p>
    <w:p w14:paraId="594BEFBC" w14:textId="50F45C63" w:rsidR="008767F1" w:rsidRPr="008946B0" w:rsidRDefault="008767F1" w:rsidP="008767F1">
      <w:pPr>
        <w:spacing w:before="240" w:after="60" w:line="240" w:lineRule="auto"/>
        <w:jc w:val="both"/>
        <w:rPr>
          <w:rFonts w:eastAsia="Calibri"/>
          <w:szCs w:val="22"/>
          <w:lang w:val="en-GB"/>
        </w:rPr>
      </w:pPr>
      <w:r w:rsidRPr="008946B0">
        <w:rPr>
          <w:rFonts w:eastAsia="Calibri"/>
          <w:szCs w:val="22"/>
          <w:lang w:val="en-GB"/>
        </w:rPr>
        <w:lastRenderedPageBreak/>
        <w:t>The improvement of the ECS selectivity for those ECS BS near the railway tracks can be achieved by either the usage of new radio units of ECS BS or by adding external filter to existing radio units operating with passive antenna systems. Enhanced selectivity should be included (potentially as a specific receiver class) in the relevant ECS BS Harmonised European Standards so that newly introduced products placed on the market based on this update natively fulfil this requirement.</w:t>
      </w:r>
    </w:p>
    <w:p w14:paraId="5138D29E" w14:textId="49892F82" w:rsidR="008767F1" w:rsidRPr="008946B0" w:rsidRDefault="008767F1" w:rsidP="008767F1">
      <w:pPr>
        <w:spacing w:before="240" w:after="60" w:line="240" w:lineRule="auto"/>
        <w:jc w:val="both"/>
        <w:rPr>
          <w:rFonts w:eastAsia="Calibri"/>
          <w:szCs w:val="22"/>
          <w:lang w:val="en-GB"/>
        </w:rPr>
      </w:pPr>
      <w:r w:rsidRPr="008946B0">
        <w:rPr>
          <w:rFonts w:eastAsia="Calibri"/>
          <w:szCs w:val="22"/>
          <w:lang w:val="en-GB"/>
        </w:rPr>
        <w:t>The BEM for FRMCS BS will assume ECS BS with enhanced selectivity.</w:t>
      </w:r>
      <w:r w:rsidRPr="008946B0">
        <w:rPr>
          <w:lang w:val="en-GB"/>
        </w:rPr>
        <w:t xml:space="preserve"> In order to ensure that the ECS operators have enough time to adapt the concerned radio sites, they should have, sufficiently far in advance, information on the rollout of a new FRMCS BS in 1900-1910 MHz.</w:t>
      </w:r>
    </w:p>
    <w:p w14:paraId="0BF4D0A4" w14:textId="77777777" w:rsidR="008767F1" w:rsidRPr="008946B0" w:rsidRDefault="008767F1" w:rsidP="008767F1">
      <w:pPr>
        <w:spacing w:before="240" w:after="60" w:line="240" w:lineRule="auto"/>
        <w:jc w:val="both"/>
        <w:rPr>
          <w:lang w:val="en-GB"/>
        </w:rPr>
      </w:pPr>
      <w:r w:rsidRPr="008946B0">
        <w:rPr>
          <w:lang w:val="en-GB"/>
        </w:rPr>
        <w:t>The BEM for FRMCS will include one channel of 10 MHz.</w:t>
      </w:r>
    </w:p>
    <w:p w14:paraId="49F4E3DE" w14:textId="3554ACF2" w:rsidR="008767F1" w:rsidRPr="008946B0" w:rsidRDefault="008767F1" w:rsidP="008767F1">
      <w:pPr>
        <w:pStyle w:val="FootnoteText"/>
        <w:spacing w:before="240" w:after="60" w:line="240" w:lineRule="auto"/>
        <w:jc w:val="both"/>
        <w:rPr>
          <w:lang w:val="en-GB"/>
        </w:rPr>
      </w:pPr>
      <w:r w:rsidRPr="008946B0">
        <w:rPr>
          <w:rFonts w:eastAsia="Calibri"/>
          <w:szCs w:val="22"/>
          <w:lang w:val="en-GB"/>
        </w:rPr>
        <w:t>2. FRMCS high-power cab-radios transmitting up to 31 dBm (output power)</w:t>
      </w:r>
      <w:r w:rsidR="00933FE5" w:rsidRPr="008946B0">
        <w:rPr>
          <w:lang w:val="en-GB"/>
        </w:rPr>
        <w:t xml:space="preserve"> </w:t>
      </w:r>
      <w:r w:rsidR="00933FE5" w:rsidRPr="008946B0">
        <w:rPr>
          <w:rFonts w:eastAsia="Calibri"/>
          <w:szCs w:val="22"/>
          <w:lang w:val="en-GB"/>
        </w:rPr>
        <w:t>can be allowed in 1900-1910 MHz provided that</w:t>
      </w:r>
      <w:r w:rsidRPr="008946B0">
        <w:rPr>
          <w:rFonts w:eastAsia="Calibri"/>
          <w:szCs w:val="22"/>
          <w:lang w:val="en-GB"/>
        </w:rPr>
        <w:t xml:space="preserve"> UL power control </w:t>
      </w:r>
      <w:r w:rsidR="00933FE5" w:rsidRPr="008946B0">
        <w:rPr>
          <w:rFonts w:eastAsia="Calibri"/>
          <w:szCs w:val="22"/>
          <w:lang w:val="en-GB"/>
        </w:rPr>
        <w:t xml:space="preserve">is </w:t>
      </w:r>
      <w:r w:rsidRPr="008946B0">
        <w:rPr>
          <w:rFonts w:eastAsia="Calibri"/>
          <w:szCs w:val="22"/>
          <w:lang w:val="en-GB"/>
        </w:rPr>
        <w:t>activated</w:t>
      </w:r>
      <w:r w:rsidR="00933FE5" w:rsidRPr="008946B0">
        <w:rPr>
          <w:rFonts w:eastAsia="Calibri"/>
          <w:szCs w:val="22"/>
          <w:lang w:val="en-GB"/>
        </w:rPr>
        <w:t>,</w:t>
      </w:r>
      <w:r w:rsidRPr="008946B0">
        <w:rPr>
          <w:rFonts w:eastAsia="Calibri"/>
          <w:szCs w:val="22"/>
          <w:lang w:val="en-GB"/>
        </w:rPr>
        <w:t xml:space="preserve"> </w:t>
      </w:r>
      <w:r w:rsidRPr="008946B0">
        <w:rPr>
          <w:lang w:val="en-GB"/>
        </w:rPr>
        <w:t xml:space="preserve">and </w:t>
      </w:r>
      <w:r w:rsidR="002057E1" w:rsidRPr="008946B0">
        <w:rPr>
          <w:lang w:val="en-GB"/>
        </w:rPr>
        <w:t xml:space="preserve">that </w:t>
      </w:r>
      <w:r w:rsidR="00933FE5" w:rsidRPr="008946B0">
        <w:rPr>
          <w:lang w:val="en-GB"/>
        </w:rPr>
        <w:t xml:space="preserve">FRMS cab-radios are </w:t>
      </w:r>
      <w:r w:rsidRPr="008946B0">
        <w:rPr>
          <w:lang w:val="en-GB"/>
        </w:rPr>
        <w:t>compliant with an ACLR of 37 dB and 3GPP LTE/NR spectrum emission mask</w:t>
      </w:r>
      <w:r w:rsidRPr="008946B0">
        <w:rPr>
          <w:rFonts w:eastAsia="Calibri"/>
          <w:szCs w:val="22"/>
          <w:lang w:val="en-GB"/>
        </w:rPr>
        <w:t>.</w:t>
      </w:r>
    </w:p>
    <w:p w14:paraId="52D68FA4" w14:textId="1EEDCFDC" w:rsidR="008767F1" w:rsidRPr="008946B0" w:rsidRDefault="008767F1" w:rsidP="008767F1">
      <w:pPr>
        <w:spacing w:before="240" w:after="60" w:line="240" w:lineRule="auto"/>
        <w:jc w:val="both"/>
        <w:rPr>
          <w:rFonts w:eastAsia="Calibri"/>
          <w:szCs w:val="22"/>
          <w:lang w:val="en-GB"/>
        </w:rPr>
      </w:pPr>
      <w:r w:rsidRPr="008946B0">
        <w:rPr>
          <w:rFonts w:eastAsia="Calibri"/>
          <w:szCs w:val="22"/>
          <w:lang w:val="en-GB"/>
        </w:rPr>
        <w:t>3. FRMCS cab-radios shall be robust against adjacent emissions, including ECS BS below 1880 MHz and aerial UE using ECS above 1920 MHz. Depending on the possible introduction of governmental UAS in 1880-1920 MHz, ETSI shall take the results of the studies into account when specifying the Harmonised European Standard for RMR cab-radios.</w:t>
      </w:r>
    </w:p>
    <w:p w14:paraId="0C51782C" w14:textId="77777777" w:rsidR="008767F1" w:rsidRPr="008946B0" w:rsidRDefault="008767F1" w:rsidP="008767F1">
      <w:pPr>
        <w:pStyle w:val="ECCParagraph"/>
        <w:spacing w:before="240" w:after="60"/>
      </w:pPr>
      <w:r w:rsidRPr="008946B0">
        <w:rPr>
          <w:rFonts w:eastAsia="Calibri"/>
          <w:szCs w:val="22"/>
        </w:rPr>
        <w:t>4. FRMCS BS shall be robust against adjacent emissions, including ECS BS below 1880 MHz.</w:t>
      </w:r>
    </w:p>
    <w:p w14:paraId="2C7BF18C" w14:textId="77777777" w:rsidR="008767F1" w:rsidRPr="008946B0" w:rsidRDefault="008767F1" w:rsidP="008767F1">
      <w:pPr>
        <w:pStyle w:val="ECCParagraph"/>
        <w:spacing w:before="240" w:after="60"/>
      </w:pPr>
      <w:r w:rsidRPr="008946B0">
        <w:rPr>
          <w:rFonts w:eastAsia="Calibri"/>
          <w:szCs w:val="22"/>
        </w:rPr>
        <w:t xml:space="preserve">5. </w:t>
      </w:r>
      <w:r w:rsidRPr="008946B0">
        <w:rPr>
          <w:rFonts w:eastAsia="Calibri"/>
          <w:szCs w:val="20"/>
        </w:rPr>
        <w:t xml:space="preserve">With regard to adjacent compatibility between DECT (1880-1900 MHz) and FRMCS, it is understood that FRMCS and DECT, adjacent to each other, will generally coexist. Where the DECT usage density is not high, the Dynamic Channel Selection (DCS) algorithm implemented in DECT would then allow the communication to use one of the DECT channels that do not experience interference. In some worst case scenarios, </w:t>
      </w:r>
      <w:r w:rsidRPr="008946B0">
        <w:t>measures to enable coexistence</w:t>
      </w:r>
      <w:r w:rsidRPr="008946B0">
        <w:rPr>
          <w:rFonts w:eastAsia="Calibri"/>
          <w:szCs w:val="20"/>
        </w:rPr>
        <w:t xml:space="preserve"> between DECT</w:t>
      </w:r>
      <w:r w:rsidRPr="008946B0">
        <w:t xml:space="preserve"> in 1880-1900 MHz and RMR in 1900-1910 MHz</w:t>
      </w:r>
      <w:r w:rsidRPr="008946B0">
        <w:rPr>
          <w:rFonts w:eastAsia="Calibri"/>
          <w:szCs w:val="20"/>
        </w:rPr>
        <w:t xml:space="preserve"> might be needed, when information on DECT local deployment is made available.</w:t>
      </w:r>
    </w:p>
    <w:p w14:paraId="296923C1" w14:textId="77777777" w:rsidR="005A47F3" w:rsidRPr="008946B0" w:rsidRDefault="00AB77EF" w:rsidP="006626BB">
      <w:pPr>
        <w:pStyle w:val="ECCParagraph"/>
        <w:spacing w:before="240" w:after="60"/>
        <w:rPr>
          <w:b/>
        </w:rPr>
      </w:pPr>
      <w:r w:rsidRPr="008946B0">
        <w:rPr>
          <w:b/>
        </w:rPr>
        <w:t>Task 3bis: if necessary, technical feasibility for operating the successor system in another frequency band</w:t>
      </w:r>
    </w:p>
    <w:p w14:paraId="1C8EB293" w14:textId="564794E8" w:rsidR="00203D80" w:rsidRPr="008946B0" w:rsidRDefault="00203D80" w:rsidP="006626BB">
      <w:pPr>
        <w:spacing w:before="240" w:after="60" w:line="240" w:lineRule="auto"/>
        <w:jc w:val="both"/>
        <w:rPr>
          <w:rFonts w:eastAsia="Calibri"/>
          <w:szCs w:val="22"/>
          <w:lang w:val="en-GB"/>
        </w:rPr>
      </w:pPr>
      <w:r w:rsidRPr="008946B0">
        <w:rPr>
          <w:rFonts w:eastAsia="Calibri"/>
          <w:szCs w:val="22"/>
          <w:lang w:val="en-GB"/>
        </w:rPr>
        <w:t>The use of the 2290-2300 MHz frequency band for FRMCS raises several technical challenges to enable unsynchronised operation together with ECS TDD networks in the 2.3 GHz band. The required geographical protection distances between unsynchronised base stations are expected to be so large that this is not considered a realistic option for FRMCS deployment. The possible implications of a synchronised operation between FRMCS and ECS (which also include</w:t>
      </w:r>
      <w:r w:rsidR="00314C8F" w:rsidRPr="008946B0">
        <w:rPr>
          <w:rFonts w:eastAsia="Calibri"/>
          <w:szCs w:val="22"/>
          <w:lang w:val="en-GB"/>
        </w:rPr>
        <w:t>s</w:t>
      </w:r>
      <w:r w:rsidRPr="008946B0">
        <w:rPr>
          <w:rFonts w:eastAsia="Calibri"/>
          <w:szCs w:val="22"/>
          <w:lang w:val="en-GB"/>
        </w:rPr>
        <w:t xml:space="preserve"> sharing the same UL and DL frame structure) has not been studied. Considering that railways anticipate heavy UL traffic (see </w:t>
      </w:r>
      <w:r w:rsidRPr="008946B0">
        <w:rPr>
          <w:rFonts w:eastAsia="Calibri"/>
          <w:szCs w:val="22"/>
          <w:lang w:val="en-GB"/>
        </w:rPr>
        <w:fldChar w:fldCharType="begin"/>
      </w:r>
      <w:r w:rsidRPr="008946B0">
        <w:rPr>
          <w:rFonts w:eastAsia="Calibri"/>
          <w:szCs w:val="22"/>
          <w:lang w:val="en-GB"/>
        </w:rPr>
        <w:instrText xml:space="preserve"> REF _Ref31277520 \h </w:instrText>
      </w:r>
      <w:r w:rsidRPr="008946B0">
        <w:rPr>
          <w:rFonts w:eastAsia="Calibri"/>
          <w:szCs w:val="22"/>
          <w:lang w:val="en-GB"/>
        </w:rPr>
      </w:r>
      <w:r w:rsidRPr="008946B0">
        <w:rPr>
          <w:rFonts w:eastAsia="Calibri"/>
          <w:szCs w:val="22"/>
          <w:lang w:val="en-GB"/>
        </w:rPr>
        <w:fldChar w:fldCharType="separate"/>
      </w:r>
      <w:r w:rsidRPr="008946B0">
        <w:rPr>
          <w:lang w:val="en-GB"/>
        </w:rPr>
        <w:t>Table 5</w:t>
      </w:r>
      <w:r w:rsidRPr="008946B0">
        <w:rPr>
          <w:rFonts w:eastAsia="Calibri"/>
          <w:szCs w:val="22"/>
          <w:lang w:val="en-GB"/>
        </w:rPr>
        <w:fldChar w:fldCharType="end"/>
      </w:r>
      <w:r w:rsidRPr="008946B0">
        <w:rPr>
          <w:rFonts w:eastAsia="Calibri"/>
          <w:szCs w:val="22"/>
          <w:lang w:val="en-GB"/>
        </w:rPr>
        <w:t>), it is unlikely that the required synchronisation of compatible TDD frame configurations between RMR and neighbouring ECS would be achieved.</w:t>
      </w:r>
    </w:p>
    <w:p w14:paraId="2965798F" w14:textId="77777777" w:rsidR="00203D80" w:rsidRPr="008946B0" w:rsidRDefault="00203D80" w:rsidP="006626BB">
      <w:pPr>
        <w:spacing w:before="240" w:after="60" w:line="240" w:lineRule="auto"/>
        <w:jc w:val="both"/>
        <w:rPr>
          <w:rFonts w:eastAsia="Calibri"/>
          <w:szCs w:val="22"/>
          <w:lang w:val="en-GB"/>
        </w:rPr>
      </w:pPr>
      <w:r w:rsidRPr="008946B0">
        <w:rPr>
          <w:rFonts w:eastAsia="Calibri"/>
          <w:szCs w:val="22"/>
          <w:lang w:val="en-GB"/>
        </w:rPr>
        <w:t>The feasibility of FRMCS high-power cab-radios in terms of coexistence with ECS as well as of FRMCS coexistence with other applications in or adjacent to the band would require further study.</w:t>
      </w:r>
    </w:p>
    <w:p w14:paraId="34F539B8" w14:textId="1100DD26" w:rsidR="00203D80" w:rsidRPr="008946B0" w:rsidRDefault="00203D80" w:rsidP="006626BB">
      <w:pPr>
        <w:spacing w:before="240" w:after="60" w:line="240" w:lineRule="auto"/>
        <w:jc w:val="both"/>
        <w:rPr>
          <w:rFonts w:eastAsia="Calibri"/>
          <w:szCs w:val="22"/>
          <w:lang w:val="en-GB"/>
        </w:rPr>
      </w:pPr>
      <w:r w:rsidRPr="008946B0">
        <w:rPr>
          <w:rFonts w:eastAsia="Calibri"/>
          <w:szCs w:val="22"/>
          <w:lang w:val="en-GB"/>
        </w:rPr>
        <w:t xml:space="preserve">When considering ECC Report 172, coexistence of FRMCS with existing applications in and adjacent to the band 2290-2300 MHz as documented in the synthesis of the answers to the </w:t>
      </w:r>
      <w:r w:rsidR="00314C8F" w:rsidRPr="008946B0">
        <w:rPr>
          <w:rFonts w:eastAsia="Calibri"/>
          <w:szCs w:val="22"/>
          <w:lang w:val="en-GB"/>
        </w:rPr>
        <w:t xml:space="preserve">CEPT </w:t>
      </w:r>
      <w:r w:rsidRPr="008946B0">
        <w:rPr>
          <w:rFonts w:eastAsia="Calibri"/>
          <w:szCs w:val="22"/>
          <w:lang w:val="en-GB"/>
        </w:rPr>
        <w:t>questionnaire on the 2290-2400 MHz range</w:t>
      </w:r>
      <w:r w:rsidRPr="008946B0">
        <w:rPr>
          <w:rStyle w:val="FootnoteReference"/>
          <w:rFonts w:eastAsia="Calibri"/>
          <w:szCs w:val="22"/>
          <w:lang w:val="en-GB"/>
        </w:rPr>
        <w:footnoteReference w:id="4"/>
      </w:r>
      <w:r w:rsidRPr="008946B0">
        <w:rPr>
          <w:rFonts w:eastAsia="Calibri"/>
          <w:szCs w:val="22"/>
          <w:lang w:val="en-GB"/>
        </w:rPr>
        <w:t>, is challenging and would also require further studies.</w:t>
      </w:r>
    </w:p>
    <w:p w14:paraId="69562CF6" w14:textId="77D259CE" w:rsidR="005A47F3" w:rsidRPr="008946B0" w:rsidRDefault="00203D80" w:rsidP="006626BB">
      <w:pPr>
        <w:spacing w:before="240" w:after="60" w:line="240" w:lineRule="auto"/>
        <w:jc w:val="both"/>
        <w:rPr>
          <w:lang w:val="en-GB"/>
        </w:rPr>
      </w:pPr>
      <w:r w:rsidRPr="008946B0">
        <w:rPr>
          <w:rFonts w:eastAsia="Calibri"/>
          <w:szCs w:val="22"/>
          <w:lang w:val="en-GB"/>
        </w:rPr>
        <w:t xml:space="preserve">The overall conclusion is that the 2290-2300 MHz frequency band is not a preferred option for </w:t>
      </w:r>
      <w:r w:rsidR="00597890" w:rsidRPr="008946B0">
        <w:rPr>
          <w:rFonts w:eastAsia="Calibri"/>
          <w:szCs w:val="22"/>
          <w:lang w:val="en-GB"/>
        </w:rPr>
        <w:t>identifying appropriate</w:t>
      </w:r>
      <w:r w:rsidR="002D178C" w:rsidRPr="008946B0">
        <w:rPr>
          <w:rFonts w:eastAsia="Calibri"/>
          <w:szCs w:val="22"/>
          <w:lang w:val="en-GB"/>
        </w:rPr>
        <w:t xml:space="preserve"> </w:t>
      </w:r>
      <w:r w:rsidRPr="008946B0">
        <w:rPr>
          <w:rFonts w:eastAsia="Calibri"/>
          <w:szCs w:val="22"/>
          <w:lang w:val="en-GB"/>
        </w:rPr>
        <w:t>complementary spectrum for RMR.</w:t>
      </w:r>
    </w:p>
    <w:p w14:paraId="2A07C45E" w14:textId="77777777" w:rsidR="005A47F3" w:rsidRPr="008946B0" w:rsidRDefault="00AB77EF" w:rsidP="000573B8">
      <w:pPr>
        <w:pStyle w:val="ECCParagraph"/>
        <w:spacing w:before="240" w:after="60"/>
        <w:rPr>
          <w:b/>
        </w:rPr>
      </w:pPr>
      <w:r w:rsidRPr="008946B0">
        <w:rPr>
          <w:b/>
        </w:rPr>
        <w:t>Task 4: technical feasibility and scenarios of using commercial mobile networks</w:t>
      </w:r>
    </w:p>
    <w:p w14:paraId="1DE1C1C7" w14:textId="5C2D371A" w:rsidR="00472CEE" w:rsidRPr="008946B0" w:rsidRDefault="00472CEE" w:rsidP="00472CEE">
      <w:pPr>
        <w:spacing w:before="240" w:after="60" w:line="240" w:lineRule="auto"/>
        <w:jc w:val="both"/>
        <w:rPr>
          <w:rFonts w:eastAsia="Calibri"/>
          <w:szCs w:val="22"/>
          <w:lang w:val="en-GB"/>
        </w:rPr>
      </w:pPr>
      <w:r w:rsidRPr="008946B0">
        <w:rPr>
          <w:rFonts w:eastAsia="Calibri"/>
          <w:szCs w:val="22"/>
          <w:lang w:val="en-GB"/>
        </w:rPr>
        <w:t xml:space="preserve">From a technical point of view, the use of commercial mobile networks for critical railway applications is possible under the condition that the relevant parts of the MNO’s network fulfil the stringent interoperability, coverage, availability and QoS requirements of railways (including prioritisation and pre-emption). Use of a commercial mobile network </w:t>
      </w:r>
      <w:r w:rsidR="00174728" w:rsidRPr="008946B0">
        <w:rPr>
          <w:rFonts w:eastAsia="Calibri"/>
          <w:szCs w:val="22"/>
          <w:lang w:val="en-GB"/>
        </w:rPr>
        <w:t xml:space="preserve">would </w:t>
      </w:r>
      <w:r w:rsidRPr="008946B0">
        <w:rPr>
          <w:rFonts w:eastAsia="Calibri"/>
          <w:szCs w:val="22"/>
          <w:lang w:val="en-GB"/>
        </w:rPr>
        <w:t xml:space="preserve">need to be </w:t>
      </w:r>
      <w:r w:rsidR="00174728" w:rsidRPr="008946B0">
        <w:rPr>
          <w:rFonts w:eastAsia="Calibri"/>
          <w:szCs w:val="22"/>
          <w:lang w:val="en-GB"/>
        </w:rPr>
        <w:t xml:space="preserve">specified and </w:t>
      </w:r>
      <w:r w:rsidRPr="008946B0">
        <w:rPr>
          <w:rFonts w:eastAsia="Calibri"/>
          <w:szCs w:val="22"/>
          <w:lang w:val="en-GB"/>
        </w:rPr>
        <w:t xml:space="preserve">tested under real-life conditions to </w:t>
      </w:r>
      <w:r w:rsidR="00B10071" w:rsidRPr="008946B0">
        <w:rPr>
          <w:rFonts w:eastAsia="Calibri"/>
          <w:szCs w:val="22"/>
          <w:lang w:val="en-GB"/>
        </w:rPr>
        <w:t>ensure</w:t>
      </w:r>
      <w:r w:rsidRPr="008946B0">
        <w:rPr>
          <w:rFonts w:eastAsia="Calibri"/>
          <w:szCs w:val="22"/>
          <w:lang w:val="en-GB"/>
        </w:rPr>
        <w:t xml:space="preserve"> those </w:t>
      </w:r>
      <w:r w:rsidRPr="008946B0">
        <w:rPr>
          <w:rFonts w:eastAsia="Calibri"/>
          <w:szCs w:val="22"/>
          <w:lang w:val="en-GB"/>
        </w:rPr>
        <w:lastRenderedPageBreak/>
        <w:t>railway requirements are met. To date, MNO processes do not cover railway safety-related and interoperability assurance, which currently requires extensive certification.</w:t>
      </w:r>
    </w:p>
    <w:p w14:paraId="78D3BCD7" w14:textId="12AE39B8" w:rsidR="00472CEE" w:rsidRPr="008946B0" w:rsidRDefault="00472CEE" w:rsidP="00472CEE">
      <w:pPr>
        <w:spacing w:before="240" w:after="60" w:line="240" w:lineRule="auto"/>
        <w:jc w:val="both"/>
        <w:rPr>
          <w:rFonts w:eastAsia="Calibri"/>
          <w:szCs w:val="22"/>
          <w:lang w:val="en-GB"/>
        </w:rPr>
      </w:pPr>
      <w:r w:rsidRPr="008946B0">
        <w:rPr>
          <w:rFonts w:eastAsia="Calibri"/>
          <w:szCs w:val="22"/>
          <w:lang w:val="en-GB"/>
        </w:rPr>
        <w:t xml:space="preserve">Some </w:t>
      </w:r>
      <w:r w:rsidR="00135C90" w:rsidRPr="008946B0">
        <w:rPr>
          <w:rFonts w:eastAsia="Calibri"/>
          <w:szCs w:val="22"/>
          <w:lang w:val="en-GB"/>
        </w:rPr>
        <w:t>elements</w:t>
      </w:r>
      <w:r w:rsidRPr="008946B0">
        <w:rPr>
          <w:rFonts w:eastAsia="Calibri"/>
          <w:szCs w:val="22"/>
          <w:lang w:val="en-GB"/>
        </w:rPr>
        <w:t xml:space="preserve"> would require further exploration </w:t>
      </w:r>
      <w:r w:rsidR="00135C90" w:rsidRPr="008946B0">
        <w:rPr>
          <w:rFonts w:eastAsia="Calibri"/>
          <w:szCs w:val="22"/>
          <w:lang w:val="en-GB"/>
        </w:rPr>
        <w:t>with respect</w:t>
      </w:r>
      <w:r w:rsidRPr="008946B0">
        <w:rPr>
          <w:rFonts w:eastAsia="Calibri"/>
          <w:szCs w:val="22"/>
          <w:lang w:val="en-GB"/>
        </w:rPr>
        <w:t xml:space="preserve"> to railway safety, certification and validation. Key issues are MNO's legal obligations, liabilities and risk assessment. In addition, the European railway regulatory framework must be fulfilled to guarantee interoperability.</w:t>
      </w:r>
    </w:p>
    <w:p w14:paraId="24DDBCA7" w14:textId="72EBB369" w:rsidR="00472CEE" w:rsidRPr="008946B0" w:rsidRDefault="00472CEE" w:rsidP="00472CEE">
      <w:pPr>
        <w:spacing w:before="240" w:after="60" w:line="240" w:lineRule="auto"/>
        <w:jc w:val="both"/>
        <w:rPr>
          <w:rFonts w:eastAsia="Calibri"/>
          <w:szCs w:val="22"/>
          <w:lang w:val="en-GB"/>
        </w:rPr>
      </w:pPr>
      <w:r w:rsidRPr="008946B0">
        <w:rPr>
          <w:rFonts w:eastAsia="Calibri"/>
          <w:szCs w:val="22"/>
          <w:lang w:val="en-GB"/>
        </w:rPr>
        <w:t xml:space="preserve">MNO networks that do not fulfil railway requirements might be used for lines with </w:t>
      </w:r>
      <w:r w:rsidR="00EF56F3" w:rsidRPr="008946B0">
        <w:rPr>
          <w:rFonts w:eastAsia="Calibri"/>
          <w:szCs w:val="22"/>
          <w:lang w:val="en-GB"/>
        </w:rPr>
        <w:t>different</w:t>
      </w:r>
      <w:r w:rsidRPr="008946B0">
        <w:rPr>
          <w:rFonts w:eastAsia="Calibri"/>
          <w:szCs w:val="22"/>
          <w:lang w:val="en-GB"/>
        </w:rPr>
        <w:t xml:space="preserve"> requirements and non-critical railway communications. Use of commercial mobile networks can also be envisaged to offer some flexibility in providing </w:t>
      </w:r>
      <w:r w:rsidR="00EF56F3" w:rsidRPr="008946B0">
        <w:rPr>
          <w:rFonts w:eastAsia="Calibri"/>
          <w:szCs w:val="22"/>
          <w:lang w:val="en-GB"/>
        </w:rPr>
        <w:t>additional</w:t>
      </w:r>
      <w:r w:rsidRPr="008946B0">
        <w:rPr>
          <w:rFonts w:eastAsia="Calibri"/>
          <w:szCs w:val="22"/>
          <w:lang w:val="en-GB"/>
        </w:rPr>
        <w:t xml:space="preserve"> capacity </w:t>
      </w:r>
      <w:r w:rsidR="00EF56F3" w:rsidRPr="008946B0">
        <w:rPr>
          <w:rFonts w:eastAsia="Calibri"/>
          <w:szCs w:val="22"/>
          <w:lang w:val="en-GB"/>
        </w:rPr>
        <w:t>to</w:t>
      </w:r>
      <w:r w:rsidRPr="008946B0">
        <w:rPr>
          <w:rFonts w:eastAsia="Calibri"/>
          <w:szCs w:val="22"/>
          <w:lang w:val="en-GB"/>
        </w:rPr>
        <w:t xml:space="preserve"> the spectrum harmonised for railway interoperability.</w:t>
      </w:r>
    </w:p>
    <w:p w14:paraId="699B17D3" w14:textId="77777777" w:rsidR="00472CEE" w:rsidRPr="008946B0" w:rsidRDefault="00472CEE" w:rsidP="00472CEE">
      <w:pPr>
        <w:spacing w:before="240" w:after="60" w:line="240" w:lineRule="auto"/>
        <w:jc w:val="both"/>
        <w:rPr>
          <w:rFonts w:eastAsia="Calibri"/>
          <w:szCs w:val="22"/>
          <w:lang w:val="en-GB"/>
        </w:rPr>
      </w:pPr>
      <w:r w:rsidRPr="008946B0">
        <w:rPr>
          <w:rFonts w:eastAsia="Calibri"/>
          <w:szCs w:val="22"/>
          <w:lang w:val="en-GB"/>
        </w:rPr>
        <w:t>For the retention of the railway interoperability, the EIRENE SRS and CCS TSI should be amended to make the use of commercial mobile networks possible.</w:t>
      </w:r>
    </w:p>
    <w:p w14:paraId="1306B4A1" w14:textId="77777777" w:rsidR="00B62547" w:rsidRPr="008946B0" w:rsidRDefault="00B62547" w:rsidP="000573B8">
      <w:pPr>
        <w:spacing w:before="240" w:after="60" w:line="240" w:lineRule="auto"/>
        <w:jc w:val="both"/>
        <w:rPr>
          <w:lang w:val="en-GB"/>
        </w:rPr>
      </w:pPr>
    </w:p>
    <w:p w14:paraId="5047E211" w14:textId="77777777" w:rsidR="005A47F3" w:rsidRPr="008946B0" w:rsidRDefault="00AB77EF">
      <w:pPr>
        <w:rPr>
          <w:lang w:val="en-GB"/>
        </w:rPr>
      </w:pPr>
      <w:r w:rsidRPr="008946B0">
        <w:rPr>
          <w:lang w:val="en-GB"/>
        </w:rPr>
        <w:br w:type="page"/>
      </w:r>
    </w:p>
    <w:p w14:paraId="70B89777" w14:textId="591E2054" w:rsidR="005A47F3" w:rsidRPr="008946B0" w:rsidRDefault="00AB77EF">
      <w:pPr>
        <w:spacing w:after="0" w:line="240" w:lineRule="auto"/>
        <w:rPr>
          <w:b/>
          <w:color w:val="FFFFFF"/>
          <w:lang w:val="en-GB"/>
        </w:rPr>
      </w:pPr>
      <w:r w:rsidRPr="008946B0">
        <w:rPr>
          <w:b/>
          <w:noProof/>
          <w:color w:val="FFFFFF"/>
          <w:szCs w:val="20"/>
          <w:lang w:val="fr-FR" w:eastAsia="fr-FR"/>
        </w:rPr>
        <w:lastRenderedPageBreak/>
        <mc:AlternateContent>
          <mc:Choice Requires="wps">
            <w:drawing>
              <wp:anchor distT="0" distB="0" distL="114300" distR="114300" simplePos="0" relativeHeight="251652608" behindDoc="1" locked="0" layoutInCell="1" allowOverlap="1" wp14:anchorId="67013CD6" wp14:editId="3587C9B7">
                <wp:simplePos x="0" y="0"/>
                <wp:positionH relativeFrom="page">
                  <wp:posOffset>0</wp:posOffset>
                </wp:positionH>
                <wp:positionV relativeFrom="page">
                  <wp:posOffset>900430</wp:posOffset>
                </wp:positionV>
                <wp:extent cx="7560310" cy="720090"/>
                <wp:effectExtent l="0" t="0" r="0" b="508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wps:spPr>
                      <wps:bodyPr rot="0" vert="horz" wrap="square" lIns="91440" tIns="45720" rIns="91440" bIns="45720" anchor="t" anchorCtr="0" upright="1">
                        <a:noAutofit/>
                      </wps:bodyPr>
                    </wps:wsp>
                  </a:graphicData>
                </a:graphic>
              </wp:anchor>
            </w:drawing>
          </mc:Choice>
          <mc:Fallback>
            <w:pict>
              <v:rect w14:anchorId="6E6B7F7F" id="Rectangle 21" o:spid="_x0000_s1026" style="position:absolute;margin-left:0;margin-top:70.9pt;width:595.3pt;height:56.7pt;z-index:-251663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" fillcolor="#b0a696" stroked="f">
                <w10:wrap anchorx="page" anchory="page"/>
              </v:rect>
            </w:pict>
          </mc:Fallback>
        </mc:AlternateContent>
      </w:r>
    </w:p>
    <w:p w14:paraId="7497A2A5" w14:textId="77777777" w:rsidR="005A47F3" w:rsidRPr="008946B0" w:rsidRDefault="005A47F3">
      <w:pPr>
        <w:spacing w:after="0" w:line="240" w:lineRule="auto"/>
        <w:rPr>
          <w:b/>
          <w:color w:val="FFFFFF"/>
          <w:szCs w:val="20"/>
          <w:lang w:val="en-GB"/>
        </w:rPr>
      </w:pPr>
    </w:p>
    <w:p w14:paraId="78477BDD" w14:textId="77777777" w:rsidR="005A47F3" w:rsidRPr="008946B0" w:rsidRDefault="00AB77EF">
      <w:pPr>
        <w:spacing w:after="0" w:line="240" w:lineRule="auto"/>
        <w:rPr>
          <w:b/>
          <w:color w:val="FFFFFF"/>
          <w:szCs w:val="20"/>
          <w:lang w:val="en-GB"/>
        </w:rPr>
      </w:pPr>
      <w:r w:rsidRPr="008946B0">
        <w:rPr>
          <w:b/>
          <w:color w:val="FFFFFF"/>
          <w:szCs w:val="20"/>
          <w:lang w:val="en-GB"/>
        </w:rPr>
        <w:t>TABLE OF CONTENTS</w:t>
      </w:r>
    </w:p>
    <w:p w14:paraId="6967CB16" w14:textId="77777777" w:rsidR="005A47F3" w:rsidRPr="008946B0" w:rsidRDefault="005A47F3">
      <w:pPr>
        <w:spacing w:after="0" w:line="240" w:lineRule="auto"/>
        <w:rPr>
          <w:b/>
          <w:color w:val="FFFFFF"/>
          <w:szCs w:val="20"/>
          <w:lang w:val="en-GB"/>
        </w:rPr>
      </w:pPr>
    </w:p>
    <w:p w14:paraId="4DE70A4B" w14:textId="77777777" w:rsidR="005A47F3" w:rsidRPr="008946B0" w:rsidRDefault="005A47F3">
      <w:pPr>
        <w:spacing w:after="0" w:line="240" w:lineRule="auto"/>
        <w:rPr>
          <w:b/>
          <w:color w:val="FFFFFF"/>
          <w:szCs w:val="20"/>
          <w:lang w:val="en-GB"/>
        </w:rPr>
      </w:pPr>
    </w:p>
    <w:p w14:paraId="3382D064" w14:textId="4CB57F2C" w:rsidR="005A47F3" w:rsidRPr="008946B0" w:rsidRDefault="005A47F3">
      <w:pPr>
        <w:spacing w:after="0" w:line="240" w:lineRule="auto"/>
        <w:rPr>
          <w:lang w:val="en-GB"/>
        </w:rPr>
      </w:pPr>
    </w:p>
    <w:p w14:paraId="129333AE" w14:textId="77E97BFC" w:rsidR="00343DCF" w:rsidRPr="008946B0" w:rsidRDefault="00AB77EF" w:rsidP="002C16F1">
      <w:pPr>
        <w:pStyle w:val="TOC1"/>
        <w:rPr>
          <w:rFonts w:asciiTheme="minorHAnsi" w:eastAsiaTheme="minorEastAsia" w:hAnsiTheme="minorHAnsi" w:cstheme="minorBidi"/>
          <w:b w:val="0"/>
          <w:caps w:val="0"/>
          <w:noProof/>
          <w:sz w:val="22"/>
          <w:szCs w:val="22"/>
          <w:lang w:val="en-GB" w:eastAsia="fr-FR"/>
        </w:rPr>
      </w:pPr>
      <w:r w:rsidRPr="008946B0">
        <w:rPr>
          <w:caps w:val="0"/>
          <w:lang w:val="en-GB"/>
        </w:rPr>
        <w:fldChar w:fldCharType="begin"/>
      </w:r>
      <w:r w:rsidRPr="008946B0">
        <w:rPr>
          <w:caps w:val="0"/>
          <w:lang w:val="en-GB"/>
        </w:rPr>
        <w:instrText xml:space="preserve"> TOC \o "1-4" \h \z \u </w:instrText>
      </w:r>
      <w:r w:rsidRPr="008946B0">
        <w:rPr>
          <w:caps w:val="0"/>
          <w:lang w:val="en-GB"/>
        </w:rPr>
        <w:fldChar w:fldCharType="separate"/>
      </w:r>
      <w:hyperlink w:anchor="_Toc42722807" w:history="1">
        <w:r w:rsidR="00343DCF" w:rsidRPr="008946B0">
          <w:rPr>
            <w:rStyle w:val="Hyperlink"/>
            <w:noProof/>
            <w:lang w:val="en-GB"/>
          </w:rPr>
          <w:t>0</w:t>
        </w:r>
        <w:r w:rsidR="00343DCF" w:rsidRPr="008946B0">
          <w:rPr>
            <w:rFonts w:asciiTheme="minorHAnsi" w:eastAsiaTheme="minorEastAsia" w:hAnsiTheme="minorHAnsi" w:cstheme="minorBidi"/>
            <w:b w:val="0"/>
            <w:caps w:val="0"/>
            <w:noProof/>
            <w:sz w:val="22"/>
            <w:szCs w:val="22"/>
            <w:lang w:val="en-GB" w:eastAsia="fr-FR"/>
          </w:rPr>
          <w:tab/>
        </w:r>
        <w:r w:rsidR="00343DCF" w:rsidRPr="008946B0">
          <w:rPr>
            <w:rStyle w:val="Hyperlink"/>
            <w:noProof/>
            <w:lang w:val="en-GB"/>
          </w:rPr>
          <w:t>Executive summary</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_Toc42722807 \h </w:instrText>
        </w:r>
        <w:r w:rsidR="00343DCF" w:rsidRPr="008946B0">
          <w:rPr>
            <w:noProof/>
            <w:webHidden/>
            <w:lang w:val="en-GB"/>
          </w:rPr>
        </w:r>
        <w:r w:rsidR="00343DCF" w:rsidRPr="008946B0">
          <w:rPr>
            <w:noProof/>
            <w:webHidden/>
            <w:lang w:val="en-GB"/>
          </w:rPr>
          <w:fldChar w:fldCharType="separate"/>
        </w:r>
        <w:r w:rsidR="00893DA5">
          <w:rPr>
            <w:noProof/>
            <w:webHidden/>
            <w:lang w:val="en-GB"/>
          </w:rPr>
          <w:t>2</w:t>
        </w:r>
        <w:r w:rsidR="00343DCF" w:rsidRPr="008946B0">
          <w:rPr>
            <w:noProof/>
            <w:webHidden/>
            <w:lang w:val="en-GB"/>
          </w:rPr>
          <w:fldChar w:fldCharType="end"/>
        </w:r>
      </w:hyperlink>
    </w:p>
    <w:p w14:paraId="343250AF" w14:textId="7EE93C3C" w:rsidR="00343DCF" w:rsidRPr="008946B0" w:rsidRDefault="003D5261" w:rsidP="002C16F1">
      <w:pPr>
        <w:pStyle w:val="TOC1"/>
        <w:rPr>
          <w:rFonts w:asciiTheme="minorHAnsi" w:eastAsiaTheme="minorEastAsia" w:hAnsiTheme="minorHAnsi" w:cstheme="minorBidi"/>
          <w:b w:val="0"/>
          <w:caps w:val="0"/>
          <w:noProof/>
          <w:sz w:val="22"/>
          <w:szCs w:val="22"/>
          <w:lang w:val="en-GB" w:eastAsia="fr-FR"/>
        </w:rPr>
      </w:pPr>
      <w:hyperlink w:anchor="_Toc42722808" w:history="1">
        <w:r w:rsidR="00343DCF" w:rsidRPr="008946B0">
          <w:rPr>
            <w:rStyle w:val="Hyperlink"/>
            <w:noProof/>
            <w:lang w:val="en-GB"/>
          </w:rPr>
          <w:t>1</w:t>
        </w:r>
        <w:r w:rsidR="00343DCF" w:rsidRPr="008946B0">
          <w:rPr>
            <w:rFonts w:asciiTheme="minorHAnsi" w:eastAsiaTheme="minorEastAsia" w:hAnsiTheme="minorHAnsi" w:cstheme="minorBidi"/>
            <w:b w:val="0"/>
            <w:caps w:val="0"/>
            <w:noProof/>
            <w:sz w:val="22"/>
            <w:szCs w:val="22"/>
            <w:lang w:val="en-GB" w:eastAsia="fr-FR"/>
          </w:rPr>
          <w:tab/>
        </w:r>
        <w:r w:rsidR="00343DCF" w:rsidRPr="008946B0">
          <w:rPr>
            <w:rStyle w:val="Hyperlink"/>
            <w:noProof/>
            <w:lang w:val="en-GB"/>
          </w:rPr>
          <w:t>Introduction</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_Toc42722808 \h </w:instrText>
        </w:r>
        <w:r w:rsidR="00343DCF" w:rsidRPr="008946B0">
          <w:rPr>
            <w:noProof/>
            <w:webHidden/>
            <w:lang w:val="en-GB"/>
          </w:rPr>
        </w:r>
        <w:r w:rsidR="00343DCF" w:rsidRPr="008946B0">
          <w:rPr>
            <w:noProof/>
            <w:webHidden/>
            <w:lang w:val="en-GB"/>
          </w:rPr>
          <w:fldChar w:fldCharType="separate"/>
        </w:r>
        <w:r w:rsidR="00893DA5">
          <w:rPr>
            <w:noProof/>
            <w:webHidden/>
            <w:lang w:val="en-GB"/>
          </w:rPr>
          <w:t>11</w:t>
        </w:r>
        <w:r w:rsidR="00343DCF" w:rsidRPr="008946B0">
          <w:rPr>
            <w:noProof/>
            <w:webHidden/>
            <w:lang w:val="en-GB"/>
          </w:rPr>
          <w:fldChar w:fldCharType="end"/>
        </w:r>
      </w:hyperlink>
    </w:p>
    <w:p w14:paraId="094E2571" w14:textId="23E68B75" w:rsidR="00343DCF" w:rsidRPr="008946B0" w:rsidRDefault="003D5261" w:rsidP="002C16F1">
      <w:pPr>
        <w:pStyle w:val="TOC1"/>
        <w:rPr>
          <w:rFonts w:asciiTheme="minorHAnsi" w:eastAsiaTheme="minorEastAsia" w:hAnsiTheme="minorHAnsi" w:cstheme="minorBidi"/>
          <w:b w:val="0"/>
          <w:caps w:val="0"/>
          <w:noProof/>
          <w:sz w:val="22"/>
          <w:szCs w:val="22"/>
          <w:lang w:val="en-GB" w:eastAsia="fr-FR"/>
        </w:rPr>
      </w:pPr>
      <w:hyperlink w:anchor="_Toc42722809" w:history="1">
        <w:r w:rsidR="00343DCF" w:rsidRPr="008946B0">
          <w:rPr>
            <w:rStyle w:val="Hyperlink"/>
            <w:noProof/>
            <w:lang w:val="en-GB"/>
          </w:rPr>
          <w:t>2</w:t>
        </w:r>
        <w:r w:rsidR="00343DCF" w:rsidRPr="008946B0">
          <w:rPr>
            <w:rFonts w:asciiTheme="minorHAnsi" w:eastAsiaTheme="minorEastAsia" w:hAnsiTheme="minorHAnsi" w:cstheme="minorBidi"/>
            <w:b w:val="0"/>
            <w:caps w:val="0"/>
            <w:noProof/>
            <w:sz w:val="22"/>
            <w:szCs w:val="22"/>
            <w:lang w:val="en-GB" w:eastAsia="fr-FR"/>
          </w:rPr>
          <w:tab/>
        </w:r>
        <w:r w:rsidR="00343DCF" w:rsidRPr="008946B0">
          <w:rPr>
            <w:rStyle w:val="Hyperlink"/>
            <w:noProof/>
            <w:lang w:val="en-GB"/>
          </w:rPr>
          <w:t>Rail specificities</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_Toc42722809 \h </w:instrText>
        </w:r>
        <w:r w:rsidR="00343DCF" w:rsidRPr="008946B0">
          <w:rPr>
            <w:noProof/>
            <w:webHidden/>
            <w:lang w:val="en-GB"/>
          </w:rPr>
        </w:r>
        <w:r w:rsidR="00343DCF" w:rsidRPr="008946B0">
          <w:rPr>
            <w:noProof/>
            <w:webHidden/>
            <w:lang w:val="en-GB"/>
          </w:rPr>
          <w:fldChar w:fldCharType="separate"/>
        </w:r>
        <w:r w:rsidR="00893DA5">
          <w:rPr>
            <w:noProof/>
            <w:webHidden/>
            <w:lang w:val="en-GB"/>
          </w:rPr>
          <w:t>12</w:t>
        </w:r>
        <w:r w:rsidR="00343DCF" w:rsidRPr="008946B0">
          <w:rPr>
            <w:noProof/>
            <w:webHidden/>
            <w:lang w:val="en-GB"/>
          </w:rPr>
          <w:fldChar w:fldCharType="end"/>
        </w:r>
      </w:hyperlink>
    </w:p>
    <w:p w14:paraId="15FF07B1" w14:textId="6920BD84" w:rsidR="00343DCF" w:rsidRPr="008946B0" w:rsidRDefault="003D5261" w:rsidP="002C16F1">
      <w:pPr>
        <w:pStyle w:val="TOC2"/>
        <w:spacing w:after="0"/>
        <w:rPr>
          <w:rFonts w:asciiTheme="minorHAnsi" w:eastAsiaTheme="minorEastAsia" w:hAnsiTheme="minorHAnsi" w:cstheme="minorBidi"/>
          <w:noProof/>
          <w:sz w:val="22"/>
          <w:szCs w:val="22"/>
          <w:lang w:val="en-GB" w:eastAsia="fr-FR"/>
        </w:rPr>
      </w:pPr>
      <w:hyperlink w:anchor="_Toc42722810" w:history="1">
        <w:r w:rsidR="00343DCF" w:rsidRPr="008946B0">
          <w:rPr>
            <w:rStyle w:val="Hyperlink"/>
            <w:noProof/>
            <w:lang w:val="en-GB"/>
          </w:rPr>
          <w:t>2.1</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noProof/>
            <w:lang w:val="en-GB"/>
          </w:rPr>
          <w:t>Definitions</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_Toc42722810 \h </w:instrText>
        </w:r>
        <w:r w:rsidR="00343DCF" w:rsidRPr="008946B0">
          <w:rPr>
            <w:noProof/>
            <w:webHidden/>
            <w:lang w:val="en-GB"/>
          </w:rPr>
        </w:r>
        <w:r w:rsidR="00343DCF" w:rsidRPr="008946B0">
          <w:rPr>
            <w:noProof/>
            <w:webHidden/>
            <w:lang w:val="en-GB"/>
          </w:rPr>
          <w:fldChar w:fldCharType="separate"/>
        </w:r>
        <w:r w:rsidR="00893DA5">
          <w:rPr>
            <w:noProof/>
            <w:webHidden/>
            <w:lang w:val="en-GB"/>
          </w:rPr>
          <w:t>12</w:t>
        </w:r>
        <w:r w:rsidR="00343DCF" w:rsidRPr="008946B0">
          <w:rPr>
            <w:noProof/>
            <w:webHidden/>
            <w:lang w:val="en-GB"/>
          </w:rPr>
          <w:fldChar w:fldCharType="end"/>
        </w:r>
      </w:hyperlink>
    </w:p>
    <w:p w14:paraId="73D6C825" w14:textId="23BE9D0A" w:rsidR="00343DCF" w:rsidRPr="008946B0" w:rsidRDefault="003D5261" w:rsidP="002C16F1">
      <w:pPr>
        <w:pStyle w:val="TOC2"/>
        <w:spacing w:after="0"/>
        <w:rPr>
          <w:rFonts w:asciiTheme="minorHAnsi" w:eastAsiaTheme="minorEastAsia" w:hAnsiTheme="minorHAnsi" w:cstheme="minorBidi"/>
          <w:noProof/>
          <w:sz w:val="22"/>
          <w:szCs w:val="22"/>
          <w:lang w:val="en-GB" w:eastAsia="fr-FR"/>
        </w:rPr>
      </w:pPr>
      <w:hyperlink w:anchor="_Toc42722811" w:history="1">
        <w:r w:rsidR="00343DCF" w:rsidRPr="008946B0">
          <w:rPr>
            <w:rStyle w:val="Hyperlink"/>
            <w:noProof/>
            <w:lang w:val="en-GB"/>
          </w:rPr>
          <w:t>2.2</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noProof/>
            <w:lang w:val="en-GB"/>
          </w:rPr>
          <w:t>Railway interoperability</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_Toc42722811 \h </w:instrText>
        </w:r>
        <w:r w:rsidR="00343DCF" w:rsidRPr="008946B0">
          <w:rPr>
            <w:noProof/>
            <w:webHidden/>
            <w:lang w:val="en-GB"/>
          </w:rPr>
        </w:r>
        <w:r w:rsidR="00343DCF" w:rsidRPr="008946B0">
          <w:rPr>
            <w:noProof/>
            <w:webHidden/>
            <w:lang w:val="en-GB"/>
          </w:rPr>
          <w:fldChar w:fldCharType="separate"/>
        </w:r>
        <w:r w:rsidR="00893DA5">
          <w:rPr>
            <w:noProof/>
            <w:webHidden/>
            <w:lang w:val="en-GB"/>
          </w:rPr>
          <w:t>13</w:t>
        </w:r>
        <w:r w:rsidR="00343DCF" w:rsidRPr="008946B0">
          <w:rPr>
            <w:noProof/>
            <w:webHidden/>
            <w:lang w:val="en-GB"/>
          </w:rPr>
          <w:fldChar w:fldCharType="end"/>
        </w:r>
      </w:hyperlink>
    </w:p>
    <w:p w14:paraId="11C93226" w14:textId="082714A8" w:rsidR="00343DCF" w:rsidRPr="008946B0" w:rsidRDefault="003D5261" w:rsidP="002C16F1">
      <w:pPr>
        <w:pStyle w:val="TOC2"/>
        <w:spacing w:after="0"/>
        <w:rPr>
          <w:rFonts w:asciiTheme="minorHAnsi" w:eastAsiaTheme="minorEastAsia" w:hAnsiTheme="minorHAnsi" w:cstheme="minorBidi"/>
          <w:noProof/>
          <w:sz w:val="22"/>
          <w:szCs w:val="22"/>
          <w:lang w:val="en-GB" w:eastAsia="fr-FR"/>
        </w:rPr>
      </w:pPr>
      <w:hyperlink w:anchor="_Toc42722812" w:history="1">
        <w:r w:rsidR="00343DCF" w:rsidRPr="008946B0">
          <w:rPr>
            <w:rStyle w:val="Hyperlink"/>
            <w:noProof/>
            <w:lang w:val="en-GB"/>
          </w:rPr>
          <w:t>2.3</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noProof/>
            <w:lang w:val="en-GB"/>
          </w:rPr>
          <w:t>Migration from GSM-R to its successor</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_Toc42722812 \h </w:instrText>
        </w:r>
        <w:r w:rsidR="00343DCF" w:rsidRPr="008946B0">
          <w:rPr>
            <w:noProof/>
            <w:webHidden/>
            <w:lang w:val="en-GB"/>
          </w:rPr>
        </w:r>
        <w:r w:rsidR="00343DCF" w:rsidRPr="008946B0">
          <w:rPr>
            <w:noProof/>
            <w:webHidden/>
            <w:lang w:val="en-GB"/>
          </w:rPr>
          <w:fldChar w:fldCharType="separate"/>
        </w:r>
        <w:r w:rsidR="00893DA5">
          <w:rPr>
            <w:noProof/>
            <w:webHidden/>
            <w:lang w:val="en-GB"/>
          </w:rPr>
          <w:t>14</w:t>
        </w:r>
        <w:r w:rsidR="00343DCF" w:rsidRPr="008946B0">
          <w:rPr>
            <w:noProof/>
            <w:webHidden/>
            <w:lang w:val="en-GB"/>
          </w:rPr>
          <w:fldChar w:fldCharType="end"/>
        </w:r>
      </w:hyperlink>
    </w:p>
    <w:p w14:paraId="6E959546" w14:textId="36B676B4" w:rsidR="00343DCF" w:rsidRPr="008946B0" w:rsidRDefault="003D5261" w:rsidP="002C16F1">
      <w:pPr>
        <w:pStyle w:val="TOC3"/>
        <w:spacing w:after="0"/>
        <w:rPr>
          <w:rFonts w:asciiTheme="minorHAnsi" w:eastAsiaTheme="minorEastAsia" w:hAnsiTheme="minorHAnsi" w:cstheme="minorBidi"/>
          <w:noProof/>
          <w:sz w:val="22"/>
          <w:szCs w:val="22"/>
          <w:lang w:val="en-GB" w:eastAsia="fr-FR"/>
        </w:rPr>
      </w:pPr>
      <w:hyperlink w:anchor="_Toc42722813" w:history="1">
        <w:r w:rsidR="00343DCF" w:rsidRPr="008946B0">
          <w:rPr>
            <w:rStyle w:val="Hyperlink"/>
            <w:rFonts w:eastAsia="Calibri"/>
            <w:noProof/>
            <w:lang w:val="en-GB"/>
          </w:rPr>
          <w:t>2.3.1</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GSM-R today</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_Toc42722813 \h </w:instrText>
        </w:r>
        <w:r w:rsidR="00343DCF" w:rsidRPr="008946B0">
          <w:rPr>
            <w:noProof/>
            <w:webHidden/>
            <w:lang w:val="en-GB"/>
          </w:rPr>
        </w:r>
        <w:r w:rsidR="00343DCF" w:rsidRPr="008946B0">
          <w:rPr>
            <w:noProof/>
            <w:webHidden/>
            <w:lang w:val="en-GB"/>
          </w:rPr>
          <w:fldChar w:fldCharType="separate"/>
        </w:r>
        <w:r w:rsidR="00893DA5">
          <w:rPr>
            <w:noProof/>
            <w:webHidden/>
            <w:lang w:val="en-GB"/>
          </w:rPr>
          <w:t>14</w:t>
        </w:r>
        <w:r w:rsidR="00343DCF" w:rsidRPr="008946B0">
          <w:rPr>
            <w:noProof/>
            <w:webHidden/>
            <w:lang w:val="en-GB"/>
          </w:rPr>
          <w:fldChar w:fldCharType="end"/>
        </w:r>
      </w:hyperlink>
    </w:p>
    <w:p w14:paraId="7B8C847B" w14:textId="3A97F2E7" w:rsidR="00343DCF" w:rsidRPr="008946B0" w:rsidRDefault="003D5261" w:rsidP="002C16F1">
      <w:pPr>
        <w:pStyle w:val="TOC3"/>
        <w:spacing w:after="0"/>
        <w:rPr>
          <w:rFonts w:asciiTheme="minorHAnsi" w:eastAsiaTheme="minorEastAsia" w:hAnsiTheme="minorHAnsi" w:cstheme="minorBidi"/>
          <w:noProof/>
          <w:sz w:val="22"/>
          <w:szCs w:val="22"/>
          <w:lang w:val="en-GB" w:eastAsia="fr-FR"/>
        </w:rPr>
      </w:pPr>
      <w:hyperlink w:anchor="_Toc42722814" w:history="1">
        <w:r w:rsidR="00343DCF" w:rsidRPr="008946B0">
          <w:rPr>
            <w:rStyle w:val="Hyperlink"/>
            <w:rFonts w:eastAsia="Calibri"/>
            <w:noProof/>
            <w:lang w:val="en-GB"/>
          </w:rPr>
          <w:t>2.3.2</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Need for parallel operation</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_Toc42722814 \h </w:instrText>
        </w:r>
        <w:r w:rsidR="00343DCF" w:rsidRPr="008946B0">
          <w:rPr>
            <w:noProof/>
            <w:webHidden/>
            <w:lang w:val="en-GB"/>
          </w:rPr>
        </w:r>
        <w:r w:rsidR="00343DCF" w:rsidRPr="008946B0">
          <w:rPr>
            <w:noProof/>
            <w:webHidden/>
            <w:lang w:val="en-GB"/>
          </w:rPr>
          <w:fldChar w:fldCharType="separate"/>
        </w:r>
        <w:r w:rsidR="00893DA5">
          <w:rPr>
            <w:noProof/>
            <w:webHidden/>
            <w:lang w:val="en-GB"/>
          </w:rPr>
          <w:t>14</w:t>
        </w:r>
        <w:r w:rsidR="00343DCF" w:rsidRPr="008946B0">
          <w:rPr>
            <w:noProof/>
            <w:webHidden/>
            <w:lang w:val="en-GB"/>
          </w:rPr>
          <w:fldChar w:fldCharType="end"/>
        </w:r>
      </w:hyperlink>
    </w:p>
    <w:p w14:paraId="58C34BCF" w14:textId="2388D9AA" w:rsidR="00343DCF" w:rsidRPr="008946B0" w:rsidRDefault="003D5261" w:rsidP="002C16F1">
      <w:pPr>
        <w:pStyle w:val="TOC3"/>
        <w:spacing w:after="0"/>
        <w:rPr>
          <w:rFonts w:asciiTheme="minorHAnsi" w:eastAsiaTheme="minorEastAsia" w:hAnsiTheme="minorHAnsi" w:cstheme="minorBidi"/>
          <w:noProof/>
          <w:sz w:val="22"/>
          <w:szCs w:val="22"/>
          <w:lang w:val="en-GB" w:eastAsia="fr-FR"/>
        </w:rPr>
      </w:pPr>
      <w:hyperlink w:anchor="_Toc42722815" w:history="1">
        <w:r w:rsidR="00343DCF" w:rsidRPr="008946B0">
          <w:rPr>
            <w:rStyle w:val="Hyperlink"/>
            <w:rFonts w:eastAsia="Calibri"/>
            <w:noProof/>
            <w:lang w:val="en-GB"/>
          </w:rPr>
          <w:t>2.3.3</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Timeline perspective</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_Toc42722815 \h </w:instrText>
        </w:r>
        <w:r w:rsidR="00343DCF" w:rsidRPr="008946B0">
          <w:rPr>
            <w:noProof/>
            <w:webHidden/>
            <w:lang w:val="en-GB"/>
          </w:rPr>
        </w:r>
        <w:r w:rsidR="00343DCF" w:rsidRPr="008946B0">
          <w:rPr>
            <w:noProof/>
            <w:webHidden/>
            <w:lang w:val="en-GB"/>
          </w:rPr>
          <w:fldChar w:fldCharType="separate"/>
        </w:r>
        <w:r w:rsidR="00893DA5">
          <w:rPr>
            <w:noProof/>
            <w:webHidden/>
            <w:lang w:val="en-GB"/>
          </w:rPr>
          <w:t>15</w:t>
        </w:r>
        <w:r w:rsidR="00343DCF" w:rsidRPr="008946B0">
          <w:rPr>
            <w:noProof/>
            <w:webHidden/>
            <w:lang w:val="en-GB"/>
          </w:rPr>
          <w:fldChar w:fldCharType="end"/>
        </w:r>
      </w:hyperlink>
    </w:p>
    <w:p w14:paraId="5740180B" w14:textId="4F99DC49" w:rsidR="00343DCF" w:rsidRPr="008946B0" w:rsidRDefault="003D5261" w:rsidP="002C16F1">
      <w:pPr>
        <w:pStyle w:val="TOC1"/>
        <w:spacing w:after="0"/>
        <w:rPr>
          <w:rFonts w:asciiTheme="minorHAnsi" w:eastAsiaTheme="minorEastAsia" w:hAnsiTheme="minorHAnsi" w:cstheme="minorBidi"/>
          <w:b w:val="0"/>
          <w:caps w:val="0"/>
          <w:noProof/>
          <w:sz w:val="22"/>
          <w:szCs w:val="22"/>
          <w:lang w:val="en-GB" w:eastAsia="fr-FR"/>
        </w:rPr>
      </w:pPr>
      <w:hyperlink w:anchor="_Toc42722816" w:history="1">
        <w:r w:rsidR="00343DCF" w:rsidRPr="008946B0">
          <w:rPr>
            <w:rStyle w:val="Hyperlink"/>
            <w:noProof/>
            <w:lang w:val="en-GB"/>
          </w:rPr>
          <w:t>3</w:t>
        </w:r>
        <w:r w:rsidR="00343DCF" w:rsidRPr="008946B0">
          <w:rPr>
            <w:rFonts w:asciiTheme="minorHAnsi" w:eastAsiaTheme="minorEastAsia" w:hAnsiTheme="minorHAnsi" w:cstheme="minorBidi"/>
            <w:b w:val="0"/>
            <w:caps w:val="0"/>
            <w:noProof/>
            <w:sz w:val="22"/>
            <w:szCs w:val="22"/>
            <w:lang w:val="en-GB" w:eastAsia="fr-FR"/>
          </w:rPr>
          <w:tab/>
        </w:r>
        <w:r w:rsidR="00343DCF" w:rsidRPr="008946B0">
          <w:rPr>
            <w:rStyle w:val="Hyperlink"/>
            <w:noProof/>
            <w:lang w:val="en-GB"/>
          </w:rPr>
          <w:t>Spectrum needs for the future railway mobile radio communications system (task 1)</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_Toc42722816 \h </w:instrText>
        </w:r>
        <w:r w:rsidR="00343DCF" w:rsidRPr="008946B0">
          <w:rPr>
            <w:noProof/>
            <w:webHidden/>
            <w:lang w:val="en-GB"/>
          </w:rPr>
        </w:r>
        <w:r w:rsidR="00343DCF" w:rsidRPr="008946B0">
          <w:rPr>
            <w:noProof/>
            <w:webHidden/>
            <w:lang w:val="en-GB"/>
          </w:rPr>
          <w:fldChar w:fldCharType="separate"/>
        </w:r>
        <w:r w:rsidR="00893DA5">
          <w:rPr>
            <w:noProof/>
            <w:webHidden/>
            <w:lang w:val="en-GB"/>
          </w:rPr>
          <w:t>16</w:t>
        </w:r>
        <w:r w:rsidR="00343DCF" w:rsidRPr="008946B0">
          <w:rPr>
            <w:noProof/>
            <w:webHidden/>
            <w:lang w:val="en-GB"/>
          </w:rPr>
          <w:fldChar w:fldCharType="end"/>
        </w:r>
      </w:hyperlink>
    </w:p>
    <w:p w14:paraId="50E741A6" w14:textId="2C1F0D8B" w:rsidR="00343DCF" w:rsidRPr="008946B0" w:rsidRDefault="003D5261" w:rsidP="002C16F1">
      <w:pPr>
        <w:pStyle w:val="TOC2"/>
        <w:spacing w:after="0"/>
        <w:rPr>
          <w:rFonts w:asciiTheme="minorHAnsi" w:eastAsiaTheme="minorEastAsia" w:hAnsiTheme="minorHAnsi" w:cstheme="minorBidi"/>
          <w:noProof/>
          <w:sz w:val="22"/>
          <w:szCs w:val="22"/>
          <w:lang w:val="en-GB" w:eastAsia="fr-FR"/>
        </w:rPr>
      </w:pPr>
      <w:hyperlink w:anchor="_Toc42722817" w:history="1">
        <w:r w:rsidR="00343DCF" w:rsidRPr="008946B0">
          <w:rPr>
            <w:rStyle w:val="Hyperlink"/>
            <w:noProof/>
            <w:lang w:val="en-GB"/>
          </w:rPr>
          <w:t>3.1</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noProof/>
            <w:lang w:val="en-GB"/>
          </w:rPr>
          <w:t>List of critical railway applications</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_Toc42722817 \h </w:instrText>
        </w:r>
        <w:r w:rsidR="00343DCF" w:rsidRPr="008946B0">
          <w:rPr>
            <w:noProof/>
            <w:webHidden/>
            <w:lang w:val="en-GB"/>
          </w:rPr>
        </w:r>
        <w:r w:rsidR="00343DCF" w:rsidRPr="008946B0">
          <w:rPr>
            <w:noProof/>
            <w:webHidden/>
            <w:lang w:val="en-GB"/>
          </w:rPr>
          <w:fldChar w:fldCharType="separate"/>
        </w:r>
        <w:r w:rsidR="00893DA5">
          <w:rPr>
            <w:noProof/>
            <w:webHidden/>
            <w:lang w:val="en-GB"/>
          </w:rPr>
          <w:t>16</w:t>
        </w:r>
        <w:r w:rsidR="00343DCF" w:rsidRPr="008946B0">
          <w:rPr>
            <w:noProof/>
            <w:webHidden/>
            <w:lang w:val="en-GB"/>
          </w:rPr>
          <w:fldChar w:fldCharType="end"/>
        </w:r>
      </w:hyperlink>
    </w:p>
    <w:p w14:paraId="52CE6D79" w14:textId="1191D888" w:rsidR="00343DCF" w:rsidRPr="008946B0" w:rsidRDefault="003D5261" w:rsidP="002C16F1">
      <w:pPr>
        <w:pStyle w:val="TOC2"/>
        <w:spacing w:after="0"/>
        <w:rPr>
          <w:rFonts w:asciiTheme="minorHAnsi" w:eastAsiaTheme="minorEastAsia" w:hAnsiTheme="minorHAnsi" w:cstheme="minorBidi"/>
          <w:noProof/>
          <w:sz w:val="22"/>
          <w:szCs w:val="22"/>
          <w:lang w:val="en-GB" w:eastAsia="fr-FR"/>
        </w:rPr>
      </w:pPr>
      <w:hyperlink w:anchor="_Toc42722818" w:history="1">
        <w:r w:rsidR="00343DCF" w:rsidRPr="008946B0">
          <w:rPr>
            <w:rStyle w:val="Hyperlink"/>
            <w:noProof/>
            <w:lang w:val="en-GB"/>
          </w:rPr>
          <w:t>3.2</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noProof/>
            <w:lang w:val="en-GB"/>
          </w:rPr>
          <w:t>FRMCS Throughput required by critical applications during the migration</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_Toc42722818 \h </w:instrText>
        </w:r>
        <w:r w:rsidR="00343DCF" w:rsidRPr="008946B0">
          <w:rPr>
            <w:noProof/>
            <w:webHidden/>
            <w:lang w:val="en-GB"/>
          </w:rPr>
        </w:r>
        <w:r w:rsidR="00343DCF" w:rsidRPr="008946B0">
          <w:rPr>
            <w:noProof/>
            <w:webHidden/>
            <w:lang w:val="en-GB"/>
          </w:rPr>
          <w:fldChar w:fldCharType="separate"/>
        </w:r>
        <w:r w:rsidR="00893DA5">
          <w:rPr>
            <w:noProof/>
            <w:webHidden/>
            <w:lang w:val="en-GB"/>
          </w:rPr>
          <w:t>17</w:t>
        </w:r>
        <w:r w:rsidR="00343DCF" w:rsidRPr="008946B0">
          <w:rPr>
            <w:noProof/>
            <w:webHidden/>
            <w:lang w:val="en-GB"/>
          </w:rPr>
          <w:fldChar w:fldCharType="end"/>
        </w:r>
      </w:hyperlink>
    </w:p>
    <w:p w14:paraId="544A9193" w14:textId="259496F9" w:rsidR="00343DCF" w:rsidRPr="008946B0" w:rsidRDefault="003D5261" w:rsidP="002C16F1">
      <w:pPr>
        <w:pStyle w:val="TOC2"/>
        <w:spacing w:after="0"/>
        <w:rPr>
          <w:rFonts w:asciiTheme="minorHAnsi" w:eastAsiaTheme="minorEastAsia" w:hAnsiTheme="minorHAnsi" w:cstheme="minorBidi"/>
          <w:noProof/>
          <w:sz w:val="22"/>
          <w:szCs w:val="22"/>
          <w:lang w:val="en-GB" w:eastAsia="fr-FR"/>
        </w:rPr>
      </w:pPr>
      <w:hyperlink w:anchor="_Toc42722819" w:history="1">
        <w:r w:rsidR="00343DCF" w:rsidRPr="008946B0">
          <w:rPr>
            <w:rStyle w:val="Hyperlink"/>
            <w:noProof/>
            <w:lang w:val="en-GB"/>
          </w:rPr>
          <w:t>3.3</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noProof/>
            <w:lang w:val="en-GB"/>
          </w:rPr>
          <w:t>FRMCS Throughput required by target critical applications</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_Toc42722819 \h </w:instrText>
        </w:r>
        <w:r w:rsidR="00343DCF" w:rsidRPr="008946B0">
          <w:rPr>
            <w:noProof/>
            <w:webHidden/>
            <w:lang w:val="en-GB"/>
          </w:rPr>
        </w:r>
        <w:r w:rsidR="00343DCF" w:rsidRPr="008946B0">
          <w:rPr>
            <w:noProof/>
            <w:webHidden/>
            <w:lang w:val="en-GB"/>
          </w:rPr>
          <w:fldChar w:fldCharType="separate"/>
        </w:r>
        <w:r w:rsidR="00893DA5">
          <w:rPr>
            <w:noProof/>
            <w:webHidden/>
            <w:lang w:val="en-GB"/>
          </w:rPr>
          <w:t>18</w:t>
        </w:r>
        <w:r w:rsidR="00343DCF" w:rsidRPr="008946B0">
          <w:rPr>
            <w:noProof/>
            <w:webHidden/>
            <w:lang w:val="en-GB"/>
          </w:rPr>
          <w:fldChar w:fldCharType="end"/>
        </w:r>
      </w:hyperlink>
    </w:p>
    <w:p w14:paraId="4BBF8D58" w14:textId="516BBEA8" w:rsidR="00343DCF" w:rsidRPr="008946B0" w:rsidRDefault="003D5261" w:rsidP="002C16F1">
      <w:pPr>
        <w:pStyle w:val="TOC2"/>
        <w:spacing w:after="0"/>
        <w:rPr>
          <w:rFonts w:asciiTheme="minorHAnsi" w:eastAsiaTheme="minorEastAsia" w:hAnsiTheme="minorHAnsi" w:cstheme="minorBidi"/>
          <w:noProof/>
          <w:sz w:val="22"/>
          <w:szCs w:val="22"/>
          <w:lang w:val="en-GB" w:eastAsia="fr-FR"/>
        </w:rPr>
      </w:pPr>
      <w:hyperlink w:anchor="_Toc42722820" w:history="1">
        <w:r w:rsidR="00343DCF" w:rsidRPr="008946B0">
          <w:rPr>
            <w:rStyle w:val="Hyperlink"/>
            <w:noProof/>
            <w:lang w:val="en-GB"/>
          </w:rPr>
          <w:t>3.4</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noProof/>
            <w:lang w:val="en-GB"/>
          </w:rPr>
          <w:t>Throughput offered by LTE/NR in railway environment</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_Toc42722820 \h </w:instrText>
        </w:r>
        <w:r w:rsidR="00343DCF" w:rsidRPr="008946B0">
          <w:rPr>
            <w:noProof/>
            <w:webHidden/>
            <w:lang w:val="en-GB"/>
          </w:rPr>
        </w:r>
        <w:r w:rsidR="00343DCF" w:rsidRPr="008946B0">
          <w:rPr>
            <w:noProof/>
            <w:webHidden/>
            <w:lang w:val="en-GB"/>
          </w:rPr>
          <w:fldChar w:fldCharType="separate"/>
        </w:r>
        <w:r w:rsidR="00893DA5">
          <w:rPr>
            <w:noProof/>
            <w:webHidden/>
            <w:lang w:val="en-GB"/>
          </w:rPr>
          <w:t>19</w:t>
        </w:r>
        <w:r w:rsidR="00343DCF" w:rsidRPr="008946B0">
          <w:rPr>
            <w:noProof/>
            <w:webHidden/>
            <w:lang w:val="en-GB"/>
          </w:rPr>
          <w:fldChar w:fldCharType="end"/>
        </w:r>
      </w:hyperlink>
    </w:p>
    <w:p w14:paraId="0E9E33C0" w14:textId="0446088F" w:rsidR="00343DCF" w:rsidRPr="008946B0" w:rsidRDefault="003D5261" w:rsidP="002C16F1">
      <w:pPr>
        <w:pStyle w:val="TOC2"/>
        <w:spacing w:after="0"/>
        <w:rPr>
          <w:rFonts w:asciiTheme="minorHAnsi" w:eastAsiaTheme="minorEastAsia" w:hAnsiTheme="minorHAnsi" w:cstheme="minorBidi"/>
          <w:noProof/>
          <w:sz w:val="22"/>
          <w:szCs w:val="22"/>
          <w:lang w:val="en-GB" w:eastAsia="fr-FR"/>
        </w:rPr>
      </w:pPr>
      <w:hyperlink w:anchor="_Toc42722823" w:history="1">
        <w:r w:rsidR="00343DCF" w:rsidRPr="008946B0">
          <w:rPr>
            <w:rStyle w:val="Hyperlink"/>
            <w:noProof/>
            <w:lang w:val="en-GB"/>
          </w:rPr>
          <w:t>3.5</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noProof/>
            <w:lang w:val="en-GB"/>
          </w:rPr>
          <w:t>Migration at 900 MHz</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_Toc42722823 \h </w:instrText>
        </w:r>
        <w:r w:rsidR="00343DCF" w:rsidRPr="008946B0">
          <w:rPr>
            <w:noProof/>
            <w:webHidden/>
            <w:lang w:val="en-GB"/>
          </w:rPr>
        </w:r>
        <w:r w:rsidR="00343DCF" w:rsidRPr="008946B0">
          <w:rPr>
            <w:noProof/>
            <w:webHidden/>
            <w:lang w:val="en-GB"/>
          </w:rPr>
          <w:fldChar w:fldCharType="separate"/>
        </w:r>
        <w:r w:rsidR="00893DA5">
          <w:rPr>
            <w:noProof/>
            <w:webHidden/>
            <w:lang w:val="en-GB"/>
          </w:rPr>
          <w:t>20</w:t>
        </w:r>
        <w:r w:rsidR="00343DCF" w:rsidRPr="008946B0">
          <w:rPr>
            <w:noProof/>
            <w:webHidden/>
            <w:lang w:val="en-GB"/>
          </w:rPr>
          <w:fldChar w:fldCharType="end"/>
        </w:r>
      </w:hyperlink>
    </w:p>
    <w:p w14:paraId="66340ADD" w14:textId="1818AB4D" w:rsidR="00343DCF" w:rsidRPr="008946B0" w:rsidRDefault="003D5261" w:rsidP="002C16F1">
      <w:pPr>
        <w:pStyle w:val="TOC2"/>
        <w:spacing w:after="0"/>
        <w:rPr>
          <w:rFonts w:asciiTheme="minorHAnsi" w:eastAsiaTheme="minorEastAsia" w:hAnsiTheme="minorHAnsi" w:cstheme="minorBidi"/>
          <w:noProof/>
          <w:sz w:val="22"/>
          <w:szCs w:val="22"/>
          <w:lang w:val="en-GB" w:eastAsia="fr-FR"/>
        </w:rPr>
      </w:pPr>
      <w:hyperlink w:anchor="_Toc42722824" w:history="1">
        <w:r w:rsidR="00343DCF" w:rsidRPr="008946B0">
          <w:rPr>
            <w:rStyle w:val="Hyperlink"/>
            <w:noProof/>
            <w:lang w:val="en-GB"/>
          </w:rPr>
          <w:t>3.6</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noProof/>
            <w:lang w:val="en-GB"/>
          </w:rPr>
          <w:t>Hotspots and border areas</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_Toc42722824 \h </w:instrText>
        </w:r>
        <w:r w:rsidR="00343DCF" w:rsidRPr="008946B0">
          <w:rPr>
            <w:noProof/>
            <w:webHidden/>
            <w:lang w:val="en-GB"/>
          </w:rPr>
        </w:r>
        <w:r w:rsidR="00343DCF" w:rsidRPr="008946B0">
          <w:rPr>
            <w:noProof/>
            <w:webHidden/>
            <w:lang w:val="en-GB"/>
          </w:rPr>
          <w:fldChar w:fldCharType="separate"/>
        </w:r>
        <w:r w:rsidR="00893DA5">
          <w:rPr>
            <w:noProof/>
            <w:webHidden/>
            <w:lang w:val="en-GB"/>
          </w:rPr>
          <w:t>20</w:t>
        </w:r>
        <w:r w:rsidR="00343DCF" w:rsidRPr="008946B0">
          <w:rPr>
            <w:noProof/>
            <w:webHidden/>
            <w:lang w:val="en-GB"/>
          </w:rPr>
          <w:fldChar w:fldCharType="end"/>
        </w:r>
      </w:hyperlink>
    </w:p>
    <w:p w14:paraId="7591B060" w14:textId="108AEF5A" w:rsidR="00343DCF" w:rsidRPr="008946B0" w:rsidRDefault="003D5261" w:rsidP="002C16F1">
      <w:pPr>
        <w:pStyle w:val="TOC2"/>
        <w:spacing w:after="0"/>
        <w:rPr>
          <w:rFonts w:asciiTheme="minorHAnsi" w:eastAsiaTheme="minorEastAsia" w:hAnsiTheme="minorHAnsi" w:cstheme="minorBidi"/>
          <w:noProof/>
          <w:sz w:val="22"/>
          <w:szCs w:val="22"/>
          <w:lang w:val="en-GB" w:eastAsia="fr-FR"/>
        </w:rPr>
      </w:pPr>
      <w:hyperlink w:anchor="_Toc42722825" w:history="1">
        <w:r w:rsidR="00343DCF" w:rsidRPr="008946B0">
          <w:rPr>
            <w:rStyle w:val="Hyperlink"/>
            <w:noProof/>
            <w:lang w:val="en-GB"/>
          </w:rPr>
          <w:t>3.7</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noProof/>
            <w:lang w:val="en-GB"/>
          </w:rPr>
          <w:t>Conclusion on spectrum needs and options</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_Toc42722825 \h </w:instrText>
        </w:r>
        <w:r w:rsidR="00343DCF" w:rsidRPr="008946B0">
          <w:rPr>
            <w:noProof/>
            <w:webHidden/>
            <w:lang w:val="en-GB"/>
          </w:rPr>
        </w:r>
        <w:r w:rsidR="00343DCF" w:rsidRPr="008946B0">
          <w:rPr>
            <w:noProof/>
            <w:webHidden/>
            <w:lang w:val="en-GB"/>
          </w:rPr>
          <w:fldChar w:fldCharType="separate"/>
        </w:r>
        <w:r w:rsidR="00893DA5">
          <w:rPr>
            <w:noProof/>
            <w:webHidden/>
            <w:lang w:val="en-GB"/>
          </w:rPr>
          <w:t>21</w:t>
        </w:r>
        <w:r w:rsidR="00343DCF" w:rsidRPr="008946B0">
          <w:rPr>
            <w:noProof/>
            <w:webHidden/>
            <w:lang w:val="en-GB"/>
          </w:rPr>
          <w:fldChar w:fldCharType="end"/>
        </w:r>
      </w:hyperlink>
    </w:p>
    <w:p w14:paraId="712848E2" w14:textId="261D533C" w:rsidR="00343DCF" w:rsidRPr="008946B0" w:rsidRDefault="003D5261" w:rsidP="002C16F1">
      <w:pPr>
        <w:pStyle w:val="TOC1"/>
        <w:spacing w:after="0"/>
        <w:rPr>
          <w:rFonts w:asciiTheme="minorHAnsi" w:eastAsiaTheme="minorEastAsia" w:hAnsiTheme="minorHAnsi" w:cstheme="minorBidi"/>
          <w:b w:val="0"/>
          <w:caps w:val="0"/>
          <w:noProof/>
          <w:sz w:val="22"/>
          <w:szCs w:val="22"/>
          <w:lang w:val="en-GB" w:eastAsia="fr-FR"/>
        </w:rPr>
      </w:pPr>
      <w:hyperlink w:anchor="_Toc42722826" w:history="1">
        <w:r w:rsidR="00343DCF" w:rsidRPr="008946B0">
          <w:rPr>
            <w:rStyle w:val="Hyperlink"/>
            <w:noProof/>
            <w:lang w:val="en-GB"/>
          </w:rPr>
          <w:t>4</w:t>
        </w:r>
        <w:r w:rsidR="00343DCF" w:rsidRPr="008946B0">
          <w:rPr>
            <w:rFonts w:asciiTheme="minorHAnsi" w:eastAsiaTheme="minorEastAsia" w:hAnsiTheme="minorHAnsi" w:cstheme="minorBidi"/>
            <w:b w:val="0"/>
            <w:caps w:val="0"/>
            <w:noProof/>
            <w:sz w:val="22"/>
            <w:szCs w:val="22"/>
            <w:lang w:val="en-GB" w:eastAsia="fr-FR"/>
          </w:rPr>
          <w:tab/>
        </w:r>
        <w:r w:rsidR="00343DCF" w:rsidRPr="008946B0">
          <w:rPr>
            <w:rStyle w:val="Hyperlink"/>
            <w:noProof/>
            <w:lang w:val="en-GB"/>
          </w:rPr>
          <w:t>Technical feasibility of the 874.4-880 MHz / 919.4-925 MHz frequency band (task 2)</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_Toc42722826 \h </w:instrText>
        </w:r>
        <w:r w:rsidR="00343DCF" w:rsidRPr="008946B0">
          <w:rPr>
            <w:noProof/>
            <w:webHidden/>
            <w:lang w:val="en-GB"/>
          </w:rPr>
        </w:r>
        <w:r w:rsidR="00343DCF" w:rsidRPr="008946B0">
          <w:rPr>
            <w:noProof/>
            <w:webHidden/>
            <w:lang w:val="en-GB"/>
          </w:rPr>
          <w:fldChar w:fldCharType="separate"/>
        </w:r>
        <w:r w:rsidR="00893DA5">
          <w:rPr>
            <w:noProof/>
            <w:webHidden/>
            <w:lang w:val="en-GB"/>
          </w:rPr>
          <w:t>23</w:t>
        </w:r>
        <w:r w:rsidR="00343DCF" w:rsidRPr="008946B0">
          <w:rPr>
            <w:noProof/>
            <w:webHidden/>
            <w:lang w:val="en-GB"/>
          </w:rPr>
          <w:fldChar w:fldCharType="end"/>
        </w:r>
      </w:hyperlink>
    </w:p>
    <w:p w14:paraId="3181099A" w14:textId="5310B4DB" w:rsidR="00343DCF" w:rsidRPr="008946B0" w:rsidRDefault="003D5261" w:rsidP="002C16F1">
      <w:pPr>
        <w:pStyle w:val="TOC2"/>
        <w:spacing w:after="0"/>
        <w:rPr>
          <w:rFonts w:asciiTheme="minorHAnsi" w:eastAsiaTheme="minorEastAsia" w:hAnsiTheme="minorHAnsi" w:cstheme="minorBidi"/>
          <w:noProof/>
          <w:sz w:val="22"/>
          <w:szCs w:val="22"/>
          <w:lang w:val="en-GB" w:eastAsia="fr-FR"/>
        </w:rPr>
      </w:pPr>
      <w:hyperlink w:anchor="_Toc42722827" w:history="1">
        <w:r w:rsidR="00343DCF" w:rsidRPr="008946B0">
          <w:rPr>
            <w:rStyle w:val="Hyperlink"/>
            <w:noProof/>
            <w:lang w:val="en-GB"/>
          </w:rPr>
          <w:t>4.1</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noProof/>
            <w:lang w:val="en-GB"/>
          </w:rPr>
          <w:t>Coexistence between GSM-R and its successor</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_Toc42722827 \h </w:instrText>
        </w:r>
        <w:r w:rsidR="00343DCF" w:rsidRPr="008946B0">
          <w:rPr>
            <w:noProof/>
            <w:webHidden/>
            <w:lang w:val="en-GB"/>
          </w:rPr>
        </w:r>
        <w:r w:rsidR="00343DCF" w:rsidRPr="008946B0">
          <w:rPr>
            <w:noProof/>
            <w:webHidden/>
            <w:lang w:val="en-GB"/>
          </w:rPr>
          <w:fldChar w:fldCharType="separate"/>
        </w:r>
        <w:r w:rsidR="00893DA5">
          <w:rPr>
            <w:noProof/>
            <w:webHidden/>
            <w:lang w:val="en-GB"/>
          </w:rPr>
          <w:t>23</w:t>
        </w:r>
        <w:r w:rsidR="00343DCF" w:rsidRPr="008946B0">
          <w:rPr>
            <w:noProof/>
            <w:webHidden/>
            <w:lang w:val="en-GB"/>
          </w:rPr>
          <w:fldChar w:fldCharType="end"/>
        </w:r>
      </w:hyperlink>
    </w:p>
    <w:p w14:paraId="3E5A2A65" w14:textId="0C3B63FF" w:rsidR="00343DCF" w:rsidRPr="008946B0" w:rsidRDefault="003D5261" w:rsidP="002C16F1">
      <w:pPr>
        <w:pStyle w:val="TOC2"/>
        <w:spacing w:after="0"/>
        <w:rPr>
          <w:rFonts w:asciiTheme="minorHAnsi" w:eastAsiaTheme="minorEastAsia" w:hAnsiTheme="minorHAnsi" w:cstheme="minorBidi"/>
          <w:noProof/>
          <w:sz w:val="22"/>
          <w:szCs w:val="22"/>
          <w:lang w:val="en-GB" w:eastAsia="fr-FR"/>
        </w:rPr>
      </w:pPr>
      <w:hyperlink w:anchor="_Toc42722828" w:history="1">
        <w:r w:rsidR="00343DCF" w:rsidRPr="008946B0">
          <w:rPr>
            <w:rStyle w:val="Hyperlink"/>
            <w:rFonts w:eastAsia="Calibri"/>
            <w:noProof/>
            <w:lang w:val="en-GB"/>
          </w:rPr>
          <w:t>4.2</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Coexistence with ECS</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_Toc42722828 \h </w:instrText>
        </w:r>
        <w:r w:rsidR="00343DCF" w:rsidRPr="008946B0">
          <w:rPr>
            <w:noProof/>
            <w:webHidden/>
            <w:lang w:val="en-GB"/>
          </w:rPr>
        </w:r>
        <w:r w:rsidR="00343DCF" w:rsidRPr="008946B0">
          <w:rPr>
            <w:noProof/>
            <w:webHidden/>
            <w:lang w:val="en-GB"/>
          </w:rPr>
          <w:fldChar w:fldCharType="separate"/>
        </w:r>
        <w:r w:rsidR="00893DA5">
          <w:rPr>
            <w:noProof/>
            <w:webHidden/>
            <w:lang w:val="en-GB"/>
          </w:rPr>
          <w:t>23</w:t>
        </w:r>
        <w:r w:rsidR="00343DCF" w:rsidRPr="008946B0">
          <w:rPr>
            <w:noProof/>
            <w:webHidden/>
            <w:lang w:val="en-GB"/>
          </w:rPr>
          <w:fldChar w:fldCharType="end"/>
        </w:r>
      </w:hyperlink>
    </w:p>
    <w:p w14:paraId="2419292E" w14:textId="3FE8D2C0" w:rsidR="00343DCF" w:rsidRPr="008946B0" w:rsidRDefault="003D5261" w:rsidP="002C16F1">
      <w:pPr>
        <w:pStyle w:val="TOC3"/>
        <w:spacing w:after="0"/>
        <w:rPr>
          <w:rFonts w:asciiTheme="minorHAnsi" w:eastAsiaTheme="minorEastAsia" w:hAnsiTheme="minorHAnsi" w:cstheme="minorBidi"/>
          <w:noProof/>
          <w:sz w:val="22"/>
          <w:szCs w:val="22"/>
          <w:lang w:val="en-GB" w:eastAsia="fr-FR"/>
        </w:rPr>
      </w:pPr>
      <w:hyperlink w:anchor="_Toc42722829" w:history="1">
        <w:r w:rsidR="00343DCF" w:rsidRPr="008946B0">
          <w:rPr>
            <w:rStyle w:val="Hyperlink"/>
            <w:rFonts w:eastAsia="Calibri"/>
            <w:noProof/>
            <w:lang w:val="en-GB"/>
          </w:rPr>
          <w:t>4.2.1</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Impact of RMR BS on ECS BS receiving below 915 MHz</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_Toc42722829 \h </w:instrText>
        </w:r>
        <w:r w:rsidR="00343DCF" w:rsidRPr="008946B0">
          <w:rPr>
            <w:noProof/>
            <w:webHidden/>
            <w:lang w:val="en-GB"/>
          </w:rPr>
        </w:r>
        <w:r w:rsidR="00343DCF" w:rsidRPr="008946B0">
          <w:rPr>
            <w:noProof/>
            <w:webHidden/>
            <w:lang w:val="en-GB"/>
          </w:rPr>
          <w:fldChar w:fldCharType="separate"/>
        </w:r>
        <w:r w:rsidR="00893DA5">
          <w:rPr>
            <w:noProof/>
            <w:webHidden/>
            <w:lang w:val="en-GB"/>
          </w:rPr>
          <w:t>23</w:t>
        </w:r>
        <w:r w:rsidR="00343DCF" w:rsidRPr="008946B0">
          <w:rPr>
            <w:noProof/>
            <w:webHidden/>
            <w:lang w:val="en-GB"/>
          </w:rPr>
          <w:fldChar w:fldCharType="end"/>
        </w:r>
      </w:hyperlink>
    </w:p>
    <w:p w14:paraId="744D7DEF" w14:textId="6B67ABEE" w:rsidR="00343DCF" w:rsidRPr="008946B0" w:rsidRDefault="003D5261" w:rsidP="002C16F1">
      <w:pPr>
        <w:pStyle w:val="TOC4"/>
        <w:spacing w:after="0"/>
        <w:rPr>
          <w:rFonts w:asciiTheme="minorHAnsi" w:eastAsiaTheme="minorEastAsia" w:hAnsiTheme="minorHAnsi" w:cstheme="minorBidi"/>
          <w:i w:val="0"/>
          <w:noProof/>
          <w:sz w:val="22"/>
          <w:szCs w:val="22"/>
          <w:lang w:val="en-GB" w:eastAsia="fr-FR"/>
        </w:rPr>
      </w:pPr>
      <w:hyperlink w:anchor="_Toc42722830" w:history="1">
        <w:r w:rsidR="00343DCF" w:rsidRPr="008946B0">
          <w:rPr>
            <w:rStyle w:val="Hyperlink"/>
            <w:noProof/>
            <w:lang w:val="en-GB"/>
          </w:rPr>
          <w:t>4.2.1.1</w:t>
        </w:r>
        <w:r w:rsidR="00343DCF" w:rsidRPr="008946B0">
          <w:rPr>
            <w:rFonts w:asciiTheme="minorHAnsi" w:eastAsiaTheme="minorEastAsia" w:hAnsiTheme="minorHAnsi" w:cstheme="minorBidi"/>
            <w:i w:val="0"/>
            <w:noProof/>
            <w:sz w:val="22"/>
            <w:szCs w:val="22"/>
            <w:lang w:val="en-GB" w:eastAsia="fr-FR"/>
          </w:rPr>
          <w:tab/>
        </w:r>
        <w:r w:rsidR="00343DCF" w:rsidRPr="008946B0">
          <w:rPr>
            <w:rStyle w:val="Hyperlink"/>
            <w:noProof/>
            <w:lang w:val="en-GB"/>
          </w:rPr>
          <w:t>BEM for RMR BS</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_Toc42722830 \h </w:instrText>
        </w:r>
        <w:r w:rsidR="00343DCF" w:rsidRPr="008946B0">
          <w:rPr>
            <w:noProof/>
            <w:webHidden/>
            <w:lang w:val="en-GB"/>
          </w:rPr>
        </w:r>
        <w:r w:rsidR="00343DCF" w:rsidRPr="008946B0">
          <w:rPr>
            <w:noProof/>
            <w:webHidden/>
            <w:lang w:val="en-GB"/>
          </w:rPr>
          <w:fldChar w:fldCharType="separate"/>
        </w:r>
        <w:r w:rsidR="00893DA5">
          <w:rPr>
            <w:noProof/>
            <w:webHidden/>
            <w:lang w:val="en-GB"/>
          </w:rPr>
          <w:t>23</w:t>
        </w:r>
        <w:r w:rsidR="00343DCF" w:rsidRPr="008946B0">
          <w:rPr>
            <w:noProof/>
            <w:webHidden/>
            <w:lang w:val="en-GB"/>
          </w:rPr>
          <w:fldChar w:fldCharType="end"/>
        </w:r>
      </w:hyperlink>
    </w:p>
    <w:p w14:paraId="5BE52AD1" w14:textId="72DE76CE" w:rsidR="00343DCF" w:rsidRPr="008946B0" w:rsidRDefault="003D5261" w:rsidP="002C16F1">
      <w:pPr>
        <w:pStyle w:val="TOC4"/>
        <w:spacing w:after="0"/>
        <w:rPr>
          <w:rFonts w:asciiTheme="minorHAnsi" w:eastAsiaTheme="minorEastAsia" w:hAnsiTheme="minorHAnsi" w:cstheme="minorBidi"/>
          <w:i w:val="0"/>
          <w:noProof/>
          <w:sz w:val="22"/>
          <w:szCs w:val="22"/>
          <w:lang w:val="en-GB" w:eastAsia="fr-FR"/>
        </w:rPr>
      </w:pPr>
      <w:hyperlink w:anchor="_Toc42722831" w:history="1">
        <w:r w:rsidR="00343DCF" w:rsidRPr="008946B0">
          <w:rPr>
            <w:rStyle w:val="Hyperlink"/>
            <w:noProof/>
            <w:lang w:val="en-GB"/>
          </w:rPr>
          <w:t>4.2.1.2</w:t>
        </w:r>
        <w:r w:rsidR="00343DCF" w:rsidRPr="008946B0">
          <w:rPr>
            <w:rFonts w:asciiTheme="minorHAnsi" w:eastAsiaTheme="minorEastAsia" w:hAnsiTheme="minorHAnsi" w:cstheme="minorBidi"/>
            <w:i w:val="0"/>
            <w:noProof/>
            <w:sz w:val="22"/>
            <w:szCs w:val="22"/>
            <w:lang w:val="en-GB" w:eastAsia="fr-FR"/>
          </w:rPr>
          <w:tab/>
        </w:r>
        <w:r w:rsidR="00343DCF" w:rsidRPr="008946B0">
          <w:rPr>
            <w:rStyle w:val="Hyperlink"/>
            <w:noProof/>
            <w:lang w:val="en-GB"/>
          </w:rPr>
          <w:t>Coordination</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_Toc42722831 \h </w:instrText>
        </w:r>
        <w:r w:rsidR="00343DCF" w:rsidRPr="008946B0">
          <w:rPr>
            <w:noProof/>
            <w:webHidden/>
            <w:lang w:val="en-GB"/>
          </w:rPr>
        </w:r>
        <w:r w:rsidR="00343DCF" w:rsidRPr="008946B0">
          <w:rPr>
            <w:noProof/>
            <w:webHidden/>
            <w:lang w:val="en-GB"/>
          </w:rPr>
          <w:fldChar w:fldCharType="separate"/>
        </w:r>
        <w:r w:rsidR="00893DA5">
          <w:rPr>
            <w:noProof/>
            <w:webHidden/>
            <w:lang w:val="en-GB"/>
          </w:rPr>
          <w:t>24</w:t>
        </w:r>
        <w:r w:rsidR="00343DCF" w:rsidRPr="008946B0">
          <w:rPr>
            <w:noProof/>
            <w:webHidden/>
            <w:lang w:val="en-GB"/>
          </w:rPr>
          <w:fldChar w:fldCharType="end"/>
        </w:r>
      </w:hyperlink>
    </w:p>
    <w:p w14:paraId="01A86A79" w14:textId="27CACA5B" w:rsidR="00343DCF" w:rsidRPr="008946B0" w:rsidRDefault="003D5261" w:rsidP="002C16F1">
      <w:pPr>
        <w:pStyle w:val="TOC3"/>
        <w:spacing w:after="0"/>
        <w:rPr>
          <w:rFonts w:asciiTheme="minorHAnsi" w:eastAsiaTheme="minorEastAsia" w:hAnsiTheme="minorHAnsi" w:cstheme="minorBidi"/>
          <w:noProof/>
          <w:sz w:val="22"/>
          <w:szCs w:val="22"/>
          <w:lang w:val="en-GB" w:eastAsia="fr-FR"/>
        </w:rPr>
      </w:pPr>
      <w:hyperlink w:anchor="_Toc42722833" w:history="1">
        <w:r w:rsidR="00343DCF" w:rsidRPr="008946B0">
          <w:rPr>
            <w:rStyle w:val="Hyperlink"/>
            <w:rFonts w:eastAsia="Calibri"/>
            <w:noProof/>
            <w:lang w:val="en-GB"/>
          </w:rPr>
          <w:t>4.2.2</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Impact of FRMCS cab-radio on ECS BS receiving above 880 MHz</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_Toc42722833 \h </w:instrText>
        </w:r>
        <w:r w:rsidR="00343DCF" w:rsidRPr="008946B0">
          <w:rPr>
            <w:noProof/>
            <w:webHidden/>
            <w:lang w:val="en-GB"/>
          </w:rPr>
        </w:r>
        <w:r w:rsidR="00343DCF" w:rsidRPr="008946B0">
          <w:rPr>
            <w:noProof/>
            <w:webHidden/>
            <w:lang w:val="en-GB"/>
          </w:rPr>
          <w:fldChar w:fldCharType="separate"/>
        </w:r>
        <w:r w:rsidR="00893DA5">
          <w:rPr>
            <w:noProof/>
            <w:webHidden/>
            <w:lang w:val="en-GB"/>
          </w:rPr>
          <w:t>25</w:t>
        </w:r>
        <w:r w:rsidR="00343DCF" w:rsidRPr="008946B0">
          <w:rPr>
            <w:noProof/>
            <w:webHidden/>
            <w:lang w:val="en-GB"/>
          </w:rPr>
          <w:fldChar w:fldCharType="end"/>
        </w:r>
      </w:hyperlink>
    </w:p>
    <w:p w14:paraId="35094F91" w14:textId="43E59563" w:rsidR="00343DCF" w:rsidRPr="008946B0" w:rsidRDefault="003D5261" w:rsidP="002C16F1">
      <w:pPr>
        <w:pStyle w:val="TOC3"/>
        <w:spacing w:after="0"/>
        <w:rPr>
          <w:rFonts w:asciiTheme="minorHAnsi" w:eastAsiaTheme="minorEastAsia" w:hAnsiTheme="minorHAnsi" w:cstheme="minorBidi"/>
          <w:noProof/>
          <w:sz w:val="22"/>
          <w:szCs w:val="22"/>
          <w:lang w:val="en-GB" w:eastAsia="fr-FR"/>
        </w:rPr>
      </w:pPr>
      <w:hyperlink w:anchor="_Toc42722837" w:history="1">
        <w:r w:rsidR="00343DCF" w:rsidRPr="008946B0">
          <w:rPr>
            <w:rStyle w:val="Hyperlink"/>
            <w:rFonts w:eastAsia="Calibri"/>
            <w:noProof/>
            <w:lang w:val="en-GB"/>
          </w:rPr>
          <w:t>4.2.3</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Impact of ECS BS above 925 MHz on FRMCS cab-radio</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_Toc42722837 \h </w:instrText>
        </w:r>
        <w:r w:rsidR="00343DCF" w:rsidRPr="008946B0">
          <w:rPr>
            <w:noProof/>
            <w:webHidden/>
            <w:lang w:val="en-GB"/>
          </w:rPr>
        </w:r>
        <w:r w:rsidR="00343DCF" w:rsidRPr="008946B0">
          <w:rPr>
            <w:noProof/>
            <w:webHidden/>
            <w:lang w:val="en-GB"/>
          </w:rPr>
          <w:fldChar w:fldCharType="separate"/>
        </w:r>
        <w:r w:rsidR="00893DA5">
          <w:rPr>
            <w:noProof/>
            <w:webHidden/>
            <w:lang w:val="en-GB"/>
          </w:rPr>
          <w:t>25</w:t>
        </w:r>
        <w:r w:rsidR="00343DCF" w:rsidRPr="008946B0">
          <w:rPr>
            <w:noProof/>
            <w:webHidden/>
            <w:lang w:val="en-GB"/>
          </w:rPr>
          <w:fldChar w:fldCharType="end"/>
        </w:r>
      </w:hyperlink>
    </w:p>
    <w:p w14:paraId="413E3C94" w14:textId="3737E741" w:rsidR="00343DCF" w:rsidRPr="008946B0" w:rsidRDefault="003D5261" w:rsidP="002C16F1">
      <w:pPr>
        <w:pStyle w:val="TOC3"/>
        <w:spacing w:after="0"/>
        <w:rPr>
          <w:rFonts w:asciiTheme="minorHAnsi" w:eastAsiaTheme="minorEastAsia" w:hAnsiTheme="minorHAnsi" w:cstheme="minorBidi"/>
          <w:noProof/>
          <w:sz w:val="22"/>
          <w:szCs w:val="22"/>
          <w:lang w:val="en-GB" w:eastAsia="fr-FR"/>
        </w:rPr>
      </w:pPr>
      <w:hyperlink w:anchor="_Toc42722838" w:history="1">
        <w:r w:rsidR="00343DCF" w:rsidRPr="008946B0">
          <w:rPr>
            <w:rStyle w:val="Hyperlink"/>
            <w:rFonts w:eastAsia="Calibri"/>
            <w:noProof/>
            <w:lang w:val="en-GB"/>
          </w:rPr>
          <w:t>4.2.4</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Impact of aerial UE in 880-915 MHz on RMR</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_Toc42722838 \h </w:instrText>
        </w:r>
        <w:r w:rsidR="00343DCF" w:rsidRPr="008946B0">
          <w:rPr>
            <w:noProof/>
            <w:webHidden/>
            <w:lang w:val="en-GB"/>
          </w:rPr>
        </w:r>
        <w:r w:rsidR="00343DCF" w:rsidRPr="008946B0">
          <w:rPr>
            <w:noProof/>
            <w:webHidden/>
            <w:lang w:val="en-GB"/>
          </w:rPr>
          <w:fldChar w:fldCharType="separate"/>
        </w:r>
        <w:r w:rsidR="00893DA5">
          <w:rPr>
            <w:noProof/>
            <w:webHidden/>
            <w:lang w:val="en-GB"/>
          </w:rPr>
          <w:t>26</w:t>
        </w:r>
        <w:r w:rsidR="00343DCF" w:rsidRPr="008946B0">
          <w:rPr>
            <w:noProof/>
            <w:webHidden/>
            <w:lang w:val="en-GB"/>
          </w:rPr>
          <w:fldChar w:fldCharType="end"/>
        </w:r>
      </w:hyperlink>
    </w:p>
    <w:p w14:paraId="0BA6C303" w14:textId="5309E61B" w:rsidR="00343DCF" w:rsidRPr="008946B0" w:rsidRDefault="003D5261" w:rsidP="002C16F1">
      <w:pPr>
        <w:pStyle w:val="TOC2"/>
        <w:spacing w:after="0"/>
        <w:rPr>
          <w:rFonts w:asciiTheme="minorHAnsi" w:eastAsiaTheme="minorEastAsia" w:hAnsiTheme="minorHAnsi" w:cstheme="minorBidi"/>
          <w:noProof/>
          <w:sz w:val="22"/>
          <w:szCs w:val="22"/>
          <w:lang w:val="en-GB" w:eastAsia="fr-FR"/>
        </w:rPr>
      </w:pPr>
      <w:hyperlink w:anchor="_Toc42722839" w:history="1">
        <w:r w:rsidR="00343DCF" w:rsidRPr="008946B0">
          <w:rPr>
            <w:rStyle w:val="Hyperlink"/>
            <w:rFonts w:eastAsia="Calibri"/>
            <w:noProof/>
            <w:lang w:val="en-GB"/>
          </w:rPr>
          <w:t>4.3</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Coexistence with SRD</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_Toc42722839 \h </w:instrText>
        </w:r>
        <w:r w:rsidR="00343DCF" w:rsidRPr="008946B0">
          <w:rPr>
            <w:noProof/>
            <w:webHidden/>
            <w:lang w:val="en-GB"/>
          </w:rPr>
        </w:r>
        <w:r w:rsidR="00343DCF" w:rsidRPr="008946B0">
          <w:rPr>
            <w:noProof/>
            <w:webHidden/>
            <w:lang w:val="en-GB"/>
          </w:rPr>
          <w:fldChar w:fldCharType="separate"/>
        </w:r>
        <w:r w:rsidR="00893DA5">
          <w:rPr>
            <w:noProof/>
            <w:webHidden/>
            <w:lang w:val="en-GB"/>
          </w:rPr>
          <w:t>26</w:t>
        </w:r>
        <w:r w:rsidR="00343DCF" w:rsidRPr="008946B0">
          <w:rPr>
            <w:noProof/>
            <w:webHidden/>
            <w:lang w:val="en-GB"/>
          </w:rPr>
          <w:fldChar w:fldCharType="end"/>
        </w:r>
      </w:hyperlink>
    </w:p>
    <w:p w14:paraId="1793FF97" w14:textId="014EFBF4" w:rsidR="00343DCF" w:rsidRPr="008946B0" w:rsidRDefault="003D5261" w:rsidP="002C16F1">
      <w:pPr>
        <w:pStyle w:val="TOC3"/>
        <w:spacing w:after="0"/>
        <w:rPr>
          <w:rFonts w:asciiTheme="minorHAnsi" w:eastAsiaTheme="minorEastAsia" w:hAnsiTheme="minorHAnsi" w:cstheme="minorBidi"/>
          <w:noProof/>
          <w:sz w:val="22"/>
          <w:szCs w:val="22"/>
          <w:lang w:val="en-GB" w:eastAsia="fr-FR"/>
        </w:rPr>
      </w:pPr>
      <w:hyperlink w:anchor="_Toc42722840" w:history="1">
        <w:r w:rsidR="00343DCF" w:rsidRPr="008946B0">
          <w:rPr>
            <w:rStyle w:val="Hyperlink"/>
            <w:rFonts w:eastAsia="Calibri"/>
            <w:noProof/>
            <w:lang w:val="en-GB"/>
          </w:rPr>
          <w:t>4.3.1</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Frequency use</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_Toc42722840 \h </w:instrText>
        </w:r>
        <w:r w:rsidR="00343DCF" w:rsidRPr="008946B0">
          <w:rPr>
            <w:noProof/>
            <w:webHidden/>
            <w:lang w:val="en-GB"/>
          </w:rPr>
        </w:r>
        <w:r w:rsidR="00343DCF" w:rsidRPr="008946B0">
          <w:rPr>
            <w:noProof/>
            <w:webHidden/>
            <w:lang w:val="en-GB"/>
          </w:rPr>
          <w:fldChar w:fldCharType="separate"/>
        </w:r>
        <w:r w:rsidR="00893DA5">
          <w:rPr>
            <w:noProof/>
            <w:webHidden/>
            <w:lang w:val="en-GB"/>
          </w:rPr>
          <w:t>26</w:t>
        </w:r>
        <w:r w:rsidR="00343DCF" w:rsidRPr="008946B0">
          <w:rPr>
            <w:noProof/>
            <w:webHidden/>
            <w:lang w:val="en-GB"/>
          </w:rPr>
          <w:fldChar w:fldCharType="end"/>
        </w:r>
      </w:hyperlink>
    </w:p>
    <w:p w14:paraId="23C111DC" w14:textId="71079E85" w:rsidR="00343DCF" w:rsidRPr="008946B0" w:rsidRDefault="003D5261" w:rsidP="002C16F1">
      <w:pPr>
        <w:pStyle w:val="TOC3"/>
        <w:spacing w:after="0"/>
        <w:rPr>
          <w:rFonts w:asciiTheme="minorHAnsi" w:eastAsiaTheme="minorEastAsia" w:hAnsiTheme="minorHAnsi" w:cstheme="minorBidi"/>
          <w:noProof/>
          <w:sz w:val="22"/>
          <w:szCs w:val="22"/>
          <w:lang w:val="en-GB" w:eastAsia="fr-FR"/>
        </w:rPr>
      </w:pPr>
      <w:hyperlink w:anchor="_Toc42722841" w:history="1">
        <w:r w:rsidR="00343DCF" w:rsidRPr="008946B0">
          <w:rPr>
            <w:rStyle w:val="Hyperlink"/>
            <w:rFonts w:eastAsia="Calibri"/>
            <w:noProof/>
            <w:lang w:val="en-GB"/>
          </w:rPr>
          <w:t>4.3.2</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Coexistence of adjacent frequency 500mW networked SRD with RMR BS above 874.4 MHz</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_Toc42722841 \h </w:instrText>
        </w:r>
        <w:r w:rsidR="00343DCF" w:rsidRPr="008946B0">
          <w:rPr>
            <w:noProof/>
            <w:webHidden/>
            <w:lang w:val="en-GB"/>
          </w:rPr>
        </w:r>
        <w:r w:rsidR="00343DCF" w:rsidRPr="008946B0">
          <w:rPr>
            <w:noProof/>
            <w:webHidden/>
            <w:lang w:val="en-GB"/>
          </w:rPr>
          <w:fldChar w:fldCharType="separate"/>
        </w:r>
        <w:r w:rsidR="00893DA5">
          <w:rPr>
            <w:noProof/>
            <w:webHidden/>
            <w:lang w:val="en-GB"/>
          </w:rPr>
          <w:t>27</w:t>
        </w:r>
        <w:r w:rsidR="00343DCF" w:rsidRPr="008946B0">
          <w:rPr>
            <w:noProof/>
            <w:webHidden/>
            <w:lang w:val="en-GB"/>
          </w:rPr>
          <w:fldChar w:fldCharType="end"/>
        </w:r>
      </w:hyperlink>
    </w:p>
    <w:p w14:paraId="40D6DBC5" w14:textId="51C346F4" w:rsidR="00343DCF" w:rsidRPr="008946B0" w:rsidRDefault="003D5261" w:rsidP="002C16F1">
      <w:pPr>
        <w:pStyle w:val="TOC3"/>
        <w:spacing w:after="0"/>
        <w:rPr>
          <w:rFonts w:asciiTheme="minorHAnsi" w:eastAsiaTheme="minorEastAsia" w:hAnsiTheme="minorHAnsi" w:cstheme="minorBidi"/>
          <w:noProof/>
          <w:sz w:val="22"/>
          <w:szCs w:val="22"/>
          <w:lang w:val="en-GB" w:eastAsia="fr-FR"/>
        </w:rPr>
      </w:pPr>
      <w:hyperlink w:anchor="_Toc42722842" w:history="1">
        <w:r w:rsidR="00343DCF" w:rsidRPr="008946B0">
          <w:rPr>
            <w:rStyle w:val="Hyperlink"/>
            <w:rFonts w:eastAsia="Calibri"/>
            <w:noProof/>
            <w:lang w:val="en-GB"/>
          </w:rPr>
          <w:t>4.3.3</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Coexistence of adjacent frequency SRD with RMR cab-radio above 919.4 MHz</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_Toc42722842 \h </w:instrText>
        </w:r>
        <w:r w:rsidR="00343DCF" w:rsidRPr="008946B0">
          <w:rPr>
            <w:noProof/>
            <w:webHidden/>
            <w:lang w:val="en-GB"/>
          </w:rPr>
        </w:r>
        <w:r w:rsidR="00343DCF" w:rsidRPr="008946B0">
          <w:rPr>
            <w:noProof/>
            <w:webHidden/>
            <w:lang w:val="en-GB"/>
          </w:rPr>
          <w:fldChar w:fldCharType="separate"/>
        </w:r>
        <w:r w:rsidR="00893DA5">
          <w:rPr>
            <w:noProof/>
            <w:webHidden/>
            <w:lang w:val="en-GB"/>
          </w:rPr>
          <w:t>27</w:t>
        </w:r>
        <w:r w:rsidR="00343DCF" w:rsidRPr="008946B0">
          <w:rPr>
            <w:noProof/>
            <w:webHidden/>
            <w:lang w:val="en-GB"/>
          </w:rPr>
          <w:fldChar w:fldCharType="end"/>
        </w:r>
      </w:hyperlink>
    </w:p>
    <w:p w14:paraId="0DB9ECE9" w14:textId="0E84F755" w:rsidR="00343DCF" w:rsidRPr="008946B0" w:rsidRDefault="003D5261" w:rsidP="002C16F1">
      <w:pPr>
        <w:pStyle w:val="TOC2"/>
        <w:spacing w:after="0"/>
        <w:rPr>
          <w:rFonts w:asciiTheme="minorHAnsi" w:eastAsiaTheme="minorEastAsia" w:hAnsiTheme="minorHAnsi" w:cstheme="minorBidi"/>
          <w:noProof/>
          <w:sz w:val="22"/>
          <w:szCs w:val="22"/>
          <w:lang w:val="en-GB" w:eastAsia="fr-FR"/>
        </w:rPr>
      </w:pPr>
      <w:hyperlink w:anchor="_Toc42722846" w:history="1">
        <w:r w:rsidR="00343DCF" w:rsidRPr="008946B0">
          <w:rPr>
            <w:rStyle w:val="Hyperlink"/>
            <w:rFonts w:eastAsia="Calibri"/>
            <w:noProof/>
            <w:lang w:val="en-GB"/>
          </w:rPr>
          <w:t>4.4</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Use of NB-IoT with FRMCS</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_Toc42722846 \h </w:instrText>
        </w:r>
        <w:r w:rsidR="00343DCF" w:rsidRPr="008946B0">
          <w:rPr>
            <w:noProof/>
            <w:webHidden/>
            <w:lang w:val="en-GB"/>
          </w:rPr>
        </w:r>
        <w:r w:rsidR="00343DCF" w:rsidRPr="008946B0">
          <w:rPr>
            <w:noProof/>
            <w:webHidden/>
            <w:lang w:val="en-GB"/>
          </w:rPr>
          <w:fldChar w:fldCharType="separate"/>
        </w:r>
        <w:r w:rsidR="00893DA5">
          <w:rPr>
            <w:noProof/>
            <w:webHidden/>
            <w:lang w:val="en-GB"/>
          </w:rPr>
          <w:t>27</w:t>
        </w:r>
        <w:r w:rsidR="00343DCF" w:rsidRPr="008946B0">
          <w:rPr>
            <w:noProof/>
            <w:webHidden/>
            <w:lang w:val="en-GB"/>
          </w:rPr>
          <w:fldChar w:fldCharType="end"/>
        </w:r>
      </w:hyperlink>
    </w:p>
    <w:p w14:paraId="30C2600A" w14:textId="61C90FA6" w:rsidR="00343DCF" w:rsidRPr="008946B0" w:rsidRDefault="003D5261" w:rsidP="002C16F1">
      <w:pPr>
        <w:pStyle w:val="TOC2"/>
        <w:spacing w:after="0"/>
        <w:rPr>
          <w:rFonts w:asciiTheme="minorHAnsi" w:eastAsiaTheme="minorEastAsia" w:hAnsiTheme="minorHAnsi" w:cstheme="minorBidi"/>
          <w:noProof/>
          <w:sz w:val="22"/>
          <w:szCs w:val="22"/>
          <w:lang w:val="en-GB" w:eastAsia="fr-FR"/>
        </w:rPr>
      </w:pPr>
      <w:hyperlink w:anchor="_Toc42722847" w:history="1">
        <w:r w:rsidR="00343DCF" w:rsidRPr="008946B0">
          <w:rPr>
            <w:rStyle w:val="Hyperlink"/>
            <w:rFonts w:eastAsia="Calibri"/>
            <w:noProof/>
            <w:lang w:val="en-GB"/>
          </w:rPr>
          <w:t>4.5</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Conclusion on feasibility</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_Toc42722847 \h </w:instrText>
        </w:r>
        <w:r w:rsidR="00343DCF" w:rsidRPr="008946B0">
          <w:rPr>
            <w:noProof/>
            <w:webHidden/>
            <w:lang w:val="en-GB"/>
          </w:rPr>
        </w:r>
        <w:r w:rsidR="00343DCF" w:rsidRPr="008946B0">
          <w:rPr>
            <w:noProof/>
            <w:webHidden/>
            <w:lang w:val="en-GB"/>
          </w:rPr>
          <w:fldChar w:fldCharType="separate"/>
        </w:r>
        <w:r w:rsidR="00893DA5">
          <w:rPr>
            <w:noProof/>
            <w:webHidden/>
            <w:lang w:val="en-GB"/>
          </w:rPr>
          <w:t>28</w:t>
        </w:r>
        <w:r w:rsidR="00343DCF" w:rsidRPr="008946B0">
          <w:rPr>
            <w:noProof/>
            <w:webHidden/>
            <w:lang w:val="en-GB"/>
          </w:rPr>
          <w:fldChar w:fldCharType="end"/>
        </w:r>
      </w:hyperlink>
    </w:p>
    <w:p w14:paraId="2BEB3EB8" w14:textId="6F2E6984" w:rsidR="00343DCF" w:rsidRPr="008946B0" w:rsidRDefault="003D5261" w:rsidP="002C16F1">
      <w:pPr>
        <w:pStyle w:val="TOC1"/>
        <w:spacing w:after="0"/>
        <w:rPr>
          <w:rFonts w:asciiTheme="minorHAnsi" w:eastAsiaTheme="minorEastAsia" w:hAnsiTheme="minorHAnsi" w:cstheme="minorBidi"/>
          <w:b w:val="0"/>
          <w:caps w:val="0"/>
          <w:noProof/>
          <w:sz w:val="22"/>
          <w:szCs w:val="22"/>
          <w:lang w:val="en-GB" w:eastAsia="fr-FR"/>
        </w:rPr>
      </w:pPr>
      <w:hyperlink w:anchor="_Toc42722848" w:history="1">
        <w:r w:rsidR="00343DCF" w:rsidRPr="008946B0">
          <w:rPr>
            <w:rStyle w:val="Hyperlink"/>
            <w:rFonts w:eastAsia="Calibri"/>
            <w:noProof/>
            <w:lang w:val="en-GB"/>
          </w:rPr>
          <w:t>5</w:t>
        </w:r>
        <w:r w:rsidR="00343DCF" w:rsidRPr="008946B0">
          <w:rPr>
            <w:rFonts w:asciiTheme="minorHAnsi" w:eastAsiaTheme="minorEastAsia" w:hAnsiTheme="minorHAnsi" w:cstheme="minorBidi"/>
            <w:b w:val="0"/>
            <w:caps w:val="0"/>
            <w:noProof/>
            <w:sz w:val="22"/>
            <w:szCs w:val="22"/>
            <w:lang w:val="en-GB" w:eastAsia="fr-FR"/>
          </w:rPr>
          <w:tab/>
        </w:r>
        <w:r w:rsidR="00343DCF" w:rsidRPr="008946B0">
          <w:rPr>
            <w:rStyle w:val="Hyperlink"/>
            <w:rFonts w:eastAsia="Calibri"/>
            <w:noProof/>
            <w:lang w:val="en-GB"/>
          </w:rPr>
          <w:t>Technical feasibility of the 1900-1920 MHz band (task 3)</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_Toc42722848 \h </w:instrText>
        </w:r>
        <w:r w:rsidR="00343DCF" w:rsidRPr="008946B0">
          <w:rPr>
            <w:noProof/>
            <w:webHidden/>
            <w:lang w:val="en-GB"/>
          </w:rPr>
        </w:r>
        <w:r w:rsidR="00343DCF" w:rsidRPr="008946B0">
          <w:rPr>
            <w:noProof/>
            <w:webHidden/>
            <w:lang w:val="en-GB"/>
          </w:rPr>
          <w:fldChar w:fldCharType="separate"/>
        </w:r>
        <w:r w:rsidR="00893DA5">
          <w:rPr>
            <w:noProof/>
            <w:webHidden/>
            <w:lang w:val="en-GB"/>
          </w:rPr>
          <w:t>29</w:t>
        </w:r>
        <w:r w:rsidR="00343DCF" w:rsidRPr="008946B0">
          <w:rPr>
            <w:noProof/>
            <w:webHidden/>
            <w:lang w:val="en-GB"/>
          </w:rPr>
          <w:fldChar w:fldCharType="end"/>
        </w:r>
      </w:hyperlink>
    </w:p>
    <w:p w14:paraId="7AD1DF93" w14:textId="7907F5F5" w:rsidR="00343DCF" w:rsidRPr="008946B0" w:rsidRDefault="003D5261" w:rsidP="002C16F1">
      <w:pPr>
        <w:pStyle w:val="TOC2"/>
        <w:spacing w:after="0"/>
        <w:rPr>
          <w:rFonts w:asciiTheme="minorHAnsi" w:eastAsiaTheme="minorEastAsia" w:hAnsiTheme="minorHAnsi" w:cstheme="minorBidi"/>
          <w:noProof/>
          <w:sz w:val="22"/>
          <w:szCs w:val="22"/>
          <w:lang w:val="en-GB" w:eastAsia="fr-FR"/>
        </w:rPr>
      </w:pPr>
      <w:hyperlink w:anchor="_Toc42722849" w:history="1">
        <w:r w:rsidR="00343DCF" w:rsidRPr="008946B0">
          <w:rPr>
            <w:rStyle w:val="Hyperlink"/>
            <w:rFonts w:eastAsia="Calibri"/>
            <w:noProof/>
            <w:lang w:val="en-GB"/>
          </w:rPr>
          <w:t>5.1</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Coexistence with ECS</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_Toc42722849 \h </w:instrText>
        </w:r>
        <w:r w:rsidR="00343DCF" w:rsidRPr="008946B0">
          <w:rPr>
            <w:noProof/>
            <w:webHidden/>
            <w:lang w:val="en-GB"/>
          </w:rPr>
        </w:r>
        <w:r w:rsidR="00343DCF" w:rsidRPr="008946B0">
          <w:rPr>
            <w:noProof/>
            <w:webHidden/>
            <w:lang w:val="en-GB"/>
          </w:rPr>
          <w:fldChar w:fldCharType="separate"/>
        </w:r>
        <w:r w:rsidR="00893DA5">
          <w:rPr>
            <w:noProof/>
            <w:webHidden/>
            <w:lang w:val="en-GB"/>
          </w:rPr>
          <w:t>29</w:t>
        </w:r>
        <w:r w:rsidR="00343DCF" w:rsidRPr="008946B0">
          <w:rPr>
            <w:noProof/>
            <w:webHidden/>
            <w:lang w:val="en-GB"/>
          </w:rPr>
          <w:fldChar w:fldCharType="end"/>
        </w:r>
      </w:hyperlink>
    </w:p>
    <w:p w14:paraId="607AF639" w14:textId="73CB1A64" w:rsidR="00343DCF" w:rsidRPr="008946B0" w:rsidRDefault="003D5261" w:rsidP="002C16F1">
      <w:pPr>
        <w:pStyle w:val="TOC3"/>
        <w:spacing w:after="0"/>
        <w:rPr>
          <w:rFonts w:asciiTheme="minorHAnsi" w:eastAsiaTheme="minorEastAsia" w:hAnsiTheme="minorHAnsi" w:cstheme="minorBidi"/>
          <w:noProof/>
          <w:sz w:val="22"/>
          <w:szCs w:val="22"/>
          <w:lang w:val="en-GB" w:eastAsia="fr-FR"/>
        </w:rPr>
      </w:pPr>
      <w:hyperlink w:anchor="_Toc42722850" w:history="1">
        <w:r w:rsidR="00343DCF" w:rsidRPr="008946B0">
          <w:rPr>
            <w:rStyle w:val="Hyperlink"/>
            <w:rFonts w:eastAsia="Calibri"/>
            <w:noProof/>
            <w:lang w:val="en-GB"/>
          </w:rPr>
          <w:t>5.1.1</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Impact of FRMCS on ECS BS receiving above 1920 MHz</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_Toc42722850 \h </w:instrText>
        </w:r>
        <w:r w:rsidR="00343DCF" w:rsidRPr="008946B0">
          <w:rPr>
            <w:noProof/>
            <w:webHidden/>
            <w:lang w:val="en-GB"/>
          </w:rPr>
        </w:r>
        <w:r w:rsidR="00343DCF" w:rsidRPr="008946B0">
          <w:rPr>
            <w:noProof/>
            <w:webHidden/>
            <w:lang w:val="en-GB"/>
          </w:rPr>
          <w:fldChar w:fldCharType="separate"/>
        </w:r>
        <w:r w:rsidR="00893DA5">
          <w:rPr>
            <w:noProof/>
            <w:webHidden/>
            <w:lang w:val="en-GB"/>
          </w:rPr>
          <w:t>29</w:t>
        </w:r>
        <w:r w:rsidR="00343DCF" w:rsidRPr="008946B0">
          <w:rPr>
            <w:noProof/>
            <w:webHidden/>
            <w:lang w:val="en-GB"/>
          </w:rPr>
          <w:fldChar w:fldCharType="end"/>
        </w:r>
      </w:hyperlink>
    </w:p>
    <w:p w14:paraId="6844D13B" w14:textId="512F8FA3" w:rsidR="00343DCF" w:rsidRPr="008946B0" w:rsidRDefault="003D5261" w:rsidP="002C16F1">
      <w:pPr>
        <w:pStyle w:val="TOC4"/>
        <w:spacing w:after="0"/>
        <w:rPr>
          <w:rFonts w:asciiTheme="minorHAnsi" w:eastAsiaTheme="minorEastAsia" w:hAnsiTheme="minorHAnsi" w:cstheme="minorBidi"/>
          <w:i w:val="0"/>
          <w:noProof/>
          <w:sz w:val="22"/>
          <w:szCs w:val="22"/>
          <w:lang w:val="en-GB" w:eastAsia="fr-FR"/>
        </w:rPr>
      </w:pPr>
      <w:hyperlink w:anchor="_Toc42722851" w:history="1">
        <w:r w:rsidR="00343DCF" w:rsidRPr="008946B0">
          <w:rPr>
            <w:rStyle w:val="Hyperlink"/>
            <w:rFonts w:eastAsia="Calibri" w:cs="Arial"/>
            <w:bCs/>
            <w:noProof/>
            <w:lang w:val="en-GB"/>
          </w:rPr>
          <w:t>5.1.1.1</w:t>
        </w:r>
        <w:r w:rsidR="00343DCF" w:rsidRPr="008946B0">
          <w:rPr>
            <w:rFonts w:asciiTheme="minorHAnsi" w:eastAsiaTheme="minorEastAsia" w:hAnsiTheme="minorHAnsi" w:cstheme="minorBidi"/>
            <w:i w:val="0"/>
            <w:noProof/>
            <w:sz w:val="22"/>
            <w:szCs w:val="22"/>
            <w:lang w:val="en-GB" w:eastAsia="fr-FR"/>
          </w:rPr>
          <w:tab/>
        </w:r>
        <w:r w:rsidR="00343DCF" w:rsidRPr="008946B0">
          <w:rPr>
            <w:rStyle w:val="Hyperlink"/>
            <w:rFonts w:eastAsia="Calibri" w:cs="Arial"/>
            <w:bCs/>
            <w:noProof/>
            <w:lang w:val="en-GB"/>
          </w:rPr>
          <w:t>FRMCS BS</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_Toc42722851 \h </w:instrText>
        </w:r>
        <w:r w:rsidR="00343DCF" w:rsidRPr="008946B0">
          <w:rPr>
            <w:noProof/>
            <w:webHidden/>
            <w:lang w:val="en-GB"/>
          </w:rPr>
        </w:r>
        <w:r w:rsidR="00343DCF" w:rsidRPr="008946B0">
          <w:rPr>
            <w:noProof/>
            <w:webHidden/>
            <w:lang w:val="en-GB"/>
          </w:rPr>
          <w:fldChar w:fldCharType="separate"/>
        </w:r>
        <w:r w:rsidR="00893DA5">
          <w:rPr>
            <w:noProof/>
            <w:webHidden/>
            <w:lang w:val="en-GB"/>
          </w:rPr>
          <w:t>29</w:t>
        </w:r>
        <w:r w:rsidR="00343DCF" w:rsidRPr="008946B0">
          <w:rPr>
            <w:noProof/>
            <w:webHidden/>
            <w:lang w:val="en-GB"/>
          </w:rPr>
          <w:fldChar w:fldCharType="end"/>
        </w:r>
      </w:hyperlink>
    </w:p>
    <w:p w14:paraId="331BAD2F" w14:textId="501D7578" w:rsidR="00343DCF" w:rsidRPr="008946B0" w:rsidRDefault="003D5261" w:rsidP="002C16F1">
      <w:pPr>
        <w:pStyle w:val="TOC4"/>
        <w:spacing w:after="0"/>
        <w:rPr>
          <w:rFonts w:asciiTheme="minorHAnsi" w:eastAsiaTheme="minorEastAsia" w:hAnsiTheme="minorHAnsi" w:cstheme="minorBidi"/>
          <w:i w:val="0"/>
          <w:noProof/>
          <w:sz w:val="22"/>
          <w:szCs w:val="22"/>
          <w:lang w:val="en-GB" w:eastAsia="fr-FR"/>
        </w:rPr>
      </w:pPr>
      <w:hyperlink w:anchor="_Toc42722852" w:history="1">
        <w:r w:rsidR="00343DCF" w:rsidRPr="008946B0">
          <w:rPr>
            <w:rStyle w:val="Hyperlink"/>
            <w:rFonts w:eastAsia="Calibri" w:cs="Arial"/>
            <w:bCs/>
            <w:noProof/>
            <w:lang w:val="en-GB"/>
          </w:rPr>
          <w:t>5.1.1.2</w:t>
        </w:r>
        <w:r w:rsidR="00343DCF" w:rsidRPr="008946B0">
          <w:rPr>
            <w:rFonts w:asciiTheme="minorHAnsi" w:eastAsiaTheme="minorEastAsia" w:hAnsiTheme="minorHAnsi" w:cstheme="minorBidi"/>
            <w:i w:val="0"/>
            <w:noProof/>
            <w:sz w:val="22"/>
            <w:szCs w:val="22"/>
            <w:lang w:val="en-GB" w:eastAsia="fr-FR"/>
          </w:rPr>
          <w:tab/>
        </w:r>
        <w:r w:rsidR="00343DCF" w:rsidRPr="008946B0">
          <w:rPr>
            <w:rStyle w:val="Hyperlink"/>
            <w:rFonts w:eastAsia="Calibri" w:cs="Arial"/>
            <w:bCs/>
            <w:noProof/>
            <w:lang w:val="en-GB"/>
          </w:rPr>
          <w:t>FRMCS cab-radio</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_Toc42722852 \h </w:instrText>
        </w:r>
        <w:r w:rsidR="00343DCF" w:rsidRPr="008946B0">
          <w:rPr>
            <w:noProof/>
            <w:webHidden/>
            <w:lang w:val="en-GB"/>
          </w:rPr>
        </w:r>
        <w:r w:rsidR="00343DCF" w:rsidRPr="008946B0">
          <w:rPr>
            <w:noProof/>
            <w:webHidden/>
            <w:lang w:val="en-GB"/>
          </w:rPr>
          <w:fldChar w:fldCharType="separate"/>
        </w:r>
        <w:r w:rsidR="00893DA5">
          <w:rPr>
            <w:noProof/>
            <w:webHidden/>
            <w:lang w:val="en-GB"/>
          </w:rPr>
          <w:t>29</w:t>
        </w:r>
        <w:r w:rsidR="00343DCF" w:rsidRPr="008946B0">
          <w:rPr>
            <w:noProof/>
            <w:webHidden/>
            <w:lang w:val="en-GB"/>
          </w:rPr>
          <w:fldChar w:fldCharType="end"/>
        </w:r>
      </w:hyperlink>
    </w:p>
    <w:p w14:paraId="47CFBB5E" w14:textId="3472A3F5" w:rsidR="00343DCF" w:rsidRPr="008946B0" w:rsidRDefault="003D5261" w:rsidP="002C16F1">
      <w:pPr>
        <w:pStyle w:val="TOC3"/>
        <w:spacing w:after="0"/>
        <w:rPr>
          <w:rFonts w:asciiTheme="minorHAnsi" w:eastAsiaTheme="minorEastAsia" w:hAnsiTheme="minorHAnsi" w:cstheme="minorBidi"/>
          <w:noProof/>
          <w:sz w:val="22"/>
          <w:szCs w:val="22"/>
          <w:lang w:val="en-GB" w:eastAsia="fr-FR"/>
        </w:rPr>
      </w:pPr>
      <w:hyperlink w:anchor="_Toc42722858" w:history="1">
        <w:r w:rsidR="00343DCF" w:rsidRPr="008946B0">
          <w:rPr>
            <w:rStyle w:val="Hyperlink"/>
            <w:rFonts w:eastAsia="Calibri"/>
            <w:noProof/>
            <w:lang w:val="en-GB"/>
          </w:rPr>
          <w:t>5.1.2</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Impact of ECS BS below 1880 MHz on FRMCS</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_Toc42722858 \h </w:instrText>
        </w:r>
        <w:r w:rsidR="00343DCF" w:rsidRPr="008946B0">
          <w:rPr>
            <w:noProof/>
            <w:webHidden/>
            <w:lang w:val="en-GB"/>
          </w:rPr>
        </w:r>
        <w:r w:rsidR="00343DCF" w:rsidRPr="008946B0">
          <w:rPr>
            <w:noProof/>
            <w:webHidden/>
            <w:lang w:val="en-GB"/>
          </w:rPr>
          <w:fldChar w:fldCharType="separate"/>
        </w:r>
        <w:r w:rsidR="00893DA5">
          <w:rPr>
            <w:noProof/>
            <w:webHidden/>
            <w:lang w:val="en-GB"/>
          </w:rPr>
          <w:t>29</w:t>
        </w:r>
        <w:r w:rsidR="00343DCF" w:rsidRPr="008946B0">
          <w:rPr>
            <w:noProof/>
            <w:webHidden/>
            <w:lang w:val="en-GB"/>
          </w:rPr>
          <w:fldChar w:fldCharType="end"/>
        </w:r>
      </w:hyperlink>
    </w:p>
    <w:p w14:paraId="0753D015" w14:textId="2F6245B8" w:rsidR="00343DCF" w:rsidRPr="008946B0" w:rsidRDefault="003D5261" w:rsidP="002C16F1">
      <w:pPr>
        <w:pStyle w:val="TOC3"/>
        <w:spacing w:after="0"/>
        <w:rPr>
          <w:rFonts w:asciiTheme="minorHAnsi" w:eastAsiaTheme="minorEastAsia" w:hAnsiTheme="minorHAnsi" w:cstheme="minorBidi"/>
          <w:noProof/>
          <w:sz w:val="22"/>
          <w:szCs w:val="22"/>
          <w:lang w:val="en-GB" w:eastAsia="fr-FR"/>
        </w:rPr>
      </w:pPr>
      <w:hyperlink w:anchor="_Toc42722859" w:history="1">
        <w:r w:rsidR="00343DCF" w:rsidRPr="008946B0">
          <w:rPr>
            <w:rStyle w:val="Hyperlink"/>
            <w:rFonts w:eastAsia="Calibri"/>
            <w:noProof/>
            <w:lang w:val="en-GB"/>
          </w:rPr>
          <w:t>5.1.3</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Impact of aerial UE above 1920 MHz on FRMCS</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_Toc42722859 \h </w:instrText>
        </w:r>
        <w:r w:rsidR="00343DCF" w:rsidRPr="008946B0">
          <w:rPr>
            <w:noProof/>
            <w:webHidden/>
            <w:lang w:val="en-GB"/>
          </w:rPr>
        </w:r>
        <w:r w:rsidR="00343DCF" w:rsidRPr="008946B0">
          <w:rPr>
            <w:noProof/>
            <w:webHidden/>
            <w:lang w:val="en-GB"/>
          </w:rPr>
          <w:fldChar w:fldCharType="separate"/>
        </w:r>
        <w:r w:rsidR="00893DA5">
          <w:rPr>
            <w:noProof/>
            <w:webHidden/>
            <w:lang w:val="en-GB"/>
          </w:rPr>
          <w:t>30</w:t>
        </w:r>
        <w:r w:rsidR="00343DCF" w:rsidRPr="008946B0">
          <w:rPr>
            <w:noProof/>
            <w:webHidden/>
            <w:lang w:val="en-GB"/>
          </w:rPr>
          <w:fldChar w:fldCharType="end"/>
        </w:r>
      </w:hyperlink>
    </w:p>
    <w:p w14:paraId="35625B52" w14:textId="5DFF0C49" w:rsidR="00343DCF" w:rsidRPr="008946B0" w:rsidRDefault="003D5261" w:rsidP="002C16F1">
      <w:pPr>
        <w:pStyle w:val="TOC2"/>
        <w:spacing w:after="0"/>
        <w:rPr>
          <w:rFonts w:asciiTheme="minorHAnsi" w:eastAsiaTheme="minorEastAsia" w:hAnsiTheme="minorHAnsi" w:cstheme="minorBidi"/>
          <w:noProof/>
          <w:sz w:val="22"/>
          <w:szCs w:val="22"/>
          <w:lang w:val="en-GB" w:eastAsia="fr-FR"/>
        </w:rPr>
      </w:pPr>
      <w:hyperlink w:anchor="_Toc42722860" w:history="1">
        <w:r w:rsidR="00343DCF" w:rsidRPr="008946B0">
          <w:rPr>
            <w:rStyle w:val="Hyperlink"/>
            <w:rFonts w:eastAsia="Calibri"/>
            <w:noProof/>
            <w:lang w:val="en-GB"/>
          </w:rPr>
          <w:t>5.2</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Coexistence with DECT below 1900 MHz</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_Toc42722860 \h </w:instrText>
        </w:r>
        <w:r w:rsidR="00343DCF" w:rsidRPr="008946B0">
          <w:rPr>
            <w:noProof/>
            <w:webHidden/>
            <w:lang w:val="en-GB"/>
          </w:rPr>
        </w:r>
        <w:r w:rsidR="00343DCF" w:rsidRPr="008946B0">
          <w:rPr>
            <w:noProof/>
            <w:webHidden/>
            <w:lang w:val="en-GB"/>
          </w:rPr>
          <w:fldChar w:fldCharType="separate"/>
        </w:r>
        <w:r w:rsidR="00893DA5">
          <w:rPr>
            <w:noProof/>
            <w:webHidden/>
            <w:lang w:val="en-GB"/>
          </w:rPr>
          <w:t>30</w:t>
        </w:r>
        <w:r w:rsidR="00343DCF" w:rsidRPr="008946B0">
          <w:rPr>
            <w:noProof/>
            <w:webHidden/>
            <w:lang w:val="en-GB"/>
          </w:rPr>
          <w:fldChar w:fldCharType="end"/>
        </w:r>
      </w:hyperlink>
    </w:p>
    <w:p w14:paraId="19561A47" w14:textId="69BC77A8" w:rsidR="00343DCF" w:rsidRPr="008946B0" w:rsidRDefault="003D5261" w:rsidP="002C16F1">
      <w:pPr>
        <w:pStyle w:val="TOC4"/>
        <w:spacing w:after="0"/>
        <w:rPr>
          <w:rFonts w:asciiTheme="minorHAnsi" w:eastAsiaTheme="minorEastAsia" w:hAnsiTheme="minorHAnsi" w:cstheme="minorBidi"/>
          <w:i w:val="0"/>
          <w:noProof/>
          <w:sz w:val="22"/>
          <w:szCs w:val="22"/>
          <w:lang w:val="en-GB" w:eastAsia="fr-FR"/>
        </w:rPr>
      </w:pPr>
      <w:hyperlink w:anchor="_Toc42722861" w:history="1">
        <w:r w:rsidR="00343DCF" w:rsidRPr="008946B0">
          <w:rPr>
            <w:rStyle w:val="Hyperlink"/>
            <w:rFonts w:eastAsia="Calibri" w:cs="Arial"/>
            <w:bCs/>
            <w:noProof/>
            <w:lang w:val="en-GB"/>
          </w:rPr>
          <w:t>5.2.1.1</w:t>
        </w:r>
        <w:r w:rsidR="00343DCF" w:rsidRPr="008946B0">
          <w:rPr>
            <w:rFonts w:asciiTheme="minorHAnsi" w:eastAsiaTheme="minorEastAsia" w:hAnsiTheme="minorHAnsi" w:cstheme="minorBidi"/>
            <w:i w:val="0"/>
            <w:noProof/>
            <w:sz w:val="22"/>
            <w:szCs w:val="22"/>
            <w:lang w:val="en-GB" w:eastAsia="fr-FR"/>
          </w:rPr>
          <w:tab/>
        </w:r>
        <w:r w:rsidR="00343DCF" w:rsidRPr="008946B0">
          <w:rPr>
            <w:rStyle w:val="Hyperlink"/>
            <w:rFonts w:eastAsia="Calibri" w:cs="Arial"/>
            <w:bCs/>
            <w:noProof/>
            <w:lang w:val="en-GB"/>
          </w:rPr>
          <w:t>Results of the studies</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_Toc42722861 \h </w:instrText>
        </w:r>
        <w:r w:rsidR="00343DCF" w:rsidRPr="008946B0">
          <w:rPr>
            <w:noProof/>
            <w:webHidden/>
            <w:lang w:val="en-GB"/>
          </w:rPr>
        </w:r>
        <w:r w:rsidR="00343DCF" w:rsidRPr="008946B0">
          <w:rPr>
            <w:noProof/>
            <w:webHidden/>
            <w:lang w:val="en-GB"/>
          </w:rPr>
          <w:fldChar w:fldCharType="separate"/>
        </w:r>
        <w:r w:rsidR="00893DA5">
          <w:rPr>
            <w:noProof/>
            <w:webHidden/>
            <w:lang w:val="en-GB"/>
          </w:rPr>
          <w:t>30</w:t>
        </w:r>
        <w:r w:rsidR="00343DCF" w:rsidRPr="008946B0">
          <w:rPr>
            <w:noProof/>
            <w:webHidden/>
            <w:lang w:val="en-GB"/>
          </w:rPr>
          <w:fldChar w:fldCharType="end"/>
        </w:r>
      </w:hyperlink>
    </w:p>
    <w:p w14:paraId="173AE632" w14:textId="3E502DD2" w:rsidR="00343DCF" w:rsidRPr="008946B0" w:rsidRDefault="003D5261" w:rsidP="002C16F1">
      <w:pPr>
        <w:pStyle w:val="TOC4"/>
        <w:spacing w:after="0"/>
        <w:rPr>
          <w:rFonts w:asciiTheme="minorHAnsi" w:eastAsiaTheme="minorEastAsia" w:hAnsiTheme="minorHAnsi" w:cstheme="minorBidi"/>
          <w:i w:val="0"/>
          <w:noProof/>
          <w:sz w:val="22"/>
          <w:szCs w:val="22"/>
          <w:lang w:val="en-GB" w:eastAsia="fr-FR"/>
        </w:rPr>
      </w:pPr>
      <w:hyperlink w:anchor="_Toc42722862" w:history="1">
        <w:r w:rsidR="00343DCF" w:rsidRPr="008946B0">
          <w:rPr>
            <w:rStyle w:val="Hyperlink"/>
            <w:rFonts w:eastAsia="Calibri" w:cs="Arial"/>
            <w:bCs/>
            <w:noProof/>
            <w:lang w:val="en-GB"/>
          </w:rPr>
          <w:t>5.2.1.2</w:t>
        </w:r>
        <w:r w:rsidR="00343DCF" w:rsidRPr="008946B0">
          <w:rPr>
            <w:rFonts w:asciiTheme="minorHAnsi" w:eastAsiaTheme="minorEastAsia" w:hAnsiTheme="minorHAnsi" w:cstheme="minorBidi"/>
            <w:i w:val="0"/>
            <w:noProof/>
            <w:sz w:val="22"/>
            <w:szCs w:val="22"/>
            <w:lang w:val="en-GB" w:eastAsia="fr-FR"/>
          </w:rPr>
          <w:tab/>
        </w:r>
        <w:r w:rsidR="00343DCF" w:rsidRPr="008946B0">
          <w:rPr>
            <w:rStyle w:val="Hyperlink"/>
            <w:rFonts w:eastAsia="Calibri" w:cs="Arial"/>
            <w:bCs/>
            <w:noProof/>
            <w:lang w:val="en-GB"/>
          </w:rPr>
          <w:t>Comparison with current situation</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_Toc42722862 \h </w:instrText>
        </w:r>
        <w:r w:rsidR="00343DCF" w:rsidRPr="008946B0">
          <w:rPr>
            <w:noProof/>
            <w:webHidden/>
            <w:lang w:val="en-GB"/>
          </w:rPr>
        </w:r>
        <w:r w:rsidR="00343DCF" w:rsidRPr="008946B0">
          <w:rPr>
            <w:noProof/>
            <w:webHidden/>
            <w:lang w:val="en-GB"/>
          </w:rPr>
          <w:fldChar w:fldCharType="separate"/>
        </w:r>
        <w:r w:rsidR="00893DA5">
          <w:rPr>
            <w:noProof/>
            <w:webHidden/>
            <w:lang w:val="en-GB"/>
          </w:rPr>
          <w:t>30</w:t>
        </w:r>
        <w:r w:rsidR="00343DCF" w:rsidRPr="008946B0">
          <w:rPr>
            <w:noProof/>
            <w:webHidden/>
            <w:lang w:val="en-GB"/>
          </w:rPr>
          <w:fldChar w:fldCharType="end"/>
        </w:r>
      </w:hyperlink>
    </w:p>
    <w:p w14:paraId="499DBBD1" w14:textId="1C9E8DD3" w:rsidR="00343DCF" w:rsidRPr="008946B0" w:rsidRDefault="003D5261" w:rsidP="002C16F1">
      <w:pPr>
        <w:pStyle w:val="TOC2"/>
        <w:spacing w:after="0"/>
        <w:rPr>
          <w:rFonts w:asciiTheme="minorHAnsi" w:eastAsiaTheme="minorEastAsia" w:hAnsiTheme="minorHAnsi" w:cstheme="minorBidi"/>
          <w:noProof/>
          <w:sz w:val="22"/>
          <w:szCs w:val="22"/>
          <w:lang w:val="en-GB" w:eastAsia="fr-FR"/>
        </w:rPr>
      </w:pPr>
      <w:hyperlink w:anchor="_Toc42722863" w:history="1">
        <w:r w:rsidR="00343DCF" w:rsidRPr="008946B0">
          <w:rPr>
            <w:rStyle w:val="Hyperlink"/>
            <w:rFonts w:eastAsia="Calibri"/>
            <w:noProof/>
            <w:lang w:val="en-GB"/>
          </w:rPr>
          <w:t>5.3</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Coexistence with UAS</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_Toc42722863 \h </w:instrText>
        </w:r>
        <w:r w:rsidR="00343DCF" w:rsidRPr="008946B0">
          <w:rPr>
            <w:noProof/>
            <w:webHidden/>
            <w:lang w:val="en-GB"/>
          </w:rPr>
        </w:r>
        <w:r w:rsidR="00343DCF" w:rsidRPr="008946B0">
          <w:rPr>
            <w:noProof/>
            <w:webHidden/>
            <w:lang w:val="en-GB"/>
          </w:rPr>
          <w:fldChar w:fldCharType="separate"/>
        </w:r>
        <w:r w:rsidR="00893DA5">
          <w:rPr>
            <w:noProof/>
            <w:webHidden/>
            <w:lang w:val="en-GB"/>
          </w:rPr>
          <w:t>30</w:t>
        </w:r>
        <w:r w:rsidR="00343DCF" w:rsidRPr="008946B0">
          <w:rPr>
            <w:noProof/>
            <w:webHidden/>
            <w:lang w:val="en-GB"/>
          </w:rPr>
          <w:fldChar w:fldCharType="end"/>
        </w:r>
      </w:hyperlink>
    </w:p>
    <w:p w14:paraId="433B2ED9" w14:textId="1D0CC4FC" w:rsidR="00343DCF" w:rsidRPr="008946B0" w:rsidRDefault="003D5261" w:rsidP="002C16F1">
      <w:pPr>
        <w:pStyle w:val="TOC3"/>
        <w:spacing w:after="0"/>
        <w:rPr>
          <w:rFonts w:asciiTheme="minorHAnsi" w:eastAsiaTheme="minorEastAsia" w:hAnsiTheme="minorHAnsi" w:cstheme="minorBidi"/>
          <w:noProof/>
          <w:sz w:val="22"/>
          <w:szCs w:val="22"/>
          <w:lang w:val="en-GB" w:eastAsia="fr-FR"/>
        </w:rPr>
      </w:pPr>
      <w:hyperlink w:anchor="_Toc42722864" w:history="1">
        <w:r w:rsidR="00343DCF" w:rsidRPr="008946B0">
          <w:rPr>
            <w:rStyle w:val="Hyperlink"/>
            <w:rFonts w:eastAsia="Calibri"/>
            <w:noProof/>
            <w:lang w:val="en-GB"/>
          </w:rPr>
          <w:t>5.3.1</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Coexistence with governmental UAS when adjacent in frequency</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_Toc42722864 \h </w:instrText>
        </w:r>
        <w:r w:rsidR="00343DCF" w:rsidRPr="008946B0">
          <w:rPr>
            <w:noProof/>
            <w:webHidden/>
            <w:lang w:val="en-GB"/>
          </w:rPr>
        </w:r>
        <w:r w:rsidR="00343DCF" w:rsidRPr="008946B0">
          <w:rPr>
            <w:noProof/>
            <w:webHidden/>
            <w:lang w:val="en-GB"/>
          </w:rPr>
          <w:fldChar w:fldCharType="separate"/>
        </w:r>
        <w:r w:rsidR="00893DA5">
          <w:rPr>
            <w:noProof/>
            <w:webHidden/>
            <w:lang w:val="en-GB"/>
          </w:rPr>
          <w:t>30</w:t>
        </w:r>
        <w:r w:rsidR="00343DCF" w:rsidRPr="008946B0">
          <w:rPr>
            <w:noProof/>
            <w:webHidden/>
            <w:lang w:val="en-GB"/>
          </w:rPr>
          <w:fldChar w:fldCharType="end"/>
        </w:r>
      </w:hyperlink>
    </w:p>
    <w:p w14:paraId="50810037" w14:textId="6273AC79" w:rsidR="00343DCF" w:rsidRPr="008946B0" w:rsidRDefault="003D5261" w:rsidP="002C16F1">
      <w:pPr>
        <w:pStyle w:val="TOC3"/>
        <w:spacing w:after="0"/>
        <w:rPr>
          <w:rFonts w:asciiTheme="minorHAnsi" w:eastAsiaTheme="minorEastAsia" w:hAnsiTheme="minorHAnsi" w:cstheme="minorBidi"/>
          <w:noProof/>
          <w:sz w:val="22"/>
          <w:szCs w:val="22"/>
          <w:lang w:val="en-GB" w:eastAsia="fr-FR"/>
        </w:rPr>
      </w:pPr>
      <w:hyperlink w:anchor="_Toc42722865" w:history="1">
        <w:r w:rsidR="00343DCF" w:rsidRPr="008946B0">
          <w:rPr>
            <w:rStyle w:val="Hyperlink"/>
            <w:rFonts w:eastAsia="Calibri"/>
            <w:noProof/>
            <w:lang w:val="en-GB"/>
          </w:rPr>
          <w:t>5.3.2</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Adjacent channel compatibility with commercial UAS in 1900-1920 MHz</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_Toc42722865 \h </w:instrText>
        </w:r>
        <w:r w:rsidR="00343DCF" w:rsidRPr="008946B0">
          <w:rPr>
            <w:noProof/>
            <w:webHidden/>
            <w:lang w:val="en-GB"/>
          </w:rPr>
        </w:r>
        <w:r w:rsidR="00343DCF" w:rsidRPr="008946B0">
          <w:rPr>
            <w:noProof/>
            <w:webHidden/>
            <w:lang w:val="en-GB"/>
          </w:rPr>
          <w:fldChar w:fldCharType="separate"/>
        </w:r>
        <w:r w:rsidR="00893DA5">
          <w:rPr>
            <w:noProof/>
            <w:webHidden/>
            <w:lang w:val="en-GB"/>
          </w:rPr>
          <w:t>31</w:t>
        </w:r>
        <w:r w:rsidR="00343DCF" w:rsidRPr="008946B0">
          <w:rPr>
            <w:noProof/>
            <w:webHidden/>
            <w:lang w:val="en-GB"/>
          </w:rPr>
          <w:fldChar w:fldCharType="end"/>
        </w:r>
      </w:hyperlink>
    </w:p>
    <w:p w14:paraId="7FF21F75" w14:textId="3502C840" w:rsidR="00343DCF" w:rsidRPr="008946B0" w:rsidRDefault="003D5261" w:rsidP="002C16F1">
      <w:pPr>
        <w:pStyle w:val="TOC2"/>
        <w:spacing w:after="0"/>
        <w:rPr>
          <w:rFonts w:asciiTheme="minorHAnsi" w:eastAsiaTheme="minorEastAsia" w:hAnsiTheme="minorHAnsi" w:cstheme="minorBidi"/>
          <w:noProof/>
          <w:sz w:val="22"/>
          <w:szCs w:val="22"/>
          <w:lang w:val="en-GB" w:eastAsia="fr-FR"/>
        </w:rPr>
      </w:pPr>
      <w:hyperlink w:anchor="_Toc42722866" w:history="1">
        <w:r w:rsidR="00343DCF" w:rsidRPr="008946B0">
          <w:rPr>
            <w:rStyle w:val="Hyperlink"/>
            <w:rFonts w:eastAsia="Calibri"/>
            <w:noProof/>
            <w:lang w:val="en-GB"/>
          </w:rPr>
          <w:t>5.4</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Conclusion on feasibility</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_Toc42722866 \h </w:instrText>
        </w:r>
        <w:r w:rsidR="00343DCF" w:rsidRPr="008946B0">
          <w:rPr>
            <w:noProof/>
            <w:webHidden/>
            <w:lang w:val="en-GB"/>
          </w:rPr>
        </w:r>
        <w:r w:rsidR="00343DCF" w:rsidRPr="008946B0">
          <w:rPr>
            <w:noProof/>
            <w:webHidden/>
            <w:lang w:val="en-GB"/>
          </w:rPr>
          <w:fldChar w:fldCharType="separate"/>
        </w:r>
        <w:r w:rsidR="00893DA5">
          <w:rPr>
            <w:noProof/>
            <w:webHidden/>
            <w:lang w:val="en-GB"/>
          </w:rPr>
          <w:t>31</w:t>
        </w:r>
        <w:r w:rsidR="00343DCF" w:rsidRPr="008946B0">
          <w:rPr>
            <w:noProof/>
            <w:webHidden/>
            <w:lang w:val="en-GB"/>
          </w:rPr>
          <w:fldChar w:fldCharType="end"/>
        </w:r>
      </w:hyperlink>
    </w:p>
    <w:p w14:paraId="06ADD7C6" w14:textId="110FCED0" w:rsidR="00343DCF" w:rsidRPr="008946B0" w:rsidRDefault="003D5261" w:rsidP="002C16F1">
      <w:pPr>
        <w:pStyle w:val="TOC1"/>
        <w:spacing w:after="0"/>
        <w:rPr>
          <w:rFonts w:asciiTheme="minorHAnsi" w:eastAsiaTheme="minorEastAsia" w:hAnsiTheme="minorHAnsi" w:cstheme="minorBidi"/>
          <w:b w:val="0"/>
          <w:caps w:val="0"/>
          <w:noProof/>
          <w:sz w:val="22"/>
          <w:szCs w:val="22"/>
          <w:lang w:val="en-GB" w:eastAsia="fr-FR"/>
        </w:rPr>
      </w:pPr>
      <w:hyperlink w:anchor="_Toc42722867" w:history="1">
        <w:r w:rsidR="00343DCF" w:rsidRPr="008946B0">
          <w:rPr>
            <w:rStyle w:val="Hyperlink"/>
            <w:rFonts w:eastAsia="Calibri"/>
            <w:noProof/>
            <w:lang w:val="en-GB"/>
          </w:rPr>
          <w:t>6</w:t>
        </w:r>
        <w:r w:rsidR="00343DCF" w:rsidRPr="008946B0">
          <w:rPr>
            <w:rFonts w:asciiTheme="minorHAnsi" w:eastAsiaTheme="minorEastAsia" w:hAnsiTheme="minorHAnsi" w:cstheme="minorBidi"/>
            <w:b w:val="0"/>
            <w:caps w:val="0"/>
            <w:noProof/>
            <w:sz w:val="22"/>
            <w:szCs w:val="22"/>
            <w:lang w:val="en-GB" w:eastAsia="fr-FR"/>
          </w:rPr>
          <w:tab/>
        </w:r>
        <w:r w:rsidR="00343DCF" w:rsidRPr="008946B0">
          <w:rPr>
            <w:rStyle w:val="Hyperlink"/>
            <w:rFonts w:eastAsia="Calibri"/>
            <w:noProof/>
            <w:lang w:val="en-GB"/>
          </w:rPr>
          <w:t>Technical feasibility of the 2290-2300 MHz band (task 3)</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_Toc42722867 \h </w:instrText>
        </w:r>
        <w:r w:rsidR="00343DCF" w:rsidRPr="008946B0">
          <w:rPr>
            <w:noProof/>
            <w:webHidden/>
            <w:lang w:val="en-GB"/>
          </w:rPr>
        </w:r>
        <w:r w:rsidR="00343DCF" w:rsidRPr="008946B0">
          <w:rPr>
            <w:noProof/>
            <w:webHidden/>
            <w:lang w:val="en-GB"/>
          </w:rPr>
          <w:fldChar w:fldCharType="separate"/>
        </w:r>
        <w:r w:rsidR="00893DA5">
          <w:rPr>
            <w:noProof/>
            <w:webHidden/>
            <w:lang w:val="en-GB"/>
          </w:rPr>
          <w:t>32</w:t>
        </w:r>
        <w:r w:rsidR="00343DCF" w:rsidRPr="008946B0">
          <w:rPr>
            <w:noProof/>
            <w:webHidden/>
            <w:lang w:val="en-GB"/>
          </w:rPr>
          <w:fldChar w:fldCharType="end"/>
        </w:r>
      </w:hyperlink>
    </w:p>
    <w:p w14:paraId="563B7B9A" w14:textId="2798FA22" w:rsidR="00343DCF" w:rsidRPr="008946B0" w:rsidRDefault="003D5261" w:rsidP="002C16F1">
      <w:pPr>
        <w:pStyle w:val="TOC2"/>
        <w:spacing w:after="0"/>
        <w:rPr>
          <w:rFonts w:asciiTheme="minorHAnsi" w:eastAsiaTheme="minorEastAsia" w:hAnsiTheme="minorHAnsi" w:cstheme="minorBidi"/>
          <w:noProof/>
          <w:sz w:val="22"/>
          <w:szCs w:val="22"/>
          <w:lang w:val="en-GB" w:eastAsia="fr-FR"/>
        </w:rPr>
      </w:pPr>
      <w:hyperlink w:anchor="_Toc42722868" w:history="1">
        <w:r w:rsidR="00343DCF" w:rsidRPr="008946B0">
          <w:rPr>
            <w:rStyle w:val="Hyperlink"/>
            <w:rFonts w:eastAsia="Calibri"/>
            <w:noProof/>
            <w:lang w:val="en-GB"/>
          </w:rPr>
          <w:t>6.1</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Coexistence with ECS</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_Toc42722868 \h </w:instrText>
        </w:r>
        <w:r w:rsidR="00343DCF" w:rsidRPr="008946B0">
          <w:rPr>
            <w:noProof/>
            <w:webHidden/>
            <w:lang w:val="en-GB"/>
          </w:rPr>
        </w:r>
        <w:r w:rsidR="00343DCF" w:rsidRPr="008946B0">
          <w:rPr>
            <w:noProof/>
            <w:webHidden/>
            <w:lang w:val="en-GB"/>
          </w:rPr>
          <w:fldChar w:fldCharType="separate"/>
        </w:r>
        <w:r w:rsidR="00893DA5">
          <w:rPr>
            <w:noProof/>
            <w:webHidden/>
            <w:lang w:val="en-GB"/>
          </w:rPr>
          <w:t>32</w:t>
        </w:r>
        <w:r w:rsidR="00343DCF" w:rsidRPr="008946B0">
          <w:rPr>
            <w:noProof/>
            <w:webHidden/>
            <w:lang w:val="en-GB"/>
          </w:rPr>
          <w:fldChar w:fldCharType="end"/>
        </w:r>
      </w:hyperlink>
    </w:p>
    <w:p w14:paraId="4301B762" w14:textId="2EB22752" w:rsidR="00343DCF" w:rsidRPr="008946B0" w:rsidRDefault="003D5261" w:rsidP="002C16F1">
      <w:pPr>
        <w:pStyle w:val="TOC3"/>
        <w:spacing w:after="0"/>
        <w:rPr>
          <w:rFonts w:asciiTheme="minorHAnsi" w:eastAsiaTheme="minorEastAsia" w:hAnsiTheme="minorHAnsi" w:cstheme="minorBidi"/>
          <w:noProof/>
          <w:sz w:val="22"/>
          <w:szCs w:val="22"/>
          <w:lang w:val="en-GB" w:eastAsia="fr-FR"/>
        </w:rPr>
      </w:pPr>
      <w:hyperlink w:anchor="_Toc42722869" w:history="1">
        <w:r w:rsidR="00343DCF" w:rsidRPr="008946B0">
          <w:rPr>
            <w:rStyle w:val="Hyperlink"/>
            <w:rFonts w:eastAsia="Calibri"/>
            <w:noProof/>
            <w:lang w:val="en-GB"/>
          </w:rPr>
          <w:t>6.1.1</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Suitability of existing BEM as per ECC/DEC/(14)02 for FRMCS BS</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_Toc42722869 \h </w:instrText>
        </w:r>
        <w:r w:rsidR="00343DCF" w:rsidRPr="008946B0">
          <w:rPr>
            <w:noProof/>
            <w:webHidden/>
            <w:lang w:val="en-GB"/>
          </w:rPr>
        </w:r>
        <w:r w:rsidR="00343DCF" w:rsidRPr="008946B0">
          <w:rPr>
            <w:noProof/>
            <w:webHidden/>
            <w:lang w:val="en-GB"/>
          </w:rPr>
          <w:fldChar w:fldCharType="separate"/>
        </w:r>
        <w:r w:rsidR="00893DA5">
          <w:rPr>
            <w:noProof/>
            <w:webHidden/>
            <w:lang w:val="en-GB"/>
          </w:rPr>
          <w:t>32</w:t>
        </w:r>
        <w:r w:rsidR="00343DCF" w:rsidRPr="008946B0">
          <w:rPr>
            <w:noProof/>
            <w:webHidden/>
            <w:lang w:val="en-GB"/>
          </w:rPr>
          <w:fldChar w:fldCharType="end"/>
        </w:r>
      </w:hyperlink>
    </w:p>
    <w:p w14:paraId="33E50EC8" w14:textId="42585029" w:rsidR="00343DCF" w:rsidRPr="008946B0" w:rsidRDefault="003D5261" w:rsidP="002C16F1">
      <w:pPr>
        <w:pStyle w:val="TOC3"/>
        <w:spacing w:after="0"/>
        <w:rPr>
          <w:rFonts w:asciiTheme="minorHAnsi" w:eastAsiaTheme="minorEastAsia" w:hAnsiTheme="minorHAnsi" w:cstheme="minorBidi"/>
          <w:noProof/>
          <w:sz w:val="22"/>
          <w:szCs w:val="22"/>
          <w:lang w:val="en-GB" w:eastAsia="fr-FR"/>
        </w:rPr>
      </w:pPr>
      <w:hyperlink w:anchor="_Toc42722870" w:history="1">
        <w:r w:rsidR="00343DCF" w:rsidRPr="008946B0">
          <w:rPr>
            <w:rStyle w:val="Hyperlink"/>
            <w:rFonts w:eastAsia="Calibri"/>
            <w:noProof/>
            <w:lang w:val="en-GB"/>
          </w:rPr>
          <w:t>6.1.2</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Impact of FRMCS cab-radio on ECS BS above 2300 MHz</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_Toc42722870 \h </w:instrText>
        </w:r>
        <w:r w:rsidR="00343DCF" w:rsidRPr="008946B0">
          <w:rPr>
            <w:noProof/>
            <w:webHidden/>
            <w:lang w:val="en-GB"/>
          </w:rPr>
        </w:r>
        <w:r w:rsidR="00343DCF" w:rsidRPr="008946B0">
          <w:rPr>
            <w:noProof/>
            <w:webHidden/>
            <w:lang w:val="en-GB"/>
          </w:rPr>
          <w:fldChar w:fldCharType="separate"/>
        </w:r>
        <w:r w:rsidR="00893DA5">
          <w:rPr>
            <w:noProof/>
            <w:webHidden/>
            <w:lang w:val="en-GB"/>
          </w:rPr>
          <w:t>32</w:t>
        </w:r>
        <w:r w:rsidR="00343DCF" w:rsidRPr="008946B0">
          <w:rPr>
            <w:noProof/>
            <w:webHidden/>
            <w:lang w:val="en-GB"/>
          </w:rPr>
          <w:fldChar w:fldCharType="end"/>
        </w:r>
      </w:hyperlink>
    </w:p>
    <w:p w14:paraId="7574E2DF" w14:textId="58F508B5" w:rsidR="00343DCF" w:rsidRPr="008946B0" w:rsidRDefault="003D5261" w:rsidP="002C16F1">
      <w:pPr>
        <w:pStyle w:val="TOC3"/>
        <w:spacing w:after="0"/>
        <w:rPr>
          <w:rFonts w:asciiTheme="minorHAnsi" w:eastAsiaTheme="minorEastAsia" w:hAnsiTheme="minorHAnsi" w:cstheme="minorBidi"/>
          <w:noProof/>
          <w:sz w:val="22"/>
          <w:szCs w:val="22"/>
          <w:lang w:val="en-GB" w:eastAsia="fr-FR"/>
        </w:rPr>
      </w:pPr>
      <w:hyperlink w:anchor="_Toc42722871" w:history="1">
        <w:r w:rsidR="00343DCF" w:rsidRPr="008946B0">
          <w:rPr>
            <w:rStyle w:val="Hyperlink"/>
            <w:rFonts w:eastAsia="Calibri"/>
            <w:noProof/>
            <w:lang w:val="en-GB"/>
          </w:rPr>
          <w:t>6.1.3</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Impact of ECS BS above 2300 MHz on FRMCS cab-radio</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_Toc42722871 \h </w:instrText>
        </w:r>
        <w:r w:rsidR="00343DCF" w:rsidRPr="008946B0">
          <w:rPr>
            <w:noProof/>
            <w:webHidden/>
            <w:lang w:val="en-GB"/>
          </w:rPr>
        </w:r>
        <w:r w:rsidR="00343DCF" w:rsidRPr="008946B0">
          <w:rPr>
            <w:noProof/>
            <w:webHidden/>
            <w:lang w:val="en-GB"/>
          </w:rPr>
          <w:fldChar w:fldCharType="separate"/>
        </w:r>
        <w:r w:rsidR="00893DA5">
          <w:rPr>
            <w:noProof/>
            <w:webHidden/>
            <w:lang w:val="en-GB"/>
          </w:rPr>
          <w:t>32</w:t>
        </w:r>
        <w:r w:rsidR="00343DCF" w:rsidRPr="008946B0">
          <w:rPr>
            <w:noProof/>
            <w:webHidden/>
            <w:lang w:val="en-GB"/>
          </w:rPr>
          <w:fldChar w:fldCharType="end"/>
        </w:r>
      </w:hyperlink>
    </w:p>
    <w:p w14:paraId="20308B83" w14:textId="68196C99" w:rsidR="00343DCF" w:rsidRPr="008946B0" w:rsidRDefault="003D5261" w:rsidP="002C16F1">
      <w:pPr>
        <w:pStyle w:val="TOC2"/>
        <w:spacing w:after="0"/>
        <w:rPr>
          <w:rFonts w:asciiTheme="minorHAnsi" w:eastAsiaTheme="minorEastAsia" w:hAnsiTheme="minorHAnsi" w:cstheme="minorBidi"/>
          <w:noProof/>
          <w:sz w:val="22"/>
          <w:szCs w:val="22"/>
          <w:lang w:val="en-GB" w:eastAsia="fr-FR"/>
        </w:rPr>
      </w:pPr>
      <w:hyperlink w:anchor="_Toc42722872" w:history="1">
        <w:r w:rsidR="00343DCF" w:rsidRPr="008946B0">
          <w:rPr>
            <w:rStyle w:val="Hyperlink"/>
            <w:rFonts w:eastAsia="Calibri"/>
            <w:noProof/>
            <w:lang w:val="en-GB"/>
          </w:rPr>
          <w:t>6.2</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Coexistence with applications below 2290 MHz</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_Toc42722872 \h </w:instrText>
        </w:r>
        <w:r w:rsidR="00343DCF" w:rsidRPr="008946B0">
          <w:rPr>
            <w:noProof/>
            <w:webHidden/>
            <w:lang w:val="en-GB"/>
          </w:rPr>
        </w:r>
        <w:r w:rsidR="00343DCF" w:rsidRPr="008946B0">
          <w:rPr>
            <w:noProof/>
            <w:webHidden/>
            <w:lang w:val="en-GB"/>
          </w:rPr>
          <w:fldChar w:fldCharType="separate"/>
        </w:r>
        <w:r w:rsidR="00893DA5">
          <w:rPr>
            <w:noProof/>
            <w:webHidden/>
            <w:lang w:val="en-GB"/>
          </w:rPr>
          <w:t>32</w:t>
        </w:r>
        <w:r w:rsidR="00343DCF" w:rsidRPr="008946B0">
          <w:rPr>
            <w:noProof/>
            <w:webHidden/>
            <w:lang w:val="en-GB"/>
          </w:rPr>
          <w:fldChar w:fldCharType="end"/>
        </w:r>
      </w:hyperlink>
    </w:p>
    <w:p w14:paraId="0164D5DE" w14:textId="67DC8323" w:rsidR="00343DCF" w:rsidRPr="008946B0" w:rsidRDefault="003D5261" w:rsidP="002C16F1">
      <w:pPr>
        <w:pStyle w:val="TOC2"/>
        <w:spacing w:after="0"/>
        <w:rPr>
          <w:rFonts w:asciiTheme="minorHAnsi" w:eastAsiaTheme="minorEastAsia" w:hAnsiTheme="minorHAnsi" w:cstheme="minorBidi"/>
          <w:noProof/>
          <w:sz w:val="22"/>
          <w:szCs w:val="22"/>
          <w:lang w:val="en-GB" w:eastAsia="fr-FR"/>
        </w:rPr>
      </w:pPr>
      <w:hyperlink w:anchor="_Toc42722873" w:history="1">
        <w:r w:rsidR="00343DCF" w:rsidRPr="008946B0">
          <w:rPr>
            <w:rStyle w:val="Hyperlink"/>
            <w:rFonts w:eastAsia="Calibri"/>
            <w:noProof/>
            <w:lang w:val="en-GB"/>
          </w:rPr>
          <w:t>6.3</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Coexistence with Deep Space Research and radioastronomy in 2290-2300 MHz</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_Toc42722873 \h </w:instrText>
        </w:r>
        <w:r w:rsidR="00343DCF" w:rsidRPr="008946B0">
          <w:rPr>
            <w:noProof/>
            <w:webHidden/>
            <w:lang w:val="en-GB"/>
          </w:rPr>
        </w:r>
        <w:r w:rsidR="00343DCF" w:rsidRPr="008946B0">
          <w:rPr>
            <w:noProof/>
            <w:webHidden/>
            <w:lang w:val="en-GB"/>
          </w:rPr>
          <w:fldChar w:fldCharType="separate"/>
        </w:r>
        <w:r w:rsidR="00893DA5">
          <w:rPr>
            <w:noProof/>
            <w:webHidden/>
            <w:lang w:val="en-GB"/>
          </w:rPr>
          <w:t>33</w:t>
        </w:r>
        <w:r w:rsidR="00343DCF" w:rsidRPr="008946B0">
          <w:rPr>
            <w:noProof/>
            <w:webHidden/>
            <w:lang w:val="en-GB"/>
          </w:rPr>
          <w:fldChar w:fldCharType="end"/>
        </w:r>
      </w:hyperlink>
    </w:p>
    <w:p w14:paraId="146D5EBF" w14:textId="2DD398B9" w:rsidR="00343DCF" w:rsidRPr="008946B0" w:rsidRDefault="003D5261" w:rsidP="002C16F1">
      <w:pPr>
        <w:pStyle w:val="TOC2"/>
        <w:spacing w:after="0"/>
        <w:rPr>
          <w:rFonts w:asciiTheme="minorHAnsi" w:eastAsiaTheme="minorEastAsia" w:hAnsiTheme="minorHAnsi" w:cstheme="minorBidi"/>
          <w:noProof/>
          <w:sz w:val="22"/>
          <w:szCs w:val="22"/>
          <w:lang w:val="en-GB" w:eastAsia="fr-FR"/>
        </w:rPr>
      </w:pPr>
      <w:hyperlink w:anchor="_Toc42722874" w:history="1">
        <w:r w:rsidR="00343DCF" w:rsidRPr="008946B0">
          <w:rPr>
            <w:rStyle w:val="Hyperlink"/>
            <w:rFonts w:eastAsia="Calibri"/>
            <w:noProof/>
            <w:lang w:val="en-GB"/>
          </w:rPr>
          <w:t>6.4</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Coexistence with telemetry, video PMSE and fixed links in 2290-2400 MHz</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_Toc42722874 \h </w:instrText>
        </w:r>
        <w:r w:rsidR="00343DCF" w:rsidRPr="008946B0">
          <w:rPr>
            <w:noProof/>
            <w:webHidden/>
            <w:lang w:val="en-GB"/>
          </w:rPr>
        </w:r>
        <w:r w:rsidR="00343DCF" w:rsidRPr="008946B0">
          <w:rPr>
            <w:noProof/>
            <w:webHidden/>
            <w:lang w:val="en-GB"/>
          </w:rPr>
          <w:fldChar w:fldCharType="separate"/>
        </w:r>
        <w:r w:rsidR="00893DA5">
          <w:rPr>
            <w:noProof/>
            <w:webHidden/>
            <w:lang w:val="en-GB"/>
          </w:rPr>
          <w:t>33</w:t>
        </w:r>
        <w:r w:rsidR="00343DCF" w:rsidRPr="008946B0">
          <w:rPr>
            <w:noProof/>
            <w:webHidden/>
            <w:lang w:val="en-GB"/>
          </w:rPr>
          <w:fldChar w:fldCharType="end"/>
        </w:r>
      </w:hyperlink>
    </w:p>
    <w:p w14:paraId="42D88899" w14:textId="6C4A3CF3" w:rsidR="00343DCF" w:rsidRPr="008946B0" w:rsidRDefault="003D5261" w:rsidP="002C16F1">
      <w:pPr>
        <w:pStyle w:val="TOC2"/>
        <w:spacing w:after="0"/>
        <w:rPr>
          <w:rFonts w:asciiTheme="minorHAnsi" w:eastAsiaTheme="minorEastAsia" w:hAnsiTheme="minorHAnsi" w:cstheme="minorBidi"/>
          <w:noProof/>
          <w:sz w:val="22"/>
          <w:szCs w:val="22"/>
          <w:lang w:val="en-GB" w:eastAsia="fr-FR"/>
        </w:rPr>
      </w:pPr>
      <w:hyperlink w:anchor="_Toc42722875" w:history="1">
        <w:r w:rsidR="00343DCF" w:rsidRPr="008946B0">
          <w:rPr>
            <w:rStyle w:val="Hyperlink"/>
            <w:rFonts w:eastAsia="Calibri"/>
            <w:noProof/>
            <w:lang w:val="en-GB"/>
          </w:rPr>
          <w:t>6.5</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Conclusion on feasibility</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_Toc42722875 \h </w:instrText>
        </w:r>
        <w:r w:rsidR="00343DCF" w:rsidRPr="008946B0">
          <w:rPr>
            <w:noProof/>
            <w:webHidden/>
            <w:lang w:val="en-GB"/>
          </w:rPr>
        </w:r>
        <w:r w:rsidR="00343DCF" w:rsidRPr="008946B0">
          <w:rPr>
            <w:noProof/>
            <w:webHidden/>
            <w:lang w:val="en-GB"/>
          </w:rPr>
          <w:fldChar w:fldCharType="separate"/>
        </w:r>
        <w:r w:rsidR="00893DA5">
          <w:rPr>
            <w:noProof/>
            <w:webHidden/>
            <w:lang w:val="en-GB"/>
          </w:rPr>
          <w:t>33</w:t>
        </w:r>
        <w:r w:rsidR="00343DCF" w:rsidRPr="008946B0">
          <w:rPr>
            <w:noProof/>
            <w:webHidden/>
            <w:lang w:val="en-GB"/>
          </w:rPr>
          <w:fldChar w:fldCharType="end"/>
        </w:r>
      </w:hyperlink>
    </w:p>
    <w:p w14:paraId="07FD384E" w14:textId="690C0BB4" w:rsidR="00343DCF" w:rsidRPr="008946B0" w:rsidRDefault="003D5261" w:rsidP="002C16F1">
      <w:pPr>
        <w:pStyle w:val="TOC1"/>
        <w:spacing w:after="0"/>
        <w:rPr>
          <w:rFonts w:asciiTheme="minorHAnsi" w:eastAsiaTheme="minorEastAsia" w:hAnsiTheme="minorHAnsi" w:cstheme="minorBidi"/>
          <w:b w:val="0"/>
          <w:caps w:val="0"/>
          <w:noProof/>
          <w:sz w:val="22"/>
          <w:szCs w:val="22"/>
          <w:lang w:val="en-GB" w:eastAsia="fr-FR"/>
        </w:rPr>
      </w:pPr>
      <w:hyperlink w:anchor="_Toc42722876" w:history="1">
        <w:r w:rsidR="00343DCF" w:rsidRPr="008946B0">
          <w:rPr>
            <w:rStyle w:val="Hyperlink"/>
            <w:rFonts w:eastAsia="Calibri"/>
            <w:noProof/>
            <w:lang w:val="en-GB"/>
          </w:rPr>
          <w:t>7</w:t>
        </w:r>
        <w:r w:rsidR="00343DCF" w:rsidRPr="008946B0">
          <w:rPr>
            <w:rFonts w:asciiTheme="minorHAnsi" w:eastAsiaTheme="minorEastAsia" w:hAnsiTheme="minorHAnsi" w:cstheme="minorBidi"/>
            <w:b w:val="0"/>
            <w:caps w:val="0"/>
            <w:noProof/>
            <w:sz w:val="22"/>
            <w:szCs w:val="22"/>
            <w:lang w:val="en-GB" w:eastAsia="fr-FR"/>
          </w:rPr>
          <w:tab/>
        </w:r>
        <w:r w:rsidR="00343DCF" w:rsidRPr="008946B0">
          <w:rPr>
            <w:rStyle w:val="Hyperlink"/>
            <w:rFonts w:eastAsia="Calibri"/>
            <w:noProof/>
            <w:lang w:val="en-GB"/>
          </w:rPr>
          <w:t>Feasibility and scenarios of using commercial mobile networks (task 4)</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_Toc42722876 \h </w:instrText>
        </w:r>
        <w:r w:rsidR="00343DCF" w:rsidRPr="008946B0">
          <w:rPr>
            <w:noProof/>
            <w:webHidden/>
            <w:lang w:val="en-GB"/>
          </w:rPr>
        </w:r>
        <w:r w:rsidR="00343DCF" w:rsidRPr="008946B0">
          <w:rPr>
            <w:noProof/>
            <w:webHidden/>
            <w:lang w:val="en-GB"/>
          </w:rPr>
          <w:fldChar w:fldCharType="separate"/>
        </w:r>
        <w:r w:rsidR="00893DA5">
          <w:rPr>
            <w:noProof/>
            <w:webHidden/>
            <w:lang w:val="en-GB"/>
          </w:rPr>
          <w:t>34</w:t>
        </w:r>
        <w:r w:rsidR="00343DCF" w:rsidRPr="008946B0">
          <w:rPr>
            <w:noProof/>
            <w:webHidden/>
            <w:lang w:val="en-GB"/>
          </w:rPr>
          <w:fldChar w:fldCharType="end"/>
        </w:r>
      </w:hyperlink>
    </w:p>
    <w:p w14:paraId="1865B48C" w14:textId="2409BD92" w:rsidR="00343DCF" w:rsidRPr="008946B0" w:rsidRDefault="003D5261" w:rsidP="002C16F1">
      <w:pPr>
        <w:pStyle w:val="TOC2"/>
        <w:spacing w:after="0"/>
        <w:rPr>
          <w:rFonts w:asciiTheme="minorHAnsi" w:eastAsiaTheme="minorEastAsia" w:hAnsiTheme="minorHAnsi" w:cstheme="minorBidi"/>
          <w:noProof/>
          <w:sz w:val="22"/>
          <w:szCs w:val="22"/>
          <w:lang w:val="en-GB" w:eastAsia="fr-FR"/>
        </w:rPr>
      </w:pPr>
      <w:hyperlink w:anchor="_Toc42722877" w:history="1">
        <w:r w:rsidR="00343DCF" w:rsidRPr="008946B0">
          <w:rPr>
            <w:rStyle w:val="Hyperlink"/>
            <w:rFonts w:eastAsia="Calibri"/>
            <w:noProof/>
            <w:lang w:val="en-GB"/>
          </w:rPr>
          <w:t>7.1</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Technical feasibility</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_Toc42722877 \h </w:instrText>
        </w:r>
        <w:r w:rsidR="00343DCF" w:rsidRPr="008946B0">
          <w:rPr>
            <w:noProof/>
            <w:webHidden/>
            <w:lang w:val="en-GB"/>
          </w:rPr>
        </w:r>
        <w:r w:rsidR="00343DCF" w:rsidRPr="008946B0">
          <w:rPr>
            <w:noProof/>
            <w:webHidden/>
            <w:lang w:val="en-GB"/>
          </w:rPr>
          <w:fldChar w:fldCharType="separate"/>
        </w:r>
        <w:r w:rsidR="00893DA5">
          <w:rPr>
            <w:noProof/>
            <w:webHidden/>
            <w:lang w:val="en-GB"/>
          </w:rPr>
          <w:t>34</w:t>
        </w:r>
        <w:r w:rsidR="00343DCF" w:rsidRPr="008946B0">
          <w:rPr>
            <w:noProof/>
            <w:webHidden/>
            <w:lang w:val="en-GB"/>
          </w:rPr>
          <w:fldChar w:fldCharType="end"/>
        </w:r>
      </w:hyperlink>
    </w:p>
    <w:p w14:paraId="10CC18C8" w14:textId="326811BC" w:rsidR="00343DCF" w:rsidRPr="008946B0" w:rsidRDefault="003D5261" w:rsidP="002C16F1">
      <w:pPr>
        <w:pStyle w:val="TOC2"/>
        <w:spacing w:after="0"/>
        <w:rPr>
          <w:rFonts w:asciiTheme="minorHAnsi" w:eastAsiaTheme="minorEastAsia" w:hAnsiTheme="minorHAnsi" w:cstheme="minorBidi"/>
          <w:noProof/>
          <w:sz w:val="22"/>
          <w:szCs w:val="22"/>
          <w:lang w:val="en-GB" w:eastAsia="fr-FR"/>
        </w:rPr>
      </w:pPr>
      <w:hyperlink w:anchor="_Toc42722878" w:history="1">
        <w:r w:rsidR="00343DCF" w:rsidRPr="008946B0">
          <w:rPr>
            <w:rStyle w:val="Hyperlink"/>
            <w:rFonts w:eastAsia="Calibri"/>
            <w:noProof/>
            <w:lang w:val="en-GB"/>
          </w:rPr>
          <w:t>7.2</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Operational and legal considerations</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_Toc42722878 \h </w:instrText>
        </w:r>
        <w:r w:rsidR="00343DCF" w:rsidRPr="008946B0">
          <w:rPr>
            <w:noProof/>
            <w:webHidden/>
            <w:lang w:val="en-GB"/>
          </w:rPr>
        </w:r>
        <w:r w:rsidR="00343DCF" w:rsidRPr="008946B0">
          <w:rPr>
            <w:noProof/>
            <w:webHidden/>
            <w:lang w:val="en-GB"/>
          </w:rPr>
          <w:fldChar w:fldCharType="separate"/>
        </w:r>
        <w:r w:rsidR="00893DA5">
          <w:rPr>
            <w:noProof/>
            <w:webHidden/>
            <w:lang w:val="en-GB"/>
          </w:rPr>
          <w:t>36</w:t>
        </w:r>
        <w:r w:rsidR="00343DCF" w:rsidRPr="008946B0">
          <w:rPr>
            <w:noProof/>
            <w:webHidden/>
            <w:lang w:val="en-GB"/>
          </w:rPr>
          <w:fldChar w:fldCharType="end"/>
        </w:r>
      </w:hyperlink>
    </w:p>
    <w:p w14:paraId="00DF73CC" w14:textId="3541EA7C" w:rsidR="00343DCF" w:rsidRPr="008946B0" w:rsidRDefault="003D5261" w:rsidP="002C16F1">
      <w:pPr>
        <w:pStyle w:val="TOC2"/>
        <w:spacing w:after="0"/>
        <w:rPr>
          <w:rFonts w:asciiTheme="minorHAnsi" w:eastAsiaTheme="minorEastAsia" w:hAnsiTheme="minorHAnsi" w:cstheme="minorBidi"/>
          <w:noProof/>
          <w:sz w:val="22"/>
          <w:szCs w:val="22"/>
          <w:lang w:val="en-GB" w:eastAsia="fr-FR"/>
        </w:rPr>
      </w:pPr>
      <w:hyperlink w:anchor="_Toc42722879" w:history="1">
        <w:r w:rsidR="00343DCF" w:rsidRPr="008946B0">
          <w:rPr>
            <w:rStyle w:val="Hyperlink"/>
            <w:rFonts w:eastAsia="Calibri"/>
            <w:noProof/>
            <w:lang w:val="en-GB"/>
          </w:rPr>
          <w:t>7.3</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Impact of railway interoperability requirement</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_Toc42722879 \h </w:instrText>
        </w:r>
        <w:r w:rsidR="00343DCF" w:rsidRPr="008946B0">
          <w:rPr>
            <w:noProof/>
            <w:webHidden/>
            <w:lang w:val="en-GB"/>
          </w:rPr>
        </w:r>
        <w:r w:rsidR="00343DCF" w:rsidRPr="008946B0">
          <w:rPr>
            <w:noProof/>
            <w:webHidden/>
            <w:lang w:val="en-GB"/>
          </w:rPr>
          <w:fldChar w:fldCharType="separate"/>
        </w:r>
        <w:r w:rsidR="00893DA5">
          <w:rPr>
            <w:noProof/>
            <w:webHidden/>
            <w:lang w:val="en-GB"/>
          </w:rPr>
          <w:t>37</w:t>
        </w:r>
        <w:r w:rsidR="00343DCF" w:rsidRPr="008946B0">
          <w:rPr>
            <w:noProof/>
            <w:webHidden/>
            <w:lang w:val="en-GB"/>
          </w:rPr>
          <w:fldChar w:fldCharType="end"/>
        </w:r>
      </w:hyperlink>
    </w:p>
    <w:p w14:paraId="176A02FF" w14:textId="2A91FF18" w:rsidR="00343DCF" w:rsidRPr="008946B0" w:rsidRDefault="003D5261" w:rsidP="002C16F1">
      <w:pPr>
        <w:pStyle w:val="TOC2"/>
        <w:spacing w:after="0"/>
        <w:rPr>
          <w:rFonts w:asciiTheme="minorHAnsi" w:eastAsiaTheme="minorEastAsia" w:hAnsiTheme="minorHAnsi" w:cstheme="minorBidi"/>
          <w:noProof/>
          <w:sz w:val="22"/>
          <w:szCs w:val="22"/>
          <w:lang w:val="en-GB" w:eastAsia="fr-FR"/>
        </w:rPr>
      </w:pPr>
      <w:hyperlink w:anchor="_Toc42722880" w:history="1">
        <w:r w:rsidR="00343DCF" w:rsidRPr="008946B0">
          <w:rPr>
            <w:rStyle w:val="Hyperlink"/>
            <w:rFonts w:eastAsia="Calibri"/>
            <w:noProof/>
            <w:lang w:val="en-GB"/>
          </w:rPr>
          <w:t>7.4</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Conclusions on using commercial mobile networks</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_Toc42722880 \h </w:instrText>
        </w:r>
        <w:r w:rsidR="00343DCF" w:rsidRPr="008946B0">
          <w:rPr>
            <w:noProof/>
            <w:webHidden/>
            <w:lang w:val="en-GB"/>
          </w:rPr>
        </w:r>
        <w:r w:rsidR="00343DCF" w:rsidRPr="008946B0">
          <w:rPr>
            <w:noProof/>
            <w:webHidden/>
            <w:lang w:val="en-GB"/>
          </w:rPr>
          <w:fldChar w:fldCharType="separate"/>
        </w:r>
        <w:r w:rsidR="00893DA5">
          <w:rPr>
            <w:noProof/>
            <w:webHidden/>
            <w:lang w:val="en-GB"/>
          </w:rPr>
          <w:t>37</w:t>
        </w:r>
        <w:r w:rsidR="00343DCF" w:rsidRPr="008946B0">
          <w:rPr>
            <w:noProof/>
            <w:webHidden/>
            <w:lang w:val="en-GB"/>
          </w:rPr>
          <w:fldChar w:fldCharType="end"/>
        </w:r>
      </w:hyperlink>
    </w:p>
    <w:p w14:paraId="5901B8B8" w14:textId="5D7D1F34" w:rsidR="00343DCF" w:rsidRPr="008946B0" w:rsidRDefault="003D5261" w:rsidP="002C16F1">
      <w:pPr>
        <w:pStyle w:val="TOC1"/>
        <w:spacing w:after="0"/>
        <w:rPr>
          <w:rFonts w:asciiTheme="minorHAnsi" w:eastAsiaTheme="minorEastAsia" w:hAnsiTheme="minorHAnsi" w:cstheme="minorBidi"/>
          <w:b w:val="0"/>
          <w:caps w:val="0"/>
          <w:noProof/>
          <w:sz w:val="22"/>
          <w:szCs w:val="22"/>
          <w:lang w:val="en-GB" w:eastAsia="fr-FR"/>
        </w:rPr>
      </w:pPr>
      <w:hyperlink w:anchor="_Toc42722881" w:history="1">
        <w:r w:rsidR="00343DCF" w:rsidRPr="008946B0">
          <w:rPr>
            <w:rStyle w:val="Hyperlink"/>
            <w:noProof/>
            <w:lang w:val="en-GB"/>
          </w:rPr>
          <w:t>8</w:t>
        </w:r>
        <w:r w:rsidR="00343DCF" w:rsidRPr="008946B0">
          <w:rPr>
            <w:rFonts w:asciiTheme="minorHAnsi" w:eastAsiaTheme="minorEastAsia" w:hAnsiTheme="minorHAnsi" w:cstheme="minorBidi"/>
            <w:b w:val="0"/>
            <w:caps w:val="0"/>
            <w:noProof/>
            <w:sz w:val="22"/>
            <w:szCs w:val="22"/>
            <w:lang w:val="en-GB" w:eastAsia="fr-FR"/>
          </w:rPr>
          <w:tab/>
        </w:r>
        <w:r w:rsidR="00343DCF" w:rsidRPr="008946B0">
          <w:rPr>
            <w:rStyle w:val="Hyperlink"/>
            <w:noProof/>
            <w:lang w:val="en-GB"/>
          </w:rPr>
          <w:t>Conclusions</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_Toc42722881 \h </w:instrText>
        </w:r>
        <w:r w:rsidR="00343DCF" w:rsidRPr="008946B0">
          <w:rPr>
            <w:noProof/>
            <w:webHidden/>
            <w:lang w:val="en-GB"/>
          </w:rPr>
        </w:r>
        <w:r w:rsidR="00343DCF" w:rsidRPr="008946B0">
          <w:rPr>
            <w:noProof/>
            <w:webHidden/>
            <w:lang w:val="en-GB"/>
          </w:rPr>
          <w:fldChar w:fldCharType="separate"/>
        </w:r>
        <w:r w:rsidR="00893DA5">
          <w:rPr>
            <w:noProof/>
            <w:webHidden/>
            <w:lang w:val="en-GB"/>
          </w:rPr>
          <w:t>38</w:t>
        </w:r>
        <w:r w:rsidR="00343DCF" w:rsidRPr="008946B0">
          <w:rPr>
            <w:noProof/>
            <w:webHidden/>
            <w:lang w:val="en-GB"/>
          </w:rPr>
          <w:fldChar w:fldCharType="end"/>
        </w:r>
      </w:hyperlink>
    </w:p>
    <w:p w14:paraId="32184625" w14:textId="2422F9CA" w:rsidR="00343DCF" w:rsidRPr="008946B0" w:rsidRDefault="003D5261" w:rsidP="002C16F1">
      <w:pPr>
        <w:pStyle w:val="TOC1"/>
        <w:spacing w:after="0"/>
        <w:rPr>
          <w:rFonts w:asciiTheme="minorHAnsi" w:eastAsiaTheme="minorEastAsia" w:hAnsiTheme="minorHAnsi" w:cstheme="minorBidi"/>
          <w:b w:val="0"/>
          <w:caps w:val="0"/>
          <w:noProof/>
          <w:sz w:val="22"/>
          <w:szCs w:val="22"/>
          <w:lang w:val="en-GB" w:eastAsia="fr-FR"/>
        </w:rPr>
      </w:pPr>
      <w:hyperlink w:anchor="_Toc42722882" w:history="1">
        <w:r w:rsidR="00343DCF" w:rsidRPr="008946B0">
          <w:rPr>
            <w:rStyle w:val="Hyperlink"/>
            <w:noProof/>
            <w:lang w:val="en-GB"/>
          </w:rPr>
          <w:t>ANNEX 1: cept Mandate</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_Toc42722882 \h </w:instrText>
        </w:r>
        <w:r w:rsidR="00343DCF" w:rsidRPr="008946B0">
          <w:rPr>
            <w:noProof/>
            <w:webHidden/>
            <w:lang w:val="en-GB"/>
          </w:rPr>
        </w:r>
        <w:r w:rsidR="00343DCF" w:rsidRPr="008946B0">
          <w:rPr>
            <w:noProof/>
            <w:webHidden/>
            <w:lang w:val="en-GB"/>
          </w:rPr>
          <w:fldChar w:fldCharType="separate"/>
        </w:r>
        <w:r w:rsidR="00893DA5">
          <w:rPr>
            <w:noProof/>
            <w:webHidden/>
            <w:lang w:val="en-GB"/>
          </w:rPr>
          <w:t>42</w:t>
        </w:r>
        <w:r w:rsidR="00343DCF" w:rsidRPr="008946B0">
          <w:rPr>
            <w:noProof/>
            <w:webHidden/>
            <w:lang w:val="en-GB"/>
          </w:rPr>
          <w:fldChar w:fldCharType="end"/>
        </w:r>
      </w:hyperlink>
    </w:p>
    <w:p w14:paraId="6847CCC2" w14:textId="6CD5836F" w:rsidR="00343DCF" w:rsidRPr="008946B0" w:rsidRDefault="003D5261" w:rsidP="002C16F1">
      <w:pPr>
        <w:pStyle w:val="TOC1"/>
        <w:spacing w:after="0"/>
        <w:rPr>
          <w:rFonts w:asciiTheme="minorHAnsi" w:eastAsiaTheme="minorEastAsia" w:hAnsiTheme="minorHAnsi" w:cstheme="minorBidi"/>
          <w:b w:val="0"/>
          <w:caps w:val="0"/>
          <w:noProof/>
          <w:sz w:val="22"/>
          <w:szCs w:val="22"/>
          <w:lang w:val="en-GB" w:eastAsia="fr-FR"/>
        </w:rPr>
      </w:pPr>
      <w:hyperlink w:anchor="_Toc42722883" w:history="1">
        <w:r w:rsidR="00343DCF" w:rsidRPr="008946B0">
          <w:rPr>
            <w:rStyle w:val="Hyperlink"/>
            <w:noProof/>
            <w:lang w:val="en-GB"/>
          </w:rPr>
          <w:t>ANNEX 2: list of references</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_Toc42722883 \h </w:instrText>
        </w:r>
        <w:r w:rsidR="00343DCF" w:rsidRPr="008946B0">
          <w:rPr>
            <w:noProof/>
            <w:webHidden/>
            <w:lang w:val="en-GB"/>
          </w:rPr>
        </w:r>
        <w:r w:rsidR="00343DCF" w:rsidRPr="008946B0">
          <w:rPr>
            <w:noProof/>
            <w:webHidden/>
            <w:lang w:val="en-GB"/>
          </w:rPr>
          <w:fldChar w:fldCharType="separate"/>
        </w:r>
        <w:r w:rsidR="00893DA5">
          <w:rPr>
            <w:noProof/>
            <w:webHidden/>
            <w:lang w:val="en-GB"/>
          </w:rPr>
          <w:t>48</w:t>
        </w:r>
        <w:r w:rsidR="00343DCF" w:rsidRPr="008946B0">
          <w:rPr>
            <w:noProof/>
            <w:webHidden/>
            <w:lang w:val="en-GB"/>
          </w:rPr>
          <w:fldChar w:fldCharType="end"/>
        </w:r>
      </w:hyperlink>
    </w:p>
    <w:p w14:paraId="0629CB86" w14:textId="56203D59" w:rsidR="005A47F3" w:rsidRPr="008946B0" w:rsidRDefault="00AB77EF" w:rsidP="00630B4C">
      <w:pPr>
        <w:spacing w:after="60" w:line="240" w:lineRule="auto"/>
        <w:rPr>
          <w:lang w:val="en-GB"/>
        </w:rPr>
      </w:pPr>
      <w:r w:rsidRPr="008946B0">
        <w:rPr>
          <w:caps/>
          <w:lang w:val="en-GB"/>
        </w:rPr>
        <w:fldChar w:fldCharType="end"/>
      </w:r>
      <w:r w:rsidRPr="008946B0">
        <w:rPr>
          <w:lang w:val="en-GB"/>
        </w:rPr>
        <w:br w:type="page"/>
      </w:r>
    </w:p>
    <w:p w14:paraId="0C719253" w14:textId="77777777" w:rsidR="005A47F3" w:rsidRPr="008946B0" w:rsidRDefault="00AB77EF">
      <w:pPr>
        <w:spacing w:after="0" w:line="240" w:lineRule="auto"/>
        <w:rPr>
          <w:b/>
          <w:color w:val="FFFFFF"/>
          <w:szCs w:val="20"/>
          <w:lang w:val="en-GB"/>
        </w:rPr>
      </w:pPr>
      <w:r w:rsidRPr="008946B0">
        <w:rPr>
          <w:b/>
          <w:noProof/>
          <w:color w:val="FFFFFF"/>
          <w:szCs w:val="20"/>
          <w:lang w:val="fr-FR" w:eastAsia="fr-FR"/>
        </w:rPr>
        <w:lastRenderedPageBreak/>
        <mc:AlternateContent>
          <mc:Choice Requires="wps">
            <w:drawing>
              <wp:anchor distT="0" distB="0" distL="114300" distR="114300" simplePos="0" relativeHeight="251654656" behindDoc="1" locked="0" layoutInCell="1" allowOverlap="1" wp14:anchorId="35524181" wp14:editId="32721982">
                <wp:simplePos x="0" y="0"/>
                <wp:positionH relativeFrom="page">
                  <wp:posOffset>-22733</wp:posOffset>
                </wp:positionH>
                <wp:positionV relativeFrom="page">
                  <wp:posOffset>900430</wp:posOffset>
                </wp:positionV>
                <wp:extent cx="7560310" cy="720090"/>
                <wp:effectExtent l="0" t="0" r="2540" b="3810"/>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wps:spPr>
                      <wps:bodyPr rot="0" vert="horz" wrap="square" lIns="91440" tIns="45720" rIns="91440" bIns="45720" anchor="t" anchorCtr="0" upright="1">
                        <a:noAutofit/>
                      </wps:bodyPr>
                    </wps:wsp>
                  </a:graphicData>
                </a:graphic>
              </wp:anchor>
            </w:drawing>
          </mc:Choice>
          <mc:Fallback>
            <w:pict>
              <v:rect w14:anchorId="79B5F1CE" id="Rectangle 22" o:spid="_x0000_s1026" style="position:absolute;margin-left:-1.8pt;margin-top:70.9pt;width:595.3pt;height:56.7pt;z-index:-251661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" fillcolor="#b0a696" stroked="f">
                <w10:wrap anchorx="page" anchory="page"/>
              </v:rect>
            </w:pict>
          </mc:Fallback>
        </mc:AlternateContent>
      </w:r>
    </w:p>
    <w:p w14:paraId="7C0727EE" w14:textId="77777777" w:rsidR="005A47F3" w:rsidRPr="008946B0" w:rsidRDefault="005A47F3">
      <w:pPr>
        <w:spacing w:after="0" w:line="240" w:lineRule="auto"/>
        <w:rPr>
          <w:b/>
          <w:color w:val="FFFFFF"/>
          <w:szCs w:val="20"/>
          <w:lang w:val="en-GB"/>
        </w:rPr>
      </w:pPr>
    </w:p>
    <w:p w14:paraId="3993D4FD" w14:textId="77777777" w:rsidR="005A47F3" w:rsidRPr="008946B0" w:rsidRDefault="00AB77EF">
      <w:pPr>
        <w:spacing w:after="0" w:line="240" w:lineRule="auto"/>
        <w:rPr>
          <w:b/>
          <w:color w:val="FFFFFF"/>
          <w:szCs w:val="20"/>
          <w:lang w:val="en-GB"/>
        </w:rPr>
      </w:pPr>
      <w:r w:rsidRPr="008946B0">
        <w:rPr>
          <w:b/>
          <w:color w:val="FFFFFF"/>
          <w:szCs w:val="20"/>
          <w:lang w:val="en-GB"/>
        </w:rPr>
        <w:t>LIST OF ABBREVIATIONS</w:t>
      </w:r>
    </w:p>
    <w:p w14:paraId="775ECDBE" w14:textId="77777777" w:rsidR="005A47F3" w:rsidRPr="008946B0" w:rsidRDefault="005A47F3">
      <w:pPr>
        <w:spacing w:after="0" w:line="240" w:lineRule="auto"/>
        <w:rPr>
          <w:b/>
          <w:color w:val="FFFFFF"/>
          <w:szCs w:val="20"/>
          <w:lang w:val="en-GB"/>
        </w:rPr>
      </w:pPr>
    </w:p>
    <w:p w14:paraId="0B07D814" w14:textId="77777777" w:rsidR="005A47F3" w:rsidRPr="008946B0" w:rsidRDefault="005A47F3">
      <w:pPr>
        <w:spacing w:after="0" w:line="240" w:lineRule="auto"/>
        <w:rPr>
          <w:b/>
          <w:color w:val="FFFFFF"/>
          <w:szCs w:val="20"/>
          <w:lang w:val="en-GB"/>
        </w:rPr>
      </w:pPr>
    </w:p>
    <w:p w14:paraId="46F93A07" w14:textId="77777777" w:rsidR="005A47F3" w:rsidRPr="008946B0" w:rsidRDefault="005A47F3">
      <w:pPr>
        <w:spacing w:after="0" w:line="240" w:lineRule="auto"/>
        <w:rPr>
          <w:lang w:val="en-GB"/>
        </w:rPr>
      </w:pPr>
    </w:p>
    <w:p w14:paraId="6233F250" w14:textId="77777777" w:rsidR="005A47F3" w:rsidRPr="008946B0" w:rsidRDefault="005A47F3">
      <w:pPr>
        <w:spacing w:after="0" w:line="240" w:lineRule="auto"/>
        <w:rPr>
          <w:lang w:val="en-GB"/>
        </w:rPr>
      </w:pPr>
    </w:p>
    <w:tbl>
      <w:tblPr>
        <w:tblW w:w="9855" w:type="dxa"/>
        <w:tblLayout w:type="fixed"/>
        <w:tblCellMar>
          <w:top w:w="11" w:type="dxa"/>
          <w:bottom w:w="11" w:type="dxa"/>
        </w:tblCellMar>
        <w:tblLook w:val="04A0" w:firstRow="1" w:lastRow="0" w:firstColumn="1" w:lastColumn="0" w:noHBand="0" w:noVBand="1"/>
      </w:tblPr>
      <w:tblGrid>
        <w:gridCol w:w="2088"/>
        <w:gridCol w:w="7767"/>
      </w:tblGrid>
      <w:tr w:rsidR="005A47F3" w:rsidRPr="008946B0" w14:paraId="20DE4518" w14:textId="77777777">
        <w:trPr>
          <w:trHeight w:val="76"/>
        </w:trPr>
        <w:tc>
          <w:tcPr>
            <w:tcW w:w="2088" w:type="dxa"/>
          </w:tcPr>
          <w:p w14:paraId="7DE3C3BF" w14:textId="77777777" w:rsidR="005A47F3" w:rsidRPr="008946B0" w:rsidRDefault="00AB77EF">
            <w:pPr>
              <w:spacing w:line="288" w:lineRule="auto"/>
              <w:rPr>
                <w:b/>
                <w:color w:val="D2232A"/>
                <w:lang w:val="en-GB"/>
              </w:rPr>
            </w:pPr>
            <w:r w:rsidRPr="008946B0">
              <w:rPr>
                <w:b/>
                <w:color w:val="D2232A"/>
                <w:lang w:val="en-GB"/>
              </w:rPr>
              <w:t>Abbreviation</w:t>
            </w:r>
          </w:p>
        </w:tc>
        <w:tc>
          <w:tcPr>
            <w:tcW w:w="7767" w:type="dxa"/>
          </w:tcPr>
          <w:p w14:paraId="25D96AAD" w14:textId="77777777" w:rsidR="005A47F3" w:rsidRPr="008946B0" w:rsidRDefault="00AB77EF">
            <w:pPr>
              <w:spacing w:line="288" w:lineRule="auto"/>
              <w:rPr>
                <w:b/>
                <w:color w:val="D2232A"/>
                <w:lang w:val="en-GB"/>
              </w:rPr>
            </w:pPr>
            <w:r w:rsidRPr="008946B0">
              <w:rPr>
                <w:b/>
                <w:color w:val="D2232A"/>
                <w:lang w:val="en-GB"/>
              </w:rPr>
              <w:t>Explanation</w:t>
            </w:r>
          </w:p>
        </w:tc>
      </w:tr>
      <w:tr w:rsidR="005A47F3" w:rsidRPr="008946B0" w14:paraId="2E0F1D4E" w14:textId="77777777">
        <w:tc>
          <w:tcPr>
            <w:tcW w:w="2088" w:type="dxa"/>
            <w:vAlign w:val="center"/>
          </w:tcPr>
          <w:p w14:paraId="0A0D5FD2" w14:textId="77777777" w:rsidR="005A47F3" w:rsidRPr="008946B0" w:rsidRDefault="00AB77EF">
            <w:pPr>
              <w:pStyle w:val="ECCTabletext"/>
              <w:jc w:val="left"/>
              <w:rPr>
                <w:rStyle w:val="ECCHLbold"/>
              </w:rPr>
            </w:pPr>
            <w:r w:rsidRPr="008946B0">
              <w:rPr>
                <w:rStyle w:val="ECCHLbold"/>
              </w:rPr>
              <w:t>AAS</w:t>
            </w:r>
          </w:p>
        </w:tc>
        <w:tc>
          <w:tcPr>
            <w:tcW w:w="7767" w:type="dxa"/>
            <w:vAlign w:val="center"/>
          </w:tcPr>
          <w:p w14:paraId="3E21B44F" w14:textId="77777777" w:rsidR="005A47F3" w:rsidRPr="008946B0" w:rsidRDefault="00AB77EF">
            <w:pPr>
              <w:pStyle w:val="ECCTabletext"/>
              <w:jc w:val="left"/>
              <w:rPr>
                <w:lang w:eastAsia="de-DE"/>
              </w:rPr>
            </w:pPr>
            <w:r w:rsidRPr="008946B0">
              <w:rPr>
                <w:lang w:eastAsia="de-DE"/>
              </w:rPr>
              <w:t>Active Antenna System</w:t>
            </w:r>
          </w:p>
        </w:tc>
      </w:tr>
      <w:tr w:rsidR="005A47F3" w:rsidRPr="008946B0" w14:paraId="6C231A04" w14:textId="77777777">
        <w:tc>
          <w:tcPr>
            <w:tcW w:w="2088" w:type="dxa"/>
            <w:vAlign w:val="center"/>
          </w:tcPr>
          <w:p w14:paraId="14E414AD" w14:textId="77777777" w:rsidR="005A47F3" w:rsidRPr="008946B0" w:rsidRDefault="00AB77EF">
            <w:pPr>
              <w:pStyle w:val="ECCTabletext"/>
              <w:jc w:val="left"/>
              <w:rPr>
                <w:rStyle w:val="ECCHLbold"/>
              </w:rPr>
            </w:pPr>
            <w:r w:rsidRPr="008946B0">
              <w:rPr>
                <w:rStyle w:val="ECCHLbold"/>
              </w:rPr>
              <w:t>ACLR</w:t>
            </w:r>
          </w:p>
        </w:tc>
        <w:tc>
          <w:tcPr>
            <w:tcW w:w="7767" w:type="dxa"/>
            <w:vAlign w:val="center"/>
          </w:tcPr>
          <w:p w14:paraId="0CF9F470" w14:textId="7AA9A421" w:rsidR="005A47F3" w:rsidRPr="008946B0" w:rsidRDefault="00AB77EF">
            <w:pPr>
              <w:pStyle w:val="ECCTabletext"/>
              <w:jc w:val="left"/>
              <w:rPr>
                <w:lang w:eastAsia="de-DE"/>
              </w:rPr>
            </w:pPr>
            <w:r w:rsidRPr="008946B0">
              <w:rPr>
                <w:lang w:eastAsia="de-DE"/>
              </w:rPr>
              <w:t xml:space="preserve">Adjacent Channel Leakage </w:t>
            </w:r>
            <w:proofErr w:type="gramStart"/>
            <w:r w:rsidR="00FE3890" w:rsidRPr="008946B0">
              <w:rPr>
                <w:lang w:eastAsia="de-DE"/>
              </w:rPr>
              <w:t>power</w:t>
            </w:r>
            <w:proofErr w:type="gramEnd"/>
            <w:r w:rsidR="00FE3890" w:rsidRPr="008946B0">
              <w:rPr>
                <w:lang w:eastAsia="de-DE"/>
              </w:rPr>
              <w:t xml:space="preserve"> </w:t>
            </w:r>
            <w:r w:rsidRPr="008946B0">
              <w:rPr>
                <w:lang w:eastAsia="de-DE"/>
              </w:rPr>
              <w:t>Ratio</w:t>
            </w:r>
          </w:p>
        </w:tc>
      </w:tr>
      <w:tr w:rsidR="006A1193" w:rsidRPr="008946B0" w14:paraId="5A9A5032" w14:textId="77777777">
        <w:tc>
          <w:tcPr>
            <w:tcW w:w="2088" w:type="dxa"/>
            <w:vAlign w:val="center"/>
          </w:tcPr>
          <w:p w14:paraId="3B06806A" w14:textId="6D037796" w:rsidR="006A1193" w:rsidRPr="008946B0" w:rsidRDefault="006A1193">
            <w:pPr>
              <w:pStyle w:val="ECCTabletext"/>
              <w:jc w:val="left"/>
              <w:rPr>
                <w:rStyle w:val="ECCHLbold"/>
              </w:rPr>
            </w:pPr>
            <w:r w:rsidRPr="008946B0">
              <w:rPr>
                <w:rStyle w:val="ECCHLbold"/>
              </w:rPr>
              <w:t>ACS</w:t>
            </w:r>
          </w:p>
        </w:tc>
        <w:tc>
          <w:tcPr>
            <w:tcW w:w="7767" w:type="dxa"/>
            <w:vAlign w:val="center"/>
          </w:tcPr>
          <w:p w14:paraId="03792C04" w14:textId="283EFC12" w:rsidR="006A1193" w:rsidRPr="008946B0" w:rsidRDefault="006A1193">
            <w:pPr>
              <w:pStyle w:val="ECCTabletext"/>
              <w:jc w:val="left"/>
              <w:rPr>
                <w:lang w:eastAsia="de-DE"/>
              </w:rPr>
            </w:pPr>
            <w:r w:rsidRPr="008946B0">
              <w:rPr>
                <w:lang w:eastAsia="de-DE"/>
              </w:rPr>
              <w:t>Adjacent Channel Selectivity</w:t>
            </w:r>
          </w:p>
        </w:tc>
      </w:tr>
      <w:tr w:rsidR="005A47F3" w:rsidRPr="008946B0" w14:paraId="5029FBCB" w14:textId="77777777">
        <w:tc>
          <w:tcPr>
            <w:tcW w:w="2088" w:type="dxa"/>
            <w:vAlign w:val="center"/>
          </w:tcPr>
          <w:p w14:paraId="19AA0789" w14:textId="77777777" w:rsidR="005A47F3" w:rsidRPr="008946B0" w:rsidRDefault="00AB77EF">
            <w:pPr>
              <w:pStyle w:val="ECCTabletext"/>
              <w:jc w:val="left"/>
              <w:rPr>
                <w:rStyle w:val="ECCHLbold"/>
                <w:lang w:eastAsia="de-DE"/>
              </w:rPr>
            </w:pPr>
            <w:r w:rsidRPr="008946B0">
              <w:rPr>
                <w:rStyle w:val="ECCHLbold"/>
              </w:rPr>
              <w:t>ARPU</w:t>
            </w:r>
          </w:p>
        </w:tc>
        <w:tc>
          <w:tcPr>
            <w:tcW w:w="7767" w:type="dxa"/>
            <w:vAlign w:val="center"/>
          </w:tcPr>
          <w:p w14:paraId="2AEFE4D1" w14:textId="77777777" w:rsidR="005A47F3" w:rsidRPr="008946B0" w:rsidRDefault="00AB77EF">
            <w:pPr>
              <w:pStyle w:val="ECCTabletext"/>
              <w:jc w:val="left"/>
              <w:rPr>
                <w:lang w:eastAsia="de-DE"/>
              </w:rPr>
            </w:pPr>
            <w:r w:rsidRPr="008946B0">
              <w:rPr>
                <w:lang w:eastAsia="de-DE"/>
              </w:rPr>
              <w:t>Average Revenue per User</w:t>
            </w:r>
          </w:p>
        </w:tc>
      </w:tr>
      <w:tr w:rsidR="005A47F3" w:rsidRPr="008946B0" w14:paraId="068FBFAF" w14:textId="77777777">
        <w:tc>
          <w:tcPr>
            <w:tcW w:w="2088" w:type="dxa"/>
            <w:vAlign w:val="center"/>
          </w:tcPr>
          <w:p w14:paraId="75AD7ABA" w14:textId="77777777" w:rsidR="005A47F3" w:rsidRPr="008946B0" w:rsidRDefault="00AB77EF">
            <w:pPr>
              <w:pStyle w:val="ECCTabletext"/>
              <w:jc w:val="left"/>
              <w:rPr>
                <w:rStyle w:val="ECCHLbold"/>
                <w:lang w:eastAsia="de-DE"/>
              </w:rPr>
            </w:pPr>
            <w:r w:rsidRPr="008946B0">
              <w:rPr>
                <w:rStyle w:val="ECCHLbold"/>
              </w:rPr>
              <w:t>ATC</w:t>
            </w:r>
          </w:p>
        </w:tc>
        <w:tc>
          <w:tcPr>
            <w:tcW w:w="7767" w:type="dxa"/>
            <w:vAlign w:val="center"/>
          </w:tcPr>
          <w:p w14:paraId="1B4A2590" w14:textId="77777777" w:rsidR="005A47F3" w:rsidRPr="008946B0" w:rsidRDefault="00AB77EF">
            <w:pPr>
              <w:pStyle w:val="ECCTabletext"/>
              <w:jc w:val="left"/>
              <w:rPr>
                <w:lang w:eastAsia="de-DE"/>
              </w:rPr>
            </w:pPr>
            <w:r w:rsidRPr="008946B0">
              <w:rPr>
                <w:lang w:eastAsia="de-DE"/>
              </w:rPr>
              <w:t>Automatic Train Control</w:t>
            </w:r>
          </w:p>
        </w:tc>
      </w:tr>
      <w:tr w:rsidR="005A47F3" w:rsidRPr="008946B0" w14:paraId="35447A33" w14:textId="77777777">
        <w:tc>
          <w:tcPr>
            <w:tcW w:w="2088" w:type="dxa"/>
            <w:vAlign w:val="center"/>
          </w:tcPr>
          <w:p w14:paraId="53B96328" w14:textId="77777777" w:rsidR="005A47F3" w:rsidRPr="008946B0" w:rsidRDefault="00AB77EF">
            <w:pPr>
              <w:pStyle w:val="ECCTabletext"/>
              <w:jc w:val="left"/>
              <w:rPr>
                <w:rStyle w:val="ECCHLbold"/>
                <w:lang w:eastAsia="de-DE"/>
              </w:rPr>
            </w:pPr>
            <w:r w:rsidRPr="008946B0">
              <w:rPr>
                <w:rStyle w:val="ECCHLbold"/>
                <w:lang w:eastAsia="de-DE"/>
              </w:rPr>
              <w:t>ATO</w:t>
            </w:r>
          </w:p>
        </w:tc>
        <w:tc>
          <w:tcPr>
            <w:tcW w:w="7767" w:type="dxa"/>
            <w:vAlign w:val="center"/>
          </w:tcPr>
          <w:p w14:paraId="0A1DD36C" w14:textId="77777777" w:rsidR="005A47F3" w:rsidRPr="008946B0" w:rsidRDefault="00AB77EF">
            <w:pPr>
              <w:pStyle w:val="ECCTabletext"/>
              <w:jc w:val="left"/>
              <w:rPr>
                <w:lang w:eastAsia="de-DE"/>
              </w:rPr>
            </w:pPr>
            <w:r w:rsidRPr="008946B0">
              <w:rPr>
                <w:lang w:eastAsia="de-DE"/>
              </w:rPr>
              <w:t>Automatic Train Operation</w:t>
            </w:r>
          </w:p>
        </w:tc>
      </w:tr>
      <w:tr w:rsidR="005A47F3" w:rsidRPr="008946B0" w14:paraId="4A67422F" w14:textId="77777777">
        <w:tc>
          <w:tcPr>
            <w:tcW w:w="2088" w:type="dxa"/>
            <w:vAlign w:val="center"/>
          </w:tcPr>
          <w:p w14:paraId="1F10D790" w14:textId="77777777" w:rsidR="005A47F3" w:rsidRPr="008946B0" w:rsidRDefault="00AB77EF">
            <w:pPr>
              <w:pStyle w:val="ECCTabletext"/>
              <w:jc w:val="left"/>
              <w:rPr>
                <w:rStyle w:val="ECCHLbold"/>
                <w:lang w:eastAsia="de-DE"/>
              </w:rPr>
            </w:pPr>
            <w:r w:rsidRPr="008946B0">
              <w:rPr>
                <w:rStyle w:val="ECCHLbold"/>
                <w:lang w:eastAsia="de-DE"/>
              </w:rPr>
              <w:t>ATP</w:t>
            </w:r>
          </w:p>
        </w:tc>
        <w:tc>
          <w:tcPr>
            <w:tcW w:w="7767" w:type="dxa"/>
            <w:vAlign w:val="center"/>
          </w:tcPr>
          <w:p w14:paraId="642A6B67" w14:textId="77777777" w:rsidR="005A47F3" w:rsidRPr="008946B0" w:rsidRDefault="00AB77EF">
            <w:pPr>
              <w:pStyle w:val="ECCTabletext"/>
              <w:jc w:val="left"/>
              <w:rPr>
                <w:lang w:eastAsia="de-DE"/>
              </w:rPr>
            </w:pPr>
            <w:r w:rsidRPr="008946B0">
              <w:rPr>
                <w:lang w:eastAsia="de-DE"/>
              </w:rPr>
              <w:t>Automatic Train Protection</w:t>
            </w:r>
          </w:p>
        </w:tc>
      </w:tr>
      <w:tr w:rsidR="005A47F3" w:rsidRPr="008946B0" w14:paraId="1D2EFB20" w14:textId="77777777">
        <w:tc>
          <w:tcPr>
            <w:tcW w:w="2088" w:type="dxa"/>
            <w:vAlign w:val="center"/>
          </w:tcPr>
          <w:p w14:paraId="7662D0E6" w14:textId="77777777" w:rsidR="005A47F3" w:rsidRPr="008946B0" w:rsidRDefault="00AB77EF">
            <w:pPr>
              <w:pStyle w:val="ECCTabletext"/>
              <w:jc w:val="left"/>
              <w:rPr>
                <w:rStyle w:val="ECCHLbold"/>
                <w:lang w:eastAsia="de-DE"/>
              </w:rPr>
            </w:pPr>
            <w:r w:rsidRPr="008946B0">
              <w:rPr>
                <w:rStyle w:val="ECCHLbold"/>
                <w:lang w:eastAsia="de-DE"/>
              </w:rPr>
              <w:t>BEM</w:t>
            </w:r>
          </w:p>
        </w:tc>
        <w:tc>
          <w:tcPr>
            <w:tcW w:w="7767" w:type="dxa"/>
            <w:vAlign w:val="center"/>
          </w:tcPr>
          <w:p w14:paraId="47F500DD" w14:textId="77777777" w:rsidR="005A47F3" w:rsidRPr="008946B0" w:rsidRDefault="00AB77EF">
            <w:pPr>
              <w:pStyle w:val="ECCTabletext"/>
              <w:jc w:val="left"/>
              <w:rPr>
                <w:lang w:eastAsia="de-DE"/>
              </w:rPr>
            </w:pPr>
            <w:r w:rsidRPr="008946B0">
              <w:rPr>
                <w:lang w:eastAsia="de-DE"/>
              </w:rPr>
              <w:t>Block Edge Mask</w:t>
            </w:r>
          </w:p>
        </w:tc>
      </w:tr>
      <w:tr w:rsidR="005A47F3" w:rsidRPr="008946B0" w14:paraId="203D9C57" w14:textId="77777777">
        <w:tc>
          <w:tcPr>
            <w:tcW w:w="2088" w:type="dxa"/>
            <w:vAlign w:val="center"/>
          </w:tcPr>
          <w:p w14:paraId="2E64B020" w14:textId="77777777" w:rsidR="005A47F3" w:rsidRPr="008946B0" w:rsidRDefault="00AB77EF">
            <w:pPr>
              <w:pStyle w:val="ECCTabletext"/>
              <w:jc w:val="left"/>
              <w:rPr>
                <w:rStyle w:val="ECCHLbold"/>
                <w:lang w:eastAsia="de-DE"/>
              </w:rPr>
            </w:pPr>
            <w:r w:rsidRPr="008946B0">
              <w:rPr>
                <w:rStyle w:val="ECCHLbold"/>
                <w:lang w:eastAsia="de-DE"/>
              </w:rPr>
              <w:t>BS</w:t>
            </w:r>
          </w:p>
        </w:tc>
        <w:tc>
          <w:tcPr>
            <w:tcW w:w="7767" w:type="dxa"/>
            <w:vAlign w:val="center"/>
          </w:tcPr>
          <w:p w14:paraId="67C589A0" w14:textId="77777777" w:rsidR="005A47F3" w:rsidRPr="008946B0" w:rsidRDefault="00AB77EF">
            <w:pPr>
              <w:pStyle w:val="ECCTabletext"/>
              <w:jc w:val="left"/>
              <w:rPr>
                <w:lang w:eastAsia="de-DE"/>
              </w:rPr>
            </w:pPr>
            <w:r w:rsidRPr="008946B0">
              <w:rPr>
                <w:lang w:eastAsia="de-DE"/>
              </w:rPr>
              <w:t>Base Station</w:t>
            </w:r>
          </w:p>
        </w:tc>
      </w:tr>
      <w:tr w:rsidR="005A47F3" w:rsidRPr="008946B0" w14:paraId="52E149B3" w14:textId="77777777">
        <w:tc>
          <w:tcPr>
            <w:tcW w:w="2088" w:type="dxa"/>
            <w:vAlign w:val="center"/>
          </w:tcPr>
          <w:p w14:paraId="76A36794" w14:textId="77777777" w:rsidR="005A47F3" w:rsidRPr="008946B0" w:rsidRDefault="00AB77EF">
            <w:pPr>
              <w:pStyle w:val="ECCTabletext"/>
              <w:jc w:val="left"/>
              <w:rPr>
                <w:rStyle w:val="ECCHLbold"/>
                <w:lang w:eastAsia="de-DE"/>
              </w:rPr>
            </w:pPr>
            <w:r w:rsidRPr="008946B0">
              <w:rPr>
                <w:rStyle w:val="ECCHLbold"/>
                <w:lang w:eastAsia="de-DE"/>
              </w:rPr>
              <w:t>CCS</w:t>
            </w:r>
          </w:p>
        </w:tc>
        <w:tc>
          <w:tcPr>
            <w:tcW w:w="7767" w:type="dxa"/>
            <w:vAlign w:val="center"/>
          </w:tcPr>
          <w:p w14:paraId="75C99EE2" w14:textId="77777777" w:rsidR="005A47F3" w:rsidRPr="008946B0" w:rsidRDefault="00AB77EF">
            <w:pPr>
              <w:pStyle w:val="ECCTabletext"/>
              <w:jc w:val="left"/>
              <w:rPr>
                <w:lang w:eastAsia="de-DE"/>
              </w:rPr>
            </w:pPr>
            <w:r w:rsidRPr="008946B0">
              <w:rPr>
                <w:lang w:eastAsia="de-DE"/>
              </w:rPr>
              <w:t>Control-Command and Signalling</w:t>
            </w:r>
          </w:p>
        </w:tc>
      </w:tr>
      <w:tr w:rsidR="005A47F3" w:rsidRPr="008946B0" w14:paraId="41F7799D" w14:textId="77777777">
        <w:tc>
          <w:tcPr>
            <w:tcW w:w="2088" w:type="dxa"/>
            <w:vAlign w:val="center"/>
          </w:tcPr>
          <w:p w14:paraId="27D52CC6" w14:textId="77777777" w:rsidR="005A47F3" w:rsidRPr="008946B0" w:rsidRDefault="00AB77EF">
            <w:pPr>
              <w:pStyle w:val="ECCTabletext"/>
              <w:jc w:val="left"/>
              <w:rPr>
                <w:rStyle w:val="ECCHLbold"/>
                <w:lang w:eastAsia="de-DE"/>
              </w:rPr>
            </w:pPr>
            <w:r w:rsidRPr="008946B0">
              <w:rPr>
                <w:rStyle w:val="ECCHLbold"/>
                <w:lang w:eastAsia="de-DE"/>
              </w:rPr>
              <w:t>CEPT</w:t>
            </w:r>
          </w:p>
        </w:tc>
        <w:tc>
          <w:tcPr>
            <w:tcW w:w="7767" w:type="dxa"/>
            <w:vAlign w:val="center"/>
          </w:tcPr>
          <w:p w14:paraId="38236C1E" w14:textId="77777777" w:rsidR="005A47F3" w:rsidRPr="008946B0" w:rsidRDefault="00AB77EF">
            <w:pPr>
              <w:pStyle w:val="ECCTabletext"/>
              <w:jc w:val="left"/>
              <w:rPr>
                <w:lang w:eastAsia="de-DE"/>
              </w:rPr>
            </w:pPr>
            <w:r w:rsidRPr="008946B0">
              <w:rPr>
                <w:lang w:eastAsia="de-DE"/>
              </w:rPr>
              <w:t>European Conference of Postal and Telecommunications Administrations</w:t>
            </w:r>
          </w:p>
        </w:tc>
      </w:tr>
      <w:tr w:rsidR="00D617FA" w:rsidRPr="008946B0" w14:paraId="39424995" w14:textId="77777777">
        <w:tc>
          <w:tcPr>
            <w:tcW w:w="2088" w:type="dxa"/>
            <w:vAlign w:val="center"/>
          </w:tcPr>
          <w:p w14:paraId="2B0C49CB" w14:textId="3F0DA9D4" w:rsidR="00D617FA" w:rsidRPr="008946B0" w:rsidRDefault="00D617FA">
            <w:pPr>
              <w:pStyle w:val="ECCTabletext"/>
              <w:jc w:val="left"/>
              <w:rPr>
                <w:rStyle w:val="ECCHLbold"/>
                <w:lang w:eastAsia="de-DE"/>
              </w:rPr>
            </w:pPr>
            <w:r w:rsidRPr="008946B0">
              <w:rPr>
                <w:rStyle w:val="ECCHLbold"/>
                <w:lang w:eastAsia="de-DE"/>
              </w:rPr>
              <w:t>COTS</w:t>
            </w:r>
          </w:p>
        </w:tc>
        <w:tc>
          <w:tcPr>
            <w:tcW w:w="7767" w:type="dxa"/>
            <w:vAlign w:val="center"/>
          </w:tcPr>
          <w:p w14:paraId="1177BAB4" w14:textId="489C0F0F" w:rsidR="00D617FA" w:rsidRPr="008946B0" w:rsidRDefault="00D617FA">
            <w:pPr>
              <w:pStyle w:val="ECCTabletext"/>
              <w:jc w:val="left"/>
              <w:rPr>
                <w:lang w:eastAsia="de-DE"/>
              </w:rPr>
            </w:pPr>
            <w:r w:rsidRPr="008946B0">
              <w:rPr>
                <w:lang w:eastAsia="de-DE"/>
              </w:rPr>
              <w:t>Commercial Off-The-Shelf</w:t>
            </w:r>
          </w:p>
        </w:tc>
      </w:tr>
      <w:tr w:rsidR="005A47F3" w:rsidRPr="008946B0" w14:paraId="561461E4" w14:textId="77777777">
        <w:tc>
          <w:tcPr>
            <w:tcW w:w="2088" w:type="dxa"/>
            <w:vAlign w:val="center"/>
          </w:tcPr>
          <w:p w14:paraId="4E015726" w14:textId="77777777" w:rsidR="005A47F3" w:rsidRPr="008946B0" w:rsidRDefault="00AB77EF">
            <w:pPr>
              <w:pStyle w:val="ECCTabletext"/>
              <w:jc w:val="left"/>
              <w:rPr>
                <w:rStyle w:val="ECCHLbold"/>
                <w:lang w:eastAsia="de-DE"/>
              </w:rPr>
            </w:pPr>
            <w:r w:rsidRPr="008946B0">
              <w:rPr>
                <w:rStyle w:val="ECCHLbold"/>
                <w:lang w:eastAsia="de-DE"/>
              </w:rPr>
              <w:t>DECT</w:t>
            </w:r>
          </w:p>
        </w:tc>
        <w:tc>
          <w:tcPr>
            <w:tcW w:w="7767" w:type="dxa"/>
            <w:vAlign w:val="center"/>
          </w:tcPr>
          <w:p w14:paraId="247921DA" w14:textId="77777777" w:rsidR="005A47F3" w:rsidRPr="008946B0" w:rsidRDefault="00AB77EF">
            <w:pPr>
              <w:pStyle w:val="ECCTabletext"/>
              <w:jc w:val="left"/>
              <w:rPr>
                <w:lang w:eastAsia="de-DE"/>
              </w:rPr>
            </w:pPr>
            <w:r w:rsidRPr="008946B0">
              <w:t>Digital Enhanced Cordless Telecommunications</w:t>
            </w:r>
          </w:p>
        </w:tc>
      </w:tr>
      <w:tr w:rsidR="006A1193" w:rsidRPr="008946B0" w14:paraId="0F590A4F" w14:textId="77777777">
        <w:tc>
          <w:tcPr>
            <w:tcW w:w="2088" w:type="dxa"/>
            <w:vAlign w:val="center"/>
          </w:tcPr>
          <w:p w14:paraId="1540F6E1" w14:textId="65ED3B75" w:rsidR="006A1193" w:rsidRPr="008946B0" w:rsidRDefault="006A1193">
            <w:pPr>
              <w:pStyle w:val="ECCTabletext"/>
              <w:jc w:val="left"/>
              <w:rPr>
                <w:rStyle w:val="ECCHLbold"/>
                <w:lang w:eastAsia="de-DE"/>
              </w:rPr>
            </w:pPr>
            <w:r w:rsidRPr="008946B0">
              <w:rPr>
                <w:rStyle w:val="ECCHLbold"/>
                <w:lang w:eastAsia="de-DE"/>
              </w:rPr>
              <w:t>DL</w:t>
            </w:r>
          </w:p>
        </w:tc>
        <w:tc>
          <w:tcPr>
            <w:tcW w:w="7767" w:type="dxa"/>
            <w:vAlign w:val="center"/>
          </w:tcPr>
          <w:p w14:paraId="784BCF35" w14:textId="2D58D6E7" w:rsidR="006A1193" w:rsidRPr="008946B0" w:rsidRDefault="006A1193">
            <w:pPr>
              <w:pStyle w:val="ECCTabletext"/>
              <w:jc w:val="left"/>
            </w:pPr>
            <w:r w:rsidRPr="008946B0">
              <w:t>Downlink</w:t>
            </w:r>
          </w:p>
        </w:tc>
      </w:tr>
      <w:tr w:rsidR="005A47F3" w:rsidRPr="008946B0" w14:paraId="1CB366CB" w14:textId="77777777">
        <w:tc>
          <w:tcPr>
            <w:tcW w:w="2088" w:type="dxa"/>
            <w:vAlign w:val="center"/>
          </w:tcPr>
          <w:p w14:paraId="66FC3C6C" w14:textId="77777777" w:rsidR="005A47F3" w:rsidRPr="008946B0" w:rsidRDefault="00AB77EF">
            <w:pPr>
              <w:pStyle w:val="ECCTabletext"/>
              <w:jc w:val="left"/>
              <w:rPr>
                <w:rStyle w:val="ECCHLbold"/>
                <w:lang w:eastAsia="de-DE"/>
              </w:rPr>
            </w:pPr>
            <w:r w:rsidRPr="008946B0">
              <w:rPr>
                <w:rStyle w:val="ECCHLbold"/>
                <w:lang w:eastAsia="de-DE"/>
              </w:rPr>
              <w:t>EC</w:t>
            </w:r>
          </w:p>
        </w:tc>
        <w:tc>
          <w:tcPr>
            <w:tcW w:w="7767" w:type="dxa"/>
            <w:vAlign w:val="center"/>
          </w:tcPr>
          <w:p w14:paraId="75A6D7D8" w14:textId="77777777" w:rsidR="005A47F3" w:rsidRPr="008946B0" w:rsidRDefault="00AB77EF">
            <w:pPr>
              <w:pStyle w:val="ECCTabletext"/>
              <w:jc w:val="left"/>
              <w:rPr>
                <w:lang w:eastAsia="de-DE"/>
              </w:rPr>
            </w:pPr>
            <w:r w:rsidRPr="008946B0">
              <w:rPr>
                <w:lang w:eastAsia="de-DE"/>
              </w:rPr>
              <w:t>European Commission</w:t>
            </w:r>
          </w:p>
        </w:tc>
      </w:tr>
      <w:tr w:rsidR="005A47F3" w:rsidRPr="008946B0" w14:paraId="24A872C1" w14:textId="77777777">
        <w:tc>
          <w:tcPr>
            <w:tcW w:w="2088" w:type="dxa"/>
            <w:vAlign w:val="center"/>
          </w:tcPr>
          <w:p w14:paraId="297B2DD3" w14:textId="77777777" w:rsidR="005A47F3" w:rsidRPr="008946B0" w:rsidRDefault="00AB77EF">
            <w:pPr>
              <w:pStyle w:val="ECCTabletext"/>
              <w:jc w:val="left"/>
              <w:rPr>
                <w:rStyle w:val="ECCHLbold"/>
                <w:lang w:eastAsia="de-DE"/>
              </w:rPr>
            </w:pPr>
            <w:r w:rsidRPr="008946B0">
              <w:rPr>
                <w:rStyle w:val="ECCHLbold"/>
                <w:lang w:eastAsia="de-DE"/>
              </w:rPr>
              <w:t>ECC</w:t>
            </w:r>
          </w:p>
        </w:tc>
        <w:tc>
          <w:tcPr>
            <w:tcW w:w="7767" w:type="dxa"/>
            <w:vAlign w:val="center"/>
          </w:tcPr>
          <w:p w14:paraId="7599B457" w14:textId="77777777" w:rsidR="005A47F3" w:rsidRPr="008946B0" w:rsidRDefault="00AB77EF">
            <w:pPr>
              <w:pStyle w:val="ECCTabletext"/>
              <w:jc w:val="left"/>
              <w:rPr>
                <w:lang w:eastAsia="de-DE"/>
              </w:rPr>
            </w:pPr>
            <w:r w:rsidRPr="008946B0">
              <w:rPr>
                <w:lang w:eastAsia="de-DE"/>
              </w:rPr>
              <w:t>Electronic Communications Committee</w:t>
            </w:r>
          </w:p>
        </w:tc>
      </w:tr>
      <w:tr w:rsidR="005A47F3" w:rsidRPr="008946B0" w14:paraId="20D12FEB" w14:textId="77777777">
        <w:tc>
          <w:tcPr>
            <w:tcW w:w="2088" w:type="dxa"/>
            <w:vAlign w:val="center"/>
          </w:tcPr>
          <w:p w14:paraId="6D472768" w14:textId="77777777" w:rsidR="005A47F3" w:rsidRPr="008946B0" w:rsidRDefault="00AB77EF">
            <w:pPr>
              <w:pStyle w:val="ECCTabletext"/>
              <w:jc w:val="left"/>
              <w:rPr>
                <w:rStyle w:val="ECCHLbold"/>
                <w:lang w:eastAsia="de-DE"/>
              </w:rPr>
            </w:pPr>
            <w:r w:rsidRPr="008946B0">
              <w:rPr>
                <w:rStyle w:val="ECCHLbold"/>
                <w:lang w:eastAsia="de-DE"/>
              </w:rPr>
              <w:t>ECS</w:t>
            </w:r>
          </w:p>
        </w:tc>
        <w:tc>
          <w:tcPr>
            <w:tcW w:w="7767" w:type="dxa"/>
            <w:vAlign w:val="center"/>
          </w:tcPr>
          <w:p w14:paraId="5DBFC40E" w14:textId="77777777" w:rsidR="005A47F3" w:rsidRPr="008946B0" w:rsidRDefault="00AB77EF">
            <w:pPr>
              <w:pStyle w:val="ECCTabletext"/>
              <w:jc w:val="left"/>
              <w:rPr>
                <w:lang w:eastAsia="de-DE"/>
              </w:rPr>
            </w:pPr>
            <w:r w:rsidRPr="008946B0">
              <w:rPr>
                <w:lang w:eastAsia="de-DE"/>
              </w:rPr>
              <w:t>Electronic Communications Services</w:t>
            </w:r>
          </w:p>
        </w:tc>
      </w:tr>
      <w:tr w:rsidR="005A47F3" w:rsidRPr="008946B0" w14:paraId="1DC8BE90" w14:textId="77777777">
        <w:tc>
          <w:tcPr>
            <w:tcW w:w="2088" w:type="dxa"/>
            <w:vAlign w:val="center"/>
          </w:tcPr>
          <w:p w14:paraId="14281441" w14:textId="77777777" w:rsidR="005A47F3" w:rsidRPr="008946B0" w:rsidRDefault="00AB77EF">
            <w:pPr>
              <w:pStyle w:val="ECCTabletext"/>
              <w:jc w:val="left"/>
              <w:rPr>
                <w:rStyle w:val="ECCHLbold"/>
                <w:lang w:eastAsia="de-DE"/>
              </w:rPr>
            </w:pPr>
            <w:r w:rsidRPr="008946B0">
              <w:rPr>
                <w:rStyle w:val="ECCHLbold"/>
                <w:lang w:eastAsia="de-DE"/>
              </w:rPr>
              <w:t>EDOR</w:t>
            </w:r>
          </w:p>
        </w:tc>
        <w:tc>
          <w:tcPr>
            <w:tcW w:w="7767" w:type="dxa"/>
            <w:vAlign w:val="center"/>
          </w:tcPr>
          <w:p w14:paraId="609DB8D5" w14:textId="77777777" w:rsidR="005A47F3" w:rsidRPr="008946B0" w:rsidRDefault="00AB77EF">
            <w:pPr>
              <w:pStyle w:val="ECCTabletext"/>
              <w:jc w:val="left"/>
              <w:rPr>
                <w:lang w:eastAsia="de-DE"/>
              </w:rPr>
            </w:pPr>
            <w:r w:rsidRPr="008946B0">
              <w:rPr>
                <w:lang w:eastAsia="de-DE"/>
              </w:rPr>
              <w:t>ETCS Data Only Radio</w:t>
            </w:r>
          </w:p>
        </w:tc>
      </w:tr>
      <w:tr w:rsidR="005A47F3" w:rsidRPr="008946B0" w14:paraId="16BB77EE" w14:textId="77777777">
        <w:tc>
          <w:tcPr>
            <w:tcW w:w="2088" w:type="dxa"/>
            <w:vAlign w:val="center"/>
          </w:tcPr>
          <w:p w14:paraId="39436577" w14:textId="77777777" w:rsidR="005A47F3" w:rsidRPr="008946B0" w:rsidRDefault="00AB77EF">
            <w:pPr>
              <w:pStyle w:val="ECCTabletext"/>
              <w:jc w:val="left"/>
              <w:rPr>
                <w:rStyle w:val="ECCHLbold"/>
                <w:lang w:eastAsia="de-DE"/>
              </w:rPr>
            </w:pPr>
            <w:r w:rsidRPr="008946B0">
              <w:rPr>
                <w:rStyle w:val="ECCHLbold"/>
                <w:lang w:eastAsia="de-DE"/>
              </w:rPr>
              <w:t>EDP</w:t>
            </w:r>
          </w:p>
        </w:tc>
        <w:tc>
          <w:tcPr>
            <w:tcW w:w="7767" w:type="dxa"/>
            <w:vAlign w:val="center"/>
          </w:tcPr>
          <w:p w14:paraId="6998672F" w14:textId="77777777" w:rsidR="005A47F3" w:rsidRPr="008946B0" w:rsidRDefault="00AB77EF">
            <w:pPr>
              <w:pStyle w:val="ECCTabletext"/>
              <w:jc w:val="left"/>
              <w:rPr>
                <w:szCs w:val="20"/>
                <w:lang w:eastAsia="de-DE"/>
              </w:rPr>
            </w:pPr>
            <w:r w:rsidRPr="008946B0">
              <w:t>European Deployment Plan</w:t>
            </w:r>
          </w:p>
        </w:tc>
      </w:tr>
      <w:tr w:rsidR="005A47F3" w:rsidRPr="008946B0" w14:paraId="5551E772" w14:textId="77777777">
        <w:tc>
          <w:tcPr>
            <w:tcW w:w="2088" w:type="dxa"/>
            <w:vAlign w:val="center"/>
          </w:tcPr>
          <w:p w14:paraId="30F4909F" w14:textId="77777777" w:rsidR="005A47F3" w:rsidRPr="008946B0" w:rsidRDefault="00AB77EF">
            <w:pPr>
              <w:pStyle w:val="ECCTabletext"/>
              <w:jc w:val="left"/>
              <w:rPr>
                <w:rStyle w:val="ECCHLbold"/>
                <w:lang w:eastAsia="de-DE"/>
              </w:rPr>
            </w:pPr>
            <w:r w:rsidRPr="008946B0">
              <w:rPr>
                <w:rStyle w:val="ECCHLbold"/>
                <w:lang w:eastAsia="de-DE"/>
              </w:rPr>
              <w:t>EIRENE</w:t>
            </w:r>
          </w:p>
        </w:tc>
        <w:tc>
          <w:tcPr>
            <w:tcW w:w="7767" w:type="dxa"/>
            <w:vAlign w:val="center"/>
          </w:tcPr>
          <w:p w14:paraId="315CEF37" w14:textId="77777777" w:rsidR="005A47F3" w:rsidRPr="008946B0" w:rsidRDefault="00AB77EF">
            <w:pPr>
              <w:pStyle w:val="ECCTabletext"/>
              <w:jc w:val="left"/>
              <w:rPr>
                <w:lang w:eastAsia="de-DE"/>
              </w:rPr>
            </w:pPr>
            <w:r w:rsidRPr="008946B0">
              <w:rPr>
                <w:szCs w:val="20"/>
                <w:lang w:eastAsia="de-DE"/>
              </w:rPr>
              <w:t>European Integrated Railway Radio Enhanced Network</w:t>
            </w:r>
          </w:p>
        </w:tc>
      </w:tr>
      <w:tr w:rsidR="005A47F3" w:rsidRPr="008946B0" w14:paraId="4EE6C894" w14:textId="77777777">
        <w:tc>
          <w:tcPr>
            <w:tcW w:w="2088" w:type="dxa"/>
            <w:vAlign w:val="center"/>
          </w:tcPr>
          <w:p w14:paraId="4228F1C8" w14:textId="77777777" w:rsidR="005A47F3" w:rsidRPr="008946B0" w:rsidRDefault="00AB77EF">
            <w:pPr>
              <w:pStyle w:val="ECCTabletext"/>
              <w:jc w:val="left"/>
              <w:rPr>
                <w:rStyle w:val="ECCHLbold"/>
                <w:lang w:eastAsia="de-DE"/>
              </w:rPr>
            </w:pPr>
            <w:r w:rsidRPr="008946B0">
              <w:rPr>
                <w:rStyle w:val="ECCHLbold"/>
                <w:lang w:eastAsia="de-DE"/>
              </w:rPr>
              <w:t>e.i.r.p.</w:t>
            </w:r>
          </w:p>
        </w:tc>
        <w:tc>
          <w:tcPr>
            <w:tcW w:w="7767" w:type="dxa"/>
            <w:vAlign w:val="center"/>
          </w:tcPr>
          <w:p w14:paraId="37D058AD" w14:textId="77777777" w:rsidR="005A47F3" w:rsidRPr="008946B0" w:rsidRDefault="00AB77EF">
            <w:pPr>
              <w:pStyle w:val="ECCTabletext"/>
              <w:jc w:val="left"/>
              <w:rPr>
                <w:szCs w:val="20"/>
                <w:lang w:eastAsia="de-DE"/>
              </w:rPr>
            </w:pPr>
            <w:r w:rsidRPr="008946B0">
              <w:rPr>
                <w:szCs w:val="20"/>
                <w:lang w:eastAsia="de-DE"/>
              </w:rPr>
              <w:t>Equivalent Isotropic Radiated Power</w:t>
            </w:r>
          </w:p>
        </w:tc>
      </w:tr>
      <w:tr w:rsidR="005A47F3" w:rsidRPr="008946B0" w14:paraId="4411CFCE" w14:textId="77777777">
        <w:tc>
          <w:tcPr>
            <w:tcW w:w="2088" w:type="dxa"/>
            <w:vAlign w:val="center"/>
          </w:tcPr>
          <w:p w14:paraId="06A9A68B" w14:textId="77777777" w:rsidR="005A47F3" w:rsidRPr="008946B0" w:rsidRDefault="00AB77EF">
            <w:pPr>
              <w:pStyle w:val="ECCTabletext"/>
              <w:jc w:val="left"/>
              <w:rPr>
                <w:rStyle w:val="ECCHLbold"/>
                <w:lang w:eastAsia="de-DE"/>
              </w:rPr>
            </w:pPr>
            <w:r w:rsidRPr="008946B0">
              <w:rPr>
                <w:rStyle w:val="ECCHLbold"/>
                <w:lang w:eastAsia="de-DE"/>
              </w:rPr>
              <w:t>ERA</w:t>
            </w:r>
          </w:p>
        </w:tc>
        <w:tc>
          <w:tcPr>
            <w:tcW w:w="7767" w:type="dxa"/>
            <w:vAlign w:val="center"/>
          </w:tcPr>
          <w:p w14:paraId="3566CEA1" w14:textId="77777777" w:rsidR="005A47F3" w:rsidRPr="008946B0" w:rsidRDefault="00AB77EF">
            <w:pPr>
              <w:pStyle w:val="ECCTabletext"/>
              <w:jc w:val="left"/>
              <w:rPr>
                <w:lang w:eastAsia="de-DE"/>
              </w:rPr>
            </w:pPr>
            <w:r w:rsidRPr="008946B0">
              <w:rPr>
                <w:lang w:eastAsia="de-DE"/>
              </w:rPr>
              <w:t>European Union Agency for Railways</w:t>
            </w:r>
          </w:p>
        </w:tc>
      </w:tr>
      <w:tr w:rsidR="005A47F3" w:rsidRPr="008946B0" w14:paraId="236DBBF9" w14:textId="77777777">
        <w:tc>
          <w:tcPr>
            <w:tcW w:w="2088" w:type="dxa"/>
            <w:vAlign w:val="center"/>
          </w:tcPr>
          <w:p w14:paraId="7A5DD917" w14:textId="77777777" w:rsidR="005A47F3" w:rsidRPr="008946B0" w:rsidRDefault="00AB77EF">
            <w:pPr>
              <w:pStyle w:val="ECCTabletext"/>
              <w:jc w:val="left"/>
              <w:rPr>
                <w:rStyle w:val="ECCHLbold"/>
                <w:lang w:eastAsia="de-DE"/>
              </w:rPr>
            </w:pPr>
            <w:r w:rsidRPr="008946B0">
              <w:rPr>
                <w:rStyle w:val="ECCHLbold"/>
                <w:lang w:eastAsia="de-DE"/>
              </w:rPr>
              <w:t>ERTMS</w:t>
            </w:r>
          </w:p>
        </w:tc>
        <w:tc>
          <w:tcPr>
            <w:tcW w:w="7767" w:type="dxa"/>
            <w:vAlign w:val="center"/>
          </w:tcPr>
          <w:p w14:paraId="7D5E3D97" w14:textId="77777777" w:rsidR="005A47F3" w:rsidRPr="008946B0" w:rsidRDefault="00AB77EF">
            <w:pPr>
              <w:pStyle w:val="ECCTabletext"/>
              <w:jc w:val="left"/>
              <w:rPr>
                <w:lang w:eastAsia="de-DE"/>
              </w:rPr>
            </w:pPr>
            <w:r w:rsidRPr="008946B0">
              <w:rPr>
                <w:lang w:eastAsia="de-DE"/>
              </w:rPr>
              <w:t>European Rail Traffic Management System</w:t>
            </w:r>
          </w:p>
        </w:tc>
      </w:tr>
      <w:tr w:rsidR="005A47F3" w:rsidRPr="008946B0" w14:paraId="0DC669AB" w14:textId="77777777">
        <w:tc>
          <w:tcPr>
            <w:tcW w:w="2088" w:type="dxa"/>
            <w:vAlign w:val="center"/>
          </w:tcPr>
          <w:p w14:paraId="43D10B82" w14:textId="77777777" w:rsidR="005A47F3" w:rsidRPr="008946B0" w:rsidRDefault="00AB77EF">
            <w:pPr>
              <w:pStyle w:val="ECCTabletext"/>
              <w:jc w:val="left"/>
              <w:rPr>
                <w:rStyle w:val="ECCHLbold"/>
                <w:lang w:eastAsia="de-DE"/>
              </w:rPr>
            </w:pPr>
            <w:r w:rsidRPr="008946B0">
              <w:rPr>
                <w:rStyle w:val="ECCHLbold"/>
                <w:lang w:eastAsia="de-DE"/>
              </w:rPr>
              <w:t>ETCS</w:t>
            </w:r>
          </w:p>
        </w:tc>
        <w:tc>
          <w:tcPr>
            <w:tcW w:w="7767" w:type="dxa"/>
            <w:vAlign w:val="center"/>
          </w:tcPr>
          <w:p w14:paraId="45B36214" w14:textId="77777777" w:rsidR="005A47F3" w:rsidRPr="008946B0" w:rsidRDefault="00AB77EF">
            <w:pPr>
              <w:pStyle w:val="ECCTabletext"/>
              <w:jc w:val="left"/>
              <w:rPr>
                <w:lang w:eastAsia="de-DE"/>
              </w:rPr>
            </w:pPr>
            <w:r w:rsidRPr="008946B0">
              <w:rPr>
                <w:lang w:eastAsia="de-DE"/>
              </w:rPr>
              <w:t>European Train Control System</w:t>
            </w:r>
          </w:p>
        </w:tc>
      </w:tr>
      <w:tr w:rsidR="005A47F3" w:rsidRPr="008946B0" w14:paraId="28AC1995" w14:textId="77777777">
        <w:tc>
          <w:tcPr>
            <w:tcW w:w="2088" w:type="dxa"/>
            <w:vAlign w:val="center"/>
          </w:tcPr>
          <w:p w14:paraId="0FD074C7" w14:textId="77777777" w:rsidR="005A47F3" w:rsidRPr="008946B0" w:rsidRDefault="00AB77EF">
            <w:pPr>
              <w:pStyle w:val="ECCTabletext"/>
              <w:jc w:val="left"/>
              <w:rPr>
                <w:rStyle w:val="ECCHLbold"/>
                <w:lang w:eastAsia="de-DE"/>
              </w:rPr>
            </w:pPr>
            <w:r w:rsidRPr="008946B0">
              <w:rPr>
                <w:rStyle w:val="ECCHLbold"/>
                <w:lang w:eastAsia="de-DE"/>
              </w:rPr>
              <w:t>ETSI</w:t>
            </w:r>
          </w:p>
        </w:tc>
        <w:tc>
          <w:tcPr>
            <w:tcW w:w="7767" w:type="dxa"/>
            <w:vAlign w:val="center"/>
          </w:tcPr>
          <w:p w14:paraId="4B1CBDD9" w14:textId="77777777" w:rsidR="005A47F3" w:rsidRPr="008946B0" w:rsidRDefault="00AB77EF">
            <w:pPr>
              <w:pStyle w:val="ECCTabletext"/>
              <w:jc w:val="left"/>
              <w:rPr>
                <w:lang w:eastAsia="de-DE"/>
              </w:rPr>
            </w:pPr>
            <w:r w:rsidRPr="008946B0">
              <w:rPr>
                <w:lang w:eastAsia="de-DE"/>
              </w:rPr>
              <w:t>European Telecommunications Standardisation Institute</w:t>
            </w:r>
          </w:p>
        </w:tc>
      </w:tr>
      <w:tr w:rsidR="005A47F3" w:rsidRPr="008946B0" w14:paraId="7E8AA26B" w14:textId="77777777">
        <w:tc>
          <w:tcPr>
            <w:tcW w:w="2088" w:type="dxa"/>
            <w:vAlign w:val="center"/>
          </w:tcPr>
          <w:p w14:paraId="6D5E243F" w14:textId="77777777" w:rsidR="005A47F3" w:rsidRPr="008946B0" w:rsidRDefault="00AB77EF">
            <w:pPr>
              <w:pStyle w:val="ECCTabletext"/>
              <w:jc w:val="left"/>
              <w:rPr>
                <w:rStyle w:val="ECCHLbold"/>
                <w:lang w:eastAsia="de-DE"/>
              </w:rPr>
            </w:pPr>
            <w:r w:rsidRPr="008946B0">
              <w:rPr>
                <w:rStyle w:val="ECCHLbold"/>
                <w:lang w:eastAsia="de-DE"/>
              </w:rPr>
              <w:t>EU</w:t>
            </w:r>
          </w:p>
        </w:tc>
        <w:tc>
          <w:tcPr>
            <w:tcW w:w="7767" w:type="dxa"/>
            <w:vAlign w:val="center"/>
          </w:tcPr>
          <w:p w14:paraId="4FA16ACA" w14:textId="77777777" w:rsidR="005A47F3" w:rsidRPr="008946B0" w:rsidRDefault="00AB77EF">
            <w:pPr>
              <w:pStyle w:val="ECCTabletext"/>
              <w:jc w:val="left"/>
              <w:rPr>
                <w:lang w:eastAsia="de-DE"/>
              </w:rPr>
            </w:pPr>
            <w:r w:rsidRPr="008946B0">
              <w:rPr>
                <w:lang w:eastAsia="de-DE"/>
              </w:rPr>
              <w:t>European Union</w:t>
            </w:r>
          </w:p>
        </w:tc>
      </w:tr>
      <w:tr w:rsidR="006A1193" w:rsidRPr="008946B0" w14:paraId="03047C6A" w14:textId="77777777">
        <w:tc>
          <w:tcPr>
            <w:tcW w:w="2088" w:type="dxa"/>
            <w:vAlign w:val="center"/>
          </w:tcPr>
          <w:p w14:paraId="0B723795" w14:textId="5E25A37B" w:rsidR="006A1193" w:rsidRPr="008946B0" w:rsidRDefault="006A1193">
            <w:pPr>
              <w:pStyle w:val="ECCTabletext"/>
              <w:jc w:val="left"/>
              <w:rPr>
                <w:rStyle w:val="ECCHLbold"/>
                <w:lang w:eastAsia="de-DE"/>
              </w:rPr>
            </w:pPr>
            <w:r w:rsidRPr="008946B0">
              <w:rPr>
                <w:rStyle w:val="ECCHLbold"/>
                <w:lang w:eastAsia="de-DE"/>
              </w:rPr>
              <w:t>FDD</w:t>
            </w:r>
          </w:p>
        </w:tc>
        <w:tc>
          <w:tcPr>
            <w:tcW w:w="7767" w:type="dxa"/>
            <w:vAlign w:val="center"/>
          </w:tcPr>
          <w:p w14:paraId="37CB0826" w14:textId="26DEA888" w:rsidR="006A1193" w:rsidRPr="008946B0" w:rsidRDefault="006A1193">
            <w:pPr>
              <w:pStyle w:val="ECCTabletext"/>
              <w:jc w:val="left"/>
              <w:rPr>
                <w:lang w:eastAsia="de-DE"/>
              </w:rPr>
            </w:pPr>
            <w:r w:rsidRPr="008946B0">
              <w:rPr>
                <w:lang w:eastAsia="de-DE"/>
              </w:rPr>
              <w:t>Frequency Division Duplex</w:t>
            </w:r>
          </w:p>
        </w:tc>
      </w:tr>
      <w:tr w:rsidR="005A47F3" w:rsidRPr="008946B0" w14:paraId="5F9CACB3" w14:textId="77777777">
        <w:tc>
          <w:tcPr>
            <w:tcW w:w="2088" w:type="dxa"/>
            <w:vAlign w:val="center"/>
          </w:tcPr>
          <w:p w14:paraId="2785D750" w14:textId="77777777" w:rsidR="005A47F3" w:rsidRPr="008946B0" w:rsidRDefault="00AB77EF">
            <w:pPr>
              <w:pStyle w:val="ECCTabletext"/>
              <w:jc w:val="left"/>
              <w:rPr>
                <w:rStyle w:val="ECCHLbold"/>
                <w:lang w:eastAsia="de-DE"/>
              </w:rPr>
            </w:pPr>
            <w:r w:rsidRPr="008946B0">
              <w:rPr>
                <w:rStyle w:val="ECCHLbold"/>
                <w:lang w:eastAsia="de-DE"/>
              </w:rPr>
              <w:t>FRMCS</w:t>
            </w:r>
          </w:p>
        </w:tc>
        <w:tc>
          <w:tcPr>
            <w:tcW w:w="7767" w:type="dxa"/>
            <w:vAlign w:val="center"/>
          </w:tcPr>
          <w:p w14:paraId="54A1D607" w14:textId="77777777" w:rsidR="005A47F3" w:rsidRPr="008946B0" w:rsidRDefault="00AB77EF">
            <w:pPr>
              <w:pStyle w:val="ECCTabletext"/>
              <w:jc w:val="left"/>
              <w:rPr>
                <w:lang w:eastAsia="de-DE"/>
              </w:rPr>
            </w:pPr>
            <w:r w:rsidRPr="008946B0">
              <w:rPr>
                <w:lang w:eastAsia="de-DE"/>
              </w:rPr>
              <w:t>Future Railway Mobile Communication System</w:t>
            </w:r>
          </w:p>
        </w:tc>
      </w:tr>
      <w:tr w:rsidR="005A47F3" w:rsidRPr="008946B0" w14:paraId="1785C806" w14:textId="77777777">
        <w:tc>
          <w:tcPr>
            <w:tcW w:w="2088" w:type="dxa"/>
            <w:vAlign w:val="center"/>
          </w:tcPr>
          <w:p w14:paraId="189A26EC" w14:textId="77777777" w:rsidR="005A47F3" w:rsidRPr="008946B0" w:rsidRDefault="00AB77EF">
            <w:pPr>
              <w:pStyle w:val="ECCTabletext"/>
              <w:jc w:val="left"/>
              <w:rPr>
                <w:rStyle w:val="ECCHLbold"/>
                <w:lang w:eastAsia="de-DE"/>
              </w:rPr>
            </w:pPr>
            <w:r w:rsidRPr="008946B0">
              <w:rPr>
                <w:rStyle w:val="ECCHLbold"/>
                <w:lang w:eastAsia="de-DE"/>
              </w:rPr>
              <w:t>FRS</w:t>
            </w:r>
          </w:p>
        </w:tc>
        <w:tc>
          <w:tcPr>
            <w:tcW w:w="7767" w:type="dxa"/>
            <w:vAlign w:val="center"/>
          </w:tcPr>
          <w:p w14:paraId="6CD3E1AE" w14:textId="77777777" w:rsidR="005A47F3" w:rsidRPr="008946B0" w:rsidRDefault="00AB77EF">
            <w:pPr>
              <w:pStyle w:val="ECCTabletext"/>
              <w:jc w:val="left"/>
              <w:rPr>
                <w:lang w:eastAsia="de-DE"/>
              </w:rPr>
            </w:pPr>
            <w:r w:rsidRPr="008946B0">
              <w:rPr>
                <w:lang w:eastAsia="de-DE"/>
              </w:rPr>
              <w:t>Functional Requirements Specification</w:t>
            </w:r>
          </w:p>
        </w:tc>
      </w:tr>
      <w:tr w:rsidR="005A47F3" w:rsidRPr="008946B0" w14:paraId="12DE70DB" w14:textId="77777777">
        <w:tc>
          <w:tcPr>
            <w:tcW w:w="2088" w:type="dxa"/>
            <w:vAlign w:val="center"/>
          </w:tcPr>
          <w:p w14:paraId="025752BE" w14:textId="77777777" w:rsidR="005A47F3" w:rsidRPr="008946B0" w:rsidRDefault="00AB77EF">
            <w:pPr>
              <w:pStyle w:val="ECCTabletext"/>
              <w:rPr>
                <w:rStyle w:val="ECCHLbold"/>
              </w:rPr>
            </w:pPr>
            <w:r w:rsidRPr="008946B0">
              <w:rPr>
                <w:rStyle w:val="ECCHLbold"/>
              </w:rPr>
              <w:t>GBR</w:t>
            </w:r>
          </w:p>
        </w:tc>
        <w:tc>
          <w:tcPr>
            <w:tcW w:w="7767" w:type="dxa"/>
            <w:vAlign w:val="center"/>
          </w:tcPr>
          <w:p w14:paraId="6B0DFE37" w14:textId="77777777" w:rsidR="005A47F3" w:rsidRPr="008946B0" w:rsidRDefault="00AB77EF">
            <w:pPr>
              <w:pStyle w:val="ECCTabletext"/>
            </w:pPr>
            <w:r w:rsidRPr="008946B0">
              <w:t>Guaranteed Bit Rate</w:t>
            </w:r>
          </w:p>
        </w:tc>
      </w:tr>
      <w:tr w:rsidR="005A47F3" w:rsidRPr="008946B0" w14:paraId="1E0FB0CA" w14:textId="77777777">
        <w:tc>
          <w:tcPr>
            <w:tcW w:w="2088" w:type="dxa"/>
            <w:vAlign w:val="center"/>
          </w:tcPr>
          <w:p w14:paraId="7A9C491D" w14:textId="77777777" w:rsidR="005A47F3" w:rsidRPr="008946B0" w:rsidRDefault="00AB77EF">
            <w:pPr>
              <w:pStyle w:val="ECCTabletext"/>
              <w:rPr>
                <w:rStyle w:val="ECCHLbold"/>
              </w:rPr>
            </w:pPr>
            <w:proofErr w:type="spellStart"/>
            <w:r w:rsidRPr="008946B0">
              <w:rPr>
                <w:rStyle w:val="ECCHLbold"/>
              </w:rPr>
              <w:t>GoA</w:t>
            </w:r>
            <w:proofErr w:type="spellEnd"/>
          </w:p>
        </w:tc>
        <w:tc>
          <w:tcPr>
            <w:tcW w:w="7767" w:type="dxa"/>
            <w:vAlign w:val="center"/>
          </w:tcPr>
          <w:p w14:paraId="58ADC948" w14:textId="77777777" w:rsidR="005A47F3" w:rsidRPr="008946B0" w:rsidRDefault="00AB77EF">
            <w:pPr>
              <w:pStyle w:val="ECCTabletext"/>
            </w:pPr>
            <w:r w:rsidRPr="008946B0">
              <w:t>Grade of Automation (4 levels)</w:t>
            </w:r>
          </w:p>
        </w:tc>
      </w:tr>
      <w:tr w:rsidR="005A47F3" w:rsidRPr="008946B0" w14:paraId="3DB055AB" w14:textId="77777777">
        <w:tc>
          <w:tcPr>
            <w:tcW w:w="2088" w:type="dxa"/>
            <w:vAlign w:val="center"/>
          </w:tcPr>
          <w:p w14:paraId="5AFE02DB" w14:textId="77777777" w:rsidR="005A47F3" w:rsidRPr="008946B0" w:rsidRDefault="00AB77EF">
            <w:pPr>
              <w:pStyle w:val="ECCTabletext"/>
              <w:rPr>
                <w:rStyle w:val="ECCHLbold"/>
              </w:rPr>
            </w:pPr>
            <w:r w:rsidRPr="008946B0">
              <w:rPr>
                <w:rStyle w:val="ECCHLbold"/>
              </w:rPr>
              <w:t>GSM</w:t>
            </w:r>
          </w:p>
        </w:tc>
        <w:tc>
          <w:tcPr>
            <w:tcW w:w="7767" w:type="dxa"/>
            <w:vAlign w:val="center"/>
          </w:tcPr>
          <w:p w14:paraId="5DC084B7" w14:textId="77777777" w:rsidR="005A47F3" w:rsidRPr="008946B0" w:rsidRDefault="00AB77EF">
            <w:pPr>
              <w:pStyle w:val="ECCTabletext"/>
            </w:pPr>
            <w:r w:rsidRPr="008946B0">
              <w:t>Global System for Mobile communications</w:t>
            </w:r>
          </w:p>
        </w:tc>
      </w:tr>
      <w:tr w:rsidR="005A47F3" w:rsidRPr="008946B0" w14:paraId="5592C936" w14:textId="77777777">
        <w:tc>
          <w:tcPr>
            <w:tcW w:w="2088" w:type="dxa"/>
            <w:vAlign w:val="center"/>
          </w:tcPr>
          <w:p w14:paraId="30D35E42" w14:textId="77777777" w:rsidR="005A47F3" w:rsidRPr="008946B0" w:rsidRDefault="00AB77EF">
            <w:pPr>
              <w:pStyle w:val="ECCTabletext"/>
              <w:rPr>
                <w:rStyle w:val="ECCHLbold"/>
              </w:rPr>
            </w:pPr>
            <w:r w:rsidRPr="008946B0">
              <w:rPr>
                <w:rStyle w:val="ECCHLbold"/>
              </w:rPr>
              <w:t>GSM-R</w:t>
            </w:r>
          </w:p>
        </w:tc>
        <w:tc>
          <w:tcPr>
            <w:tcW w:w="7767" w:type="dxa"/>
            <w:vAlign w:val="center"/>
          </w:tcPr>
          <w:p w14:paraId="37D3DB59" w14:textId="77777777" w:rsidR="005A47F3" w:rsidRPr="008946B0" w:rsidRDefault="00AB77EF">
            <w:pPr>
              <w:pStyle w:val="ECCTabletext"/>
            </w:pPr>
            <w:r w:rsidRPr="008946B0">
              <w:t>GSM for Railway</w:t>
            </w:r>
          </w:p>
        </w:tc>
      </w:tr>
      <w:tr w:rsidR="005A47F3" w:rsidRPr="008946B0" w14:paraId="029B52B6" w14:textId="77777777">
        <w:tc>
          <w:tcPr>
            <w:tcW w:w="2088" w:type="dxa"/>
            <w:vAlign w:val="center"/>
          </w:tcPr>
          <w:p w14:paraId="7B3DFB53" w14:textId="77777777" w:rsidR="005A47F3" w:rsidRPr="008946B0" w:rsidRDefault="00AB77EF">
            <w:pPr>
              <w:pStyle w:val="ECCTabletext"/>
              <w:rPr>
                <w:rStyle w:val="ECCHLbold"/>
              </w:rPr>
            </w:pPr>
            <w:r w:rsidRPr="008946B0">
              <w:rPr>
                <w:rStyle w:val="ECCHLbold"/>
              </w:rPr>
              <w:t>IAS</w:t>
            </w:r>
          </w:p>
        </w:tc>
        <w:tc>
          <w:tcPr>
            <w:tcW w:w="7767" w:type="dxa"/>
            <w:vAlign w:val="center"/>
          </w:tcPr>
          <w:p w14:paraId="13DF8FC6" w14:textId="77777777" w:rsidR="005A47F3" w:rsidRPr="008946B0" w:rsidRDefault="00AB77EF">
            <w:pPr>
              <w:pStyle w:val="ECCTabletext"/>
            </w:pPr>
            <w:r w:rsidRPr="008946B0">
              <w:t>Internet Access Service</w:t>
            </w:r>
          </w:p>
        </w:tc>
      </w:tr>
      <w:tr w:rsidR="005A47F3" w:rsidRPr="008946B0" w14:paraId="14806F73" w14:textId="77777777">
        <w:tc>
          <w:tcPr>
            <w:tcW w:w="2088" w:type="dxa"/>
            <w:vAlign w:val="center"/>
          </w:tcPr>
          <w:p w14:paraId="1BC0B0F0" w14:textId="77777777" w:rsidR="005A47F3" w:rsidRPr="008946B0" w:rsidRDefault="00AB77EF">
            <w:pPr>
              <w:pStyle w:val="ECCTabletext"/>
              <w:rPr>
                <w:rStyle w:val="ECCHLbold"/>
              </w:rPr>
            </w:pPr>
            <w:r w:rsidRPr="008946B0">
              <w:rPr>
                <w:rStyle w:val="ECCHLbold"/>
              </w:rPr>
              <w:lastRenderedPageBreak/>
              <w:t>IC</w:t>
            </w:r>
          </w:p>
        </w:tc>
        <w:tc>
          <w:tcPr>
            <w:tcW w:w="7767" w:type="dxa"/>
            <w:vAlign w:val="center"/>
          </w:tcPr>
          <w:p w14:paraId="4A50B018" w14:textId="77777777" w:rsidR="005A47F3" w:rsidRPr="008946B0" w:rsidRDefault="00AB77EF">
            <w:pPr>
              <w:pStyle w:val="ECCTabletext"/>
            </w:pPr>
            <w:r w:rsidRPr="008946B0">
              <w:t>Interoperability Constituent</w:t>
            </w:r>
          </w:p>
        </w:tc>
      </w:tr>
      <w:tr w:rsidR="005A47F3" w:rsidRPr="008946B0" w14:paraId="30D1C345" w14:textId="77777777">
        <w:tc>
          <w:tcPr>
            <w:tcW w:w="2088" w:type="dxa"/>
            <w:vAlign w:val="center"/>
          </w:tcPr>
          <w:p w14:paraId="1E404361" w14:textId="77777777" w:rsidR="005A47F3" w:rsidRPr="008946B0" w:rsidRDefault="00AB77EF">
            <w:pPr>
              <w:pStyle w:val="ECCTabletext"/>
              <w:rPr>
                <w:rStyle w:val="ECCHLbold"/>
              </w:rPr>
            </w:pPr>
            <w:r w:rsidRPr="008946B0">
              <w:rPr>
                <w:rStyle w:val="ECCHLbold"/>
              </w:rPr>
              <w:t>IM</w:t>
            </w:r>
          </w:p>
        </w:tc>
        <w:tc>
          <w:tcPr>
            <w:tcW w:w="7767" w:type="dxa"/>
            <w:vAlign w:val="center"/>
          </w:tcPr>
          <w:p w14:paraId="2265A759" w14:textId="77777777" w:rsidR="005A47F3" w:rsidRPr="008946B0" w:rsidRDefault="00AB77EF">
            <w:pPr>
              <w:pStyle w:val="ECCTabletext"/>
            </w:pPr>
            <w:r w:rsidRPr="008946B0">
              <w:t>Infrastructure Manager</w:t>
            </w:r>
          </w:p>
        </w:tc>
      </w:tr>
      <w:tr w:rsidR="005A47F3" w:rsidRPr="008946B0" w14:paraId="56ACF2ED" w14:textId="77777777">
        <w:tc>
          <w:tcPr>
            <w:tcW w:w="2088" w:type="dxa"/>
            <w:vAlign w:val="center"/>
          </w:tcPr>
          <w:p w14:paraId="7A3D01E8" w14:textId="77777777" w:rsidR="005A47F3" w:rsidRPr="008946B0" w:rsidRDefault="00AB77EF">
            <w:pPr>
              <w:pStyle w:val="ECCTabletext"/>
              <w:rPr>
                <w:rStyle w:val="ECCHLbold"/>
              </w:rPr>
            </w:pPr>
            <w:r w:rsidRPr="008946B0">
              <w:rPr>
                <w:rStyle w:val="ECCHLbold"/>
              </w:rPr>
              <w:t>IMS</w:t>
            </w:r>
          </w:p>
        </w:tc>
        <w:tc>
          <w:tcPr>
            <w:tcW w:w="7767" w:type="dxa"/>
            <w:vAlign w:val="center"/>
          </w:tcPr>
          <w:p w14:paraId="117F2B4D" w14:textId="77777777" w:rsidR="005A47F3" w:rsidRPr="008946B0" w:rsidRDefault="00AB77EF">
            <w:pPr>
              <w:pStyle w:val="ECCTabletext"/>
            </w:pPr>
            <w:r w:rsidRPr="008946B0">
              <w:t>IP Multimedia Subsystem</w:t>
            </w:r>
          </w:p>
        </w:tc>
      </w:tr>
      <w:tr w:rsidR="005A47F3" w:rsidRPr="008946B0" w14:paraId="07FE5EAE" w14:textId="77777777">
        <w:tc>
          <w:tcPr>
            <w:tcW w:w="2088" w:type="dxa"/>
            <w:vAlign w:val="center"/>
          </w:tcPr>
          <w:p w14:paraId="43F052A7" w14:textId="77777777" w:rsidR="005A47F3" w:rsidRPr="008946B0" w:rsidRDefault="00AB77EF">
            <w:pPr>
              <w:pStyle w:val="ECCTabletext"/>
              <w:rPr>
                <w:rStyle w:val="ECCHLbold"/>
              </w:rPr>
            </w:pPr>
            <w:r w:rsidRPr="008946B0">
              <w:rPr>
                <w:rStyle w:val="ECCHLbold"/>
              </w:rPr>
              <w:t>KPI</w:t>
            </w:r>
          </w:p>
        </w:tc>
        <w:tc>
          <w:tcPr>
            <w:tcW w:w="7767" w:type="dxa"/>
            <w:vAlign w:val="center"/>
          </w:tcPr>
          <w:p w14:paraId="759FA15D" w14:textId="77777777" w:rsidR="005A47F3" w:rsidRPr="008946B0" w:rsidRDefault="00AB77EF">
            <w:pPr>
              <w:pStyle w:val="ECCTabletext"/>
            </w:pPr>
            <w:r w:rsidRPr="008946B0">
              <w:t>Key Performance Indicator</w:t>
            </w:r>
          </w:p>
        </w:tc>
      </w:tr>
      <w:tr w:rsidR="005A47F3" w:rsidRPr="008946B0" w14:paraId="7DE22DCF" w14:textId="77777777">
        <w:tc>
          <w:tcPr>
            <w:tcW w:w="2088" w:type="dxa"/>
            <w:vAlign w:val="center"/>
          </w:tcPr>
          <w:p w14:paraId="4482F049" w14:textId="77777777" w:rsidR="005A47F3" w:rsidRPr="008946B0" w:rsidRDefault="00AB77EF">
            <w:pPr>
              <w:pStyle w:val="ECCTabletext"/>
              <w:rPr>
                <w:rStyle w:val="ECCHLbold"/>
              </w:rPr>
            </w:pPr>
            <w:r w:rsidRPr="008946B0">
              <w:rPr>
                <w:rStyle w:val="ECCHLbold"/>
              </w:rPr>
              <w:t>LAS</w:t>
            </w:r>
          </w:p>
        </w:tc>
        <w:tc>
          <w:tcPr>
            <w:tcW w:w="7767" w:type="dxa"/>
            <w:vAlign w:val="center"/>
          </w:tcPr>
          <w:p w14:paraId="6E48E766" w14:textId="77777777" w:rsidR="005A47F3" w:rsidRPr="008946B0" w:rsidRDefault="00AB77EF">
            <w:pPr>
              <w:pStyle w:val="ECCTabletext"/>
            </w:pPr>
            <w:r w:rsidRPr="008946B0">
              <w:t>Link Assurance Signal</w:t>
            </w:r>
          </w:p>
        </w:tc>
      </w:tr>
      <w:tr w:rsidR="005A47F3" w:rsidRPr="008946B0" w14:paraId="01782937" w14:textId="77777777">
        <w:tc>
          <w:tcPr>
            <w:tcW w:w="2088" w:type="dxa"/>
            <w:vAlign w:val="center"/>
          </w:tcPr>
          <w:p w14:paraId="690464D8" w14:textId="77777777" w:rsidR="005A47F3" w:rsidRPr="008946B0" w:rsidRDefault="00AB77EF">
            <w:pPr>
              <w:pStyle w:val="ECCTabletext"/>
              <w:rPr>
                <w:rStyle w:val="ECCHLbold"/>
              </w:rPr>
            </w:pPr>
            <w:r w:rsidRPr="008946B0">
              <w:rPr>
                <w:rStyle w:val="ECCHLbold"/>
              </w:rPr>
              <w:t>LRTC</w:t>
            </w:r>
          </w:p>
        </w:tc>
        <w:tc>
          <w:tcPr>
            <w:tcW w:w="7767" w:type="dxa"/>
            <w:vAlign w:val="center"/>
          </w:tcPr>
          <w:p w14:paraId="689D9C0A" w14:textId="77777777" w:rsidR="005A47F3" w:rsidRPr="008946B0" w:rsidRDefault="00AB77EF">
            <w:pPr>
              <w:pStyle w:val="ECCTabletext"/>
            </w:pPr>
            <w:r w:rsidRPr="008946B0">
              <w:t>Least Restrictive Technical Conditions</w:t>
            </w:r>
          </w:p>
        </w:tc>
      </w:tr>
      <w:tr w:rsidR="006A1193" w:rsidRPr="008946B0" w14:paraId="2CE8A1D5" w14:textId="77777777">
        <w:tc>
          <w:tcPr>
            <w:tcW w:w="2088" w:type="dxa"/>
            <w:vAlign w:val="center"/>
          </w:tcPr>
          <w:p w14:paraId="38CE819D" w14:textId="1AB0CDA7" w:rsidR="006A1193" w:rsidRPr="008946B0" w:rsidRDefault="006A1193">
            <w:pPr>
              <w:pStyle w:val="ECCTabletext"/>
              <w:rPr>
                <w:rStyle w:val="ECCHLbold"/>
              </w:rPr>
            </w:pPr>
            <w:r w:rsidRPr="008946B0">
              <w:rPr>
                <w:rStyle w:val="ECCHLbold"/>
              </w:rPr>
              <w:t>LSA</w:t>
            </w:r>
          </w:p>
        </w:tc>
        <w:tc>
          <w:tcPr>
            <w:tcW w:w="7767" w:type="dxa"/>
            <w:vAlign w:val="center"/>
          </w:tcPr>
          <w:p w14:paraId="654F43CB" w14:textId="5558C005" w:rsidR="006A1193" w:rsidRPr="008946B0" w:rsidRDefault="006A1193">
            <w:pPr>
              <w:pStyle w:val="ECCTabletext"/>
            </w:pPr>
            <w:r w:rsidRPr="008946B0">
              <w:t>Licensed Shared Access</w:t>
            </w:r>
          </w:p>
        </w:tc>
      </w:tr>
      <w:tr w:rsidR="006A1193" w:rsidRPr="008946B0" w14:paraId="01E3C95E" w14:textId="77777777">
        <w:tc>
          <w:tcPr>
            <w:tcW w:w="2088" w:type="dxa"/>
            <w:vAlign w:val="center"/>
          </w:tcPr>
          <w:p w14:paraId="6F8D68CC" w14:textId="0BCE437C" w:rsidR="006A1193" w:rsidRPr="008946B0" w:rsidRDefault="006A1193">
            <w:pPr>
              <w:pStyle w:val="ECCTabletext"/>
              <w:rPr>
                <w:rStyle w:val="ECCHLbold"/>
              </w:rPr>
            </w:pPr>
            <w:r w:rsidRPr="008946B0">
              <w:rPr>
                <w:rStyle w:val="ECCHLbold"/>
              </w:rPr>
              <w:t>MCL</w:t>
            </w:r>
          </w:p>
        </w:tc>
        <w:tc>
          <w:tcPr>
            <w:tcW w:w="7767" w:type="dxa"/>
            <w:vAlign w:val="center"/>
          </w:tcPr>
          <w:p w14:paraId="1EFA42DD" w14:textId="4B7BF13E" w:rsidR="006A1193" w:rsidRPr="008946B0" w:rsidRDefault="006A1193">
            <w:pPr>
              <w:pStyle w:val="ECCTabletext"/>
            </w:pPr>
            <w:r w:rsidRPr="008946B0">
              <w:t>Minimum Coupling Loss</w:t>
            </w:r>
          </w:p>
        </w:tc>
      </w:tr>
      <w:tr w:rsidR="005A47F3" w:rsidRPr="008946B0" w14:paraId="75B85B38" w14:textId="77777777">
        <w:tc>
          <w:tcPr>
            <w:tcW w:w="2088" w:type="dxa"/>
            <w:vAlign w:val="center"/>
          </w:tcPr>
          <w:p w14:paraId="79D1E6F0" w14:textId="77777777" w:rsidR="005A47F3" w:rsidRPr="008946B0" w:rsidRDefault="00AB77EF">
            <w:pPr>
              <w:pStyle w:val="ECCTabletext"/>
              <w:rPr>
                <w:rStyle w:val="ECCHLbold"/>
              </w:rPr>
            </w:pPr>
            <w:r w:rsidRPr="008946B0">
              <w:rPr>
                <w:rStyle w:val="ECCHLbold"/>
              </w:rPr>
              <w:t>MI</w:t>
            </w:r>
          </w:p>
        </w:tc>
        <w:tc>
          <w:tcPr>
            <w:tcW w:w="7767" w:type="dxa"/>
            <w:vAlign w:val="center"/>
          </w:tcPr>
          <w:p w14:paraId="04957BBB" w14:textId="77777777" w:rsidR="005A47F3" w:rsidRPr="008946B0" w:rsidRDefault="00AB77EF">
            <w:pPr>
              <w:pStyle w:val="ECCTabletext"/>
            </w:pPr>
            <w:r w:rsidRPr="008946B0">
              <w:t>Mandatory for Interoperability</w:t>
            </w:r>
          </w:p>
        </w:tc>
      </w:tr>
      <w:tr w:rsidR="005A47F3" w:rsidRPr="008946B0" w14:paraId="6A72E9B4" w14:textId="77777777">
        <w:tc>
          <w:tcPr>
            <w:tcW w:w="2088" w:type="dxa"/>
            <w:vAlign w:val="center"/>
          </w:tcPr>
          <w:p w14:paraId="3C906C94" w14:textId="77777777" w:rsidR="005A47F3" w:rsidRPr="008946B0" w:rsidRDefault="00AB77EF">
            <w:pPr>
              <w:pStyle w:val="ECCTabletext"/>
              <w:rPr>
                <w:rStyle w:val="ECCHLbold"/>
              </w:rPr>
            </w:pPr>
            <w:r w:rsidRPr="008946B0">
              <w:rPr>
                <w:rStyle w:val="ECCHLbold"/>
              </w:rPr>
              <w:t>MNO</w:t>
            </w:r>
          </w:p>
        </w:tc>
        <w:tc>
          <w:tcPr>
            <w:tcW w:w="7767" w:type="dxa"/>
            <w:vAlign w:val="center"/>
          </w:tcPr>
          <w:p w14:paraId="0BA23FB6" w14:textId="77777777" w:rsidR="005A47F3" w:rsidRPr="008946B0" w:rsidRDefault="00AB77EF">
            <w:pPr>
              <w:pStyle w:val="ECCTabletext"/>
            </w:pPr>
            <w:r w:rsidRPr="008946B0">
              <w:t>public Mobile Network Operator</w:t>
            </w:r>
          </w:p>
        </w:tc>
      </w:tr>
      <w:tr w:rsidR="005A47F3" w:rsidRPr="008946B0" w14:paraId="59351E0D" w14:textId="77777777">
        <w:tc>
          <w:tcPr>
            <w:tcW w:w="2088" w:type="dxa"/>
            <w:vAlign w:val="center"/>
          </w:tcPr>
          <w:p w14:paraId="557C8E42" w14:textId="77777777" w:rsidR="005A47F3" w:rsidRPr="008946B0" w:rsidRDefault="00AB77EF">
            <w:pPr>
              <w:pStyle w:val="ECCTabletext"/>
              <w:rPr>
                <w:rStyle w:val="ECCHLbold"/>
              </w:rPr>
            </w:pPr>
            <w:r w:rsidRPr="008946B0">
              <w:rPr>
                <w:rStyle w:val="ECCHLbold"/>
              </w:rPr>
              <w:t>MVNO</w:t>
            </w:r>
          </w:p>
        </w:tc>
        <w:tc>
          <w:tcPr>
            <w:tcW w:w="7767" w:type="dxa"/>
            <w:vAlign w:val="center"/>
          </w:tcPr>
          <w:p w14:paraId="266A5B16" w14:textId="77777777" w:rsidR="005A47F3" w:rsidRPr="008946B0" w:rsidRDefault="00AB77EF">
            <w:pPr>
              <w:pStyle w:val="ECCTabletext"/>
            </w:pPr>
            <w:r w:rsidRPr="008946B0">
              <w:t>Mobile Virtual Network Operator</w:t>
            </w:r>
          </w:p>
        </w:tc>
      </w:tr>
      <w:tr w:rsidR="005A47F3" w:rsidRPr="008946B0" w14:paraId="426D6E1F" w14:textId="77777777">
        <w:tc>
          <w:tcPr>
            <w:tcW w:w="2088" w:type="dxa"/>
            <w:vAlign w:val="center"/>
          </w:tcPr>
          <w:p w14:paraId="65CEC85D" w14:textId="77777777" w:rsidR="005A47F3" w:rsidRPr="008946B0" w:rsidRDefault="00AB77EF">
            <w:pPr>
              <w:pStyle w:val="ECCTabletext"/>
              <w:rPr>
                <w:rStyle w:val="ECCHLbold"/>
              </w:rPr>
            </w:pPr>
            <w:r w:rsidRPr="008946B0">
              <w:rPr>
                <w:rStyle w:val="ECCHLbold"/>
              </w:rPr>
              <w:t>NB-IoT</w:t>
            </w:r>
          </w:p>
        </w:tc>
        <w:tc>
          <w:tcPr>
            <w:tcW w:w="7767" w:type="dxa"/>
            <w:vAlign w:val="center"/>
          </w:tcPr>
          <w:p w14:paraId="48E98A5A" w14:textId="77777777" w:rsidR="005A47F3" w:rsidRPr="008946B0" w:rsidRDefault="00AB77EF">
            <w:pPr>
              <w:pStyle w:val="ECCTabletext"/>
            </w:pPr>
            <w:r w:rsidRPr="008946B0">
              <w:t>Narrowband Internet of Things</w:t>
            </w:r>
          </w:p>
        </w:tc>
      </w:tr>
      <w:tr w:rsidR="005A47F3" w:rsidRPr="008946B0" w14:paraId="22F7123E" w14:textId="77777777">
        <w:tc>
          <w:tcPr>
            <w:tcW w:w="2088" w:type="dxa"/>
            <w:vAlign w:val="center"/>
          </w:tcPr>
          <w:p w14:paraId="7B26636A" w14:textId="77777777" w:rsidR="005A47F3" w:rsidRPr="008946B0" w:rsidRDefault="00AB77EF">
            <w:pPr>
              <w:pStyle w:val="ECCTabletext"/>
              <w:rPr>
                <w:rStyle w:val="ECCHLbold"/>
              </w:rPr>
            </w:pPr>
            <w:r w:rsidRPr="008946B0">
              <w:rPr>
                <w:rStyle w:val="ECCHLbold"/>
              </w:rPr>
              <w:t>QoS</w:t>
            </w:r>
          </w:p>
        </w:tc>
        <w:tc>
          <w:tcPr>
            <w:tcW w:w="7767" w:type="dxa"/>
            <w:vAlign w:val="center"/>
          </w:tcPr>
          <w:p w14:paraId="0AC0D6A4" w14:textId="77777777" w:rsidR="005A47F3" w:rsidRPr="008946B0" w:rsidRDefault="00AB77EF">
            <w:pPr>
              <w:pStyle w:val="ECCTabletext"/>
            </w:pPr>
            <w:r w:rsidRPr="008946B0">
              <w:t>Quality of Service</w:t>
            </w:r>
          </w:p>
        </w:tc>
      </w:tr>
      <w:tr w:rsidR="005A47F3" w:rsidRPr="008946B0" w14:paraId="17F468A3" w14:textId="77777777">
        <w:tc>
          <w:tcPr>
            <w:tcW w:w="2088" w:type="dxa"/>
            <w:vAlign w:val="center"/>
          </w:tcPr>
          <w:p w14:paraId="7B83A4FE" w14:textId="77777777" w:rsidR="005A47F3" w:rsidRPr="008946B0" w:rsidRDefault="00AB77EF">
            <w:pPr>
              <w:pStyle w:val="ECCTabletext"/>
              <w:rPr>
                <w:rStyle w:val="ECCHLbold"/>
              </w:rPr>
            </w:pPr>
            <w:r w:rsidRPr="008946B0">
              <w:rPr>
                <w:rStyle w:val="ECCHLbold"/>
              </w:rPr>
              <w:t>RB</w:t>
            </w:r>
          </w:p>
        </w:tc>
        <w:tc>
          <w:tcPr>
            <w:tcW w:w="7767" w:type="dxa"/>
            <w:vAlign w:val="center"/>
          </w:tcPr>
          <w:p w14:paraId="045DA7A0" w14:textId="77777777" w:rsidR="005A47F3" w:rsidRPr="008946B0" w:rsidRDefault="00AB77EF">
            <w:pPr>
              <w:pStyle w:val="ECCTabletext"/>
            </w:pPr>
            <w:r w:rsidRPr="008946B0">
              <w:rPr>
                <w:lang w:eastAsia="de-DE"/>
              </w:rPr>
              <w:t>Resource Block</w:t>
            </w:r>
          </w:p>
        </w:tc>
      </w:tr>
      <w:tr w:rsidR="005A47F3" w:rsidRPr="008946B0" w14:paraId="33E45200" w14:textId="77777777">
        <w:tc>
          <w:tcPr>
            <w:tcW w:w="2088" w:type="dxa"/>
            <w:vAlign w:val="center"/>
          </w:tcPr>
          <w:p w14:paraId="165F01F2" w14:textId="77777777" w:rsidR="005A47F3" w:rsidRPr="008946B0" w:rsidRDefault="00AB77EF">
            <w:pPr>
              <w:pStyle w:val="ECCTabletext"/>
              <w:rPr>
                <w:rStyle w:val="ECCHLbold"/>
              </w:rPr>
            </w:pPr>
            <w:r w:rsidRPr="008946B0">
              <w:rPr>
                <w:rStyle w:val="ECCHLbold"/>
              </w:rPr>
              <w:t>RED</w:t>
            </w:r>
          </w:p>
        </w:tc>
        <w:tc>
          <w:tcPr>
            <w:tcW w:w="7767" w:type="dxa"/>
            <w:vAlign w:val="center"/>
          </w:tcPr>
          <w:p w14:paraId="55DA5464" w14:textId="77777777" w:rsidR="005A47F3" w:rsidRPr="008946B0" w:rsidRDefault="00AB77EF">
            <w:pPr>
              <w:pStyle w:val="ECCTabletext"/>
            </w:pPr>
            <w:r w:rsidRPr="008946B0">
              <w:t>Radio Equipment Directive</w:t>
            </w:r>
          </w:p>
        </w:tc>
      </w:tr>
      <w:tr w:rsidR="005A47F3" w:rsidRPr="008946B0" w14:paraId="2E077057" w14:textId="77777777">
        <w:tc>
          <w:tcPr>
            <w:tcW w:w="2088" w:type="dxa"/>
            <w:vAlign w:val="center"/>
          </w:tcPr>
          <w:p w14:paraId="592AA363" w14:textId="77777777" w:rsidR="005A47F3" w:rsidRPr="008946B0" w:rsidRDefault="00AB77EF">
            <w:pPr>
              <w:pStyle w:val="ECCTabletext"/>
              <w:rPr>
                <w:rStyle w:val="ECCHLbold"/>
              </w:rPr>
            </w:pPr>
            <w:r w:rsidRPr="008946B0">
              <w:rPr>
                <w:rStyle w:val="ECCHLbold"/>
              </w:rPr>
              <w:t>R-GSM</w:t>
            </w:r>
          </w:p>
        </w:tc>
        <w:tc>
          <w:tcPr>
            <w:tcW w:w="7767" w:type="dxa"/>
            <w:vAlign w:val="center"/>
          </w:tcPr>
          <w:p w14:paraId="53CB018D" w14:textId="77777777" w:rsidR="005A47F3" w:rsidRPr="008946B0" w:rsidRDefault="00AB77EF">
            <w:pPr>
              <w:pStyle w:val="ECCTabletext"/>
            </w:pPr>
            <w:r w:rsidRPr="008946B0">
              <w:t>Railways GSM (876-915 MHz / 921-960 MHz as defined by ETSI)</w:t>
            </w:r>
          </w:p>
        </w:tc>
      </w:tr>
      <w:tr w:rsidR="005A47F3" w:rsidRPr="008946B0" w14:paraId="7AE3F5AE" w14:textId="77777777">
        <w:tc>
          <w:tcPr>
            <w:tcW w:w="2088" w:type="dxa"/>
            <w:vAlign w:val="center"/>
          </w:tcPr>
          <w:p w14:paraId="6E6D8595" w14:textId="77777777" w:rsidR="005A47F3" w:rsidRPr="008946B0" w:rsidRDefault="00AB77EF">
            <w:pPr>
              <w:pStyle w:val="ECCTabletext"/>
              <w:rPr>
                <w:rStyle w:val="ECCHLbold"/>
              </w:rPr>
            </w:pPr>
            <w:r w:rsidRPr="008946B0">
              <w:rPr>
                <w:rStyle w:val="ECCHLbold"/>
              </w:rPr>
              <w:t>RFID</w:t>
            </w:r>
          </w:p>
        </w:tc>
        <w:tc>
          <w:tcPr>
            <w:tcW w:w="7767" w:type="dxa"/>
            <w:vAlign w:val="center"/>
          </w:tcPr>
          <w:p w14:paraId="7AAA8602" w14:textId="77777777" w:rsidR="005A47F3" w:rsidRPr="008946B0" w:rsidRDefault="00AB77EF">
            <w:pPr>
              <w:pStyle w:val="ECCTabletext"/>
            </w:pPr>
            <w:r w:rsidRPr="008946B0">
              <w:rPr>
                <w:lang w:eastAsia="de-DE"/>
              </w:rPr>
              <w:t>Radio Frequency Identification</w:t>
            </w:r>
          </w:p>
        </w:tc>
      </w:tr>
      <w:tr w:rsidR="005A47F3" w:rsidRPr="008946B0" w14:paraId="5A406DD1" w14:textId="77777777">
        <w:tc>
          <w:tcPr>
            <w:tcW w:w="2088" w:type="dxa"/>
            <w:vAlign w:val="center"/>
          </w:tcPr>
          <w:p w14:paraId="16551743" w14:textId="77777777" w:rsidR="005A47F3" w:rsidRPr="008946B0" w:rsidRDefault="00AB77EF">
            <w:pPr>
              <w:pStyle w:val="ECCTabletext"/>
              <w:rPr>
                <w:rStyle w:val="ECCHLbold"/>
              </w:rPr>
            </w:pPr>
            <w:r w:rsidRPr="008946B0">
              <w:rPr>
                <w:rStyle w:val="ECCHLbold"/>
              </w:rPr>
              <w:t>RMR</w:t>
            </w:r>
          </w:p>
        </w:tc>
        <w:tc>
          <w:tcPr>
            <w:tcW w:w="7767" w:type="dxa"/>
            <w:vAlign w:val="center"/>
          </w:tcPr>
          <w:p w14:paraId="596A3357" w14:textId="77777777" w:rsidR="005A47F3" w:rsidRPr="008946B0" w:rsidRDefault="00AB77EF">
            <w:pPr>
              <w:pStyle w:val="ECCTabletext"/>
            </w:pPr>
            <w:r w:rsidRPr="008946B0">
              <w:t>Railway Mobile Radio</w:t>
            </w:r>
          </w:p>
        </w:tc>
      </w:tr>
      <w:tr w:rsidR="005A47F3" w:rsidRPr="008946B0" w14:paraId="14F8791B" w14:textId="77777777">
        <w:tc>
          <w:tcPr>
            <w:tcW w:w="2088" w:type="dxa"/>
            <w:vAlign w:val="center"/>
          </w:tcPr>
          <w:p w14:paraId="74C1C343" w14:textId="77777777" w:rsidR="005A47F3" w:rsidRPr="008946B0" w:rsidRDefault="00AB77EF">
            <w:pPr>
              <w:pStyle w:val="ECCTabletext"/>
              <w:rPr>
                <w:rStyle w:val="ECCHLbold"/>
              </w:rPr>
            </w:pPr>
            <w:r w:rsidRPr="008946B0">
              <w:rPr>
                <w:rStyle w:val="ECCHLbold"/>
              </w:rPr>
              <w:t>RU</w:t>
            </w:r>
          </w:p>
        </w:tc>
        <w:tc>
          <w:tcPr>
            <w:tcW w:w="7767" w:type="dxa"/>
            <w:vAlign w:val="center"/>
          </w:tcPr>
          <w:p w14:paraId="486CE776" w14:textId="77777777" w:rsidR="005A47F3" w:rsidRPr="008946B0" w:rsidRDefault="00AB77EF">
            <w:pPr>
              <w:pStyle w:val="ECCTabletext"/>
            </w:pPr>
            <w:r w:rsidRPr="008946B0">
              <w:t>Railway Undertaking</w:t>
            </w:r>
          </w:p>
        </w:tc>
      </w:tr>
      <w:tr w:rsidR="005A47F3" w:rsidRPr="008946B0" w14:paraId="211274BD" w14:textId="77777777">
        <w:tc>
          <w:tcPr>
            <w:tcW w:w="2088" w:type="dxa"/>
            <w:vAlign w:val="center"/>
          </w:tcPr>
          <w:p w14:paraId="1B4AAF1E" w14:textId="77777777" w:rsidR="005A47F3" w:rsidRPr="008946B0" w:rsidRDefault="00AB77EF">
            <w:pPr>
              <w:pStyle w:val="ECCTabletext"/>
              <w:rPr>
                <w:rStyle w:val="ECCHLbold"/>
              </w:rPr>
            </w:pPr>
            <w:proofErr w:type="spellStart"/>
            <w:r w:rsidRPr="008946B0">
              <w:rPr>
                <w:rStyle w:val="ECCHLbold"/>
              </w:rPr>
              <w:t>SpS</w:t>
            </w:r>
            <w:proofErr w:type="spellEnd"/>
          </w:p>
        </w:tc>
        <w:tc>
          <w:tcPr>
            <w:tcW w:w="7767" w:type="dxa"/>
            <w:vAlign w:val="center"/>
          </w:tcPr>
          <w:p w14:paraId="1B2CCF1E" w14:textId="77777777" w:rsidR="005A47F3" w:rsidRPr="008946B0" w:rsidRDefault="00AB77EF">
            <w:pPr>
              <w:pStyle w:val="ECCTabletext"/>
            </w:pPr>
            <w:r w:rsidRPr="008946B0">
              <w:t>Specialised Service</w:t>
            </w:r>
          </w:p>
        </w:tc>
      </w:tr>
      <w:tr w:rsidR="005A47F3" w:rsidRPr="008946B0" w14:paraId="0CF8700C" w14:textId="77777777">
        <w:tc>
          <w:tcPr>
            <w:tcW w:w="2088" w:type="dxa"/>
            <w:vAlign w:val="center"/>
          </w:tcPr>
          <w:p w14:paraId="5C152B09" w14:textId="77777777" w:rsidR="005A47F3" w:rsidRPr="008946B0" w:rsidRDefault="00AB77EF">
            <w:pPr>
              <w:pStyle w:val="ECCTabletext"/>
              <w:rPr>
                <w:rStyle w:val="ECCHLbold"/>
              </w:rPr>
            </w:pPr>
            <w:r w:rsidRPr="008946B0">
              <w:rPr>
                <w:rStyle w:val="ECCHLbold"/>
              </w:rPr>
              <w:t>SRD</w:t>
            </w:r>
          </w:p>
        </w:tc>
        <w:tc>
          <w:tcPr>
            <w:tcW w:w="7767" w:type="dxa"/>
            <w:vAlign w:val="center"/>
          </w:tcPr>
          <w:p w14:paraId="3320D0D6" w14:textId="77777777" w:rsidR="005A47F3" w:rsidRPr="008946B0" w:rsidRDefault="00AB77EF">
            <w:pPr>
              <w:pStyle w:val="ECCTabletext"/>
            </w:pPr>
            <w:r w:rsidRPr="008946B0">
              <w:t>Short Range Devices</w:t>
            </w:r>
          </w:p>
        </w:tc>
      </w:tr>
      <w:tr w:rsidR="005A47F3" w:rsidRPr="008946B0" w14:paraId="137ACE4A" w14:textId="77777777">
        <w:tc>
          <w:tcPr>
            <w:tcW w:w="2088" w:type="dxa"/>
            <w:vAlign w:val="center"/>
          </w:tcPr>
          <w:p w14:paraId="31EF28B8" w14:textId="77777777" w:rsidR="005A47F3" w:rsidRPr="008946B0" w:rsidRDefault="00AB77EF">
            <w:pPr>
              <w:pStyle w:val="ECCTabletext"/>
              <w:rPr>
                <w:rStyle w:val="ECCHLbold"/>
              </w:rPr>
            </w:pPr>
            <w:r w:rsidRPr="008946B0">
              <w:rPr>
                <w:rStyle w:val="ECCHLbold"/>
              </w:rPr>
              <w:t>SRS</w:t>
            </w:r>
          </w:p>
        </w:tc>
        <w:tc>
          <w:tcPr>
            <w:tcW w:w="7767" w:type="dxa"/>
            <w:vAlign w:val="center"/>
          </w:tcPr>
          <w:p w14:paraId="3EF9E2B3" w14:textId="77777777" w:rsidR="005A47F3" w:rsidRPr="008946B0" w:rsidRDefault="00AB77EF">
            <w:pPr>
              <w:pStyle w:val="ECCTabletext"/>
            </w:pPr>
            <w:r w:rsidRPr="008946B0">
              <w:t>System Requirements Specification</w:t>
            </w:r>
          </w:p>
        </w:tc>
      </w:tr>
      <w:tr w:rsidR="006A1193" w:rsidRPr="008946B0" w14:paraId="513E613C" w14:textId="77777777">
        <w:tc>
          <w:tcPr>
            <w:tcW w:w="2088" w:type="dxa"/>
            <w:vAlign w:val="center"/>
          </w:tcPr>
          <w:p w14:paraId="72DA7CB1" w14:textId="61252A23" w:rsidR="006A1193" w:rsidRPr="008946B0" w:rsidRDefault="006A1193">
            <w:pPr>
              <w:pStyle w:val="ECCTabletext"/>
              <w:rPr>
                <w:rStyle w:val="ECCHLbold"/>
              </w:rPr>
            </w:pPr>
            <w:r w:rsidRPr="008946B0">
              <w:rPr>
                <w:rStyle w:val="ECCHLbold"/>
              </w:rPr>
              <w:t>SSB</w:t>
            </w:r>
          </w:p>
        </w:tc>
        <w:tc>
          <w:tcPr>
            <w:tcW w:w="7767" w:type="dxa"/>
            <w:vAlign w:val="center"/>
          </w:tcPr>
          <w:p w14:paraId="42EE7655" w14:textId="5FCADC7E" w:rsidR="006A1193" w:rsidRPr="008946B0" w:rsidRDefault="006A1193">
            <w:pPr>
              <w:pStyle w:val="ECCTabletext"/>
            </w:pPr>
            <w:r w:rsidRPr="008946B0">
              <w:t>Synchronisation Signal Block</w:t>
            </w:r>
          </w:p>
        </w:tc>
      </w:tr>
      <w:tr w:rsidR="005A47F3" w:rsidRPr="008946B0" w14:paraId="3A6D9203" w14:textId="77777777">
        <w:tc>
          <w:tcPr>
            <w:tcW w:w="2088" w:type="dxa"/>
            <w:vAlign w:val="center"/>
          </w:tcPr>
          <w:p w14:paraId="69489784" w14:textId="77777777" w:rsidR="005A47F3" w:rsidRPr="008946B0" w:rsidRDefault="00AB77EF">
            <w:pPr>
              <w:pStyle w:val="ECCTabletext"/>
              <w:rPr>
                <w:rStyle w:val="ECCHLbold"/>
              </w:rPr>
            </w:pPr>
            <w:r w:rsidRPr="008946B0">
              <w:rPr>
                <w:rStyle w:val="ECCHLbold"/>
              </w:rPr>
              <w:t>TC RT</w:t>
            </w:r>
          </w:p>
        </w:tc>
        <w:tc>
          <w:tcPr>
            <w:tcW w:w="7767" w:type="dxa"/>
            <w:vAlign w:val="center"/>
          </w:tcPr>
          <w:p w14:paraId="20E98A5B" w14:textId="77777777" w:rsidR="005A47F3" w:rsidRPr="008946B0" w:rsidRDefault="00AB77EF">
            <w:pPr>
              <w:pStyle w:val="ECCTabletext"/>
            </w:pPr>
            <w:r w:rsidRPr="008946B0">
              <w:t>Technical Committee for Rail Telecommunications (ETSI)</w:t>
            </w:r>
          </w:p>
        </w:tc>
      </w:tr>
      <w:tr w:rsidR="005A47F3" w:rsidRPr="008946B0" w14:paraId="26C12338" w14:textId="77777777">
        <w:tc>
          <w:tcPr>
            <w:tcW w:w="2088" w:type="dxa"/>
            <w:vAlign w:val="center"/>
          </w:tcPr>
          <w:p w14:paraId="18874579" w14:textId="77777777" w:rsidR="005A47F3" w:rsidRPr="008946B0" w:rsidRDefault="00AB77EF">
            <w:pPr>
              <w:pStyle w:val="ECCTabletext"/>
              <w:rPr>
                <w:rStyle w:val="ECCHLbold"/>
              </w:rPr>
            </w:pPr>
            <w:r w:rsidRPr="008946B0">
              <w:rPr>
                <w:rStyle w:val="ECCHLbold"/>
              </w:rPr>
              <w:t>TSI</w:t>
            </w:r>
          </w:p>
        </w:tc>
        <w:tc>
          <w:tcPr>
            <w:tcW w:w="7767" w:type="dxa"/>
            <w:vAlign w:val="center"/>
          </w:tcPr>
          <w:p w14:paraId="1880F845" w14:textId="77777777" w:rsidR="005A47F3" w:rsidRPr="008946B0" w:rsidRDefault="00AB77EF">
            <w:pPr>
              <w:pStyle w:val="ECCTabletext"/>
            </w:pPr>
            <w:r w:rsidRPr="008946B0">
              <w:t>Technical Specification for Interoperability</w:t>
            </w:r>
          </w:p>
        </w:tc>
      </w:tr>
      <w:tr w:rsidR="005A47F3" w:rsidRPr="008946B0" w14:paraId="152F5225" w14:textId="77777777">
        <w:tc>
          <w:tcPr>
            <w:tcW w:w="2088" w:type="dxa"/>
            <w:vAlign w:val="center"/>
          </w:tcPr>
          <w:p w14:paraId="5A70DF01" w14:textId="77777777" w:rsidR="005A47F3" w:rsidRPr="008946B0" w:rsidRDefault="00AB77EF">
            <w:pPr>
              <w:pStyle w:val="ECCTabletext"/>
              <w:rPr>
                <w:rStyle w:val="ECCHLbold"/>
              </w:rPr>
            </w:pPr>
            <w:r w:rsidRPr="008946B0">
              <w:rPr>
                <w:rStyle w:val="ECCHLbold"/>
              </w:rPr>
              <w:t>UAS</w:t>
            </w:r>
          </w:p>
        </w:tc>
        <w:tc>
          <w:tcPr>
            <w:tcW w:w="7767" w:type="dxa"/>
            <w:vAlign w:val="center"/>
          </w:tcPr>
          <w:p w14:paraId="37280407" w14:textId="77777777" w:rsidR="005A47F3" w:rsidRPr="008946B0" w:rsidRDefault="00AB77EF">
            <w:pPr>
              <w:pStyle w:val="ECCTabletext"/>
            </w:pPr>
            <w:r w:rsidRPr="008946B0">
              <w:rPr>
                <w:lang w:eastAsia="de-DE"/>
              </w:rPr>
              <w:t>Unmanned Aircraft System</w:t>
            </w:r>
          </w:p>
        </w:tc>
      </w:tr>
      <w:tr w:rsidR="005A47F3" w:rsidRPr="008946B0" w14:paraId="6AB21935" w14:textId="77777777">
        <w:tc>
          <w:tcPr>
            <w:tcW w:w="2088" w:type="dxa"/>
            <w:vAlign w:val="center"/>
          </w:tcPr>
          <w:p w14:paraId="536F0180" w14:textId="77777777" w:rsidR="005A47F3" w:rsidRPr="008946B0" w:rsidRDefault="00AB77EF">
            <w:pPr>
              <w:pStyle w:val="ECCTabletext"/>
              <w:rPr>
                <w:rStyle w:val="ECCHLbold"/>
              </w:rPr>
            </w:pPr>
            <w:r w:rsidRPr="008946B0">
              <w:rPr>
                <w:rStyle w:val="ECCHLbold"/>
              </w:rPr>
              <w:t>UIC</w:t>
            </w:r>
          </w:p>
        </w:tc>
        <w:tc>
          <w:tcPr>
            <w:tcW w:w="7767" w:type="dxa"/>
            <w:vAlign w:val="center"/>
          </w:tcPr>
          <w:p w14:paraId="64995DD8" w14:textId="77777777" w:rsidR="005A47F3" w:rsidRPr="008946B0" w:rsidRDefault="00AB77EF">
            <w:pPr>
              <w:pStyle w:val="ECCTabletext"/>
            </w:pPr>
            <w:r w:rsidRPr="008946B0">
              <w:t xml:space="preserve">Union Internationale des Chemins de </w:t>
            </w:r>
            <w:proofErr w:type="spellStart"/>
            <w:r w:rsidRPr="008946B0">
              <w:t>fer</w:t>
            </w:r>
            <w:proofErr w:type="spellEnd"/>
          </w:p>
        </w:tc>
      </w:tr>
      <w:tr w:rsidR="006A1193" w:rsidRPr="008946B0" w14:paraId="2789628F" w14:textId="77777777">
        <w:tc>
          <w:tcPr>
            <w:tcW w:w="2088" w:type="dxa"/>
            <w:vAlign w:val="center"/>
          </w:tcPr>
          <w:p w14:paraId="03A00A3D" w14:textId="5C96D234" w:rsidR="006A1193" w:rsidRPr="008946B0" w:rsidRDefault="006A1193">
            <w:pPr>
              <w:pStyle w:val="ECCTabletext"/>
              <w:rPr>
                <w:rStyle w:val="ECCHLbold"/>
              </w:rPr>
            </w:pPr>
            <w:r w:rsidRPr="008946B0">
              <w:rPr>
                <w:rStyle w:val="ECCHLbold"/>
              </w:rPr>
              <w:t>UL</w:t>
            </w:r>
          </w:p>
        </w:tc>
        <w:tc>
          <w:tcPr>
            <w:tcW w:w="7767" w:type="dxa"/>
            <w:vAlign w:val="center"/>
          </w:tcPr>
          <w:p w14:paraId="2DB583AD" w14:textId="3B7DED38" w:rsidR="006A1193" w:rsidRPr="008946B0" w:rsidRDefault="006A1193">
            <w:pPr>
              <w:pStyle w:val="ECCTabletext"/>
            </w:pPr>
            <w:r w:rsidRPr="008946B0">
              <w:t>Uplink</w:t>
            </w:r>
          </w:p>
        </w:tc>
      </w:tr>
      <w:tr w:rsidR="005A47F3" w:rsidRPr="008946B0" w14:paraId="60E1EAD3" w14:textId="77777777">
        <w:tc>
          <w:tcPr>
            <w:tcW w:w="2088" w:type="dxa"/>
            <w:vAlign w:val="center"/>
          </w:tcPr>
          <w:p w14:paraId="4D7DFC1E" w14:textId="77777777" w:rsidR="005A47F3" w:rsidRPr="008946B0" w:rsidRDefault="00AB77EF">
            <w:pPr>
              <w:pStyle w:val="ECCTabletext"/>
              <w:rPr>
                <w:rStyle w:val="ECCHLbold"/>
              </w:rPr>
            </w:pPr>
            <w:r w:rsidRPr="008946B0">
              <w:rPr>
                <w:rStyle w:val="ECCHLbold"/>
              </w:rPr>
              <w:t>WAPECS</w:t>
            </w:r>
          </w:p>
        </w:tc>
        <w:tc>
          <w:tcPr>
            <w:tcW w:w="7767" w:type="dxa"/>
            <w:vAlign w:val="center"/>
          </w:tcPr>
          <w:p w14:paraId="753DDA05" w14:textId="77777777" w:rsidR="005A47F3" w:rsidRPr="008946B0" w:rsidRDefault="00AB77EF">
            <w:pPr>
              <w:pStyle w:val="ECCTabletext"/>
            </w:pPr>
            <w:r w:rsidRPr="008946B0">
              <w:t>Wireless Access Policy for Electronic Communications Services</w:t>
            </w:r>
          </w:p>
        </w:tc>
      </w:tr>
    </w:tbl>
    <w:p w14:paraId="55FA87FA" w14:textId="77777777" w:rsidR="005A47F3" w:rsidRPr="008946B0" w:rsidRDefault="005A47F3">
      <w:pPr>
        <w:rPr>
          <w:lang w:val="en-GB"/>
        </w:rPr>
      </w:pPr>
    </w:p>
    <w:p w14:paraId="073F6E2C" w14:textId="77777777" w:rsidR="005A47F3" w:rsidRPr="008946B0" w:rsidRDefault="00AB77EF">
      <w:pPr>
        <w:pStyle w:val="Heading1"/>
      </w:pPr>
      <w:bookmarkStart w:id="4" w:name="_Toc42722808"/>
      <w:r w:rsidRPr="008946B0">
        <w:lastRenderedPageBreak/>
        <w:t>Introduction</w:t>
      </w:r>
      <w:bookmarkEnd w:id="4"/>
    </w:p>
    <w:p w14:paraId="27723420" w14:textId="574EB975" w:rsidR="005A47F3" w:rsidRPr="008946B0" w:rsidRDefault="00AB77EF" w:rsidP="00212CE0">
      <w:pPr>
        <w:pStyle w:val="ECCParagraph"/>
        <w:spacing w:before="240" w:after="60"/>
      </w:pPr>
      <w:r w:rsidRPr="008946B0">
        <w:t xml:space="preserve">This Report has been developed by the European Conference of Postal and Telecommunications Administrations (CEPT) in response to the </w:t>
      </w:r>
      <w:r w:rsidR="00047A6E" w:rsidRPr="008946B0">
        <w:t>M</w:t>
      </w:r>
      <w:r w:rsidRPr="008946B0">
        <w:t>andate from the European Commission to CEPT on spectrum for the future railway mobile communications system (FRMCS), in particular to tasks 1, 2, 3 and 4.</w:t>
      </w:r>
    </w:p>
    <w:p w14:paraId="6346748F" w14:textId="0C6FCAE8" w:rsidR="00250CC7" w:rsidRPr="008946B0" w:rsidRDefault="00AB77EF" w:rsidP="00212CE0">
      <w:pPr>
        <w:pStyle w:val="ECCBulletsLv1"/>
        <w:ind w:left="357" w:hanging="357"/>
      </w:pPr>
      <w:r w:rsidRPr="008946B0">
        <w:t>Task 1 relates to the spectrum needs for mission critical operation of the future railway mobile communications system (successor system of GSM-R)</w:t>
      </w:r>
      <w:r w:rsidR="0098003A" w:rsidRPr="008946B0">
        <w:t>;</w:t>
      </w:r>
    </w:p>
    <w:p w14:paraId="20F26FFD" w14:textId="28FFE90F" w:rsidR="00250CC7" w:rsidRPr="008946B0" w:rsidRDefault="00AB77EF" w:rsidP="00212CE0">
      <w:pPr>
        <w:pStyle w:val="ECCBulletsLv1"/>
        <w:ind w:left="357" w:hanging="357"/>
      </w:pPr>
      <w:r w:rsidRPr="008946B0">
        <w:t>Task 2 relates to the technical feasibility for operating the successor system in the 874.4-880 MHz / 919.4-925 MHz frequency band while ensuring simultaneous operation of GSM-R and the successor system in th</w:t>
      </w:r>
      <w:r w:rsidR="00890A82" w:rsidRPr="008946B0">
        <w:t>is</w:t>
      </w:r>
      <w:r w:rsidRPr="008946B0">
        <w:t xml:space="preserve"> band during a migration period</w:t>
      </w:r>
      <w:r w:rsidR="0098003A" w:rsidRPr="008946B0">
        <w:t>;</w:t>
      </w:r>
    </w:p>
    <w:p w14:paraId="0FBEEED1" w14:textId="6AD67CA7" w:rsidR="00250CC7" w:rsidRPr="008946B0" w:rsidRDefault="00AB77EF" w:rsidP="00212CE0">
      <w:pPr>
        <w:pStyle w:val="ECCBulletsLv1"/>
        <w:ind w:left="357" w:hanging="357"/>
      </w:pPr>
      <w:r w:rsidRPr="008946B0">
        <w:t>Task 3 relates to the technical feasibility for operating the successor system in part of the 1900-1920 MHz frequency band and, if necessary, the technical feasibility for operating the successor system in another frequency band</w:t>
      </w:r>
      <w:r w:rsidR="0098003A" w:rsidRPr="008946B0">
        <w:t>;</w:t>
      </w:r>
    </w:p>
    <w:p w14:paraId="2ADC7A5B" w14:textId="77777777" w:rsidR="005A47F3" w:rsidRPr="008946B0" w:rsidRDefault="00AB77EF" w:rsidP="00212CE0">
      <w:pPr>
        <w:pStyle w:val="ECCBulletsLv1"/>
        <w:ind w:left="357" w:hanging="357"/>
      </w:pPr>
      <w:r w:rsidRPr="008946B0">
        <w:t>Task 4 relates to the technical feasibility and scenarios of using commercial mobile networks.</w:t>
      </w:r>
    </w:p>
    <w:p w14:paraId="510BB146" w14:textId="0858C065" w:rsidR="005A47F3" w:rsidRPr="008946B0" w:rsidRDefault="00AB77EF" w:rsidP="00BE68E1">
      <w:pPr>
        <w:pStyle w:val="ECCParagraph"/>
        <w:spacing w:before="240" w:after="60"/>
      </w:pPr>
      <w:bookmarkStart w:id="5" w:name="_Ref274743743"/>
      <w:r w:rsidRPr="008946B0">
        <w:t xml:space="preserve">This </w:t>
      </w:r>
      <w:r w:rsidR="0098003A" w:rsidRPr="008946B0">
        <w:t>R</w:t>
      </w:r>
      <w:r w:rsidRPr="008946B0">
        <w:t>eport gathers and complements the relevant elements from the following ECC Reports:</w:t>
      </w:r>
    </w:p>
    <w:p w14:paraId="489CB9C6" w14:textId="77777777" w:rsidR="005A47F3" w:rsidRPr="008946B0" w:rsidRDefault="00AB77EF" w:rsidP="00BE68E1">
      <w:pPr>
        <w:numPr>
          <w:ilvl w:val="0"/>
          <w:numId w:val="8"/>
        </w:numPr>
        <w:spacing w:after="60"/>
        <w:ind w:left="357" w:hanging="357"/>
        <w:contextualSpacing/>
        <w:jc w:val="both"/>
        <w:rPr>
          <w:lang w:val="en-GB"/>
        </w:rPr>
      </w:pPr>
      <w:r w:rsidRPr="008946B0">
        <w:rPr>
          <w:lang w:val="en-GB"/>
        </w:rPr>
        <w:t>ECC Report 294 on assessment of the spectrum needs for future railway mobile radio (RMR) communications;</w:t>
      </w:r>
    </w:p>
    <w:p w14:paraId="3F8FB79F" w14:textId="1D92FA7E" w:rsidR="005A47F3" w:rsidRPr="008946B0" w:rsidRDefault="0098003A" w:rsidP="00BE68E1">
      <w:pPr>
        <w:numPr>
          <w:ilvl w:val="0"/>
          <w:numId w:val="8"/>
        </w:numPr>
        <w:spacing w:after="60"/>
        <w:ind w:left="357" w:hanging="357"/>
        <w:contextualSpacing/>
        <w:jc w:val="both"/>
        <w:rPr>
          <w:rFonts w:eastAsia="Calibri"/>
          <w:szCs w:val="22"/>
          <w:lang w:val="en-GB"/>
        </w:rPr>
      </w:pPr>
      <w:bookmarkStart w:id="6" w:name="_Hlk31281934"/>
      <w:r w:rsidRPr="008946B0">
        <w:rPr>
          <w:lang w:val="en-GB"/>
        </w:rPr>
        <w:t xml:space="preserve">ECC Report </w:t>
      </w:r>
      <w:r w:rsidR="00EA0E67" w:rsidRPr="008946B0">
        <w:rPr>
          <w:lang w:val="en-GB"/>
        </w:rPr>
        <w:t xml:space="preserve">318 </w:t>
      </w:r>
      <w:bookmarkEnd w:id="6"/>
      <w:r w:rsidR="00AB77EF" w:rsidRPr="008946B0">
        <w:rPr>
          <w:rFonts w:eastAsia="Calibri"/>
          <w:szCs w:val="22"/>
          <w:lang w:val="en-GB"/>
        </w:rPr>
        <w:t>on compatibility between RMR and MFCN in the 900 MHz range, the 1900-1920 MHz band and the 2290-2300 MHz band;</w:t>
      </w:r>
    </w:p>
    <w:p w14:paraId="07842EAC" w14:textId="68F8D926" w:rsidR="005A47F3" w:rsidRPr="008946B0" w:rsidRDefault="00AB77EF" w:rsidP="00BE68E1">
      <w:pPr>
        <w:numPr>
          <w:ilvl w:val="0"/>
          <w:numId w:val="8"/>
        </w:numPr>
        <w:spacing w:after="60"/>
        <w:ind w:left="357" w:hanging="357"/>
        <w:contextualSpacing/>
        <w:jc w:val="both"/>
        <w:rPr>
          <w:rFonts w:eastAsia="Calibri"/>
          <w:szCs w:val="22"/>
          <w:lang w:val="en-GB"/>
        </w:rPr>
      </w:pPr>
      <w:r w:rsidRPr="008946B0">
        <w:rPr>
          <w:rFonts w:eastAsia="Calibri"/>
          <w:szCs w:val="22"/>
          <w:lang w:val="en-GB"/>
        </w:rPr>
        <w:t xml:space="preserve">ECC Report </w:t>
      </w:r>
      <w:r w:rsidR="0098003A" w:rsidRPr="008946B0">
        <w:rPr>
          <w:rFonts w:eastAsia="Calibri"/>
          <w:szCs w:val="22"/>
          <w:lang w:val="en-GB"/>
        </w:rPr>
        <w:t>313</w:t>
      </w:r>
      <w:r w:rsidRPr="008946B0">
        <w:rPr>
          <w:rFonts w:eastAsia="Calibri"/>
          <w:szCs w:val="22"/>
          <w:lang w:val="en-GB"/>
        </w:rPr>
        <w:t xml:space="preserve"> on coexistence between RMR in the 900 MHz frequency range and other applications in adjacent bands;</w:t>
      </w:r>
    </w:p>
    <w:p w14:paraId="74FF4324" w14:textId="406E19D3" w:rsidR="005A47F3" w:rsidRPr="008946B0" w:rsidRDefault="00AB77EF" w:rsidP="00BE68E1">
      <w:pPr>
        <w:numPr>
          <w:ilvl w:val="0"/>
          <w:numId w:val="8"/>
        </w:numPr>
        <w:spacing w:after="60"/>
        <w:ind w:left="357" w:hanging="357"/>
        <w:contextualSpacing/>
        <w:jc w:val="both"/>
        <w:rPr>
          <w:rFonts w:eastAsia="Calibri"/>
          <w:szCs w:val="22"/>
          <w:lang w:val="en-GB"/>
        </w:rPr>
      </w:pPr>
      <w:r w:rsidRPr="008946B0">
        <w:rPr>
          <w:rFonts w:eastAsia="Calibri"/>
          <w:szCs w:val="22"/>
          <w:lang w:val="en-GB"/>
        </w:rPr>
        <w:t xml:space="preserve">ECC Report </w:t>
      </w:r>
      <w:r w:rsidR="0098003A" w:rsidRPr="008946B0">
        <w:rPr>
          <w:rFonts w:eastAsia="Calibri"/>
          <w:szCs w:val="22"/>
          <w:lang w:val="en-GB"/>
        </w:rPr>
        <w:t>314</w:t>
      </w:r>
      <w:r w:rsidRPr="008946B0">
        <w:rPr>
          <w:rFonts w:eastAsia="Calibri"/>
          <w:szCs w:val="22"/>
          <w:lang w:val="en-GB"/>
        </w:rPr>
        <w:t xml:space="preserve"> on coexistence between FRMCS in the 1900-1920 MHz frequency range and other applications in adjacent bands;</w:t>
      </w:r>
    </w:p>
    <w:p w14:paraId="758DB72E" w14:textId="17DEA4E4" w:rsidR="005A47F3" w:rsidRPr="008946B0" w:rsidRDefault="00AB77EF" w:rsidP="00BE68E1">
      <w:pPr>
        <w:numPr>
          <w:ilvl w:val="0"/>
          <w:numId w:val="8"/>
        </w:numPr>
        <w:spacing w:after="60"/>
        <w:ind w:left="357" w:hanging="357"/>
        <w:contextualSpacing/>
        <w:jc w:val="both"/>
        <w:rPr>
          <w:rFonts w:eastAsia="Calibri"/>
          <w:szCs w:val="22"/>
          <w:lang w:val="en-GB"/>
        </w:rPr>
      </w:pPr>
      <w:r w:rsidRPr="008946B0">
        <w:rPr>
          <w:rFonts w:eastAsia="Calibri"/>
          <w:szCs w:val="22"/>
          <w:lang w:val="en-GB"/>
        </w:rPr>
        <w:t>ECC Report 309 on use of MFCN for the command &amp; control and payload links of UAs within the current MFCN harmonised regulatory framework.</w:t>
      </w:r>
    </w:p>
    <w:p w14:paraId="58B94F21" w14:textId="77777777" w:rsidR="005A47F3" w:rsidRPr="008946B0" w:rsidRDefault="00AB77EF" w:rsidP="00BE68E1">
      <w:pPr>
        <w:pStyle w:val="ECCParagraph"/>
        <w:spacing w:before="240" w:after="60"/>
      </w:pPr>
      <w:r w:rsidRPr="008946B0">
        <w:t xml:space="preserve">In these studies, only non-AAS FRMCS and </w:t>
      </w:r>
      <w:r w:rsidR="0035259A" w:rsidRPr="008946B0">
        <w:t>ECS</w:t>
      </w:r>
      <w:r w:rsidRPr="008946B0">
        <w:t xml:space="preserve"> have been considered. Additional studies should be performed in case AAS are considered for FRMCS deployments.</w:t>
      </w:r>
    </w:p>
    <w:p w14:paraId="581D82B9" w14:textId="77777777" w:rsidR="005A47F3" w:rsidRPr="008946B0" w:rsidRDefault="00AB77EF">
      <w:pPr>
        <w:pStyle w:val="Heading1"/>
      </w:pPr>
      <w:bookmarkStart w:id="7" w:name="_Toc42722809"/>
      <w:r w:rsidRPr="008946B0">
        <w:lastRenderedPageBreak/>
        <w:t>Rail specificities</w:t>
      </w:r>
      <w:bookmarkEnd w:id="7"/>
    </w:p>
    <w:p w14:paraId="7F2CD5F6" w14:textId="77777777" w:rsidR="005A47F3" w:rsidRPr="008946B0" w:rsidRDefault="00AB77EF">
      <w:pPr>
        <w:pStyle w:val="Heading2"/>
        <w:rPr>
          <w:lang w:val="en-GB"/>
        </w:rPr>
      </w:pPr>
      <w:bookmarkStart w:id="8" w:name="_Toc42722810"/>
      <w:r w:rsidRPr="008946B0">
        <w:rPr>
          <w:lang w:val="en-GB"/>
        </w:rPr>
        <w:t>Definitions</w:t>
      </w:r>
      <w:bookmarkEnd w:id="8"/>
    </w:p>
    <w:tbl>
      <w:tblPr>
        <w:tblStyle w:val="ECCTable-clean"/>
        <w:tblW w:w="9747" w:type="dxa"/>
        <w:tblInd w:w="0" w:type="dxa"/>
        <w:tblLayout w:type="fixed"/>
        <w:tblLook w:val="04A0" w:firstRow="1" w:lastRow="0" w:firstColumn="1" w:lastColumn="0" w:noHBand="0" w:noVBand="1"/>
      </w:tblPr>
      <w:tblGrid>
        <w:gridCol w:w="2181"/>
        <w:gridCol w:w="7566"/>
      </w:tblGrid>
      <w:tr w:rsidR="005A47F3" w:rsidRPr="008946B0" w14:paraId="6B9EC4E8" w14:textId="77777777" w:rsidTr="005A47F3">
        <w:trPr>
          <w:cnfStyle w:val="100000000000" w:firstRow="1" w:lastRow="0" w:firstColumn="0" w:lastColumn="0" w:oddVBand="0" w:evenVBand="0" w:oddHBand="0" w:evenHBand="0" w:firstRowFirstColumn="0" w:firstRowLastColumn="0" w:lastRowFirstColumn="0" w:lastRowLastColumn="0"/>
        </w:trPr>
        <w:tc>
          <w:tcPr>
            <w:tcW w:w="2181" w:type="dxa"/>
          </w:tcPr>
          <w:p w14:paraId="761927A3" w14:textId="77777777" w:rsidR="005A47F3" w:rsidRPr="008946B0" w:rsidRDefault="00AB77EF">
            <w:pPr>
              <w:pStyle w:val="ECCTableHeaderredfont"/>
              <w:rPr>
                <w:lang w:eastAsia="da-DK"/>
              </w:rPr>
            </w:pPr>
            <w:r w:rsidRPr="008946B0">
              <w:rPr>
                <w:lang w:eastAsia="da-DK"/>
              </w:rPr>
              <w:t>Term</w:t>
            </w:r>
          </w:p>
        </w:tc>
        <w:tc>
          <w:tcPr>
            <w:tcW w:w="7566" w:type="dxa"/>
          </w:tcPr>
          <w:p w14:paraId="3E12A05C" w14:textId="77777777" w:rsidR="005A47F3" w:rsidRPr="008946B0" w:rsidRDefault="00AB77EF">
            <w:pPr>
              <w:pStyle w:val="ECCTableHeaderredfont"/>
              <w:rPr>
                <w:lang w:eastAsia="da-DK"/>
              </w:rPr>
            </w:pPr>
            <w:r w:rsidRPr="008946B0">
              <w:rPr>
                <w:lang w:eastAsia="da-DK"/>
              </w:rPr>
              <w:t>Definition</w:t>
            </w:r>
          </w:p>
        </w:tc>
      </w:tr>
      <w:tr w:rsidR="005A47F3" w:rsidRPr="008946B0" w14:paraId="559B485E" w14:textId="77777777" w:rsidTr="007C0B85">
        <w:trPr>
          <w:cantSplit/>
        </w:trPr>
        <w:tc>
          <w:tcPr>
            <w:tcW w:w="2181" w:type="dxa"/>
          </w:tcPr>
          <w:p w14:paraId="44F4F02B" w14:textId="77777777" w:rsidR="005A47F3" w:rsidRPr="008946B0" w:rsidRDefault="00AB77EF">
            <w:pPr>
              <w:pStyle w:val="ECCTabletext"/>
              <w:jc w:val="left"/>
              <w:rPr>
                <w:lang w:eastAsia="de-DE"/>
              </w:rPr>
            </w:pPr>
            <w:r w:rsidRPr="008946B0">
              <w:rPr>
                <w:lang w:eastAsia="de-DE"/>
              </w:rPr>
              <w:t>Aerial UE</w:t>
            </w:r>
          </w:p>
        </w:tc>
        <w:tc>
          <w:tcPr>
            <w:tcW w:w="7566" w:type="dxa"/>
          </w:tcPr>
          <w:p w14:paraId="03AE6D14" w14:textId="77777777" w:rsidR="005A47F3" w:rsidRPr="008946B0" w:rsidRDefault="00AB77EF">
            <w:pPr>
              <w:pStyle w:val="ECCTabletext"/>
              <w:jc w:val="left"/>
              <w:rPr>
                <w:lang w:eastAsia="de-DE"/>
              </w:rPr>
            </w:pPr>
            <w:r w:rsidRPr="008946B0">
              <w:rPr>
                <w:lang w:eastAsia="de-DE"/>
              </w:rPr>
              <w:t>The term “aerial UE” is equally applicable to unmanned aircraft (drone) and manned aircraft (see ECC Report 309)</w:t>
            </w:r>
          </w:p>
        </w:tc>
      </w:tr>
      <w:tr w:rsidR="005A47F3" w:rsidRPr="008946B0" w14:paraId="16920D30" w14:textId="77777777" w:rsidTr="007C0B85">
        <w:trPr>
          <w:cantSplit/>
        </w:trPr>
        <w:tc>
          <w:tcPr>
            <w:tcW w:w="2181" w:type="dxa"/>
          </w:tcPr>
          <w:p w14:paraId="41342F84" w14:textId="77777777" w:rsidR="005A47F3" w:rsidRPr="008946B0" w:rsidRDefault="00AB77EF">
            <w:pPr>
              <w:pStyle w:val="ECCTabletext"/>
              <w:jc w:val="left"/>
              <w:rPr>
                <w:lang w:eastAsia="de-DE"/>
              </w:rPr>
            </w:pPr>
            <w:r w:rsidRPr="008946B0">
              <w:rPr>
                <w:lang w:eastAsia="de-DE"/>
              </w:rPr>
              <w:t>ATO (Automatic Train Operation)</w:t>
            </w:r>
          </w:p>
        </w:tc>
        <w:tc>
          <w:tcPr>
            <w:tcW w:w="7566" w:type="dxa"/>
          </w:tcPr>
          <w:p w14:paraId="0A0FADFA" w14:textId="77777777" w:rsidR="005A47F3" w:rsidRPr="008946B0" w:rsidRDefault="00AB77EF">
            <w:pPr>
              <w:pStyle w:val="ECCTabletext"/>
              <w:jc w:val="left"/>
              <w:rPr>
                <w:lang w:eastAsia="de-DE"/>
              </w:rPr>
            </w:pPr>
            <w:r w:rsidRPr="008946B0">
              <w:rPr>
                <w:lang w:eastAsia="de-DE"/>
              </w:rPr>
              <w:t>Functions otherwise assigned to the train driver</w:t>
            </w:r>
          </w:p>
        </w:tc>
      </w:tr>
      <w:tr w:rsidR="004F1EB6" w:rsidRPr="008946B0" w14:paraId="549806EC" w14:textId="77777777" w:rsidTr="007C0B85">
        <w:trPr>
          <w:cantSplit/>
        </w:trPr>
        <w:tc>
          <w:tcPr>
            <w:tcW w:w="2181" w:type="dxa"/>
          </w:tcPr>
          <w:p w14:paraId="7C10BB35" w14:textId="77777777" w:rsidR="004F1EB6" w:rsidRPr="008946B0" w:rsidRDefault="004F1EB6">
            <w:pPr>
              <w:pStyle w:val="ECCTabletext"/>
              <w:jc w:val="left"/>
              <w:rPr>
                <w:lang w:eastAsia="de-DE"/>
              </w:rPr>
            </w:pPr>
            <w:r w:rsidRPr="008946B0">
              <w:rPr>
                <w:lang w:eastAsia="de-DE"/>
              </w:rPr>
              <w:t>ATO degraded mode</w:t>
            </w:r>
          </w:p>
        </w:tc>
        <w:tc>
          <w:tcPr>
            <w:tcW w:w="7566" w:type="dxa"/>
          </w:tcPr>
          <w:p w14:paraId="28EAD91D" w14:textId="77777777" w:rsidR="004F1EB6" w:rsidRPr="008946B0" w:rsidRDefault="007A02B6" w:rsidP="00553F13">
            <w:pPr>
              <w:pStyle w:val="ECCTabletext"/>
              <w:jc w:val="left"/>
              <w:rPr>
                <w:lang w:eastAsia="de-DE"/>
              </w:rPr>
            </w:pPr>
            <w:r w:rsidRPr="008946B0">
              <w:rPr>
                <w:lang w:eastAsia="de-DE"/>
              </w:rPr>
              <w:t xml:space="preserve">Fallback mode </w:t>
            </w:r>
            <w:r w:rsidR="00553F13" w:rsidRPr="008946B0">
              <w:rPr>
                <w:lang w:eastAsia="de-DE"/>
              </w:rPr>
              <w:t>in case of ATO failure, which</w:t>
            </w:r>
            <w:r w:rsidRPr="008946B0">
              <w:rPr>
                <w:lang w:eastAsia="de-DE"/>
              </w:rPr>
              <w:t xml:space="preserve"> allows the continued operation of a train </w:t>
            </w:r>
            <w:r w:rsidR="00553F13" w:rsidRPr="008946B0">
              <w:rPr>
                <w:lang w:eastAsia="de-DE"/>
              </w:rPr>
              <w:t xml:space="preserve">at lower speed </w:t>
            </w:r>
            <w:r w:rsidRPr="008946B0">
              <w:rPr>
                <w:lang w:eastAsia="de-DE"/>
              </w:rPr>
              <w:t>under continuous visual control by an on</w:t>
            </w:r>
            <w:r w:rsidR="00553F13" w:rsidRPr="008946B0">
              <w:rPr>
                <w:lang w:eastAsia="de-DE"/>
              </w:rPr>
              <w:t>-</w:t>
            </w:r>
            <w:r w:rsidRPr="008946B0">
              <w:rPr>
                <w:lang w:eastAsia="de-DE"/>
              </w:rPr>
              <w:t>board or remote train driver using video transmission</w:t>
            </w:r>
          </w:p>
        </w:tc>
      </w:tr>
      <w:tr w:rsidR="005A47F3" w:rsidRPr="008946B0" w14:paraId="433E7F42" w14:textId="77777777" w:rsidTr="007C0B85">
        <w:trPr>
          <w:cantSplit/>
        </w:trPr>
        <w:tc>
          <w:tcPr>
            <w:tcW w:w="2181" w:type="dxa"/>
          </w:tcPr>
          <w:p w14:paraId="674E8052" w14:textId="77777777" w:rsidR="005A47F3" w:rsidRPr="008946B0" w:rsidRDefault="00AB77EF">
            <w:pPr>
              <w:pStyle w:val="ECCTabletext"/>
              <w:jc w:val="left"/>
              <w:rPr>
                <w:lang w:eastAsia="de-DE"/>
              </w:rPr>
            </w:pPr>
            <w:r w:rsidRPr="008946B0">
              <w:rPr>
                <w:lang w:eastAsia="de-DE"/>
              </w:rPr>
              <w:t>ATP (Automatic Train Protection)</w:t>
            </w:r>
          </w:p>
        </w:tc>
        <w:tc>
          <w:tcPr>
            <w:tcW w:w="7566" w:type="dxa"/>
          </w:tcPr>
          <w:p w14:paraId="499DBBE8" w14:textId="77777777" w:rsidR="005A47F3" w:rsidRPr="008946B0" w:rsidRDefault="00AB77EF">
            <w:pPr>
              <w:pStyle w:val="ECCTabletext"/>
              <w:jc w:val="left"/>
              <w:rPr>
                <w:lang w:eastAsia="de-DE"/>
              </w:rPr>
            </w:pPr>
            <w:r w:rsidRPr="008946B0">
              <w:rPr>
                <w:lang w:eastAsia="de-DE"/>
              </w:rPr>
              <w:t>System that ensures automatic compliance with railway signalling</w:t>
            </w:r>
          </w:p>
        </w:tc>
      </w:tr>
      <w:tr w:rsidR="004F1EB6" w:rsidRPr="008946B0" w14:paraId="670D3FB1" w14:textId="77777777" w:rsidTr="007C0B85">
        <w:trPr>
          <w:cantSplit/>
        </w:trPr>
        <w:tc>
          <w:tcPr>
            <w:tcW w:w="2181" w:type="dxa"/>
          </w:tcPr>
          <w:p w14:paraId="4FA4E7DC" w14:textId="77777777" w:rsidR="004F1EB6" w:rsidRPr="008946B0" w:rsidRDefault="004F1EB6">
            <w:pPr>
              <w:pStyle w:val="ECCTabletext"/>
              <w:jc w:val="left"/>
              <w:rPr>
                <w:lang w:eastAsia="de-DE"/>
              </w:rPr>
            </w:pPr>
            <w:r w:rsidRPr="008946B0">
              <w:rPr>
                <w:lang w:eastAsia="de-DE"/>
              </w:rPr>
              <w:t>Cab-radio</w:t>
            </w:r>
          </w:p>
        </w:tc>
        <w:tc>
          <w:tcPr>
            <w:tcW w:w="7566" w:type="dxa"/>
          </w:tcPr>
          <w:p w14:paraId="045FB772" w14:textId="6C6783D3" w:rsidR="001F75A7" w:rsidRPr="008946B0" w:rsidRDefault="001F75A7" w:rsidP="002131F9">
            <w:pPr>
              <w:pStyle w:val="ECCTabletext"/>
              <w:jc w:val="left"/>
              <w:rPr>
                <w:lang w:eastAsia="de-DE"/>
              </w:rPr>
            </w:pPr>
            <w:r w:rsidRPr="008946B0">
              <w:rPr>
                <w:lang w:eastAsia="de-DE"/>
              </w:rPr>
              <w:t xml:space="preserve">In this Report, the radio equipment on-board the train </w:t>
            </w:r>
            <w:r w:rsidR="002131F9" w:rsidRPr="008946B0">
              <w:rPr>
                <w:lang w:eastAsia="de-DE"/>
              </w:rPr>
              <w:t>capable of</w:t>
            </w:r>
            <w:r w:rsidRPr="008946B0">
              <w:rPr>
                <w:lang w:eastAsia="de-DE"/>
              </w:rPr>
              <w:t xml:space="preserve"> support</w:t>
            </w:r>
            <w:r w:rsidR="002131F9" w:rsidRPr="008946B0">
              <w:rPr>
                <w:lang w:eastAsia="de-DE"/>
              </w:rPr>
              <w:t>ing both</w:t>
            </w:r>
            <w:r w:rsidRPr="008946B0">
              <w:rPr>
                <w:lang w:eastAsia="de-DE"/>
              </w:rPr>
              <w:t xml:space="preserve"> voice </w:t>
            </w:r>
            <w:r w:rsidR="003E57CD" w:rsidRPr="008946B0">
              <w:rPr>
                <w:lang w:eastAsia="de-DE"/>
              </w:rPr>
              <w:t>and data applications (e.g. ETCS)</w:t>
            </w:r>
          </w:p>
        </w:tc>
      </w:tr>
      <w:tr w:rsidR="005A47F3" w:rsidRPr="008946B0" w14:paraId="22B423B4" w14:textId="77777777" w:rsidTr="007C0B85">
        <w:trPr>
          <w:cantSplit/>
        </w:trPr>
        <w:tc>
          <w:tcPr>
            <w:tcW w:w="2181" w:type="dxa"/>
          </w:tcPr>
          <w:p w14:paraId="02515ABF" w14:textId="77777777" w:rsidR="005A47F3" w:rsidRPr="008946B0" w:rsidRDefault="00AB77EF">
            <w:pPr>
              <w:pStyle w:val="ECCTabletext"/>
              <w:jc w:val="left"/>
              <w:rPr>
                <w:lang w:eastAsia="de-DE"/>
              </w:rPr>
            </w:pPr>
            <w:r w:rsidRPr="008946B0">
              <w:rPr>
                <w:lang w:eastAsia="de-DE"/>
              </w:rPr>
              <w:t>ERTMS (European Rail Traffic Management System)</w:t>
            </w:r>
          </w:p>
        </w:tc>
        <w:tc>
          <w:tcPr>
            <w:tcW w:w="7566" w:type="dxa"/>
          </w:tcPr>
          <w:p w14:paraId="06130504" w14:textId="77777777" w:rsidR="005A47F3" w:rsidRPr="008946B0" w:rsidRDefault="00AB77EF">
            <w:pPr>
              <w:pStyle w:val="ECCTabletext"/>
              <w:jc w:val="left"/>
              <w:rPr>
                <w:lang w:eastAsia="de-DE"/>
              </w:rPr>
            </w:pPr>
            <w:r w:rsidRPr="008946B0">
              <w:rPr>
                <w:lang w:eastAsia="de-DE"/>
              </w:rPr>
              <w:t>European railway system, including trackside and on-board control-command and signalling subsystem as well as operation and traffic management, relying on a common radio access technology (today GSM-R) and ETCS</w:t>
            </w:r>
          </w:p>
        </w:tc>
      </w:tr>
      <w:tr w:rsidR="005A47F3" w:rsidRPr="008946B0" w14:paraId="3CDA6C15" w14:textId="77777777" w:rsidTr="007C0B85">
        <w:trPr>
          <w:cantSplit/>
        </w:trPr>
        <w:tc>
          <w:tcPr>
            <w:tcW w:w="2181" w:type="dxa"/>
          </w:tcPr>
          <w:p w14:paraId="73CA722A" w14:textId="77777777" w:rsidR="005A47F3" w:rsidRPr="008946B0" w:rsidRDefault="00AB77EF">
            <w:pPr>
              <w:pStyle w:val="ECCTabletext"/>
              <w:jc w:val="left"/>
              <w:rPr>
                <w:lang w:eastAsia="de-DE"/>
              </w:rPr>
            </w:pPr>
            <w:r w:rsidRPr="008946B0">
              <w:rPr>
                <w:lang w:eastAsia="de-DE"/>
              </w:rPr>
              <w:t>ETCS (European Train Control System)</w:t>
            </w:r>
          </w:p>
        </w:tc>
        <w:tc>
          <w:tcPr>
            <w:tcW w:w="7566" w:type="dxa"/>
          </w:tcPr>
          <w:p w14:paraId="388AB8A5" w14:textId="77777777" w:rsidR="005A47F3" w:rsidRPr="008946B0" w:rsidRDefault="00AB77EF">
            <w:pPr>
              <w:pStyle w:val="ECCTabletext"/>
              <w:jc w:val="left"/>
              <w:rPr>
                <w:lang w:eastAsia="de-DE"/>
              </w:rPr>
            </w:pPr>
            <w:r w:rsidRPr="008946B0">
              <w:rPr>
                <w:lang w:eastAsia="de-DE"/>
              </w:rPr>
              <w:t>Applicative protocol for railway signalling and train protection to enable railway interoperability at European level</w:t>
            </w:r>
          </w:p>
        </w:tc>
      </w:tr>
      <w:tr w:rsidR="005A47F3" w:rsidRPr="008946B0" w14:paraId="6DAED751" w14:textId="77777777" w:rsidTr="007C0B85">
        <w:trPr>
          <w:cantSplit/>
        </w:trPr>
        <w:tc>
          <w:tcPr>
            <w:tcW w:w="2181" w:type="dxa"/>
          </w:tcPr>
          <w:p w14:paraId="227128D0" w14:textId="77777777" w:rsidR="005A47F3" w:rsidRPr="008946B0" w:rsidRDefault="00AB77EF">
            <w:pPr>
              <w:pStyle w:val="ECCTabletext"/>
              <w:jc w:val="left"/>
              <w:rPr>
                <w:lang w:eastAsia="de-DE"/>
              </w:rPr>
            </w:pPr>
            <w:r w:rsidRPr="008946B0">
              <w:rPr>
                <w:lang w:eastAsia="de-DE"/>
              </w:rPr>
              <w:t>GSM-R (GSM for Railway)</w:t>
            </w:r>
          </w:p>
        </w:tc>
        <w:tc>
          <w:tcPr>
            <w:tcW w:w="7566" w:type="dxa"/>
          </w:tcPr>
          <w:p w14:paraId="6A377C77" w14:textId="77777777" w:rsidR="005A47F3" w:rsidRPr="008946B0" w:rsidRDefault="00AB77EF">
            <w:pPr>
              <w:pStyle w:val="ECCTabletext"/>
              <w:jc w:val="left"/>
              <w:rPr>
                <w:lang w:eastAsia="de-DE"/>
              </w:rPr>
            </w:pPr>
            <w:r w:rsidRPr="008946B0">
              <w:rPr>
                <w:lang w:eastAsia="de-DE"/>
              </w:rPr>
              <w:t>Current radiocommunication network for railways, which provides voice services (including emergency voice calls) and carries ETCS and other data services</w:t>
            </w:r>
          </w:p>
        </w:tc>
      </w:tr>
      <w:tr w:rsidR="005A47F3" w:rsidRPr="008946B0" w14:paraId="5FF7EF44" w14:textId="77777777" w:rsidTr="007C0B85">
        <w:trPr>
          <w:cantSplit/>
        </w:trPr>
        <w:tc>
          <w:tcPr>
            <w:tcW w:w="2181" w:type="dxa"/>
          </w:tcPr>
          <w:p w14:paraId="67872274" w14:textId="77777777" w:rsidR="005A47F3" w:rsidRPr="008946B0" w:rsidRDefault="00AB77EF">
            <w:pPr>
              <w:pStyle w:val="ECCTabletext"/>
              <w:jc w:val="left"/>
              <w:rPr>
                <w:lang w:eastAsia="de-DE"/>
              </w:rPr>
            </w:pPr>
            <w:r w:rsidRPr="008946B0">
              <w:rPr>
                <w:lang w:eastAsia="de-DE"/>
              </w:rPr>
              <w:t>Guard-band</w:t>
            </w:r>
          </w:p>
        </w:tc>
        <w:tc>
          <w:tcPr>
            <w:tcW w:w="7566" w:type="dxa"/>
          </w:tcPr>
          <w:p w14:paraId="4641A8DD" w14:textId="77777777" w:rsidR="005A47F3" w:rsidRPr="008946B0" w:rsidRDefault="00AB77EF">
            <w:pPr>
              <w:pStyle w:val="ECCTabletext"/>
              <w:jc w:val="left"/>
              <w:rPr>
                <w:lang w:eastAsia="de-DE"/>
              </w:rPr>
            </w:pPr>
            <w:r w:rsidRPr="008946B0">
              <w:rPr>
                <w:lang w:eastAsia="de-DE"/>
              </w:rPr>
              <w:t>The minimum channel edge to channel edge frequency separation</w:t>
            </w:r>
          </w:p>
        </w:tc>
      </w:tr>
      <w:tr w:rsidR="005A47F3" w:rsidRPr="008946B0" w14:paraId="2A6BBE9B" w14:textId="77777777" w:rsidTr="007C0B85">
        <w:trPr>
          <w:cantSplit/>
        </w:trPr>
        <w:tc>
          <w:tcPr>
            <w:tcW w:w="2181" w:type="dxa"/>
          </w:tcPr>
          <w:p w14:paraId="45A2DA65" w14:textId="77777777" w:rsidR="005A47F3" w:rsidRPr="008946B0" w:rsidRDefault="00AB77EF">
            <w:pPr>
              <w:pStyle w:val="ECCTabletext"/>
              <w:jc w:val="left"/>
              <w:rPr>
                <w:lang w:eastAsia="de-DE"/>
              </w:rPr>
            </w:pPr>
            <w:r w:rsidRPr="008946B0">
              <w:rPr>
                <w:lang w:eastAsia="de-DE"/>
              </w:rPr>
              <w:t>Infrastructure Manager</w:t>
            </w:r>
          </w:p>
        </w:tc>
        <w:tc>
          <w:tcPr>
            <w:tcW w:w="7566" w:type="dxa"/>
          </w:tcPr>
          <w:p w14:paraId="13A1349A" w14:textId="77777777" w:rsidR="005A47F3" w:rsidRPr="008946B0" w:rsidRDefault="00AB77EF">
            <w:pPr>
              <w:pStyle w:val="ECCTabletext"/>
              <w:jc w:val="left"/>
              <w:rPr>
                <w:lang w:eastAsia="de-DE"/>
              </w:rPr>
            </w:pPr>
            <w:r w:rsidRPr="008946B0">
              <w:rPr>
                <w:lang w:eastAsia="de-DE"/>
              </w:rPr>
              <w:t>The entity who administrates the rail track network and the associated radio access network (today GSM-R)</w:t>
            </w:r>
          </w:p>
        </w:tc>
      </w:tr>
      <w:tr w:rsidR="005A47F3" w:rsidRPr="008946B0" w14:paraId="6E88289E" w14:textId="77777777" w:rsidTr="007C0B85">
        <w:trPr>
          <w:cantSplit/>
        </w:trPr>
        <w:tc>
          <w:tcPr>
            <w:tcW w:w="2181" w:type="dxa"/>
          </w:tcPr>
          <w:p w14:paraId="027BFECE" w14:textId="77777777" w:rsidR="005A47F3" w:rsidRPr="008946B0" w:rsidRDefault="00AB77EF">
            <w:pPr>
              <w:pStyle w:val="ECCTabletext"/>
              <w:jc w:val="left"/>
              <w:rPr>
                <w:lang w:eastAsia="de-DE"/>
              </w:rPr>
            </w:pPr>
            <w:r w:rsidRPr="008946B0">
              <w:rPr>
                <w:lang w:eastAsia="de-DE"/>
              </w:rPr>
              <w:t>M (Mandatory)</w:t>
            </w:r>
          </w:p>
        </w:tc>
        <w:tc>
          <w:tcPr>
            <w:tcW w:w="7566" w:type="dxa"/>
          </w:tcPr>
          <w:p w14:paraId="69EAC4AE" w14:textId="77777777" w:rsidR="005A47F3" w:rsidRPr="008946B0" w:rsidRDefault="00AB77EF">
            <w:pPr>
              <w:pStyle w:val="ECCTabletext"/>
              <w:jc w:val="left"/>
              <w:rPr>
                <w:lang w:eastAsia="de-DE"/>
              </w:rPr>
            </w:pPr>
            <w:r w:rsidRPr="008946B0">
              <w:rPr>
                <w:lang w:eastAsia="de-DE"/>
              </w:rPr>
              <w:t>Designates mandatory requirements to allow that the technical characteristics of the network and fixed terminals are compatible with each other and with terminals on-board the trains or handheld</w:t>
            </w:r>
          </w:p>
        </w:tc>
      </w:tr>
      <w:tr w:rsidR="005A47F3" w:rsidRPr="008946B0" w14:paraId="3DF16995" w14:textId="77777777" w:rsidTr="007C0B85">
        <w:trPr>
          <w:cantSplit/>
        </w:trPr>
        <w:tc>
          <w:tcPr>
            <w:tcW w:w="2181" w:type="dxa"/>
          </w:tcPr>
          <w:p w14:paraId="788B2B55" w14:textId="77777777" w:rsidR="005A47F3" w:rsidRPr="008946B0" w:rsidRDefault="00AB77EF">
            <w:pPr>
              <w:pStyle w:val="ECCTabletext"/>
              <w:jc w:val="left"/>
              <w:rPr>
                <w:lang w:eastAsia="de-DE"/>
              </w:rPr>
            </w:pPr>
            <w:r w:rsidRPr="008946B0">
              <w:rPr>
                <w:lang w:eastAsia="de-DE"/>
              </w:rPr>
              <w:t>MI (Mandatory for Interoperability)</w:t>
            </w:r>
          </w:p>
        </w:tc>
        <w:tc>
          <w:tcPr>
            <w:tcW w:w="7566" w:type="dxa"/>
          </w:tcPr>
          <w:p w14:paraId="0E0A587D" w14:textId="14ECAD66" w:rsidR="005A47F3" w:rsidRPr="008946B0" w:rsidRDefault="00AB77EF">
            <w:pPr>
              <w:pStyle w:val="ECCTabletext"/>
              <w:jc w:val="left"/>
              <w:rPr>
                <w:lang w:eastAsia="de-DE"/>
              </w:rPr>
            </w:pPr>
            <w:r w:rsidRPr="008946B0">
              <w:rPr>
                <w:lang w:eastAsia="de-DE"/>
              </w:rPr>
              <w:t xml:space="preserve">Designates mandatory requirements on lines under the scope of the Interoperability Directive </w:t>
            </w:r>
            <w:r w:rsidRPr="008946B0">
              <w:rPr>
                <w:lang w:eastAsia="de-DE"/>
              </w:rPr>
              <w:fldChar w:fldCharType="begin"/>
            </w:r>
            <w:r w:rsidRPr="008946B0">
              <w:rPr>
                <w:lang w:eastAsia="de-DE"/>
              </w:rPr>
              <w:instrText xml:space="preserve"> REF _Ref481397657 \r \h </w:instrText>
            </w:r>
            <w:r w:rsidRPr="008946B0">
              <w:rPr>
                <w:lang w:eastAsia="de-DE"/>
              </w:rPr>
            </w:r>
            <w:r w:rsidRPr="008946B0">
              <w:rPr>
                <w:lang w:eastAsia="de-DE"/>
              </w:rPr>
              <w:fldChar w:fldCharType="separate"/>
            </w:r>
            <w:r w:rsidR="00CF6E1D" w:rsidRPr="008946B0">
              <w:rPr>
                <w:lang w:eastAsia="de-DE"/>
              </w:rPr>
              <w:t>[1]</w:t>
            </w:r>
            <w:r w:rsidRPr="008946B0">
              <w:rPr>
                <w:lang w:eastAsia="de-DE"/>
              </w:rPr>
              <w:fldChar w:fldCharType="end"/>
            </w:r>
            <w:r w:rsidRPr="008946B0">
              <w:rPr>
                <w:lang w:eastAsia="de-DE"/>
              </w:rPr>
              <w:t xml:space="preserve"> to ensure technical compatibility between Member States and safe integration between train and track</w:t>
            </w:r>
          </w:p>
        </w:tc>
      </w:tr>
      <w:tr w:rsidR="005A47F3" w:rsidRPr="008946B0" w14:paraId="0C19DD69" w14:textId="77777777" w:rsidTr="007C0B85">
        <w:trPr>
          <w:cantSplit/>
        </w:trPr>
        <w:tc>
          <w:tcPr>
            <w:tcW w:w="2181" w:type="dxa"/>
          </w:tcPr>
          <w:p w14:paraId="716C5F7A" w14:textId="77777777" w:rsidR="005A47F3" w:rsidRPr="008946B0" w:rsidRDefault="00AB77EF">
            <w:pPr>
              <w:pStyle w:val="ECCTabletext"/>
              <w:jc w:val="left"/>
              <w:rPr>
                <w:lang w:eastAsia="de-DE"/>
              </w:rPr>
            </w:pPr>
            <w:r w:rsidRPr="008946B0">
              <w:rPr>
                <w:lang w:eastAsia="de-DE"/>
              </w:rPr>
              <w:t>Movement authority</w:t>
            </w:r>
          </w:p>
        </w:tc>
        <w:tc>
          <w:tcPr>
            <w:tcW w:w="7566" w:type="dxa"/>
          </w:tcPr>
          <w:p w14:paraId="6597D02B" w14:textId="77777777" w:rsidR="005A47F3" w:rsidRPr="008946B0" w:rsidRDefault="00AB77EF">
            <w:pPr>
              <w:pStyle w:val="ECCTabletext"/>
              <w:jc w:val="left"/>
              <w:rPr>
                <w:lang w:eastAsia="de-DE"/>
              </w:rPr>
            </w:pPr>
            <w:r w:rsidRPr="008946B0">
              <w:rPr>
                <w:lang w:eastAsia="de-DE"/>
              </w:rPr>
              <w:t>Information about where the train is allowed to safely move</w:t>
            </w:r>
          </w:p>
        </w:tc>
      </w:tr>
      <w:tr w:rsidR="005A47F3" w:rsidRPr="008946B0" w14:paraId="0624DA2E" w14:textId="77777777" w:rsidTr="007C0B85">
        <w:trPr>
          <w:cantSplit/>
        </w:trPr>
        <w:tc>
          <w:tcPr>
            <w:tcW w:w="2181" w:type="dxa"/>
          </w:tcPr>
          <w:p w14:paraId="574FCC2D" w14:textId="77777777" w:rsidR="005A47F3" w:rsidRPr="008946B0" w:rsidRDefault="00AB77EF">
            <w:pPr>
              <w:pStyle w:val="ECCTabletext"/>
              <w:jc w:val="left"/>
              <w:rPr>
                <w:lang w:eastAsia="de-DE"/>
              </w:rPr>
            </w:pPr>
            <w:r w:rsidRPr="008946B0">
              <w:rPr>
                <w:lang w:eastAsia="de-DE"/>
              </w:rPr>
              <w:t>Railway interoperability</w:t>
            </w:r>
          </w:p>
        </w:tc>
        <w:tc>
          <w:tcPr>
            <w:tcW w:w="7566" w:type="dxa"/>
          </w:tcPr>
          <w:p w14:paraId="2B58BBAE" w14:textId="5A391556" w:rsidR="005A47F3" w:rsidRPr="008946B0" w:rsidRDefault="00AB77EF">
            <w:pPr>
              <w:pStyle w:val="ECCTabletext"/>
              <w:jc w:val="left"/>
              <w:rPr>
                <w:lang w:eastAsia="de-DE"/>
              </w:rPr>
            </w:pPr>
            <w:r w:rsidRPr="008946B0">
              <w:rPr>
                <w:lang w:eastAsia="de-DE"/>
              </w:rPr>
              <w:t xml:space="preserve">Ability for trains and staff to operate uninterruptedly across borders and railway networks (requirement defined in the EU Directive 2016/797 </w:t>
            </w:r>
            <w:r w:rsidRPr="008946B0">
              <w:rPr>
                <w:lang w:eastAsia="de-DE"/>
              </w:rPr>
              <w:fldChar w:fldCharType="begin"/>
            </w:r>
            <w:r w:rsidRPr="008946B0">
              <w:rPr>
                <w:lang w:eastAsia="de-DE"/>
              </w:rPr>
              <w:instrText xml:space="preserve"> REF _Ref481397657 \r \h </w:instrText>
            </w:r>
            <w:r w:rsidRPr="008946B0">
              <w:rPr>
                <w:lang w:eastAsia="de-DE"/>
              </w:rPr>
            </w:r>
            <w:r w:rsidRPr="008946B0">
              <w:rPr>
                <w:lang w:eastAsia="de-DE"/>
              </w:rPr>
              <w:fldChar w:fldCharType="separate"/>
            </w:r>
            <w:r w:rsidR="00CF6E1D" w:rsidRPr="008946B0">
              <w:rPr>
                <w:lang w:eastAsia="de-DE"/>
              </w:rPr>
              <w:t>[1]</w:t>
            </w:r>
            <w:r w:rsidRPr="008946B0">
              <w:rPr>
                <w:lang w:eastAsia="de-DE"/>
              </w:rPr>
              <w:fldChar w:fldCharType="end"/>
            </w:r>
            <w:r w:rsidRPr="008946B0">
              <w:rPr>
                <w:lang w:eastAsia="da-DK"/>
              </w:rPr>
              <w:t>,</w:t>
            </w:r>
            <w:r w:rsidRPr="008946B0">
              <w:rPr>
                <w:lang w:eastAsia="de-DE"/>
              </w:rPr>
              <w:t xml:space="preserve"> supplemented by Commission Delegated Decision (EU) 2017/1474 </w:t>
            </w:r>
            <w:r w:rsidRPr="008946B0">
              <w:rPr>
                <w:lang w:eastAsia="de-DE"/>
              </w:rPr>
              <w:fldChar w:fldCharType="begin"/>
            </w:r>
            <w:r w:rsidRPr="008946B0">
              <w:rPr>
                <w:lang w:eastAsia="de-DE"/>
              </w:rPr>
              <w:instrText xml:space="preserve"> REF _Ref524781520 \r \h </w:instrText>
            </w:r>
            <w:r w:rsidRPr="008946B0">
              <w:rPr>
                <w:lang w:eastAsia="de-DE"/>
              </w:rPr>
            </w:r>
            <w:r w:rsidRPr="008946B0">
              <w:rPr>
                <w:lang w:eastAsia="de-DE"/>
              </w:rPr>
              <w:fldChar w:fldCharType="separate"/>
            </w:r>
            <w:r w:rsidR="00610DD8" w:rsidRPr="008946B0">
              <w:rPr>
                <w:lang w:eastAsia="de-DE"/>
              </w:rPr>
              <w:t>[18]</w:t>
            </w:r>
            <w:r w:rsidRPr="008946B0">
              <w:rPr>
                <w:lang w:eastAsia="de-DE"/>
              </w:rPr>
              <w:fldChar w:fldCharType="end"/>
            </w:r>
            <w:r w:rsidRPr="008946B0">
              <w:rPr>
                <w:lang w:eastAsia="de-DE"/>
              </w:rPr>
              <w:t>, formerly EC Directive 2008/57)</w:t>
            </w:r>
          </w:p>
        </w:tc>
      </w:tr>
      <w:tr w:rsidR="001134A0" w:rsidRPr="008946B0" w14:paraId="3329E7C4" w14:textId="77777777" w:rsidTr="007C0B85">
        <w:trPr>
          <w:cantSplit/>
        </w:trPr>
        <w:tc>
          <w:tcPr>
            <w:tcW w:w="2181" w:type="dxa"/>
          </w:tcPr>
          <w:p w14:paraId="21498F37" w14:textId="2FF57D3B" w:rsidR="001134A0" w:rsidRPr="008946B0" w:rsidRDefault="001134A0">
            <w:pPr>
              <w:pStyle w:val="ECCTabletext"/>
              <w:jc w:val="left"/>
              <w:rPr>
                <w:lang w:eastAsia="de-DE"/>
              </w:rPr>
            </w:pPr>
            <w:r w:rsidRPr="008946B0">
              <w:rPr>
                <w:lang w:eastAsia="de-DE"/>
              </w:rPr>
              <w:t>Railway Mobile Radio</w:t>
            </w:r>
          </w:p>
        </w:tc>
        <w:tc>
          <w:tcPr>
            <w:tcW w:w="7566" w:type="dxa"/>
          </w:tcPr>
          <w:p w14:paraId="1E07FAB6" w14:textId="424B1DB7" w:rsidR="001134A0" w:rsidRPr="008946B0" w:rsidRDefault="001134A0">
            <w:pPr>
              <w:pStyle w:val="ECCTabletext"/>
              <w:jc w:val="left"/>
              <w:rPr>
                <w:lang w:eastAsia="de-DE"/>
              </w:rPr>
            </w:pPr>
            <w:r w:rsidRPr="008946B0">
              <w:rPr>
                <w:lang w:eastAsia="de-DE"/>
              </w:rPr>
              <w:t>Encompasses GSM-R and its successor(s), including the Future Railway Mobile Comm</w:t>
            </w:r>
            <w:r w:rsidR="00D36C3E" w:rsidRPr="008946B0">
              <w:rPr>
                <w:lang w:eastAsia="de-DE"/>
              </w:rPr>
              <w:t>unication System (FRMCS)</w:t>
            </w:r>
          </w:p>
        </w:tc>
      </w:tr>
      <w:tr w:rsidR="001134A0" w:rsidRPr="008946B0" w14:paraId="6912DAC8" w14:textId="77777777" w:rsidTr="007C0B85">
        <w:trPr>
          <w:cantSplit/>
        </w:trPr>
        <w:tc>
          <w:tcPr>
            <w:tcW w:w="2181" w:type="dxa"/>
          </w:tcPr>
          <w:p w14:paraId="4ED2D3A1" w14:textId="77777777" w:rsidR="001134A0" w:rsidRPr="008946B0" w:rsidRDefault="001134A0">
            <w:pPr>
              <w:pStyle w:val="ECCTabletext"/>
              <w:jc w:val="left"/>
              <w:rPr>
                <w:lang w:eastAsia="de-DE"/>
              </w:rPr>
            </w:pPr>
            <w:r w:rsidRPr="008946B0">
              <w:rPr>
                <w:lang w:eastAsia="de-DE"/>
              </w:rPr>
              <w:lastRenderedPageBreak/>
              <w:t>Railway signalling</w:t>
            </w:r>
          </w:p>
        </w:tc>
        <w:tc>
          <w:tcPr>
            <w:tcW w:w="7566" w:type="dxa"/>
          </w:tcPr>
          <w:p w14:paraId="090D94D1" w14:textId="77777777" w:rsidR="001134A0" w:rsidRPr="008946B0" w:rsidRDefault="001134A0">
            <w:pPr>
              <w:pStyle w:val="ECCTabletext"/>
              <w:jc w:val="left"/>
              <w:rPr>
                <w:lang w:eastAsia="de-DE"/>
              </w:rPr>
            </w:pPr>
            <w:r w:rsidRPr="008946B0">
              <w:rPr>
                <w:lang w:eastAsia="de-DE"/>
              </w:rPr>
              <w:t>Speed limits and movement authorities (provided by trackside signals, balises or wireless communications)</w:t>
            </w:r>
          </w:p>
        </w:tc>
      </w:tr>
      <w:tr w:rsidR="001134A0" w:rsidRPr="008946B0" w14:paraId="61F151A7" w14:textId="77777777" w:rsidTr="007C0B85">
        <w:trPr>
          <w:cantSplit/>
        </w:trPr>
        <w:tc>
          <w:tcPr>
            <w:tcW w:w="2181" w:type="dxa"/>
          </w:tcPr>
          <w:p w14:paraId="13602817" w14:textId="77777777" w:rsidR="001134A0" w:rsidRPr="008946B0" w:rsidRDefault="001134A0">
            <w:pPr>
              <w:pStyle w:val="ECCTabletext"/>
              <w:jc w:val="left"/>
              <w:rPr>
                <w:lang w:eastAsia="de-DE"/>
              </w:rPr>
            </w:pPr>
            <w:r w:rsidRPr="008946B0">
              <w:rPr>
                <w:lang w:eastAsia="de-DE"/>
              </w:rPr>
              <w:t>Railway Undertaking</w:t>
            </w:r>
          </w:p>
        </w:tc>
        <w:tc>
          <w:tcPr>
            <w:tcW w:w="7566" w:type="dxa"/>
          </w:tcPr>
          <w:p w14:paraId="6AEEB060" w14:textId="77777777" w:rsidR="001134A0" w:rsidRPr="008946B0" w:rsidRDefault="001134A0">
            <w:pPr>
              <w:pStyle w:val="ECCTabletext"/>
              <w:jc w:val="left"/>
              <w:rPr>
                <w:lang w:eastAsia="de-DE"/>
              </w:rPr>
            </w:pPr>
            <w:r w:rsidRPr="008946B0">
              <w:rPr>
                <w:lang w:eastAsia="de-DE"/>
              </w:rPr>
              <w:t>A company which operates trains and thus uses the radio access network (today GSM-R) provided by the Infrastructure Manager</w:t>
            </w:r>
          </w:p>
        </w:tc>
      </w:tr>
    </w:tbl>
    <w:p w14:paraId="01D65A66" w14:textId="77777777" w:rsidR="005A47F3" w:rsidRPr="008946B0" w:rsidRDefault="00AB77EF">
      <w:pPr>
        <w:pStyle w:val="Heading2"/>
        <w:rPr>
          <w:lang w:val="en-GB"/>
        </w:rPr>
      </w:pPr>
      <w:bookmarkStart w:id="9" w:name="_Toc42722811"/>
      <w:r w:rsidRPr="008946B0">
        <w:rPr>
          <w:lang w:val="en-GB"/>
        </w:rPr>
        <w:t>Railway interoperability</w:t>
      </w:r>
      <w:bookmarkEnd w:id="9"/>
    </w:p>
    <w:p w14:paraId="7D564904" w14:textId="36075CAF" w:rsidR="005A47F3" w:rsidRPr="008946B0" w:rsidRDefault="00AB77EF">
      <w:pPr>
        <w:spacing w:before="240" w:after="60" w:line="240" w:lineRule="auto"/>
        <w:jc w:val="both"/>
        <w:rPr>
          <w:rFonts w:eastAsia="Calibri"/>
          <w:szCs w:val="22"/>
          <w:lang w:val="en-GB"/>
        </w:rPr>
      </w:pPr>
      <w:r w:rsidRPr="008946B0">
        <w:rPr>
          <w:rFonts w:eastAsia="Calibri"/>
          <w:szCs w:val="22"/>
          <w:lang w:val="en-GB"/>
        </w:rPr>
        <w:t>Railway transport occupies a core position in Europe’s overall transport sector, and the interoperability of the rail system within the European Union is the cornerstone of the establishment of a single European railway area. The concept of one single signalling system at EU level, to enhance interoperability, dates back to 1989, when the Commission launched an analysis of signalling issues across the EU Member States. The first legislative acts serving that objective were issued in 1996 with the so-called Interoperability Directive related to trans-European high-speed trains and in 2001 with another Interoperability Directive, this time related to trans-European conventional rail system.</w:t>
      </w:r>
      <w:r w:rsidR="008C4CB2" w:rsidRPr="008946B0">
        <w:rPr>
          <w:rFonts w:eastAsia="Calibri"/>
          <w:szCs w:val="22"/>
          <w:lang w:val="en-GB"/>
        </w:rPr>
        <w:t xml:space="preserve"> The Interoperability Directive </w:t>
      </w:r>
      <w:r w:rsidR="00CC2E9C" w:rsidRPr="008946B0">
        <w:rPr>
          <w:rFonts w:eastAsia="Calibri"/>
          <w:szCs w:val="22"/>
          <w:lang w:val="en-GB"/>
        </w:rPr>
        <w:t xml:space="preserve">currently </w:t>
      </w:r>
      <w:r w:rsidR="008C4CB2" w:rsidRPr="008946B0">
        <w:rPr>
          <w:rFonts w:eastAsia="Calibri"/>
          <w:szCs w:val="22"/>
          <w:lang w:val="en-GB"/>
        </w:rPr>
        <w:t xml:space="preserve">in force dates from 2016 </w:t>
      </w:r>
      <w:r w:rsidR="008C4CB2" w:rsidRPr="008946B0">
        <w:rPr>
          <w:rFonts w:eastAsia="Calibri"/>
          <w:szCs w:val="22"/>
          <w:lang w:val="en-GB"/>
        </w:rPr>
        <w:fldChar w:fldCharType="begin"/>
      </w:r>
      <w:r w:rsidR="008C4CB2" w:rsidRPr="008946B0">
        <w:rPr>
          <w:rFonts w:eastAsia="Calibri"/>
          <w:szCs w:val="22"/>
          <w:lang w:val="en-GB"/>
        </w:rPr>
        <w:instrText xml:space="preserve"> REF _Ref481397657 \r \h </w:instrText>
      </w:r>
      <w:r w:rsidR="008C4CB2" w:rsidRPr="008946B0">
        <w:rPr>
          <w:rFonts w:eastAsia="Calibri"/>
          <w:szCs w:val="22"/>
          <w:lang w:val="en-GB"/>
        </w:rPr>
      </w:r>
      <w:r w:rsidR="008C4CB2" w:rsidRPr="008946B0">
        <w:rPr>
          <w:rFonts w:eastAsia="Calibri"/>
          <w:szCs w:val="22"/>
          <w:lang w:val="en-GB"/>
        </w:rPr>
        <w:fldChar w:fldCharType="separate"/>
      </w:r>
      <w:r w:rsidR="008C4CB2" w:rsidRPr="008946B0">
        <w:rPr>
          <w:rFonts w:eastAsia="Calibri"/>
          <w:szCs w:val="22"/>
          <w:lang w:val="en-GB"/>
        </w:rPr>
        <w:t>[1]</w:t>
      </w:r>
      <w:r w:rsidR="008C4CB2" w:rsidRPr="008946B0">
        <w:rPr>
          <w:rFonts w:eastAsia="Calibri"/>
          <w:szCs w:val="22"/>
          <w:lang w:val="en-GB"/>
        </w:rPr>
        <w:fldChar w:fldCharType="end"/>
      </w:r>
      <w:r w:rsidR="008C4CB2" w:rsidRPr="008946B0">
        <w:rPr>
          <w:rFonts w:eastAsia="Calibri"/>
          <w:szCs w:val="22"/>
          <w:lang w:val="en-GB"/>
        </w:rPr>
        <w:t>.</w:t>
      </w:r>
    </w:p>
    <w:p w14:paraId="723C0FAB" w14:textId="2EFAF9A3"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The interoperability of the European railway system is ensured today by the Railway Interoperability Directive </w:t>
      </w:r>
      <w:r w:rsidRPr="008946B0">
        <w:rPr>
          <w:rFonts w:eastAsia="Calibri"/>
          <w:szCs w:val="22"/>
          <w:lang w:val="en-GB"/>
        </w:rPr>
        <w:fldChar w:fldCharType="begin"/>
      </w:r>
      <w:r w:rsidRPr="008946B0">
        <w:rPr>
          <w:rFonts w:eastAsia="Calibri"/>
          <w:szCs w:val="22"/>
          <w:lang w:val="en-GB"/>
        </w:rPr>
        <w:instrText xml:space="preserve"> REF _Ref481397657 \r \h  \* MERGEFORMAT </w:instrText>
      </w:r>
      <w:r w:rsidRPr="008946B0">
        <w:rPr>
          <w:rFonts w:eastAsia="Calibri"/>
          <w:szCs w:val="22"/>
          <w:lang w:val="en-GB"/>
        </w:rPr>
      </w:r>
      <w:r w:rsidRPr="008946B0">
        <w:rPr>
          <w:rFonts w:eastAsia="Calibri"/>
          <w:szCs w:val="22"/>
          <w:lang w:val="en-GB"/>
        </w:rPr>
        <w:fldChar w:fldCharType="separate"/>
      </w:r>
      <w:r w:rsidR="00CF6E1D" w:rsidRPr="008946B0">
        <w:rPr>
          <w:rFonts w:eastAsia="Calibri"/>
          <w:szCs w:val="22"/>
          <w:lang w:val="en-GB"/>
        </w:rPr>
        <w:t>[1]</w:t>
      </w:r>
      <w:r w:rsidRPr="008946B0">
        <w:rPr>
          <w:rFonts w:eastAsia="Calibri"/>
          <w:szCs w:val="22"/>
          <w:lang w:val="en-GB"/>
        </w:rPr>
        <w:fldChar w:fldCharType="end"/>
      </w:r>
      <w:r w:rsidRPr="008946B0">
        <w:rPr>
          <w:rFonts w:eastAsia="Calibri"/>
          <w:szCs w:val="22"/>
          <w:lang w:val="en-GB"/>
        </w:rPr>
        <w:t xml:space="preserve"> and the Technical Specifications for Interoperability (CCS TSI) </w:t>
      </w:r>
      <w:r w:rsidR="0062637D" w:rsidRPr="008946B0">
        <w:rPr>
          <w:rFonts w:eastAsia="Calibri"/>
          <w:szCs w:val="22"/>
          <w:lang w:val="en-GB"/>
        </w:rPr>
        <w:fldChar w:fldCharType="begin"/>
      </w:r>
      <w:r w:rsidR="0062637D" w:rsidRPr="008946B0">
        <w:rPr>
          <w:rFonts w:eastAsia="Calibri"/>
          <w:szCs w:val="22"/>
          <w:lang w:val="en-GB"/>
        </w:rPr>
        <w:instrText xml:space="preserve"> REF _Ref481397801 \r \h </w:instrText>
      </w:r>
      <w:r w:rsidR="0062637D" w:rsidRPr="008946B0">
        <w:rPr>
          <w:rFonts w:eastAsia="Calibri"/>
          <w:szCs w:val="22"/>
          <w:lang w:val="en-GB"/>
        </w:rPr>
      </w:r>
      <w:r w:rsidR="0062637D" w:rsidRPr="008946B0">
        <w:rPr>
          <w:rFonts w:eastAsia="Calibri"/>
          <w:szCs w:val="22"/>
          <w:lang w:val="en-GB"/>
        </w:rPr>
        <w:fldChar w:fldCharType="separate"/>
      </w:r>
      <w:r w:rsidR="00CF6E1D" w:rsidRPr="008946B0">
        <w:rPr>
          <w:rFonts w:eastAsia="Calibri"/>
          <w:szCs w:val="22"/>
          <w:lang w:val="en-GB"/>
        </w:rPr>
        <w:t>[4]</w:t>
      </w:r>
      <w:r w:rsidR="0062637D" w:rsidRPr="008946B0">
        <w:rPr>
          <w:rFonts w:eastAsia="Calibri"/>
          <w:szCs w:val="22"/>
          <w:lang w:val="en-GB"/>
        </w:rPr>
        <w:fldChar w:fldCharType="end"/>
      </w:r>
      <w:r w:rsidRPr="008946B0">
        <w:rPr>
          <w:rFonts w:eastAsia="Calibri"/>
          <w:szCs w:val="22"/>
          <w:lang w:val="en-GB"/>
        </w:rPr>
        <w:t xml:space="preserve"> which provide the regulatory framework. </w:t>
      </w:r>
    </w:p>
    <w:p w14:paraId="0531FEA6" w14:textId="7FE1A802"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In the Directive 2016/797/EU </w:t>
      </w:r>
      <w:r w:rsidRPr="008946B0">
        <w:rPr>
          <w:rFonts w:eastAsia="Calibri"/>
          <w:szCs w:val="22"/>
          <w:lang w:val="en-GB"/>
        </w:rPr>
        <w:fldChar w:fldCharType="begin"/>
      </w:r>
      <w:r w:rsidRPr="008946B0">
        <w:rPr>
          <w:rFonts w:eastAsia="Calibri"/>
          <w:szCs w:val="22"/>
          <w:lang w:val="en-GB"/>
        </w:rPr>
        <w:instrText xml:space="preserve"> REF _Ref481397657 \r \h  \* MERGEFORMAT </w:instrText>
      </w:r>
      <w:r w:rsidRPr="008946B0">
        <w:rPr>
          <w:rFonts w:eastAsia="Calibri"/>
          <w:szCs w:val="22"/>
          <w:lang w:val="en-GB"/>
        </w:rPr>
      </w:r>
      <w:r w:rsidRPr="008946B0">
        <w:rPr>
          <w:rFonts w:eastAsia="Calibri"/>
          <w:szCs w:val="22"/>
          <w:lang w:val="en-GB"/>
        </w:rPr>
        <w:fldChar w:fldCharType="separate"/>
      </w:r>
      <w:r w:rsidR="00CF6E1D" w:rsidRPr="008946B0">
        <w:rPr>
          <w:rFonts w:eastAsia="Calibri"/>
          <w:szCs w:val="22"/>
          <w:lang w:val="en-GB"/>
        </w:rPr>
        <w:t>[1]</w:t>
      </w:r>
      <w:r w:rsidRPr="008946B0">
        <w:rPr>
          <w:rFonts w:eastAsia="Calibri"/>
          <w:szCs w:val="22"/>
          <w:lang w:val="en-GB"/>
        </w:rPr>
        <w:fldChar w:fldCharType="end"/>
      </w:r>
      <w:r w:rsidRPr="008946B0">
        <w:rPr>
          <w:rFonts w:eastAsia="Calibri"/>
          <w:szCs w:val="22"/>
          <w:lang w:val="en-GB"/>
        </w:rPr>
        <w:t xml:space="preserve"> on the interoperability of the railway system within the Community, the definition of railway interoperability can be found in its Article 2:</w:t>
      </w:r>
    </w:p>
    <w:p w14:paraId="6A02CC97" w14:textId="77777777" w:rsidR="005A47F3" w:rsidRPr="008946B0" w:rsidRDefault="00AB77EF">
      <w:pPr>
        <w:spacing w:before="240" w:after="60" w:line="240" w:lineRule="auto"/>
        <w:ind w:left="714"/>
        <w:jc w:val="both"/>
        <w:rPr>
          <w:rFonts w:eastAsia="Calibri"/>
          <w:i/>
          <w:iCs/>
          <w:szCs w:val="22"/>
          <w:lang w:val="en-GB"/>
        </w:rPr>
      </w:pPr>
      <w:r w:rsidRPr="008946B0">
        <w:rPr>
          <w:rFonts w:eastAsia="Calibri"/>
          <w:i/>
          <w:iCs/>
          <w:szCs w:val="22"/>
          <w:lang w:val="en-GB"/>
        </w:rPr>
        <w:t>‘interoperability’ means the ability of a rail system to allow the safe and uninterrupted movement of trains which accomplish the required levels of performance;</w:t>
      </w:r>
    </w:p>
    <w:p w14:paraId="086FB618" w14:textId="77777777" w:rsidR="005A47F3" w:rsidRPr="008946B0" w:rsidRDefault="00AB77EF">
      <w:pPr>
        <w:spacing w:before="240" w:after="60" w:line="240" w:lineRule="auto"/>
        <w:jc w:val="both"/>
        <w:rPr>
          <w:rFonts w:eastAsia="Calibri"/>
          <w:szCs w:val="22"/>
          <w:lang w:val="en-GB"/>
        </w:rPr>
      </w:pPr>
      <w:r w:rsidRPr="008946B0">
        <w:rPr>
          <w:rFonts w:eastAsia="Calibri"/>
          <w:szCs w:val="22"/>
          <w:lang w:val="en-GB"/>
        </w:rPr>
        <w:t>The technical details required for railway interoperability are included in the Technical Specifications for Interoperability (CCS TSI [4]). The definition, also in Article 2 of the Interoperability Directive 2016/797/EU, explains its content:</w:t>
      </w:r>
    </w:p>
    <w:p w14:paraId="40A96626" w14:textId="77777777" w:rsidR="005A47F3" w:rsidRPr="008946B0" w:rsidRDefault="00AB77EF">
      <w:pPr>
        <w:spacing w:before="240" w:after="60" w:line="240" w:lineRule="auto"/>
        <w:ind w:left="714"/>
        <w:jc w:val="both"/>
        <w:rPr>
          <w:rFonts w:eastAsia="Calibri"/>
          <w:i/>
          <w:iCs/>
          <w:szCs w:val="22"/>
          <w:lang w:val="en-GB"/>
        </w:rPr>
      </w:pPr>
      <w:r w:rsidRPr="008946B0">
        <w:rPr>
          <w:rFonts w:eastAsia="Calibri"/>
          <w:i/>
          <w:iCs/>
          <w:szCs w:val="22"/>
          <w:lang w:val="en-GB"/>
        </w:rPr>
        <w:t>‘technical specification for interoperability’ (TSI) means a specification adopted in accordance with this Directive by which each subsystem or part of a subsystem is covered in order to meet the essential requirements and ensure the interoperability of the Union rail system;</w:t>
      </w:r>
    </w:p>
    <w:p w14:paraId="3DC098D2" w14:textId="1E215ABA" w:rsidR="005A47F3" w:rsidRPr="008946B0" w:rsidRDefault="00AB77EF">
      <w:pPr>
        <w:spacing w:before="240" w:after="60" w:line="240" w:lineRule="auto"/>
        <w:jc w:val="both"/>
        <w:rPr>
          <w:rFonts w:eastAsia="Calibri"/>
          <w:szCs w:val="22"/>
          <w:lang w:val="en-GB"/>
        </w:rPr>
      </w:pPr>
      <w:r w:rsidRPr="008946B0">
        <w:rPr>
          <w:rFonts w:eastAsia="Calibri"/>
          <w:szCs w:val="22"/>
          <w:lang w:val="en-GB"/>
        </w:rPr>
        <w:t>Some of the requirements in the EIRENE specifications</w:t>
      </w:r>
      <w:r w:rsidR="00036D04" w:rsidRPr="008946B0">
        <w:rPr>
          <w:rStyle w:val="FootnoteReference"/>
          <w:rFonts w:eastAsia="Calibri"/>
          <w:szCs w:val="22"/>
          <w:lang w:val="en-GB"/>
        </w:rPr>
        <w:footnoteReference w:id="5"/>
      </w:r>
      <w:r w:rsidR="00E97159" w:rsidRPr="008946B0">
        <w:rPr>
          <w:rFonts w:eastAsia="Calibri"/>
          <w:szCs w:val="22"/>
          <w:lang w:val="en-GB"/>
        </w:rPr>
        <w:t xml:space="preserve"> </w:t>
      </w:r>
      <w:r w:rsidR="00E97159" w:rsidRPr="008946B0">
        <w:rPr>
          <w:rFonts w:eastAsia="Calibri"/>
          <w:szCs w:val="22"/>
          <w:lang w:val="en-GB"/>
        </w:rPr>
        <w:fldChar w:fldCharType="begin"/>
      </w:r>
      <w:r w:rsidR="00E97159" w:rsidRPr="008946B0">
        <w:rPr>
          <w:rFonts w:eastAsia="Calibri"/>
          <w:szCs w:val="22"/>
          <w:lang w:val="en-GB"/>
        </w:rPr>
        <w:instrText xml:space="preserve"> REF _Ref31977455 \r \h </w:instrText>
      </w:r>
      <w:r w:rsidR="00E97159" w:rsidRPr="008946B0">
        <w:rPr>
          <w:rFonts w:eastAsia="Calibri"/>
          <w:szCs w:val="22"/>
          <w:lang w:val="en-GB"/>
        </w:rPr>
      </w:r>
      <w:r w:rsidR="00E97159" w:rsidRPr="008946B0">
        <w:rPr>
          <w:rFonts w:eastAsia="Calibri"/>
          <w:szCs w:val="22"/>
          <w:lang w:val="en-GB"/>
        </w:rPr>
        <w:fldChar w:fldCharType="separate"/>
      </w:r>
      <w:r w:rsidR="00CF6E1D" w:rsidRPr="008946B0">
        <w:rPr>
          <w:rFonts w:eastAsia="Calibri"/>
          <w:szCs w:val="22"/>
          <w:lang w:val="en-GB"/>
        </w:rPr>
        <w:t>[5]</w:t>
      </w:r>
      <w:r w:rsidR="00E97159" w:rsidRPr="008946B0">
        <w:rPr>
          <w:rFonts w:eastAsia="Calibri"/>
          <w:szCs w:val="22"/>
          <w:lang w:val="en-GB"/>
        </w:rPr>
        <w:fldChar w:fldCharType="end"/>
      </w:r>
      <w:r w:rsidR="00E97159" w:rsidRPr="008946B0">
        <w:rPr>
          <w:rFonts w:eastAsia="Calibri"/>
          <w:szCs w:val="22"/>
          <w:lang w:val="en-GB"/>
        </w:rPr>
        <w:fldChar w:fldCharType="begin"/>
      </w:r>
      <w:r w:rsidR="00E97159" w:rsidRPr="008946B0">
        <w:rPr>
          <w:rFonts w:eastAsia="Calibri"/>
          <w:szCs w:val="22"/>
          <w:lang w:val="en-GB"/>
        </w:rPr>
        <w:instrText xml:space="preserve"> REF _Ref31977458 \r \h </w:instrText>
      </w:r>
      <w:r w:rsidR="00E97159" w:rsidRPr="008946B0">
        <w:rPr>
          <w:rFonts w:eastAsia="Calibri"/>
          <w:szCs w:val="22"/>
          <w:lang w:val="en-GB"/>
        </w:rPr>
      </w:r>
      <w:r w:rsidR="00E97159" w:rsidRPr="008946B0">
        <w:rPr>
          <w:rFonts w:eastAsia="Calibri"/>
          <w:szCs w:val="22"/>
          <w:lang w:val="en-GB"/>
        </w:rPr>
        <w:fldChar w:fldCharType="separate"/>
      </w:r>
      <w:r w:rsidR="00CF6E1D" w:rsidRPr="008946B0">
        <w:rPr>
          <w:rFonts w:eastAsia="Calibri"/>
          <w:szCs w:val="22"/>
          <w:lang w:val="en-GB"/>
        </w:rPr>
        <w:t>[6]</w:t>
      </w:r>
      <w:r w:rsidR="00E97159" w:rsidRPr="008946B0">
        <w:rPr>
          <w:rFonts w:eastAsia="Calibri"/>
          <w:szCs w:val="22"/>
          <w:lang w:val="en-GB"/>
        </w:rPr>
        <w:fldChar w:fldCharType="end"/>
      </w:r>
      <w:r w:rsidRPr="008946B0">
        <w:rPr>
          <w:rFonts w:eastAsia="Calibri"/>
          <w:szCs w:val="22"/>
          <w:lang w:val="en-GB"/>
        </w:rPr>
        <w:t xml:space="preserve">, related to interoperability, are legally binding in </w:t>
      </w:r>
      <w:r w:rsidR="004946E8" w:rsidRPr="008946B0">
        <w:rPr>
          <w:rFonts w:eastAsia="Calibri"/>
          <w:szCs w:val="22"/>
          <w:lang w:val="en-GB"/>
        </w:rPr>
        <w:t xml:space="preserve">the </w:t>
      </w:r>
      <w:r w:rsidRPr="008946B0">
        <w:rPr>
          <w:rFonts w:eastAsia="Calibri"/>
          <w:szCs w:val="22"/>
          <w:lang w:val="en-GB"/>
        </w:rPr>
        <w:t>Europe</w:t>
      </w:r>
      <w:r w:rsidR="004946E8" w:rsidRPr="008946B0">
        <w:rPr>
          <w:rFonts w:eastAsia="Calibri"/>
          <w:szCs w:val="22"/>
          <w:lang w:val="en-GB"/>
        </w:rPr>
        <w:t>an</w:t>
      </w:r>
      <w:r w:rsidRPr="008946B0">
        <w:rPr>
          <w:rFonts w:eastAsia="Calibri"/>
          <w:szCs w:val="22"/>
          <w:lang w:val="en-GB"/>
        </w:rPr>
        <w:t xml:space="preserve"> </w:t>
      </w:r>
      <w:r w:rsidR="004946E8" w:rsidRPr="008946B0">
        <w:rPr>
          <w:rFonts w:eastAsia="Calibri"/>
          <w:szCs w:val="22"/>
          <w:lang w:val="en-GB"/>
        </w:rPr>
        <w:t xml:space="preserve">Union </w:t>
      </w:r>
      <w:r w:rsidRPr="008946B0">
        <w:rPr>
          <w:rFonts w:eastAsia="Calibri"/>
          <w:szCs w:val="22"/>
          <w:lang w:val="en-GB"/>
        </w:rPr>
        <w:t xml:space="preserve">since they are part of the Control-Command and Signalling Technical Specification for Interoperability (CCS TSI), which is published in the Commission Regulation 2016/919/EU </w:t>
      </w:r>
      <w:r w:rsidRPr="008946B0">
        <w:rPr>
          <w:rFonts w:eastAsia="Calibri"/>
          <w:szCs w:val="22"/>
          <w:lang w:val="en-GB"/>
        </w:rPr>
        <w:fldChar w:fldCharType="begin"/>
      </w:r>
      <w:r w:rsidRPr="008946B0">
        <w:rPr>
          <w:rFonts w:eastAsia="Calibri"/>
          <w:szCs w:val="22"/>
          <w:lang w:val="en-GB"/>
        </w:rPr>
        <w:instrText xml:space="preserve"> REF _Ref481397801 \r \h  \* MERGEFORMAT </w:instrText>
      </w:r>
      <w:r w:rsidRPr="008946B0">
        <w:rPr>
          <w:rFonts w:eastAsia="Calibri"/>
          <w:szCs w:val="22"/>
          <w:lang w:val="en-GB"/>
        </w:rPr>
      </w:r>
      <w:r w:rsidRPr="008946B0">
        <w:rPr>
          <w:rFonts w:eastAsia="Calibri"/>
          <w:szCs w:val="22"/>
          <w:lang w:val="en-GB"/>
        </w:rPr>
        <w:fldChar w:fldCharType="separate"/>
      </w:r>
      <w:r w:rsidR="00CF6E1D" w:rsidRPr="008946B0">
        <w:rPr>
          <w:rFonts w:eastAsia="Calibri"/>
          <w:szCs w:val="22"/>
          <w:lang w:val="en-GB"/>
        </w:rPr>
        <w:t>[4]</w:t>
      </w:r>
      <w:r w:rsidRPr="008946B0">
        <w:rPr>
          <w:rFonts w:eastAsia="Calibri"/>
          <w:szCs w:val="22"/>
          <w:lang w:val="en-GB"/>
        </w:rPr>
        <w:fldChar w:fldCharType="end"/>
      </w:r>
      <w:r w:rsidRPr="008946B0">
        <w:rPr>
          <w:rFonts w:eastAsia="Calibri"/>
          <w:szCs w:val="22"/>
          <w:lang w:val="en-GB"/>
        </w:rPr>
        <w:t>.</w:t>
      </w:r>
    </w:p>
    <w:p w14:paraId="20B3820A" w14:textId="5AF45C6E"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It is mandatory that each railway subsystem (train and infrastructure) in the European Union meets these requirements under the scope of the Railway Interoperability Directive </w:t>
      </w:r>
      <w:r w:rsidRPr="008946B0">
        <w:rPr>
          <w:rFonts w:eastAsia="Calibri"/>
          <w:szCs w:val="22"/>
          <w:lang w:val="en-GB"/>
        </w:rPr>
        <w:fldChar w:fldCharType="begin"/>
      </w:r>
      <w:r w:rsidRPr="008946B0">
        <w:rPr>
          <w:rFonts w:eastAsia="Calibri"/>
          <w:szCs w:val="22"/>
          <w:lang w:val="en-GB"/>
        </w:rPr>
        <w:instrText xml:space="preserve"> REF _Ref481397657 \r \h  \* MERGEFORMAT </w:instrText>
      </w:r>
      <w:r w:rsidRPr="008946B0">
        <w:rPr>
          <w:rFonts w:eastAsia="Calibri"/>
          <w:szCs w:val="22"/>
          <w:lang w:val="en-GB"/>
        </w:rPr>
      </w:r>
      <w:r w:rsidRPr="008946B0">
        <w:rPr>
          <w:rFonts w:eastAsia="Calibri"/>
          <w:szCs w:val="22"/>
          <w:lang w:val="en-GB"/>
        </w:rPr>
        <w:fldChar w:fldCharType="separate"/>
      </w:r>
      <w:r w:rsidR="00CF6E1D" w:rsidRPr="008946B0">
        <w:rPr>
          <w:rFonts w:eastAsia="Calibri"/>
          <w:szCs w:val="22"/>
          <w:lang w:val="en-GB"/>
        </w:rPr>
        <w:t>[1]</w:t>
      </w:r>
      <w:r w:rsidRPr="008946B0">
        <w:rPr>
          <w:rFonts w:eastAsia="Calibri"/>
          <w:szCs w:val="22"/>
          <w:lang w:val="en-GB"/>
        </w:rPr>
        <w:fldChar w:fldCharType="end"/>
      </w:r>
      <w:r w:rsidRPr="008946B0">
        <w:rPr>
          <w:rFonts w:eastAsia="Calibri"/>
          <w:szCs w:val="22"/>
          <w:lang w:val="en-GB"/>
        </w:rPr>
        <w:t>, it is to ensure technical compatibility between Member States and safe integration between train and track. Radio related requirements on spectrum, coverage and signal strength are amongst these.</w:t>
      </w:r>
    </w:p>
    <w:p w14:paraId="7E20CDE2" w14:textId="7C793678" w:rsidR="009E204C" w:rsidRPr="008946B0" w:rsidRDefault="009E204C" w:rsidP="009E204C">
      <w:pPr>
        <w:spacing w:before="240" w:after="60" w:line="240" w:lineRule="auto"/>
        <w:jc w:val="both"/>
        <w:rPr>
          <w:rFonts w:eastAsia="Calibri"/>
          <w:szCs w:val="22"/>
          <w:lang w:val="en-GB"/>
        </w:rPr>
      </w:pPr>
      <w:r w:rsidRPr="008946B0">
        <w:rPr>
          <w:rFonts w:eastAsia="Calibri"/>
          <w:szCs w:val="22"/>
          <w:lang w:val="en-GB"/>
        </w:rPr>
        <w:t xml:space="preserve">Railway transport will play a major role to support the delivery of European Green Deal objectives in the transport sector. </w:t>
      </w:r>
      <w:r w:rsidR="0062311A" w:rsidRPr="008946B0">
        <w:rPr>
          <w:rFonts w:eastAsia="Calibri"/>
          <w:szCs w:val="22"/>
          <w:lang w:val="en-GB"/>
        </w:rPr>
        <w:t>F</w:t>
      </w:r>
      <w:r w:rsidRPr="008946B0">
        <w:rPr>
          <w:rFonts w:eastAsia="Calibri"/>
          <w:szCs w:val="22"/>
          <w:lang w:val="en-GB"/>
        </w:rPr>
        <w:t xml:space="preserve">urther growth of interoperable railway transport, including growth of its critical communication needs, can be expected. </w:t>
      </w:r>
      <w:r w:rsidR="0062311A" w:rsidRPr="008946B0">
        <w:rPr>
          <w:rFonts w:eastAsia="Calibri"/>
          <w:szCs w:val="22"/>
          <w:lang w:val="en-GB"/>
        </w:rPr>
        <w:t>I</w:t>
      </w:r>
      <w:r w:rsidRPr="008946B0">
        <w:rPr>
          <w:rFonts w:eastAsia="Calibri"/>
          <w:szCs w:val="22"/>
          <w:lang w:val="en-GB"/>
        </w:rPr>
        <w:t>nteroperability must be considered when determining RMR spectrum needs.</w:t>
      </w:r>
    </w:p>
    <w:p w14:paraId="219073A1" w14:textId="77777777" w:rsidR="005A47F3" w:rsidRPr="008946B0" w:rsidRDefault="00AB77EF">
      <w:pPr>
        <w:pStyle w:val="Heading2"/>
        <w:rPr>
          <w:lang w:val="en-GB"/>
        </w:rPr>
      </w:pPr>
      <w:bookmarkStart w:id="10" w:name="_Toc42722812"/>
      <w:r w:rsidRPr="008946B0">
        <w:rPr>
          <w:lang w:val="en-GB"/>
        </w:rPr>
        <w:t>Migration from GSM-R to its successor</w:t>
      </w:r>
      <w:bookmarkEnd w:id="10"/>
    </w:p>
    <w:p w14:paraId="3DB0B198" w14:textId="77777777" w:rsidR="005A47F3" w:rsidRPr="008946B0" w:rsidRDefault="00AB77EF">
      <w:pPr>
        <w:pStyle w:val="Heading3"/>
        <w:rPr>
          <w:rFonts w:eastAsia="Calibri"/>
          <w:lang w:val="en-GB"/>
        </w:rPr>
      </w:pPr>
      <w:bookmarkStart w:id="11" w:name="_Toc42722813"/>
      <w:r w:rsidRPr="008946B0">
        <w:rPr>
          <w:rFonts w:eastAsia="Calibri"/>
          <w:lang w:val="en-GB"/>
        </w:rPr>
        <w:t>GSM-R today</w:t>
      </w:r>
      <w:bookmarkEnd w:id="11"/>
    </w:p>
    <w:p w14:paraId="3E99E059" w14:textId="2555C785" w:rsidR="005A47F3" w:rsidRPr="008946B0" w:rsidRDefault="00AB77EF">
      <w:pPr>
        <w:spacing w:before="240" w:after="60" w:line="240" w:lineRule="auto"/>
        <w:jc w:val="both"/>
        <w:rPr>
          <w:rFonts w:eastAsia="Calibri" w:cs="Arial"/>
          <w:b/>
          <w:bCs/>
          <w:szCs w:val="26"/>
          <w:lang w:val="en-GB"/>
        </w:rPr>
      </w:pPr>
      <w:r w:rsidRPr="008946B0">
        <w:rPr>
          <w:rFonts w:eastAsia="Calibri"/>
          <w:szCs w:val="22"/>
          <w:lang w:val="en-GB"/>
        </w:rPr>
        <w:t xml:space="preserve">The radiocommunication system to be used is currently GSM-R. This is stated in the basic parameters included in the CCS TSI, section 4. The air interface is also characterised and it is specifically specified that the interfaces shall operate in the R-GSM band (see table 3-A in 3.5.1 of the EIRENE SRS </w:t>
      </w:r>
      <w:r w:rsidRPr="008946B0">
        <w:rPr>
          <w:rFonts w:eastAsia="Calibri"/>
          <w:szCs w:val="22"/>
          <w:lang w:val="en-GB"/>
        </w:rPr>
        <w:fldChar w:fldCharType="begin"/>
      </w:r>
      <w:r w:rsidRPr="008946B0">
        <w:rPr>
          <w:rFonts w:eastAsia="Calibri"/>
          <w:szCs w:val="22"/>
          <w:lang w:val="en-GB"/>
        </w:rPr>
        <w:instrText xml:space="preserve"> REF _Ref481397864 \r \h  \* MERGEFORMAT </w:instrText>
      </w:r>
      <w:r w:rsidRPr="008946B0">
        <w:rPr>
          <w:rFonts w:eastAsia="Calibri"/>
          <w:szCs w:val="22"/>
          <w:lang w:val="en-GB"/>
        </w:rPr>
      </w:r>
      <w:r w:rsidRPr="008946B0">
        <w:rPr>
          <w:rFonts w:eastAsia="Calibri"/>
          <w:szCs w:val="22"/>
          <w:lang w:val="en-GB"/>
        </w:rPr>
        <w:fldChar w:fldCharType="separate"/>
      </w:r>
      <w:r w:rsidR="00CF6E1D" w:rsidRPr="008946B0">
        <w:rPr>
          <w:rFonts w:eastAsia="Calibri"/>
          <w:szCs w:val="22"/>
          <w:lang w:val="en-GB"/>
        </w:rPr>
        <w:t>[6]</w:t>
      </w:r>
      <w:r w:rsidRPr="008946B0">
        <w:rPr>
          <w:rFonts w:eastAsia="Calibri"/>
          <w:szCs w:val="22"/>
          <w:lang w:val="en-GB"/>
        </w:rPr>
        <w:fldChar w:fldCharType="end"/>
      </w:r>
      <w:r w:rsidRPr="008946B0">
        <w:rPr>
          <w:rFonts w:eastAsia="Calibri"/>
          <w:szCs w:val="22"/>
          <w:lang w:val="en-GB"/>
        </w:rPr>
        <w:t>).</w:t>
      </w:r>
    </w:p>
    <w:p w14:paraId="30407ECA" w14:textId="15808982" w:rsidR="005A47F3" w:rsidRPr="008946B0" w:rsidRDefault="00AB77EF">
      <w:pPr>
        <w:spacing w:before="240" w:after="60" w:line="240" w:lineRule="auto"/>
        <w:jc w:val="both"/>
        <w:rPr>
          <w:rFonts w:eastAsia="Calibri"/>
          <w:bCs/>
          <w:szCs w:val="22"/>
          <w:lang w:val="en-GB"/>
        </w:rPr>
      </w:pPr>
      <w:r w:rsidRPr="008946B0">
        <w:rPr>
          <w:rFonts w:eastAsia="Calibri"/>
          <w:bCs/>
          <w:szCs w:val="22"/>
          <w:lang w:val="en-GB"/>
        </w:rPr>
        <w:t xml:space="preserve">For the use of GSM-R, Commission Decision 1999/569/EC </w:t>
      </w:r>
      <w:r w:rsidRPr="008946B0">
        <w:rPr>
          <w:rFonts w:eastAsia="Calibri"/>
          <w:bCs/>
          <w:szCs w:val="22"/>
          <w:lang w:val="en-GB"/>
        </w:rPr>
        <w:fldChar w:fldCharType="begin"/>
      </w:r>
      <w:r w:rsidRPr="008946B0">
        <w:rPr>
          <w:rFonts w:eastAsia="Calibri"/>
          <w:bCs/>
          <w:szCs w:val="22"/>
          <w:lang w:val="en-GB"/>
        </w:rPr>
        <w:instrText xml:space="preserve"> REF _Ref481507796 \r \h </w:instrText>
      </w:r>
      <w:r w:rsidRPr="008946B0">
        <w:rPr>
          <w:rFonts w:eastAsia="Calibri"/>
          <w:bCs/>
          <w:szCs w:val="22"/>
          <w:lang w:val="en-GB"/>
        </w:rPr>
      </w:r>
      <w:r w:rsidRPr="008946B0">
        <w:rPr>
          <w:rFonts w:eastAsia="Calibri"/>
          <w:bCs/>
          <w:szCs w:val="22"/>
          <w:lang w:val="en-GB"/>
        </w:rPr>
        <w:fldChar w:fldCharType="separate"/>
      </w:r>
      <w:r w:rsidR="00CF6E1D" w:rsidRPr="008946B0">
        <w:rPr>
          <w:rFonts w:eastAsia="Calibri"/>
          <w:bCs/>
          <w:szCs w:val="22"/>
          <w:lang w:val="en-GB"/>
        </w:rPr>
        <w:t>[8]</w:t>
      </w:r>
      <w:r w:rsidRPr="008946B0">
        <w:rPr>
          <w:rFonts w:eastAsia="Calibri"/>
          <w:bCs/>
          <w:szCs w:val="22"/>
          <w:lang w:val="en-GB"/>
        </w:rPr>
        <w:fldChar w:fldCharType="end"/>
      </w:r>
      <w:r w:rsidRPr="008946B0">
        <w:rPr>
          <w:rFonts w:eastAsia="Calibri"/>
          <w:bCs/>
          <w:szCs w:val="22"/>
          <w:lang w:val="en-GB"/>
        </w:rPr>
        <w:t xml:space="preserve"> and ECC Decision (02)05 </w:t>
      </w:r>
      <w:r w:rsidRPr="008946B0">
        <w:rPr>
          <w:rFonts w:eastAsia="Calibri"/>
          <w:bCs/>
          <w:szCs w:val="22"/>
          <w:lang w:val="en-GB"/>
        </w:rPr>
        <w:fldChar w:fldCharType="begin"/>
      </w:r>
      <w:r w:rsidRPr="008946B0">
        <w:rPr>
          <w:rFonts w:eastAsia="Calibri"/>
          <w:bCs/>
          <w:szCs w:val="22"/>
          <w:lang w:val="en-GB"/>
        </w:rPr>
        <w:instrText xml:space="preserve"> REF _Ref481507841 \r \h </w:instrText>
      </w:r>
      <w:r w:rsidRPr="008946B0">
        <w:rPr>
          <w:rFonts w:eastAsia="Calibri"/>
          <w:bCs/>
          <w:szCs w:val="22"/>
          <w:lang w:val="en-GB"/>
        </w:rPr>
      </w:r>
      <w:r w:rsidRPr="008946B0">
        <w:rPr>
          <w:rFonts w:eastAsia="Calibri"/>
          <w:bCs/>
          <w:szCs w:val="22"/>
          <w:lang w:val="en-GB"/>
        </w:rPr>
        <w:fldChar w:fldCharType="separate"/>
      </w:r>
      <w:r w:rsidR="00CF6E1D" w:rsidRPr="008946B0">
        <w:rPr>
          <w:rFonts w:eastAsia="Calibri"/>
          <w:bCs/>
          <w:szCs w:val="22"/>
          <w:lang w:val="en-GB"/>
        </w:rPr>
        <w:t>[9]</w:t>
      </w:r>
      <w:r w:rsidRPr="008946B0">
        <w:rPr>
          <w:rFonts w:eastAsia="Calibri"/>
          <w:bCs/>
          <w:szCs w:val="22"/>
          <w:lang w:val="en-GB"/>
        </w:rPr>
        <w:fldChar w:fldCharType="end"/>
      </w:r>
      <w:r w:rsidRPr="008946B0">
        <w:rPr>
          <w:rFonts w:eastAsia="Calibri"/>
          <w:bCs/>
          <w:szCs w:val="22"/>
          <w:lang w:val="en-GB"/>
        </w:rPr>
        <w:t xml:space="preserve"> harmonise the frequency bands 876-880 MHz (train-to-ground) and 921-925 MHz (ground-to-train). The </w:t>
      </w:r>
      <w:r w:rsidRPr="008946B0">
        <w:rPr>
          <w:rFonts w:eastAsia="Calibri"/>
          <w:szCs w:val="22"/>
          <w:lang w:val="en-GB"/>
        </w:rPr>
        <w:t>designation</w:t>
      </w:r>
      <w:r w:rsidRPr="008946B0">
        <w:rPr>
          <w:rFonts w:eastAsia="Calibri"/>
          <w:bCs/>
          <w:szCs w:val="22"/>
          <w:lang w:val="en-GB"/>
        </w:rPr>
        <w:t xml:space="preserve"> of a dedicated harmonised frequency band enabled the creation of a pan-European radiocommunication network for both passenger and freight trains to travel across EU borders without the need to install any other national radiocommunication system. This fulfils the requirement of the Interoperability Directive </w:t>
      </w:r>
      <w:r w:rsidRPr="008946B0">
        <w:rPr>
          <w:rFonts w:eastAsia="Calibri"/>
          <w:bCs/>
          <w:szCs w:val="22"/>
          <w:lang w:val="en-GB"/>
        </w:rPr>
        <w:fldChar w:fldCharType="begin"/>
      </w:r>
      <w:r w:rsidRPr="008946B0">
        <w:rPr>
          <w:rFonts w:eastAsia="Calibri"/>
          <w:bCs/>
          <w:szCs w:val="22"/>
          <w:lang w:val="en-GB"/>
        </w:rPr>
        <w:instrText xml:space="preserve"> REF _Ref481397657 \r \h </w:instrText>
      </w:r>
      <w:r w:rsidRPr="008946B0">
        <w:rPr>
          <w:rFonts w:eastAsia="Calibri"/>
          <w:bCs/>
          <w:szCs w:val="22"/>
          <w:lang w:val="en-GB"/>
        </w:rPr>
      </w:r>
      <w:r w:rsidRPr="008946B0">
        <w:rPr>
          <w:rFonts w:eastAsia="Calibri"/>
          <w:bCs/>
          <w:szCs w:val="22"/>
          <w:lang w:val="en-GB"/>
        </w:rPr>
        <w:fldChar w:fldCharType="separate"/>
      </w:r>
      <w:r w:rsidR="00CF6E1D" w:rsidRPr="008946B0">
        <w:rPr>
          <w:rFonts w:eastAsia="Calibri"/>
          <w:bCs/>
          <w:szCs w:val="22"/>
          <w:lang w:val="en-GB"/>
        </w:rPr>
        <w:t>[1]</w:t>
      </w:r>
      <w:r w:rsidRPr="008946B0">
        <w:rPr>
          <w:rFonts w:eastAsia="Calibri"/>
          <w:bCs/>
          <w:szCs w:val="22"/>
          <w:lang w:val="en-GB"/>
        </w:rPr>
        <w:fldChar w:fldCharType="end"/>
      </w:r>
      <w:r w:rsidRPr="008946B0">
        <w:rPr>
          <w:rFonts w:eastAsia="Calibri"/>
          <w:bCs/>
          <w:szCs w:val="22"/>
          <w:lang w:val="en-GB"/>
        </w:rPr>
        <w:t xml:space="preserve">. Furthermore, a dedicated frequency band </w:t>
      </w:r>
      <w:r w:rsidRPr="008946B0">
        <w:rPr>
          <w:rFonts w:eastAsia="Calibri"/>
          <w:szCs w:val="22"/>
          <w:lang w:val="en-GB"/>
        </w:rPr>
        <w:t>is essential</w:t>
      </w:r>
      <w:r w:rsidRPr="008946B0">
        <w:rPr>
          <w:rFonts w:eastAsia="Calibri"/>
          <w:bCs/>
          <w:szCs w:val="22"/>
          <w:lang w:val="en-GB"/>
        </w:rPr>
        <w:t xml:space="preserve"> to ensure continuous reliable access to the network thus supporting critical, interoperable and safety-related applications.</w:t>
      </w:r>
    </w:p>
    <w:p w14:paraId="354CD7A9" w14:textId="268E151A"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Today, GSM-R </w:t>
      </w:r>
      <w:r w:rsidR="001A2826" w:rsidRPr="008946B0">
        <w:rPr>
          <w:rFonts w:eastAsia="Calibri"/>
          <w:szCs w:val="22"/>
          <w:lang w:val="en-GB"/>
        </w:rPr>
        <w:t>and</w:t>
      </w:r>
      <w:r w:rsidRPr="008946B0">
        <w:rPr>
          <w:rFonts w:eastAsia="Calibri"/>
          <w:szCs w:val="22"/>
          <w:lang w:val="en-GB"/>
        </w:rPr>
        <w:t xml:space="preserve"> ETCS, as constituents of ERTMS, </w:t>
      </w:r>
      <w:r w:rsidR="001A2826" w:rsidRPr="008946B0">
        <w:rPr>
          <w:rFonts w:eastAsia="Calibri"/>
          <w:szCs w:val="22"/>
          <w:lang w:val="en-GB"/>
        </w:rPr>
        <w:t>offer</w:t>
      </w:r>
      <w:r w:rsidRPr="008946B0">
        <w:rPr>
          <w:rFonts w:eastAsia="Calibri"/>
          <w:szCs w:val="22"/>
          <w:lang w:val="en-GB"/>
        </w:rPr>
        <w:t xml:space="preserve"> an interoperable railway </w:t>
      </w:r>
      <w:r w:rsidR="001A2826" w:rsidRPr="008946B0">
        <w:rPr>
          <w:rFonts w:eastAsia="Calibri"/>
          <w:szCs w:val="22"/>
          <w:lang w:val="en-GB"/>
        </w:rPr>
        <w:t xml:space="preserve">communication and </w:t>
      </w:r>
      <w:r w:rsidRPr="008946B0">
        <w:rPr>
          <w:rFonts w:eastAsia="Calibri"/>
          <w:szCs w:val="22"/>
          <w:lang w:val="en-GB"/>
        </w:rPr>
        <w:t xml:space="preserve">signalling system </w:t>
      </w:r>
      <w:r w:rsidR="001A2826" w:rsidRPr="008946B0">
        <w:rPr>
          <w:rFonts w:eastAsia="Calibri"/>
          <w:szCs w:val="22"/>
          <w:lang w:val="en-GB"/>
        </w:rPr>
        <w:t>to</w:t>
      </w:r>
      <w:r w:rsidRPr="008946B0">
        <w:rPr>
          <w:rFonts w:eastAsia="Calibri"/>
          <w:szCs w:val="22"/>
          <w:lang w:val="en-GB"/>
        </w:rPr>
        <w:t xml:space="preserve"> all European railway networks. The ERTMS European Deployment Plan (EDP) sets deadlines (2020-2030) for the implementation of ERTMS and its aim is to ensure the progressive deployment of ERTMS along the main European rail routes. FRMCS will support as a minimum the same services as GSM-R today.</w:t>
      </w:r>
    </w:p>
    <w:p w14:paraId="5FFA44C9" w14:textId="77777777" w:rsidR="005A47F3" w:rsidRPr="008946B0" w:rsidRDefault="00AB77EF">
      <w:pPr>
        <w:pStyle w:val="Heading3"/>
        <w:rPr>
          <w:rFonts w:eastAsia="Calibri"/>
          <w:lang w:val="en-GB"/>
        </w:rPr>
      </w:pPr>
      <w:bookmarkStart w:id="12" w:name="_Toc42722814"/>
      <w:r w:rsidRPr="008946B0">
        <w:rPr>
          <w:rFonts w:eastAsia="Calibri"/>
          <w:lang w:val="en-GB"/>
        </w:rPr>
        <w:t>Need for parallel operation</w:t>
      </w:r>
      <w:bookmarkEnd w:id="12"/>
    </w:p>
    <w:p w14:paraId="1F2DBD6C" w14:textId="41D32AFC"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The application of the Control-Command and Signalling Technical Specification (CCS TSI) for Interoperability does not have </w:t>
      </w:r>
      <w:r w:rsidR="009B5485" w:rsidRPr="008946B0">
        <w:rPr>
          <w:rFonts w:eastAsia="Calibri"/>
          <w:szCs w:val="22"/>
          <w:lang w:val="en-GB"/>
        </w:rPr>
        <w:t xml:space="preserve">a </w:t>
      </w:r>
      <w:r w:rsidRPr="008946B0">
        <w:rPr>
          <w:rFonts w:eastAsia="Calibri"/>
          <w:szCs w:val="22"/>
          <w:lang w:val="en-GB"/>
        </w:rPr>
        <w:t xml:space="preserve">retroactive effect. In general, new </w:t>
      </w:r>
      <w:r w:rsidR="009B5485" w:rsidRPr="008946B0">
        <w:rPr>
          <w:rFonts w:eastAsia="Calibri"/>
          <w:szCs w:val="22"/>
          <w:lang w:val="en-GB"/>
        </w:rPr>
        <w:t xml:space="preserve">releases of the </w:t>
      </w:r>
      <w:r w:rsidRPr="008946B0">
        <w:rPr>
          <w:rFonts w:eastAsia="Calibri"/>
          <w:szCs w:val="22"/>
          <w:lang w:val="en-GB"/>
        </w:rPr>
        <w:t>TSI are developed ensuring the compatibility with the existing authorised systems, to avoid the requirement of upgrading</w:t>
      </w:r>
      <w:r w:rsidR="009B5485" w:rsidRPr="008946B0">
        <w:rPr>
          <w:rFonts w:eastAsia="Calibri"/>
          <w:szCs w:val="22"/>
          <w:lang w:val="en-GB"/>
        </w:rPr>
        <w:t>/replacing</w:t>
      </w:r>
      <w:r w:rsidRPr="008946B0">
        <w:rPr>
          <w:rFonts w:eastAsia="Calibri"/>
          <w:szCs w:val="22"/>
          <w:lang w:val="en-GB"/>
        </w:rPr>
        <w:t xml:space="preserve"> </w:t>
      </w:r>
      <w:r w:rsidR="009B5485" w:rsidRPr="008946B0">
        <w:rPr>
          <w:rFonts w:eastAsia="Calibri"/>
          <w:szCs w:val="22"/>
          <w:lang w:val="en-GB"/>
        </w:rPr>
        <w:t>equipment</w:t>
      </w:r>
      <w:r w:rsidRPr="008946B0">
        <w:rPr>
          <w:rFonts w:eastAsia="Calibri"/>
          <w:szCs w:val="22"/>
          <w:lang w:val="en-GB"/>
        </w:rPr>
        <w:t>, as per the "</w:t>
      </w:r>
      <w:r w:rsidRPr="008946B0">
        <w:rPr>
          <w:rFonts w:eastAsia="Calibri"/>
          <w:i/>
          <w:szCs w:val="22"/>
          <w:lang w:val="en-GB"/>
        </w:rPr>
        <w:t>Whereas (16)</w:t>
      </w:r>
      <w:r w:rsidRPr="008946B0">
        <w:rPr>
          <w:rFonts w:eastAsia="Calibri"/>
          <w:iCs/>
          <w:szCs w:val="22"/>
          <w:lang w:val="en-GB"/>
        </w:rPr>
        <w:t>"</w:t>
      </w:r>
      <w:r w:rsidRPr="008946B0">
        <w:rPr>
          <w:rFonts w:eastAsia="Calibri"/>
          <w:szCs w:val="22"/>
          <w:lang w:val="en-GB"/>
        </w:rPr>
        <w:t xml:space="preserve"> of the Interoperability Directive </w:t>
      </w:r>
      <w:r w:rsidRPr="008946B0">
        <w:rPr>
          <w:rFonts w:eastAsia="Calibri"/>
          <w:szCs w:val="22"/>
          <w:lang w:val="en-GB"/>
        </w:rPr>
        <w:fldChar w:fldCharType="begin"/>
      </w:r>
      <w:r w:rsidRPr="008946B0">
        <w:rPr>
          <w:rFonts w:eastAsia="Calibri"/>
          <w:szCs w:val="22"/>
          <w:lang w:val="en-GB"/>
        </w:rPr>
        <w:instrText xml:space="preserve"> REF _Ref481397657 \r \h  \* MERGEFORMAT </w:instrText>
      </w:r>
      <w:r w:rsidRPr="008946B0">
        <w:rPr>
          <w:rFonts w:eastAsia="Calibri"/>
          <w:szCs w:val="22"/>
          <w:lang w:val="en-GB"/>
        </w:rPr>
      </w:r>
      <w:r w:rsidRPr="008946B0">
        <w:rPr>
          <w:rFonts w:eastAsia="Calibri"/>
          <w:szCs w:val="22"/>
          <w:lang w:val="en-GB"/>
        </w:rPr>
        <w:fldChar w:fldCharType="separate"/>
      </w:r>
      <w:r w:rsidR="00CF6E1D" w:rsidRPr="008946B0">
        <w:rPr>
          <w:rFonts w:eastAsia="Calibri"/>
          <w:szCs w:val="22"/>
          <w:lang w:val="en-GB"/>
        </w:rPr>
        <w:t>[1]</w:t>
      </w:r>
      <w:r w:rsidRPr="008946B0">
        <w:rPr>
          <w:rFonts w:eastAsia="Calibri"/>
          <w:szCs w:val="22"/>
          <w:lang w:val="en-GB"/>
        </w:rPr>
        <w:fldChar w:fldCharType="end"/>
      </w:r>
      <w:r w:rsidRPr="008946B0">
        <w:rPr>
          <w:rFonts w:eastAsia="Calibri"/>
          <w:szCs w:val="22"/>
          <w:lang w:val="en-GB"/>
        </w:rPr>
        <w:t>. This discards in general actions such as a mandatory retrofit of cab-radios (unless specific rules are agreed).</w:t>
      </w:r>
    </w:p>
    <w:p w14:paraId="38C88903" w14:textId="5D24EAA0" w:rsidR="005A47F3" w:rsidRPr="008946B0" w:rsidRDefault="00AB77EF">
      <w:pPr>
        <w:spacing w:before="240" w:after="60" w:line="240" w:lineRule="auto"/>
        <w:jc w:val="both"/>
        <w:rPr>
          <w:rFonts w:eastAsia="Calibri"/>
          <w:szCs w:val="22"/>
          <w:lang w:val="en-GB"/>
        </w:rPr>
      </w:pPr>
      <w:r w:rsidRPr="008946B0">
        <w:rPr>
          <w:rFonts w:eastAsia="Calibri"/>
          <w:szCs w:val="22"/>
          <w:lang w:val="en-GB"/>
        </w:rPr>
        <w:t>Infrastructure Managers will still be rolling out or operating GSM-R networks</w:t>
      </w:r>
      <w:r w:rsidRPr="008946B0">
        <w:rPr>
          <w:rStyle w:val="FootnoteReference"/>
          <w:rFonts w:eastAsia="Calibri"/>
          <w:szCs w:val="22"/>
          <w:lang w:val="en-GB"/>
        </w:rPr>
        <w:footnoteReference w:id="6"/>
      </w:r>
      <w:r w:rsidRPr="008946B0">
        <w:rPr>
          <w:rFonts w:eastAsia="Calibri"/>
          <w:szCs w:val="22"/>
          <w:lang w:val="en-GB"/>
        </w:rPr>
        <w:t xml:space="preserve"> while the successor to GSM-R is introduced. Thus</w:t>
      </w:r>
      <w:r w:rsidR="00CF6E1D" w:rsidRPr="008946B0">
        <w:rPr>
          <w:rFonts w:eastAsia="Calibri"/>
          <w:szCs w:val="22"/>
          <w:lang w:val="en-GB"/>
        </w:rPr>
        <w:t>,</w:t>
      </w:r>
      <w:r w:rsidRPr="008946B0">
        <w:rPr>
          <w:rFonts w:eastAsia="Calibri"/>
          <w:szCs w:val="22"/>
          <w:lang w:val="en-GB"/>
        </w:rPr>
        <w:t xml:space="preserve"> both technologies will have to </w:t>
      </w:r>
      <w:r w:rsidR="00511FE5" w:rsidRPr="008946B0">
        <w:rPr>
          <w:rFonts w:eastAsia="Calibri"/>
          <w:szCs w:val="22"/>
          <w:lang w:val="en-GB"/>
        </w:rPr>
        <w:t xml:space="preserve">be </w:t>
      </w:r>
      <w:r w:rsidRPr="008946B0">
        <w:rPr>
          <w:rFonts w:eastAsia="Calibri"/>
          <w:szCs w:val="22"/>
          <w:lang w:val="en-GB"/>
        </w:rPr>
        <w:t>operate</w:t>
      </w:r>
      <w:r w:rsidR="00511FE5" w:rsidRPr="008946B0">
        <w:rPr>
          <w:rFonts w:eastAsia="Calibri"/>
          <w:szCs w:val="22"/>
          <w:lang w:val="en-GB"/>
        </w:rPr>
        <w:t>d</w:t>
      </w:r>
      <w:r w:rsidRPr="008946B0">
        <w:rPr>
          <w:rFonts w:eastAsia="Calibri"/>
          <w:szCs w:val="22"/>
          <w:lang w:val="en-GB"/>
        </w:rPr>
        <w:t xml:space="preserve"> in parallel as Infrastructure Managers migrate from GSM-R to the new </w:t>
      </w:r>
      <w:r w:rsidR="00511FE5" w:rsidRPr="008946B0">
        <w:rPr>
          <w:rFonts w:eastAsia="Calibri"/>
          <w:szCs w:val="22"/>
          <w:lang w:val="en-GB"/>
        </w:rPr>
        <w:t xml:space="preserve">successor </w:t>
      </w:r>
      <w:r w:rsidRPr="008946B0">
        <w:rPr>
          <w:rFonts w:eastAsia="Calibri"/>
          <w:szCs w:val="22"/>
          <w:lang w:val="en-GB"/>
        </w:rPr>
        <w:t xml:space="preserve">technology. Migration requires a long-term strategy as non-discriminating access to the rail network is legally required due to interoperability </w:t>
      </w:r>
      <w:r w:rsidR="00511FE5" w:rsidRPr="008946B0">
        <w:rPr>
          <w:rFonts w:eastAsia="Calibri"/>
          <w:szCs w:val="22"/>
          <w:lang w:val="en-GB"/>
        </w:rPr>
        <w:t>obligations</w:t>
      </w:r>
      <w:r w:rsidRPr="008946B0">
        <w:rPr>
          <w:rFonts w:eastAsia="Calibri"/>
          <w:szCs w:val="22"/>
          <w:lang w:val="en-GB"/>
        </w:rPr>
        <w:t>.</w:t>
      </w:r>
    </w:p>
    <w:p w14:paraId="003D1B73" w14:textId="0CB0DAA9" w:rsidR="005A47F3" w:rsidRPr="008946B0" w:rsidRDefault="00AB77EF">
      <w:pPr>
        <w:spacing w:before="240" w:after="60" w:line="240" w:lineRule="auto"/>
        <w:jc w:val="both"/>
        <w:rPr>
          <w:rFonts w:eastAsia="Calibri"/>
          <w:szCs w:val="22"/>
          <w:lang w:val="en-GB"/>
        </w:rPr>
      </w:pPr>
      <w:r w:rsidRPr="008946B0">
        <w:rPr>
          <w:rFonts w:eastAsia="Calibri"/>
          <w:szCs w:val="22"/>
          <w:lang w:val="en-GB"/>
        </w:rPr>
        <w:t>For railways</w:t>
      </w:r>
      <w:r w:rsidR="00CE512A" w:rsidRPr="008946B0">
        <w:rPr>
          <w:rFonts w:eastAsia="Calibri"/>
          <w:szCs w:val="22"/>
          <w:lang w:val="en-GB"/>
        </w:rPr>
        <w:t>,</w:t>
      </w:r>
      <w:r w:rsidRPr="008946B0">
        <w:rPr>
          <w:rFonts w:eastAsia="Calibri"/>
          <w:szCs w:val="22"/>
          <w:lang w:val="en-GB"/>
        </w:rPr>
        <w:t xml:space="preserve"> it is an obligatory task to prove to the National Safety Authority (NSA) that the track-to-train performance complies with the performance requirements specified in the CCS TSI (which for GSM-R means compliance with the EIRENE specifications).</w:t>
      </w:r>
    </w:p>
    <w:p w14:paraId="4352B8B5" w14:textId="6C49D73C"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Therefore, several field tests must be performed using measurement trains before a railway line is put into operational service with GSM-R or its successor. These radio network tests are aimed at checking </w:t>
      </w:r>
      <w:r w:rsidR="00511FE5" w:rsidRPr="008946B0">
        <w:rPr>
          <w:rFonts w:eastAsia="Calibri"/>
          <w:szCs w:val="22"/>
          <w:lang w:val="en-GB"/>
        </w:rPr>
        <w:t>under</w:t>
      </w:r>
      <w:r w:rsidRPr="008946B0">
        <w:rPr>
          <w:rFonts w:eastAsia="Calibri"/>
          <w:szCs w:val="22"/>
          <w:lang w:val="en-GB"/>
        </w:rPr>
        <w:t xml:space="preserve"> real life conditions the coverage and quality performance, checking if availability requirements are met and ensuring that specific railway applications </w:t>
      </w:r>
      <w:r w:rsidR="00511FE5" w:rsidRPr="008946B0">
        <w:rPr>
          <w:rFonts w:eastAsia="Calibri"/>
          <w:szCs w:val="22"/>
          <w:lang w:val="en-GB"/>
        </w:rPr>
        <w:t xml:space="preserve">are </w:t>
      </w:r>
      <w:r w:rsidRPr="008946B0">
        <w:rPr>
          <w:rFonts w:eastAsia="Calibri"/>
          <w:szCs w:val="22"/>
          <w:lang w:val="en-GB"/>
        </w:rPr>
        <w:t>run</w:t>
      </w:r>
      <w:r w:rsidR="00511FE5" w:rsidRPr="008946B0">
        <w:rPr>
          <w:rFonts w:eastAsia="Calibri"/>
          <w:szCs w:val="22"/>
          <w:lang w:val="en-GB"/>
        </w:rPr>
        <w:t>ning</w:t>
      </w:r>
      <w:r w:rsidRPr="008946B0">
        <w:rPr>
          <w:rFonts w:eastAsia="Calibri"/>
          <w:szCs w:val="22"/>
          <w:lang w:val="en-GB"/>
        </w:rPr>
        <w:t xml:space="preserve"> properly.</w:t>
      </w:r>
    </w:p>
    <w:p w14:paraId="6FE7C413" w14:textId="497094BE" w:rsidR="00960332"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The procedure described above is one of the reasons why an overnight switchover from GSM-R to its successor in the same frequency band </w:t>
      </w:r>
      <w:r w:rsidR="00960332" w:rsidRPr="008946B0">
        <w:rPr>
          <w:rFonts w:eastAsia="Calibri"/>
          <w:szCs w:val="22"/>
          <w:lang w:val="en-GB"/>
        </w:rPr>
        <w:t>seems to be very unlikely</w:t>
      </w:r>
      <w:r w:rsidRPr="008946B0">
        <w:rPr>
          <w:rFonts w:eastAsia="Calibri"/>
          <w:szCs w:val="22"/>
          <w:lang w:val="en-GB"/>
        </w:rPr>
        <w:t xml:space="preserve">. Even if a preceding upgrade of all on-board terminals would be performed, including their validation on an isolated railway line equipped with the successor system of GSM-R, an overnight switchover does not offer the possibility to perform the </w:t>
      </w:r>
      <w:r w:rsidR="00CE512A" w:rsidRPr="008946B0">
        <w:rPr>
          <w:rFonts w:eastAsia="Calibri"/>
          <w:szCs w:val="22"/>
          <w:lang w:val="en-GB"/>
        </w:rPr>
        <w:t xml:space="preserve">real life </w:t>
      </w:r>
      <w:r w:rsidRPr="008946B0">
        <w:rPr>
          <w:rFonts w:eastAsia="Calibri"/>
          <w:szCs w:val="22"/>
          <w:lang w:val="en-GB"/>
        </w:rPr>
        <w:t>tests mentioned above.</w:t>
      </w:r>
      <w:r w:rsidR="00960332" w:rsidRPr="008946B0">
        <w:rPr>
          <w:rFonts w:eastAsia="Calibri"/>
          <w:szCs w:val="22"/>
          <w:lang w:val="en-GB"/>
        </w:rPr>
        <w:t xml:space="preserve"> </w:t>
      </w:r>
      <w:r w:rsidRPr="008946B0">
        <w:rPr>
          <w:rFonts w:eastAsia="Calibri"/>
          <w:szCs w:val="22"/>
          <w:lang w:val="en-GB"/>
        </w:rPr>
        <w:t xml:space="preserve">In addition to the </w:t>
      </w:r>
      <w:r w:rsidR="00960332" w:rsidRPr="008946B0">
        <w:rPr>
          <w:rFonts w:eastAsia="Calibri"/>
          <w:szCs w:val="22"/>
          <w:lang w:val="en-GB"/>
        </w:rPr>
        <w:t>items</w:t>
      </w:r>
      <w:r w:rsidRPr="008946B0">
        <w:rPr>
          <w:rFonts w:eastAsia="Calibri"/>
          <w:szCs w:val="22"/>
          <w:lang w:val="en-GB"/>
        </w:rPr>
        <w:t xml:space="preserve"> addressed above, an overnight switchover might cause an issue to the interoperability of railway networks. </w:t>
      </w:r>
    </w:p>
    <w:p w14:paraId="35197309" w14:textId="53F6B244"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From spectrum management point of view, the same </w:t>
      </w:r>
      <w:r w:rsidR="00960332" w:rsidRPr="008946B0">
        <w:rPr>
          <w:rFonts w:eastAsia="Calibri"/>
          <w:szCs w:val="22"/>
          <w:lang w:val="en-GB"/>
        </w:rPr>
        <w:t xml:space="preserve">interoperability </w:t>
      </w:r>
      <w:r w:rsidRPr="008946B0">
        <w:rPr>
          <w:rFonts w:eastAsia="Calibri"/>
          <w:szCs w:val="22"/>
          <w:lang w:val="en-GB"/>
        </w:rPr>
        <w:t xml:space="preserve">issue applies here: it is necessary to have for a period of time sufficient spectrum </w:t>
      </w:r>
      <w:r w:rsidR="00D50285" w:rsidRPr="008946B0">
        <w:rPr>
          <w:rFonts w:eastAsia="Calibri"/>
          <w:szCs w:val="22"/>
          <w:lang w:val="en-GB"/>
        </w:rPr>
        <w:t xml:space="preserve">available to </w:t>
      </w:r>
      <w:r w:rsidR="00731366" w:rsidRPr="008946B0">
        <w:rPr>
          <w:rFonts w:eastAsia="Calibri"/>
          <w:szCs w:val="22"/>
          <w:lang w:val="en-GB"/>
        </w:rPr>
        <w:t>operate</w:t>
      </w:r>
      <w:r w:rsidRPr="008946B0">
        <w:rPr>
          <w:rFonts w:eastAsia="Calibri"/>
          <w:szCs w:val="22"/>
          <w:lang w:val="en-GB"/>
        </w:rPr>
        <w:t xml:space="preserve"> both GSM-R and its successor in parallel.</w:t>
      </w:r>
      <w:r w:rsidR="006E7DC4" w:rsidRPr="008946B0">
        <w:rPr>
          <w:rFonts w:eastAsia="Calibri"/>
          <w:szCs w:val="22"/>
          <w:lang w:val="en-GB"/>
        </w:rPr>
        <w:t xml:space="preserve"> </w:t>
      </w:r>
      <w:r w:rsidRPr="008946B0">
        <w:rPr>
          <w:rFonts w:eastAsia="Calibri"/>
          <w:szCs w:val="22"/>
          <w:lang w:val="en-GB"/>
        </w:rPr>
        <w:t xml:space="preserve">Because of the reasons described above, there is a strong need for additional spectrum during the migration period. This additional spectrum will also be required to cover railway’s </w:t>
      </w:r>
      <w:r w:rsidR="00BA0282" w:rsidRPr="008946B0">
        <w:rPr>
          <w:rFonts w:eastAsia="Calibri"/>
          <w:szCs w:val="22"/>
          <w:lang w:val="en-GB"/>
        </w:rPr>
        <w:t>foreseen</w:t>
      </w:r>
      <w:r w:rsidRPr="008946B0">
        <w:rPr>
          <w:rFonts w:eastAsia="Calibri"/>
          <w:szCs w:val="22"/>
          <w:lang w:val="en-GB"/>
        </w:rPr>
        <w:t xml:space="preserve"> needs after the migration period in combination with the 2x4 MHz currently </w:t>
      </w:r>
      <w:r w:rsidR="006E7DC4" w:rsidRPr="008946B0">
        <w:rPr>
          <w:rFonts w:eastAsia="Calibri"/>
          <w:szCs w:val="22"/>
          <w:lang w:val="en-GB"/>
        </w:rPr>
        <w:t xml:space="preserve">harmonised and </w:t>
      </w:r>
      <w:r w:rsidRPr="008946B0">
        <w:rPr>
          <w:rFonts w:eastAsia="Calibri"/>
          <w:szCs w:val="22"/>
          <w:lang w:val="en-GB"/>
        </w:rPr>
        <w:t>used for GSM-R.</w:t>
      </w:r>
      <w:r w:rsidR="00FF6D00" w:rsidRPr="008946B0">
        <w:rPr>
          <w:rFonts w:eastAsia="Calibri"/>
          <w:szCs w:val="22"/>
          <w:lang w:val="en-GB"/>
        </w:rPr>
        <w:t xml:space="preserve"> Technical solutions that would </w:t>
      </w:r>
      <w:r w:rsidR="00B76CE1" w:rsidRPr="008946B0">
        <w:rPr>
          <w:rFonts w:eastAsia="Calibri"/>
          <w:szCs w:val="22"/>
          <w:lang w:val="en-GB"/>
        </w:rPr>
        <w:t>enable GSM-R and FRMCS to operate together in parallel in the 900 MHz band</w:t>
      </w:r>
      <w:r w:rsidR="00FF6D00" w:rsidRPr="008946B0">
        <w:rPr>
          <w:rFonts w:eastAsia="Calibri"/>
          <w:szCs w:val="22"/>
          <w:lang w:val="en-GB"/>
        </w:rPr>
        <w:t xml:space="preserve"> </w:t>
      </w:r>
      <w:r w:rsidR="00D915BA" w:rsidRPr="008946B0">
        <w:rPr>
          <w:rFonts w:eastAsia="Calibri"/>
          <w:szCs w:val="22"/>
          <w:lang w:val="en-GB"/>
        </w:rPr>
        <w:t>can</w:t>
      </w:r>
      <w:r w:rsidR="00FF6D00" w:rsidRPr="008946B0">
        <w:rPr>
          <w:rFonts w:eastAsia="Calibri"/>
          <w:szCs w:val="22"/>
          <w:lang w:val="en-GB"/>
        </w:rPr>
        <w:t xml:space="preserve"> be considered.</w:t>
      </w:r>
    </w:p>
    <w:p w14:paraId="2C5EF278" w14:textId="77777777" w:rsidR="005A47F3" w:rsidRPr="008946B0" w:rsidRDefault="00AB77EF">
      <w:pPr>
        <w:pStyle w:val="Heading3"/>
        <w:rPr>
          <w:rFonts w:eastAsia="Calibri"/>
          <w:lang w:val="en-GB"/>
        </w:rPr>
      </w:pPr>
      <w:bookmarkStart w:id="13" w:name="_Toc18401659"/>
      <w:bookmarkStart w:id="14" w:name="_Toc18401554"/>
      <w:bookmarkStart w:id="15" w:name="_Toc18401931"/>
      <w:bookmarkStart w:id="16" w:name="_Toc42722815"/>
      <w:bookmarkEnd w:id="13"/>
      <w:bookmarkEnd w:id="14"/>
      <w:bookmarkEnd w:id="15"/>
      <w:r w:rsidRPr="008946B0">
        <w:rPr>
          <w:rFonts w:eastAsia="Calibri"/>
          <w:lang w:val="en-GB"/>
        </w:rPr>
        <w:t>Timeline perspective</w:t>
      </w:r>
      <w:bookmarkEnd w:id="16"/>
    </w:p>
    <w:p w14:paraId="5188A309" w14:textId="0891B854" w:rsidR="005A47F3" w:rsidRPr="008946B0" w:rsidRDefault="00AB77EF">
      <w:pPr>
        <w:spacing w:before="240" w:after="60" w:line="240" w:lineRule="auto"/>
        <w:jc w:val="both"/>
        <w:rPr>
          <w:rFonts w:eastAsia="Calibri"/>
          <w:szCs w:val="22"/>
          <w:lang w:val="en-GB"/>
        </w:rPr>
      </w:pPr>
      <w:r w:rsidRPr="008946B0">
        <w:rPr>
          <w:rFonts w:eastAsia="Calibri"/>
          <w:szCs w:val="22"/>
          <w:lang w:val="en-GB"/>
        </w:rPr>
        <w:t>The overall migration throughout Europe is expected to take place between 202</w:t>
      </w:r>
      <w:r w:rsidR="009D70CA" w:rsidRPr="008946B0">
        <w:rPr>
          <w:rFonts w:eastAsia="Calibri"/>
          <w:szCs w:val="22"/>
          <w:lang w:val="en-GB"/>
        </w:rPr>
        <w:t>4</w:t>
      </w:r>
      <w:r w:rsidRPr="008946B0">
        <w:rPr>
          <w:rFonts w:eastAsia="Calibri"/>
          <w:szCs w:val="22"/>
          <w:lang w:val="en-GB"/>
        </w:rPr>
        <w:t xml:space="preserve"> and 2035. The migration scenarios will depend on </w:t>
      </w:r>
      <w:r w:rsidR="009D70CA" w:rsidRPr="008946B0">
        <w:rPr>
          <w:rFonts w:eastAsia="Calibri"/>
          <w:szCs w:val="22"/>
          <w:lang w:val="en-GB"/>
        </w:rPr>
        <w:t xml:space="preserve">the national </w:t>
      </w:r>
      <w:r w:rsidRPr="008946B0">
        <w:rPr>
          <w:rFonts w:eastAsia="Calibri"/>
          <w:szCs w:val="22"/>
          <w:lang w:val="en-GB"/>
        </w:rPr>
        <w:t xml:space="preserve">plans </w:t>
      </w:r>
      <w:r w:rsidR="009D70CA" w:rsidRPr="008946B0">
        <w:rPr>
          <w:rFonts w:eastAsia="Calibri"/>
          <w:szCs w:val="22"/>
          <w:lang w:val="en-GB"/>
        </w:rPr>
        <w:t>of</w:t>
      </w:r>
      <w:r w:rsidRPr="008946B0">
        <w:rPr>
          <w:rFonts w:eastAsia="Calibri"/>
          <w:szCs w:val="22"/>
          <w:lang w:val="en-GB"/>
        </w:rPr>
        <w:t xml:space="preserve"> Transport Ministries</w:t>
      </w:r>
      <w:r w:rsidR="009D70CA" w:rsidRPr="008946B0">
        <w:rPr>
          <w:rFonts w:eastAsia="Calibri"/>
          <w:szCs w:val="22"/>
          <w:lang w:val="en-GB"/>
        </w:rPr>
        <w:t xml:space="preserve"> and Infrastructure Managers</w:t>
      </w:r>
      <w:r w:rsidRPr="008946B0">
        <w:rPr>
          <w:rFonts w:eastAsia="Calibri"/>
          <w:szCs w:val="22"/>
          <w:lang w:val="en-GB"/>
        </w:rPr>
        <w:t xml:space="preserve"> to replace the current GSM-R infrastructure (e.g. reinvestment might be an option in certain countries), </w:t>
      </w:r>
      <w:r w:rsidR="009D70CA" w:rsidRPr="008946B0">
        <w:rPr>
          <w:rFonts w:eastAsia="Calibri"/>
          <w:szCs w:val="22"/>
          <w:lang w:val="en-GB"/>
        </w:rPr>
        <w:t>as also</w:t>
      </w:r>
      <w:r w:rsidRPr="008946B0">
        <w:rPr>
          <w:rFonts w:eastAsia="Calibri"/>
          <w:szCs w:val="22"/>
          <w:lang w:val="en-GB"/>
        </w:rPr>
        <w:t xml:space="preserve"> on agreements between Infrastructure Managers and Railway Undertakings on the timeline for deployment of both trackside and on-board</w:t>
      </w:r>
      <w:r w:rsidR="009D70CA" w:rsidRPr="008946B0">
        <w:rPr>
          <w:rFonts w:eastAsia="Calibri"/>
          <w:szCs w:val="22"/>
          <w:lang w:val="en-GB"/>
        </w:rPr>
        <w:t xml:space="preserve"> equipment</w:t>
      </w:r>
      <w:r w:rsidRPr="008946B0">
        <w:rPr>
          <w:rFonts w:eastAsia="Calibri"/>
          <w:szCs w:val="22"/>
          <w:lang w:val="en-GB"/>
        </w:rPr>
        <w:t xml:space="preserve">. A large variation between </w:t>
      </w:r>
      <w:r w:rsidR="00793943" w:rsidRPr="008946B0">
        <w:rPr>
          <w:rFonts w:eastAsia="Calibri"/>
          <w:szCs w:val="22"/>
          <w:lang w:val="en-GB"/>
        </w:rPr>
        <w:t xml:space="preserve">EU </w:t>
      </w:r>
      <w:r w:rsidRPr="008946B0">
        <w:rPr>
          <w:rFonts w:eastAsia="Calibri"/>
          <w:szCs w:val="22"/>
          <w:lang w:val="en-GB"/>
        </w:rPr>
        <w:t xml:space="preserve">Member States </w:t>
      </w:r>
      <w:r w:rsidR="00793943" w:rsidRPr="008946B0">
        <w:rPr>
          <w:rFonts w:eastAsia="Calibri"/>
          <w:szCs w:val="22"/>
          <w:lang w:val="en-GB"/>
        </w:rPr>
        <w:t>in the</w:t>
      </w:r>
      <w:r w:rsidRPr="008946B0">
        <w:rPr>
          <w:rFonts w:eastAsia="Calibri"/>
          <w:szCs w:val="22"/>
          <w:lang w:val="en-GB"/>
        </w:rPr>
        <w:t xml:space="preserve"> deployment timelines for FRMCS is expected.</w:t>
      </w:r>
    </w:p>
    <w:p w14:paraId="5DE9F3EC" w14:textId="6F9DF15B" w:rsidR="005A47F3" w:rsidRPr="008946B0" w:rsidRDefault="00AB77EF" w:rsidP="00292195">
      <w:pPr>
        <w:spacing w:before="240" w:after="60" w:line="240" w:lineRule="auto"/>
        <w:jc w:val="both"/>
        <w:rPr>
          <w:rFonts w:eastAsia="Calibri"/>
          <w:szCs w:val="22"/>
          <w:lang w:val="en-GB"/>
        </w:rPr>
      </w:pPr>
      <w:r w:rsidRPr="008946B0">
        <w:rPr>
          <w:rFonts w:eastAsia="Calibri"/>
          <w:szCs w:val="22"/>
          <w:lang w:val="en-GB"/>
        </w:rPr>
        <w:t xml:space="preserve">ERA investigates </w:t>
      </w:r>
      <w:r w:rsidR="00F522F2" w:rsidRPr="008946B0">
        <w:rPr>
          <w:rFonts w:eastAsia="Calibri"/>
          <w:szCs w:val="22"/>
          <w:lang w:val="en-GB"/>
        </w:rPr>
        <w:t>how to support IMs and RUs in the process of</w:t>
      </w:r>
      <w:r w:rsidRPr="008946B0">
        <w:rPr>
          <w:rFonts w:eastAsia="Calibri"/>
          <w:szCs w:val="22"/>
          <w:lang w:val="en-GB"/>
        </w:rPr>
        <w:t xml:space="preserve"> negotiati</w:t>
      </w:r>
      <w:r w:rsidR="00DB01CE" w:rsidRPr="008946B0">
        <w:rPr>
          <w:rFonts w:eastAsia="Calibri"/>
          <w:szCs w:val="22"/>
          <w:lang w:val="en-GB"/>
        </w:rPr>
        <w:t>ng</w:t>
      </w:r>
      <w:r w:rsidRPr="008946B0">
        <w:rPr>
          <w:rFonts w:eastAsia="Calibri"/>
          <w:szCs w:val="22"/>
          <w:lang w:val="en-GB"/>
        </w:rPr>
        <w:t xml:space="preserve"> the migration towards the successor </w:t>
      </w:r>
      <w:r w:rsidR="00F522F2" w:rsidRPr="008946B0">
        <w:rPr>
          <w:rFonts w:eastAsia="Calibri"/>
          <w:szCs w:val="22"/>
          <w:lang w:val="en-GB"/>
        </w:rPr>
        <w:t>of</w:t>
      </w:r>
      <w:r w:rsidRPr="008946B0">
        <w:rPr>
          <w:rFonts w:eastAsia="Calibri"/>
          <w:szCs w:val="22"/>
          <w:lang w:val="en-GB"/>
        </w:rPr>
        <w:t xml:space="preserve"> GSM-R. The </w:t>
      </w:r>
      <w:r w:rsidR="00D23A7A" w:rsidRPr="008946B0">
        <w:rPr>
          <w:rFonts w:eastAsia="Calibri"/>
          <w:szCs w:val="22"/>
          <w:lang w:val="en-GB"/>
        </w:rPr>
        <w:t>EU railway regulatory framework</w:t>
      </w:r>
      <w:r w:rsidRPr="008946B0">
        <w:rPr>
          <w:rFonts w:eastAsia="Calibri"/>
          <w:szCs w:val="22"/>
          <w:lang w:val="en-GB"/>
        </w:rPr>
        <w:t xml:space="preserve"> could potentially </w:t>
      </w:r>
      <w:r w:rsidR="00D23A7A" w:rsidRPr="008946B0">
        <w:rPr>
          <w:rFonts w:eastAsia="Calibri"/>
          <w:szCs w:val="22"/>
          <w:lang w:val="en-GB"/>
        </w:rPr>
        <w:t>include provisions</w:t>
      </w:r>
      <w:r w:rsidRPr="008946B0">
        <w:rPr>
          <w:rFonts w:eastAsia="Calibri"/>
          <w:szCs w:val="22"/>
          <w:lang w:val="en-GB"/>
        </w:rPr>
        <w:t xml:space="preserve"> to allow IMs to signal to all RUs in a specific country: a notification of start and end dates for FRMCS rollout, and the switch-off date for GSM-R, </w:t>
      </w:r>
      <w:r w:rsidR="00F522F2" w:rsidRPr="008946B0">
        <w:rPr>
          <w:rFonts w:eastAsia="Calibri"/>
          <w:szCs w:val="22"/>
          <w:lang w:val="en-GB"/>
        </w:rPr>
        <w:t>in a way</w:t>
      </w:r>
      <w:r w:rsidRPr="008946B0">
        <w:rPr>
          <w:rFonts w:eastAsia="Calibri"/>
          <w:szCs w:val="22"/>
          <w:lang w:val="en-GB"/>
        </w:rPr>
        <w:t xml:space="preserve"> that a minimum duration for parallel operation of GSM-R and FRMCS </w:t>
      </w:r>
      <w:r w:rsidR="003026BB" w:rsidRPr="008946B0">
        <w:rPr>
          <w:rFonts w:eastAsia="Calibri"/>
          <w:szCs w:val="22"/>
          <w:lang w:val="en-GB"/>
        </w:rPr>
        <w:t>is ensured</w:t>
      </w:r>
      <w:r w:rsidRPr="008946B0">
        <w:rPr>
          <w:rFonts w:eastAsia="Calibri"/>
          <w:szCs w:val="22"/>
          <w:lang w:val="en-GB"/>
        </w:rPr>
        <w:t>. This could help to minimise the migration period while avoiding forc</w:t>
      </w:r>
      <w:r w:rsidR="00E97159" w:rsidRPr="008946B0">
        <w:rPr>
          <w:rFonts w:eastAsia="Calibri"/>
          <w:szCs w:val="22"/>
          <w:lang w:val="en-GB"/>
        </w:rPr>
        <w:t>ing</w:t>
      </w:r>
      <w:r w:rsidRPr="008946B0">
        <w:rPr>
          <w:rFonts w:eastAsia="Calibri"/>
          <w:szCs w:val="22"/>
          <w:lang w:val="en-GB"/>
        </w:rPr>
        <w:t xml:space="preserve"> Railway Undertakings to retrofit on-board equipment.</w:t>
      </w:r>
      <w:r w:rsidR="00292195" w:rsidRPr="008946B0">
        <w:rPr>
          <w:rFonts w:eastAsia="Calibri"/>
          <w:szCs w:val="22"/>
          <w:lang w:val="en-GB"/>
        </w:rPr>
        <w:t xml:space="preserve"> </w:t>
      </w:r>
      <w:r w:rsidRPr="008946B0">
        <w:rPr>
          <w:rFonts w:eastAsia="Calibri"/>
          <w:szCs w:val="22"/>
          <w:lang w:val="en-GB"/>
        </w:rPr>
        <w:t>In order to facilitate the migration, a national administration may consider setting up a financial incentive scheme.</w:t>
      </w:r>
    </w:p>
    <w:p w14:paraId="733F7F76" w14:textId="77777777" w:rsidR="005A47F3" w:rsidRPr="008946B0" w:rsidRDefault="00AB77EF">
      <w:pPr>
        <w:pStyle w:val="Heading1"/>
      </w:pPr>
      <w:bookmarkStart w:id="17" w:name="_Toc42722816"/>
      <w:bookmarkEnd w:id="5"/>
      <w:r w:rsidRPr="008946B0">
        <w:t>Spectrum needs for the future railway mobile radio communications system (task 1)</w:t>
      </w:r>
      <w:bookmarkEnd w:id="17"/>
    </w:p>
    <w:p w14:paraId="6609C182" w14:textId="194133DC"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For the purpose of assessing the spectrum needs for FRMCS, </w:t>
      </w:r>
      <w:r w:rsidRPr="008946B0">
        <w:rPr>
          <w:rFonts w:eastAsia="Calibri"/>
          <w:i/>
          <w:szCs w:val="22"/>
          <w:lang w:val="en-GB"/>
        </w:rPr>
        <w:t>critical railway applications</w:t>
      </w:r>
      <w:r w:rsidRPr="008946B0">
        <w:rPr>
          <w:rFonts w:eastAsia="Calibri"/>
          <w:szCs w:val="22"/>
          <w:lang w:val="en-GB"/>
        </w:rPr>
        <w:t xml:space="preserve"> have been considered. These critical railway applications are defined as “</w:t>
      </w:r>
      <w:r w:rsidRPr="008946B0">
        <w:rPr>
          <w:rFonts w:eastAsia="Calibri"/>
          <w:i/>
          <w:iCs/>
          <w:szCs w:val="22"/>
          <w:lang w:val="en-GB"/>
        </w:rPr>
        <w:t xml:space="preserve">applications that are essential for train movements and safety or a legal obligation, such as emergency communications, shunting, </w:t>
      </w:r>
      <w:r w:rsidRPr="008946B0">
        <w:rPr>
          <w:rFonts w:eastAsia="Calibri"/>
          <w:szCs w:val="22"/>
          <w:lang w:val="en-GB"/>
        </w:rPr>
        <w:t xml:space="preserve">[human] </w:t>
      </w:r>
      <w:r w:rsidRPr="008946B0">
        <w:rPr>
          <w:rFonts w:eastAsia="Calibri"/>
          <w:i/>
          <w:iCs/>
          <w:szCs w:val="22"/>
          <w:lang w:val="en-GB"/>
        </w:rPr>
        <w:t xml:space="preserve">presence </w:t>
      </w:r>
      <w:r w:rsidRPr="008946B0">
        <w:rPr>
          <w:rFonts w:eastAsia="Calibri"/>
          <w:szCs w:val="22"/>
          <w:lang w:val="en-GB"/>
        </w:rPr>
        <w:t xml:space="preserve">[e.g. LAS], </w:t>
      </w:r>
      <w:r w:rsidRPr="008946B0">
        <w:rPr>
          <w:rFonts w:eastAsia="Calibri"/>
          <w:i/>
          <w:iCs/>
          <w:szCs w:val="22"/>
          <w:lang w:val="en-GB"/>
        </w:rPr>
        <w:t>trackside maintenance, ATC, etc.</w:t>
      </w:r>
      <w:r w:rsidRPr="008946B0">
        <w:rPr>
          <w:rFonts w:eastAsia="Calibri"/>
          <w:szCs w:val="22"/>
          <w:lang w:val="en-GB"/>
        </w:rPr>
        <w:t xml:space="preserve">” </w:t>
      </w:r>
      <w:r w:rsidR="00610DD8" w:rsidRPr="008946B0">
        <w:rPr>
          <w:rFonts w:eastAsia="Calibri"/>
          <w:szCs w:val="22"/>
          <w:lang w:val="en-GB"/>
        </w:rPr>
        <w:fldChar w:fldCharType="begin"/>
      </w:r>
      <w:r w:rsidR="00610DD8" w:rsidRPr="008946B0">
        <w:rPr>
          <w:rFonts w:eastAsia="Calibri"/>
          <w:szCs w:val="22"/>
          <w:lang w:val="en-GB"/>
        </w:rPr>
        <w:instrText xml:space="preserve"> REF _Ref37348885 \r \h </w:instrText>
      </w:r>
      <w:r w:rsidR="00610DD8" w:rsidRPr="008946B0">
        <w:rPr>
          <w:rFonts w:eastAsia="Calibri"/>
          <w:szCs w:val="22"/>
          <w:lang w:val="en-GB"/>
        </w:rPr>
      </w:r>
      <w:r w:rsidR="00610DD8" w:rsidRPr="008946B0">
        <w:rPr>
          <w:rFonts w:eastAsia="Calibri"/>
          <w:szCs w:val="22"/>
          <w:lang w:val="en-GB"/>
        </w:rPr>
        <w:fldChar w:fldCharType="separate"/>
      </w:r>
      <w:r w:rsidR="00610DD8" w:rsidRPr="008946B0">
        <w:rPr>
          <w:rFonts w:eastAsia="Calibri"/>
          <w:szCs w:val="22"/>
          <w:lang w:val="en-GB"/>
        </w:rPr>
        <w:t>[13]</w:t>
      </w:r>
      <w:r w:rsidR="00610DD8" w:rsidRPr="008946B0">
        <w:rPr>
          <w:rFonts w:eastAsia="Calibri"/>
          <w:szCs w:val="22"/>
          <w:lang w:val="en-GB"/>
        </w:rPr>
        <w:fldChar w:fldCharType="end"/>
      </w:r>
      <w:r w:rsidRPr="008946B0">
        <w:rPr>
          <w:rFonts w:eastAsia="Calibri"/>
          <w:szCs w:val="22"/>
          <w:lang w:val="en-GB"/>
        </w:rPr>
        <w:t xml:space="preserve"> and are listed below.</w:t>
      </w:r>
    </w:p>
    <w:p w14:paraId="1F518AF2" w14:textId="756F45E0" w:rsidR="005A47F3" w:rsidRPr="008946B0" w:rsidRDefault="00AB77EF">
      <w:pPr>
        <w:spacing w:before="240" w:after="60" w:line="240" w:lineRule="auto"/>
        <w:jc w:val="both"/>
        <w:rPr>
          <w:rFonts w:eastAsia="Calibri"/>
          <w:szCs w:val="22"/>
          <w:lang w:val="en-GB"/>
        </w:rPr>
      </w:pPr>
      <w:r w:rsidRPr="008946B0">
        <w:rPr>
          <w:rFonts w:eastAsia="Calibri"/>
          <w:szCs w:val="22"/>
          <w:lang w:val="en-GB"/>
        </w:rPr>
        <w:t>The traffic requirement is compared to the estimated LTE</w:t>
      </w:r>
      <w:r w:rsidR="00901626" w:rsidRPr="008946B0">
        <w:rPr>
          <w:rFonts w:eastAsia="Calibri"/>
          <w:szCs w:val="22"/>
          <w:lang w:val="en-GB"/>
        </w:rPr>
        <w:t>/NR</w:t>
      </w:r>
      <w:r w:rsidRPr="008946B0">
        <w:rPr>
          <w:rFonts w:eastAsia="Calibri"/>
          <w:szCs w:val="22"/>
          <w:lang w:val="en-GB"/>
        </w:rPr>
        <w:t xml:space="preserve"> data throughput in a rail environment</w:t>
      </w:r>
      <w:r w:rsidR="00441647" w:rsidRPr="008946B0">
        <w:rPr>
          <w:rFonts w:eastAsia="Calibri"/>
          <w:szCs w:val="22"/>
          <w:lang w:val="en-GB"/>
        </w:rPr>
        <w:t>,</w:t>
      </w:r>
      <w:r w:rsidRPr="008946B0">
        <w:rPr>
          <w:rFonts w:eastAsia="Calibri"/>
          <w:b/>
          <w:szCs w:val="22"/>
          <w:lang w:val="en-GB"/>
        </w:rPr>
        <w:t xml:space="preserve"> </w:t>
      </w:r>
      <w:r w:rsidRPr="008946B0">
        <w:rPr>
          <w:rFonts w:eastAsia="Calibri"/>
          <w:szCs w:val="22"/>
          <w:lang w:val="en-GB"/>
        </w:rPr>
        <w:t>taking into account the radio network design, the characteristics of the radio access technology used and the location of the frequency band within the radio spectrum.</w:t>
      </w:r>
    </w:p>
    <w:p w14:paraId="164C1CEA" w14:textId="77777777" w:rsidR="005A47F3" w:rsidRPr="008946B0" w:rsidRDefault="00AB77EF">
      <w:pPr>
        <w:spacing w:before="240" w:after="60" w:line="240" w:lineRule="auto"/>
        <w:jc w:val="both"/>
        <w:rPr>
          <w:lang w:val="en-GB"/>
        </w:rPr>
      </w:pPr>
      <w:r w:rsidRPr="008946B0">
        <w:rPr>
          <w:rFonts w:eastAsia="Calibri"/>
          <w:szCs w:val="22"/>
          <w:lang w:val="en-GB"/>
        </w:rPr>
        <w:t>Sources</w:t>
      </w:r>
      <w:r w:rsidRPr="008946B0">
        <w:rPr>
          <w:lang w:val="en-GB"/>
        </w:rPr>
        <w:t>:</w:t>
      </w:r>
    </w:p>
    <w:p w14:paraId="00FDFCED" w14:textId="51A5918E" w:rsidR="005A47F3" w:rsidRPr="008946B0" w:rsidRDefault="00AB77EF">
      <w:pPr>
        <w:pStyle w:val="ECCBulletsLv1"/>
        <w:ind w:left="357" w:hanging="357"/>
      </w:pPr>
      <w:r w:rsidRPr="008946B0">
        <w:t xml:space="preserve">for traffic analysis, see “FRMCS Traffic Analysis v2” </w:t>
      </w:r>
      <w:r w:rsidRPr="008946B0">
        <w:fldChar w:fldCharType="begin"/>
      </w:r>
      <w:r w:rsidRPr="008946B0">
        <w:instrText xml:space="preserve"> REF _Ref499978451 \r \h </w:instrText>
      </w:r>
      <w:r w:rsidRPr="008946B0">
        <w:fldChar w:fldCharType="separate"/>
      </w:r>
      <w:r w:rsidR="00CF6E1D" w:rsidRPr="008946B0">
        <w:t>[10]</w:t>
      </w:r>
      <w:r w:rsidRPr="008946B0">
        <w:fldChar w:fldCharType="end"/>
      </w:r>
      <w:r w:rsidRPr="008946B0">
        <w:t>;</w:t>
      </w:r>
    </w:p>
    <w:p w14:paraId="2ADCC141" w14:textId="27DA06D4" w:rsidR="005A47F3" w:rsidRPr="008946B0" w:rsidRDefault="00AB77EF">
      <w:pPr>
        <w:pStyle w:val="ECCBulletsLv1"/>
        <w:ind w:left="357" w:hanging="357"/>
      </w:pPr>
      <w:r w:rsidRPr="008946B0">
        <w:t xml:space="preserve">for throughput </w:t>
      </w:r>
      <w:r w:rsidR="00D40B58" w:rsidRPr="008946B0">
        <w:t>evaluation</w:t>
      </w:r>
      <w:r w:rsidRPr="008946B0">
        <w:t xml:space="preserve"> in railway environment, see </w:t>
      </w:r>
      <w:bookmarkStart w:id="18" w:name="_Hlk34310602"/>
      <w:r w:rsidRPr="008946B0">
        <w:t>ETSI TR 103</w:t>
      </w:r>
      <w:r w:rsidR="004C2316" w:rsidRPr="008946B0">
        <w:t> </w:t>
      </w:r>
      <w:r w:rsidRPr="008946B0">
        <w:t>554</w:t>
      </w:r>
      <w:r w:rsidR="004C2316" w:rsidRPr="008946B0">
        <w:t>-1</w:t>
      </w:r>
      <w:r w:rsidRPr="008946B0">
        <w:t xml:space="preserve"> </w:t>
      </w:r>
      <w:r w:rsidR="00D40B58" w:rsidRPr="008946B0">
        <w:t>for</w:t>
      </w:r>
      <w:r w:rsidRPr="008946B0">
        <w:t xml:space="preserve"> LTE </w:t>
      </w:r>
      <w:r w:rsidR="00D40B58" w:rsidRPr="008946B0">
        <w:fldChar w:fldCharType="begin"/>
      </w:r>
      <w:r w:rsidR="00D40B58" w:rsidRPr="008946B0">
        <w:instrText xml:space="preserve"> REF _Ref499978464 \r \h </w:instrText>
      </w:r>
      <w:r w:rsidR="00D40B58" w:rsidRPr="008946B0">
        <w:fldChar w:fldCharType="separate"/>
      </w:r>
      <w:r w:rsidR="00D40B58" w:rsidRPr="008946B0">
        <w:t>[11]</w:t>
      </w:r>
      <w:r w:rsidR="00D40B58" w:rsidRPr="008946B0">
        <w:fldChar w:fldCharType="end"/>
      </w:r>
      <w:r w:rsidRPr="008946B0">
        <w:t xml:space="preserve"> </w:t>
      </w:r>
      <w:r w:rsidR="004C2316" w:rsidRPr="008946B0">
        <w:t xml:space="preserve">and </w:t>
      </w:r>
      <w:bookmarkStart w:id="19" w:name="_Hlk31719622"/>
      <w:r w:rsidR="004C2316" w:rsidRPr="008946B0">
        <w:t xml:space="preserve">ETSI TR 103 554-2 </w:t>
      </w:r>
      <w:bookmarkEnd w:id="18"/>
      <w:r w:rsidR="00D40B58" w:rsidRPr="008946B0">
        <w:t>for</w:t>
      </w:r>
      <w:r w:rsidR="004C2316" w:rsidRPr="008946B0">
        <w:t xml:space="preserve"> NR </w:t>
      </w:r>
      <w:r w:rsidR="00D40B58" w:rsidRPr="008946B0">
        <w:fldChar w:fldCharType="begin"/>
      </w:r>
      <w:r w:rsidR="00D40B58" w:rsidRPr="008946B0">
        <w:instrText xml:space="preserve"> REF _Ref37149001 \r \h </w:instrText>
      </w:r>
      <w:r w:rsidR="00D40B58" w:rsidRPr="008946B0">
        <w:fldChar w:fldCharType="separate"/>
      </w:r>
      <w:r w:rsidR="00D40B58" w:rsidRPr="008946B0">
        <w:t>[12]</w:t>
      </w:r>
      <w:r w:rsidR="00D40B58" w:rsidRPr="008946B0">
        <w:fldChar w:fldCharType="end"/>
      </w:r>
      <w:r w:rsidRPr="008946B0">
        <w:t>.</w:t>
      </w:r>
    </w:p>
    <w:p w14:paraId="71EE9415" w14:textId="77777777" w:rsidR="005A47F3" w:rsidRPr="008946B0" w:rsidRDefault="00AB77EF">
      <w:pPr>
        <w:pStyle w:val="Heading2"/>
        <w:rPr>
          <w:lang w:val="en-GB"/>
        </w:rPr>
      </w:pPr>
      <w:bookmarkStart w:id="20" w:name="_Toc42722817"/>
      <w:bookmarkEnd w:id="19"/>
      <w:r w:rsidRPr="008946B0">
        <w:rPr>
          <w:lang w:val="en-GB"/>
        </w:rPr>
        <w:t>List of critical railway applications</w:t>
      </w:r>
      <w:bookmarkEnd w:id="20"/>
    </w:p>
    <w:p w14:paraId="68B3DB2E" w14:textId="77777777" w:rsidR="005A47F3" w:rsidRPr="008946B0" w:rsidRDefault="00AB77EF">
      <w:pPr>
        <w:spacing w:before="240" w:after="60" w:line="240" w:lineRule="auto"/>
        <w:jc w:val="both"/>
        <w:rPr>
          <w:rFonts w:eastAsia="Calibri"/>
          <w:szCs w:val="22"/>
          <w:lang w:val="en-GB"/>
        </w:rPr>
      </w:pPr>
      <w:r w:rsidRPr="008946B0">
        <w:rPr>
          <w:rFonts w:eastAsia="Calibri"/>
          <w:szCs w:val="22"/>
          <w:lang w:val="en-GB"/>
        </w:rPr>
        <w:t>Spectrum needs are evaluated for two packages of applications:</w:t>
      </w:r>
    </w:p>
    <w:p w14:paraId="56EC6B5F" w14:textId="77777777" w:rsidR="005A47F3" w:rsidRPr="008946B0" w:rsidRDefault="00AB77EF">
      <w:pPr>
        <w:pStyle w:val="ECCBulletsLv1"/>
      </w:pPr>
      <w:r w:rsidRPr="008946B0">
        <w:t>Package #1, which must be supported during the migration:</w:t>
      </w:r>
    </w:p>
    <w:p w14:paraId="46DFF86C" w14:textId="57084AAE" w:rsidR="005A47F3" w:rsidRPr="008946B0" w:rsidRDefault="00AB77EF" w:rsidP="00593210">
      <w:pPr>
        <w:pStyle w:val="ECCBulletsLv2"/>
        <w:numPr>
          <w:ilvl w:val="0"/>
          <w:numId w:val="8"/>
        </w:numPr>
        <w:ind w:left="680"/>
      </w:pPr>
      <w:r w:rsidRPr="008946B0">
        <w:t>Roughly current GSM-R critical applications: Voice (including emergency calls), ETCS L2;</w:t>
      </w:r>
    </w:p>
    <w:p w14:paraId="194A2A11" w14:textId="77777777" w:rsidR="005A47F3" w:rsidRPr="008946B0" w:rsidRDefault="00AB77EF" w:rsidP="00593210">
      <w:pPr>
        <w:pStyle w:val="ECCBulletsLv2"/>
        <w:numPr>
          <w:ilvl w:val="0"/>
          <w:numId w:val="8"/>
        </w:numPr>
        <w:ind w:left="680"/>
      </w:pPr>
      <w:r w:rsidRPr="008946B0">
        <w:t>Train positioning</w:t>
      </w:r>
      <w:r w:rsidRPr="008946B0">
        <w:rPr>
          <w:rStyle w:val="FootnoteReference"/>
        </w:rPr>
        <w:footnoteReference w:id="7"/>
      </w:r>
      <w:r w:rsidRPr="008946B0">
        <w:t>;</w:t>
      </w:r>
    </w:p>
    <w:p w14:paraId="4D3C980E" w14:textId="77777777" w:rsidR="005A47F3" w:rsidRPr="008946B0" w:rsidRDefault="00AB77EF" w:rsidP="00593210">
      <w:pPr>
        <w:pStyle w:val="ECCBulletsLv2"/>
        <w:numPr>
          <w:ilvl w:val="0"/>
          <w:numId w:val="8"/>
        </w:numPr>
        <w:ind w:left="680"/>
      </w:pPr>
      <w:r w:rsidRPr="008946B0">
        <w:t>ATO up to GoA2;</w:t>
      </w:r>
    </w:p>
    <w:p w14:paraId="28A22EAC" w14:textId="77777777" w:rsidR="005A47F3" w:rsidRPr="008946B0" w:rsidRDefault="00AB77EF" w:rsidP="00593210">
      <w:pPr>
        <w:pStyle w:val="ECCBulletsLv2"/>
        <w:numPr>
          <w:ilvl w:val="0"/>
          <w:numId w:val="8"/>
        </w:numPr>
        <w:ind w:left="680"/>
      </w:pPr>
      <w:r w:rsidRPr="008946B0">
        <w:t>Remote control of engine;</w:t>
      </w:r>
    </w:p>
    <w:p w14:paraId="70E5514D" w14:textId="77777777" w:rsidR="005A47F3" w:rsidRPr="008946B0" w:rsidRDefault="00AB77EF" w:rsidP="00593210">
      <w:pPr>
        <w:pStyle w:val="ECCBulletsLv2"/>
        <w:numPr>
          <w:ilvl w:val="0"/>
          <w:numId w:val="8"/>
        </w:numPr>
        <w:ind w:left="680"/>
      </w:pPr>
      <w:r w:rsidRPr="008946B0">
        <w:t>On-board intelligence and sensing (e.g. for ATO and object/person detection);</w:t>
      </w:r>
    </w:p>
    <w:p w14:paraId="286CE87E" w14:textId="77777777" w:rsidR="005A47F3" w:rsidRPr="008946B0" w:rsidRDefault="00AB77EF" w:rsidP="00593210">
      <w:pPr>
        <w:pStyle w:val="ECCBulletsLv2"/>
        <w:numPr>
          <w:ilvl w:val="0"/>
          <w:numId w:val="8"/>
        </w:numPr>
        <w:ind w:left="680"/>
      </w:pPr>
      <w:r w:rsidRPr="008946B0">
        <w:t>Critical video (e.g. for remote control in shunting yards and in degraded mode).</w:t>
      </w:r>
    </w:p>
    <w:p w14:paraId="751FE470" w14:textId="77777777" w:rsidR="005A47F3" w:rsidRPr="008946B0" w:rsidRDefault="00AB77EF">
      <w:pPr>
        <w:pStyle w:val="ECCBulletsLv1"/>
      </w:pPr>
      <w:r w:rsidRPr="008946B0">
        <w:t>Package #2, which must be supported after the migration:</w:t>
      </w:r>
    </w:p>
    <w:p w14:paraId="638BA581" w14:textId="77777777" w:rsidR="005A47F3" w:rsidRPr="008946B0" w:rsidRDefault="00AB77EF" w:rsidP="00593210">
      <w:pPr>
        <w:pStyle w:val="ECCBulletsLv2"/>
        <w:numPr>
          <w:ilvl w:val="0"/>
          <w:numId w:val="8"/>
        </w:numPr>
        <w:ind w:left="680"/>
      </w:pPr>
      <w:r w:rsidRPr="008946B0">
        <w:t>Package #1;</w:t>
      </w:r>
    </w:p>
    <w:p w14:paraId="7F5939C6" w14:textId="77777777" w:rsidR="005A47F3" w:rsidRPr="008946B0" w:rsidRDefault="00AB77EF" w:rsidP="00593210">
      <w:pPr>
        <w:pStyle w:val="ECCBulletsLv2"/>
        <w:numPr>
          <w:ilvl w:val="0"/>
          <w:numId w:val="8"/>
        </w:numPr>
        <w:ind w:left="680"/>
      </w:pPr>
      <w:r w:rsidRPr="008946B0">
        <w:t>ETCS L3;</w:t>
      </w:r>
    </w:p>
    <w:p w14:paraId="1D0A610F" w14:textId="77777777" w:rsidR="005A47F3" w:rsidRPr="008946B0" w:rsidRDefault="00AB77EF" w:rsidP="00593210">
      <w:pPr>
        <w:pStyle w:val="ECCBulletsLv2"/>
        <w:numPr>
          <w:ilvl w:val="0"/>
          <w:numId w:val="8"/>
        </w:numPr>
        <w:ind w:left="680"/>
      </w:pPr>
      <w:r w:rsidRPr="008946B0">
        <w:t>ATO up to GoA4;</w:t>
      </w:r>
    </w:p>
    <w:p w14:paraId="323A474E" w14:textId="77777777" w:rsidR="005A47F3" w:rsidRPr="008946B0" w:rsidRDefault="00AB77EF" w:rsidP="00593210">
      <w:pPr>
        <w:pStyle w:val="ECCBulletsLv2"/>
        <w:numPr>
          <w:ilvl w:val="0"/>
          <w:numId w:val="8"/>
        </w:numPr>
        <w:ind w:left="680"/>
      </w:pPr>
      <w:r w:rsidRPr="008946B0">
        <w:t>Virtual coupling;</w:t>
      </w:r>
    </w:p>
    <w:p w14:paraId="00CE406D" w14:textId="77777777" w:rsidR="007D0AB2" w:rsidRPr="008946B0" w:rsidRDefault="007D0AB2" w:rsidP="00593210">
      <w:pPr>
        <w:pStyle w:val="ECCBulletsLv2"/>
        <w:numPr>
          <w:ilvl w:val="0"/>
          <w:numId w:val="8"/>
        </w:numPr>
        <w:ind w:left="680"/>
      </w:pPr>
      <w:r w:rsidRPr="008946B0">
        <w:t>Shunting voice;</w:t>
      </w:r>
    </w:p>
    <w:p w14:paraId="038A34D9" w14:textId="0C330BC2" w:rsidR="005A47F3" w:rsidRPr="008946B0" w:rsidRDefault="00396190" w:rsidP="00593210">
      <w:pPr>
        <w:pStyle w:val="ECCBulletsLv2"/>
        <w:numPr>
          <w:ilvl w:val="0"/>
          <w:numId w:val="8"/>
        </w:numPr>
        <w:ind w:left="680"/>
      </w:pPr>
      <w:r w:rsidRPr="008946B0">
        <w:t xml:space="preserve">and other applications as in </w:t>
      </w:r>
      <w:r w:rsidRPr="008946B0">
        <w:fldChar w:fldCharType="begin"/>
      </w:r>
      <w:r w:rsidRPr="008946B0">
        <w:instrText xml:space="preserve"> REF _Ref499978451 \r \h </w:instrText>
      </w:r>
      <w:r w:rsidRPr="008946B0">
        <w:fldChar w:fldCharType="separate"/>
      </w:r>
      <w:r w:rsidR="00CF6E1D" w:rsidRPr="008946B0">
        <w:t>[10]</w:t>
      </w:r>
      <w:r w:rsidRPr="008946B0">
        <w:fldChar w:fldCharType="end"/>
      </w:r>
    </w:p>
    <w:p w14:paraId="681A127E" w14:textId="205B373C" w:rsidR="005A47F3" w:rsidRPr="008946B0" w:rsidRDefault="00AB77EF">
      <w:pPr>
        <w:spacing w:before="240" w:after="60" w:line="240" w:lineRule="auto"/>
        <w:jc w:val="both"/>
        <w:rPr>
          <w:rFonts w:eastAsia="Calibri"/>
          <w:szCs w:val="22"/>
          <w:lang w:val="en-GB"/>
        </w:rPr>
      </w:pPr>
      <w:r w:rsidRPr="008946B0">
        <w:rPr>
          <w:rFonts w:eastAsia="Calibri"/>
          <w:szCs w:val="22"/>
          <w:lang w:val="en-GB"/>
        </w:rPr>
        <w:t>The following table provides an overview of the critical applications that are required during the migration.</w:t>
      </w:r>
    </w:p>
    <w:p w14:paraId="4B4450CF" w14:textId="0C0B0310" w:rsidR="005A47F3" w:rsidRPr="008946B0" w:rsidRDefault="00AB77EF">
      <w:pPr>
        <w:pStyle w:val="Caption"/>
        <w:rPr>
          <w:lang w:val="en-GB"/>
        </w:rPr>
      </w:pPr>
      <w:bookmarkStart w:id="21" w:name="_Ref499979908"/>
      <w:r w:rsidRPr="008946B0">
        <w:rPr>
          <w:lang w:val="en-GB"/>
        </w:rPr>
        <w:t xml:space="preserve">Table </w:t>
      </w:r>
      <w:r w:rsidRPr="008946B0">
        <w:rPr>
          <w:lang w:val="en-GB"/>
        </w:rPr>
        <w:fldChar w:fldCharType="begin"/>
      </w:r>
      <w:r w:rsidRPr="008946B0">
        <w:rPr>
          <w:lang w:val="en-GB"/>
        </w:rPr>
        <w:instrText xml:space="preserve"> SEQ Table \* ARABIC </w:instrText>
      </w:r>
      <w:r w:rsidRPr="008946B0">
        <w:rPr>
          <w:lang w:val="en-GB"/>
        </w:rPr>
        <w:fldChar w:fldCharType="separate"/>
      </w:r>
      <w:r w:rsidR="00CF6E1D" w:rsidRPr="008946B0">
        <w:rPr>
          <w:lang w:val="en-GB"/>
        </w:rPr>
        <w:t>1</w:t>
      </w:r>
      <w:r w:rsidRPr="008946B0">
        <w:rPr>
          <w:lang w:val="en-GB"/>
        </w:rPr>
        <w:fldChar w:fldCharType="end"/>
      </w:r>
      <w:bookmarkEnd w:id="21"/>
      <w:r w:rsidRPr="008946B0">
        <w:rPr>
          <w:lang w:val="en-GB"/>
        </w:rPr>
        <w:t xml:space="preserve">: List of the critical applications (based on </w:t>
      </w:r>
      <w:r w:rsidRPr="008946B0">
        <w:rPr>
          <w:lang w:val="en-GB"/>
        </w:rPr>
        <w:fldChar w:fldCharType="begin"/>
      </w:r>
      <w:r w:rsidRPr="008946B0">
        <w:rPr>
          <w:lang w:val="en-GB"/>
        </w:rPr>
        <w:instrText xml:space="preserve"> REF _Ref499978451 \r \h </w:instrText>
      </w:r>
      <w:r w:rsidRPr="008946B0">
        <w:rPr>
          <w:lang w:val="en-GB"/>
        </w:rPr>
      </w:r>
      <w:r w:rsidRPr="008946B0">
        <w:rPr>
          <w:lang w:val="en-GB"/>
        </w:rPr>
        <w:fldChar w:fldCharType="separate"/>
      </w:r>
      <w:r w:rsidR="00CF6E1D" w:rsidRPr="008946B0">
        <w:rPr>
          <w:lang w:val="en-GB"/>
        </w:rPr>
        <w:t>[10]</w:t>
      </w:r>
      <w:r w:rsidRPr="008946B0">
        <w:rPr>
          <w:lang w:val="en-GB"/>
        </w:rPr>
        <w:fldChar w:fldCharType="end"/>
      </w:r>
      <w:r w:rsidRPr="008946B0">
        <w:rPr>
          <w:lang w:val="en-GB"/>
        </w:rPr>
        <w:t>)</w:t>
      </w:r>
    </w:p>
    <w:tbl>
      <w:tblPr>
        <w:tblW w:w="6091"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4A0" w:firstRow="1" w:lastRow="0" w:firstColumn="1" w:lastColumn="0" w:noHBand="0" w:noVBand="1"/>
      </w:tblPr>
      <w:tblGrid>
        <w:gridCol w:w="3654"/>
        <w:gridCol w:w="2437"/>
      </w:tblGrid>
      <w:tr w:rsidR="005A47F3" w:rsidRPr="008946B0" w14:paraId="489E520F" w14:textId="77777777" w:rsidTr="00B25DE4">
        <w:trPr>
          <w:cantSplit/>
          <w:tblHeader/>
          <w:jc w:val="center"/>
        </w:trPr>
        <w:tc>
          <w:tcPr>
            <w:tcW w:w="3654" w:type="dxa"/>
            <w:tcBorders>
              <w:right w:val="single" w:sz="8" w:space="0" w:color="FFFFFF"/>
            </w:tcBorders>
            <w:shd w:val="clear" w:color="auto" w:fill="D2232A"/>
            <w:vAlign w:val="center"/>
          </w:tcPr>
          <w:p w14:paraId="16DCF868" w14:textId="77777777" w:rsidR="005A47F3" w:rsidRPr="008946B0" w:rsidRDefault="00AB77EF">
            <w:pPr>
              <w:spacing w:before="120" w:after="120"/>
              <w:jc w:val="center"/>
              <w:rPr>
                <w:b/>
                <w:color w:val="FFFFFF"/>
                <w:lang w:val="en-GB"/>
              </w:rPr>
            </w:pPr>
            <w:r w:rsidRPr="008946B0">
              <w:rPr>
                <w:b/>
                <w:color w:val="FFFFFF"/>
                <w:lang w:val="en-GB"/>
              </w:rPr>
              <w:t>Critical application</w:t>
            </w:r>
          </w:p>
        </w:tc>
        <w:tc>
          <w:tcPr>
            <w:tcW w:w="2437" w:type="dxa"/>
            <w:tcBorders>
              <w:left w:val="single" w:sz="8" w:space="0" w:color="FFFFFF"/>
              <w:right w:val="single" w:sz="8" w:space="0" w:color="FFFFFF"/>
            </w:tcBorders>
            <w:shd w:val="clear" w:color="auto" w:fill="D2232A"/>
            <w:vAlign w:val="center"/>
          </w:tcPr>
          <w:p w14:paraId="36327424" w14:textId="4ABAE214" w:rsidR="005A47F3" w:rsidRPr="008946B0" w:rsidRDefault="00AB77EF" w:rsidP="001F4773">
            <w:pPr>
              <w:spacing w:before="120" w:after="120"/>
              <w:jc w:val="center"/>
              <w:rPr>
                <w:b/>
                <w:color w:val="FFFFFF"/>
                <w:lang w:val="en-GB"/>
              </w:rPr>
            </w:pPr>
            <w:r w:rsidRPr="008946B0">
              <w:rPr>
                <w:b/>
                <w:color w:val="FFFFFF"/>
                <w:lang w:val="en-GB"/>
              </w:rPr>
              <w:t>Applicable</w:t>
            </w:r>
            <w:r w:rsidR="001F4773" w:rsidRPr="008946B0">
              <w:rPr>
                <w:b/>
                <w:color w:val="FFFFFF"/>
                <w:lang w:val="en-GB"/>
              </w:rPr>
              <w:t xml:space="preserve"> during</w:t>
            </w:r>
            <w:r w:rsidRPr="008946B0">
              <w:rPr>
                <w:b/>
                <w:color w:val="FFFFFF"/>
                <w:lang w:val="en-GB"/>
              </w:rPr>
              <w:br/>
              <w:t>the migration?</w:t>
            </w:r>
          </w:p>
        </w:tc>
      </w:tr>
      <w:tr w:rsidR="005A47F3" w:rsidRPr="008946B0" w14:paraId="242B4492" w14:textId="77777777" w:rsidTr="00B25DE4">
        <w:trPr>
          <w:cantSplit/>
          <w:jc w:val="center"/>
        </w:trPr>
        <w:tc>
          <w:tcPr>
            <w:tcW w:w="3654" w:type="dxa"/>
            <w:vAlign w:val="center"/>
          </w:tcPr>
          <w:p w14:paraId="7CBEE023" w14:textId="77777777" w:rsidR="005A47F3" w:rsidRPr="008946B0" w:rsidRDefault="00AB77EF">
            <w:pPr>
              <w:pStyle w:val="ECCTabletext"/>
              <w:jc w:val="left"/>
            </w:pPr>
            <w:r w:rsidRPr="008946B0">
              <w:t>Operational voice</w:t>
            </w:r>
            <w:r w:rsidRPr="008946B0">
              <w:rPr>
                <w:rStyle w:val="FootnoteReference"/>
              </w:rPr>
              <w:footnoteReference w:id="8"/>
            </w:r>
          </w:p>
        </w:tc>
        <w:tc>
          <w:tcPr>
            <w:tcW w:w="2437" w:type="dxa"/>
            <w:vAlign w:val="center"/>
          </w:tcPr>
          <w:p w14:paraId="41A9A4FD" w14:textId="77777777" w:rsidR="005A47F3" w:rsidRPr="008946B0" w:rsidRDefault="00AB77EF">
            <w:pPr>
              <w:pStyle w:val="ECCTabletext"/>
              <w:jc w:val="left"/>
            </w:pPr>
            <w:r w:rsidRPr="008946B0">
              <w:t>Yes</w:t>
            </w:r>
          </w:p>
        </w:tc>
      </w:tr>
      <w:tr w:rsidR="005A47F3" w:rsidRPr="008946B0" w14:paraId="6E83BE70" w14:textId="77777777" w:rsidTr="00B25DE4">
        <w:trPr>
          <w:cantSplit/>
          <w:jc w:val="center"/>
        </w:trPr>
        <w:tc>
          <w:tcPr>
            <w:tcW w:w="3654" w:type="dxa"/>
            <w:vAlign w:val="center"/>
          </w:tcPr>
          <w:p w14:paraId="2AF25388" w14:textId="77777777" w:rsidR="005A47F3" w:rsidRPr="008946B0" w:rsidRDefault="00AB77EF">
            <w:pPr>
              <w:pStyle w:val="ECCTabletext"/>
              <w:jc w:val="left"/>
            </w:pPr>
            <w:r w:rsidRPr="008946B0">
              <w:t>Shunting voice</w:t>
            </w:r>
          </w:p>
        </w:tc>
        <w:tc>
          <w:tcPr>
            <w:tcW w:w="2437" w:type="dxa"/>
            <w:vAlign w:val="center"/>
          </w:tcPr>
          <w:p w14:paraId="2D7B4E9E" w14:textId="7425D4F7" w:rsidR="005A47F3" w:rsidRPr="008946B0" w:rsidRDefault="00AB77EF" w:rsidP="00727A4B">
            <w:pPr>
              <w:pStyle w:val="ECCTabletext"/>
              <w:jc w:val="left"/>
            </w:pPr>
            <w:r w:rsidRPr="008946B0">
              <w:t>No</w:t>
            </w:r>
          </w:p>
        </w:tc>
      </w:tr>
      <w:tr w:rsidR="005A47F3" w:rsidRPr="008946B0" w14:paraId="6D5D5253" w14:textId="77777777" w:rsidTr="00B25DE4">
        <w:trPr>
          <w:cantSplit/>
          <w:jc w:val="center"/>
        </w:trPr>
        <w:tc>
          <w:tcPr>
            <w:tcW w:w="3654" w:type="dxa"/>
            <w:vAlign w:val="center"/>
          </w:tcPr>
          <w:p w14:paraId="4F2DD3FC" w14:textId="77777777" w:rsidR="005A47F3" w:rsidRPr="008946B0" w:rsidRDefault="00AB77EF">
            <w:pPr>
              <w:pStyle w:val="ECCTabletext"/>
              <w:jc w:val="left"/>
            </w:pPr>
            <w:r w:rsidRPr="008946B0">
              <w:t>Emergency call 112</w:t>
            </w:r>
          </w:p>
        </w:tc>
        <w:tc>
          <w:tcPr>
            <w:tcW w:w="2437" w:type="dxa"/>
            <w:vAlign w:val="center"/>
          </w:tcPr>
          <w:p w14:paraId="2C2A49C8" w14:textId="77777777" w:rsidR="005A47F3" w:rsidRPr="008946B0" w:rsidRDefault="00AB77EF">
            <w:pPr>
              <w:pStyle w:val="ECCTabletext"/>
              <w:jc w:val="left"/>
            </w:pPr>
            <w:r w:rsidRPr="008946B0">
              <w:t>Yes</w:t>
            </w:r>
          </w:p>
        </w:tc>
      </w:tr>
      <w:tr w:rsidR="005A47F3" w:rsidRPr="008946B0" w14:paraId="13796AF7" w14:textId="77777777" w:rsidTr="00B25DE4">
        <w:trPr>
          <w:cantSplit/>
          <w:jc w:val="center"/>
        </w:trPr>
        <w:tc>
          <w:tcPr>
            <w:tcW w:w="3654" w:type="dxa"/>
            <w:vAlign w:val="center"/>
          </w:tcPr>
          <w:p w14:paraId="302C1DBC" w14:textId="77777777" w:rsidR="005A47F3" w:rsidRPr="008946B0" w:rsidRDefault="00AB77EF">
            <w:pPr>
              <w:pStyle w:val="ECCTabletext"/>
              <w:jc w:val="left"/>
            </w:pPr>
            <w:r w:rsidRPr="008946B0">
              <w:t>Alert from the public</w:t>
            </w:r>
          </w:p>
        </w:tc>
        <w:tc>
          <w:tcPr>
            <w:tcW w:w="2437" w:type="dxa"/>
            <w:vAlign w:val="center"/>
          </w:tcPr>
          <w:p w14:paraId="277D7836" w14:textId="77777777" w:rsidR="005A47F3" w:rsidRPr="008946B0" w:rsidRDefault="00AB77EF">
            <w:pPr>
              <w:pStyle w:val="ECCTabletext"/>
              <w:jc w:val="left"/>
            </w:pPr>
            <w:r w:rsidRPr="008946B0">
              <w:t>No</w:t>
            </w:r>
          </w:p>
        </w:tc>
      </w:tr>
      <w:tr w:rsidR="005A47F3" w:rsidRPr="008946B0" w14:paraId="340BD05C" w14:textId="77777777" w:rsidTr="00B25DE4">
        <w:trPr>
          <w:cantSplit/>
          <w:jc w:val="center"/>
        </w:trPr>
        <w:tc>
          <w:tcPr>
            <w:tcW w:w="3654" w:type="dxa"/>
            <w:vAlign w:val="center"/>
          </w:tcPr>
          <w:p w14:paraId="340933D0" w14:textId="77777777" w:rsidR="005A47F3" w:rsidRPr="008946B0" w:rsidRDefault="00AB77EF">
            <w:pPr>
              <w:pStyle w:val="ECCTabletext"/>
              <w:jc w:val="left"/>
            </w:pPr>
            <w:r w:rsidRPr="008946B0">
              <w:t>Alert to the public</w:t>
            </w:r>
          </w:p>
        </w:tc>
        <w:tc>
          <w:tcPr>
            <w:tcW w:w="2437" w:type="dxa"/>
            <w:vAlign w:val="center"/>
          </w:tcPr>
          <w:p w14:paraId="6015813C" w14:textId="77777777" w:rsidR="005A47F3" w:rsidRPr="008946B0" w:rsidRDefault="00AB77EF">
            <w:pPr>
              <w:pStyle w:val="ECCTabletext"/>
              <w:jc w:val="left"/>
            </w:pPr>
            <w:r w:rsidRPr="008946B0">
              <w:t>No</w:t>
            </w:r>
          </w:p>
        </w:tc>
      </w:tr>
      <w:tr w:rsidR="005A47F3" w:rsidRPr="008946B0" w14:paraId="4A2C05CF" w14:textId="77777777" w:rsidTr="00B25DE4">
        <w:trPr>
          <w:cantSplit/>
          <w:jc w:val="center"/>
        </w:trPr>
        <w:tc>
          <w:tcPr>
            <w:tcW w:w="3654" w:type="dxa"/>
            <w:vAlign w:val="center"/>
          </w:tcPr>
          <w:p w14:paraId="44453309" w14:textId="77777777" w:rsidR="005A47F3" w:rsidRPr="008946B0" w:rsidRDefault="00AB77EF">
            <w:pPr>
              <w:pStyle w:val="ECCTabletext"/>
              <w:jc w:val="left"/>
            </w:pPr>
            <w:r w:rsidRPr="008946B0">
              <w:t>ETCS</w:t>
            </w:r>
          </w:p>
        </w:tc>
        <w:tc>
          <w:tcPr>
            <w:tcW w:w="2437" w:type="dxa"/>
            <w:vAlign w:val="center"/>
          </w:tcPr>
          <w:p w14:paraId="2DC3C367" w14:textId="77777777" w:rsidR="005A47F3" w:rsidRPr="008946B0" w:rsidRDefault="00AB77EF">
            <w:pPr>
              <w:pStyle w:val="ECCTabletext"/>
              <w:jc w:val="left"/>
            </w:pPr>
            <w:r w:rsidRPr="008946B0">
              <w:t>Yes</w:t>
            </w:r>
          </w:p>
        </w:tc>
      </w:tr>
      <w:tr w:rsidR="005A47F3" w:rsidRPr="008946B0" w14:paraId="6468D550" w14:textId="77777777" w:rsidTr="00B25DE4">
        <w:trPr>
          <w:cantSplit/>
          <w:jc w:val="center"/>
        </w:trPr>
        <w:tc>
          <w:tcPr>
            <w:tcW w:w="3654" w:type="dxa"/>
            <w:vAlign w:val="center"/>
          </w:tcPr>
          <w:p w14:paraId="15E7A34E" w14:textId="77777777" w:rsidR="005A47F3" w:rsidRPr="008946B0" w:rsidRDefault="00AB77EF">
            <w:pPr>
              <w:pStyle w:val="ECCTabletext"/>
              <w:jc w:val="left"/>
            </w:pPr>
            <w:r w:rsidRPr="008946B0">
              <w:t>ATO</w:t>
            </w:r>
          </w:p>
        </w:tc>
        <w:tc>
          <w:tcPr>
            <w:tcW w:w="2437" w:type="dxa"/>
            <w:vAlign w:val="center"/>
          </w:tcPr>
          <w:p w14:paraId="7270974A" w14:textId="77777777" w:rsidR="005A47F3" w:rsidRPr="008946B0" w:rsidRDefault="00AB77EF">
            <w:pPr>
              <w:pStyle w:val="ECCTabletext"/>
              <w:jc w:val="left"/>
            </w:pPr>
            <w:r w:rsidRPr="008946B0">
              <w:t>Yes</w:t>
            </w:r>
          </w:p>
        </w:tc>
      </w:tr>
      <w:tr w:rsidR="005A47F3" w:rsidRPr="008946B0" w14:paraId="554B420F" w14:textId="77777777" w:rsidTr="00B25DE4">
        <w:trPr>
          <w:cantSplit/>
          <w:jc w:val="center"/>
        </w:trPr>
        <w:tc>
          <w:tcPr>
            <w:tcW w:w="3654" w:type="dxa"/>
            <w:vAlign w:val="center"/>
          </w:tcPr>
          <w:p w14:paraId="24CC3967" w14:textId="77777777" w:rsidR="005A47F3" w:rsidRPr="008946B0" w:rsidRDefault="00AB77EF">
            <w:pPr>
              <w:pStyle w:val="ECCTabletext"/>
              <w:jc w:val="left"/>
            </w:pPr>
            <w:r w:rsidRPr="008946B0">
              <w:t>Remote control of engine</w:t>
            </w:r>
          </w:p>
        </w:tc>
        <w:tc>
          <w:tcPr>
            <w:tcW w:w="2437" w:type="dxa"/>
            <w:vAlign w:val="center"/>
          </w:tcPr>
          <w:p w14:paraId="49C2E801" w14:textId="77777777" w:rsidR="005A47F3" w:rsidRPr="008946B0" w:rsidRDefault="00AB77EF">
            <w:pPr>
              <w:pStyle w:val="ECCTabletext"/>
              <w:jc w:val="left"/>
            </w:pPr>
            <w:r w:rsidRPr="008946B0">
              <w:t>Yes</w:t>
            </w:r>
          </w:p>
        </w:tc>
      </w:tr>
      <w:tr w:rsidR="005A47F3" w:rsidRPr="008946B0" w14:paraId="357893FD" w14:textId="77777777" w:rsidTr="00B25DE4">
        <w:trPr>
          <w:cantSplit/>
          <w:jc w:val="center"/>
        </w:trPr>
        <w:tc>
          <w:tcPr>
            <w:tcW w:w="3654" w:type="dxa"/>
            <w:vAlign w:val="center"/>
          </w:tcPr>
          <w:p w14:paraId="43320F2B" w14:textId="77777777" w:rsidR="005A47F3" w:rsidRPr="008946B0" w:rsidRDefault="00AB77EF">
            <w:pPr>
              <w:pStyle w:val="ECCTabletext"/>
              <w:jc w:val="left"/>
            </w:pPr>
            <w:r w:rsidRPr="008946B0">
              <w:t>Train integrity</w:t>
            </w:r>
          </w:p>
        </w:tc>
        <w:tc>
          <w:tcPr>
            <w:tcW w:w="2437" w:type="dxa"/>
            <w:vAlign w:val="center"/>
          </w:tcPr>
          <w:p w14:paraId="727CB6AA" w14:textId="77777777" w:rsidR="005A47F3" w:rsidRPr="008946B0" w:rsidRDefault="00AB77EF">
            <w:pPr>
              <w:pStyle w:val="ECCTabletext"/>
              <w:jc w:val="left"/>
            </w:pPr>
            <w:r w:rsidRPr="008946B0">
              <w:t>No</w:t>
            </w:r>
          </w:p>
        </w:tc>
      </w:tr>
      <w:tr w:rsidR="005A47F3" w:rsidRPr="008946B0" w14:paraId="0DC29C98" w14:textId="77777777" w:rsidTr="00B25DE4">
        <w:trPr>
          <w:cantSplit/>
          <w:jc w:val="center"/>
        </w:trPr>
        <w:tc>
          <w:tcPr>
            <w:tcW w:w="3654" w:type="dxa"/>
            <w:vAlign w:val="center"/>
          </w:tcPr>
          <w:p w14:paraId="6DD2310A" w14:textId="77777777" w:rsidR="005A47F3" w:rsidRPr="008946B0" w:rsidRDefault="00AB77EF">
            <w:pPr>
              <w:pStyle w:val="ECCTabletext"/>
              <w:jc w:val="left"/>
            </w:pPr>
            <w:r w:rsidRPr="008946B0">
              <w:t>Advisory messaging</w:t>
            </w:r>
          </w:p>
        </w:tc>
        <w:tc>
          <w:tcPr>
            <w:tcW w:w="2437" w:type="dxa"/>
            <w:vAlign w:val="center"/>
          </w:tcPr>
          <w:p w14:paraId="33B04E8F" w14:textId="77777777" w:rsidR="005A47F3" w:rsidRPr="008946B0" w:rsidRDefault="00AB77EF">
            <w:pPr>
              <w:pStyle w:val="ECCTabletext"/>
              <w:jc w:val="left"/>
            </w:pPr>
            <w:r w:rsidRPr="008946B0">
              <w:t>No</w:t>
            </w:r>
          </w:p>
        </w:tc>
      </w:tr>
      <w:tr w:rsidR="005A47F3" w:rsidRPr="008946B0" w14:paraId="76F91D60" w14:textId="77777777" w:rsidTr="00B25DE4">
        <w:trPr>
          <w:cantSplit/>
          <w:jc w:val="center"/>
        </w:trPr>
        <w:tc>
          <w:tcPr>
            <w:tcW w:w="3654" w:type="dxa"/>
            <w:vAlign w:val="center"/>
          </w:tcPr>
          <w:p w14:paraId="7DFE221F" w14:textId="77777777" w:rsidR="005A47F3" w:rsidRPr="008946B0" w:rsidRDefault="00AB77EF">
            <w:pPr>
              <w:pStyle w:val="ECCTabletext"/>
              <w:jc w:val="left"/>
            </w:pPr>
            <w:r w:rsidRPr="008946B0">
              <w:t>On-train telemetry &amp; equipment control</w:t>
            </w:r>
          </w:p>
        </w:tc>
        <w:tc>
          <w:tcPr>
            <w:tcW w:w="2437" w:type="dxa"/>
            <w:vAlign w:val="center"/>
          </w:tcPr>
          <w:p w14:paraId="196FF43A" w14:textId="77777777" w:rsidR="005A47F3" w:rsidRPr="008946B0" w:rsidRDefault="00AB77EF">
            <w:pPr>
              <w:pStyle w:val="ECCTabletext"/>
              <w:jc w:val="left"/>
            </w:pPr>
            <w:r w:rsidRPr="008946B0">
              <w:t>No</w:t>
            </w:r>
          </w:p>
        </w:tc>
      </w:tr>
      <w:tr w:rsidR="005A47F3" w:rsidRPr="008946B0" w14:paraId="67FADEB4" w14:textId="77777777" w:rsidTr="00B25DE4">
        <w:trPr>
          <w:cantSplit/>
          <w:jc w:val="center"/>
        </w:trPr>
        <w:tc>
          <w:tcPr>
            <w:tcW w:w="3654" w:type="dxa"/>
            <w:vAlign w:val="center"/>
          </w:tcPr>
          <w:p w14:paraId="4DE8D094" w14:textId="77777777" w:rsidR="005A47F3" w:rsidRPr="008946B0" w:rsidRDefault="00AB77EF">
            <w:pPr>
              <w:pStyle w:val="ECCTabletext"/>
              <w:jc w:val="left"/>
            </w:pPr>
            <w:r w:rsidRPr="008946B0">
              <w:t xml:space="preserve">Critical sensing/video </w:t>
            </w:r>
            <w:r w:rsidR="000D76E9" w:rsidRPr="008946B0">
              <w:t>Note 1</w:t>
            </w:r>
            <w:r w:rsidRPr="008946B0">
              <w:br/>
              <w:t>(e.g. object/person detection or video in degraded mode)</w:t>
            </w:r>
          </w:p>
        </w:tc>
        <w:tc>
          <w:tcPr>
            <w:tcW w:w="2437" w:type="dxa"/>
            <w:vAlign w:val="center"/>
          </w:tcPr>
          <w:p w14:paraId="77969C66" w14:textId="77777777" w:rsidR="005A47F3" w:rsidRPr="008946B0" w:rsidRDefault="00AB77EF">
            <w:pPr>
              <w:pStyle w:val="ECCTabletext"/>
              <w:jc w:val="left"/>
            </w:pPr>
            <w:r w:rsidRPr="008946B0">
              <w:t>Yes</w:t>
            </w:r>
          </w:p>
        </w:tc>
      </w:tr>
      <w:tr w:rsidR="0098003A" w:rsidRPr="008946B0" w14:paraId="0E24B48E" w14:textId="77777777" w:rsidTr="00B25DE4">
        <w:trPr>
          <w:cantSplit/>
          <w:jc w:val="center"/>
        </w:trPr>
        <w:tc>
          <w:tcPr>
            <w:tcW w:w="6091" w:type="dxa"/>
            <w:gridSpan w:val="2"/>
            <w:vAlign w:val="center"/>
          </w:tcPr>
          <w:p w14:paraId="51D25C1D" w14:textId="24F8E390" w:rsidR="0098003A" w:rsidRPr="008946B0" w:rsidRDefault="0098003A" w:rsidP="00E66414">
            <w:pPr>
              <w:pStyle w:val="ECCTablenote"/>
            </w:pPr>
            <w:r w:rsidRPr="008946B0">
              <w:rPr>
                <w:rFonts w:eastAsia="Calibri"/>
              </w:rPr>
              <w:t>Note 1: H.264 and H.265 video codecs have been assumed.</w:t>
            </w:r>
          </w:p>
        </w:tc>
      </w:tr>
    </w:tbl>
    <w:p w14:paraId="5E6A1658" w14:textId="7F4BE261"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This table is a condensed version of the applications on which the traffic model </w:t>
      </w:r>
      <w:r w:rsidRPr="008946B0">
        <w:rPr>
          <w:rFonts w:eastAsia="Calibri"/>
          <w:szCs w:val="22"/>
          <w:lang w:val="en-GB"/>
        </w:rPr>
        <w:fldChar w:fldCharType="begin"/>
      </w:r>
      <w:r w:rsidRPr="008946B0">
        <w:rPr>
          <w:rFonts w:eastAsia="Calibri"/>
          <w:szCs w:val="22"/>
          <w:lang w:val="en-GB"/>
        </w:rPr>
        <w:instrText xml:space="preserve"> REF _Ref499978451 \r \h  \* MERGEFORMAT </w:instrText>
      </w:r>
      <w:r w:rsidRPr="008946B0">
        <w:rPr>
          <w:rFonts w:eastAsia="Calibri"/>
          <w:szCs w:val="22"/>
          <w:lang w:val="en-GB"/>
        </w:rPr>
      </w:r>
      <w:r w:rsidRPr="008946B0">
        <w:rPr>
          <w:rFonts w:eastAsia="Calibri"/>
          <w:szCs w:val="22"/>
          <w:lang w:val="en-GB"/>
        </w:rPr>
        <w:fldChar w:fldCharType="separate"/>
      </w:r>
      <w:r w:rsidR="00CF6E1D" w:rsidRPr="008946B0">
        <w:rPr>
          <w:rFonts w:eastAsia="Calibri"/>
          <w:szCs w:val="22"/>
          <w:lang w:val="en-GB"/>
        </w:rPr>
        <w:t>[10]</w:t>
      </w:r>
      <w:r w:rsidRPr="008946B0">
        <w:rPr>
          <w:rFonts w:eastAsia="Calibri"/>
          <w:szCs w:val="22"/>
          <w:lang w:val="en-GB"/>
        </w:rPr>
        <w:fldChar w:fldCharType="end"/>
      </w:r>
      <w:r w:rsidRPr="008946B0">
        <w:rPr>
          <w:rFonts w:eastAsia="Calibri"/>
          <w:szCs w:val="22"/>
          <w:lang w:val="en-GB"/>
        </w:rPr>
        <w:t xml:space="preserve"> has been developed.</w:t>
      </w:r>
    </w:p>
    <w:p w14:paraId="26E81CA4" w14:textId="19D4A7DA" w:rsidR="005A47F3" w:rsidRPr="008946B0" w:rsidRDefault="0026027B">
      <w:pPr>
        <w:pStyle w:val="Heading2"/>
        <w:rPr>
          <w:lang w:val="en-GB"/>
        </w:rPr>
      </w:pPr>
      <w:bookmarkStart w:id="22" w:name="_Ref34309003"/>
      <w:bookmarkStart w:id="23" w:name="_Toc42722818"/>
      <w:r w:rsidRPr="008946B0">
        <w:rPr>
          <w:lang w:val="en-GB"/>
        </w:rPr>
        <w:t xml:space="preserve">FRMCS </w:t>
      </w:r>
      <w:r w:rsidR="00AB77EF" w:rsidRPr="008946B0">
        <w:rPr>
          <w:lang w:val="en-GB"/>
        </w:rPr>
        <w:t>Throughput required by critical applications during the migration</w:t>
      </w:r>
      <w:bookmarkEnd w:id="22"/>
      <w:bookmarkEnd w:id="23"/>
    </w:p>
    <w:p w14:paraId="319F7DEB" w14:textId="4CF90FD8"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Based on the subset of critical applications required during the migration period, as shown in </w:t>
      </w:r>
      <w:r w:rsidRPr="008946B0">
        <w:rPr>
          <w:rFonts w:eastAsia="Calibri"/>
          <w:szCs w:val="22"/>
          <w:lang w:val="en-GB"/>
        </w:rPr>
        <w:fldChar w:fldCharType="begin"/>
      </w:r>
      <w:r w:rsidRPr="008946B0">
        <w:rPr>
          <w:rFonts w:eastAsia="Calibri"/>
          <w:szCs w:val="22"/>
          <w:lang w:val="en-GB"/>
        </w:rPr>
        <w:instrText xml:space="preserve"> REF _Ref499979908 \h </w:instrText>
      </w:r>
      <w:r w:rsidRPr="008946B0">
        <w:rPr>
          <w:rFonts w:eastAsia="Calibri"/>
          <w:szCs w:val="22"/>
          <w:lang w:val="en-GB"/>
        </w:rPr>
      </w:r>
      <w:r w:rsidRPr="008946B0">
        <w:rPr>
          <w:rFonts w:eastAsia="Calibri"/>
          <w:szCs w:val="22"/>
          <w:lang w:val="en-GB"/>
        </w:rPr>
        <w:fldChar w:fldCharType="separate"/>
      </w:r>
      <w:r w:rsidRPr="008946B0">
        <w:rPr>
          <w:lang w:val="en-GB"/>
        </w:rPr>
        <w:t>Table 1</w:t>
      </w:r>
      <w:r w:rsidRPr="008946B0">
        <w:rPr>
          <w:rFonts w:eastAsia="Calibri"/>
          <w:szCs w:val="22"/>
          <w:lang w:val="en-GB"/>
        </w:rPr>
        <w:fldChar w:fldCharType="end"/>
      </w:r>
      <w:r w:rsidRPr="008946B0">
        <w:rPr>
          <w:rFonts w:eastAsia="Calibri"/>
          <w:szCs w:val="22"/>
          <w:lang w:val="en-GB"/>
        </w:rPr>
        <w:t>, the following tables identify the traffic to be handled.</w:t>
      </w:r>
    </w:p>
    <w:p w14:paraId="4EAE7F01" w14:textId="039B8225" w:rsidR="005A47F3" w:rsidRPr="008946B0" w:rsidRDefault="00AB77EF">
      <w:pPr>
        <w:pStyle w:val="Caption"/>
        <w:rPr>
          <w:lang w:val="en-GB"/>
        </w:rPr>
      </w:pPr>
      <w:r w:rsidRPr="008946B0">
        <w:rPr>
          <w:lang w:val="en-GB"/>
        </w:rPr>
        <w:t xml:space="preserve">Table </w:t>
      </w:r>
      <w:r w:rsidRPr="008946B0">
        <w:rPr>
          <w:lang w:val="en-GB"/>
        </w:rPr>
        <w:fldChar w:fldCharType="begin"/>
      </w:r>
      <w:r w:rsidRPr="008946B0">
        <w:rPr>
          <w:lang w:val="en-GB"/>
        </w:rPr>
        <w:instrText xml:space="preserve"> SEQ Table \* ARABIC </w:instrText>
      </w:r>
      <w:r w:rsidRPr="008946B0">
        <w:rPr>
          <w:lang w:val="en-GB"/>
        </w:rPr>
        <w:fldChar w:fldCharType="separate"/>
      </w:r>
      <w:r w:rsidR="00CF6E1D" w:rsidRPr="008946B0">
        <w:rPr>
          <w:lang w:val="en-GB"/>
        </w:rPr>
        <w:t>2</w:t>
      </w:r>
      <w:r w:rsidRPr="008946B0">
        <w:rPr>
          <w:lang w:val="en-GB"/>
        </w:rPr>
        <w:fldChar w:fldCharType="end"/>
      </w:r>
      <w:r w:rsidRPr="008946B0">
        <w:rPr>
          <w:lang w:val="en-GB"/>
        </w:rPr>
        <w:t xml:space="preserve">: Traffic during the migration for each area type, </w:t>
      </w:r>
      <w:r w:rsidRPr="008946B0">
        <w:rPr>
          <w:u w:val="single"/>
          <w:lang w:val="en-GB"/>
        </w:rPr>
        <w:t>including</w:t>
      </w:r>
      <w:r w:rsidRPr="008946B0">
        <w:rPr>
          <w:lang w:val="en-GB"/>
        </w:rPr>
        <w:t xml:space="preserve"> critical video</w:t>
      </w:r>
    </w:p>
    <w:tbl>
      <w:tblPr>
        <w:tblW w:w="8739"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4A0" w:firstRow="1" w:lastRow="0" w:firstColumn="1" w:lastColumn="0" w:noHBand="0" w:noVBand="1"/>
      </w:tblPr>
      <w:tblGrid>
        <w:gridCol w:w="1387"/>
        <w:gridCol w:w="1367"/>
        <w:gridCol w:w="1367"/>
        <w:gridCol w:w="1367"/>
        <w:gridCol w:w="1037"/>
        <w:gridCol w:w="1107"/>
        <w:gridCol w:w="1107"/>
      </w:tblGrid>
      <w:tr w:rsidR="005A47F3" w:rsidRPr="008946B0" w14:paraId="5EE3677F" w14:textId="77777777">
        <w:trPr>
          <w:cantSplit/>
          <w:tblHeader/>
          <w:jc w:val="center"/>
        </w:trPr>
        <w:tc>
          <w:tcPr>
            <w:tcW w:w="1387" w:type="dxa"/>
            <w:tcBorders>
              <w:right w:val="single" w:sz="8" w:space="0" w:color="FFFFFF"/>
            </w:tcBorders>
            <w:shd w:val="clear" w:color="auto" w:fill="D2232A"/>
            <w:vAlign w:val="center"/>
          </w:tcPr>
          <w:p w14:paraId="174B3304" w14:textId="77777777" w:rsidR="005A47F3" w:rsidRPr="008946B0" w:rsidRDefault="005A47F3">
            <w:pPr>
              <w:keepNext/>
              <w:spacing w:line="288" w:lineRule="auto"/>
              <w:rPr>
                <w:b/>
                <w:color w:val="FFFFFF"/>
                <w:sz w:val="18"/>
                <w:lang w:val="en-GB"/>
              </w:rPr>
            </w:pPr>
          </w:p>
        </w:tc>
        <w:tc>
          <w:tcPr>
            <w:tcW w:w="1367" w:type="dxa"/>
            <w:tcBorders>
              <w:left w:val="single" w:sz="8" w:space="0" w:color="FFFFFF"/>
              <w:right w:val="single" w:sz="8" w:space="0" w:color="FFFFFF"/>
            </w:tcBorders>
            <w:shd w:val="clear" w:color="auto" w:fill="D2232A"/>
            <w:vAlign w:val="center"/>
          </w:tcPr>
          <w:p w14:paraId="3AF0D846"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DL traffic</w:t>
            </w:r>
          </w:p>
          <w:p w14:paraId="44A5DBA2"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per ref. train</w:t>
            </w:r>
          </w:p>
          <w:p w14:paraId="29E7A667"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(Mb/s)</w:t>
            </w:r>
          </w:p>
        </w:tc>
        <w:tc>
          <w:tcPr>
            <w:tcW w:w="1367" w:type="dxa"/>
            <w:tcBorders>
              <w:left w:val="single" w:sz="8" w:space="0" w:color="FFFFFF"/>
              <w:right w:val="single" w:sz="8" w:space="0" w:color="FFFFFF"/>
            </w:tcBorders>
            <w:shd w:val="clear" w:color="auto" w:fill="D2232A"/>
            <w:vAlign w:val="center"/>
          </w:tcPr>
          <w:p w14:paraId="36E77B03"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UL traffic</w:t>
            </w:r>
          </w:p>
          <w:p w14:paraId="6966E167"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per ref. train</w:t>
            </w:r>
          </w:p>
          <w:p w14:paraId="2AE218EA"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(Mb/s)</w:t>
            </w:r>
          </w:p>
        </w:tc>
        <w:tc>
          <w:tcPr>
            <w:tcW w:w="1367" w:type="dxa"/>
            <w:tcBorders>
              <w:left w:val="single" w:sz="8" w:space="0" w:color="FFFFFF"/>
              <w:right w:val="single" w:sz="8" w:space="0" w:color="FFFFFF"/>
            </w:tcBorders>
            <w:shd w:val="clear" w:color="auto" w:fill="D2232A"/>
            <w:vAlign w:val="center"/>
          </w:tcPr>
          <w:p w14:paraId="3EE2A372"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Nb. of trains</w:t>
            </w:r>
          </w:p>
          <w:p w14:paraId="17A52F79"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per km</w:t>
            </w:r>
          </w:p>
        </w:tc>
        <w:tc>
          <w:tcPr>
            <w:tcW w:w="1037" w:type="dxa"/>
            <w:tcBorders>
              <w:left w:val="single" w:sz="8" w:space="0" w:color="FFFFFF"/>
              <w:right w:val="single" w:sz="8" w:space="0" w:color="FFFFFF"/>
            </w:tcBorders>
            <w:shd w:val="clear" w:color="auto" w:fill="D2232A"/>
            <w:vAlign w:val="center"/>
          </w:tcPr>
          <w:p w14:paraId="371AED61"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Cell size</w:t>
            </w:r>
          </w:p>
          <w:p w14:paraId="1F117376"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(km)</w:t>
            </w:r>
          </w:p>
        </w:tc>
        <w:tc>
          <w:tcPr>
            <w:tcW w:w="1107" w:type="dxa"/>
            <w:tcBorders>
              <w:left w:val="single" w:sz="8" w:space="0" w:color="FFFFFF"/>
              <w:right w:val="single" w:sz="8" w:space="0" w:color="FFFFFF"/>
            </w:tcBorders>
            <w:shd w:val="clear" w:color="auto" w:fill="D2232A"/>
            <w:vAlign w:val="center"/>
          </w:tcPr>
          <w:p w14:paraId="7B874BCE"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DL traffic</w:t>
            </w:r>
          </w:p>
          <w:p w14:paraId="10742B27"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per cell</w:t>
            </w:r>
          </w:p>
          <w:p w14:paraId="53A840D2"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(Mb/s)</w:t>
            </w:r>
          </w:p>
        </w:tc>
        <w:tc>
          <w:tcPr>
            <w:tcW w:w="1107" w:type="dxa"/>
            <w:tcBorders>
              <w:left w:val="single" w:sz="8" w:space="0" w:color="FFFFFF"/>
              <w:right w:val="single" w:sz="8" w:space="0" w:color="FFFFFF"/>
            </w:tcBorders>
            <w:shd w:val="clear" w:color="auto" w:fill="D2232A"/>
            <w:vAlign w:val="center"/>
          </w:tcPr>
          <w:p w14:paraId="78CBA754"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UL traffic</w:t>
            </w:r>
          </w:p>
          <w:p w14:paraId="37DF4910"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per cell</w:t>
            </w:r>
          </w:p>
          <w:p w14:paraId="0C02B4EC"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(Mb/s)</w:t>
            </w:r>
          </w:p>
        </w:tc>
      </w:tr>
      <w:tr w:rsidR="005A47F3" w:rsidRPr="008946B0" w14:paraId="6BFB9DC0" w14:textId="77777777">
        <w:trPr>
          <w:cantSplit/>
          <w:jc w:val="center"/>
        </w:trPr>
        <w:tc>
          <w:tcPr>
            <w:tcW w:w="1387" w:type="dxa"/>
            <w:vAlign w:val="center"/>
          </w:tcPr>
          <w:p w14:paraId="550661F4" w14:textId="23E71007" w:rsidR="005A47F3" w:rsidRPr="008946B0" w:rsidRDefault="00AB77EF">
            <w:pPr>
              <w:spacing w:after="60"/>
              <w:rPr>
                <w:rFonts w:eastAsia="Calibri"/>
                <w:szCs w:val="22"/>
                <w:lang w:val="en-GB"/>
              </w:rPr>
            </w:pPr>
            <w:r w:rsidRPr="008946B0">
              <w:rPr>
                <w:rFonts w:eastAsia="Calibri"/>
                <w:szCs w:val="22"/>
                <w:lang w:val="en-GB"/>
              </w:rPr>
              <w:t>Low</w:t>
            </w:r>
            <w:r w:rsidR="002374ED">
              <w:rPr>
                <w:rFonts w:eastAsia="Calibri"/>
                <w:szCs w:val="22"/>
                <w:lang w:val="en-GB"/>
              </w:rPr>
              <w:t>-</w:t>
            </w:r>
            <w:r w:rsidRPr="008946B0">
              <w:rPr>
                <w:rFonts w:eastAsia="Calibri"/>
                <w:szCs w:val="22"/>
                <w:lang w:val="en-GB"/>
              </w:rPr>
              <w:t>density</w:t>
            </w:r>
            <w:r w:rsidRPr="008946B0">
              <w:rPr>
                <w:rFonts w:eastAsia="Calibri"/>
                <w:szCs w:val="22"/>
                <w:lang w:val="en-GB"/>
              </w:rPr>
              <w:br/>
              <w:t>rail segment</w:t>
            </w:r>
          </w:p>
        </w:tc>
        <w:tc>
          <w:tcPr>
            <w:tcW w:w="1367" w:type="dxa"/>
            <w:vMerge w:val="restart"/>
            <w:vAlign w:val="center"/>
          </w:tcPr>
          <w:p w14:paraId="70E8C047" w14:textId="77777777" w:rsidR="005A47F3" w:rsidRPr="008946B0" w:rsidRDefault="00AB77EF">
            <w:pPr>
              <w:spacing w:after="60"/>
              <w:jc w:val="center"/>
              <w:rPr>
                <w:rFonts w:eastAsia="Calibri"/>
                <w:szCs w:val="22"/>
                <w:lang w:val="en-GB"/>
              </w:rPr>
            </w:pPr>
            <w:r w:rsidRPr="008946B0">
              <w:rPr>
                <w:rFonts w:eastAsia="Calibri"/>
                <w:szCs w:val="22"/>
                <w:lang w:val="en-GB"/>
              </w:rPr>
              <w:t>3.5</w:t>
            </w:r>
          </w:p>
        </w:tc>
        <w:tc>
          <w:tcPr>
            <w:tcW w:w="1367" w:type="dxa"/>
            <w:vMerge w:val="restart"/>
            <w:vAlign w:val="center"/>
          </w:tcPr>
          <w:p w14:paraId="2C25608D" w14:textId="77777777" w:rsidR="005A47F3" w:rsidRPr="008946B0" w:rsidRDefault="00AB77EF">
            <w:pPr>
              <w:spacing w:after="60"/>
              <w:jc w:val="center"/>
              <w:rPr>
                <w:rFonts w:eastAsia="Calibri"/>
                <w:szCs w:val="22"/>
                <w:lang w:val="en-GB"/>
              </w:rPr>
            </w:pPr>
            <w:r w:rsidRPr="008946B0">
              <w:rPr>
                <w:rFonts w:eastAsia="Calibri"/>
                <w:szCs w:val="22"/>
                <w:lang w:val="en-GB"/>
              </w:rPr>
              <w:t>3.49</w:t>
            </w:r>
          </w:p>
        </w:tc>
        <w:tc>
          <w:tcPr>
            <w:tcW w:w="1367" w:type="dxa"/>
            <w:vAlign w:val="center"/>
          </w:tcPr>
          <w:p w14:paraId="30F5C555" w14:textId="77777777" w:rsidR="005A47F3" w:rsidRPr="008946B0" w:rsidRDefault="00AB77EF">
            <w:pPr>
              <w:spacing w:after="60"/>
              <w:jc w:val="center"/>
              <w:rPr>
                <w:rFonts w:eastAsia="Calibri"/>
                <w:szCs w:val="22"/>
                <w:lang w:val="en-GB"/>
              </w:rPr>
            </w:pPr>
            <w:r w:rsidRPr="008946B0">
              <w:rPr>
                <w:rFonts w:eastAsia="Calibri"/>
                <w:szCs w:val="22"/>
                <w:lang w:val="en-GB"/>
              </w:rPr>
              <w:t>0.33</w:t>
            </w:r>
          </w:p>
        </w:tc>
        <w:tc>
          <w:tcPr>
            <w:tcW w:w="1037" w:type="dxa"/>
            <w:vMerge w:val="restart"/>
            <w:vAlign w:val="center"/>
          </w:tcPr>
          <w:p w14:paraId="5FA02BFD" w14:textId="77777777" w:rsidR="005A47F3" w:rsidRPr="008946B0" w:rsidRDefault="00AB77EF">
            <w:pPr>
              <w:spacing w:after="60"/>
              <w:jc w:val="center"/>
              <w:rPr>
                <w:rFonts w:eastAsia="Calibri"/>
                <w:szCs w:val="22"/>
                <w:lang w:val="en-GB"/>
              </w:rPr>
            </w:pPr>
            <w:r w:rsidRPr="008946B0">
              <w:rPr>
                <w:rFonts w:eastAsia="Calibri"/>
                <w:szCs w:val="22"/>
                <w:lang w:val="en-GB"/>
              </w:rPr>
              <w:t>8</w:t>
            </w:r>
          </w:p>
        </w:tc>
        <w:tc>
          <w:tcPr>
            <w:tcW w:w="1107" w:type="dxa"/>
            <w:vAlign w:val="center"/>
          </w:tcPr>
          <w:p w14:paraId="1EC46825" w14:textId="77777777" w:rsidR="005A47F3" w:rsidRPr="008946B0" w:rsidRDefault="00AB77EF">
            <w:pPr>
              <w:spacing w:after="60"/>
              <w:jc w:val="center"/>
              <w:rPr>
                <w:rFonts w:eastAsia="Calibri"/>
                <w:szCs w:val="22"/>
                <w:lang w:val="en-GB"/>
              </w:rPr>
            </w:pPr>
            <w:r w:rsidRPr="008946B0">
              <w:rPr>
                <w:rFonts w:eastAsia="Calibri"/>
                <w:szCs w:val="22"/>
                <w:lang w:val="en-GB"/>
              </w:rPr>
              <w:t>9.24</w:t>
            </w:r>
          </w:p>
        </w:tc>
        <w:tc>
          <w:tcPr>
            <w:tcW w:w="1107" w:type="dxa"/>
            <w:vAlign w:val="center"/>
          </w:tcPr>
          <w:p w14:paraId="6FDC281C" w14:textId="77777777" w:rsidR="005A47F3" w:rsidRPr="008946B0" w:rsidRDefault="00AB77EF">
            <w:pPr>
              <w:spacing w:after="60"/>
              <w:jc w:val="center"/>
              <w:rPr>
                <w:rFonts w:eastAsia="Calibri"/>
                <w:szCs w:val="22"/>
                <w:lang w:val="en-GB"/>
              </w:rPr>
            </w:pPr>
            <w:r w:rsidRPr="008946B0">
              <w:rPr>
                <w:rFonts w:eastAsia="Calibri"/>
                <w:szCs w:val="22"/>
                <w:lang w:val="en-GB"/>
              </w:rPr>
              <w:t>9.22</w:t>
            </w:r>
          </w:p>
        </w:tc>
      </w:tr>
      <w:tr w:rsidR="005A47F3" w:rsidRPr="008946B0" w14:paraId="1381811C" w14:textId="77777777">
        <w:trPr>
          <w:cantSplit/>
          <w:jc w:val="center"/>
        </w:trPr>
        <w:tc>
          <w:tcPr>
            <w:tcW w:w="1387" w:type="dxa"/>
            <w:vAlign w:val="center"/>
          </w:tcPr>
          <w:p w14:paraId="2EDFB807" w14:textId="243DC59A" w:rsidR="005A47F3" w:rsidRPr="008946B0" w:rsidRDefault="00AB77EF">
            <w:pPr>
              <w:spacing w:after="60"/>
              <w:rPr>
                <w:rFonts w:eastAsia="Calibri"/>
                <w:szCs w:val="22"/>
                <w:lang w:val="en-GB"/>
              </w:rPr>
            </w:pPr>
            <w:r w:rsidRPr="008946B0">
              <w:rPr>
                <w:rFonts w:eastAsia="Calibri"/>
                <w:szCs w:val="22"/>
                <w:lang w:val="en-GB"/>
              </w:rPr>
              <w:t>High-density</w:t>
            </w:r>
            <w:r w:rsidRPr="008946B0">
              <w:rPr>
                <w:rFonts w:eastAsia="Calibri"/>
                <w:szCs w:val="22"/>
                <w:lang w:val="en-GB"/>
              </w:rPr>
              <w:br/>
              <w:t>rail segment</w:t>
            </w:r>
          </w:p>
        </w:tc>
        <w:tc>
          <w:tcPr>
            <w:tcW w:w="1367" w:type="dxa"/>
            <w:vMerge/>
            <w:vAlign w:val="center"/>
          </w:tcPr>
          <w:p w14:paraId="57A39FF6" w14:textId="77777777" w:rsidR="005A47F3" w:rsidRPr="008946B0" w:rsidRDefault="005A47F3">
            <w:pPr>
              <w:jc w:val="center"/>
              <w:rPr>
                <w:rFonts w:eastAsia="Calibri"/>
                <w:szCs w:val="22"/>
                <w:lang w:val="en-GB"/>
              </w:rPr>
            </w:pPr>
          </w:p>
        </w:tc>
        <w:tc>
          <w:tcPr>
            <w:tcW w:w="1367" w:type="dxa"/>
            <w:vMerge/>
            <w:vAlign w:val="center"/>
          </w:tcPr>
          <w:p w14:paraId="3B3C7BC8" w14:textId="77777777" w:rsidR="005A47F3" w:rsidRPr="008946B0" w:rsidRDefault="005A47F3">
            <w:pPr>
              <w:jc w:val="center"/>
              <w:rPr>
                <w:rFonts w:eastAsia="Calibri"/>
                <w:szCs w:val="22"/>
                <w:lang w:val="en-GB"/>
              </w:rPr>
            </w:pPr>
          </w:p>
        </w:tc>
        <w:tc>
          <w:tcPr>
            <w:tcW w:w="1367" w:type="dxa"/>
            <w:vAlign w:val="center"/>
          </w:tcPr>
          <w:p w14:paraId="1A657236" w14:textId="77777777" w:rsidR="005A47F3" w:rsidRPr="008946B0" w:rsidRDefault="00AB77EF">
            <w:pPr>
              <w:jc w:val="center"/>
              <w:rPr>
                <w:rFonts w:eastAsia="Calibri"/>
                <w:szCs w:val="22"/>
                <w:lang w:val="en-GB"/>
              </w:rPr>
            </w:pPr>
            <w:r w:rsidRPr="008946B0">
              <w:rPr>
                <w:rFonts w:eastAsia="Calibri"/>
                <w:szCs w:val="22"/>
                <w:lang w:val="en-GB"/>
              </w:rPr>
              <w:t>0.67</w:t>
            </w:r>
          </w:p>
        </w:tc>
        <w:tc>
          <w:tcPr>
            <w:tcW w:w="1037" w:type="dxa"/>
            <w:vMerge/>
            <w:vAlign w:val="center"/>
          </w:tcPr>
          <w:p w14:paraId="40DB5131" w14:textId="77777777" w:rsidR="005A47F3" w:rsidRPr="008946B0" w:rsidRDefault="005A47F3">
            <w:pPr>
              <w:jc w:val="center"/>
              <w:rPr>
                <w:rFonts w:eastAsia="Calibri"/>
                <w:szCs w:val="22"/>
                <w:lang w:val="en-GB"/>
              </w:rPr>
            </w:pPr>
          </w:p>
        </w:tc>
        <w:tc>
          <w:tcPr>
            <w:tcW w:w="1107" w:type="dxa"/>
            <w:vAlign w:val="center"/>
          </w:tcPr>
          <w:p w14:paraId="38C69AE5" w14:textId="77777777" w:rsidR="005A47F3" w:rsidRPr="008946B0" w:rsidRDefault="00AB77EF">
            <w:pPr>
              <w:jc w:val="center"/>
              <w:rPr>
                <w:rFonts w:eastAsia="Calibri"/>
                <w:szCs w:val="22"/>
                <w:lang w:val="en-GB"/>
              </w:rPr>
            </w:pPr>
            <w:r w:rsidRPr="008946B0">
              <w:rPr>
                <w:rFonts w:eastAsia="Calibri"/>
                <w:szCs w:val="22"/>
                <w:lang w:val="en-GB"/>
              </w:rPr>
              <w:t>18.77</w:t>
            </w:r>
          </w:p>
        </w:tc>
        <w:tc>
          <w:tcPr>
            <w:tcW w:w="1107" w:type="dxa"/>
            <w:vAlign w:val="center"/>
          </w:tcPr>
          <w:p w14:paraId="363111B8" w14:textId="77777777" w:rsidR="005A47F3" w:rsidRPr="008946B0" w:rsidRDefault="00AB77EF">
            <w:pPr>
              <w:jc w:val="center"/>
              <w:rPr>
                <w:rFonts w:eastAsia="Calibri"/>
                <w:szCs w:val="22"/>
                <w:lang w:val="en-GB"/>
              </w:rPr>
            </w:pPr>
            <w:r w:rsidRPr="008946B0">
              <w:rPr>
                <w:rFonts w:eastAsia="Calibri"/>
                <w:szCs w:val="22"/>
                <w:lang w:val="en-GB"/>
              </w:rPr>
              <w:t>18.73</w:t>
            </w:r>
          </w:p>
        </w:tc>
      </w:tr>
      <w:tr w:rsidR="005A47F3" w:rsidRPr="008946B0" w14:paraId="7408A5CB" w14:textId="77777777">
        <w:trPr>
          <w:cantSplit/>
          <w:jc w:val="center"/>
        </w:trPr>
        <w:tc>
          <w:tcPr>
            <w:tcW w:w="1387" w:type="dxa"/>
            <w:vAlign w:val="center"/>
          </w:tcPr>
          <w:p w14:paraId="6A42CAAA" w14:textId="77777777" w:rsidR="005A47F3" w:rsidRPr="008946B0" w:rsidRDefault="00AB77EF">
            <w:pPr>
              <w:spacing w:after="60"/>
              <w:rPr>
                <w:rFonts w:eastAsia="Calibri"/>
                <w:szCs w:val="22"/>
                <w:lang w:val="en-GB"/>
              </w:rPr>
            </w:pPr>
            <w:r w:rsidRPr="008946B0">
              <w:rPr>
                <w:rFonts w:eastAsia="Calibri"/>
                <w:szCs w:val="22"/>
                <w:lang w:val="en-GB"/>
              </w:rPr>
              <w:t>High-speed</w:t>
            </w:r>
            <w:r w:rsidRPr="008946B0">
              <w:rPr>
                <w:rFonts w:eastAsia="Calibri"/>
                <w:szCs w:val="22"/>
                <w:lang w:val="en-GB"/>
              </w:rPr>
              <w:br/>
              <w:t>rail segment</w:t>
            </w:r>
          </w:p>
        </w:tc>
        <w:tc>
          <w:tcPr>
            <w:tcW w:w="1367" w:type="dxa"/>
            <w:vMerge/>
            <w:vAlign w:val="center"/>
          </w:tcPr>
          <w:p w14:paraId="1F65BE24" w14:textId="77777777" w:rsidR="005A47F3" w:rsidRPr="008946B0" w:rsidRDefault="005A47F3">
            <w:pPr>
              <w:jc w:val="center"/>
              <w:rPr>
                <w:rFonts w:eastAsia="Calibri"/>
                <w:szCs w:val="22"/>
                <w:lang w:val="en-GB"/>
              </w:rPr>
            </w:pPr>
          </w:p>
        </w:tc>
        <w:tc>
          <w:tcPr>
            <w:tcW w:w="1367" w:type="dxa"/>
            <w:vMerge/>
            <w:vAlign w:val="center"/>
          </w:tcPr>
          <w:p w14:paraId="1D3C3183" w14:textId="77777777" w:rsidR="005A47F3" w:rsidRPr="008946B0" w:rsidRDefault="005A47F3">
            <w:pPr>
              <w:jc w:val="center"/>
              <w:rPr>
                <w:rFonts w:eastAsia="Calibri"/>
                <w:szCs w:val="22"/>
                <w:lang w:val="en-GB"/>
              </w:rPr>
            </w:pPr>
          </w:p>
        </w:tc>
        <w:tc>
          <w:tcPr>
            <w:tcW w:w="1367" w:type="dxa"/>
            <w:vAlign w:val="center"/>
          </w:tcPr>
          <w:p w14:paraId="29443E8A" w14:textId="77777777" w:rsidR="005A47F3" w:rsidRPr="008946B0" w:rsidRDefault="00AB77EF">
            <w:pPr>
              <w:jc w:val="center"/>
              <w:rPr>
                <w:rFonts w:eastAsia="Calibri"/>
                <w:szCs w:val="22"/>
                <w:lang w:val="en-GB"/>
              </w:rPr>
            </w:pPr>
            <w:r w:rsidRPr="008946B0">
              <w:rPr>
                <w:rFonts w:eastAsia="Calibri"/>
                <w:szCs w:val="22"/>
                <w:lang w:val="en-GB"/>
              </w:rPr>
              <w:t>0.5</w:t>
            </w:r>
          </w:p>
        </w:tc>
        <w:tc>
          <w:tcPr>
            <w:tcW w:w="1037" w:type="dxa"/>
            <w:vMerge/>
            <w:vAlign w:val="center"/>
          </w:tcPr>
          <w:p w14:paraId="3A2006B4" w14:textId="77777777" w:rsidR="005A47F3" w:rsidRPr="008946B0" w:rsidRDefault="005A47F3">
            <w:pPr>
              <w:jc w:val="center"/>
              <w:rPr>
                <w:rFonts w:eastAsia="Calibri"/>
                <w:szCs w:val="22"/>
                <w:lang w:val="en-GB"/>
              </w:rPr>
            </w:pPr>
          </w:p>
        </w:tc>
        <w:tc>
          <w:tcPr>
            <w:tcW w:w="1107" w:type="dxa"/>
            <w:vAlign w:val="center"/>
          </w:tcPr>
          <w:p w14:paraId="79AE07AC" w14:textId="77777777" w:rsidR="005A47F3" w:rsidRPr="008946B0" w:rsidRDefault="00AB77EF">
            <w:pPr>
              <w:jc w:val="center"/>
              <w:rPr>
                <w:rFonts w:eastAsia="Calibri"/>
                <w:szCs w:val="22"/>
                <w:lang w:val="en-GB"/>
              </w:rPr>
            </w:pPr>
            <w:r w:rsidRPr="008946B0">
              <w:rPr>
                <w:rFonts w:eastAsia="Calibri"/>
                <w:szCs w:val="22"/>
                <w:lang w:val="en-GB"/>
              </w:rPr>
              <w:t>14.00</w:t>
            </w:r>
          </w:p>
        </w:tc>
        <w:tc>
          <w:tcPr>
            <w:tcW w:w="1107" w:type="dxa"/>
            <w:vAlign w:val="center"/>
          </w:tcPr>
          <w:p w14:paraId="24693AFC" w14:textId="77777777" w:rsidR="005A47F3" w:rsidRPr="008946B0" w:rsidRDefault="00AB77EF">
            <w:pPr>
              <w:jc w:val="center"/>
              <w:rPr>
                <w:rFonts w:eastAsia="Calibri"/>
                <w:szCs w:val="22"/>
                <w:lang w:val="en-GB"/>
              </w:rPr>
            </w:pPr>
            <w:r w:rsidRPr="008946B0">
              <w:rPr>
                <w:rFonts w:eastAsia="Calibri"/>
                <w:szCs w:val="22"/>
                <w:lang w:val="en-GB"/>
              </w:rPr>
              <w:t>13.97</w:t>
            </w:r>
          </w:p>
        </w:tc>
      </w:tr>
      <w:tr w:rsidR="005A47F3" w:rsidRPr="008946B0" w14:paraId="00CA66C1" w14:textId="77777777" w:rsidTr="002374ED">
        <w:trPr>
          <w:cantSplit/>
          <w:trHeight w:val="448"/>
          <w:jc w:val="center"/>
        </w:trPr>
        <w:tc>
          <w:tcPr>
            <w:tcW w:w="8739" w:type="dxa"/>
            <w:gridSpan w:val="7"/>
            <w:vAlign w:val="center"/>
          </w:tcPr>
          <w:p w14:paraId="0ACD4B32" w14:textId="79868505" w:rsidR="005A47F3" w:rsidRPr="008946B0" w:rsidRDefault="00AB77EF" w:rsidP="00DC5A64">
            <w:pPr>
              <w:spacing w:after="60"/>
              <w:ind w:left="284" w:hanging="284"/>
              <w:rPr>
                <w:sz w:val="16"/>
                <w:szCs w:val="16"/>
                <w:lang w:val="en-GB"/>
              </w:rPr>
            </w:pPr>
            <w:r w:rsidRPr="008946B0">
              <w:rPr>
                <w:sz w:val="16"/>
                <w:szCs w:val="16"/>
                <w:lang w:val="en-GB"/>
              </w:rPr>
              <w:t xml:space="preserve">Note: The cell size reflected in this table </w:t>
            </w:r>
            <w:r w:rsidR="00441647" w:rsidRPr="008946B0">
              <w:rPr>
                <w:sz w:val="16"/>
                <w:szCs w:val="16"/>
                <w:lang w:val="en-GB"/>
              </w:rPr>
              <w:t>is</w:t>
            </w:r>
            <w:r w:rsidRPr="008946B0">
              <w:rPr>
                <w:sz w:val="16"/>
                <w:szCs w:val="16"/>
                <w:lang w:val="en-GB"/>
              </w:rPr>
              <w:t xml:space="preserve"> based on typical GSM-R networks currently in use. </w:t>
            </w:r>
            <w:r w:rsidR="00441647" w:rsidRPr="008946B0">
              <w:rPr>
                <w:sz w:val="16"/>
                <w:szCs w:val="16"/>
                <w:lang w:val="en-GB"/>
              </w:rPr>
              <w:t>T</w:t>
            </w:r>
            <w:r w:rsidRPr="008946B0">
              <w:rPr>
                <w:sz w:val="16"/>
                <w:szCs w:val="16"/>
                <w:lang w:val="en-GB"/>
              </w:rPr>
              <w:t>his assumes that FRMCS would be deployed on the same radio sites without further densification.</w:t>
            </w:r>
          </w:p>
        </w:tc>
      </w:tr>
    </w:tbl>
    <w:p w14:paraId="55F43FA7" w14:textId="68287B36" w:rsidR="005A47F3" w:rsidRPr="008946B0" w:rsidRDefault="00AB77EF">
      <w:pPr>
        <w:pStyle w:val="Caption"/>
        <w:rPr>
          <w:lang w:val="en-GB"/>
        </w:rPr>
      </w:pPr>
      <w:bookmarkStart w:id="24" w:name="_Toc500261132"/>
      <w:bookmarkStart w:id="25" w:name="_Toc500261131"/>
      <w:bookmarkStart w:id="26" w:name="_Toc499999114"/>
      <w:bookmarkStart w:id="27" w:name="_Toc500084210"/>
      <w:bookmarkStart w:id="28" w:name="_Toc500084211"/>
      <w:bookmarkStart w:id="29" w:name="_Toc500261133"/>
      <w:bookmarkStart w:id="30" w:name="_Toc499999218"/>
      <w:bookmarkStart w:id="31" w:name="_Toc499999221"/>
      <w:bookmarkStart w:id="32" w:name="_Toc500261175"/>
      <w:bookmarkStart w:id="33" w:name="_Toc499999115"/>
      <w:bookmarkStart w:id="34" w:name="_Toc500084209"/>
      <w:bookmarkStart w:id="35" w:name="_Toc500261176"/>
      <w:bookmarkStart w:id="36" w:name="_Toc499999219"/>
      <w:bookmarkStart w:id="37" w:name="_Toc500261173"/>
      <w:bookmarkStart w:id="38" w:name="_Toc499999116"/>
      <w:bookmarkStart w:id="39" w:name="_Toc500261130"/>
      <w:bookmarkStart w:id="40" w:name="_Toc500261174"/>
      <w:bookmarkStart w:id="41" w:name="_Toc500084212"/>
      <w:bookmarkStart w:id="42" w:name="_Toc499999220"/>
      <w:bookmarkStart w:id="43" w:name="_Toc499999117"/>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8946B0">
        <w:rPr>
          <w:lang w:val="en-GB"/>
        </w:rPr>
        <w:t xml:space="preserve">Table </w:t>
      </w:r>
      <w:r w:rsidRPr="008946B0">
        <w:rPr>
          <w:lang w:val="en-GB"/>
        </w:rPr>
        <w:fldChar w:fldCharType="begin"/>
      </w:r>
      <w:r w:rsidRPr="008946B0">
        <w:rPr>
          <w:lang w:val="en-GB"/>
        </w:rPr>
        <w:instrText xml:space="preserve"> SEQ Table \* ARABIC </w:instrText>
      </w:r>
      <w:r w:rsidRPr="008946B0">
        <w:rPr>
          <w:lang w:val="en-GB"/>
        </w:rPr>
        <w:fldChar w:fldCharType="separate"/>
      </w:r>
      <w:r w:rsidR="00CF6E1D" w:rsidRPr="008946B0">
        <w:rPr>
          <w:lang w:val="en-GB"/>
        </w:rPr>
        <w:t>3</w:t>
      </w:r>
      <w:r w:rsidRPr="008946B0">
        <w:rPr>
          <w:lang w:val="en-GB"/>
        </w:rPr>
        <w:fldChar w:fldCharType="end"/>
      </w:r>
      <w:r w:rsidRPr="008946B0">
        <w:rPr>
          <w:lang w:val="en-GB"/>
        </w:rPr>
        <w:t xml:space="preserve">: Traffic during the migration for each area type, </w:t>
      </w:r>
      <w:r w:rsidRPr="008946B0">
        <w:rPr>
          <w:u w:val="single"/>
          <w:lang w:val="en-GB"/>
        </w:rPr>
        <w:t>excluding</w:t>
      </w:r>
      <w:r w:rsidRPr="008946B0">
        <w:rPr>
          <w:lang w:val="en-GB"/>
        </w:rPr>
        <w:t xml:space="preserve"> critical video</w:t>
      </w:r>
    </w:p>
    <w:tbl>
      <w:tblPr>
        <w:tblW w:w="8739"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4A0" w:firstRow="1" w:lastRow="0" w:firstColumn="1" w:lastColumn="0" w:noHBand="0" w:noVBand="1"/>
      </w:tblPr>
      <w:tblGrid>
        <w:gridCol w:w="1387"/>
        <w:gridCol w:w="1367"/>
        <w:gridCol w:w="1367"/>
        <w:gridCol w:w="1367"/>
        <w:gridCol w:w="1037"/>
        <w:gridCol w:w="1107"/>
        <w:gridCol w:w="1107"/>
      </w:tblGrid>
      <w:tr w:rsidR="005A47F3" w:rsidRPr="008946B0" w14:paraId="76A307D6" w14:textId="77777777">
        <w:trPr>
          <w:cantSplit/>
          <w:tblHeader/>
          <w:jc w:val="center"/>
        </w:trPr>
        <w:tc>
          <w:tcPr>
            <w:tcW w:w="1387" w:type="dxa"/>
            <w:tcBorders>
              <w:right w:val="single" w:sz="8" w:space="0" w:color="FFFFFF"/>
            </w:tcBorders>
            <w:shd w:val="clear" w:color="auto" w:fill="D2232A"/>
            <w:vAlign w:val="center"/>
          </w:tcPr>
          <w:p w14:paraId="163ABFD7" w14:textId="77777777" w:rsidR="005A47F3" w:rsidRPr="008946B0" w:rsidRDefault="005A47F3" w:rsidP="00E66414">
            <w:pPr>
              <w:keepNext/>
              <w:spacing w:after="0" w:line="288" w:lineRule="auto"/>
              <w:rPr>
                <w:b/>
                <w:color w:val="FFFFFF"/>
                <w:sz w:val="18"/>
                <w:lang w:val="en-GB"/>
              </w:rPr>
            </w:pPr>
          </w:p>
        </w:tc>
        <w:tc>
          <w:tcPr>
            <w:tcW w:w="1367" w:type="dxa"/>
            <w:tcBorders>
              <w:left w:val="single" w:sz="8" w:space="0" w:color="FFFFFF"/>
              <w:right w:val="single" w:sz="8" w:space="0" w:color="FFFFFF"/>
            </w:tcBorders>
            <w:shd w:val="clear" w:color="auto" w:fill="D2232A"/>
            <w:vAlign w:val="center"/>
          </w:tcPr>
          <w:p w14:paraId="66DE4A3C"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DL traffic</w:t>
            </w:r>
          </w:p>
          <w:p w14:paraId="78D2C34C"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per ref. train</w:t>
            </w:r>
          </w:p>
          <w:p w14:paraId="489B4334"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(Mb/s)</w:t>
            </w:r>
          </w:p>
        </w:tc>
        <w:tc>
          <w:tcPr>
            <w:tcW w:w="1367" w:type="dxa"/>
            <w:tcBorders>
              <w:left w:val="single" w:sz="8" w:space="0" w:color="FFFFFF"/>
              <w:right w:val="single" w:sz="8" w:space="0" w:color="FFFFFF"/>
            </w:tcBorders>
            <w:shd w:val="clear" w:color="auto" w:fill="D2232A"/>
            <w:vAlign w:val="center"/>
          </w:tcPr>
          <w:p w14:paraId="076E00D4"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UL traffic</w:t>
            </w:r>
          </w:p>
          <w:p w14:paraId="22227DD0"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per ref. train</w:t>
            </w:r>
          </w:p>
          <w:p w14:paraId="20416244"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(Mb/s)</w:t>
            </w:r>
          </w:p>
        </w:tc>
        <w:tc>
          <w:tcPr>
            <w:tcW w:w="1367" w:type="dxa"/>
            <w:tcBorders>
              <w:left w:val="single" w:sz="8" w:space="0" w:color="FFFFFF"/>
              <w:right w:val="single" w:sz="8" w:space="0" w:color="FFFFFF"/>
            </w:tcBorders>
            <w:shd w:val="clear" w:color="auto" w:fill="D2232A"/>
            <w:vAlign w:val="center"/>
          </w:tcPr>
          <w:p w14:paraId="07638C0B"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Nb. of trains</w:t>
            </w:r>
          </w:p>
          <w:p w14:paraId="11004476"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per km</w:t>
            </w:r>
          </w:p>
        </w:tc>
        <w:tc>
          <w:tcPr>
            <w:tcW w:w="1037" w:type="dxa"/>
            <w:tcBorders>
              <w:left w:val="single" w:sz="8" w:space="0" w:color="FFFFFF"/>
              <w:right w:val="single" w:sz="8" w:space="0" w:color="FFFFFF"/>
            </w:tcBorders>
            <w:shd w:val="clear" w:color="auto" w:fill="D2232A"/>
            <w:vAlign w:val="center"/>
          </w:tcPr>
          <w:p w14:paraId="524F1AC3"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Cell size</w:t>
            </w:r>
          </w:p>
          <w:p w14:paraId="3FC29803"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(km)</w:t>
            </w:r>
          </w:p>
        </w:tc>
        <w:tc>
          <w:tcPr>
            <w:tcW w:w="1107" w:type="dxa"/>
            <w:tcBorders>
              <w:left w:val="single" w:sz="8" w:space="0" w:color="FFFFFF"/>
              <w:right w:val="single" w:sz="8" w:space="0" w:color="FFFFFF"/>
            </w:tcBorders>
            <w:shd w:val="clear" w:color="auto" w:fill="D2232A"/>
            <w:vAlign w:val="center"/>
          </w:tcPr>
          <w:p w14:paraId="274E7785"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DL traffic</w:t>
            </w:r>
          </w:p>
          <w:p w14:paraId="084BE749"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per cell</w:t>
            </w:r>
          </w:p>
          <w:p w14:paraId="62F4974F"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(Mb/s)</w:t>
            </w:r>
          </w:p>
        </w:tc>
        <w:tc>
          <w:tcPr>
            <w:tcW w:w="1107" w:type="dxa"/>
            <w:tcBorders>
              <w:left w:val="single" w:sz="8" w:space="0" w:color="FFFFFF"/>
              <w:right w:val="single" w:sz="8" w:space="0" w:color="FFFFFF"/>
            </w:tcBorders>
            <w:shd w:val="clear" w:color="auto" w:fill="D2232A"/>
            <w:vAlign w:val="center"/>
          </w:tcPr>
          <w:p w14:paraId="5C5DAFF4"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UL traffic</w:t>
            </w:r>
          </w:p>
          <w:p w14:paraId="1133FFF5"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per cell</w:t>
            </w:r>
          </w:p>
          <w:p w14:paraId="12EF0517"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(Mb/s)</w:t>
            </w:r>
          </w:p>
        </w:tc>
      </w:tr>
      <w:tr w:rsidR="005A47F3" w:rsidRPr="008946B0" w14:paraId="3B501C84" w14:textId="77777777">
        <w:trPr>
          <w:cantSplit/>
          <w:jc w:val="center"/>
        </w:trPr>
        <w:tc>
          <w:tcPr>
            <w:tcW w:w="1387" w:type="dxa"/>
            <w:vAlign w:val="center"/>
          </w:tcPr>
          <w:p w14:paraId="67709DB1" w14:textId="56D71AF1" w:rsidR="005A47F3" w:rsidRPr="008946B0" w:rsidRDefault="00AB77EF">
            <w:pPr>
              <w:spacing w:after="60"/>
              <w:rPr>
                <w:rFonts w:eastAsia="Calibri"/>
                <w:szCs w:val="22"/>
                <w:lang w:val="en-GB"/>
              </w:rPr>
            </w:pPr>
            <w:r w:rsidRPr="008946B0">
              <w:rPr>
                <w:rFonts w:eastAsia="Calibri"/>
                <w:szCs w:val="22"/>
                <w:lang w:val="en-GB"/>
              </w:rPr>
              <w:t>Low</w:t>
            </w:r>
            <w:r w:rsidR="002374ED">
              <w:rPr>
                <w:rFonts w:eastAsia="Calibri"/>
                <w:szCs w:val="22"/>
                <w:lang w:val="en-GB"/>
              </w:rPr>
              <w:t>-</w:t>
            </w:r>
            <w:r w:rsidRPr="008946B0">
              <w:rPr>
                <w:rFonts w:eastAsia="Calibri"/>
                <w:szCs w:val="22"/>
                <w:lang w:val="en-GB"/>
              </w:rPr>
              <w:t>density</w:t>
            </w:r>
            <w:r w:rsidRPr="008946B0">
              <w:rPr>
                <w:rFonts w:eastAsia="Calibri"/>
                <w:szCs w:val="22"/>
                <w:lang w:val="en-GB"/>
              </w:rPr>
              <w:br/>
              <w:t>rail segment</w:t>
            </w:r>
          </w:p>
        </w:tc>
        <w:tc>
          <w:tcPr>
            <w:tcW w:w="1367" w:type="dxa"/>
            <w:vMerge w:val="restart"/>
            <w:vAlign w:val="center"/>
          </w:tcPr>
          <w:p w14:paraId="665E805E" w14:textId="77777777" w:rsidR="005A47F3" w:rsidRPr="008946B0" w:rsidRDefault="00AB77EF">
            <w:pPr>
              <w:spacing w:after="60"/>
              <w:jc w:val="center"/>
              <w:rPr>
                <w:rFonts w:eastAsia="Calibri"/>
                <w:szCs w:val="22"/>
                <w:lang w:val="en-GB"/>
              </w:rPr>
            </w:pPr>
            <w:r w:rsidRPr="008946B0">
              <w:rPr>
                <w:rFonts w:eastAsia="Calibri"/>
                <w:szCs w:val="22"/>
                <w:lang w:val="en-GB"/>
              </w:rPr>
              <w:t>0.2</w:t>
            </w:r>
          </w:p>
        </w:tc>
        <w:tc>
          <w:tcPr>
            <w:tcW w:w="1367" w:type="dxa"/>
            <w:vMerge w:val="restart"/>
            <w:vAlign w:val="center"/>
          </w:tcPr>
          <w:p w14:paraId="526F73A8" w14:textId="77777777" w:rsidR="005A47F3" w:rsidRPr="008946B0" w:rsidRDefault="00AB77EF">
            <w:pPr>
              <w:spacing w:after="60"/>
              <w:jc w:val="center"/>
              <w:rPr>
                <w:rFonts w:eastAsia="Calibri"/>
                <w:szCs w:val="22"/>
                <w:lang w:val="en-GB"/>
              </w:rPr>
            </w:pPr>
            <w:r w:rsidRPr="008946B0">
              <w:rPr>
                <w:rFonts w:eastAsia="Calibri"/>
                <w:szCs w:val="22"/>
                <w:lang w:val="en-GB"/>
              </w:rPr>
              <w:t>0.19</w:t>
            </w:r>
          </w:p>
        </w:tc>
        <w:tc>
          <w:tcPr>
            <w:tcW w:w="1367" w:type="dxa"/>
            <w:vAlign w:val="center"/>
          </w:tcPr>
          <w:p w14:paraId="18B4E83F" w14:textId="77777777" w:rsidR="005A47F3" w:rsidRPr="008946B0" w:rsidRDefault="00AB77EF">
            <w:pPr>
              <w:spacing w:after="60"/>
              <w:jc w:val="center"/>
              <w:rPr>
                <w:rFonts w:eastAsia="Calibri"/>
                <w:szCs w:val="22"/>
                <w:lang w:val="en-GB"/>
              </w:rPr>
            </w:pPr>
            <w:r w:rsidRPr="008946B0">
              <w:rPr>
                <w:rFonts w:eastAsia="Calibri"/>
                <w:szCs w:val="22"/>
                <w:lang w:val="en-GB"/>
              </w:rPr>
              <w:t>0.33</w:t>
            </w:r>
          </w:p>
        </w:tc>
        <w:tc>
          <w:tcPr>
            <w:tcW w:w="1037" w:type="dxa"/>
            <w:vMerge w:val="restart"/>
            <w:vAlign w:val="center"/>
          </w:tcPr>
          <w:p w14:paraId="6F3E8829" w14:textId="77777777" w:rsidR="005A47F3" w:rsidRPr="008946B0" w:rsidRDefault="00AB77EF">
            <w:pPr>
              <w:spacing w:after="60"/>
              <w:jc w:val="center"/>
              <w:rPr>
                <w:rFonts w:eastAsia="Calibri"/>
                <w:szCs w:val="22"/>
                <w:lang w:val="en-GB"/>
              </w:rPr>
            </w:pPr>
            <w:r w:rsidRPr="008946B0">
              <w:rPr>
                <w:rFonts w:eastAsia="Calibri"/>
                <w:szCs w:val="22"/>
                <w:lang w:val="en-GB"/>
              </w:rPr>
              <w:t>8</w:t>
            </w:r>
          </w:p>
        </w:tc>
        <w:tc>
          <w:tcPr>
            <w:tcW w:w="1107" w:type="dxa"/>
            <w:vAlign w:val="center"/>
          </w:tcPr>
          <w:p w14:paraId="4CFA6D7A" w14:textId="77777777" w:rsidR="005A47F3" w:rsidRPr="008946B0" w:rsidRDefault="00AB77EF">
            <w:pPr>
              <w:spacing w:after="60"/>
              <w:jc w:val="center"/>
              <w:rPr>
                <w:rFonts w:eastAsia="Calibri"/>
                <w:szCs w:val="22"/>
                <w:lang w:val="en-GB"/>
              </w:rPr>
            </w:pPr>
            <w:r w:rsidRPr="008946B0">
              <w:rPr>
                <w:rFonts w:eastAsia="Calibri"/>
                <w:szCs w:val="22"/>
                <w:lang w:val="en-GB"/>
              </w:rPr>
              <w:t>0.53</w:t>
            </w:r>
          </w:p>
        </w:tc>
        <w:tc>
          <w:tcPr>
            <w:tcW w:w="1107" w:type="dxa"/>
            <w:vAlign w:val="center"/>
          </w:tcPr>
          <w:p w14:paraId="3E46C068" w14:textId="77777777" w:rsidR="005A47F3" w:rsidRPr="008946B0" w:rsidRDefault="00AB77EF">
            <w:pPr>
              <w:spacing w:after="60"/>
              <w:jc w:val="center"/>
              <w:rPr>
                <w:rFonts w:eastAsia="Calibri"/>
                <w:szCs w:val="22"/>
                <w:lang w:val="en-GB"/>
              </w:rPr>
            </w:pPr>
            <w:r w:rsidRPr="008946B0">
              <w:rPr>
                <w:rFonts w:eastAsia="Calibri"/>
                <w:szCs w:val="22"/>
                <w:lang w:val="en-GB"/>
              </w:rPr>
              <w:t>0.51</w:t>
            </w:r>
          </w:p>
        </w:tc>
      </w:tr>
      <w:tr w:rsidR="005A47F3" w:rsidRPr="008946B0" w14:paraId="6E64F90C" w14:textId="77777777">
        <w:trPr>
          <w:cantSplit/>
          <w:jc w:val="center"/>
        </w:trPr>
        <w:tc>
          <w:tcPr>
            <w:tcW w:w="1387" w:type="dxa"/>
            <w:vAlign w:val="center"/>
          </w:tcPr>
          <w:p w14:paraId="0B62B96A" w14:textId="70D26CA6" w:rsidR="005A47F3" w:rsidRPr="008946B0" w:rsidRDefault="00AB77EF">
            <w:pPr>
              <w:spacing w:after="60"/>
              <w:rPr>
                <w:rFonts w:eastAsia="Calibri"/>
                <w:szCs w:val="22"/>
                <w:lang w:val="en-GB"/>
              </w:rPr>
            </w:pPr>
            <w:r w:rsidRPr="008946B0">
              <w:rPr>
                <w:rFonts w:eastAsia="Calibri"/>
                <w:szCs w:val="22"/>
                <w:lang w:val="en-GB"/>
              </w:rPr>
              <w:t>High-density</w:t>
            </w:r>
            <w:r w:rsidRPr="008946B0">
              <w:rPr>
                <w:rFonts w:eastAsia="Calibri"/>
                <w:szCs w:val="22"/>
                <w:lang w:val="en-GB"/>
              </w:rPr>
              <w:br/>
              <w:t>rail segment</w:t>
            </w:r>
          </w:p>
        </w:tc>
        <w:tc>
          <w:tcPr>
            <w:tcW w:w="1367" w:type="dxa"/>
            <w:vMerge/>
            <w:vAlign w:val="center"/>
          </w:tcPr>
          <w:p w14:paraId="656FD998" w14:textId="77777777" w:rsidR="005A47F3" w:rsidRPr="008946B0" w:rsidRDefault="005A47F3">
            <w:pPr>
              <w:jc w:val="center"/>
              <w:rPr>
                <w:rFonts w:eastAsia="Calibri"/>
                <w:szCs w:val="22"/>
                <w:lang w:val="en-GB"/>
              </w:rPr>
            </w:pPr>
          </w:p>
        </w:tc>
        <w:tc>
          <w:tcPr>
            <w:tcW w:w="1367" w:type="dxa"/>
            <w:vMerge/>
            <w:vAlign w:val="center"/>
          </w:tcPr>
          <w:p w14:paraId="0EFB7E01" w14:textId="77777777" w:rsidR="005A47F3" w:rsidRPr="008946B0" w:rsidRDefault="005A47F3">
            <w:pPr>
              <w:jc w:val="center"/>
              <w:rPr>
                <w:rFonts w:eastAsia="Calibri"/>
                <w:szCs w:val="22"/>
                <w:lang w:val="en-GB"/>
              </w:rPr>
            </w:pPr>
          </w:p>
        </w:tc>
        <w:tc>
          <w:tcPr>
            <w:tcW w:w="1367" w:type="dxa"/>
            <w:vAlign w:val="center"/>
          </w:tcPr>
          <w:p w14:paraId="611DA169" w14:textId="77777777" w:rsidR="005A47F3" w:rsidRPr="008946B0" w:rsidRDefault="00AB77EF">
            <w:pPr>
              <w:jc w:val="center"/>
              <w:rPr>
                <w:rFonts w:eastAsia="Calibri"/>
                <w:szCs w:val="22"/>
                <w:lang w:val="en-GB"/>
              </w:rPr>
            </w:pPr>
            <w:r w:rsidRPr="008946B0">
              <w:rPr>
                <w:rFonts w:eastAsia="Calibri"/>
                <w:szCs w:val="22"/>
                <w:lang w:val="en-GB"/>
              </w:rPr>
              <w:t>0.67</w:t>
            </w:r>
          </w:p>
        </w:tc>
        <w:tc>
          <w:tcPr>
            <w:tcW w:w="1037" w:type="dxa"/>
            <w:vMerge/>
            <w:vAlign w:val="center"/>
          </w:tcPr>
          <w:p w14:paraId="48C62A10" w14:textId="77777777" w:rsidR="005A47F3" w:rsidRPr="008946B0" w:rsidRDefault="005A47F3">
            <w:pPr>
              <w:jc w:val="center"/>
              <w:rPr>
                <w:rFonts w:eastAsia="Calibri"/>
                <w:szCs w:val="22"/>
                <w:lang w:val="en-GB"/>
              </w:rPr>
            </w:pPr>
          </w:p>
        </w:tc>
        <w:tc>
          <w:tcPr>
            <w:tcW w:w="1107" w:type="dxa"/>
            <w:vAlign w:val="center"/>
          </w:tcPr>
          <w:p w14:paraId="75487762" w14:textId="77777777" w:rsidR="005A47F3" w:rsidRPr="008946B0" w:rsidRDefault="00AB77EF">
            <w:pPr>
              <w:jc w:val="center"/>
              <w:rPr>
                <w:rFonts w:eastAsia="Calibri"/>
                <w:szCs w:val="22"/>
                <w:lang w:val="en-GB"/>
              </w:rPr>
            </w:pPr>
            <w:r w:rsidRPr="008946B0">
              <w:rPr>
                <w:rFonts w:eastAsia="Calibri"/>
                <w:szCs w:val="22"/>
                <w:lang w:val="en-GB"/>
              </w:rPr>
              <w:t>1.08</w:t>
            </w:r>
          </w:p>
        </w:tc>
        <w:tc>
          <w:tcPr>
            <w:tcW w:w="1107" w:type="dxa"/>
            <w:vAlign w:val="center"/>
          </w:tcPr>
          <w:p w14:paraId="7818E70E" w14:textId="77777777" w:rsidR="005A47F3" w:rsidRPr="008946B0" w:rsidRDefault="00AB77EF">
            <w:pPr>
              <w:jc w:val="center"/>
              <w:rPr>
                <w:rFonts w:eastAsia="Calibri"/>
                <w:szCs w:val="22"/>
                <w:lang w:val="en-GB"/>
              </w:rPr>
            </w:pPr>
            <w:r w:rsidRPr="008946B0">
              <w:rPr>
                <w:rFonts w:eastAsia="Calibri"/>
                <w:szCs w:val="22"/>
                <w:lang w:val="en-GB"/>
              </w:rPr>
              <w:t>1.04</w:t>
            </w:r>
          </w:p>
        </w:tc>
      </w:tr>
      <w:tr w:rsidR="005A47F3" w:rsidRPr="008946B0" w14:paraId="0AA0AE5F" w14:textId="77777777">
        <w:trPr>
          <w:cantSplit/>
          <w:jc w:val="center"/>
        </w:trPr>
        <w:tc>
          <w:tcPr>
            <w:tcW w:w="1387" w:type="dxa"/>
            <w:vAlign w:val="center"/>
          </w:tcPr>
          <w:p w14:paraId="32B33008" w14:textId="77777777" w:rsidR="005A47F3" w:rsidRPr="008946B0" w:rsidRDefault="00AB77EF">
            <w:pPr>
              <w:spacing w:after="60"/>
              <w:rPr>
                <w:rFonts w:eastAsia="Calibri"/>
                <w:szCs w:val="22"/>
                <w:lang w:val="en-GB"/>
              </w:rPr>
            </w:pPr>
            <w:r w:rsidRPr="008946B0">
              <w:rPr>
                <w:rFonts w:eastAsia="Calibri"/>
                <w:szCs w:val="22"/>
                <w:lang w:val="en-GB"/>
              </w:rPr>
              <w:t>High-speed</w:t>
            </w:r>
            <w:r w:rsidRPr="008946B0">
              <w:rPr>
                <w:rFonts w:eastAsia="Calibri"/>
                <w:szCs w:val="22"/>
                <w:lang w:val="en-GB"/>
              </w:rPr>
              <w:br/>
              <w:t>rail segment</w:t>
            </w:r>
          </w:p>
        </w:tc>
        <w:tc>
          <w:tcPr>
            <w:tcW w:w="1367" w:type="dxa"/>
            <w:vMerge/>
            <w:vAlign w:val="center"/>
          </w:tcPr>
          <w:p w14:paraId="1F466153" w14:textId="77777777" w:rsidR="005A47F3" w:rsidRPr="008946B0" w:rsidRDefault="005A47F3">
            <w:pPr>
              <w:jc w:val="center"/>
              <w:rPr>
                <w:rFonts w:eastAsia="Calibri"/>
                <w:szCs w:val="22"/>
                <w:lang w:val="en-GB"/>
              </w:rPr>
            </w:pPr>
          </w:p>
        </w:tc>
        <w:tc>
          <w:tcPr>
            <w:tcW w:w="1367" w:type="dxa"/>
            <w:vMerge/>
            <w:vAlign w:val="center"/>
          </w:tcPr>
          <w:p w14:paraId="6A106C64" w14:textId="77777777" w:rsidR="005A47F3" w:rsidRPr="008946B0" w:rsidRDefault="005A47F3">
            <w:pPr>
              <w:jc w:val="center"/>
              <w:rPr>
                <w:rFonts w:eastAsia="Calibri"/>
                <w:szCs w:val="22"/>
                <w:lang w:val="en-GB"/>
              </w:rPr>
            </w:pPr>
          </w:p>
        </w:tc>
        <w:tc>
          <w:tcPr>
            <w:tcW w:w="1367" w:type="dxa"/>
            <w:vAlign w:val="center"/>
          </w:tcPr>
          <w:p w14:paraId="131B1DDC" w14:textId="77777777" w:rsidR="005A47F3" w:rsidRPr="008946B0" w:rsidRDefault="00AB77EF">
            <w:pPr>
              <w:jc w:val="center"/>
              <w:rPr>
                <w:rFonts w:eastAsia="Calibri"/>
                <w:szCs w:val="22"/>
                <w:lang w:val="en-GB"/>
              </w:rPr>
            </w:pPr>
            <w:r w:rsidRPr="008946B0">
              <w:rPr>
                <w:rFonts w:eastAsia="Calibri"/>
                <w:szCs w:val="22"/>
                <w:lang w:val="en-GB"/>
              </w:rPr>
              <w:t>0.5</w:t>
            </w:r>
          </w:p>
        </w:tc>
        <w:tc>
          <w:tcPr>
            <w:tcW w:w="1037" w:type="dxa"/>
            <w:vMerge/>
            <w:vAlign w:val="center"/>
          </w:tcPr>
          <w:p w14:paraId="1255391F" w14:textId="77777777" w:rsidR="005A47F3" w:rsidRPr="008946B0" w:rsidRDefault="005A47F3">
            <w:pPr>
              <w:jc w:val="center"/>
              <w:rPr>
                <w:rFonts w:eastAsia="Calibri"/>
                <w:szCs w:val="22"/>
                <w:lang w:val="en-GB"/>
              </w:rPr>
            </w:pPr>
          </w:p>
        </w:tc>
        <w:tc>
          <w:tcPr>
            <w:tcW w:w="1107" w:type="dxa"/>
            <w:vAlign w:val="center"/>
          </w:tcPr>
          <w:p w14:paraId="6A7D1694" w14:textId="77777777" w:rsidR="005A47F3" w:rsidRPr="008946B0" w:rsidRDefault="00AB77EF">
            <w:pPr>
              <w:jc w:val="center"/>
              <w:rPr>
                <w:rFonts w:eastAsia="Calibri"/>
                <w:szCs w:val="22"/>
                <w:lang w:val="en-GB"/>
              </w:rPr>
            </w:pPr>
            <w:r w:rsidRPr="008946B0">
              <w:rPr>
                <w:rFonts w:eastAsia="Calibri"/>
                <w:szCs w:val="22"/>
                <w:lang w:val="en-GB"/>
              </w:rPr>
              <w:t>0.80</w:t>
            </w:r>
          </w:p>
        </w:tc>
        <w:tc>
          <w:tcPr>
            <w:tcW w:w="1107" w:type="dxa"/>
            <w:vAlign w:val="center"/>
          </w:tcPr>
          <w:p w14:paraId="5BD80E12" w14:textId="77777777" w:rsidR="005A47F3" w:rsidRPr="008946B0" w:rsidRDefault="00AB77EF">
            <w:pPr>
              <w:jc w:val="center"/>
              <w:rPr>
                <w:rFonts w:eastAsia="Calibri"/>
                <w:szCs w:val="22"/>
                <w:lang w:val="en-GB"/>
              </w:rPr>
            </w:pPr>
            <w:r w:rsidRPr="008946B0">
              <w:rPr>
                <w:rFonts w:eastAsia="Calibri"/>
                <w:szCs w:val="22"/>
                <w:lang w:val="en-GB"/>
              </w:rPr>
              <w:t>0.77</w:t>
            </w:r>
          </w:p>
        </w:tc>
      </w:tr>
      <w:tr w:rsidR="005A47F3" w:rsidRPr="008946B0" w14:paraId="3D36D68A" w14:textId="77777777">
        <w:trPr>
          <w:cantSplit/>
          <w:jc w:val="center"/>
        </w:trPr>
        <w:tc>
          <w:tcPr>
            <w:tcW w:w="8739" w:type="dxa"/>
            <w:gridSpan w:val="7"/>
            <w:vAlign w:val="center"/>
          </w:tcPr>
          <w:p w14:paraId="514E2038" w14:textId="65D2CBD6" w:rsidR="005A47F3" w:rsidRPr="008946B0" w:rsidRDefault="00AB77EF" w:rsidP="002374ED">
            <w:pPr>
              <w:spacing w:after="60"/>
              <w:ind w:left="284" w:hanging="284"/>
              <w:rPr>
                <w:sz w:val="16"/>
                <w:szCs w:val="16"/>
                <w:lang w:val="en-GB"/>
              </w:rPr>
            </w:pPr>
            <w:r w:rsidRPr="008946B0">
              <w:rPr>
                <w:sz w:val="16"/>
                <w:szCs w:val="16"/>
                <w:lang w:val="en-GB"/>
              </w:rPr>
              <w:t xml:space="preserve">Note: The cell size reflected in this table </w:t>
            </w:r>
            <w:r w:rsidR="00441647" w:rsidRPr="008946B0">
              <w:rPr>
                <w:sz w:val="16"/>
                <w:szCs w:val="16"/>
                <w:lang w:val="en-GB"/>
              </w:rPr>
              <w:t>is</w:t>
            </w:r>
            <w:r w:rsidRPr="008946B0">
              <w:rPr>
                <w:sz w:val="16"/>
                <w:szCs w:val="16"/>
                <w:lang w:val="en-GB"/>
              </w:rPr>
              <w:t xml:space="preserve"> based on typical GSM-R networks currently in use. </w:t>
            </w:r>
            <w:r w:rsidR="00441647" w:rsidRPr="008946B0">
              <w:rPr>
                <w:sz w:val="16"/>
                <w:szCs w:val="16"/>
                <w:lang w:val="en-GB"/>
              </w:rPr>
              <w:t>T</w:t>
            </w:r>
            <w:r w:rsidRPr="008946B0">
              <w:rPr>
                <w:sz w:val="16"/>
                <w:szCs w:val="16"/>
                <w:lang w:val="en-GB"/>
              </w:rPr>
              <w:t>his assumes that FRMCS would be deployed on the same radio sites without further densification.</w:t>
            </w:r>
          </w:p>
        </w:tc>
      </w:tr>
    </w:tbl>
    <w:p w14:paraId="27F481EE" w14:textId="65DCBA6F" w:rsidR="005A47F3" w:rsidRPr="008946B0" w:rsidRDefault="00AB77EF" w:rsidP="00A01D64">
      <w:pPr>
        <w:pStyle w:val="ECCParagraph"/>
        <w:spacing w:before="240" w:after="60"/>
        <w:rPr>
          <w:rFonts w:eastAsia="Calibri"/>
        </w:rPr>
      </w:pPr>
      <w:r w:rsidRPr="008946B0">
        <w:rPr>
          <w:rFonts w:eastAsia="Calibri"/>
        </w:rPr>
        <w:t xml:space="preserve">The reason for isolating a scenario without critical video is to see the conditions on one </w:t>
      </w:r>
      <w:r w:rsidR="004548B7" w:rsidRPr="008946B0">
        <w:rPr>
          <w:rFonts w:eastAsia="Calibri"/>
        </w:rPr>
        <w:t>hand</w:t>
      </w:r>
      <w:r w:rsidRPr="008946B0">
        <w:rPr>
          <w:rFonts w:eastAsia="Calibri"/>
        </w:rPr>
        <w:t xml:space="preserve"> for the evolving continuity of the services today ensured through GSM-R, and on the other </w:t>
      </w:r>
      <w:r w:rsidR="004548B7" w:rsidRPr="008946B0">
        <w:rPr>
          <w:rFonts w:eastAsia="Calibri"/>
        </w:rPr>
        <w:t>hand to reflect</w:t>
      </w:r>
      <w:r w:rsidRPr="008946B0">
        <w:rPr>
          <w:rFonts w:eastAsia="Calibri"/>
        </w:rPr>
        <w:t xml:space="preserve"> the progressive impact </w:t>
      </w:r>
      <w:r w:rsidR="00E8037A" w:rsidRPr="008946B0">
        <w:rPr>
          <w:rFonts w:eastAsia="Calibri"/>
        </w:rPr>
        <w:t xml:space="preserve">foreseen </w:t>
      </w:r>
      <w:r w:rsidRPr="008946B0">
        <w:rPr>
          <w:rFonts w:eastAsia="Calibri"/>
        </w:rPr>
        <w:t xml:space="preserve">within the next 15 years </w:t>
      </w:r>
      <w:r w:rsidR="004548B7" w:rsidRPr="008946B0">
        <w:rPr>
          <w:rFonts w:eastAsia="Calibri"/>
        </w:rPr>
        <w:t>caused by</w:t>
      </w:r>
      <w:r w:rsidRPr="008946B0">
        <w:rPr>
          <w:rFonts w:eastAsia="Calibri"/>
        </w:rPr>
        <w:t xml:space="preserve"> the introduction of autonomous trains and </w:t>
      </w:r>
      <w:r w:rsidR="004548B7" w:rsidRPr="008946B0">
        <w:rPr>
          <w:rFonts w:eastAsia="Calibri"/>
        </w:rPr>
        <w:t xml:space="preserve">the </w:t>
      </w:r>
      <w:r w:rsidRPr="008946B0">
        <w:rPr>
          <w:rFonts w:eastAsia="Calibri"/>
        </w:rPr>
        <w:t xml:space="preserve">related modernisation </w:t>
      </w:r>
      <w:r w:rsidR="004548B7" w:rsidRPr="008946B0">
        <w:rPr>
          <w:rFonts w:eastAsia="Calibri"/>
        </w:rPr>
        <w:t xml:space="preserve">of </w:t>
      </w:r>
      <w:r w:rsidRPr="008946B0">
        <w:rPr>
          <w:rFonts w:eastAsia="Calibri"/>
        </w:rPr>
        <w:t>applications. These are constitutive elements of the European railway strategy</w:t>
      </w:r>
      <w:r w:rsidRPr="008946B0">
        <w:rPr>
          <w:rFonts w:eastAsia="Calibri"/>
          <w:vertAlign w:val="superscript"/>
        </w:rPr>
        <w:footnoteReference w:id="9"/>
      </w:r>
      <w:r w:rsidRPr="008946B0">
        <w:rPr>
          <w:rFonts w:eastAsia="Calibri"/>
        </w:rPr>
        <w:t xml:space="preserve">, which </w:t>
      </w:r>
      <w:r w:rsidR="004548B7" w:rsidRPr="008946B0">
        <w:rPr>
          <w:rFonts w:eastAsia="Calibri"/>
        </w:rPr>
        <w:t>is about to happen</w:t>
      </w:r>
      <w:r w:rsidRPr="008946B0">
        <w:rPr>
          <w:rFonts w:eastAsia="Calibri"/>
        </w:rPr>
        <w:t xml:space="preserve"> at very different pace in the various European countries.</w:t>
      </w:r>
    </w:p>
    <w:p w14:paraId="6A2955E9" w14:textId="17A9B3B8" w:rsidR="005A47F3" w:rsidRPr="008946B0" w:rsidRDefault="0026027B">
      <w:pPr>
        <w:pStyle w:val="Heading2"/>
        <w:rPr>
          <w:lang w:val="en-GB"/>
        </w:rPr>
      </w:pPr>
      <w:bookmarkStart w:id="44" w:name="_Toc42722819"/>
      <w:r w:rsidRPr="008946B0">
        <w:rPr>
          <w:lang w:val="en-GB"/>
        </w:rPr>
        <w:t xml:space="preserve">FRMCS </w:t>
      </w:r>
      <w:r w:rsidR="00AB77EF" w:rsidRPr="008946B0">
        <w:rPr>
          <w:lang w:val="en-GB"/>
        </w:rPr>
        <w:t>Throughput required by target critical applications</w:t>
      </w:r>
      <w:bookmarkEnd w:id="44"/>
    </w:p>
    <w:p w14:paraId="4ED1AC4D" w14:textId="77777777" w:rsidR="005A47F3" w:rsidRPr="008946B0" w:rsidRDefault="00AB77EF">
      <w:pPr>
        <w:spacing w:before="240" w:after="60" w:line="240" w:lineRule="auto"/>
        <w:jc w:val="both"/>
        <w:rPr>
          <w:rFonts w:eastAsia="Calibri"/>
          <w:szCs w:val="22"/>
          <w:lang w:val="en-GB"/>
        </w:rPr>
      </w:pPr>
      <w:r w:rsidRPr="008946B0">
        <w:rPr>
          <w:rFonts w:eastAsia="Calibri"/>
          <w:szCs w:val="22"/>
          <w:lang w:val="en-GB"/>
        </w:rPr>
        <w:t>The target critical applications include the current critical GSM-R functionality as well as the new critical applications foreseen for the successor, which are ETCS L3, relevant subset of Automatic Train Operation, Virtual Coupling, etc.</w:t>
      </w:r>
    </w:p>
    <w:p w14:paraId="5CCBEBF3" w14:textId="77777777" w:rsidR="005A47F3" w:rsidRPr="008946B0" w:rsidRDefault="00AB77EF">
      <w:pPr>
        <w:spacing w:before="240" w:after="60" w:line="240" w:lineRule="auto"/>
        <w:jc w:val="center"/>
        <w:rPr>
          <w:rFonts w:eastAsia="Calibri"/>
          <w:szCs w:val="22"/>
          <w:lang w:val="en-GB"/>
        </w:rPr>
      </w:pPr>
      <w:r w:rsidRPr="008946B0">
        <w:rPr>
          <w:rFonts w:eastAsia="Calibri"/>
          <w:noProof/>
          <w:szCs w:val="22"/>
          <w:lang w:val="fr-FR" w:eastAsia="fr-FR"/>
        </w:rPr>
        <w:drawing>
          <wp:inline distT="0" distB="0" distL="114300" distR="114300" wp14:anchorId="53330A94" wp14:editId="6829B9A3">
            <wp:extent cx="6022340" cy="225552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pic:cNvPicPr>
                  </pic:nvPicPr>
                  <pic:blipFill>
                    <a:blip r:embed="rId15"/>
                    <a:stretch>
                      <a:fillRect/>
                    </a:stretch>
                  </pic:blipFill>
                  <pic:spPr>
                    <a:xfrm>
                      <a:off x="0" y="0"/>
                      <a:ext cx="6022340" cy="2255520"/>
                    </a:xfrm>
                    <a:prstGeom prst="rect">
                      <a:avLst/>
                    </a:prstGeom>
                    <a:noFill/>
                    <a:ln w="9525">
                      <a:noFill/>
                    </a:ln>
                  </pic:spPr>
                </pic:pic>
              </a:graphicData>
            </a:graphic>
          </wp:inline>
        </w:drawing>
      </w:r>
    </w:p>
    <w:p w14:paraId="1627AB49" w14:textId="4DB78390" w:rsidR="005A47F3" w:rsidRPr="008946B0" w:rsidRDefault="00AB77EF">
      <w:pPr>
        <w:pStyle w:val="Caption"/>
        <w:rPr>
          <w:lang w:val="en-GB"/>
        </w:rPr>
      </w:pPr>
      <w:r w:rsidRPr="008946B0">
        <w:rPr>
          <w:lang w:val="en-GB"/>
        </w:rPr>
        <w:t xml:space="preserve">Figure </w:t>
      </w:r>
      <w:r w:rsidRPr="008946B0">
        <w:rPr>
          <w:lang w:val="en-GB"/>
        </w:rPr>
        <w:fldChar w:fldCharType="begin"/>
      </w:r>
      <w:r w:rsidRPr="008946B0">
        <w:rPr>
          <w:lang w:val="en-GB"/>
        </w:rPr>
        <w:instrText xml:space="preserve"> SEQ Figure \* ARABIC </w:instrText>
      </w:r>
      <w:r w:rsidRPr="008946B0">
        <w:rPr>
          <w:lang w:val="en-GB"/>
        </w:rPr>
        <w:fldChar w:fldCharType="separate"/>
      </w:r>
      <w:r w:rsidR="00CF6E1D" w:rsidRPr="008946B0">
        <w:rPr>
          <w:lang w:val="en-GB"/>
        </w:rPr>
        <w:t>1</w:t>
      </w:r>
      <w:r w:rsidRPr="008946B0">
        <w:rPr>
          <w:lang w:val="en-GB"/>
        </w:rPr>
        <w:fldChar w:fldCharType="end"/>
      </w:r>
      <w:r w:rsidRPr="008946B0">
        <w:rPr>
          <w:lang w:val="en-GB"/>
        </w:rPr>
        <w:t>: Principle of Virtual Coupling</w:t>
      </w:r>
    </w:p>
    <w:p w14:paraId="0AE2D97A" w14:textId="5FE91295" w:rsidR="005A47F3" w:rsidRPr="008946B0" w:rsidRDefault="00AB77EF">
      <w:pPr>
        <w:spacing w:before="240" w:after="60" w:line="240" w:lineRule="auto"/>
        <w:jc w:val="both"/>
        <w:rPr>
          <w:rFonts w:eastAsia="Calibri"/>
          <w:szCs w:val="22"/>
          <w:lang w:val="en-GB"/>
        </w:rPr>
      </w:pPr>
      <w:r w:rsidRPr="008946B0">
        <w:rPr>
          <w:rFonts w:eastAsia="Calibri"/>
          <w:szCs w:val="22"/>
          <w:lang w:val="en-GB"/>
        </w:rPr>
        <w:t>Virtual Coupling: The following train receives speed and brake control data from the lead</w:t>
      </w:r>
      <w:r w:rsidR="00B4118C" w:rsidRPr="008946B0">
        <w:rPr>
          <w:rFonts w:eastAsia="Calibri"/>
          <w:szCs w:val="22"/>
          <w:lang w:val="en-GB"/>
        </w:rPr>
        <w:t>ing train</w:t>
      </w:r>
      <w:r w:rsidRPr="008946B0">
        <w:rPr>
          <w:rFonts w:eastAsia="Calibri"/>
          <w:szCs w:val="22"/>
          <w:lang w:val="en-GB"/>
        </w:rPr>
        <w:t xml:space="preserve"> (train-to-train communication). This system allows a reduction of the distance between trains and increases the capacity of transport.</w:t>
      </w:r>
    </w:p>
    <w:p w14:paraId="3BBDDB83" w14:textId="16871F52"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The following tables show the traffic to be handled after the migration period, which includes additional applications (as presented in section </w:t>
      </w:r>
      <w:r w:rsidR="00CF6E1D" w:rsidRPr="008946B0">
        <w:rPr>
          <w:rFonts w:eastAsia="Calibri"/>
          <w:szCs w:val="22"/>
          <w:lang w:val="en-GB"/>
        </w:rPr>
        <w:fldChar w:fldCharType="begin"/>
      </w:r>
      <w:r w:rsidR="00CF6E1D" w:rsidRPr="008946B0">
        <w:rPr>
          <w:rFonts w:eastAsia="Calibri"/>
          <w:szCs w:val="22"/>
          <w:lang w:val="en-GB"/>
        </w:rPr>
        <w:instrText xml:space="preserve"> REF _Ref34309003 \r \h </w:instrText>
      </w:r>
      <w:r w:rsidR="00CF6E1D" w:rsidRPr="008946B0">
        <w:rPr>
          <w:rFonts w:eastAsia="Calibri"/>
          <w:szCs w:val="22"/>
          <w:lang w:val="en-GB"/>
        </w:rPr>
      </w:r>
      <w:r w:rsidR="00CF6E1D" w:rsidRPr="008946B0">
        <w:rPr>
          <w:rFonts w:eastAsia="Calibri"/>
          <w:szCs w:val="22"/>
          <w:lang w:val="en-GB"/>
        </w:rPr>
        <w:fldChar w:fldCharType="separate"/>
      </w:r>
      <w:r w:rsidR="00CF6E1D" w:rsidRPr="008946B0">
        <w:rPr>
          <w:rFonts w:eastAsia="Calibri"/>
          <w:szCs w:val="22"/>
          <w:lang w:val="en-GB"/>
        </w:rPr>
        <w:t>3.2</w:t>
      </w:r>
      <w:r w:rsidR="00CF6E1D" w:rsidRPr="008946B0">
        <w:rPr>
          <w:rFonts w:eastAsia="Calibri"/>
          <w:szCs w:val="22"/>
          <w:lang w:val="en-GB"/>
        </w:rPr>
        <w:fldChar w:fldCharType="end"/>
      </w:r>
      <w:r w:rsidRPr="008946B0">
        <w:rPr>
          <w:rFonts w:eastAsia="Calibri"/>
          <w:szCs w:val="22"/>
          <w:lang w:val="en-GB"/>
        </w:rPr>
        <w:t>).</w:t>
      </w:r>
    </w:p>
    <w:p w14:paraId="7D9B0149" w14:textId="45C63859" w:rsidR="005A47F3" w:rsidRPr="008946B0" w:rsidRDefault="00AB77EF">
      <w:pPr>
        <w:pStyle w:val="Caption"/>
        <w:rPr>
          <w:lang w:val="en-GB"/>
        </w:rPr>
      </w:pPr>
      <w:r w:rsidRPr="008946B0">
        <w:rPr>
          <w:lang w:val="en-GB"/>
        </w:rPr>
        <w:t xml:space="preserve">Table </w:t>
      </w:r>
      <w:r w:rsidRPr="008946B0">
        <w:rPr>
          <w:lang w:val="en-GB"/>
        </w:rPr>
        <w:fldChar w:fldCharType="begin"/>
      </w:r>
      <w:r w:rsidRPr="008946B0">
        <w:rPr>
          <w:lang w:val="en-GB"/>
        </w:rPr>
        <w:instrText xml:space="preserve"> SEQ Table \* ARABIC </w:instrText>
      </w:r>
      <w:r w:rsidRPr="008946B0">
        <w:rPr>
          <w:lang w:val="en-GB"/>
        </w:rPr>
        <w:fldChar w:fldCharType="separate"/>
      </w:r>
      <w:r w:rsidR="00CF6E1D" w:rsidRPr="008946B0">
        <w:rPr>
          <w:lang w:val="en-GB"/>
        </w:rPr>
        <w:t>4</w:t>
      </w:r>
      <w:r w:rsidRPr="008946B0">
        <w:rPr>
          <w:lang w:val="en-GB"/>
        </w:rPr>
        <w:fldChar w:fldCharType="end"/>
      </w:r>
      <w:r w:rsidRPr="008946B0">
        <w:rPr>
          <w:lang w:val="en-GB"/>
        </w:rPr>
        <w:t xml:space="preserve">: Target traffic for each area type, </w:t>
      </w:r>
      <w:r w:rsidRPr="008946B0">
        <w:rPr>
          <w:u w:val="single"/>
          <w:lang w:val="en-GB"/>
        </w:rPr>
        <w:t>including</w:t>
      </w:r>
      <w:r w:rsidRPr="008946B0">
        <w:rPr>
          <w:lang w:val="en-GB"/>
        </w:rPr>
        <w:t xml:space="preserve"> critical video</w:t>
      </w:r>
    </w:p>
    <w:tbl>
      <w:tblPr>
        <w:tblW w:w="8739"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4A0" w:firstRow="1" w:lastRow="0" w:firstColumn="1" w:lastColumn="0" w:noHBand="0" w:noVBand="1"/>
      </w:tblPr>
      <w:tblGrid>
        <w:gridCol w:w="1387"/>
        <w:gridCol w:w="1367"/>
        <w:gridCol w:w="1367"/>
        <w:gridCol w:w="1367"/>
        <w:gridCol w:w="1037"/>
        <w:gridCol w:w="1107"/>
        <w:gridCol w:w="1107"/>
      </w:tblGrid>
      <w:tr w:rsidR="005A47F3" w:rsidRPr="008946B0" w14:paraId="551B1898" w14:textId="77777777">
        <w:trPr>
          <w:cantSplit/>
          <w:tblHeader/>
          <w:jc w:val="center"/>
        </w:trPr>
        <w:tc>
          <w:tcPr>
            <w:tcW w:w="1387" w:type="dxa"/>
            <w:tcBorders>
              <w:right w:val="single" w:sz="8" w:space="0" w:color="FFFFFF"/>
            </w:tcBorders>
            <w:shd w:val="clear" w:color="auto" w:fill="D2232A"/>
            <w:vAlign w:val="center"/>
          </w:tcPr>
          <w:p w14:paraId="3E8D3F69" w14:textId="77777777" w:rsidR="005A47F3" w:rsidRPr="008946B0" w:rsidRDefault="005A47F3">
            <w:pPr>
              <w:keepNext/>
              <w:spacing w:line="288" w:lineRule="auto"/>
              <w:rPr>
                <w:b/>
                <w:color w:val="FFFFFF"/>
                <w:sz w:val="18"/>
                <w:lang w:val="en-GB"/>
              </w:rPr>
            </w:pPr>
          </w:p>
        </w:tc>
        <w:tc>
          <w:tcPr>
            <w:tcW w:w="1367" w:type="dxa"/>
            <w:tcBorders>
              <w:left w:val="single" w:sz="8" w:space="0" w:color="FFFFFF"/>
              <w:right w:val="single" w:sz="8" w:space="0" w:color="FFFFFF"/>
            </w:tcBorders>
            <w:shd w:val="clear" w:color="auto" w:fill="D2232A"/>
            <w:vAlign w:val="center"/>
          </w:tcPr>
          <w:p w14:paraId="4BC67C94" w14:textId="77777777" w:rsidR="005A47F3" w:rsidRPr="008946B0" w:rsidRDefault="00AB77EF" w:rsidP="00742980">
            <w:pPr>
              <w:spacing w:after="60" w:line="240" w:lineRule="auto"/>
              <w:jc w:val="center"/>
              <w:rPr>
                <w:b/>
                <w:color w:val="FFFFFF"/>
                <w:sz w:val="18"/>
                <w:lang w:val="en-GB"/>
              </w:rPr>
            </w:pPr>
            <w:r w:rsidRPr="008946B0">
              <w:rPr>
                <w:b/>
                <w:color w:val="FFFFFF"/>
                <w:sz w:val="18"/>
                <w:lang w:val="en-GB"/>
              </w:rPr>
              <w:t>DL traffic</w:t>
            </w:r>
          </w:p>
          <w:p w14:paraId="18A62704" w14:textId="77777777" w:rsidR="005A47F3" w:rsidRPr="008946B0" w:rsidRDefault="00AB77EF" w:rsidP="00742980">
            <w:pPr>
              <w:spacing w:after="60" w:line="240" w:lineRule="auto"/>
              <w:jc w:val="center"/>
              <w:rPr>
                <w:b/>
                <w:color w:val="FFFFFF"/>
                <w:sz w:val="18"/>
                <w:lang w:val="en-GB"/>
              </w:rPr>
            </w:pPr>
            <w:r w:rsidRPr="008946B0">
              <w:rPr>
                <w:b/>
                <w:color w:val="FFFFFF"/>
                <w:sz w:val="18"/>
                <w:lang w:val="en-GB"/>
              </w:rPr>
              <w:t>per ref. train</w:t>
            </w:r>
          </w:p>
          <w:p w14:paraId="3933717C" w14:textId="77777777" w:rsidR="005A47F3" w:rsidRPr="008946B0" w:rsidRDefault="00AB77EF" w:rsidP="00742980">
            <w:pPr>
              <w:spacing w:after="60" w:line="240" w:lineRule="auto"/>
              <w:jc w:val="center"/>
              <w:rPr>
                <w:b/>
                <w:color w:val="FFFFFF"/>
                <w:sz w:val="18"/>
                <w:lang w:val="en-GB"/>
              </w:rPr>
            </w:pPr>
            <w:r w:rsidRPr="008946B0">
              <w:rPr>
                <w:b/>
                <w:color w:val="FFFFFF"/>
                <w:sz w:val="18"/>
                <w:lang w:val="en-GB"/>
              </w:rPr>
              <w:t>(Mb/s)</w:t>
            </w:r>
          </w:p>
        </w:tc>
        <w:tc>
          <w:tcPr>
            <w:tcW w:w="1367" w:type="dxa"/>
            <w:tcBorders>
              <w:left w:val="single" w:sz="8" w:space="0" w:color="FFFFFF"/>
              <w:right w:val="single" w:sz="8" w:space="0" w:color="FFFFFF"/>
            </w:tcBorders>
            <w:shd w:val="clear" w:color="auto" w:fill="D2232A"/>
            <w:vAlign w:val="center"/>
          </w:tcPr>
          <w:p w14:paraId="05958242" w14:textId="77777777" w:rsidR="005A47F3" w:rsidRPr="008946B0" w:rsidRDefault="00AB77EF" w:rsidP="00742980">
            <w:pPr>
              <w:spacing w:after="60" w:line="240" w:lineRule="auto"/>
              <w:jc w:val="center"/>
              <w:rPr>
                <w:b/>
                <w:color w:val="FFFFFF"/>
                <w:sz w:val="18"/>
                <w:lang w:val="en-GB"/>
              </w:rPr>
            </w:pPr>
            <w:r w:rsidRPr="008946B0">
              <w:rPr>
                <w:b/>
                <w:color w:val="FFFFFF"/>
                <w:sz w:val="18"/>
                <w:lang w:val="en-GB"/>
              </w:rPr>
              <w:t>UL traffic</w:t>
            </w:r>
          </w:p>
          <w:p w14:paraId="53B2DA25" w14:textId="77777777" w:rsidR="005A47F3" w:rsidRPr="008946B0" w:rsidRDefault="00AB77EF" w:rsidP="00742980">
            <w:pPr>
              <w:spacing w:after="60" w:line="240" w:lineRule="auto"/>
              <w:jc w:val="center"/>
              <w:rPr>
                <w:b/>
                <w:color w:val="FFFFFF"/>
                <w:sz w:val="18"/>
                <w:lang w:val="en-GB"/>
              </w:rPr>
            </w:pPr>
            <w:r w:rsidRPr="008946B0">
              <w:rPr>
                <w:b/>
                <w:color w:val="FFFFFF"/>
                <w:sz w:val="18"/>
                <w:lang w:val="en-GB"/>
              </w:rPr>
              <w:t>per ref. train</w:t>
            </w:r>
          </w:p>
          <w:p w14:paraId="0F6791D0" w14:textId="77777777" w:rsidR="005A47F3" w:rsidRPr="008946B0" w:rsidRDefault="00AB77EF" w:rsidP="00742980">
            <w:pPr>
              <w:spacing w:after="60" w:line="240" w:lineRule="auto"/>
              <w:jc w:val="center"/>
              <w:rPr>
                <w:b/>
                <w:color w:val="FFFFFF"/>
                <w:sz w:val="18"/>
                <w:lang w:val="en-GB"/>
              </w:rPr>
            </w:pPr>
            <w:r w:rsidRPr="008946B0">
              <w:rPr>
                <w:b/>
                <w:color w:val="FFFFFF"/>
                <w:sz w:val="18"/>
                <w:lang w:val="en-GB"/>
              </w:rPr>
              <w:t>(Mb/s)</w:t>
            </w:r>
          </w:p>
        </w:tc>
        <w:tc>
          <w:tcPr>
            <w:tcW w:w="1367" w:type="dxa"/>
            <w:tcBorders>
              <w:left w:val="single" w:sz="8" w:space="0" w:color="FFFFFF"/>
              <w:right w:val="single" w:sz="8" w:space="0" w:color="FFFFFF"/>
            </w:tcBorders>
            <w:shd w:val="clear" w:color="auto" w:fill="D2232A"/>
            <w:vAlign w:val="center"/>
          </w:tcPr>
          <w:p w14:paraId="1351A046" w14:textId="77777777" w:rsidR="005A47F3" w:rsidRPr="008946B0" w:rsidRDefault="00AB77EF" w:rsidP="00742980">
            <w:pPr>
              <w:spacing w:after="60" w:line="240" w:lineRule="auto"/>
              <w:jc w:val="center"/>
              <w:rPr>
                <w:b/>
                <w:color w:val="FFFFFF"/>
                <w:sz w:val="18"/>
                <w:lang w:val="en-GB"/>
              </w:rPr>
            </w:pPr>
            <w:r w:rsidRPr="008946B0">
              <w:rPr>
                <w:b/>
                <w:color w:val="FFFFFF"/>
                <w:sz w:val="18"/>
                <w:lang w:val="en-GB"/>
              </w:rPr>
              <w:t>Nb. of trains</w:t>
            </w:r>
          </w:p>
          <w:p w14:paraId="3D7E4A63" w14:textId="77777777" w:rsidR="005A47F3" w:rsidRPr="008946B0" w:rsidRDefault="00AB77EF" w:rsidP="00742980">
            <w:pPr>
              <w:spacing w:after="60" w:line="240" w:lineRule="auto"/>
              <w:jc w:val="center"/>
              <w:rPr>
                <w:b/>
                <w:color w:val="FFFFFF"/>
                <w:sz w:val="18"/>
                <w:lang w:val="en-GB"/>
              </w:rPr>
            </w:pPr>
            <w:r w:rsidRPr="008946B0">
              <w:rPr>
                <w:b/>
                <w:color w:val="FFFFFF"/>
                <w:sz w:val="18"/>
                <w:lang w:val="en-GB"/>
              </w:rPr>
              <w:t>per km</w:t>
            </w:r>
          </w:p>
        </w:tc>
        <w:tc>
          <w:tcPr>
            <w:tcW w:w="1037" w:type="dxa"/>
            <w:tcBorders>
              <w:left w:val="single" w:sz="8" w:space="0" w:color="FFFFFF"/>
              <w:right w:val="single" w:sz="8" w:space="0" w:color="FFFFFF"/>
            </w:tcBorders>
            <w:shd w:val="clear" w:color="auto" w:fill="D2232A"/>
            <w:vAlign w:val="center"/>
          </w:tcPr>
          <w:p w14:paraId="30F89135" w14:textId="77777777" w:rsidR="005A47F3" w:rsidRPr="008946B0" w:rsidRDefault="00AB77EF" w:rsidP="00742980">
            <w:pPr>
              <w:spacing w:after="60" w:line="240" w:lineRule="auto"/>
              <w:jc w:val="center"/>
              <w:rPr>
                <w:b/>
                <w:color w:val="FFFFFF"/>
                <w:sz w:val="18"/>
                <w:lang w:val="en-GB"/>
              </w:rPr>
            </w:pPr>
            <w:r w:rsidRPr="008946B0">
              <w:rPr>
                <w:b/>
                <w:color w:val="FFFFFF"/>
                <w:sz w:val="18"/>
                <w:lang w:val="en-GB"/>
              </w:rPr>
              <w:t>Cell size</w:t>
            </w:r>
          </w:p>
          <w:p w14:paraId="4AE75E8B" w14:textId="77777777" w:rsidR="005A47F3" w:rsidRPr="008946B0" w:rsidRDefault="00AB77EF" w:rsidP="00742980">
            <w:pPr>
              <w:spacing w:after="60" w:line="240" w:lineRule="auto"/>
              <w:jc w:val="center"/>
              <w:rPr>
                <w:b/>
                <w:color w:val="FFFFFF"/>
                <w:sz w:val="18"/>
                <w:lang w:val="en-GB"/>
              </w:rPr>
            </w:pPr>
            <w:r w:rsidRPr="008946B0">
              <w:rPr>
                <w:b/>
                <w:color w:val="FFFFFF"/>
                <w:sz w:val="18"/>
                <w:lang w:val="en-GB"/>
              </w:rPr>
              <w:t>(km)</w:t>
            </w:r>
          </w:p>
        </w:tc>
        <w:tc>
          <w:tcPr>
            <w:tcW w:w="1107" w:type="dxa"/>
            <w:tcBorders>
              <w:left w:val="single" w:sz="8" w:space="0" w:color="FFFFFF"/>
              <w:right w:val="single" w:sz="8" w:space="0" w:color="FFFFFF"/>
            </w:tcBorders>
            <w:shd w:val="clear" w:color="auto" w:fill="D2232A"/>
            <w:vAlign w:val="center"/>
          </w:tcPr>
          <w:p w14:paraId="2922CE7E" w14:textId="77777777" w:rsidR="005A47F3" w:rsidRPr="008946B0" w:rsidRDefault="00AB77EF" w:rsidP="00742980">
            <w:pPr>
              <w:spacing w:after="60" w:line="240" w:lineRule="auto"/>
              <w:jc w:val="center"/>
              <w:rPr>
                <w:b/>
                <w:color w:val="FFFFFF"/>
                <w:sz w:val="18"/>
                <w:lang w:val="en-GB"/>
              </w:rPr>
            </w:pPr>
            <w:r w:rsidRPr="008946B0">
              <w:rPr>
                <w:b/>
                <w:color w:val="FFFFFF"/>
                <w:sz w:val="18"/>
                <w:lang w:val="en-GB"/>
              </w:rPr>
              <w:t>DL traffic</w:t>
            </w:r>
          </w:p>
          <w:p w14:paraId="37588301" w14:textId="77777777" w:rsidR="005A47F3" w:rsidRPr="008946B0" w:rsidRDefault="00AB77EF" w:rsidP="00742980">
            <w:pPr>
              <w:spacing w:after="60" w:line="240" w:lineRule="auto"/>
              <w:jc w:val="center"/>
              <w:rPr>
                <w:b/>
                <w:color w:val="FFFFFF"/>
                <w:sz w:val="18"/>
                <w:lang w:val="en-GB"/>
              </w:rPr>
            </w:pPr>
            <w:r w:rsidRPr="008946B0">
              <w:rPr>
                <w:b/>
                <w:color w:val="FFFFFF"/>
                <w:sz w:val="18"/>
                <w:lang w:val="en-GB"/>
              </w:rPr>
              <w:t>per cell</w:t>
            </w:r>
          </w:p>
          <w:p w14:paraId="59A67EED" w14:textId="77777777" w:rsidR="005A47F3" w:rsidRPr="008946B0" w:rsidRDefault="00AB77EF" w:rsidP="00742980">
            <w:pPr>
              <w:spacing w:after="60" w:line="240" w:lineRule="auto"/>
              <w:jc w:val="center"/>
              <w:rPr>
                <w:b/>
                <w:color w:val="FFFFFF"/>
                <w:sz w:val="18"/>
                <w:lang w:val="en-GB"/>
              </w:rPr>
            </w:pPr>
            <w:r w:rsidRPr="008946B0">
              <w:rPr>
                <w:b/>
                <w:color w:val="FFFFFF"/>
                <w:sz w:val="18"/>
                <w:lang w:val="en-GB"/>
              </w:rPr>
              <w:t>(Mb/s)</w:t>
            </w:r>
          </w:p>
        </w:tc>
        <w:tc>
          <w:tcPr>
            <w:tcW w:w="1107" w:type="dxa"/>
            <w:tcBorders>
              <w:left w:val="single" w:sz="8" w:space="0" w:color="FFFFFF"/>
              <w:right w:val="single" w:sz="8" w:space="0" w:color="FFFFFF"/>
            </w:tcBorders>
            <w:shd w:val="clear" w:color="auto" w:fill="D2232A"/>
            <w:vAlign w:val="center"/>
          </w:tcPr>
          <w:p w14:paraId="63602176" w14:textId="77777777" w:rsidR="005A47F3" w:rsidRPr="008946B0" w:rsidRDefault="00AB77EF" w:rsidP="00742980">
            <w:pPr>
              <w:spacing w:after="60" w:line="240" w:lineRule="auto"/>
              <w:jc w:val="center"/>
              <w:rPr>
                <w:b/>
                <w:color w:val="FFFFFF"/>
                <w:sz w:val="18"/>
                <w:lang w:val="en-GB"/>
              </w:rPr>
            </w:pPr>
            <w:r w:rsidRPr="008946B0">
              <w:rPr>
                <w:b/>
                <w:color w:val="FFFFFF"/>
                <w:sz w:val="18"/>
                <w:lang w:val="en-GB"/>
              </w:rPr>
              <w:t>UL traffic</w:t>
            </w:r>
          </w:p>
          <w:p w14:paraId="79F0A420" w14:textId="77777777" w:rsidR="005A47F3" w:rsidRPr="008946B0" w:rsidRDefault="00AB77EF" w:rsidP="00742980">
            <w:pPr>
              <w:spacing w:after="60" w:line="240" w:lineRule="auto"/>
              <w:jc w:val="center"/>
              <w:rPr>
                <w:b/>
                <w:color w:val="FFFFFF"/>
                <w:sz w:val="18"/>
                <w:lang w:val="en-GB"/>
              </w:rPr>
            </w:pPr>
            <w:r w:rsidRPr="008946B0">
              <w:rPr>
                <w:b/>
                <w:color w:val="FFFFFF"/>
                <w:sz w:val="18"/>
                <w:lang w:val="en-GB"/>
              </w:rPr>
              <w:t>per cell</w:t>
            </w:r>
          </w:p>
          <w:p w14:paraId="1FD54DEC" w14:textId="77777777" w:rsidR="005A47F3" w:rsidRPr="008946B0" w:rsidRDefault="00AB77EF" w:rsidP="00742980">
            <w:pPr>
              <w:spacing w:after="60" w:line="240" w:lineRule="auto"/>
              <w:jc w:val="center"/>
              <w:rPr>
                <w:b/>
                <w:color w:val="FFFFFF"/>
                <w:sz w:val="18"/>
                <w:lang w:val="en-GB"/>
              </w:rPr>
            </w:pPr>
            <w:r w:rsidRPr="008946B0">
              <w:rPr>
                <w:b/>
                <w:color w:val="FFFFFF"/>
                <w:sz w:val="18"/>
                <w:lang w:val="en-GB"/>
              </w:rPr>
              <w:t>(Mb/s)</w:t>
            </w:r>
          </w:p>
        </w:tc>
      </w:tr>
      <w:tr w:rsidR="005A47F3" w:rsidRPr="008946B0" w14:paraId="211EF971" w14:textId="77777777">
        <w:trPr>
          <w:cantSplit/>
          <w:jc w:val="center"/>
        </w:trPr>
        <w:tc>
          <w:tcPr>
            <w:tcW w:w="1387" w:type="dxa"/>
            <w:vAlign w:val="center"/>
          </w:tcPr>
          <w:p w14:paraId="0B8B7276" w14:textId="1A3DFB1C" w:rsidR="005A47F3" w:rsidRPr="008946B0" w:rsidRDefault="00AB77EF">
            <w:pPr>
              <w:spacing w:after="60"/>
              <w:rPr>
                <w:rFonts w:eastAsia="Calibri"/>
                <w:szCs w:val="22"/>
                <w:lang w:val="en-GB"/>
              </w:rPr>
            </w:pPr>
            <w:r w:rsidRPr="008946B0">
              <w:rPr>
                <w:rFonts w:eastAsia="Calibri"/>
                <w:szCs w:val="22"/>
                <w:lang w:val="en-GB"/>
              </w:rPr>
              <w:t>Low</w:t>
            </w:r>
            <w:r w:rsidR="002374ED">
              <w:rPr>
                <w:rFonts w:eastAsia="Calibri"/>
                <w:szCs w:val="22"/>
                <w:lang w:val="en-GB"/>
              </w:rPr>
              <w:t>-</w:t>
            </w:r>
            <w:r w:rsidRPr="008946B0">
              <w:rPr>
                <w:rFonts w:eastAsia="Calibri"/>
                <w:szCs w:val="22"/>
                <w:lang w:val="en-GB"/>
              </w:rPr>
              <w:t>density</w:t>
            </w:r>
            <w:r w:rsidRPr="008946B0">
              <w:rPr>
                <w:rFonts w:eastAsia="Calibri"/>
                <w:szCs w:val="22"/>
                <w:lang w:val="en-GB"/>
              </w:rPr>
              <w:br/>
              <w:t>rail segment</w:t>
            </w:r>
          </w:p>
        </w:tc>
        <w:tc>
          <w:tcPr>
            <w:tcW w:w="1367" w:type="dxa"/>
            <w:vMerge w:val="restart"/>
            <w:vAlign w:val="center"/>
          </w:tcPr>
          <w:p w14:paraId="7FB2DA47" w14:textId="77777777" w:rsidR="005A47F3" w:rsidRPr="008946B0" w:rsidRDefault="00AB77EF">
            <w:pPr>
              <w:spacing w:after="60"/>
              <w:jc w:val="center"/>
              <w:rPr>
                <w:rFonts w:eastAsia="Calibri"/>
                <w:szCs w:val="22"/>
                <w:lang w:val="en-GB"/>
              </w:rPr>
            </w:pPr>
            <w:r w:rsidRPr="008946B0">
              <w:rPr>
                <w:rFonts w:eastAsia="Calibri"/>
                <w:szCs w:val="22"/>
                <w:lang w:val="en-GB"/>
              </w:rPr>
              <w:t>4.38</w:t>
            </w:r>
          </w:p>
        </w:tc>
        <w:tc>
          <w:tcPr>
            <w:tcW w:w="1367" w:type="dxa"/>
            <w:vMerge w:val="restart"/>
            <w:vAlign w:val="center"/>
          </w:tcPr>
          <w:p w14:paraId="0B6CC597" w14:textId="77777777" w:rsidR="005A47F3" w:rsidRPr="008946B0" w:rsidRDefault="00AB77EF">
            <w:pPr>
              <w:spacing w:after="60"/>
              <w:jc w:val="center"/>
              <w:rPr>
                <w:rFonts w:eastAsia="Calibri"/>
                <w:szCs w:val="22"/>
                <w:lang w:val="en-GB"/>
              </w:rPr>
            </w:pPr>
            <w:r w:rsidRPr="008946B0">
              <w:rPr>
                <w:rFonts w:eastAsia="Calibri"/>
                <w:szCs w:val="22"/>
                <w:lang w:val="en-GB"/>
              </w:rPr>
              <w:t>7.42</w:t>
            </w:r>
          </w:p>
        </w:tc>
        <w:tc>
          <w:tcPr>
            <w:tcW w:w="1367" w:type="dxa"/>
            <w:vAlign w:val="center"/>
          </w:tcPr>
          <w:p w14:paraId="66E4E5A1" w14:textId="77777777" w:rsidR="005A47F3" w:rsidRPr="008946B0" w:rsidRDefault="00AB77EF">
            <w:pPr>
              <w:spacing w:after="60"/>
              <w:jc w:val="center"/>
              <w:rPr>
                <w:rFonts w:eastAsia="Calibri"/>
                <w:szCs w:val="22"/>
                <w:lang w:val="en-GB"/>
              </w:rPr>
            </w:pPr>
            <w:r w:rsidRPr="008946B0">
              <w:rPr>
                <w:rFonts w:eastAsia="Calibri"/>
                <w:szCs w:val="22"/>
                <w:lang w:val="en-GB"/>
              </w:rPr>
              <w:t>0.33</w:t>
            </w:r>
          </w:p>
        </w:tc>
        <w:tc>
          <w:tcPr>
            <w:tcW w:w="1037" w:type="dxa"/>
            <w:vMerge w:val="restart"/>
            <w:vAlign w:val="center"/>
          </w:tcPr>
          <w:p w14:paraId="764A3F08" w14:textId="77777777" w:rsidR="005A47F3" w:rsidRPr="008946B0" w:rsidRDefault="00AB77EF">
            <w:pPr>
              <w:spacing w:after="60"/>
              <w:jc w:val="center"/>
              <w:rPr>
                <w:rFonts w:eastAsia="Calibri"/>
                <w:szCs w:val="22"/>
                <w:lang w:val="en-GB"/>
              </w:rPr>
            </w:pPr>
            <w:r w:rsidRPr="008946B0">
              <w:rPr>
                <w:rFonts w:eastAsia="Calibri"/>
                <w:szCs w:val="22"/>
                <w:lang w:val="en-GB"/>
              </w:rPr>
              <w:t>8</w:t>
            </w:r>
          </w:p>
        </w:tc>
        <w:tc>
          <w:tcPr>
            <w:tcW w:w="1107" w:type="dxa"/>
            <w:vAlign w:val="center"/>
          </w:tcPr>
          <w:p w14:paraId="1961052D" w14:textId="77777777" w:rsidR="005A47F3" w:rsidRPr="008946B0" w:rsidRDefault="00AB77EF">
            <w:pPr>
              <w:spacing w:after="60"/>
              <w:jc w:val="center"/>
              <w:rPr>
                <w:rFonts w:eastAsia="Calibri"/>
                <w:szCs w:val="22"/>
                <w:lang w:val="en-GB"/>
              </w:rPr>
            </w:pPr>
            <w:r w:rsidRPr="008946B0">
              <w:rPr>
                <w:rFonts w:eastAsia="Calibri"/>
                <w:szCs w:val="22"/>
                <w:lang w:val="en-GB"/>
              </w:rPr>
              <w:t>11.55</w:t>
            </w:r>
          </w:p>
        </w:tc>
        <w:tc>
          <w:tcPr>
            <w:tcW w:w="1107" w:type="dxa"/>
            <w:vAlign w:val="center"/>
          </w:tcPr>
          <w:p w14:paraId="3A105F26" w14:textId="77777777" w:rsidR="005A47F3" w:rsidRPr="008946B0" w:rsidRDefault="00AB77EF">
            <w:pPr>
              <w:spacing w:after="60"/>
              <w:jc w:val="center"/>
              <w:rPr>
                <w:rFonts w:eastAsia="Calibri"/>
                <w:szCs w:val="22"/>
                <w:lang w:val="en-GB"/>
              </w:rPr>
            </w:pPr>
            <w:r w:rsidRPr="008946B0">
              <w:rPr>
                <w:rFonts w:eastAsia="Calibri"/>
                <w:szCs w:val="22"/>
                <w:lang w:val="en-GB"/>
              </w:rPr>
              <w:t>19.60</w:t>
            </w:r>
          </w:p>
        </w:tc>
      </w:tr>
      <w:tr w:rsidR="005A47F3" w:rsidRPr="008946B0" w14:paraId="6BAA2B70" w14:textId="77777777">
        <w:trPr>
          <w:cantSplit/>
          <w:jc w:val="center"/>
        </w:trPr>
        <w:tc>
          <w:tcPr>
            <w:tcW w:w="1387" w:type="dxa"/>
            <w:vAlign w:val="center"/>
          </w:tcPr>
          <w:p w14:paraId="3C542637" w14:textId="191B6427" w:rsidR="005A47F3" w:rsidRPr="008946B0" w:rsidRDefault="00AB77EF">
            <w:pPr>
              <w:spacing w:after="60"/>
              <w:rPr>
                <w:rFonts w:eastAsia="Calibri"/>
                <w:szCs w:val="22"/>
                <w:lang w:val="en-GB"/>
              </w:rPr>
            </w:pPr>
            <w:r w:rsidRPr="008946B0">
              <w:rPr>
                <w:rFonts w:eastAsia="Calibri"/>
                <w:szCs w:val="22"/>
                <w:lang w:val="en-GB"/>
              </w:rPr>
              <w:t>High-density</w:t>
            </w:r>
            <w:r w:rsidRPr="008946B0">
              <w:rPr>
                <w:rFonts w:eastAsia="Calibri"/>
                <w:szCs w:val="22"/>
                <w:lang w:val="en-GB"/>
              </w:rPr>
              <w:br/>
              <w:t>rail segment</w:t>
            </w:r>
          </w:p>
        </w:tc>
        <w:tc>
          <w:tcPr>
            <w:tcW w:w="1367" w:type="dxa"/>
            <w:vMerge/>
            <w:vAlign w:val="center"/>
          </w:tcPr>
          <w:p w14:paraId="034ACE5F" w14:textId="77777777" w:rsidR="005A47F3" w:rsidRPr="008946B0" w:rsidRDefault="005A47F3">
            <w:pPr>
              <w:jc w:val="center"/>
              <w:rPr>
                <w:rFonts w:eastAsia="Calibri"/>
                <w:szCs w:val="22"/>
                <w:lang w:val="en-GB"/>
              </w:rPr>
            </w:pPr>
          </w:p>
        </w:tc>
        <w:tc>
          <w:tcPr>
            <w:tcW w:w="1367" w:type="dxa"/>
            <w:vMerge/>
            <w:vAlign w:val="center"/>
          </w:tcPr>
          <w:p w14:paraId="67DBC370" w14:textId="77777777" w:rsidR="005A47F3" w:rsidRPr="008946B0" w:rsidRDefault="005A47F3">
            <w:pPr>
              <w:jc w:val="center"/>
              <w:rPr>
                <w:rFonts w:eastAsia="Calibri"/>
                <w:szCs w:val="22"/>
                <w:lang w:val="en-GB"/>
              </w:rPr>
            </w:pPr>
          </w:p>
        </w:tc>
        <w:tc>
          <w:tcPr>
            <w:tcW w:w="1367" w:type="dxa"/>
            <w:vAlign w:val="center"/>
          </w:tcPr>
          <w:p w14:paraId="74E590FA" w14:textId="77777777" w:rsidR="005A47F3" w:rsidRPr="008946B0" w:rsidRDefault="00AB77EF">
            <w:pPr>
              <w:jc w:val="center"/>
              <w:rPr>
                <w:rFonts w:eastAsia="Calibri"/>
                <w:szCs w:val="22"/>
                <w:lang w:val="en-GB"/>
              </w:rPr>
            </w:pPr>
            <w:r w:rsidRPr="008946B0">
              <w:rPr>
                <w:rFonts w:eastAsia="Calibri"/>
                <w:szCs w:val="22"/>
                <w:lang w:val="en-GB"/>
              </w:rPr>
              <w:t>0.67</w:t>
            </w:r>
          </w:p>
        </w:tc>
        <w:tc>
          <w:tcPr>
            <w:tcW w:w="1037" w:type="dxa"/>
            <w:vMerge/>
            <w:vAlign w:val="center"/>
          </w:tcPr>
          <w:p w14:paraId="25F7D03E" w14:textId="77777777" w:rsidR="005A47F3" w:rsidRPr="008946B0" w:rsidRDefault="005A47F3">
            <w:pPr>
              <w:jc w:val="center"/>
              <w:rPr>
                <w:rFonts w:eastAsia="Calibri"/>
                <w:szCs w:val="22"/>
                <w:lang w:val="en-GB"/>
              </w:rPr>
            </w:pPr>
          </w:p>
        </w:tc>
        <w:tc>
          <w:tcPr>
            <w:tcW w:w="1107" w:type="dxa"/>
            <w:vAlign w:val="center"/>
          </w:tcPr>
          <w:p w14:paraId="2EFC9318" w14:textId="77777777" w:rsidR="005A47F3" w:rsidRPr="008946B0" w:rsidRDefault="00AB77EF">
            <w:pPr>
              <w:jc w:val="center"/>
              <w:rPr>
                <w:rFonts w:eastAsia="Calibri"/>
                <w:szCs w:val="22"/>
                <w:lang w:val="en-GB"/>
              </w:rPr>
            </w:pPr>
            <w:r w:rsidRPr="008946B0">
              <w:rPr>
                <w:rFonts w:eastAsia="Calibri"/>
                <w:szCs w:val="22"/>
                <w:lang w:val="en-GB"/>
              </w:rPr>
              <w:t>23.45</w:t>
            </w:r>
          </w:p>
        </w:tc>
        <w:tc>
          <w:tcPr>
            <w:tcW w:w="1107" w:type="dxa"/>
            <w:vAlign w:val="center"/>
          </w:tcPr>
          <w:p w14:paraId="2AA3DEE1" w14:textId="77777777" w:rsidR="005A47F3" w:rsidRPr="008946B0" w:rsidRDefault="00AB77EF">
            <w:pPr>
              <w:jc w:val="center"/>
              <w:rPr>
                <w:rFonts w:eastAsia="Calibri"/>
                <w:szCs w:val="22"/>
                <w:lang w:val="en-GB"/>
              </w:rPr>
            </w:pPr>
            <w:r w:rsidRPr="008946B0">
              <w:rPr>
                <w:rFonts w:eastAsia="Calibri"/>
                <w:szCs w:val="22"/>
                <w:lang w:val="en-GB"/>
              </w:rPr>
              <w:t>39.79</w:t>
            </w:r>
          </w:p>
        </w:tc>
      </w:tr>
      <w:tr w:rsidR="005A47F3" w:rsidRPr="008946B0" w14:paraId="4D53F121" w14:textId="77777777">
        <w:trPr>
          <w:cantSplit/>
          <w:jc w:val="center"/>
        </w:trPr>
        <w:tc>
          <w:tcPr>
            <w:tcW w:w="1387" w:type="dxa"/>
            <w:vAlign w:val="center"/>
          </w:tcPr>
          <w:p w14:paraId="7A514F63" w14:textId="77777777" w:rsidR="005A47F3" w:rsidRPr="008946B0" w:rsidRDefault="00AB77EF">
            <w:pPr>
              <w:spacing w:after="60"/>
              <w:rPr>
                <w:rFonts w:eastAsia="Calibri"/>
                <w:szCs w:val="22"/>
                <w:lang w:val="en-GB"/>
              </w:rPr>
            </w:pPr>
            <w:r w:rsidRPr="008946B0">
              <w:rPr>
                <w:rFonts w:eastAsia="Calibri"/>
                <w:szCs w:val="22"/>
                <w:lang w:val="en-GB"/>
              </w:rPr>
              <w:t>High-speed</w:t>
            </w:r>
            <w:r w:rsidRPr="008946B0">
              <w:rPr>
                <w:rFonts w:eastAsia="Calibri"/>
                <w:szCs w:val="22"/>
                <w:lang w:val="en-GB"/>
              </w:rPr>
              <w:br/>
              <w:t>rail segment</w:t>
            </w:r>
          </w:p>
        </w:tc>
        <w:tc>
          <w:tcPr>
            <w:tcW w:w="1367" w:type="dxa"/>
            <w:vMerge/>
            <w:vAlign w:val="center"/>
          </w:tcPr>
          <w:p w14:paraId="1C5F71CB" w14:textId="77777777" w:rsidR="005A47F3" w:rsidRPr="008946B0" w:rsidRDefault="005A47F3">
            <w:pPr>
              <w:jc w:val="center"/>
              <w:rPr>
                <w:rFonts w:eastAsia="Calibri"/>
                <w:szCs w:val="22"/>
                <w:lang w:val="en-GB"/>
              </w:rPr>
            </w:pPr>
          </w:p>
        </w:tc>
        <w:tc>
          <w:tcPr>
            <w:tcW w:w="1367" w:type="dxa"/>
            <w:vMerge/>
            <w:vAlign w:val="center"/>
          </w:tcPr>
          <w:p w14:paraId="149D30B8" w14:textId="77777777" w:rsidR="005A47F3" w:rsidRPr="008946B0" w:rsidRDefault="005A47F3">
            <w:pPr>
              <w:jc w:val="center"/>
              <w:rPr>
                <w:rFonts w:eastAsia="Calibri"/>
                <w:szCs w:val="22"/>
                <w:lang w:val="en-GB"/>
              </w:rPr>
            </w:pPr>
          </w:p>
        </w:tc>
        <w:tc>
          <w:tcPr>
            <w:tcW w:w="1367" w:type="dxa"/>
            <w:vAlign w:val="center"/>
          </w:tcPr>
          <w:p w14:paraId="6D62D09E" w14:textId="77777777" w:rsidR="005A47F3" w:rsidRPr="008946B0" w:rsidRDefault="00AB77EF">
            <w:pPr>
              <w:jc w:val="center"/>
              <w:rPr>
                <w:rFonts w:eastAsia="Calibri"/>
                <w:szCs w:val="22"/>
                <w:lang w:val="en-GB"/>
              </w:rPr>
            </w:pPr>
            <w:r w:rsidRPr="008946B0">
              <w:rPr>
                <w:rFonts w:eastAsia="Calibri"/>
                <w:szCs w:val="22"/>
                <w:lang w:val="en-GB"/>
              </w:rPr>
              <w:t>0.5</w:t>
            </w:r>
          </w:p>
        </w:tc>
        <w:tc>
          <w:tcPr>
            <w:tcW w:w="1037" w:type="dxa"/>
            <w:vMerge/>
            <w:vAlign w:val="center"/>
          </w:tcPr>
          <w:p w14:paraId="02EA2C12" w14:textId="77777777" w:rsidR="005A47F3" w:rsidRPr="008946B0" w:rsidRDefault="005A47F3">
            <w:pPr>
              <w:jc w:val="center"/>
              <w:rPr>
                <w:rFonts w:eastAsia="Calibri"/>
                <w:szCs w:val="22"/>
                <w:lang w:val="en-GB"/>
              </w:rPr>
            </w:pPr>
          </w:p>
        </w:tc>
        <w:tc>
          <w:tcPr>
            <w:tcW w:w="1107" w:type="dxa"/>
            <w:vAlign w:val="center"/>
          </w:tcPr>
          <w:p w14:paraId="6CA96CF4" w14:textId="77777777" w:rsidR="005A47F3" w:rsidRPr="008946B0" w:rsidRDefault="00AB77EF">
            <w:pPr>
              <w:jc w:val="center"/>
              <w:rPr>
                <w:rFonts w:eastAsia="Calibri"/>
                <w:szCs w:val="22"/>
                <w:lang w:val="en-GB"/>
              </w:rPr>
            </w:pPr>
            <w:r w:rsidRPr="008946B0">
              <w:rPr>
                <w:rFonts w:eastAsia="Calibri"/>
                <w:szCs w:val="22"/>
                <w:lang w:val="en-GB"/>
              </w:rPr>
              <w:t>17.50</w:t>
            </w:r>
          </w:p>
        </w:tc>
        <w:tc>
          <w:tcPr>
            <w:tcW w:w="1107" w:type="dxa"/>
            <w:vAlign w:val="center"/>
          </w:tcPr>
          <w:p w14:paraId="3AC5B23F" w14:textId="77777777" w:rsidR="005A47F3" w:rsidRPr="008946B0" w:rsidRDefault="00AB77EF">
            <w:pPr>
              <w:jc w:val="center"/>
              <w:rPr>
                <w:rFonts w:eastAsia="Calibri"/>
                <w:szCs w:val="22"/>
                <w:lang w:val="en-GB"/>
              </w:rPr>
            </w:pPr>
            <w:r w:rsidRPr="008946B0">
              <w:rPr>
                <w:rFonts w:eastAsia="Calibri"/>
                <w:szCs w:val="22"/>
                <w:lang w:val="en-GB"/>
              </w:rPr>
              <w:t>29.70</w:t>
            </w:r>
          </w:p>
        </w:tc>
      </w:tr>
      <w:tr w:rsidR="005A47F3" w:rsidRPr="008946B0" w14:paraId="13FF2A2A" w14:textId="77777777">
        <w:trPr>
          <w:cantSplit/>
          <w:jc w:val="center"/>
        </w:trPr>
        <w:tc>
          <w:tcPr>
            <w:tcW w:w="8739" w:type="dxa"/>
            <w:gridSpan w:val="7"/>
            <w:vAlign w:val="center"/>
          </w:tcPr>
          <w:p w14:paraId="28565B74" w14:textId="3EC51880" w:rsidR="005A47F3" w:rsidRPr="008946B0" w:rsidRDefault="00AB77EF">
            <w:pPr>
              <w:tabs>
                <w:tab w:val="left" w:pos="993"/>
              </w:tabs>
              <w:ind w:left="284" w:hanging="284"/>
              <w:rPr>
                <w:sz w:val="18"/>
                <w:lang w:val="en-GB"/>
              </w:rPr>
            </w:pPr>
            <w:r w:rsidRPr="008946B0">
              <w:rPr>
                <w:sz w:val="16"/>
                <w:szCs w:val="16"/>
                <w:lang w:val="en-GB"/>
              </w:rPr>
              <w:t>Note: The cell size reflected in this table is based on typical GSM-R networks currently in use. This assumes that FRMCS would be deployed on the same radio sites without further densification.</w:t>
            </w:r>
          </w:p>
        </w:tc>
      </w:tr>
    </w:tbl>
    <w:p w14:paraId="3F014980" w14:textId="77777777" w:rsidR="005A47F3" w:rsidRPr="008946B0" w:rsidRDefault="005A47F3">
      <w:pPr>
        <w:tabs>
          <w:tab w:val="left" w:pos="993"/>
        </w:tabs>
        <w:ind w:left="567"/>
        <w:jc w:val="both"/>
        <w:rPr>
          <w:sz w:val="16"/>
          <w:szCs w:val="16"/>
          <w:lang w:val="en-GB"/>
        </w:rPr>
      </w:pPr>
    </w:p>
    <w:p w14:paraId="2F6D8ED7" w14:textId="14ABBD30" w:rsidR="005A47F3" w:rsidRPr="008946B0" w:rsidRDefault="00AB77EF">
      <w:pPr>
        <w:pStyle w:val="Caption"/>
        <w:rPr>
          <w:lang w:val="en-GB"/>
        </w:rPr>
      </w:pPr>
      <w:bookmarkStart w:id="45" w:name="_Toc493019532"/>
      <w:bookmarkStart w:id="46" w:name="_Toc493197509"/>
      <w:bookmarkStart w:id="47" w:name="_Toc493197507"/>
      <w:bookmarkStart w:id="48" w:name="_Toc493019529"/>
      <w:bookmarkStart w:id="49" w:name="_Toc491261552"/>
      <w:bookmarkStart w:id="50" w:name="_Toc491261548"/>
      <w:bookmarkStart w:id="51" w:name="_Toc499999224"/>
      <w:bookmarkStart w:id="52" w:name="_Toc493019530"/>
      <w:bookmarkStart w:id="53" w:name="_Toc491261546"/>
      <w:bookmarkStart w:id="54" w:name="_Toc500261181"/>
      <w:bookmarkStart w:id="55" w:name="_Toc493197504"/>
      <w:bookmarkStart w:id="56" w:name="_Toc500084217"/>
      <w:bookmarkStart w:id="57" w:name="_Toc493019525"/>
      <w:bookmarkStart w:id="58" w:name="_Toc500084214"/>
      <w:bookmarkStart w:id="59" w:name="_Toc500084216"/>
      <w:bookmarkStart w:id="60" w:name="_Toc491261545"/>
      <w:bookmarkStart w:id="61" w:name="_Toc493019528"/>
      <w:bookmarkStart w:id="62" w:name="_Toc491261551"/>
      <w:bookmarkStart w:id="63" w:name="_Toc493019526"/>
      <w:bookmarkStart w:id="64" w:name="_Toc500261178"/>
      <w:bookmarkStart w:id="65" w:name="_Toc493197503"/>
      <w:bookmarkStart w:id="66" w:name="_Toc499999122"/>
      <w:bookmarkStart w:id="67" w:name="_Toc500084215"/>
      <w:bookmarkStart w:id="68" w:name="_Toc499999226"/>
      <w:bookmarkStart w:id="69" w:name="_Toc491261547"/>
      <w:bookmarkStart w:id="70" w:name="_Toc500261179"/>
      <w:bookmarkStart w:id="71" w:name="_Toc493019527"/>
      <w:bookmarkStart w:id="72" w:name="_Toc499999225"/>
      <w:bookmarkStart w:id="73" w:name="_Toc493019531"/>
      <w:bookmarkStart w:id="74" w:name="_Toc500261135"/>
      <w:bookmarkStart w:id="75" w:name="_Toc493197502"/>
      <w:bookmarkStart w:id="76" w:name="_Toc491261550"/>
      <w:bookmarkStart w:id="77" w:name="_Toc499999119"/>
      <w:bookmarkStart w:id="78" w:name="_Toc500261138"/>
      <w:bookmarkStart w:id="79" w:name="_Toc500261136"/>
      <w:bookmarkStart w:id="80" w:name="_Toc493197506"/>
      <w:bookmarkStart w:id="81" w:name="_Toc499999223"/>
      <w:bookmarkStart w:id="82" w:name="_Toc499999121"/>
      <w:bookmarkStart w:id="83" w:name="_Toc491261549"/>
      <w:bookmarkStart w:id="84" w:name="_Toc493197505"/>
      <w:bookmarkStart w:id="85" w:name="_Toc499999120"/>
      <w:bookmarkStart w:id="86" w:name="_Toc500261137"/>
      <w:bookmarkStart w:id="87" w:name="_Toc493197508"/>
      <w:bookmarkStart w:id="88" w:name="_Toc500261180"/>
      <w:bookmarkStart w:id="89" w:name="_Ref31277520"/>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sidRPr="008946B0">
        <w:rPr>
          <w:lang w:val="en-GB"/>
        </w:rPr>
        <w:t xml:space="preserve">Table </w:t>
      </w:r>
      <w:r w:rsidRPr="008946B0">
        <w:rPr>
          <w:lang w:val="en-GB"/>
        </w:rPr>
        <w:fldChar w:fldCharType="begin"/>
      </w:r>
      <w:r w:rsidRPr="008946B0">
        <w:rPr>
          <w:lang w:val="en-GB"/>
        </w:rPr>
        <w:instrText xml:space="preserve"> SEQ Table \* ARABIC </w:instrText>
      </w:r>
      <w:r w:rsidRPr="008946B0">
        <w:rPr>
          <w:lang w:val="en-GB"/>
        </w:rPr>
        <w:fldChar w:fldCharType="separate"/>
      </w:r>
      <w:r w:rsidR="00CF6E1D" w:rsidRPr="008946B0">
        <w:rPr>
          <w:lang w:val="en-GB"/>
        </w:rPr>
        <w:t>5</w:t>
      </w:r>
      <w:r w:rsidRPr="008946B0">
        <w:rPr>
          <w:lang w:val="en-GB"/>
        </w:rPr>
        <w:fldChar w:fldCharType="end"/>
      </w:r>
      <w:bookmarkEnd w:id="89"/>
      <w:r w:rsidRPr="008946B0">
        <w:rPr>
          <w:lang w:val="en-GB"/>
        </w:rPr>
        <w:t xml:space="preserve">: Target traffic for each area type, </w:t>
      </w:r>
      <w:r w:rsidRPr="008946B0">
        <w:rPr>
          <w:u w:val="single"/>
          <w:lang w:val="en-GB"/>
        </w:rPr>
        <w:t>excluding</w:t>
      </w:r>
      <w:r w:rsidRPr="008946B0">
        <w:rPr>
          <w:lang w:val="en-GB"/>
        </w:rPr>
        <w:t xml:space="preserve"> critical video</w:t>
      </w:r>
    </w:p>
    <w:tbl>
      <w:tblPr>
        <w:tblW w:w="8739"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4A0" w:firstRow="1" w:lastRow="0" w:firstColumn="1" w:lastColumn="0" w:noHBand="0" w:noVBand="1"/>
      </w:tblPr>
      <w:tblGrid>
        <w:gridCol w:w="1387"/>
        <w:gridCol w:w="1367"/>
        <w:gridCol w:w="1367"/>
        <w:gridCol w:w="1367"/>
        <w:gridCol w:w="1037"/>
        <w:gridCol w:w="1107"/>
        <w:gridCol w:w="1107"/>
      </w:tblGrid>
      <w:tr w:rsidR="005A47F3" w:rsidRPr="008946B0" w14:paraId="49D92F84" w14:textId="77777777">
        <w:trPr>
          <w:cantSplit/>
          <w:tblHeader/>
          <w:jc w:val="center"/>
        </w:trPr>
        <w:tc>
          <w:tcPr>
            <w:tcW w:w="1387" w:type="dxa"/>
            <w:tcBorders>
              <w:right w:val="single" w:sz="8" w:space="0" w:color="FFFFFF"/>
            </w:tcBorders>
            <w:shd w:val="clear" w:color="auto" w:fill="D2232A"/>
            <w:vAlign w:val="center"/>
          </w:tcPr>
          <w:p w14:paraId="190D91B2" w14:textId="77777777" w:rsidR="005A47F3" w:rsidRPr="008946B0" w:rsidRDefault="005A47F3" w:rsidP="00E66414">
            <w:pPr>
              <w:keepNext/>
              <w:spacing w:after="0" w:line="288" w:lineRule="auto"/>
              <w:rPr>
                <w:b/>
                <w:color w:val="FFFFFF"/>
                <w:sz w:val="18"/>
                <w:lang w:val="en-GB"/>
              </w:rPr>
            </w:pPr>
          </w:p>
        </w:tc>
        <w:tc>
          <w:tcPr>
            <w:tcW w:w="1367" w:type="dxa"/>
            <w:tcBorders>
              <w:left w:val="single" w:sz="8" w:space="0" w:color="FFFFFF"/>
              <w:right w:val="single" w:sz="8" w:space="0" w:color="FFFFFF"/>
            </w:tcBorders>
            <w:shd w:val="clear" w:color="auto" w:fill="D2232A"/>
            <w:vAlign w:val="center"/>
          </w:tcPr>
          <w:p w14:paraId="389B06FF"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DL traffic</w:t>
            </w:r>
          </w:p>
          <w:p w14:paraId="2E683A5B"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per ref. train</w:t>
            </w:r>
          </w:p>
          <w:p w14:paraId="6F93871A"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(Mb/s)</w:t>
            </w:r>
          </w:p>
        </w:tc>
        <w:tc>
          <w:tcPr>
            <w:tcW w:w="1367" w:type="dxa"/>
            <w:tcBorders>
              <w:left w:val="single" w:sz="8" w:space="0" w:color="FFFFFF"/>
              <w:right w:val="single" w:sz="8" w:space="0" w:color="FFFFFF"/>
            </w:tcBorders>
            <w:shd w:val="clear" w:color="auto" w:fill="D2232A"/>
            <w:vAlign w:val="center"/>
          </w:tcPr>
          <w:p w14:paraId="09B2ECAE"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UL traffic</w:t>
            </w:r>
          </w:p>
          <w:p w14:paraId="302E88FB"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per ref. train</w:t>
            </w:r>
          </w:p>
          <w:p w14:paraId="0449E0C0"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(Mb/s)</w:t>
            </w:r>
          </w:p>
        </w:tc>
        <w:tc>
          <w:tcPr>
            <w:tcW w:w="1367" w:type="dxa"/>
            <w:tcBorders>
              <w:left w:val="single" w:sz="8" w:space="0" w:color="FFFFFF"/>
              <w:right w:val="single" w:sz="8" w:space="0" w:color="FFFFFF"/>
            </w:tcBorders>
            <w:shd w:val="clear" w:color="auto" w:fill="D2232A"/>
            <w:vAlign w:val="center"/>
          </w:tcPr>
          <w:p w14:paraId="213FD7E1"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Nb. of trains</w:t>
            </w:r>
          </w:p>
          <w:p w14:paraId="29499A12"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per km</w:t>
            </w:r>
          </w:p>
        </w:tc>
        <w:tc>
          <w:tcPr>
            <w:tcW w:w="1037" w:type="dxa"/>
            <w:tcBorders>
              <w:left w:val="single" w:sz="8" w:space="0" w:color="FFFFFF"/>
              <w:right w:val="single" w:sz="8" w:space="0" w:color="FFFFFF"/>
            </w:tcBorders>
            <w:shd w:val="clear" w:color="auto" w:fill="D2232A"/>
            <w:vAlign w:val="center"/>
          </w:tcPr>
          <w:p w14:paraId="07A87B62"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Cell size</w:t>
            </w:r>
          </w:p>
          <w:p w14:paraId="65922615"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(km)</w:t>
            </w:r>
          </w:p>
        </w:tc>
        <w:tc>
          <w:tcPr>
            <w:tcW w:w="1107" w:type="dxa"/>
            <w:tcBorders>
              <w:left w:val="single" w:sz="8" w:space="0" w:color="FFFFFF"/>
              <w:right w:val="single" w:sz="8" w:space="0" w:color="FFFFFF"/>
            </w:tcBorders>
            <w:shd w:val="clear" w:color="auto" w:fill="D2232A"/>
            <w:vAlign w:val="center"/>
          </w:tcPr>
          <w:p w14:paraId="32CBD869"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DL traffic</w:t>
            </w:r>
          </w:p>
          <w:p w14:paraId="5139F362"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per cell</w:t>
            </w:r>
          </w:p>
          <w:p w14:paraId="373ADC21"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(Mb/s)</w:t>
            </w:r>
          </w:p>
        </w:tc>
        <w:tc>
          <w:tcPr>
            <w:tcW w:w="1107" w:type="dxa"/>
            <w:tcBorders>
              <w:left w:val="single" w:sz="8" w:space="0" w:color="FFFFFF"/>
              <w:right w:val="single" w:sz="8" w:space="0" w:color="FFFFFF"/>
            </w:tcBorders>
            <w:shd w:val="clear" w:color="auto" w:fill="D2232A"/>
            <w:vAlign w:val="center"/>
          </w:tcPr>
          <w:p w14:paraId="681BBC8C"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UL traffic</w:t>
            </w:r>
          </w:p>
          <w:p w14:paraId="0B1D298B"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per cell</w:t>
            </w:r>
          </w:p>
          <w:p w14:paraId="78CF7570"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(Mb/s)</w:t>
            </w:r>
          </w:p>
        </w:tc>
      </w:tr>
      <w:tr w:rsidR="005A47F3" w:rsidRPr="008946B0" w14:paraId="4DA250E7" w14:textId="77777777">
        <w:trPr>
          <w:cantSplit/>
          <w:jc w:val="center"/>
        </w:trPr>
        <w:tc>
          <w:tcPr>
            <w:tcW w:w="1387" w:type="dxa"/>
            <w:vAlign w:val="center"/>
          </w:tcPr>
          <w:p w14:paraId="2C00AF19" w14:textId="6F1F2E3E" w:rsidR="005A47F3" w:rsidRPr="008946B0" w:rsidRDefault="00AB77EF">
            <w:pPr>
              <w:spacing w:after="60"/>
              <w:rPr>
                <w:rFonts w:eastAsia="Calibri"/>
                <w:szCs w:val="22"/>
                <w:lang w:val="en-GB"/>
              </w:rPr>
            </w:pPr>
            <w:r w:rsidRPr="008946B0">
              <w:rPr>
                <w:rFonts w:eastAsia="Calibri"/>
                <w:szCs w:val="22"/>
                <w:lang w:val="en-GB"/>
              </w:rPr>
              <w:t>Low</w:t>
            </w:r>
            <w:r w:rsidR="002374ED">
              <w:rPr>
                <w:rFonts w:eastAsia="Calibri"/>
                <w:szCs w:val="22"/>
                <w:lang w:val="en-GB"/>
              </w:rPr>
              <w:t>-</w:t>
            </w:r>
            <w:r w:rsidRPr="008946B0">
              <w:rPr>
                <w:rFonts w:eastAsia="Calibri"/>
                <w:szCs w:val="22"/>
                <w:lang w:val="en-GB"/>
              </w:rPr>
              <w:t>density</w:t>
            </w:r>
            <w:r w:rsidRPr="008946B0">
              <w:rPr>
                <w:rFonts w:eastAsia="Calibri"/>
                <w:szCs w:val="22"/>
                <w:lang w:val="en-GB"/>
              </w:rPr>
              <w:br/>
              <w:t>rail segment</w:t>
            </w:r>
          </w:p>
        </w:tc>
        <w:tc>
          <w:tcPr>
            <w:tcW w:w="1367" w:type="dxa"/>
            <w:vMerge w:val="restart"/>
            <w:vAlign w:val="center"/>
          </w:tcPr>
          <w:p w14:paraId="314A2B3F" w14:textId="77777777" w:rsidR="005A47F3" w:rsidRPr="008946B0" w:rsidRDefault="00AB77EF">
            <w:pPr>
              <w:spacing w:after="60"/>
              <w:jc w:val="center"/>
              <w:rPr>
                <w:rFonts w:eastAsia="Calibri"/>
                <w:szCs w:val="22"/>
                <w:lang w:val="en-GB"/>
              </w:rPr>
            </w:pPr>
            <w:r w:rsidRPr="008946B0">
              <w:rPr>
                <w:rFonts w:eastAsia="Calibri"/>
                <w:szCs w:val="22"/>
                <w:lang w:val="en-GB"/>
              </w:rPr>
              <w:t>0.42</w:t>
            </w:r>
          </w:p>
        </w:tc>
        <w:tc>
          <w:tcPr>
            <w:tcW w:w="1367" w:type="dxa"/>
            <w:vMerge w:val="restart"/>
            <w:vAlign w:val="center"/>
          </w:tcPr>
          <w:p w14:paraId="0569EF93" w14:textId="77777777" w:rsidR="005A47F3" w:rsidRPr="008946B0" w:rsidRDefault="00AB77EF">
            <w:pPr>
              <w:spacing w:after="60"/>
              <w:jc w:val="center"/>
              <w:rPr>
                <w:rFonts w:eastAsia="Calibri"/>
                <w:szCs w:val="22"/>
                <w:lang w:val="en-GB"/>
              </w:rPr>
            </w:pPr>
            <w:r w:rsidRPr="008946B0">
              <w:rPr>
                <w:rFonts w:eastAsia="Calibri"/>
                <w:szCs w:val="22"/>
                <w:lang w:val="en-GB"/>
              </w:rPr>
              <w:t>3.46</w:t>
            </w:r>
          </w:p>
        </w:tc>
        <w:tc>
          <w:tcPr>
            <w:tcW w:w="1367" w:type="dxa"/>
            <w:vAlign w:val="center"/>
          </w:tcPr>
          <w:p w14:paraId="4C188C28" w14:textId="77777777" w:rsidR="005A47F3" w:rsidRPr="008946B0" w:rsidRDefault="00AB77EF">
            <w:pPr>
              <w:spacing w:after="60"/>
              <w:jc w:val="center"/>
              <w:rPr>
                <w:rFonts w:eastAsia="Calibri"/>
                <w:szCs w:val="22"/>
                <w:lang w:val="en-GB"/>
              </w:rPr>
            </w:pPr>
            <w:r w:rsidRPr="008946B0">
              <w:rPr>
                <w:rFonts w:eastAsia="Calibri"/>
                <w:szCs w:val="22"/>
                <w:lang w:val="en-GB"/>
              </w:rPr>
              <w:t>0.33</w:t>
            </w:r>
          </w:p>
        </w:tc>
        <w:tc>
          <w:tcPr>
            <w:tcW w:w="1037" w:type="dxa"/>
            <w:vMerge w:val="restart"/>
            <w:vAlign w:val="center"/>
          </w:tcPr>
          <w:p w14:paraId="64C5A562" w14:textId="77777777" w:rsidR="005A47F3" w:rsidRPr="008946B0" w:rsidRDefault="00AB77EF">
            <w:pPr>
              <w:spacing w:after="60"/>
              <w:jc w:val="center"/>
              <w:rPr>
                <w:rFonts w:eastAsia="Calibri"/>
                <w:szCs w:val="22"/>
                <w:lang w:val="en-GB"/>
              </w:rPr>
            </w:pPr>
            <w:r w:rsidRPr="008946B0">
              <w:rPr>
                <w:rFonts w:eastAsia="Calibri"/>
                <w:szCs w:val="22"/>
                <w:lang w:val="en-GB"/>
              </w:rPr>
              <w:t>8</w:t>
            </w:r>
          </w:p>
        </w:tc>
        <w:tc>
          <w:tcPr>
            <w:tcW w:w="1107" w:type="dxa"/>
            <w:vAlign w:val="center"/>
          </w:tcPr>
          <w:p w14:paraId="0D668C0D" w14:textId="77777777" w:rsidR="005A47F3" w:rsidRPr="008946B0" w:rsidRDefault="00AB77EF">
            <w:pPr>
              <w:spacing w:after="60"/>
              <w:jc w:val="center"/>
              <w:rPr>
                <w:rFonts w:eastAsia="Calibri"/>
                <w:szCs w:val="22"/>
                <w:lang w:val="en-GB"/>
              </w:rPr>
            </w:pPr>
            <w:r w:rsidRPr="008946B0">
              <w:rPr>
                <w:rFonts w:eastAsia="Calibri"/>
                <w:szCs w:val="22"/>
                <w:lang w:val="en-GB"/>
              </w:rPr>
              <w:t>1.10</w:t>
            </w:r>
          </w:p>
        </w:tc>
        <w:tc>
          <w:tcPr>
            <w:tcW w:w="1107" w:type="dxa"/>
            <w:vAlign w:val="center"/>
          </w:tcPr>
          <w:p w14:paraId="32179455" w14:textId="77777777" w:rsidR="005A47F3" w:rsidRPr="008946B0" w:rsidRDefault="00AB77EF">
            <w:pPr>
              <w:spacing w:after="60"/>
              <w:jc w:val="center"/>
              <w:rPr>
                <w:rFonts w:eastAsia="Calibri"/>
                <w:szCs w:val="22"/>
                <w:lang w:val="en-GB"/>
              </w:rPr>
            </w:pPr>
            <w:r w:rsidRPr="008946B0">
              <w:rPr>
                <w:rFonts w:eastAsia="Calibri"/>
                <w:szCs w:val="22"/>
                <w:lang w:val="en-GB"/>
              </w:rPr>
              <w:t>9.15</w:t>
            </w:r>
          </w:p>
        </w:tc>
      </w:tr>
      <w:tr w:rsidR="005A47F3" w:rsidRPr="008946B0" w14:paraId="10BB69CE" w14:textId="77777777">
        <w:trPr>
          <w:cantSplit/>
          <w:jc w:val="center"/>
        </w:trPr>
        <w:tc>
          <w:tcPr>
            <w:tcW w:w="1387" w:type="dxa"/>
            <w:vAlign w:val="center"/>
          </w:tcPr>
          <w:p w14:paraId="67068775" w14:textId="2A49B1BB" w:rsidR="005A47F3" w:rsidRPr="008946B0" w:rsidRDefault="00AB77EF">
            <w:pPr>
              <w:spacing w:after="60"/>
              <w:rPr>
                <w:rFonts w:eastAsia="Calibri"/>
                <w:szCs w:val="22"/>
                <w:lang w:val="en-GB"/>
              </w:rPr>
            </w:pPr>
            <w:r w:rsidRPr="008946B0">
              <w:rPr>
                <w:rFonts w:eastAsia="Calibri"/>
                <w:szCs w:val="22"/>
                <w:lang w:val="en-GB"/>
              </w:rPr>
              <w:t>High-density</w:t>
            </w:r>
            <w:r w:rsidRPr="008946B0">
              <w:rPr>
                <w:rFonts w:eastAsia="Calibri"/>
                <w:szCs w:val="22"/>
                <w:lang w:val="en-GB"/>
              </w:rPr>
              <w:br/>
              <w:t>rail segment</w:t>
            </w:r>
          </w:p>
        </w:tc>
        <w:tc>
          <w:tcPr>
            <w:tcW w:w="1367" w:type="dxa"/>
            <w:vMerge/>
            <w:vAlign w:val="center"/>
          </w:tcPr>
          <w:p w14:paraId="00876FAB" w14:textId="77777777" w:rsidR="005A47F3" w:rsidRPr="008946B0" w:rsidRDefault="005A47F3">
            <w:pPr>
              <w:jc w:val="center"/>
              <w:rPr>
                <w:rFonts w:eastAsia="Calibri"/>
                <w:szCs w:val="22"/>
                <w:lang w:val="en-GB"/>
              </w:rPr>
            </w:pPr>
          </w:p>
        </w:tc>
        <w:tc>
          <w:tcPr>
            <w:tcW w:w="1367" w:type="dxa"/>
            <w:vMerge/>
            <w:vAlign w:val="center"/>
          </w:tcPr>
          <w:p w14:paraId="66D3B6A1" w14:textId="77777777" w:rsidR="005A47F3" w:rsidRPr="008946B0" w:rsidRDefault="005A47F3">
            <w:pPr>
              <w:jc w:val="center"/>
              <w:rPr>
                <w:rFonts w:eastAsia="Calibri"/>
                <w:szCs w:val="22"/>
                <w:lang w:val="en-GB"/>
              </w:rPr>
            </w:pPr>
          </w:p>
        </w:tc>
        <w:tc>
          <w:tcPr>
            <w:tcW w:w="1367" w:type="dxa"/>
            <w:vAlign w:val="center"/>
          </w:tcPr>
          <w:p w14:paraId="63123194" w14:textId="77777777" w:rsidR="005A47F3" w:rsidRPr="008946B0" w:rsidRDefault="00AB77EF">
            <w:pPr>
              <w:jc w:val="center"/>
              <w:rPr>
                <w:rFonts w:eastAsia="Calibri"/>
                <w:szCs w:val="22"/>
                <w:lang w:val="en-GB"/>
              </w:rPr>
            </w:pPr>
            <w:r w:rsidRPr="008946B0">
              <w:rPr>
                <w:rFonts w:eastAsia="Calibri"/>
                <w:szCs w:val="22"/>
                <w:lang w:val="en-GB"/>
              </w:rPr>
              <w:t>0.67</w:t>
            </w:r>
          </w:p>
        </w:tc>
        <w:tc>
          <w:tcPr>
            <w:tcW w:w="1037" w:type="dxa"/>
            <w:vMerge/>
            <w:vAlign w:val="center"/>
          </w:tcPr>
          <w:p w14:paraId="4C04E011" w14:textId="77777777" w:rsidR="005A47F3" w:rsidRPr="008946B0" w:rsidRDefault="005A47F3">
            <w:pPr>
              <w:jc w:val="center"/>
              <w:rPr>
                <w:rFonts w:eastAsia="Calibri"/>
                <w:szCs w:val="22"/>
                <w:lang w:val="en-GB"/>
              </w:rPr>
            </w:pPr>
          </w:p>
        </w:tc>
        <w:tc>
          <w:tcPr>
            <w:tcW w:w="1107" w:type="dxa"/>
            <w:vAlign w:val="center"/>
          </w:tcPr>
          <w:p w14:paraId="7214DC31" w14:textId="77777777" w:rsidR="005A47F3" w:rsidRPr="008946B0" w:rsidRDefault="00AB77EF">
            <w:pPr>
              <w:jc w:val="center"/>
              <w:rPr>
                <w:rFonts w:eastAsia="Calibri"/>
                <w:szCs w:val="22"/>
                <w:lang w:val="en-GB"/>
              </w:rPr>
            </w:pPr>
            <w:r w:rsidRPr="008946B0">
              <w:rPr>
                <w:rFonts w:eastAsia="Calibri"/>
                <w:szCs w:val="22"/>
                <w:lang w:val="en-GB"/>
              </w:rPr>
              <w:t>2.22</w:t>
            </w:r>
          </w:p>
        </w:tc>
        <w:tc>
          <w:tcPr>
            <w:tcW w:w="1107" w:type="dxa"/>
            <w:vAlign w:val="center"/>
          </w:tcPr>
          <w:p w14:paraId="255032D9" w14:textId="77777777" w:rsidR="005A47F3" w:rsidRPr="008946B0" w:rsidRDefault="00AB77EF">
            <w:pPr>
              <w:jc w:val="center"/>
              <w:rPr>
                <w:rFonts w:eastAsia="Calibri"/>
                <w:szCs w:val="22"/>
                <w:lang w:val="en-GB"/>
              </w:rPr>
            </w:pPr>
            <w:r w:rsidRPr="008946B0">
              <w:rPr>
                <w:rFonts w:eastAsia="Calibri"/>
                <w:szCs w:val="22"/>
                <w:lang w:val="en-GB"/>
              </w:rPr>
              <w:t>18.57</w:t>
            </w:r>
          </w:p>
        </w:tc>
      </w:tr>
      <w:tr w:rsidR="005A47F3" w:rsidRPr="008946B0" w14:paraId="47B7BB59" w14:textId="77777777">
        <w:trPr>
          <w:cantSplit/>
          <w:jc w:val="center"/>
        </w:trPr>
        <w:tc>
          <w:tcPr>
            <w:tcW w:w="1387" w:type="dxa"/>
            <w:vAlign w:val="center"/>
          </w:tcPr>
          <w:p w14:paraId="00D6B571" w14:textId="77777777" w:rsidR="005A47F3" w:rsidRPr="008946B0" w:rsidRDefault="00AB77EF">
            <w:pPr>
              <w:spacing w:after="60"/>
              <w:rPr>
                <w:rFonts w:eastAsia="Calibri"/>
                <w:szCs w:val="22"/>
                <w:lang w:val="en-GB"/>
              </w:rPr>
            </w:pPr>
            <w:r w:rsidRPr="008946B0">
              <w:rPr>
                <w:rFonts w:eastAsia="Calibri"/>
                <w:szCs w:val="22"/>
                <w:lang w:val="en-GB"/>
              </w:rPr>
              <w:t>High-speed</w:t>
            </w:r>
            <w:r w:rsidRPr="008946B0">
              <w:rPr>
                <w:rFonts w:eastAsia="Calibri"/>
                <w:szCs w:val="22"/>
                <w:lang w:val="en-GB"/>
              </w:rPr>
              <w:br/>
              <w:t>rail segment</w:t>
            </w:r>
          </w:p>
        </w:tc>
        <w:tc>
          <w:tcPr>
            <w:tcW w:w="1367" w:type="dxa"/>
            <w:vMerge/>
            <w:vAlign w:val="center"/>
          </w:tcPr>
          <w:p w14:paraId="47FB6CF8" w14:textId="77777777" w:rsidR="005A47F3" w:rsidRPr="008946B0" w:rsidRDefault="005A47F3">
            <w:pPr>
              <w:jc w:val="center"/>
              <w:rPr>
                <w:rFonts w:eastAsia="Calibri"/>
                <w:szCs w:val="22"/>
                <w:lang w:val="en-GB"/>
              </w:rPr>
            </w:pPr>
          </w:p>
        </w:tc>
        <w:tc>
          <w:tcPr>
            <w:tcW w:w="1367" w:type="dxa"/>
            <w:vMerge/>
            <w:vAlign w:val="center"/>
          </w:tcPr>
          <w:p w14:paraId="1390336D" w14:textId="77777777" w:rsidR="005A47F3" w:rsidRPr="008946B0" w:rsidRDefault="005A47F3">
            <w:pPr>
              <w:jc w:val="center"/>
              <w:rPr>
                <w:rFonts w:eastAsia="Calibri"/>
                <w:szCs w:val="22"/>
                <w:lang w:val="en-GB"/>
              </w:rPr>
            </w:pPr>
          </w:p>
        </w:tc>
        <w:tc>
          <w:tcPr>
            <w:tcW w:w="1367" w:type="dxa"/>
            <w:vAlign w:val="center"/>
          </w:tcPr>
          <w:p w14:paraId="1E11868F" w14:textId="77777777" w:rsidR="005A47F3" w:rsidRPr="008946B0" w:rsidRDefault="00AB77EF">
            <w:pPr>
              <w:jc w:val="center"/>
              <w:rPr>
                <w:rFonts w:eastAsia="Calibri"/>
                <w:szCs w:val="22"/>
                <w:lang w:val="en-GB"/>
              </w:rPr>
            </w:pPr>
            <w:r w:rsidRPr="008946B0">
              <w:rPr>
                <w:rFonts w:eastAsia="Calibri"/>
                <w:szCs w:val="22"/>
                <w:lang w:val="en-GB"/>
              </w:rPr>
              <w:t>0.5</w:t>
            </w:r>
          </w:p>
        </w:tc>
        <w:tc>
          <w:tcPr>
            <w:tcW w:w="1037" w:type="dxa"/>
            <w:vMerge/>
            <w:vAlign w:val="center"/>
          </w:tcPr>
          <w:p w14:paraId="2163EB00" w14:textId="77777777" w:rsidR="005A47F3" w:rsidRPr="008946B0" w:rsidRDefault="005A47F3">
            <w:pPr>
              <w:jc w:val="center"/>
              <w:rPr>
                <w:rFonts w:eastAsia="Calibri"/>
                <w:szCs w:val="22"/>
                <w:lang w:val="en-GB"/>
              </w:rPr>
            </w:pPr>
          </w:p>
        </w:tc>
        <w:tc>
          <w:tcPr>
            <w:tcW w:w="1107" w:type="dxa"/>
            <w:vAlign w:val="center"/>
          </w:tcPr>
          <w:p w14:paraId="113B2AAE" w14:textId="77777777" w:rsidR="005A47F3" w:rsidRPr="008946B0" w:rsidRDefault="00AB77EF">
            <w:pPr>
              <w:jc w:val="center"/>
              <w:rPr>
                <w:rFonts w:eastAsia="Calibri"/>
                <w:szCs w:val="22"/>
                <w:lang w:val="en-GB"/>
              </w:rPr>
            </w:pPr>
            <w:r w:rsidRPr="008946B0">
              <w:rPr>
                <w:rFonts w:eastAsia="Calibri"/>
                <w:szCs w:val="22"/>
                <w:lang w:val="en-GB"/>
              </w:rPr>
              <w:t>1.66</w:t>
            </w:r>
          </w:p>
        </w:tc>
        <w:tc>
          <w:tcPr>
            <w:tcW w:w="1107" w:type="dxa"/>
            <w:vAlign w:val="center"/>
          </w:tcPr>
          <w:p w14:paraId="25E11A39" w14:textId="77777777" w:rsidR="005A47F3" w:rsidRPr="008946B0" w:rsidRDefault="00AB77EF">
            <w:pPr>
              <w:jc w:val="center"/>
              <w:rPr>
                <w:rFonts w:eastAsia="Calibri"/>
                <w:szCs w:val="22"/>
                <w:lang w:val="en-GB"/>
              </w:rPr>
            </w:pPr>
            <w:r w:rsidRPr="008946B0">
              <w:rPr>
                <w:rFonts w:eastAsia="Calibri"/>
                <w:szCs w:val="22"/>
                <w:lang w:val="en-GB"/>
              </w:rPr>
              <w:t>13.86</w:t>
            </w:r>
          </w:p>
        </w:tc>
      </w:tr>
      <w:tr w:rsidR="005A47F3" w:rsidRPr="008946B0" w14:paraId="4F2D367C" w14:textId="77777777">
        <w:trPr>
          <w:cantSplit/>
          <w:jc w:val="center"/>
        </w:trPr>
        <w:tc>
          <w:tcPr>
            <w:tcW w:w="8739" w:type="dxa"/>
            <w:gridSpan w:val="7"/>
            <w:vAlign w:val="center"/>
          </w:tcPr>
          <w:p w14:paraId="6E9B1979" w14:textId="31032381" w:rsidR="005A47F3" w:rsidRPr="008946B0" w:rsidRDefault="00AB77EF">
            <w:pPr>
              <w:ind w:left="284" w:hanging="284"/>
              <w:jc w:val="both"/>
              <w:rPr>
                <w:sz w:val="16"/>
                <w:szCs w:val="16"/>
                <w:lang w:val="en-GB"/>
              </w:rPr>
            </w:pPr>
            <w:r w:rsidRPr="008946B0">
              <w:rPr>
                <w:sz w:val="16"/>
                <w:szCs w:val="16"/>
                <w:lang w:val="en-GB"/>
              </w:rPr>
              <w:t>Note: The cell size reflected in this table is based on typical GSM-R networks currently in use. This assumes that FRMCS would be deployed on the same radio sites without further densification</w:t>
            </w:r>
          </w:p>
        </w:tc>
      </w:tr>
    </w:tbl>
    <w:p w14:paraId="763127CA" w14:textId="77777777" w:rsidR="005A47F3" w:rsidRPr="008946B0" w:rsidRDefault="00AB77EF">
      <w:pPr>
        <w:pStyle w:val="Heading2"/>
        <w:rPr>
          <w:lang w:val="en-GB"/>
        </w:rPr>
      </w:pPr>
      <w:bookmarkStart w:id="90" w:name="_Toc31719405"/>
      <w:bookmarkStart w:id="91" w:name="_Toc42722820"/>
      <w:bookmarkEnd w:id="90"/>
      <w:r w:rsidRPr="008946B0">
        <w:rPr>
          <w:lang w:val="en-GB"/>
        </w:rPr>
        <w:t>Throughput offered by LTE/NR in railway environment</w:t>
      </w:r>
      <w:bookmarkEnd w:id="91"/>
    </w:p>
    <w:p w14:paraId="061B7A40" w14:textId="1DDC971E" w:rsidR="00D501CC" w:rsidRPr="008946B0" w:rsidRDefault="00D501CC" w:rsidP="00D501CC">
      <w:pPr>
        <w:spacing w:before="240" w:after="60" w:line="240" w:lineRule="auto"/>
        <w:jc w:val="both"/>
        <w:rPr>
          <w:rFonts w:eastAsia="Calibri"/>
          <w:szCs w:val="22"/>
          <w:lang w:val="en-GB"/>
        </w:rPr>
      </w:pPr>
      <w:r w:rsidRPr="008946B0">
        <w:rPr>
          <w:rFonts w:eastAsia="Calibri"/>
          <w:szCs w:val="22"/>
          <w:lang w:val="en-GB"/>
        </w:rPr>
        <w:t xml:space="preserve">The data throughput assumptions for the future railway mobile radio communications depend very much on the assumptions for critical real-time video. This is expected to play an instrumental role in future rail operations, especially in the context of automated train operations (ATO). It should be noted that the term “video” in this context refers to “classical” video, but also the data obtained from other sensors, or pre-processed and/or combined forms of such data within sensor fusion platforms used in automated railway systems, mostly for the purpose to detect hazards and ensure safety. Assumptions for such critical video applications are at an early stage and the data throughput for a single train on the uplink can vary, with current estimates in the order of 1 Mb/s in normal </w:t>
      </w:r>
      <w:r w:rsidR="00FA1888" w:rsidRPr="008946B0">
        <w:rPr>
          <w:rFonts w:eastAsia="Calibri"/>
          <w:szCs w:val="22"/>
          <w:lang w:val="en-GB"/>
        </w:rPr>
        <w:t xml:space="preserve">train operation </w:t>
      </w:r>
      <w:r w:rsidRPr="008946B0">
        <w:rPr>
          <w:rFonts w:eastAsia="Calibri"/>
          <w:szCs w:val="22"/>
          <w:lang w:val="en-GB"/>
        </w:rPr>
        <w:t xml:space="preserve">mode up to several Mb/s in degraded </w:t>
      </w:r>
      <w:r w:rsidR="00FA1888" w:rsidRPr="008946B0">
        <w:rPr>
          <w:rFonts w:eastAsia="Calibri"/>
          <w:szCs w:val="22"/>
          <w:lang w:val="en-GB"/>
        </w:rPr>
        <w:t xml:space="preserve">train operation </w:t>
      </w:r>
      <w:r w:rsidRPr="008946B0">
        <w:rPr>
          <w:rFonts w:eastAsia="Calibri"/>
          <w:szCs w:val="22"/>
          <w:lang w:val="en-GB"/>
        </w:rPr>
        <w:t>mode. This is likely to be in excess of the 2x5.6 MHz of spectrum at 900 MHz, as depicted below.</w:t>
      </w:r>
    </w:p>
    <w:p w14:paraId="56D0595B" w14:textId="2FFFCE63" w:rsidR="005A47F3" w:rsidRPr="008946B0" w:rsidRDefault="00AB77EF">
      <w:pPr>
        <w:spacing w:before="240" w:after="60" w:line="240" w:lineRule="auto"/>
        <w:jc w:val="both"/>
        <w:rPr>
          <w:rFonts w:eastAsia="Calibri"/>
          <w:szCs w:val="22"/>
          <w:lang w:val="en-GB"/>
        </w:rPr>
      </w:pPr>
      <w:r w:rsidRPr="008946B0">
        <w:rPr>
          <w:rFonts w:eastAsia="Calibri"/>
          <w:szCs w:val="22"/>
          <w:lang w:val="en-GB"/>
        </w:rPr>
        <w:t>ETSI TR 103 554-1 provides simulations of the throughput that can be offered at 9</w:t>
      </w:r>
      <w:r w:rsidR="00860354" w:rsidRPr="008946B0">
        <w:rPr>
          <w:rFonts w:eastAsia="Calibri"/>
          <w:szCs w:val="22"/>
          <w:lang w:val="en-GB"/>
        </w:rPr>
        <w:t>0</w:t>
      </w:r>
      <w:r w:rsidRPr="008946B0">
        <w:rPr>
          <w:rFonts w:eastAsia="Calibri"/>
          <w:szCs w:val="22"/>
          <w:lang w:val="en-GB"/>
        </w:rPr>
        <w:t>0 MHz by a 2x1.4 MHz or a 2x5 MHz FDD LTE channel, and at 1900 MHz by a 10 MHz TDD LTE channel. Similarly, ETSI TR 103 554-2 provides simulations of the throughput that can be offered at 9</w:t>
      </w:r>
      <w:r w:rsidR="00860354" w:rsidRPr="008946B0">
        <w:rPr>
          <w:rFonts w:eastAsia="Calibri"/>
          <w:szCs w:val="22"/>
          <w:lang w:val="en-GB"/>
        </w:rPr>
        <w:t>0</w:t>
      </w:r>
      <w:r w:rsidRPr="008946B0">
        <w:rPr>
          <w:rFonts w:eastAsia="Calibri"/>
          <w:szCs w:val="22"/>
          <w:lang w:val="en-GB"/>
        </w:rPr>
        <w:t>0 MHz by a 2x5 MHz FDD NR channel, and at 1900 MHz by a 10 MHz TDD NR channel. At 9</w:t>
      </w:r>
      <w:r w:rsidR="00860354" w:rsidRPr="008946B0">
        <w:rPr>
          <w:rFonts w:eastAsia="Calibri"/>
          <w:szCs w:val="22"/>
          <w:lang w:val="en-GB"/>
        </w:rPr>
        <w:t>0</w:t>
      </w:r>
      <w:r w:rsidRPr="008946B0">
        <w:rPr>
          <w:rFonts w:eastAsia="Calibri"/>
          <w:szCs w:val="22"/>
          <w:lang w:val="en-GB"/>
        </w:rPr>
        <w:t>0 MHz, this does not preclude use of in-band and/or adjacent channel arrangement of GSM-R and FRMCS in the whole 2x5.6 MHz.</w:t>
      </w:r>
    </w:p>
    <w:p w14:paraId="1200E455" w14:textId="5E42A57E" w:rsidR="005A47F3" w:rsidRPr="008946B0" w:rsidRDefault="00AB77EF">
      <w:pPr>
        <w:spacing w:before="240" w:after="60" w:line="240" w:lineRule="auto"/>
        <w:jc w:val="both"/>
        <w:rPr>
          <w:rFonts w:eastAsia="Calibri"/>
          <w:szCs w:val="22"/>
          <w:lang w:val="en-GB"/>
        </w:rPr>
      </w:pPr>
      <w:r w:rsidRPr="008946B0">
        <w:rPr>
          <w:rFonts w:eastAsia="Calibri"/>
          <w:szCs w:val="22"/>
          <w:lang w:val="en-GB"/>
        </w:rPr>
        <w:t>Noting that having the possibility to reuse as much as possible the current radio network infrastructure (</w:t>
      </w:r>
      <w:r w:rsidR="00D25481" w:rsidRPr="008946B0">
        <w:rPr>
          <w:rFonts w:eastAsia="Calibri"/>
          <w:szCs w:val="22"/>
          <w:lang w:val="en-GB"/>
        </w:rPr>
        <w:t xml:space="preserve">BS </w:t>
      </w:r>
      <w:r w:rsidRPr="008946B0">
        <w:rPr>
          <w:rFonts w:eastAsia="Calibri"/>
          <w:szCs w:val="22"/>
          <w:lang w:val="en-GB"/>
        </w:rPr>
        <w:t xml:space="preserve">sites) would save costs and reduce operational burden, the spectrum in 874.4-880 MHz / 919.4-925 MHz is </w:t>
      </w:r>
      <w:r w:rsidR="00B208CD" w:rsidRPr="008946B0">
        <w:rPr>
          <w:rFonts w:eastAsia="Calibri"/>
          <w:szCs w:val="22"/>
          <w:lang w:val="en-GB"/>
        </w:rPr>
        <w:t xml:space="preserve">one of the two </w:t>
      </w:r>
      <w:r w:rsidR="00004FA6" w:rsidRPr="008946B0">
        <w:rPr>
          <w:rFonts w:eastAsia="Calibri"/>
          <w:szCs w:val="22"/>
          <w:lang w:val="en-GB"/>
        </w:rPr>
        <w:t>identified</w:t>
      </w:r>
      <w:r w:rsidR="001A3D88" w:rsidRPr="008946B0">
        <w:rPr>
          <w:rFonts w:eastAsia="Calibri"/>
          <w:szCs w:val="22"/>
          <w:lang w:val="en-GB"/>
        </w:rPr>
        <w:t xml:space="preserve"> spectrum bands for</w:t>
      </w:r>
      <w:r w:rsidR="005B0205" w:rsidRPr="008946B0">
        <w:rPr>
          <w:rFonts w:eastAsia="Calibri"/>
          <w:szCs w:val="22"/>
          <w:lang w:val="en-GB"/>
        </w:rPr>
        <w:t xml:space="preserve"> </w:t>
      </w:r>
      <w:r w:rsidRPr="008946B0">
        <w:rPr>
          <w:rFonts w:eastAsia="Calibri"/>
          <w:szCs w:val="22"/>
          <w:lang w:val="en-GB"/>
        </w:rPr>
        <w:t xml:space="preserve">the successor </w:t>
      </w:r>
      <w:r w:rsidR="006A20DD" w:rsidRPr="008946B0">
        <w:rPr>
          <w:rFonts w:eastAsia="Calibri"/>
          <w:szCs w:val="22"/>
          <w:lang w:val="en-GB"/>
        </w:rPr>
        <w:t>of</w:t>
      </w:r>
      <w:r w:rsidRPr="008946B0">
        <w:rPr>
          <w:rFonts w:eastAsia="Calibri"/>
          <w:szCs w:val="22"/>
          <w:lang w:val="en-GB"/>
        </w:rPr>
        <w:t xml:space="preserve"> GSM-R for the migration and beyond.</w:t>
      </w:r>
    </w:p>
    <w:p w14:paraId="4744566A" w14:textId="2E8FCD4D" w:rsidR="005A47F3" w:rsidRPr="008946B0" w:rsidRDefault="008558A2" w:rsidP="005E72E2">
      <w:pPr>
        <w:spacing w:before="240" w:after="60" w:line="240" w:lineRule="auto"/>
        <w:jc w:val="both"/>
        <w:rPr>
          <w:rFonts w:eastAsia="Calibri"/>
          <w:szCs w:val="22"/>
          <w:lang w:val="en-GB"/>
        </w:rPr>
      </w:pPr>
      <w:r w:rsidRPr="008946B0">
        <w:rPr>
          <w:rFonts w:eastAsia="Calibri"/>
          <w:szCs w:val="22"/>
          <w:lang w:val="en-GB"/>
        </w:rPr>
        <w:t>As depicted in the two previous sections</w:t>
      </w:r>
      <w:r w:rsidR="00AB77EF" w:rsidRPr="008946B0">
        <w:rPr>
          <w:rFonts w:eastAsia="Calibri"/>
          <w:szCs w:val="22"/>
          <w:lang w:val="en-GB"/>
        </w:rPr>
        <w:t xml:space="preserve">, the capacity </w:t>
      </w:r>
      <w:r w:rsidR="00FA1888" w:rsidRPr="008946B0">
        <w:rPr>
          <w:rFonts w:eastAsia="Calibri"/>
          <w:szCs w:val="22"/>
          <w:lang w:val="en-GB"/>
        </w:rPr>
        <w:t>offered</w:t>
      </w:r>
      <w:r w:rsidR="00AB77EF" w:rsidRPr="008946B0">
        <w:rPr>
          <w:rFonts w:eastAsia="Calibri"/>
          <w:szCs w:val="22"/>
          <w:lang w:val="en-GB"/>
        </w:rPr>
        <w:t xml:space="preserve"> by adding 2x1.6 MHz of spectrum is not enough to support the </w:t>
      </w:r>
      <w:r w:rsidR="005E72E2" w:rsidRPr="008946B0">
        <w:rPr>
          <w:rFonts w:eastAsia="Calibri"/>
          <w:szCs w:val="22"/>
          <w:lang w:val="en-GB"/>
        </w:rPr>
        <w:t>spectrum</w:t>
      </w:r>
      <w:r w:rsidR="00AB77EF" w:rsidRPr="008946B0">
        <w:rPr>
          <w:rFonts w:eastAsia="Calibri"/>
          <w:szCs w:val="22"/>
          <w:lang w:val="en-GB"/>
        </w:rPr>
        <w:t xml:space="preserve"> demand </w:t>
      </w:r>
      <w:r w:rsidR="00FA1888" w:rsidRPr="008946B0">
        <w:rPr>
          <w:rFonts w:eastAsia="Calibri"/>
          <w:szCs w:val="22"/>
          <w:lang w:val="en-GB"/>
        </w:rPr>
        <w:t>of</w:t>
      </w:r>
      <w:r w:rsidR="00AB77EF" w:rsidRPr="008946B0">
        <w:rPr>
          <w:rFonts w:eastAsia="Calibri"/>
          <w:szCs w:val="22"/>
          <w:lang w:val="en-GB"/>
        </w:rPr>
        <w:t xml:space="preserve"> GSM-R and FRMCS during the migration</w:t>
      </w:r>
      <w:r w:rsidR="005E72E2" w:rsidRPr="008946B0">
        <w:rPr>
          <w:rFonts w:eastAsia="Calibri"/>
          <w:szCs w:val="22"/>
          <w:lang w:val="en-GB"/>
        </w:rPr>
        <w:t xml:space="preserve"> and beyond</w:t>
      </w:r>
      <w:r w:rsidR="00BE618F" w:rsidRPr="008946B0">
        <w:rPr>
          <w:rFonts w:eastAsia="Calibri"/>
          <w:szCs w:val="22"/>
          <w:lang w:val="en-GB"/>
        </w:rPr>
        <w:t xml:space="preserve"> (including </w:t>
      </w:r>
      <w:r w:rsidR="00FA1888" w:rsidRPr="008946B0">
        <w:rPr>
          <w:rFonts w:eastAsia="Calibri"/>
          <w:szCs w:val="22"/>
          <w:lang w:val="en-GB"/>
        </w:rPr>
        <w:t xml:space="preserve">increased railway traffic, </w:t>
      </w:r>
      <w:r w:rsidR="00E3614F" w:rsidRPr="008946B0">
        <w:rPr>
          <w:rFonts w:eastAsia="Calibri"/>
          <w:szCs w:val="22"/>
          <w:lang w:val="en-GB"/>
        </w:rPr>
        <w:t xml:space="preserve">ATO and </w:t>
      </w:r>
      <w:r w:rsidR="00BE618F" w:rsidRPr="008946B0">
        <w:rPr>
          <w:rFonts w:eastAsia="Calibri"/>
          <w:szCs w:val="22"/>
          <w:lang w:val="en-GB"/>
        </w:rPr>
        <w:t>critical sensing/video)</w:t>
      </w:r>
      <w:r w:rsidR="00AB77EF" w:rsidRPr="008946B0">
        <w:rPr>
          <w:rFonts w:eastAsia="Calibri"/>
          <w:szCs w:val="22"/>
          <w:lang w:val="en-GB"/>
        </w:rPr>
        <w:t xml:space="preserve">. </w:t>
      </w:r>
      <w:r w:rsidR="00DF6096" w:rsidRPr="008946B0">
        <w:rPr>
          <w:rFonts w:eastAsia="Calibri"/>
          <w:szCs w:val="22"/>
          <w:lang w:val="en-GB"/>
        </w:rPr>
        <w:t>A</w:t>
      </w:r>
      <w:r w:rsidR="00AB77EF" w:rsidRPr="008946B0">
        <w:rPr>
          <w:rFonts w:eastAsia="Calibri"/>
          <w:szCs w:val="22"/>
          <w:lang w:val="en-GB"/>
        </w:rPr>
        <w:t xml:space="preserve">ccess to complementary spectrum, such as 1900-1910 MHz, is </w:t>
      </w:r>
      <w:r w:rsidR="00DE257A" w:rsidRPr="008946B0">
        <w:rPr>
          <w:rFonts w:eastAsia="Calibri"/>
          <w:szCs w:val="22"/>
          <w:lang w:val="en-GB"/>
        </w:rPr>
        <w:t xml:space="preserve">thus </w:t>
      </w:r>
      <w:r w:rsidR="00AB77EF" w:rsidRPr="008946B0">
        <w:rPr>
          <w:rFonts w:eastAsia="Calibri"/>
          <w:szCs w:val="22"/>
          <w:lang w:val="en-GB"/>
        </w:rPr>
        <w:t xml:space="preserve">a prerequisite for many countries in order to </w:t>
      </w:r>
      <w:r w:rsidR="00DE257A" w:rsidRPr="008946B0">
        <w:rPr>
          <w:lang w:val="en-GB"/>
        </w:rPr>
        <w:t xml:space="preserve">fulfil the interoperability requirements, to </w:t>
      </w:r>
      <w:r w:rsidR="00BE618F" w:rsidRPr="008946B0">
        <w:rPr>
          <w:lang w:val="en-GB"/>
        </w:rPr>
        <w:t>enable parallel operation of GSM-R and its successor</w:t>
      </w:r>
      <w:r w:rsidR="00DE257A" w:rsidRPr="008946B0">
        <w:rPr>
          <w:lang w:val="en-GB"/>
        </w:rPr>
        <w:t xml:space="preserve"> and to benefit from new railway applications</w:t>
      </w:r>
      <w:r w:rsidR="00AB77EF" w:rsidRPr="008946B0">
        <w:rPr>
          <w:rFonts w:eastAsia="Calibri"/>
          <w:szCs w:val="22"/>
          <w:lang w:val="en-GB"/>
        </w:rPr>
        <w:t>.</w:t>
      </w:r>
    </w:p>
    <w:p w14:paraId="481416F9" w14:textId="1B5D8B55" w:rsidR="00712073" w:rsidRPr="008946B0" w:rsidRDefault="00712073">
      <w:pPr>
        <w:spacing w:before="240" w:after="60" w:line="240" w:lineRule="auto"/>
        <w:jc w:val="both"/>
        <w:rPr>
          <w:rFonts w:eastAsia="Calibri"/>
          <w:szCs w:val="22"/>
          <w:lang w:val="en-GB"/>
        </w:rPr>
      </w:pPr>
      <w:r w:rsidRPr="008946B0">
        <w:rPr>
          <w:rFonts w:eastAsia="Calibri"/>
          <w:szCs w:val="22"/>
          <w:lang w:val="en-GB"/>
        </w:rPr>
        <w:t>Hence</w:t>
      </w:r>
      <w:r w:rsidR="00D25481" w:rsidRPr="008946B0">
        <w:rPr>
          <w:rFonts w:eastAsia="Calibri"/>
          <w:szCs w:val="22"/>
          <w:lang w:val="en-GB"/>
        </w:rPr>
        <w:t>,</w:t>
      </w:r>
      <w:r w:rsidRPr="008946B0">
        <w:rPr>
          <w:rFonts w:eastAsia="Calibri"/>
          <w:szCs w:val="22"/>
          <w:lang w:val="en-GB"/>
        </w:rPr>
        <w:t xml:space="preserve"> the spectrum 1900-1910 MHz is </w:t>
      </w:r>
      <w:r w:rsidR="00004FA6" w:rsidRPr="008946B0">
        <w:rPr>
          <w:rFonts w:eastAsia="Calibri"/>
          <w:szCs w:val="22"/>
          <w:lang w:val="en-GB"/>
        </w:rPr>
        <w:t>one of the two identified</w:t>
      </w:r>
      <w:r w:rsidR="00BD1756" w:rsidRPr="008946B0">
        <w:rPr>
          <w:rFonts w:eastAsia="Calibri"/>
          <w:szCs w:val="22"/>
          <w:lang w:val="en-GB"/>
        </w:rPr>
        <w:t xml:space="preserve"> spectrum bands for </w:t>
      </w:r>
      <w:r w:rsidRPr="008946B0">
        <w:rPr>
          <w:rFonts w:eastAsia="Calibri"/>
          <w:szCs w:val="22"/>
          <w:lang w:val="en-GB"/>
        </w:rPr>
        <w:t>the successor to GSM-R for the migration and beyond.</w:t>
      </w:r>
    </w:p>
    <w:p w14:paraId="4D0226A1" w14:textId="40600070" w:rsidR="00B2621D" w:rsidRPr="008946B0" w:rsidRDefault="00B2621D" w:rsidP="00B2621D">
      <w:pPr>
        <w:pStyle w:val="Heading2"/>
        <w:rPr>
          <w:lang w:val="en-GB"/>
        </w:rPr>
      </w:pPr>
      <w:bookmarkStart w:id="92" w:name="_Toc38557979"/>
      <w:bookmarkStart w:id="93" w:name="_Toc40453124"/>
      <w:bookmarkStart w:id="94" w:name="_Toc40456583"/>
      <w:bookmarkStart w:id="95" w:name="_Toc42722821"/>
      <w:bookmarkStart w:id="96" w:name="_Toc38557980"/>
      <w:bookmarkStart w:id="97" w:name="_Toc40453125"/>
      <w:bookmarkStart w:id="98" w:name="_Toc40456584"/>
      <w:bookmarkStart w:id="99" w:name="_Toc42722822"/>
      <w:bookmarkStart w:id="100" w:name="_Toc42722823"/>
      <w:bookmarkEnd w:id="92"/>
      <w:bookmarkEnd w:id="93"/>
      <w:bookmarkEnd w:id="94"/>
      <w:bookmarkEnd w:id="95"/>
      <w:bookmarkEnd w:id="96"/>
      <w:bookmarkEnd w:id="97"/>
      <w:bookmarkEnd w:id="98"/>
      <w:bookmarkEnd w:id="99"/>
      <w:r w:rsidRPr="008946B0">
        <w:rPr>
          <w:lang w:val="en-GB"/>
        </w:rPr>
        <w:t>Migration at 900 MHz</w:t>
      </w:r>
      <w:bookmarkEnd w:id="100"/>
    </w:p>
    <w:p w14:paraId="39F55034" w14:textId="1CB4E19E" w:rsidR="00B2621D" w:rsidRPr="008946B0" w:rsidRDefault="00B2621D" w:rsidP="00B2621D">
      <w:pPr>
        <w:pStyle w:val="ECCParagraph"/>
        <w:spacing w:before="240" w:after="60"/>
      </w:pPr>
      <w:r w:rsidRPr="008946B0">
        <w:t xml:space="preserve">Considering the FRMCS rollout timeframe, it may not make sense to invest in a 4G network </w:t>
      </w:r>
      <w:r w:rsidR="000F04FC" w:rsidRPr="008946B0">
        <w:t>as by 20</w:t>
      </w:r>
      <w:r w:rsidR="00CC717A" w:rsidRPr="008946B0">
        <w:t>24</w:t>
      </w:r>
      <w:r w:rsidRPr="008946B0">
        <w:t xml:space="preserve"> 5G </w:t>
      </w:r>
      <w:r w:rsidR="00124C7B" w:rsidRPr="008946B0">
        <w:t xml:space="preserve">is expected to </w:t>
      </w:r>
      <w:r w:rsidRPr="008946B0">
        <w:t>ha</w:t>
      </w:r>
      <w:r w:rsidR="00124C7B" w:rsidRPr="008946B0">
        <w:t>ve</w:t>
      </w:r>
      <w:r w:rsidRPr="008946B0">
        <w:t xml:space="preserve"> become a mature and widely used technology in the commercial mobile networks.</w:t>
      </w:r>
    </w:p>
    <w:p w14:paraId="1312A2C0" w14:textId="5292D75B" w:rsidR="00B2621D" w:rsidRPr="00152A2A" w:rsidRDefault="00B2621D" w:rsidP="002374ED">
      <w:pPr>
        <w:pStyle w:val="ECCParagraph"/>
      </w:pPr>
      <w:r w:rsidRPr="00DC5A64">
        <w:t xml:space="preserve">FRMCS occupying 5 MHz bandwidth with no overlap with GSM-R in practice would rule out the 900 MHz as an option for a dual network operation during migration since a total available bandwidth of 2x5.6 MHz would only leave room for maximum three GSM-R channels, when assuming no guard-band. </w:t>
      </w:r>
    </w:p>
    <w:p w14:paraId="4CFA5AA5" w14:textId="0816F16C" w:rsidR="00B2621D" w:rsidRPr="00152A2A" w:rsidRDefault="00B2621D" w:rsidP="002374ED">
      <w:pPr>
        <w:pStyle w:val="ECCParagraph"/>
      </w:pPr>
      <w:r w:rsidRPr="00152A2A">
        <w:t xml:space="preserve">In order to enable migration using the 900 MHz spectrum while maintaining </w:t>
      </w:r>
      <w:r w:rsidR="00AD523D" w:rsidRPr="00152A2A">
        <w:t xml:space="preserve">interoperable and safe </w:t>
      </w:r>
      <w:r w:rsidRPr="00152A2A">
        <w:t xml:space="preserve">operation of GSM-R, two </w:t>
      </w:r>
      <w:r w:rsidR="000F04FC" w:rsidRPr="00152A2A">
        <w:t xml:space="preserve">possible </w:t>
      </w:r>
      <w:r w:rsidRPr="00152A2A">
        <w:t>approaches have been identified:</w:t>
      </w:r>
    </w:p>
    <w:p w14:paraId="3B743CF1" w14:textId="77777777" w:rsidR="00B2621D" w:rsidRPr="008946B0" w:rsidRDefault="00B2621D" w:rsidP="00B2621D">
      <w:pPr>
        <w:pStyle w:val="ECCBulletsLv1"/>
      </w:pPr>
      <w:r w:rsidRPr="008946B0">
        <w:t>Adjacent deployment of a 1.4 MHz FDD LTE carrier, adjacent to the legacy 4 MHz for GSM-R:</w:t>
      </w:r>
    </w:p>
    <w:p w14:paraId="7552AA96" w14:textId="4EB40BFC" w:rsidR="00B2621D" w:rsidRPr="008946B0" w:rsidRDefault="00B2621D" w:rsidP="006676F1">
      <w:pPr>
        <w:pStyle w:val="ECCBulletsLv2"/>
        <w:numPr>
          <w:ilvl w:val="0"/>
          <w:numId w:val="8"/>
        </w:numPr>
        <w:ind w:left="680"/>
      </w:pPr>
      <w:r w:rsidRPr="008946B0">
        <w:t xml:space="preserve">This approach </w:t>
      </w:r>
      <w:r w:rsidR="00455E22" w:rsidRPr="008946B0">
        <w:t>would have a lower</w:t>
      </w:r>
      <w:r w:rsidRPr="008946B0">
        <w:t xml:space="preserve"> </w:t>
      </w:r>
      <w:r w:rsidR="00D333A3" w:rsidRPr="008946B0">
        <w:t>traffic handling capacity</w:t>
      </w:r>
      <w:r w:rsidR="00455E22" w:rsidRPr="008946B0">
        <w:t xml:space="preserve"> and needs to be considered</w:t>
      </w:r>
      <w:r w:rsidRPr="008946B0">
        <w:t xml:space="preserve"> in terms of </w:t>
      </w:r>
      <w:r w:rsidR="00455E22" w:rsidRPr="008946B0">
        <w:t xml:space="preserve">product </w:t>
      </w:r>
      <w:r w:rsidRPr="008946B0">
        <w:t xml:space="preserve">lifecycle </w:t>
      </w:r>
      <w:r w:rsidR="00455E22" w:rsidRPr="008946B0">
        <w:t>and</w:t>
      </w:r>
      <w:r w:rsidR="006676F1" w:rsidRPr="008946B0">
        <w:t xml:space="preserve"> long</w:t>
      </w:r>
      <w:r w:rsidR="00455E22" w:rsidRPr="008946B0">
        <w:t>er</w:t>
      </w:r>
      <w:r w:rsidR="006676F1" w:rsidRPr="008946B0">
        <w:t xml:space="preserve">-term </w:t>
      </w:r>
      <w:r w:rsidR="00455E22" w:rsidRPr="008946B0">
        <w:t>migration to NR</w:t>
      </w:r>
      <w:r w:rsidR="004A78DB" w:rsidRPr="008946B0">
        <w:t>.</w:t>
      </w:r>
    </w:p>
    <w:p w14:paraId="34A1E0A8" w14:textId="77777777" w:rsidR="00B2621D" w:rsidRPr="008946B0" w:rsidRDefault="00B2621D" w:rsidP="006676F1">
      <w:pPr>
        <w:pStyle w:val="ECCBulletsLv1"/>
      </w:pPr>
      <w:r w:rsidRPr="008946B0">
        <w:t>In-band coexistence based on an overlay of a 5 MHz FDD LTE/NR carrier or of a 5.6 MHz FDD NR carrier (subject to 3GPP feasibility study), co-channel with GSM-R carriers:</w:t>
      </w:r>
    </w:p>
    <w:p w14:paraId="41345962" w14:textId="77777777" w:rsidR="00B2621D" w:rsidRPr="008946B0" w:rsidRDefault="00B2621D" w:rsidP="00B2621D">
      <w:pPr>
        <w:pStyle w:val="ECCBulletsLv2"/>
        <w:numPr>
          <w:ilvl w:val="0"/>
          <w:numId w:val="8"/>
        </w:numPr>
        <w:ind w:left="680"/>
      </w:pPr>
      <w:r w:rsidRPr="008946B0">
        <w:t>This approach is based on a concept of advanced resource block scheduling that allows GSM-R channels to operate within the NR wideband channel. This is currently under study within ETSI TC-RT;</w:t>
      </w:r>
    </w:p>
    <w:p w14:paraId="1055E1F7" w14:textId="77777777" w:rsidR="00B2621D" w:rsidRPr="008946B0" w:rsidRDefault="00B2621D" w:rsidP="00B2621D">
      <w:pPr>
        <w:pStyle w:val="ECCBulletsLv2"/>
        <w:numPr>
          <w:ilvl w:val="0"/>
          <w:numId w:val="8"/>
        </w:numPr>
        <w:ind w:left="680"/>
      </w:pPr>
      <w:r w:rsidRPr="008946B0">
        <w:t>It would rely on the ability of GSM-R to withstand the interference resulting from the collision with the mandatory NR signalling sub-frames (SSB, Coreset 0) as well as on the ability of FRMCS to withstand the interference resulting from the presence of GSM-R channels within the channel bandwidth;</w:t>
      </w:r>
    </w:p>
    <w:p w14:paraId="49CA80A5" w14:textId="39C25799" w:rsidR="00B2621D" w:rsidRPr="008946B0" w:rsidRDefault="00B2621D" w:rsidP="00B2621D">
      <w:pPr>
        <w:pStyle w:val="ECCBulletsLv2"/>
        <w:numPr>
          <w:ilvl w:val="0"/>
          <w:numId w:val="8"/>
        </w:numPr>
        <w:ind w:left="680"/>
      </w:pPr>
      <w:r w:rsidRPr="008946B0">
        <w:t xml:space="preserve">In particular, this approach would allow for a single step migration to NR </w:t>
      </w:r>
      <w:r w:rsidR="00D56B08" w:rsidRPr="008946B0">
        <w:t>with</w:t>
      </w:r>
      <w:r w:rsidRPr="008946B0">
        <w:t xml:space="preserve"> a gradual redistribution of traffic handling capacity between GSM-R and 5G usage as well as an increased efficiency in spectrum usage.</w:t>
      </w:r>
    </w:p>
    <w:p w14:paraId="78B61174" w14:textId="425514A7" w:rsidR="00B2621D" w:rsidRPr="00DC5A64" w:rsidRDefault="00806D8D" w:rsidP="002374ED">
      <w:pPr>
        <w:pStyle w:val="ECCParagraph"/>
      </w:pPr>
      <w:r w:rsidRPr="00DC5A64">
        <w:t>T</w:t>
      </w:r>
      <w:r w:rsidR="00B2621D" w:rsidRPr="00DC5A64">
        <w:t xml:space="preserve">he current NR technical specifications only support channel bandwidths of 5 MHz or more. </w:t>
      </w:r>
      <w:r w:rsidRPr="00DC5A64">
        <w:t>Adding s</w:t>
      </w:r>
      <w:r w:rsidR="00B2621D" w:rsidRPr="00152A2A">
        <w:t xml:space="preserve">maller bandwidths </w:t>
      </w:r>
      <w:r w:rsidRPr="00152A2A">
        <w:t>in the</w:t>
      </w:r>
      <w:r w:rsidR="00B2621D" w:rsidRPr="00152A2A">
        <w:t xml:space="preserve"> NR specifications </w:t>
      </w:r>
      <w:r w:rsidRPr="00152A2A">
        <w:t>would require certain standardisation efforts with respect to</w:t>
      </w:r>
      <w:r w:rsidR="00B2621D" w:rsidRPr="00152A2A">
        <w:t xml:space="preserve"> the NR physical layer.</w:t>
      </w:r>
      <w:r w:rsidRPr="00DC5A64">
        <w:t xml:space="preserve"> Future standardisation in this direction should be monitored to evaluate its potential impact on FRMCS migration within the 900 MHz band.</w:t>
      </w:r>
    </w:p>
    <w:p w14:paraId="6690CC99" w14:textId="77777777" w:rsidR="00B2621D" w:rsidRPr="008946B0" w:rsidRDefault="00B2621D" w:rsidP="00B2621D">
      <w:pPr>
        <w:pStyle w:val="Heading2"/>
        <w:rPr>
          <w:lang w:val="en-GB"/>
        </w:rPr>
      </w:pPr>
      <w:bookmarkStart w:id="101" w:name="_Toc42722824"/>
      <w:r w:rsidRPr="008946B0">
        <w:rPr>
          <w:lang w:val="en-GB"/>
        </w:rPr>
        <w:t>Hotspots and border areas</w:t>
      </w:r>
      <w:bookmarkEnd w:id="101"/>
    </w:p>
    <w:p w14:paraId="7ED78A5A" w14:textId="48BC529D" w:rsidR="005A47F3" w:rsidRPr="008946B0" w:rsidRDefault="00AB77EF" w:rsidP="002374ED">
      <w:pPr>
        <w:pStyle w:val="ECCParagraph"/>
        <w:rPr>
          <w:rFonts w:eastAsia="Calibri"/>
        </w:rPr>
      </w:pPr>
      <w:r w:rsidRPr="008946B0">
        <w:rPr>
          <w:rFonts w:eastAsia="Calibri"/>
        </w:rPr>
        <w:t xml:space="preserve">Some GSM-R radio network operators are currently facing the problem of insufficient radio resources in the harmonised GSM-R band to support their operational needs, especially in railway hubs / hotspots and border areas. In such areas, additional radio resources are required. </w:t>
      </w:r>
      <w:r w:rsidR="00067FFB" w:rsidRPr="008946B0">
        <w:rPr>
          <w:rFonts w:eastAsia="Calibri"/>
        </w:rPr>
        <w:t xml:space="preserve">However, </w:t>
      </w:r>
      <w:r w:rsidR="001D0910" w:rsidRPr="008946B0">
        <w:rPr>
          <w:rFonts w:eastAsia="Calibri"/>
        </w:rPr>
        <w:t xml:space="preserve">a </w:t>
      </w:r>
      <w:r w:rsidR="00067FFB" w:rsidRPr="008946B0">
        <w:rPr>
          <w:rFonts w:eastAsia="Calibri"/>
        </w:rPr>
        <w:t xml:space="preserve">shortage of spectrum for GSM-R is not uniform across all European countries. </w:t>
      </w:r>
      <w:r w:rsidRPr="008946B0">
        <w:rPr>
          <w:rFonts w:eastAsia="Calibri"/>
        </w:rPr>
        <w:t>For GSM-R, the band 873-876 MHz / 918-921 MHz may be used on a national basis</w:t>
      </w:r>
      <w:r w:rsidR="00067FFB" w:rsidRPr="008946B0">
        <w:rPr>
          <w:rFonts w:eastAsia="Calibri"/>
        </w:rPr>
        <w:t xml:space="preserve"> and some countries solve the shortage of spectrum in this way</w:t>
      </w:r>
      <w:r w:rsidRPr="008946B0">
        <w:rPr>
          <w:rFonts w:eastAsia="Calibri"/>
          <w:vertAlign w:val="superscript"/>
        </w:rPr>
        <w:footnoteReference w:id="10"/>
      </w:r>
      <w:r w:rsidRPr="008946B0">
        <w:rPr>
          <w:rFonts w:eastAsia="Calibri"/>
        </w:rPr>
        <w:t>.</w:t>
      </w:r>
    </w:p>
    <w:p w14:paraId="2DE3A857" w14:textId="714F00D9" w:rsidR="005A47F3" w:rsidRPr="008946B0" w:rsidRDefault="00AB77EF" w:rsidP="002374ED">
      <w:pPr>
        <w:pStyle w:val="ECCParagraph"/>
        <w:rPr>
          <w:rFonts w:eastAsia="Calibri"/>
        </w:rPr>
      </w:pPr>
      <w:r w:rsidRPr="008946B0">
        <w:rPr>
          <w:rFonts w:eastAsia="Calibri"/>
        </w:rPr>
        <w:t>Examples of the most complex railway hubs / hotspots are:</w:t>
      </w:r>
    </w:p>
    <w:p w14:paraId="11BDDF02" w14:textId="77777777" w:rsidR="005A47F3" w:rsidRPr="008946B0" w:rsidRDefault="00AB77EF">
      <w:pPr>
        <w:pStyle w:val="ECCBulletsLv1"/>
      </w:pPr>
      <w:r w:rsidRPr="008946B0">
        <w:t>Mannheim area in Germany;</w:t>
      </w:r>
    </w:p>
    <w:p w14:paraId="3C211B8E" w14:textId="7BBA2ED8" w:rsidR="005A47F3" w:rsidRPr="008946B0" w:rsidRDefault="00AB77EF">
      <w:pPr>
        <w:pStyle w:val="ECCBulletsLv1"/>
      </w:pPr>
      <w:r w:rsidRPr="008946B0">
        <w:t>Basel area in Switzerland</w:t>
      </w:r>
      <w:r w:rsidR="00B26057" w:rsidRPr="008946B0">
        <w:t>, France</w:t>
      </w:r>
      <w:r w:rsidRPr="008946B0">
        <w:t xml:space="preserve"> and Germany;</w:t>
      </w:r>
    </w:p>
    <w:p w14:paraId="5D2AE988" w14:textId="08334B84" w:rsidR="005A47F3" w:rsidRPr="008946B0" w:rsidRDefault="00AB77EF">
      <w:pPr>
        <w:pStyle w:val="ECCBulletsLv1"/>
      </w:pPr>
      <w:r w:rsidRPr="008946B0">
        <w:t>Brussels-Antwerp-Ghent area in Belgium.</w:t>
      </w:r>
    </w:p>
    <w:p w14:paraId="524DE32B" w14:textId="77777777" w:rsidR="005A47F3" w:rsidRPr="008946B0" w:rsidRDefault="00AB77EF" w:rsidP="00A01D64">
      <w:pPr>
        <w:spacing w:before="240" w:after="60" w:line="240" w:lineRule="auto"/>
        <w:jc w:val="center"/>
        <w:rPr>
          <w:lang w:val="en-GB"/>
        </w:rPr>
      </w:pPr>
      <w:r w:rsidRPr="008946B0">
        <w:rPr>
          <w:noProof/>
          <w:lang w:val="fr-FR" w:eastAsia="fr-FR"/>
        </w:rPr>
        <w:drawing>
          <wp:inline distT="0" distB="0" distL="0" distR="0" wp14:anchorId="23C3954F" wp14:editId="7690A244">
            <wp:extent cx="6181344" cy="1826935"/>
            <wp:effectExtent l="0" t="0" r="0" b="190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238110" cy="1843713"/>
                    </a:xfrm>
                    <a:prstGeom prst="rect">
                      <a:avLst/>
                    </a:prstGeom>
                    <a:noFill/>
                    <a:ln>
                      <a:noFill/>
                    </a:ln>
                  </pic:spPr>
                </pic:pic>
              </a:graphicData>
            </a:graphic>
          </wp:inline>
        </w:drawing>
      </w:r>
    </w:p>
    <w:p w14:paraId="1110BD85" w14:textId="77AA62EE" w:rsidR="005A47F3" w:rsidRPr="008946B0" w:rsidRDefault="00AB77EF">
      <w:pPr>
        <w:pStyle w:val="Caption"/>
        <w:rPr>
          <w:lang w:val="en-GB"/>
        </w:rPr>
      </w:pPr>
      <w:r w:rsidRPr="008946B0">
        <w:rPr>
          <w:lang w:val="en-GB"/>
        </w:rPr>
        <w:t xml:space="preserve">Figure </w:t>
      </w:r>
      <w:r w:rsidRPr="008946B0">
        <w:rPr>
          <w:lang w:val="en-GB"/>
        </w:rPr>
        <w:fldChar w:fldCharType="begin"/>
      </w:r>
      <w:r w:rsidRPr="008946B0">
        <w:rPr>
          <w:lang w:val="en-GB"/>
        </w:rPr>
        <w:instrText xml:space="preserve"> SEQ Figure \* ARABIC </w:instrText>
      </w:r>
      <w:r w:rsidRPr="008946B0">
        <w:rPr>
          <w:lang w:val="en-GB"/>
        </w:rPr>
        <w:fldChar w:fldCharType="separate"/>
      </w:r>
      <w:r w:rsidR="00CF6E1D" w:rsidRPr="008946B0">
        <w:rPr>
          <w:lang w:val="en-GB"/>
        </w:rPr>
        <w:t>2</w:t>
      </w:r>
      <w:r w:rsidRPr="008946B0">
        <w:rPr>
          <w:lang w:val="en-GB"/>
        </w:rPr>
        <w:fldChar w:fldCharType="end"/>
      </w:r>
      <w:r w:rsidRPr="008946B0">
        <w:rPr>
          <w:lang w:val="en-GB"/>
        </w:rPr>
        <w:t>: Railway hub in Mannheim (Germany)</w:t>
      </w:r>
    </w:p>
    <w:p w14:paraId="4A434313" w14:textId="1E5B8308"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In border areas, the available spectrum for GSM-R </w:t>
      </w:r>
      <w:r w:rsidR="00DD203A" w:rsidRPr="008946B0">
        <w:rPr>
          <w:rFonts w:eastAsia="Calibri"/>
          <w:szCs w:val="22"/>
          <w:lang w:val="en-GB"/>
        </w:rPr>
        <w:t>is</w:t>
      </w:r>
      <w:r w:rsidRPr="008946B0">
        <w:rPr>
          <w:rFonts w:eastAsia="Calibri"/>
          <w:szCs w:val="22"/>
          <w:lang w:val="en-GB"/>
        </w:rPr>
        <w:t xml:space="preserve"> shared between two or more GSM-R operators, thus the radio frequency planning process must be supplemented by proper network coordination. This cross-border coordination becomes a major challenge for the radio network planning and rollout. Today, cross-border coordination agreements for railway radio communication are established and being used by default, giving GSM-R network operators some flexibility for their frequency planning.</w:t>
      </w:r>
    </w:p>
    <w:p w14:paraId="11710CBE" w14:textId="77777777" w:rsidR="005A47F3" w:rsidRPr="008946B0" w:rsidRDefault="00AB77EF">
      <w:pPr>
        <w:spacing w:before="240" w:after="60" w:line="240" w:lineRule="auto"/>
        <w:jc w:val="both"/>
        <w:rPr>
          <w:rFonts w:eastAsia="Calibri"/>
          <w:szCs w:val="22"/>
          <w:lang w:val="en-GB"/>
        </w:rPr>
      </w:pPr>
      <w:r w:rsidRPr="008946B0">
        <w:rPr>
          <w:rFonts w:eastAsia="Calibri"/>
          <w:szCs w:val="22"/>
          <w:lang w:val="en-GB"/>
        </w:rPr>
        <w:t>For GSM-R network operators, the situation of the coordination between neighbouring countries varies considerably, depending on the number of parties.</w:t>
      </w:r>
    </w:p>
    <w:p w14:paraId="39028A86" w14:textId="77777777" w:rsidR="005A47F3" w:rsidRPr="008946B0" w:rsidRDefault="00AB77EF">
      <w:pPr>
        <w:spacing w:before="240" w:after="60" w:line="240" w:lineRule="auto"/>
        <w:jc w:val="both"/>
        <w:rPr>
          <w:rFonts w:eastAsia="Calibri"/>
          <w:szCs w:val="22"/>
          <w:lang w:val="en-GB"/>
        </w:rPr>
      </w:pPr>
      <w:r w:rsidRPr="008946B0">
        <w:rPr>
          <w:rFonts w:eastAsia="Calibri"/>
          <w:szCs w:val="22"/>
          <w:lang w:val="en-GB"/>
        </w:rPr>
        <w:t>Examples of the most complex border regions are:</w:t>
      </w:r>
    </w:p>
    <w:p w14:paraId="318904AE" w14:textId="77777777" w:rsidR="005A47F3" w:rsidRPr="008946B0" w:rsidRDefault="00AB77EF">
      <w:pPr>
        <w:pStyle w:val="ECCBulletsLv1"/>
      </w:pPr>
      <w:r w:rsidRPr="008946B0">
        <w:t>Germany / Switzerland / France (e.g. Basel area);</w:t>
      </w:r>
    </w:p>
    <w:p w14:paraId="7085646B" w14:textId="77777777" w:rsidR="005A47F3" w:rsidRPr="008946B0" w:rsidRDefault="00AB77EF">
      <w:pPr>
        <w:pStyle w:val="ECCBulletsLv1"/>
      </w:pPr>
      <w:r w:rsidRPr="008946B0">
        <w:t>Germany / Switzerland / Austria (e.g. Lake Constance);</w:t>
      </w:r>
    </w:p>
    <w:p w14:paraId="486A5B93" w14:textId="77777777" w:rsidR="005A47F3" w:rsidRPr="008946B0" w:rsidRDefault="00AB77EF">
      <w:pPr>
        <w:pStyle w:val="ECCBulletsLv1"/>
      </w:pPr>
      <w:r w:rsidRPr="008946B0">
        <w:t>Germany / Belgium / The Netherlands (e.g. Aachen/Maastricht);</w:t>
      </w:r>
    </w:p>
    <w:p w14:paraId="3347F63D" w14:textId="77777777" w:rsidR="005A47F3" w:rsidRPr="008946B0" w:rsidRDefault="00AB77EF">
      <w:pPr>
        <w:pStyle w:val="ECCBulletsLv1"/>
      </w:pPr>
      <w:r w:rsidRPr="008946B0">
        <w:t>Baltic Sea coastline;</w:t>
      </w:r>
    </w:p>
    <w:p w14:paraId="6ABE41D9" w14:textId="77777777" w:rsidR="005A47F3" w:rsidRPr="008946B0" w:rsidRDefault="00AB77EF">
      <w:pPr>
        <w:pStyle w:val="ECCBulletsLv1"/>
      </w:pPr>
      <w:r w:rsidRPr="008946B0">
        <w:t>Switzerland / Germany / Liechtenstein / Austria (border area);</w:t>
      </w:r>
    </w:p>
    <w:p w14:paraId="1FF10ACF" w14:textId="77777777" w:rsidR="005A47F3" w:rsidRPr="008946B0" w:rsidRDefault="00AB77EF">
      <w:pPr>
        <w:pStyle w:val="ECCBulletsLv1"/>
      </w:pPr>
      <w:r w:rsidRPr="008946B0">
        <w:t xml:space="preserve">Switzerland / Italy (e.g. </w:t>
      </w:r>
      <w:proofErr w:type="spellStart"/>
      <w:r w:rsidRPr="008946B0">
        <w:t>Chiasso</w:t>
      </w:r>
      <w:proofErr w:type="spellEnd"/>
      <w:r w:rsidRPr="008946B0">
        <w:t xml:space="preserve"> area);</w:t>
      </w:r>
    </w:p>
    <w:p w14:paraId="7D386D07" w14:textId="77777777" w:rsidR="005A47F3" w:rsidRPr="008946B0" w:rsidRDefault="00AB77EF">
      <w:pPr>
        <w:pStyle w:val="ECCBulletsLv1"/>
      </w:pPr>
      <w:r w:rsidRPr="008946B0">
        <w:t>Switzerland / France (e.g. Geneva area);</w:t>
      </w:r>
    </w:p>
    <w:p w14:paraId="78BBB0D5" w14:textId="77777777" w:rsidR="005A47F3" w:rsidRPr="008946B0" w:rsidRDefault="00AB77EF">
      <w:pPr>
        <w:pStyle w:val="ECCBulletsLv1"/>
      </w:pPr>
      <w:r w:rsidRPr="008946B0">
        <w:t>Switzerland / France (e.g. Lausanne area);</w:t>
      </w:r>
    </w:p>
    <w:p w14:paraId="537BCEFE" w14:textId="77777777" w:rsidR="005A47F3" w:rsidRPr="008946B0" w:rsidRDefault="00AB77EF">
      <w:pPr>
        <w:pStyle w:val="ECCBulletsLv1"/>
      </w:pPr>
      <w:r w:rsidRPr="008946B0">
        <w:t>Netherlands / Belgium / Luxembourg / France.</w:t>
      </w:r>
    </w:p>
    <w:p w14:paraId="4FC0CA9A" w14:textId="37BE8C98" w:rsidR="005A47F3" w:rsidRPr="008946B0" w:rsidRDefault="00AB77EF" w:rsidP="00A01D64">
      <w:pPr>
        <w:pStyle w:val="ECCParagraph"/>
        <w:spacing w:before="240" w:after="60"/>
      </w:pPr>
      <w:r w:rsidRPr="008946B0">
        <w:t xml:space="preserve">A similar situation is expected </w:t>
      </w:r>
      <w:r w:rsidR="0081068F" w:rsidRPr="008946B0">
        <w:t xml:space="preserve">to occur </w:t>
      </w:r>
      <w:r w:rsidRPr="008946B0">
        <w:t>with FRMCS</w:t>
      </w:r>
      <w:r w:rsidR="00FF4FED" w:rsidRPr="008946B0">
        <w:t>, independently of</w:t>
      </w:r>
      <w:r w:rsidRPr="008946B0">
        <w:t xml:space="preserve"> the migration</w:t>
      </w:r>
      <w:r w:rsidR="00712E46" w:rsidRPr="008946B0">
        <w:t xml:space="preserve"> strategy</w:t>
      </w:r>
      <w:r w:rsidRPr="008946B0">
        <w:t>.</w:t>
      </w:r>
      <w:r w:rsidR="00FF4FED" w:rsidRPr="008946B0">
        <w:t xml:space="preserve"> </w:t>
      </w:r>
      <w:r w:rsidR="005B0B07" w:rsidRPr="008946B0">
        <w:t>A</w:t>
      </w:r>
      <w:r w:rsidR="00FF4FED" w:rsidRPr="008946B0">
        <w:t xml:space="preserve"> complementary frequency band, such as 1900-1910 MHz, </w:t>
      </w:r>
      <w:r w:rsidR="0004249D" w:rsidRPr="008946B0">
        <w:t>will be essential in the areas listed above and will</w:t>
      </w:r>
      <w:r w:rsidR="00FF4FED" w:rsidRPr="008946B0">
        <w:t xml:space="preserve"> offer more flexibility in sharing spectrum resources </w:t>
      </w:r>
      <w:r w:rsidR="00F85843" w:rsidRPr="008946B0">
        <w:t xml:space="preserve">between </w:t>
      </w:r>
      <w:r w:rsidR="00AF7B51" w:rsidRPr="008946B0">
        <w:t xml:space="preserve">railway </w:t>
      </w:r>
      <w:r w:rsidR="00F85843" w:rsidRPr="008946B0">
        <w:t xml:space="preserve">users </w:t>
      </w:r>
      <w:r w:rsidR="00FF4FED" w:rsidRPr="008946B0">
        <w:t xml:space="preserve">and </w:t>
      </w:r>
      <w:r w:rsidR="00AF7B51" w:rsidRPr="008946B0">
        <w:t xml:space="preserve">in </w:t>
      </w:r>
      <w:r w:rsidR="00FF4FED" w:rsidRPr="008946B0">
        <w:t>absorb</w:t>
      </w:r>
      <w:r w:rsidR="00AF7B51" w:rsidRPr="008946B0">
        <w:t>ing</w:t>
      </w:r>
      <w:r w:rsidR="00FF4FED" w:rsidRPr="008946B0">
        <w:t xml:space="preserve"> capacity demand in hotspots and border areas.</w:t>
      </w:r>
      <w:r w:rsidR="0011523E" w:rsidRPr="008946B0">
        <w:t xml:space="preserve"> </w:t>
      </w:r>
      <w:r w:rsidR="0011523E" w:rsidRPr="008946B0">
        <w:rPr>
          <w:rFonts w:eastAsia="Calibri"/>
          <w:szCs w:val="22"/>
        </w:rPr>
        <w:t>Access to a commercial mobile network may alternatively be used</w:t>
      </w:r>
      <w:r w:rsidR="00B2621D" w:rsidRPr="008946B0">
        <w:rPr>
          <w:rFonts w:eastAsia="Calibri"/>
          <w:szCs w:val="22"/>
        </w:rPr>
        <w:t xml:space="preserve"> </w:t>
      </w:r>
      <w:r w:rsidR="0004249D" w:rsidRPr="008946B0">
        <w:rPr>
          <w:rFonts w:eastAsia="Calibri"/>
          <w:szCs w:val="22"/>
        </w:rPr>
        <w:t>provided that</w:t>
      </w:r>
      <w:r w:rsidR="00B2621D" w:rsidRPr="008946B0">
        <w:rPr>
          <w:rFonts w:eastAsia="Calibri"/>
          <w:szCs w:val="22"/>
        </w:rPr>
        <w:t xml:space="preserve"> </w:t>
      </w:r>
      <w:r w:rsidR="00B2621D" w:rsidRPr="008946B0">
        <w:t xml:space="preserve">the railway interoperability requirement is fulfilled in </w:t>
      </w:r>
      <w:r w:rsidR="00B43CAC" w:rsidRPr="008946B0">
        <w:t>cross-</w:t>
      </w:r>
      <w:r w:rsidR="00B2621D" w:rsidRPr="008946B0">
        <w:t xml:space="preserve">border </w:t>
      </w:r>
      <w:r w:rsidR="00B43CAC" w:rsidRPr="008946B0">
        <w:t>scenarios</w:t>
      </w:r>
      <w:r w:rsidR="0011523E" w:rsidRPr="008946B0">
        <w:rPr>
          <w:rFonts w:eastAsia="Calibri"/>
          <w:szCs w:val="22"/>
        </w:rPr>
        <w:t>.</w:t>
      </w:r>
    </w:p>
    <w:p w14:paraId="68080350" w14:textId="656DD792" w:rsidR="00F85843" w:rsidRPr="008946B0" w:rsidRDefault="00AF7B51" w:rsidP="00F85843">
      <w:pPr>
        <w:pStyle w:val="ECCParagraph"/>
        <w:spacing w:before="240" w:after="60"/>
      </w:pPr>
      <w:r w:rsidRPr="008946B0">
        <w:t>With FRMCS, c</w:t>
      </w:r>
      <w:r w:rsidR="00F85843" w:rsidRPr="008946B0">
        <w:t xml:space="preserve">ross-border coordination </w:t>
      </w:r>
      <w:r w:rsidR="00422493" w:rsidRPr="008946B0">
        <w:t>as well as</w:t>
      </w:r>
      <w:r w:rsidR="00F85843" w:rsidRPr="008946B0">
        <w:t xml:space="preserve"> </w:t>
      </w:r>
      <w:r w:rsidR="00422493" w:rsidRPr="008946B0">
        <w:rPr>
          <w:rFonts w:eastAsia="Calibri"/>
          <w:szCs w:val="22"/>
        </w:rPr>
        <w:t xml:space="preserve">the effects of the single frequency network architecture and of TDD </w:t>
      </w:r>
      <w:r w:rsidR="00712E46" w:rsidRPr="008946B0">
        <w:rPr>
          <w:rFonts w:eastAsia="Calibri"/>
          <w:szCs w:val="22"/>
        </w:rPr>
        <w:t xml:space="preserve">synchronisation </w:t>
      </w:r>
      <w:r w:rsidR="00422493" w:rsidRPr="008946B0">
        <w:rPr>
          <w:rFonts w:eastAsia="Calibri"/>
          <w:szCs w:val="22"/>
        </w:rPr>
        <w:t>are for further study.</w:t>
      </w:r>
    </w:p>
    <w:p w14:paraId="5A4673E8" w14:textId="77777777" w:rsidR="005A47F3" w:rsidRPr="008946B0" w:rsidRDefault="00AB77EF">
      <w:pPr>
        <w:pStyle w:val="Heading2"/>
        <w:rPr>
          <w:lang w:val="en-GB"/>
        </w:rPr>
      </w:pPr>
      <w:bookmarkStart w:id="102" w:name="_Toc42722825"/>
      <w:r w:rsidRPr="008946B0">
        <w:rPr>
          <w:lang w:val="en-GB"/>
        </w:rPr>
        <w:t>Conclusion on spectrum needs</w:t>
      </w:r>
      <w:r w:rsidR="00C04A7C" w:rsidRPr="008946B0">
        <w:rPr>
          <w:lang w:val="en-GB"/>
        </w:rPr>
        <w:t xml:space="preserve"> and options</w:t>
      </w:r>
      <w:bookmarkEnd w:id="102"/>
    </w:p>
    <w:p w14:paraId="3E9DB847" w14:textId="607D0EBD" w:rsidR="00A05F28" w:rsidRPr="008946B0" w:rsidRDefault="00A05F28" w:rsidP="00A05F28">
      <w:pPr>
        <w:pStyle w:val="ECCParagraph"/>
        <w:spacing w:before="240" w:after="60"/>
      </w:pPr>
      <w:r w:rsidRPr="008946B0">
        <w:rPr>
          <w:rFonts w:cs="Arial"/>
          <w:szCs w:val="20"/>
        </w:rPr>
        <w:t xml:space="preserve">Ensuring railway interoperability throughout Europe must be considered when determining spectrum needs. </w:t>
      </w:r>
      <w:r w:rsidRPr="008946B0">
        <w:t xml:space="preserve">Having the possibility to reuse as much as possible the current radio network infrastructure (BS sites) would save costs, time and reduce operational burden. Therefore, the spectrum in the whole 2x5.6 MHz in 874.4-880 MHz / 919.4-925 MHz is one of the two </w:t>
      </w:r>
      <w:r w:rsidR="00004FA6" w:rsidRPr="008946B0">
        <w:t>identified</w:t>
      </w:r>
      <w:r w:rsidRPr="008946B0">
        <w:rPr>
          <w:rFonts w:eastAsia="Calibri"/>
          <w:szCs w:val="22"/>
        </w:rPr>
        <w:t xml:space="preserve"> spectrum bands for </w:t>
      </w:r>
      <w:r w:rsidRPr="008946B0">
        <w:t>the successor to GSM-R for the migration and beyond. Considering the FRMCS rollout timeframe, it may not make sense to invest in a 4G network compared to 5G. A migration using only the 900 MHz spectrum would require that the initial FRMCS deployment uses a deployment of a 1.4 MHz LTE carrier adjacent to GSM-R, or the realisation of overlapping NR wideband channels in a co-channel deployment with GSM-R.</w:t>
      </w:r>
    </w:p>
    <w:p w14:paraId="03A1F18F" w14:textId="77F402D4" w:rsidR="007703B5" w:rsidRPr="008946B0" w:rsidRDefault="00A05F28" w:rsidP="00A05F28">
      <w:pPr>
        <w:pStyle w:val="ECCParagraph"/>
        <w:spacing w:before="240" w:after="60"/>
      </w:pPr>
      <w:r w:rsidRPr="008946B0">
        <w:t xml:space="preserve">The targeted 2x5.6 MHz of spectrum could be used by a 5.6 MHz FDD NR carrier </w:t>
      </w:r>
      <w:r w:rsidRPr="008946B0">
        <w:rPr>
          <w:rFonts w:cs="Arial"/>
          <w:szCs w:val="20"/>
        </w:rPr>
        <w:t xml:space="preserve">during </w:t>
      </w:r>
      <w:r w:rsidR="007E03C8" w:rsidRPr="008946B0">
        <w:rPr>
          <w:rFonts w:cs="Arial"/>
          <w:szCs w:val="20"/>
        </w:rPr>
        <w:t xml:space="preserve">both </w:t>
      </w:r>
      <w:r w:rsidRPr="008946B0">
        <w:rPr>
          <w:rFonts w:cs="Arial"/>
          <w:szCs w:val="20"/>
        </w:rPr>
        <w:t>migration and post-migration</w:t>
      </w:r>
      <w:r w:rsidRPr="008946B0">
        <w:t xml:space="preserve">. Such a carrier would provide a higher traffic handling capacity than the current 3GPP defined 5 MHz carrier and thus would better support the anticipated growth of the FRMCS traffic volume. </w:t>
      </w:r>
      <w:r w:rsidR="007703B5" w:rsidRPr="008946B0">
        <w:t>Although current indications are that such a 5.6 MHz carrier should be feasible within the 3GPP NR specifications, additional work is necessary in 3GPP to confirm feasibility and carry out the specification work.</w:t>
      </w:r>
    </w:p>
    <w:p w14:paraId="58376E58" w14:textId="2E94E209" w:rsidR="00A05F28" w:rsidRPr="008946B0" w:rsidRDefault="00A05F28" w:rsidP="00A05F28">
      <w:pPr>
        <w:pStyle w:val="ECCParagraph"/>
        <w:spacing w:before="240" w:after="60"/>
      </w:pPr>
      <w:r w:rsidRPr="008946B0">
        <w:t>In-band coexistence, based on an overlay of a 5 MHz FDD NR carrier or of a 5.6 MHz FDD NR carrier, co-channel with GSM-R carriers, would be an option for the migration using the 900 MHz spectrum while maintaining operation of GSM-R.</w:t>
      </w:r>
    </w:p>
    <w:p w14:paraId="6418E1EE" w14:textId="39D32CAB" w:rsidR="005A47F3" w:rsidRPr="008946B0" w:rsidRDefault="00AB77EF" w:rsidP="00F65D13">
      <w:pPr>
        <w:pStyle w:val="ECCParagraph"/>
        <w:spacing w:before="240" w:after="60"/>
      </w:pPr>
      <w:r w:rsidRPr="008946B0">
        <w:t>Alternat</w:t>
      </w:r>
      <w:r w:rsidR="0039392A" w:rsidRPr="008946B0">
        <w:t>iv</w:t>
      </w:r>
      <w:r w:rsidRPr="008946B0">
        <w:t>ely</w:t>
      </w:r>
      <w:r w:rsidR="00CF6E1D" w:rsidRPr="008946B0">
        <w:t>,</w:t>
      </w:r>
      <w:r w:rsidRPr="008946B0">
        <w:t xml:space="preserve"> a 5 MHz FDD </w:t>
      </w:r>
      <w:r w:rsidR="00F6592D" w:rsidRPr="008946B0">
        <w:t>LTE/</w:t>
      </w:r>
      <w:r w:rsidRPr="008946B0">
        <w:t xml:space="preserve">NR carrier could be implemented plus several NB-IoT carriers in the remaining 600 kHz. An NB-IoT carrier potentially supports a larger coverage area than a 5 MHz </w:t>
      </w:r>
      <w:r w:rsidR="00F6592D" w:rsidRPr="008946B0">
        <w:t>LTE/</w:t>
      </w:r>
      <w:r w:rsidRPr="008946B0">
        <w:t xml:space="preserve">NR carrier. </w:t>
      </w:r>
      <w:r w:rsidR="00C32330" w:rsidRPr="008946B0">
        <w:t>Examples of</w:t>
      </w:r>
      <w:r w:rsidR="0005481F" w:rsidRPr="008946B0">
        <w:t xml:space="preserve"> </w:t>
      </w:r>
      <w:r w:rsidR="004F6B8F" w:rsidRPr="008946B0">
        <w:t xml:space="preserve">critical </w:t>
      </w:r>
      <w:r w:rsidRPr="008946B0">
        <w:t>railway applications</w:t>
      </w:r>
      <w:r w:rsidR="00C32330" w:rsidRPr="008946B0">
        <w:t xml:space="preserve"> that</w:t>
      </w:r>
      <w:r w:rsidRPr="008946B0">
        <w:t xml:space="preserve"> may benefi</w:t>
      </w:r>
      <w:r w:rsidR="00C32330" w:rsidRPr="008946B0">
        <w:t>t from</w:t>
      </w:r>
      <w:r w:rsidRPr="008946B0">
        <w:t xml:space="preserve"> the usage of NB-IoT </w:t>
      </w:r>
      <w:r w:rsidR="00C32330" w:rsidRPr="008946B0">
        <w:t>are listed hereafter:</w:t>
      </w:r>
    </w:p>
    <w:p w14:paraId="29A0425A" w14:textId="428855CB" w:rsidR="00C32330" w:rsidRPr="008946B0" w:rsidRDefault="00C32330" w:rsidP="00F65D13">
      <w:pPr>
        <w:pStyle w:val="ECCBulletsLv1"/>
        <w:ind w:left="357" w:hanging="357"/>
      </w:pPr>
      <w:r w:rsidRPr="008946B0">
        <w:t>Trackside maintenance warning system communication;</w:t>
      </w:r>
    </w:p>
    <w:p w14:paraId="041E36D7" w14:textId="20B0525B" w:rsidR="00C32330" w:rsidRPr="008946B0" w:rsidRDefault="00C32330" w:rsidP="00F65D13">
      <w:pPr>
        <w:pStyle w:val="ECCBulletsLv1"/>
        <w:ind w:left="357" w:hanging="357"/>
      </w:pPr>
      <w:r w:rsidRPr="008946B0">
        <w:t>Monitoring and control of critical infrastructure</w:t>
      </w:r>
      <w:r w:rsidR="008C1590" w:rsidRPr="008946B0">
        <w:t>.</w:t>
      </w:r>
    </w:p>
    <w:p w14:paraId="7B9A9E0D" w14:textId="13835DA0" w:rsidR="008A0132" w:rsidRPr="008946B0" w:rsidRDefault="008A0132" w:rsidP="00F65D13">
      <w:pPr>
        <w:pStyle w:val="ECCParagraph"/>
        <w:spacing w:before="240" w:after="60"/>
      </w:pPr>
      <w:r w:rsidRPr="008946B0">
        <w:t>As another alternative, a 1.4 MHz FDD LTE carrier may be used, adjacent to the 4 MHz for GSM-R during migration.</w:t>
      </w:r>
      <w:r w:rsidR="00FC73A9" w:rsidRPr="008946B0">
        <w:t xml:space="preserve"> </w:t>
      </w:r>
      <w:r w:rsidR="004A78DB" w:rsidRPr="008946B0">
        <w:t xml:space="preserve">This approach </w:t>
      </w:r>
      <w:r w:rsidR="00EF5827" w:rsidRPr="008946B0">
        <w:t>would have a lower</w:t>
      </w:r>
      <w:r w:rsidR="004A78DB" w:rsidRPr="008946B0">
        <w:t xml:space="preserve"> traffic handling capacity</w:t>
      </w:r>
      <w:r w:rsidR="00EF5827" w:rsidRPr="008946B0">
        <w:t xml:space="preserve"> and needs to be considered</w:t>
      </w:r>
      <w:r w:rsidR="004A78DB" w:rsidRPr="008946B0">
        <w:t xml:space="preserve"> in terms of </w:t>
      </w:r>
      <w:r w:rsidR="00EF5827" w:rsidRPr="008946B0">
        <w:t xml:space="preserve">product </w:t>
      </w:r>
      <w:r w:rsidR="004A78DB" w:rsidRPr="008946B0">
        <w:t xml:space="preserve">lifecycle </w:t>
      </w:r>
      <w:r w:rsidR="00EF5827" w:rsidRPr="008946B0">
        <w:t>and</w:t>
      </w:r>
      <w:r w:rsidR="004A78DB" w:rsidRPr="008946B0">
        <w:t xml:space="preserve"> long</w:t>
      </w:r>
      <w:r w:rsidR="00EF5827" w:rsidRPr="008946B0">
        <w:t>er</w:t>
      </w:r>
      <w:r w:rsidR="004A78DB" w:rsidRPr="008946B0">
        <w:t xml:space="preserve">-term </w:t>
      </w:r>
      <w:r w:rsidR="00EF5827" w:rsidRPr="008946B0">
        <w:t>migration</w:t>
      </w:r>
      <w:r w:rsidR="004A78DB" w:rsidRPr="008946B0">
        <w:t xml:space="preserve"> to NR</w:t>
      </w:r>
      <w:r w:rsidR="00FC73A9" w:rsidRPr="008946B0">
        <w:t>.</w:t>
      </w:r>
    </w:p>
    <w:p w14:paraId="3FDC0803" w14:textId="6A323373" w:rsidR="006249BB" w:rsidRPr="008946B0" w:rsidRDefault="006249BB" w:rsidP="006249BB">
      <w:pPr>
        <w:pStyle w:val="ECCParagraph"/>
        <w:spacing w:before="240" w:after="60"/>
      </w:pPr>
      <w:r w:rsidRPr="008946B0">
        <w:t xml:space="preserve">Furthermore, considering the throughput requirements, access to complementary spectrum, such as 1900-1910 MHz, is a prerequisite for many countries in order to fulfil the interoperability requirements, to enable parallel operation of GSM-R and its successor, to benefit from new railway critical applications (including ATO and critical sensing/video), and to deal with border and hotspot areas. Hence the spectrum 1900-1910 MHz is </w:t>
      </w:r>
      <w:r w:rsidR="00004FA6" w:rsidRPr="008946B0">
        <w:t>one of the two identified</w:t>
      </w:r>
      <w:r w:rsidRPr="008946B0">
        <w:rPr>
          <w:rFonts w:eastAsia="Calibri"/>
          <w:szCs w:val="22"/>
        </w:rPr>
        <w:t xml:space="preserve"> spectrum bands for </w:t>
      </w:r>
      <w:r w:rsidRPr="008946B0">
        <w:t>the successor to GSM-R for the migration and beyond.</w:t>
      </w:r>
    </w:p>
    <w:p w14:paraId="0D31D89D" w14:textId="77777777" w:rsidR="0071351D" w:rsidRPr="008946B0" w:rsidRDefault="0071351D" w:rsidP="0071351D">
      <w:pPr>
        <w:pStyle w:val="ECCParagraph"/>
        <w:spacing w:before="240" w:after="60"/>
      </w:pPr>
      <w:r w:rsidRPr="008946B0">
        <w:t>This does not preclude the use of public mobile networks, noting that the railway interoperability, coverage, availability and QoS requirements still needs to be fulfilled.</w:t>
      </w:r>
    </w:p>
    <w:p w14:paraId="205BF910" w14:textId="77777777" w:rsidR="005A47F3" w:rsidRPr="008946B0" w:rsidRDefault="00AB77EF">
      <w:pPr>
        <w:pStyle w:val="Heading1"/>
      </w:pPr>
      <w:bookmarkStart w:id="103" w:name="_Toc27864790"/>
      <w:bookmarkStart w:id="104" w:name="_Toc27146877"/>
      <w:bookmarkStart w:id="105" w:name="_Toc42722826"/>
      <w:bookmarkEnd w:id="103"/>
      <w:bookmarkEnd w:id="104"/>
      <w:r w:rsidRPr="008946B0">
        <w:t>Technical feasibility of the 874.4-880 MHz / 919.4-925 MHz frequency band (task 2)</w:t>
      </w:r>
      <w:bookmarkEnd w:id="105"/>
    </w:p>
    <w:p w14:paraId="036E8F44" w14:textId="77777777" w:rsidR="005A47F3" w:rsidRPr="008946B0" w:rsidRDefault="00AB77EF">
      <w:pPr>
        <w:pStyle w:val="Heading2"/>
        <w:rPr>
          <w:lang w:val="en-GB"/>
        </w:rPr>
      </w:pPr>
      <w:bookmarkStart w:id="106" w:name="_Toc42722827"/>
      <w:r w:rsidRPr="008946B0">
        <w:rPr>
          <w:lang w:val="en-GB"/>
        </w:rPr>
        <w:t>Coexistence between GSM-R and its successor</w:t>
      </w:r>
      <w:bookmarkEnd w:id="106"/>
    </w:p>
    <w:p w14:paraId="437ADCE0" w14:textId="08603BA8"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It is expected that GSM-R radio sites will </w:t>
      </w:r>
      <w:r w:rsidR="00837DC0" w:rsidRPr="008946B0">
        <w:rPr>
          <w:rFonts w:eastAsia="Calibri"/>
          <w:szCs w:val="22"/>
          <w:lang w:val="en-GB"/>
        </w:rPr>
        <w:t>mostly</w:t>
      </w:r>
      <w:r w:rsidRPr="008946B0">
        <w:rPr>
          <w:rFonts w:eastAsia="Calibri"/>
          <w:szCs w:val="22"/>
          <w:lang w:val="en-GB"/>
        </w:rPr>
        <w:t xml:space="preserve"> be used for FRMCS rollout (coordinated deployment with co-located base stations).</w:t>
      </w:r>
    </w:p>
    <w:p w14:paraId="5B78478D" w14:textId="0FFE8CE5" w:rsidR="005A47F3" w:rsidRPr="008946B0" w:rsidRDefault="00AB77EF">
      <w:pPr>
        <w:spacing w:before="240" w:after="60" w:line="240" w:lineRule="auto"/>
        <w:jc w:val="both"/>
        <w:rPr>
          <w:rFonts w:eastAsia="Calibri"/>
          <w:szCs w:val="22"/>
          <w:lang w:val="en-GB"/>
        </w:rPr>
      </w:pPr>
      <w:r w:rsidRPr="008946B0">
        <w:rPr>
          <w:rFonts w:eastAsia="Calibri"/>
          <w:szCs w:val="22"/>
          <w:lang w:val="en-GB"/>
        </w:rPr>
        <w:t>The critical case is interference from a GSM-R terminal to an FRMCS base station when uplink power control is not activated for GSM-R. There is confidence that a 200 kHz guard-band is sufficient between FRMCS and GSM-R, assuming co-location and similar e.i.r.p. for both systems.</w:t>
      </w:r>
    </w:p>
    <w:p w14:paraId="305DE5AF" w14:textId="07EB5C26"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The 200 kHz guard-band defined in the </w:t>
      </w:r>
      <w:r w:rsidR="00491C9A" w:rsidRPr="008946B0">
        <w:rPr>
          <w:rFonts w:eastAsia="Calibri"/>
          <w:szCs w:val="22"/>
          <w:lang w:val="en-GB"/>
        </w:rPr>
        <w:t>Commission</w:t>
      </w:r>
      <w:r w:rsidRPr="008946B0">
        <w:rPr>
          <w:rFonts w:eastAsia="Calibri"/>
          <w:szCs w:val="22"/>
          <w:lang w:val="en-GB"/>
        </w:rPr>
        <w:t xml:space="preserve"> Decision </w:t>
      </w:r>
      <w:r w:rsidR="00491C9A" w:rsidRPr="008946B0">
        <w:rPr>
          <w:lang w:val="en-GB"/>
        </w:rPr>
        <w:t xml:space="preserve">2009/766/EC </w:t>
      </w:r>
      <w:r w:rsidRPr="008946B0">
        <w:rPr>
          <w:rFonts w:eastAsia="Calibri"/>
          <w:szCs w:val="22"/>
          <w:lang w:val="en-GB"/>
        </w:rPr>
        <w:t xml:space="preserve">on 900/1800 MHz </w:t>
      </w:r>
      <w:r w:rsidR="00491C9A" w:rsidRPr="008946B0">
        <w:rPr>
          <w:rFonts w:eastAsia="Calibri"/>
          <w:szCs w:val="22"/>
          <w:lang w:val="en-GB"/>
        </w:rPr>
        <w:fldChar w:fldCharType="begin"/>
      </w:r>
      <w:r w:rsidR="00491C9A" w:rsidRPr="008946B0">
        <w:rPr>
          <w:rFonts w:eastAsia="Calibri"/>
          <w:szCs w:val="22"/>
          <w:lang w:val="en-GB"/>
        </w:rPr>
        <w:instrText xml:space="preserve"> REF _Ref37149539 \r \h </w:instrText>
      </w:r>
      <w:r w:rsidR="00491C9A" w:rsidRPr="008946B0">
        <w:rPr>
          <w:rFonts w:eastAsia="Calibri"/>
          <w:szCs w:val="22"/>
          <w:lang w:val="en-GB"/>
        </w:rPr>
      </w:r>
      <w:r w:rsidR="00491C9A" w:rsidRPr="008946B0">
        <w:rPr>
          <w:rFonts w:eastAsia="Calibri"/>
          <w:szCs w:val="22"/>
          <w:lang w:val="en-GB"/>
        </w:rPr>
        <w:fldChar w:fldCharType="separate"/>
      </w:r>
      <w:r w:rsidR="00491C9A" w:rsidRPr="008946B0">
        <w:rPr>
          <w:rFonts w:eastAsia="Calibri"/>
          <w:szCs w:val="22"/>
          <w:lang w:val="en-GB"/>
        </w:rPr>
        <w:t>[19]</w:t>
      </w:r>
      <w:r w:rsidR="00491C9A" w:rsidRPr="008946B0">
        <w:rPr>
          <w:rFonts w:eastAsia="Calibri"/>
          <w:szCs w:val="22"/>
          <w:lang w:val="en-GB"/>
        </w:rPr>
        <w:fldChar w:fldCharType="end"/>
      </w:r>
      <w:r w:rsidR="00491C9A" w:rsidRPr="008946B0">
        <w:rPr>
          <w:rFonts w:eastAsia="Calibri"/>
          <w:szCs w:val="22"/>
          <w:lang w:val="en-GB"/>
        </w:rPr>
        <w:t xml:space="preserve"> as amended by the Commission Decision </w:t>
      </w:r>
      <w:r w:rsidR="00491C9A" w:rsidRPr="008946B0">
        <w:rPr>
          <w:lang w:val="en-GB"/>
        </w:rPr>
        <w:t xml:space="preserve">(EU) 2018/637 </w:t>
      </w:r>
      <w:r w:rsidR="00491C9A" w:rsidRPr="008946B0">
        <w:rPr>
          <w:lang w:val="en-GB"/>
        </w:rPr>
        <w:fldChar w:fldCharType="begin"/>
      </w:r>
      <w:r w:rsidR="00491C9A" w:rsidRPr="008946B0">
        <w:rPr>
          <w:lang w:val="en-GB"/>
        </w:rPr>
        <w:instrText xml:space="preserve"> REF _Ref37149547 \r \h </w:instrText>
      </w:r>
      <w:r w:rsidR="00491C9A" w:rsidRPr="008946B0">
        <w:rPr>
          <w:lang w:val="en-GB"/>
        </w:rPr>
      </w:r>
      <w:r w:rsidR="00491C9A" w:rsidRPr="008946B0">
        <w:rPr>
          <w:lang w:val="en-GB"/>
        </w:rPr>
        <w:fldChar w:fldCharType="separate"/>
      </w:r>
      <w:r w:rsidR="00491C9A" w:rsidRPr="008946B0">
        <w:rPr>
          <w:lang w:val="en-GB"/>
        </w:rPr>
        <w:t>[20]</w:t>
      </w:r>
      <w:r w:rsidR="00491C9A" w:rsidRPr="008946B0">
        <w:rPr>
          <w:lang w:val="en-GB"/>
        </w:rPr>
        <w:fldChar w:fldCharType="end"/>
      </w:r>
      <w:r w:rsidRPr="008946B0">
        <w:rPr>
          <w:rFonts w:eastAsia="Calibri"/>
          <w:szCs w:val="22"/>
          <w:lang w:val="en-GB"/>
        </w:rPr>
        <w:t xml:space="preserve"> corresponds to an uncoordinated deployment between two mobile network operators, one using UMTS/LTE and the other using GSM. It is related to blocking and out-of-band emissions phenomena.</w:t>
      </w:r>
    </w:p>
    <w:p w14:paraId="1D412EE9" w14:textId="7B537328" w:rsidR="005A47F3" w:rsidRPr="008946B0" w:rsidRDefault="00AB77EF">
      <w:pPr>
        <w:spacing w:before="240" w:after="60" w:line="240" w:lineRule="auto"/>
        <w:jc w:val="both"/>
        <w:rPr>
          <w:rFonts w:eastAsia="Calibri"/>
          <w:szCs w:val="22"/>
          <w:lang w:val="en-GB"/>
        </w:rPr>
      </w:pPr>
      <w:r w:rsidRPr="008946B0">
        <w:rPr>
          <w:rFonts w:eastAsia="Calibri"/>
          <w:szCs w:val="22"/>
          <w:lang w:val="en-GB"/>
        </w:rPr>
        <w:t>For co-located/coordinated deployment, MNOs do operate without a guard-band (uplink power control activated). The MNO scenario is not directly applicable for RMR and whether a smaller or no guard-band can be implemented for railway</w:t>
      </w:r>
      <w:r w:rsidR="00837DC0" w:rsidRPr="008946B0">
        <w:rPr>
          <w:rFonts w:eastAsia="Calibri"/>
          <w:szCs w:val="22"/>
          <w:lang w:val="en-GB"/>
        </w:rPr>
        <w:t>s</w:t>
      </w:r>
      <w:r w:rsidRPr="008946B0">
        <w:rPr>
          <w:rFonts w:eastAsia="Calibri"/>
          <w:szCs w:val="22"/>
          <w:lang w:val="en-GB"/>
        </w:rPr>
        <w:t>, including the possibility for GSM-R to activate uplink power control, is out of the scope of the present Report.</w:t>
      </w:r>
    </w:p>
    <w:p w14:paraId="68B16D4B" w14:textId="6AD9B1F9" w:rsidR="005A47F3" w:rsidRPr="008946B0" w:rsidRDefault="00AB77EF">
      <w:pPr>
        <w:spacing w:before="240" w:after="60" w:line="240" w:lineRule="auto"/>
        <w:jc w:val="both"/>
        <w:rPr>
          <w:rFonts w:eastAsia="Calibri"/>
          <w:szCs w:val="22"/>
          <w:lang w:val="en-GB"/>
        </w:rPr>
      </w:pPr>
      <w:r w:rsidRPr="008946B0">
        <w:rPr>
          <w:rFonts w:eastAsia="Calibri"/>
          <w:szCs w:val="22"/>
          <w:lang w:val="en-GB"/>
        </w:rPr>
        <w:t>With co-siting</w:t>
      </w:r>
      <w:r w:rsidR="00E047D5" w:rsidRPr="008946B0">
        <w:rPr>
          <w:rFonts w:eastAsia="Calibri"/>
          <w:szCs w:val="22"/>
          <w:lang w:val="en-GB"/>
        </w:rPr>
        <w:t xml:space="preserve"> of GSM-R and FRMCS</w:t>
      </w:r>
      <w:r w:rsidRPr="008946B0">
        <w:rPr>
          <w:rFonts w:eastAsia="Calibri"/>
          <w:szCs w:val="22"/>
          <w:lang w:val="en-GB"/>
        </w:rPr>
        <w:t>, no intermodulation phenomenon is expected in railway terminals, assuming similar or close values of e.i.r.p. for both systems.</w:t>
      </w:r>
    </w:p>
    <w:p w14:paraId="79BACF7A" w14:textId="77777777" w:rsidR="005A47F3" w:rsidRPr="008946B0" w:rsidRDefault="00AB77EF">
      <w:pPr>
        <w:pStyle w:val="Heading2"/>
        <w:rPr>
          <w:rFonts w:eastAsia="Calibri"/>
          <w:lang w:val="en-GB"/>
        </w:rPr>
      </w:pPr>
      <w:bookmarkStart w:id="107" w:name="_Toc42722828"/>
      <w:r w:rsidRPr="008946B0">
        <w:rPr>
          <w:rFonts w:eastAsia="Calibri"/>
          <w:lang w:val="en-GB"/>
        </w:rPr>
        <w:t>Coexistence with ECS</w:t>
      </w:r>
      <w:bookmarkEnd w:id="107"/>
    </w:p>
    <w:p w14:paraId="0EB6777B" w14:textId="77777777" w:rsidR="005A47F3" w:rsidRPr="008946B0" w:rsidRDefault="00AB77EF">
      <w:pPr>
        <w:pStyle w:val="Heading3"/>
        <w:rPr>
          <w:rFonts w:eastAsia="Calibri"/>
          <w:lang w:val="en-GB"/>
        </w:rPr>
      </w:pPr>
      <w:bookmarkStart w:id="108" w:name="_Toc42722829"/>
      <w:r w:rsidRPr="008946B0">
        <w:rPr>
          <w:rFonts w:eastAsia="Calibri"/>
          <w:lang w:val="en-GB"/>
        </w:rPr>
        <w:t>Impact of RMR BS on ECS BS receiving below 915 MHz</w:t>
      </w:r>
      <w:bookmarkEnd w:id="108"/>
    </w:p>
    <w:p w14:paraId="09125C6A" w14:textId="6B3AD865" w:rsidR="005A47F3" w:rsidRPr="008946B0" w:rsidRDefault="00AB77EF">
      <w:pPr>
        <w:spacing w:before="240" w:after="60" w:line="240" w:lineRule="auto"/>
        <w:jc w:val="both"/>
        <w:rPr>
          <w:lang w:val="en-GB"/>
        </w:rPr>
      </w:pPr>
      <w:r w:rsidRPr="008946B0">
        <w:rPr>
          <w:lang w:val="en-GB"/>
        </w:rPr>
        <w:t xml:space="preserve">RMR BS </w:t>
      </w:r>
      <w:r w:rsidR="00407AE0" w:rsidRPr="008946B0">
        <w:rPr>
          <w:lang w:val="en-GB"/>
        </w:rPr>
        <w:t>operate</w:t>
      </w:r>
      <w:r w:rsidRPr="008946B0">
        <w:rPr>
          <w:lang w:val="en-GB"/>
        </w:rPr>
        <w:t xml:space="preserve"> within the duplex gap of the E-GSM band / 3GPP band #8, i.e. 915-925 MHz. They may interfere ECS BS receiving below 915 MHz.</w:t>
      </w:r>
    </w:p>
    <w:p w14:paraId="207000DD" w14:textId="77777777" w:rsidR="005A47F3" w:rsidRPr="008946B0" w:rsidRDefault="00AB77EF">
      <w:pPr>
        <w:pStyle w:val="Heading4"/>
        <w:rPr>
          <w:lang w:val="en-GB"/>
        </w:rPr>
      </w:pPr>
      <w:bookmarkStart w:id="109" w:name="_Toc42722830"/>
      <w:r w:rsidRPr="008946B0">
        <w:rPr>
          <w:lang w:val="en-GB"/>
        </w:rPr>
        <w:t>BEM for RMR BS</w:t>
      </w:r>
      <w:bookmarkEnd w:id="109"/>
    </w:p>
    <w:p w14:paraId="03DDD42A" w14:textId="4B0A2C5F" w:rsidR="005A47F3" w:rsidRPr="008946B0" w:rsidRDefault="00AB77EF">
      <w:pPr>
        <w:spacing w:before="240" w:after="60" w:line="240" w:lineRule="auto"/>
        <w:jc w:val="both"/>
        <w:rPr>
          <w:lang w:val="en-GB"/>
        </w:rPr>
      </w:pPr>
      <w:r w:rsidRPr="008946B0">
        <w:rPr>
          <w:lang w:val="en-GB"/>
        </w:rPr>
        <w:t>As described in CEPT Report 19 Annex IV</w:t>
      </w:r>
      <w:r w:rsidR="008514FC" w:rsidRPr="008946B0">
        <w:rPr>
          <w:lang w:val="en-GB"/>
        </w:rPr>
        <w:t xml:space="preserve"> </w:t>
      </w:r>
      <w:r w:rsidR="008514FC" w:rsidRPr="008946B0">
        <w:rPr>
          <w:lang w:val="en-GB"/>
        </w:rPr>
        <w:fldChar w:fldCharType="begin"/>
      </w:r>
      <w:r w:rsidR="008514FC" w:rsidRPr="008946B0">
        <w:rPr>
          <w:lang w:val="en-GB"/>
        </w:rPr>
        <w:instrText xml:space="preserve"> REF _Ref39676669 \r \h </w:instrText>
      </w:r>
      <w:r w:rsidR="008514FC" w:rsidRPr="008946B0">
        <w:rPr>
          <w:lang w:val="en-GB"/>
        </w:rPr>
      </w:r>
      <w:r w:rsidR="008514FC" w:rsidRPr="008946B0">
        <w:rPr>
          <w:lang w:val="en-GB"/>
        </w:rPr>
        <w:fldChar w:fldCharType="separate"/>
      </w:r>
      <w:r w:rsidR="008514FC" w:rsidRPr="008946B0">
        <w:rPr>
          <w:lang w:val="en-GB"/>
        </w:rPr>
        <w:t>[21]</w:t>
      </w:r>
      <w:r w:rsidR="008514FC" w:rsidRPr="008946B0">
        <w:rPr>
          <w:lang w:val="en-GB"/>
        </w:rPr>
        <w:fldChar w:fldCharType="end"/>
      </w:r>
      <w:r w:rsidRPr="008946B0">
        <w:rPr>
          <w:lang w:val="en-GB"/>
        </w:rPr>
        <w:t>, t</w:t>
      </w:r>
      <w:r w:rsidRPr="008946B0">
        <w:rPr>
          <w:lang w:val="en-GB" w:eastAsia="zh-CN"/>
        </w:rPr>
        <w:t xml:space="preserve">he BEM is developed on the basis that detailed coordination and cooperation agreements would not be required to be in place prior to network deployment. The BEM for the transmitter emissions would not avoid all interference that might arise in certain deployment scenarios, including for some configurations at shared base station sites or between nearby base station sites. In these situations, mobile network operators and infrastructure managers may </w:t>
      </w:r>
      <w:r w:rsidR="00010FB3" w:rsidRPr="008946B0">
        <w:rPr>
          <w:lang w:val="en-GB" w:eastAsia="zh-CN"/>
        </w:rPr>
        <w:t>have</w:t>
      </w:r>
      <w:r w:rsidRPr="008946B0">
        <w:rPr>
          <w:lang w:val="en-GB" w:eastAsia="zh-CN"/>
        </w:rPr>
        <w:t xml:space="preserve"> to coordinate, and the use of additional interference mitigation techniques might be considered.</w:t>
      </w:r>
    </w:p>
    <w:p w14:paraId="7020F35F" w14:textId="4B8C9C8B" w:rsidR="005A47F3" w:rsidRPr="008946B0" w:rsidRDefault="00AB77EF">
      <w:pPr>
        <w:spacing w:before="240" w:after="60" w:line="240" w:lineRule="auto"/>
        <w:jc w:val="both"/>
        <w:rPr>
          <w:lang w:val="en-GB"/>
        </w:rPr>
      </w:pPr>
      <w:r w:rsidRPr="008946B0">
        <w:rPr>
          <w:lang w:val="en-GB"/>
        </w:rPr>
        <w:t xml:space="preserve">In order to derive a possible BEM for RMR BS, a reference MCL has to be defined. For this purpose, both a traditional 100m-based MCL calculation approach and a refinement based on statistics relying on </w:t>
      </w:r>
      <w:r w:rsidR="001F4AEF" w:rsidRPr="008946B0">
        <w:rPr>
          <w:lang w:val="en-GB"/>
        </w:rPr>
        <w:t>existing GSM-R and ECS</w:t>
      </w:r>
      <w:r w:rsidRPr="008946B0">
        <w:rPr>
          <w:lang w:val="en-GB"/>
        </w:rPr>
        <w:t xml:space="preserve"> deployment data in France, Germany and Sweden ha</w:t>
      </w:r>
      <w:r w:rsidR="009E0D4A" w:rsidRPr="008946B0">
        <w:rPr>
          <w:lang w:val="en-GB"/>
        </w:rPr>
        <w:t>ve</w:t>
      </w:r>
      <w:r w:rsidRPr="008946B0">
        <w:rPr>
          <w:lang w:val="en-GB"/>
        </w:rPr>
        <w:t xml:space="preserve"> been considered. The statistical approach appears to be of particular relevance when the two systems under study exhibit significant differences in their deployment patterns, notably as a result of different coverage targets</w:t>
      </w:r>
      <w:r w:rsidR="00B41431" w:rsidRPr="008946B0">
        <w:rPr>
          <w:lang w:val="en-GB"/>
        </w:rPr>
        <w:t xml:space="preserve">. </w:t>
      </w:r>
      <w:r w:rsidR="00C16D44" w:rsidRPr="008946B0">
        <w:rPr>
          <w:lang w:val="en-GB"/>
        </w:rPr>
        <w:t>In particular</w:t>
      </w:r>
      <w:r w:rsidR="00B41431" w:rsidRPr="008946B0">
        <w:rPr>
          <w:lang w:val="en-GB"/>
        </w:rPr>
        <w:t>,</w:t>
      </w:r>
      <w:r w:rsidRPr="008946B0">
        <w:rPr>
          <w:lang w:val="en-GB"/>
        </w:rPr>
        <w:t xml:space="preserve"> railway coverage is largely focused along railway tracks and railway premises following curvilinear geometries whereas public networks focus on optimised area-based coverage of population concentrations.</w:t>
      </w:r>
    </w:p>
    <w:p w14:paraId="3B25727B" w14:textId="79803523" w:rsidR="005A47F3" w:rsidRPr="008946B0" w:rsidRDefault="00AB77EF">
      <w:pPr>
        <w:spacing w:before="240" w:after="60" w:line="240" w:lineRule="auto"/>
        <w:jc w:val="both"/>
        <w:rPr>
          <w:lang w:val="en-GB"/>
        </w:rPr>
      </w:pPr>
      <w:r w:rsidRPr="008946B0">
        <w:rPr>
          <w:lang w:val="en-GB"/>
        </w:rPr>
        <w:t>The possible BEM based on the 100m-based MCL calculation</w:t>
      </w:r>
      <w:r w:rsidRPr="008946B0">
        <w:rPr>
          <w:rStyle w:val="FootnoteReference"/>
          <w:lang w:val="en-GB"/>
        </w:rPr>
        <w:footnoteReference w:id="11"/>
      </w:r>
      <w:r w:rsidRPr="008946B0">
        <w:rPr>
          <w:lang w:val="en-GB"/>
        </w:rPr>
        <w:t xml:space="preserve"> is expected to be unnecessarily stringent since the specificities of RMR deployments would make the 100m reference scenario occur in extremely rare cases. As a consequence, the statistical approach</w:t>
      </w:r>
      <w:r w:rsidR="00373A4C" w:rsidRPr="008946B0">
        <w:rPr>
          <w:lang w:val="en-GB"/>
        </w:rPr>
        <w:t>, as described in ECC Report 318, was chosen to define</w:t>
      </w:r>
      <w:r w:rsidRPr="008946B0">
        <w:rPr>
          <w:lang w:val="en-GB"/>
        </w:rPr>
        <w:t xml:space="preserve"> the BEM</w:t>
      </w:r>
      <w:r w:rsidRPr="008946B0">
        <w:rPr>
          <w:rStyle w:val="FootnoteReference"/>
          <w:lang w:val="en-GB"/>
        </w:rPr>
        <w:footnoteReference w:id="12"/>
      </w:r>
      <w:r w:rsidRPr="008946B0">
        <w:rPr>
          <w:lang w:val="en-GB"/>
        </w:rPr>
        <w:t xml:space="preserve"> in order to enable uncoordinated deployments while ensuring a</w:t>
      </w:r>
      <w:r w:rsidR="0093049E" w:rsidRPr="008946B0">
        <w:rPr>
          <w:lang w:val="en-GB"/>
        </w:rPr>
        <w:t>n acceptabl</w:t>
      </w:r>
      <w:r w:rsidR="00100434" w:rsidRPr="008946B0">
        <w:rPr>
          <w:lang w:val="en-GB"/>
        </w:rPr>
        <w:t>y</w:t>
      </w:r>
      <w:r w:rsidRPr="008946B0">
        <w:rPr>
          <w:lang w:val="en-GB"/>
        </w:rPr>
        <w:t xml:space="preserve"> low occurrence probability of </w:t>
      </w:r>
      <w:r w:rsidR="00C86B27" w:rsidRPr="008946B0">
        <w:rPr>
          <w:lang w:val="en-GB"/>
        </w:rPr>
        <w:t>residual interference</w:t>
      </w:r>
      <w:r w:rsidRPr="008946B0">
        <w:rPr>
          <w:lang w:val="en-GB"/>
        </w:rPr>
        <w:t xml:space="preserve"> cases where the </w:t>
      </w:r>
      <w:r w:rsidR="0093049E" w:rsidRPr="008946B0">
        <w:rPr>
          <w:lang w:val="en-GB"/>
        </w:rPr>
        <w:t>defined protection criterion</w:t>
      </w:r>
      <w:r w:rsidRPr="008946B0">
        <w:rPr>
          <w:lang w:val="en-GB"/>
        </w:rPr>
        <w:t xml:space="preserve"> is exceeded.</w:t>
      </w:r>
    </w:p>
    <w:p w14:paraId="26A5B2F9" w14:textId="4683786D" w:rsidR="005A47F3" w:rsidRPr="008946B0" w:rsidRDefault="00AB77EF">
      <w:pPr>
        <w:spacing w:before="240" w:after="60" w:line="240" w:lineRule="auto"/>
        <w:jc w:val="both"/>
        <w:rPr>
          <w:lang w:val="en-GB"/>
        </w:rPr>
      </w:pPr>
      <w:r w:rsidRPr="008946B0">
        <w:rPr>
          <w:lang w:val="en-GB"/>
        </w:rPr>
        <w:t xml:space="preserve">The statistical calculation leads to a reference MCL of 68 dB. This reference coupling loss </w:t>
      </w:r>
      <w:r w:rsidR="0093049E" w:rsidRPr="008946B0">
        <w:rPr>
          <w:lang w:val="en-GB"/>
        </w:rPr>
        <w:t>predicts</w:t>
      </w:r>
      <w:r w:rsidRPr="008946B0">
        <w:rPr>
          <w:lang w:val="en-GB"/>
        </w:rPr>
        <w:t xml:space="preserve"> that less than 7% of RMR sectors might face an </w:t>
      </w:r>
      <w:r w:rsidR="0035259A" w:rsidRPr="008946B0">
        <w:rPr>
          <w:lang w:val="en-GB"/>
        </w:rPr>
        <w:t>ECS</w:t>
      </w:r>
      <w:r w:rsidRPr="008946B0">
        <w:rPr>
          <w:lang w:val="en-GB"/>
        </w:rPr>
        <w:t xml:space="preserve"> neighbouring sector with less than 68 dB coupling loss. In practice, the number of RMR sectors is expected to be significantly lower, considering that simulations have only taken </w:t>
      </w:r>
      <w:r w:rsidR="00373A4C" w:rsidRPr="008946B0">
        <w:rPr>
          <w:lang w:val="en-GB"/>
        </w:rPr>
        <w:t xml:space="preserve">the </w:t>
      </w:r>
      <w:r w:rsidRPr="008946B0">
        <w:rPr>
          <w:lang w:val="en-GB"/>
        </w:rPr>
        <w:t xml:space="preserve">EPM-73 propagation model into account, without any clutter, digital terrain model or building layer. Additionally, the statistical analysis shows that most </w:t>
      </w:r>
      <w:r w:rsidR="00134A6C" w:rsidRPr="008946B0">
        <w:rPr>
          <w:lang w:val="en-GB"/>
        </w:rPr>
        <w:t>occurrences of</w:t>
      </w:r>
      <w:r w:rsidRPr="008946B0">
        <w:rPr>
          <w:lang w:val="en-GB"/>
        </w:rPr>
        <w:t xml:space="preserve"> low coupling loss are located in urban areas where the real coupling loss is expected to be significantly higher in most cases due to building and clutter losses. Solving the interference issue for the remaining cases not covered by the BEM should be addressed at national level when interference occurs.</w:t>
      </w:r>
    </w:p>
    <w:p w14:paraId="3DCFCF93" w14:textId="77777777" w:rsidR="005A47F3" w:rsidRPr="008946B0" w:rsidRDefault="00AB77EF">
      <w:pPr>
        <w:spacing w:before="240" w:after="60" w:line="240" w:lineRule="auto"/>
        <w:jc w:val="both"/>
        <w:rPr>
          <w:lang w:val="en-GB"/>
        </w:rPr>
      </w:pPr>
      <w:r w:rsidRPr="008946B0">
        <w:rPr>
          <w:lang w:val="en-GB"/>
        </w:rPr>
        <w:t>The BEM for FRMCS will include channels of 1.4 MHz, 5 MHz and 5.6 MHz.</w:t>
      </w:r>
    </w:p>
    <w:p w14:paraId="669E9000" w14:textId="5776CADB" w:rsidR="000D05B2" w:rsidRPr="008946B0" w:rsidRDefault="000D05B2" w:rsidP="000D05B2">
      <w:pPr>
        <w:spacing w:before="240" w:after="60" w:line="240" w:lineRule="auto"/>
        <w:jc w:val="both"/>
        <w:rPr>
          <w:lang w:val="en-GB"/>
        </w:rPr>
      </w:pPr>
      <w:bookmarkStart w:id="110" w:name="_Toc31104383"/>
      <w:bookmarkStart w:id="111" w:name="_Toc31112642"/>
      <w:bookmarkStart w:id="112" w:name="_Toc31131687"/>
      <w:bookmarkStart w:id="113" w:name="_Toc31237090"/>
      <w:bookmarkStart w:id="114" w:name="_Toc31293998"/>
      <w:bookmarkStart w:id="115" w:name="_Toc31719415"/>
      <w:bookmarkStart w:id="116" w:name="_Ref31288621"/>
      <w:bookmarkStart w:id="117" w:name="_Toc42722831"/>
      <w:bookmarkEnd w:id="110"/>
      <w:bookmarkEnd w:id="111"/>
      <w:bookmarkEnd w:id="112"/>
      <w:bookmarkEnd w:id="113"/>
      <w:bookmarkEnd w:id="114"/>
      <w:bookmarkEnd w:id="115"/>
      <w:r w:rsidRPr="00AF2CD8">
        <w:rPr>
          <w:lang w:val="en-GB"/>
        </w:rPr>
        <w:t>CEPT noted that a 200 kHz frequency separation is required between networks adjacent in frequency in the following cases: GSM vs. WB</w:t>
      </w:r>
      <w:bookmarkStart w:id="118" w:name="_Ref44358320"/>
      <w:r w:rsidRPr="00AF2CD8">
        <w:rPr>
          <w:lang w:val="en-GB"/>
        </w:rPr>
        <w:t xml:space="preserve"> (i.e. UMTS, LTE or NR)</w:t>
      </w:r>
      <w:bookmarkEnd w:id="118"/>
      <w:r w:rsidRPr="00AF2CD8">
        <w:rPr>
          <w:lang w:val="en-GB"/>
        </w:rPr>
        <w:t>, NB-IoT vs. WB and GSM vs. NB-IoT. This issue needs to be further addressed by regulatory measures at national level, consistently with the relevant RMR and MFCN harmonised technical conditions under development.</w:t>
      </w:r>
    </w:p>
    <w:p w14:paraId="23F40450" w14:textId="51249A8A" w:rsidR="005A47F3" w:rsidRPr="008946B0" w:rsidRDefault="00DE2CBE">
      <w:pPr>
        <w:pStyle w:val="Heading4"/>
        <w:rPr>
          <w:lang w:val="en-GB"/>
        </w:rPr>
      </w:pPr>
      <w:r w:rsidRPr="008946B0">
        <w:rPr>
          <w:lang w:val="en-GB"/>
        </w:rPr>
        <w:t>C</w:t>
      </w:r>
      <w:r w:rsidR="00AB77EF" w:rsidRPr="008946B0">
        <w:rPr>
          <w:lang w:val="en-GB"/>
        </w:rPr>
        <w:t>oordination</w:t>
      </w:r>
      <w:bookmarkEnd w:id="116"/>
      <w:bookmarkEnd w:id="117"/>
    </w:p>
    <w:p w14:paraId="7D28D841" w14:textId="50B9273B"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National regulation may allow </w:t>
      </w:r>
      <w:r w:rsidR="003977DD" w:rsidRPr="008946B0">
        <w:rPr>
          <w:szCs w:val="20"/>
          <w:lang w:val="en-GB"/>
        </w:rPr>
        <w:t>multiple carriers using wideband technologies</w:t>
      </w:r>
      <w:r w:rsidR="009D1222" w:rsidRPr="008946B0">
        <w:rPr>
          <w:rStyle w:val="FootnoteReference"/>
          <w:szCs w:val="20"/>
          <w:lang w:val="en-GB"/>
        </w:rPr>
        <w:footnoteReference w:id="13"/>
      </w:r>
      <w:r w:rsidR="003977DD" w:rsidRPr="008946B0">
        <w:rPr>
          <w:szCs w:val="20"/>
          <w:lang w:val="en-GB"/>
        </w:rPr>
        <w:t xml:space="preserve"> </w:t>
      </w:r>
      <w:r w:rsidRPr="008946B0">
        <w:rPr>
          <w:rFonts w:eastAsia="Calibri"/>
          <w:szCs w:val="22"/>
          <w:lang w:val="en-GB"/>
        </w:rPr>
        <w:t xml:space="preserve">or higher e.i.r.p. </w:t>
      </w:r>
      <w:r w:rsidR="001B5873" w:rsidRPr="008946B0">
        <w:rPr>
          <w:rFonts w:eastAsia="Calibri"/>
          <w:szCs w:val="22"/>
          <w:lang w:val="en-GB"/>
        </w:rPr>
        <w:t xml:space="preserve">for RMR BS </w:t>
      </w:r>
      <w:r w:rsidRPr="008946B0">
        <w:rPr>
          <w:rFonts w:eastAsia="Calibri"/>
          <w:szCs w:val="22"/>
          <w:lang w:val="en-GB"/>
        </w:rPr>
        <w:t xml:space="preserve">than stated in the </w:t>
      </w:r>
      <w:r w:rsidR="001B5873" w:rsidRPr="008946B0">
        <w:rPr>
          <w:rFonts w:eastAsia="Calibri"/>
          <w:szCs w:val="22"/>
          <w:lang w:val="en-GB"/>
        </w:rPr>
        <w:t>technical conditions,</w:t>
      </w:r>
      <w:r w:rsidR="008C1062" w:rsidRPr="008946B0">
        <w:rPr>
          <w:rFonts w:eastAsia="Calibri"/>
          <w:szCs w:val="22"/>
          <w:lang w:val="en-GB"/>
        </w:rPr>
        <w:t xml:space="preserve"> as long as the absence of harmful interference on ECS BS can be ensured. </w:t>
      </w:r>
      <w:r w:rsidR="0039059B" w:rsidRPr="008946B0">
        <w:rPr>
          <w:rFonts w:eastAsia="Calibri"/>
          <w:szCs w:val="22"/>
          <w:lang w:val="en-GB"/>
        </w:rPr>
        <w:t xml:space="preserve">It should be decided on national level how to coordinate between RMR and ECS. </w:t>
      </w:r>
      <w:r w:rsidR="001E78BD" w:rsidRPr="008946B0">
        <w:rPr>
          <w:rFonts w:eastAsia="Calibri"/>
          <w:szCs w:val="22"/>
          <w:lang w:val="en-GB"/>
        </w:rPr>
        <w:t>As part of a national coordination procedure, t</w:t>
      </w:r>
      <w:r w:rsidR="008C1062" w:rsidRPr="008946B0">
        <w:rPr>
          <w:rFonts w:eastAsia="Calibri"/>
          <w:szCs w:val="22"/>
          <w:lang w:val="en-GB"/>
        </w:rPr>
        <w:t xml:space="preserve">he </w:t>
      </w:r>
      <w:r w:rsidR="00AB53A4" w:rsidRPr="008946B0">
        <w:rPr>
          <w:rFonts w:eastAsia="Calibri"/>
          <w:szCs w:val="22"/>
          <w:lang w:val="en-GB"/>
        </w:rPr>
        <w:t>i</w:t>
      </w:r>
      <w:r w:rsidR="0039059B" w:rsidRPr="008946B0">
        <w:rPr>
          <w:rFonts w:eastAsia="Calibri"/>
          <w:szCs w:val="22"/>
          <w:lang w:val="en-GB"/>
        </w:rPr>
        <w:t xml:space="preserve">nfrastructure </w:t>
      </w:r>
      <w:r w:rsidR="00AB53A4" w:rsidRPr="008946B0">
        <w:rPr>
          <w:rFonts w:eastAsia="Calibri"/>
          <w:szCs w:val="22"/>
          <w:lang w:val="en-GB"/>
        </w:rPr>
        <w:t>m</w:t>
      </w:r>
      <w:r w:rsidR="0039059B" w:rsidRPr="008946B0">
        <w:rPr>
          <w:rFonts w:eastAsia="Calibri"/>
          <w:szCs w:val="22"/>
          <w:lang w:val="en-GB"/>
        </w:rPr>
        <w:t>anager</w:t>
      </w:r>
      <w:r w:rsidR="008C1062" w:rsidRPr="008946B0">
        <w:rPr>
          <w:rFonts w:eastAsia="Calibri"/>
          <w:szCs w:val="22"/>
          <w:lang w:val="en-GB"/>
        </w:rPr>
        <w:t xml:space="preserve"> could, for example,</w:t>
      </w:r>
      <w:r w:rsidRPr="008946B0">
        <w:rPr>
          <w:rFonts w:eastAsia="Calibri"/>
          <w:szCs w:val="22"/>
          <w:lang w:val="en-GB"/>
        </w:rPr>
        <w:t xml:space="preserve"> demonstrate </w:t>
      </w:r>
      <w:r w:rsidR="0039059B" w:rsidRPr="008946B0">
        <w:rPr>
          <w:rFonts w:eastAsia="Calibri"/>
          <w:szCs w:val="22"/>
          <w:lang w:val="en-GB"/>
        </w:rPr>
        <w:t>that</w:t>
      </w:r>
      <w:r w:rsidRPr="008946B0">
        <w:rPr>
          <w:rFonts w:eastAsia="Calibri"/>
          <w:szCs w:val="22"/>
          <w:lang w:val="en-GB"/>
        </w:rPr>
        <w:t xml:space="preserve"> the following formula with respect to each </w:t>
      </w:r>
      <w:r w:rsidR="0035259A" w:rsidRPr="008946B0">
        <w:rPr>
          <w:rFonts w:eastAsia="Calibri"/>
          <w:szCs w:val="22"/>
          <w:lang w:val="en-GB"/>
        </w:rPr>
        <w:t>ECS</w:t>
      </w:r>
      <w:r w:rsidRPr="008946B0">
        <w:rPr>
          <w:rFonts w:eastAsia="Calibri"/>
          <w:szCs w:val="22"/>
          <w:lang w:val="en-GB"/>
        </w:rPr>
        <w:t xml:space="preserve"> BS in the vicinity of the RMR radio site</w:t>
      </w:r>
      <w:r w:rsidR="00F46046" w:rsidRPr="008946B0">
        <w:rPr>
          <w:rFonts w:eastAsia="Calibri"/>
          <w:szCs w:val="22"/>
          <w:lang w:val="en-GB"/>
        </w:rPr>
        <w:t xml:space="preserve"> is fulfilled</w:t>
      </w:r>
      <w:r w:rsidRPr="008946B0">
        <w:rPr>
          <w:rFonts w:eastAsia="Calibri"/>
          <w:szCs w:val="22"/>
          <w:lang w:val="en-GB"/>
        </w:rPr>
        <w:t>:</w:t>
      </w:r>
    </w:p>
    <w:p w14:paraId="22FD39F0" w14:textId="77777777" w:rsidR="005A47F3" w:rsidRPr="008946B0" w:rsidRDefault="003D5261">
      <w:pPr>
        <w:spacing w:before="240" w:after="60" w:line="240" w:lineRule="auto"/>
        <w:jc w:val="both"/>
        <w:rPr>
          <w:rFonts w:eastAsiaTheme="minorEastAsia" w:cs="Arial"/>
          <w:szCs w:val="20"/>
          <w:lang w:val="en-GB"/>
        </w:rPr>
      </w:pPr>
      <m:oMathPara>
        <m:oMathParaPr>
          <m:jc m:val="center"/>
        </m:oMathParaPr>
        <m:oMath>
          <m:sSub>
            <m:sSubPr>
              <m:ctrlPr>
                <w:rPr>
                  <w:rFonts w:ascii="Cambria Math" w:eastAsiaTheme="minorEastAsia" w:hAnsi="Cambria Math" w:cs="Arial"/>
                  <w:i/>
                  <w:szCs w:val="20"/>
                  <w:lang w:val="en-GB"/>
                </w:rPr>
              </m:ctrlPr>
            </m:sSubPr>
            <m:e>
              <m:r>
                <w:rPr>
                  <w:rFonts w:ascii="Cambria Math" w:eastAsiaTheme="minorEastAsia" w:hAnsi="Cambria Math" w:cs="Arial"/>
                  <w:szCs w:val="20"/>
                  <w:lang w:val="en-GB"/>
                </w:rPr>
                <m:t>TxI</m:t>
              </m:r>
            </m:e>
            <m:sub>
              <m:r>
                <w:rPr>
                  <w:rFonts w:ascii="Cambria Math" w:eastAsiaTheme="minorEastAsia" w:hAnsi="Cambria Math" w:cs="Arial"/>
                  <w:szCs w:val="20"/>
                  <w:lang w:val="en-GB"/>
                </w:rPr>
                <m:t>inblock</m:t>
              </m:r>
            </m:sub>
          </m:sSub>
          <m:r>
            <w:rPr>
              <w:rFonts w:ascii="Cambria Math" w:eastAsiaTheme="minorEastAsia" w:hAnsi="Cambria Math" w:cs="Arial"/>
              <w:szCs w:val="20"/>
              <w:lang w:val="en-GB"/>
            </w:rPr>
            <m:t>-CL≤</m:t>
          </m:r>
          <m:sSub>
            <m:sSubPr>
              <m:ctrlPr>
                <w:rPr>
                  <w:rFonts w:ascii="Cambria Math" w:eastAsiaTheme="minorEastAsia" w:hAnsi="Cambria Math" w:cs="Arial"/>
                  <w:i/>
                  <w:szCs w:val="20"/>
                  <w:lang w:val="en-GB"/>
                </w:rPr>
              </m:ctrlPr>
            </m:sSubPr>
            <m:e>
              <m:r>
                <w:rPr>
                  <w:rFonts w:ascii="Cambria Math" w:eastAsiaTheme="minorEastAsia" w:hAnsi="Cambria Math" w:cs="Arial"/>
                  <w:szCs w:val="20"/>
                  <w:lang w:val="en-GB"/>
                </w:rPr>
                <m:t>I</m:t>
              </m:r>
            </m:e>
            <m:sub>
              <m:r>
                <w:rPr>
                  <w:rFonts w:ascii="Cambria Math" w:eastAsiaTheme="minorEastAsia" w:hAnsi="Cambria Math" w:cs="Arial"/>
                  <w:szCs w:val="20"/>
                  <w:lang w:val="en-GB"/>
                </w:rPr>
                <m:t>IB</m:t>
              </m:r>
            </m:sub>
          </m:sSub>
          <m:r>
            <w:rPr>
              <w:rFonts w:ascii="Cambria Math" w:eastAsiaTheme="minorEastAsia" w:hAnsi="Cambria Math" w:cs="Arial"/>
              <w:szCs w:val="20"/>
              <w:lang w:val="en-GB"/>
            </w:rPr>
            <m:t>+</m:t>
          </m:r>
          <m:sSub>
            <m:sSubPr>
              <m:ctrlPr>
                <w:rPr>
                  <w:rFonts w:ascii="Cambria Math" w:eastAsiaTheme="minorEastAsia" w:hAnsi="Cambria Math" w:cs="Arial"/>
                  <w:i/>
                  <w:szCs w:val="20"/>
                  <w:lang w:val="en-GB"/>
                </w:rPr>
              </m:ctrlPr>
            </m:sSubPr>
            <m:e>
              <m:r>
                <w:rPr>
                  <w:rFonts w:ascii="Cambria Math" w:eastAsiaTheme="minorEastAsia" w:hAnsi="Cambria Math" w:cs="Arial"/>
                  <w:szCs w:val="20"/>
                  <w:lang w:val="en-GB"/>
                </w:rPr>
                <m:t>S</m:t>
              </m:r>
            </m:e>
            <m:sub>
              <m:r>
                <w:rPr>
                  <w:rFonts w:ascii="Cambria Math" w:eastAsiaTheme="minorEastAsia" w:hAnsi="Cambria Math" w:cs="Arial"/>
                  <w:szCs w:val="20"/>
                  <w:lang w:val="en-GB"/>
                </w:rPr>
                <m:t>inblock</m:t>
              </m:r>
            </m:sub>
          </m:sSub>
          <m:r>
            <w:rPr>
              <w:rFonts w:ascii="Cambria Math" w:eastAsiaTheme="minorEastAsia" w:hAnsi="Cambria Math" w:cs="Arial"/>
              <w:szCs w:val="20"/>
              <w:lang w:val="en-GB"/>
            </w:rPr>
            <m:t>-α</m:t>
          </m:r>
        </m:oMath>
      </m:oMathPara>
    </w:p>
    <w:p w14:paraId="67A47DA2" w14:textId="77777777" w:rsidR="005A47F3" w:rsidRPr="008946B0" w:rsidRDefault="003D5261">
      <w:pPr>
        <w:spacing w:before="240" w:after="60" w:line="240" w:lineRule="auto"/>
        <w:jc w:val="both"/>
        <w:rPr>
          <w:rFonts w:eastAsiaTheme="minorEastAsia" w:cs="Arial"/>
          <w:szCs w:val="20"/>
          <w:lang w:val="en-GB"/>
        </w:rPr>
      </w:pPr>
      <m:oMathPara>
        <m:oMathParaPr>
          <m:jc m:val="center"/>
        </m:oMathParaPr>
        <m:oMath>
          <m:sSub>
            <m:sSubPr>
              <m:ctrlPr>
                <w:rPr>
                  <w:rFonts w:ascii="Cambria Math" w:eastAsiaTheme="minorEastAsia" w:hAnsi="Cambria Math" w:cs="Arial"/>
                  <w:i/>
                  <w:szCs w:val="20"/>
                  <w:lang w:val="en-GB"/>
                </w:rPr>
              </m:ctrlPr>
            </m:sSubPr>
            <m:e>
              <m:r>
                <w:rPr>
                  <w:rFonts w:ascii="Cambria Math" w:eastAsiaTheme="minorEastAsia" w:hAnsi="Cambria Math" w:cs="Arial"/>
                  <w:szCs w:val="20"/>
                  <w:lang w:val="en-GB"/>
                </w:rPr>
                <m:t>I</m:t>
              </m:r>
            </m:e>
            <m:sub>
              <m:r>
                <w:rPr>
                  <w:rFonts w:ascii="Cambria Math" w:eastAsiaTheme="minorEastAsia" w:hAnsi="Cambria Math" w:cs="Arial"/>
                  <w:szCs w:val="20"/>
                  <w:lang w:val="en-GB"/>
                </w:rPr>
                <m:t>IB</m:t>
              </m:r>
            </m:sub>
          </m:sSub>
          <m:r>
            <w:rPr>
              <w:rFonts w:ascii="Cambria Math" w:eastAsiaTheme="minorEastAsia" w:hAnsi="Cambria Math" w:cs="Arial"/>
              <w:szCs w:val="20"/>
              <w:lang w:val="en-GB"/>
            </w:rPr>
            <m:t xml:space="preserve">=-108.3 </m:t>
          </m:r>
          <m:r>
            <m:rPr>
              <m:sty m:val="p"/>
            </m:rPr>
            <w:rPr>
              <w:rFonts w:ascii="Cambria Math" w:eastAsiaTheme="minorEastAsia" w:hAnsi="Cambria Math" w:cs="Arial"/>
              <w:szCs w:val="20"/>
              <w:lang w:val="en-GB"/>
            </w:rPr>
            <m:t>dBm</m:t>
          </m:r>
        </m:oMath>
      </m:oMathPara>
    </w:p>
    <w:p w14:paraId="2C749AB3" w14:textId="77777777" w:rsidR="005A47F3" w:rsidRPr="008946B0" w:rsidRDefault="00AB77EF">
      <w:pPr>
        <w:spacing w:before="240" w:after="60" w:line="240" w:lineRule="auto"/>
        <w:jc w:val="both"/>
        <w:rPr>
          <w:rFonts w:eastAsiaTheme="minorEastAsia" w:cs="Arial"/>
          <w:szCs w:val="20"/>
          <w:lang w:val="en-GB"/>
        </w:rPr>
      </w:pPr>
      <m:oMathPara>
        <m:oMathParaPr>
          <m:jc m:val="center"/>
        </m:oMathParaPr>
        <m:oMath>
          <m:r>
            <w:rPr>
              <w:rFonts w:ascii="Cambria Math" w:eastAsiaTheme="minorEastAsia" w:hAnsi="Cambria Math" w:cs="Arial"/>
              <w:szCs w:val="20"/>
              <w:lang w:val="en-GB"/>
            </w:rPr>
            <m:t>CL=PL+</m:t>
          </m:r>
          <m:sSub>
            <m:sSubPr>
              <m:ctrlPr>
                <w:rPr>
                  <w:rFonts w:ascii="Cambria Math" w:eastAsiaTheme="minorEastAsia" w:hAnsi="Cambria Math" w:cs="Arial"/>
                  <w:i/>
                  <w:szCs w:val="20"/>
                  <w:lang w:val="en-GB"/>
                </w:rPr>
              </m:ctrlPr>
            </m:sSubPr>
            <m:e>
              <m:r>
                <w:rPr>
                  <w:rFonts w:ascii="Cambria Math" w:eastAsiaTheme="minorEastAsia" w:hAnsi="Cambria Math" w:cs="Arial"/>
                  <w:szCs w:val="20"/>
                  <w:lang w:val="en-GB"/>
                </w:rPr>
                <m:t>D</m:t>
              </m:r>
            </m:e>
            <m:sub>
              <m:r>
                <w:rPr>
                  <w:rFonts w:ascii="Cambria Math" w:eastAsiaTheme="minorEastAsia" w:hAnsi="Cambria Math" w:cs="Arial"/>
                  <w:szCs w:val="20"/>
                  <w:lang w:val="en-GB"/>
                </w:rPr>
                <m:t>Rail</m:t>
              </m:r>
            </m:sub>
          </m:sSub>
          <m:r>
            <w:rPr>
              <w:rFonts w:ascii="Cambria Math" w:eastAsiaTheme="minorEastAsia" w:hAnsi="Cambria Math" w:cs="Arial"/>
              <w:szCs w:val="20"/>
              <w:lang w:val="en-GB"/>
            </w:rPr>
            <m:t>+</m:t>
          </m:r>
          <m:sSub>
            <m:sSubPr>
              <m:ctrlPr>
                <w:rPr>
                  <w:rFonts w:ascii="Cambria Math" w:eastAsiaTheme="minorEastAsia" w:hAnsi="Cambria Math" w:cs="Arial"/>
                  <w:i/>
                  <w:szCs w:val="20"/>
                  <w:lang w:val="en-GB"/>
                </w:rPr>
              </m:ctrlPr>
            </m:sSubPr>
            <m:e>
              <m:r>
                <w:rPr>
                  <w:rFonts w:ascii="Cambria Math" w:eastAsiaTheme="minorEastAsia" w:hAnsi="Cambria Math" w:cs="Arial"/>
                  <w:szCs w:val="20"/>
                  <w:lang w:val="en-GB"/>
                </w:rPr>
                <m:t>D</m:t>
              </m:r>
            </m:e>
            <m:sub>
              <m:r>
                <w:rPr>
                  <w:rFonts w:ascii="Cambria Math" w:eastAsiaTheme="minorEastAsia" w:hAnsi="Cambria Math" w:cs="Arial"/>
                  <w:szCs w:val="20"/>
                  <w:lang w:val="en-GB"/>
                </w:rPr>
                <m:t>MFCN</m:t>
              </m:r>
            </m:sub>
          </m:sSub>
          <m:r>
            <w:rPr>
              <w:rFonts w:ascii="Cambria Math" w:eastAsiaTheme="minorEastAsia" w:hAnsi="Cambria Math" w:cs="Arial"/>
              <w:szCs w:val="20"/>
              <w:lang w:val="en-GB"/>
            </w:rPr>
            <m:t>-</m:t>
          </m:r>
          <m:sSub>
            <m:sSubPr>
              <m:ctrlPr>
                <w:rPr>
                  <w:rFonts w:ascii="Cambria Math" w:eastAsiaTheme="minorEastAsia" w:hAnsi="Cambria Math" w:cs="Arial"/>
                  <w:i/>
                  <w:szCs w:val="20"/>
                  <w:lang w:val="en-GB"/>
                </w:rPr>
              </m:ctrlPr>
            </m:sSubPr>
            <m:e>
              <m:r>
                <w:rPr>
                  <w:rFonts w:ascii="Cambria Math" w:eastAsiaTheme="minorEastAsia" w:hAnsi="Cambria Math" w:cs="Arial"/>
                  <w:szCs w:val="20"/>
                  <w:lang w:val="en-GB"/>
                </w:rPr>
                <m:t>G</m:t>
              </m:r>
            </m:e>
            <m:sub>
              <m:r>
                <w:rPr>
                  <w:rFonts w:ascii="Cambria Math" w:eastAsiaTheme="minorEastAsia" w:hAnsi="Cambria Math" w:cs="Arial"/>
                  <w:szCs w:val="20"/>
                  <w:lang w:val="en-GB"/>
                </w:rPr>
                <m:t>MFCN</m:t>
              </m:r>
            </m:sub>
          </m:sSub>
        </m:oMath>
      </m:oMathPara>
    </w:p>
    <w:p w14:paraId="105F9F9E" w14:textId="5452C299" w:rsidR="005A47F3" w:rsidRPr="008946B0" w:rsidRDefault="003D5261" w:rsidP="0073396E">
      <w:pPr>
        <w:pBdr>
          <w:top w:val="single" w:sz="4" w:space="1" w:color="auto"/>
          <w:left w:val="single" w:sz="4" w:space="4" w:color="auto"/>
          <w:bottom w:val="single" w:sz="4" w:space="1" w:color="auto"/>
          <w:right w:val="single" w:sz="4" w:space="4" w:color="auto"/>
        </w:pBdr>
        <w:spacing w:before="240" w:after="60" w:line="240" w:lineRule="auto"/>
        <w:ind w:left="142" w:firstLine="720"/>
        <w:jc w:val="center"/>
        <w:rPr>
          <w:rFonts w:eastAsiaTheme="minorEastAsia" w:cs="Arial"/>
          <w:szCs w:val="20"/>
          <w:lang w:val="en-GB"/>
        </w:rPr>
      </w:pPr>
      <m:oMath>
        <m:sSub>
          <m:sSubPr>
            <m:ctrlPr>
              <w:rPr>
                <w:rFonts w:ascii="Cambria Math" w:hAnsi="Cambria Math" w:cs="Arial"/>
                <w:i/>
                <w:szCs w:val="20"/>
                <w:lang w:val="en-GB"/>
              </w:rPr>
            </m:ctrlPr>
          </m:sSubPr>
          <m:e>
            <m:r>
              <w:rPr>
                <w:rFonts w:ascii="Cambria Math" w:hAnsi="Cambria Math" w:cs="Arial"/>
                <w:szCs w:val="20"/>
                <w:lang w:val="en-GB"/>
              </w:rPr>
              <m:t>TxI</m:t>
            </m:r>
          </m:e>
          <m:sub>
            <m:r>
              <w:rPr>
                <w:rFonts w:ascii="Cambria Math" w:hAnsi="Cambria Math" w:cs="Arial"/>
                <w:szCs w:val="20"/>
                <w:lang w:val="en-GB"/>
              </w:rPr>
              <m:t>inblock</m:t>
            </m:r>
          </m:sub>
        </m:sSub>
        <m:r>
          <w:rPr>
            <w:rFonts w:ascii="Cambria Math" w:eastAsiaTheme="minorEastAsia" w:hAnsi="Cambria Math" w:cs="Arial"/>
            <w:szCs w:val="20"/>
            <w:lang w:val="en-GB"/>
          </w:rPr>
          <m:t>-PL-</m:t>
        </m:r>
        <m:sSub>
          <m:sSubPr>
            <m:ctrlPr>
              <w:rPr>
                <w:rFonts w:ascii="Cambria Math" w:eastAsiaTheme="minorEastAsia" w:hAnsi="Cambria Math" w:cs="Arial"/>
                <w:i/>
                <w:szCs w:val="20"/>
                <w:lang w:val="en-GB"/>
              </w:rPr>
            </m:ctrlPr>
          </m:sSubPr>
          <m:e>
            <m:r>
              <w:rPr>
                <w:rFonts w:ascii="Cambria Math" w:eastAsiaTheme="minorEastAsia" w:hAnsi="Cambria Math" w:cs="Arial"/>
                <w:szCs w:val="20"/>
                <w:lang w:val="en-GB"/>
              </w:rPr>
              <m:t>D</m:t>
            </m:r>
          </m:e>
          <m:sub>
            <m:r>
              <w:rPr>
                <w:rFonts w:ascii="Cambria Math" w:eastAsiaTheme="minorEastAsia" w:hAnsi="Cambria Math" w:cs="Arial"/>
                <w:szCs w:val="20"/>
                <w:lang w:val="en-GB"/>
              </w:rPr>
              <m:t>Rail</m:t>
            </m:r>
          </m:sub>
        </m:sSub>
        <m:r>
          <w:rPr>
            <w:rFonts w:ascii="Cambria Math" w:eastAsiaTheme="minorEastAsia" w:hAnsi="Cambria Math" w:cs="Arial"/>
            <w:szCs w:val="20"/>
            <w:lang w:val="en-GB"/>
          </w:rPr>
          <m:t>-</m:t>
        </m:r>
        <m:sSub>
          <m:sSubPr>
            <m:ctrlPr>
              <w:rPr>
                <w:rFonts w:ascii="Cambria Math" w:eastAsiaTheme="minorEastAsia" w:hAnsi="Cambria Math" w:cs="Arial"/>
                <w:i/>
                <w:szCs w:val="20"/>
                <w:lang w:val="en-GB"/>
              </w:rPr>
            </m:ctrlPr>
          </m:sSubPr>
          <m:e>
            <m:r>
              <w:rPr>
                <w:rFonts w:ascii="Cambria Math" w:eastAsiaTheme="minorEastAsia" w:hAnsi="Cambria Math" w:cs="Arial"/>
                <w:szCs w:val="20"/>
                <w:lang w:val="en-GB"/>
              </w:rPr>
              <m:t>D</m:t>
            </m:r>
          </m:e>
          <m:sub>
            <m:r>
              <w:rPr>
                <w:rFonts w:ascii="Cambria Math" w:eastAsiaTheme="minorEastAsia" w:hAnsi="Cambria Math" w:cs="Arial"/>
                <w:szCs w:val="20"/>
                <w:lang w:val="en-GB"/>
              </w:rPr>
              <m:t>MFCN</m:t>
            </m:r>
          </m:sub>
        </m:sSub>
        <m:r>
          <w:rPr>
            <w:rFonts w:ascii="Cambria Math" w:eastAsiaTheme="minorEastAsia" w:hAnsi="Cambria Math" w:cs="Arial"/>
            <w:szCs w:val="20"/>
            <w:lang w:val="en-GB"/>
          </w:rPr>
          <m:t>+</m:t>
        </m:r>
        <m:sSub>
          <m:sSubPr>
            <m:ctrlPr>
              <w:rPr>
                <w:rFonts w:ascii="Cambria Math" w:eastAsiaTheme="minorEastAsia" w:hAnsi="Cambria Math" w:cs="Arial"/>
                <w:i/>
                <w:szCs w:val="20"/>
                <w:lang w:val="en-GB"/>
              </w:rPr>
            </m:ctrlPr>
          </m:sSubPr>
          <m:e>
            <m:r>
              <w:rPr>
                <w:rFonts w:ascii="Cambria Math" w:eastAsiaTheme="minorEastAsia" w:hAnsi="Cambria Math" w:cs="Arial"/>
                <w:szCs w:val="20"/>
                <w:lang w:val="en-GB"/>
              </w:rPr>
              <m:t>G</m:t>
            </m:r>
          </m:e>
          <m:sub>
            <m:r>
              <w:rPr>
                <w:rFonts w:ascii="Cambria Math" w:eastAsiaTheme="minorEastAsia" w:hAnsi="Cambria Math" w:cs="Arial"/>
                <w:szCs w:val="20"/>
                <w:lang w:val="en-GB"/>
              </w:rPr>
              <m:t>MFCN</m:t>
            </m:r>
          </m:sub>
        </m:sSub>
        <m:r>
          <w:rPr>
            <w:rFonts w:ascii="Cambria Math" w:eastAsiaTheme="minorEastAsia" w:hAnsi="Cambria Math" w:cs="Arial"/>
            <w:szCs w:val="20"/>
            <w:lang w:val="en-GB"/>
          </w:rPr>
          <m:t>≤-108.3+</m:t>
        </m:r>
        <m:sSub>
          <m:sSubPr>
            <m:ctrlPr>
              <w:rPr>
                <w:rFonts w:ascii="Cambria Math" w:eastAsiaTheme="minorEastAsia" w:hAnsi="Cambria Math" w:cs="Arial"/>
                <w:i/>
                <w:szCs w:val="20"/>
                <w:lang w:val="en-GB"/>
              </w:rPr>
            </m:ctrlPr>
          </m:sSubPr>
          <m:e>
            <m:r>
              <w:rPr>
                <w:rFonts w:ascii="Cambria Math" w:eastAsiaTheme="minorEastAsia" w:hAnsi="Cambria Math" w:cs="Arial"/>
                <w:szCs w:val="20"/>
                <w:lang w:val="en-GB"/>
              </w:rPr>
              <m:t>S</m:t>
            </m:r>
          </m:e>
          <m:sub>
            <m:r>
              <w:rPr>
                <w:rFonts w:ascii="Cambria Math" w:eastAsiaTheme="minorEastAsia" w:hAnsi="Cambria Math" w:cs="Arial"/>
                <w:szCs w:val="20"/>
                <w:lang w:val="en-GB"/>
              </w:rPr>
              <m:t>inblock</m:t>
            </m:r>
          </m:sub>
        </m:sSub>
        <m:r>
          <w:rPr>
            <w:rFonts w:ascii="Cambria Math" w:eastAsiaTheme="minorEastAsia" w:hAnsi="Cambria Math" w:cs="Arial"/>
            <w:szCs w:val="20"/>
            <w:lang w:val="en-GB"/>
          </w:rPr>
          <m:t>-α</m:t>
        </m:r>
      </m:oMath>
      <w:r w:rsidR="006F675A" w:rsidRPr="008946B0">
        <w:rPr>
          <w:rFonts w:eastAsiaTheme="minorEastAsia" w:cs="Arial"/>
          <w:szCs w:val="20"/>
          <w:lang w:val="en-GB"/>
        </w:rPr>
        <w:tab/>
      </w:r>
      <w:r w:rsidR="006F675A" w:rsidRPr="008946B0">
        <w:rPr>
          <w:rFonts w:eastAsiaTheme="minorEastAsia" w:cs="Arial"/>
          <w:szCs w:val="20"/>
          <w:lang w:val="en-GB"/>
        </w:rPr>
        <w:tab/>
      </w:r>
      <w:r w:rsidR="00152A2A">
        <w:rPr>
          <w:rFonts w:eastAsiaTheme="minorEastAsia" w:cs="Arial"/>
          <w:szCs w:val="20"/>
          <w:lang w:val="en-GB"/>
        </w:rPr>
        <w:tab/>
      </w:r>
      <w:r w:rsidR="00152A2A">
        <w:rPr>
          <w:rFonts w:eastAsiaTheme="minorEastAsia" w:cs="Arial"/>
          <w:szCs w:val="20"/>
          <w:lang w:val="en-GB"/>
        </w:rPr>
        <w:tab/>
      </w:r>
      <w:r w:rsidR="006F675A" w:rsidRPr="008946B0">
        <w:rPr>
          <w:rFonts w:eastAsiaTheme="minorEastAsia" w:cs="Arial"/>
          <w:szCs w:val="20"/>
          <w:lang w:val="en-GB"/>
        </w:rPr>
        <w:t>(</w:t>
      </w:r>
      <w:r w:rsidR="006F675A" w:rsidRPr="008946B0">
        <w:rPr>
          <w:lang w:val="en-GB"/>
        </w:rPr>
        <w:fldChar w:fldCharType="begin"/>
      </w:r>
      <w:r w:rsidR="006F675A" w:rsidRPr="008946B0">
        <w:rPr>
          <w:lang w:val="en-GB"/>
        </w:rPr>
        <w:instrText xml:space="preserve"> SEQ Equation \* ARABIC </w:instrText>
      </w:r>
      <w:r w:rsidR="006F675A" w:rsidRPr="008946B0">
        <w:rPr>
          <w:lang w:val="en-GB"/>
        </w:rPr>
        <w:fldChar w:fldCharType="separate"/>
      </w:r>
      <w:r w:rsidR="006F675A" w:rsidRPr="008946B0">
        <w:rPr>
          <w:lang w:val="en-GB"/>
        </w:rPr>
        <w:t>1</w:t>
      </w:r>
      <w:r w:rsidR="006F675A" w:rsidRPr="008946B0">
        <w:rPr>
          <w:lang w:val="en-GB"/>
        </w:rPr>
        <w:fldChar w:fldCharType="end"/>
      </w:r>
      <w:r w:rsidR="006F675A" w:rsidRPr="008946B0">
        <w:rPr>
          <w:lang w:val="en-GB"/>
        </w:rPr>
        <w:t>)</w:t>
      </w:r>
    </w:p>
    <w:p w14:paraId="3F7B3B07" w14:textId="6D47A978" w:rsidR="005A47F3" w:rsidRPr="008946B0" w:rsidRDefault="00CF6E1D">
      <w:pPr>
        <w:spacing w:before="240" w:after="60" w:line="240" w:lineRule="auto"/>
        <w:jc w:val="both"/>
        <w:rPr>
          <w:rFonts w:eastAsiaTheme="minorEastAsia" w:cs="Arial"/>
          <w:szCs w:val="20"/>
          <w:lang w:val="en-GB"/>
        </w:rPr>
      </w:pPr>
      <w:r w:rsidRPr="008946B0">
        <w:rPr>
          <w:rFonts w:eastAsiaTheme="minorEastAsia" w:cs="Arial"/>
          <w:szCs w:val="20"/>
          <w:lang w:val="en-GB"/>
        </w:rPr>
        <w:t>W</w:t>
      </w:r>
      <w:r w:rsidR="00AB77EF" w:rsidRPr="008946B0">
        <w:rPr>
          <w:rFonts w:eastAsiaTheme="minorEastAsia" w:cs="Arial"/>
          <w:szCs w:val="20"/>
          <w:lang w:val="en-GB"/>
        </w:rPr>
        <w:t>here:</w:t>
      </w:r>
    </w:p>
    <w:p w14:paraId="75945215" w14:textId="50952AD3" w:rsidR="005A47F3" w:rsidRPr="008946B0" w:rsidRDefault="003D5261">
      <w:pPr>
        <w:numPr>
          <w:ilvl w:val="0"/>
          <w:numId w:val="8"/>
        </w:numPr>
        <w:spacing w:before="60" w:after="0" w:line="240" w:lineRule="auto"/>
        <w:ind w:left="340" w:hanging="340"/>
        <w:jc w:val="both"/>
        <w:rPr>
          <w:rFonts w:eastAsiaTheme="minorEastAsia" w:cs="Arial"/>
          <w:szCs w:val="20"/>
          <w:lang w:val="en-GB"/>
        </w:rPr>
      </w:pPr>
      <m:oMath>
        <m:sSub>
          <m:sSubPr>
            <m:ctrlPr>
              <w:rPr>
                <w:rFonts w:ascii="Cambria Math" w:eastAsiaTheme="minorEastAsia" w:hAnsi="Cambria Math" w:cs="Arial"/>
                <w:i/>
                <w:szCs w:val="20"/>
                <w:lang w:val="en-GB"/>
              </w:rPr>
            </m:ctrlPr>
          </m:sSubPr>
          <m:e>
            <m:r>
              <w:rPr>
                <w:rFonts w:ascii="Cambria Math" w:eastAsiaTheme="minorEastAsia" w:hAnsi="Cambria Math" w:cs="Arial"/>
                <w:szCs w:val="20"/>
                <w:lang w:val="en-GB"/>
              </w:rPr>
              <m:t>TxI</m:t>
            </m:r>
          </m:e>
          <m:sub>
            <m:r>
              <w:rPr>
                <w:rFonts w:ascii="Cambria Math" w:eastAsiaTheme="minorEastAsia" w:hAnsi="Cambria Math" w:cs="Arial"/>
                <w:szCs w:val="20"/>
                <w:lang w:val="en-GB"/>
              </w:rPr>
              <m:t>inblock</m:t>
            </m:r>
          </m:sub>
        </m:sSub>
      </m:oMath>
      <w:r w:rsidR="00AB77EF" w:rsidRPr="008946B0">
        <w:rPr>
          <w:rFonts w:eastAsiaTheme="minorEastAsia" w:cs="Arial"/>
          <w:szCs w:val="20"/>
          <w:lang w:val="en-GB"/>
        </w:rPr>
        <w:t xml:space="preserve"> is the </w:t>
      </w:r>
      <w:r w:rsidR="003977DD" w:rsidRPr="008946B0">
        <w:rPr>
          <w:rFonts w:eastAsiaTheme="minorEastAsia" w:cs="Arial"/>
          <w:szCs w:val="20"/>
          <w:lang w:val="en-GB"/>
        </w:rPr>
        <w:t xml:space="preserve">sum of </w:t>
      </w:r>
      <w:r w:rsidR="00AB77EF" w:rsidRPr="008946B0">
        <w:rPr>
          <w:rFonts w:eastAsiaTheme="minorEastAsia" w:cs="Arial"/>
          <w:szCs w:val="20"/>
          <w:lang w:val="en-GB"/>
        </w:rPr>
        <w:t>RMR BS in-block e.i.r.p.</w:t>
      </w:r>
      <w:r w:rsidR="003977DD" w:rsidRPr="008946B0">
        <w:rPr>
          <w:lang w:val="en-GB"/>
        </w:rPr>
        <w:t xml:space="preserve"> of each wideband carrier</w:t>
      </w:r>
      <w:r w:rsidR="00CF6E1D" w:rsidRPr="008946B0">
        <w:rPr>
          <w:rFonts w:eastAsiaTheme="minorEastAsia" w:cs="Arial"/>
          <w:szCs w:val="20"/>
          <w:lang w:val="en-GB"/>
        </w:rPr>
        <w:t>;</w:t>
      </w:r>
    </w:p>
    <w:p w14:paraId="561DE7F6" w14:textId="300E15E9" w:rsidR="005A47F3" w:rsidRPr="008946B0" w:rsidRDefault="003D5261">
      <w:pPr>
        <w:numPr>
          <w:ilvl w:val="0"/>
          <w:numId w:val="8"/>
        </w:numPr>
        <w:spacing w:before="60" w:after="0" w:line="240" w:lineRule="auto"/>
        <w:ind w:left="340" w:hanging="340"/>
        <w:jc w:val="both"/>
        <w:rPr>
          <w:rFonts w:eastAsiaTheme="minorEastAsia" w:cs="Arial"/>
          <w:szCs w:val="20"/>
          <w:lang w:val="en-GB"/>
        </w:rPr>
      </w:pPr>
      <m:oMath>
        <m:sSub>
          <m:sSubPr>
            <m:ctrlPr>
              <w:rPr>
                <w:rFonts w:ascii="Cambria Math" w:eastAsiaTheme="minorEastAsia" w:hAnsi="Cambria Math" w:cs="Arial"/>
                <w:i/>
                <w:szCs w:val="20"/>
                <w:lang w:val="en-GB"/>
              </w:rPr>
            </m:ctrlPr>
          </m:sSubPr>
          <m:e>
            <m:r>
              <w:rPr>
                <w:rFonts w:ascii="Cambria Math" w:eastAsiaTheme="minorEastAsia" w:hAnsi="Cambria Math" w:cs="Arial"/>
                <w:szCs w:val="20"/>
                <w:lang w:val="en-GB"/>
              </w:rPr>
              <m:t>I</m:t>
            </m:r>
          </m:e>
          <m:sub>
            <m:r>
              <w:rPr>
                <w:rFonts w:ascii="Cambria Math" w:eastAsiaTheme="minorEastAsia" w:hAnsi="Cambria Math" w:cs="Arial"/>
                <w:szCs w:val="20"/>
                <w:lang w:val="en-GB"/>
              </w:rPr>
              <m:t>IB</m:t>
            </m:r>
          </m:sub>
        </m:sSub>
      </m:oMath>
      <w:r w:rsidR="00AB77EF" w:rsidRPr="008946B0">
        <w:rPr>
          <w:rFonts w:eastAsiaTheme="minorEastAsia" w:cs="Arial"/>
          <w:szCs w:val="20"/>
          <w:lang w:val="en-GB"/>
        </w:rPr>
        <w:t xml:space="preserve"> is the total permitted interference at the antenna connector</w:t>
      </w:r>
      <w:r w:rsidR="00CA1CA9" w:rsidRPr="008946B0">
        <w:rPr>
          <w:rFonts w:eastAsiaTheme="minorEastAsia" w:cs="Arial"/>
          <w:szCs w:val="20"/>
          <w:lang w:val="en-GB"/>
        </w:rPr>
        <w:t xml:space="preserve"> </w:t>
      </w:r>
      <w:r w:rsidR="00F82063" w:rsidRPr="008946B0">
        <w:rPr>
          <w:rFonts w:eastAsiaTheme="minorEastAsia" w:cs="Arial"/>
          <w:szCs w:val="20"/>
          <w:lang w:val="en-GB"/>
        </w:rPr>
        <w:t xml:space="preserve">over 25 RB </w:t>
      </w:r>
      <w:r w:rsidR="00CA1CA9" w:rsidRPr="008946B0">
        <w:rPr>
          <w:rFonts w:eastAsiaTheme="minorEastAsia" w:cs="Arial"/>
          <w:szCs w:val="20"/>
          <w:lang w:val="en-GB"/>
        </w:rPr>
        <w:t>for an ECS BS noise figure of 5 dB</w:t>
      </w:r>
      <w:r w:rsidR="00CF6E1D" w:rsidRPr="008946B0">
        <w:rPr>
          <w:rFonts w:eastAsiaTheme="minorEastAsia" w:cs="Arial"/>
          <w:szCs w:val="20"/>
          <w:lang w:val="en-GB"/>
        </w:rPr>
        <w:t>;</w:t>
      </w:r>
    </w:p>
    <w:p w14:paraId="5458BDC7" w14:textId="6FDA9CFA" w:rsidR="005A47F3" w:rsidRPr="008946B0" w:rsidRDefault="003D5261">
      <w:pPr>
        <w:numPr>
          <w:ilvl w:val="0"/>
          <w:numId w:val="8"/>
        </w:numPr>
        <w:spacing w:before="60" w:after="0" w:line="240" w:lineRule="auto"/>
        <w:ind w:left="340" w:hanging="340"/>
        <w:jc w:val="both"/>
        <w:rPr>
          <w:rFonts w:eastAsiaTheme="minorEastAsia" w:cs="Arial"/>
          <w:szCs w:val="20"/>
          <w:lang w:val="en-GB"/>
        </w:rPr>
      </w:pPr>
      <m:oMath>
        <m:sSub>
          <m:sSubPr>
            <m:ctrlPr>
              <w:rPr>
                <w:rFonts w:ascii="Cambria Math" w:hAnsi="Cambria Math" w:cs="Arial"/>
                <w:i/>
                <w:szCs w:val="20"/>
                <w:lang w:val="en-GB"/>
              </w:rPr>
            </m:ctrlPr>
          </m:sSubPr>
          <m:e>
            <m:r>
              <w:rPr>
                <w:rFonts w:ascii="Cambria Math" w:hAnsi="Cambria Math" w:cs="Arial"/>
                <w:szCs w:val="20"/>
                <w:lang w:val="en-GB"/>
              </w:rPr>
              <m:t>S</m:t>
            </m:r>
          </m:e>
          <m:sub>
            <m:r>
              <w:rPr>
                <w:rFonts w:ascii="Cambria Math" w:hAnsi="Cambria Math" w:cs="Arial"/>
                <w:szCs w:val="20"/>
                <w:lang w:val="en-GB"/>
              </w:rPr>
              <m:t>inblock</m:t>
            </m:r>
          </m:sub>
        </m:sSub>
      </m:oMath>
      <w:r w:rsidR="00AB77EF" w:rsidRPr="008946B0">
        <w:rPr>
          <w:rFonts w:eastAsiaTheme="minorEastAsia" w:cs="Arial"/>
          <w:szCs w:val="20"/>
          <w:lang w:val="en-GB"/>
        </w:rPr>
        <w:t xml:space="preserve"> is the </w:t>
      </w:r>
      <w:r w:rsidR="0035259A" w:rsidRPr="008946B0">
        <w:rPr>
          <w:rFonts w:eastAsiaTheme="minorEastAsia" w:cs="Arial"/>
          <w:szCs w:val="20"/>
          <w:lang w:val="en-GB"/>
        </w:rPr>
        <w:t>ECS</w:t>
      </w:r>
      <w:r w:rsidR="00AB77EF" w:rsidRPr="008946B0">
        <w:rPr>
          <w:rFonts w:eastAsiaTheme="minorEastAsia" w:cs="Arial"/>
          <w:szCs w:val="20"/>
          <w:lang w:val="en-GB"/>
        </w:rPr>
        <w:t xml:space="preserve"> BS selectivity dependent on the edge-to-edge frequency offset between the </w:t>
      </w:r>
      <w:r w:rsidR="0035259A" w:rsidRPr="008946B0">
        <w:rPr>
          <w:rFonts w:eastAsiaTheme="minorEastAsia" w:cs="Arial"/>
          <w:szCs w:val="20"/>
          <w:lang w:val="en-GB"/>
        </w:rPr>
        <w:t>ECS</w:t>
      </w:r>
      <w:r w:rsidR="00AB77EF" w:rsidRPr="008946B0">
        <w:rPr>
          <w:rFonts w:eastAsiaTheme="minorEastAsia" w:cs="Arial"/>
          <w:szCs w:val="20"/>
          <w:lang w:val="en-GB"/>
        </w:rPr>
        <w:t xml:space="preserve"> and RMR carriers</w:t>
      </w:r>
      <w:r w:rsidR="00CF6E1D" w:rsidRPr="008946B0">
        <w:rPr>
          <w:rFonts w:eastAsiaTheme="minorEastAsia" w:cs="Arial"/>
          <w:szCs w:val="20"/>
          <w:lang w:val="en-GB"/>
        </w:rPr>
        <w:t>;</w:t>
      </w:r>
    </w:p>
    <w:p w14:paraId="6B756D55" w14:textId="30C52413" w:rsidR="005A47F3" w:rsidRPr="008946B0" w:rsidRDefault="00AB77EF">
      <w:pPr>
        <w:numPr>
          <w:ilvl w:val="0"/>
          <w:numId w:val="8"/>
        </w:numPr>
        <w:spacing w:before="60" w:after="0" w:line="240" w:lineRule="auto"/>
        <w:ind w:left="340" w:hanging="340"/>
        <w:jc w:val="both"/>
        <w:rPr>
          <w:rFonts w:eastAsiaTheme="minorEastAsia" w:cs="Arial"/>
          <w:szCs w:val="20"/>
          <w:lang w:val="en-GB"/>
        </w:rPr>
      </w:pPr>
      <m:oMath>
        <m:r>
          <w:rPr>
            <w:rFonts w:ascii="Cambria Math" w:eastAsiaTheme="minorEastAsia" w:hAnsi="Cambria Math" w:cs="Arial"/>
            <w:szCs w:val="20"/>
            <w:lang w:val="en-GB"/>
          </w:rPr>
          <m:t>α</m:t>
        </m:r>
      </m:oMath>
      <w:r w:rsidRPr="008946B0">
        <w:rPr>
          <w:rFonts w:eastAsiaTheme="minorEastAsia" w:cs="Arial"/>
          <w:szCs w:val="20"/>
          <w:lang w:val="en-GB"/>
        </w:rPr>
        <w:t xml:space="preserve"> accounts for RMR BS out-of-band and spurious emissions</w:t>
      </w:r>
      <w:r w:rsidR="00CF6E1D" w:rsidRPr="008946B0">
        <w:rPr>
          <w:rFonts w:eastAsiaTheme="minorEastAsia" w:cs="Arial"/>
          <w:szCs w:val="20"/>
          <w:lang w:val="en-GB"/>
        </w:rPr>
        <w:t>;</w:t>
      </w:r>
    </w:p>
    <w:p w14:paraId="12F04141" w14:textId="1605AD1E" w:rsidR="005A47F3" w:rsidRPr="008946B0" w:rsidRDefault="00AB77EF">
      <w:pPr>
        <w:numPr>
          <w:ilvl w:val="0"/>
          <w:numId w:val="8"/>
        </w:numPr>
        <w:spacing w:before="60" w:after="0" w:line="240" w:lineRule="auto"/>
        <w:ind w:left="680" w:hanging="340"/>
        <w:jc w:val="both"/>
        <w:rPr>
          <w:rFonts w:eastAsiaTheme="minorEastAsia" w:cs="Arial"/>
          <w:szCs w:val="20"/>
          <w:lang w:val="en-GB"/>
        </w:rPr>
      </w:pPr>
      <m:oMath>
        <m:r>
          <w:rPr>
            <w:rFonts w:ascii="Cambria Math" w:eastAsiaTheme="minorEastAsia" w:hAnsi="Cambria Math" w:cs="Arial"/>
            <w:szCs w:val="20"/>
            <w:lang w:val="en-GB"/>
          </w:rPr>
          <m:t xml:space="preserve">α=2 </m:t>
        </m:r>
        <m:r>
          <m:rPr>
            <m:sty m:val="p"/>
          </m:rPr>
          <w:rPr>
            <w:rFonts w:ascii="Cambria Math" w:eastAsiaTheme="minorEastAsia" w:hAnsi="Cambria Math" w:cs="Arial"/>
            <w:szCs w:val="20"/>
            <w:lang w:val="en-GB"/>
          </w:rPr>
          <m:t>dB</m:t>
        </m:r>
      </m:oMath>
      <w:r w:rsidRPr="008946B0">
        <w:rPr>
          <w:rFonts w:eastAsiaTheme="minorEastAsia" w:cs="Arial"/>
          <w:szCs w:val="20"/>
          <w:lang w:val="en-GB"/>
        </w:rPr>
        <w:t xml:space="preserve"> for a baseline level of -49 dBm/5MHz below 915 MHz</w:t>
      </w:r>
      <w:r w:rsidR="00CF6E1D" w:rsidRPr="008946B0">
        <w:rPr>
          <w:rFonts w:eastAsiaTheme="minorEastAsia" w:cs="Arial"/>
          <w:szCs w:val="20"/>
          <w:lang w:val="en-GB"/>
        </w:rPr>
        <w:t>;</w:t>
      </w:r>
    </w:p>
    <w:p w14:paraId="26041955" w14:textId="72CF24EC" w:rsidR="005A47F3" w:rsidRPr="008946B0" w:rsidRDefault="00AB77EF">
      <w:pPr>
        <w:numPr>
          <w:ilvl w:val="0"/>
          <w:numId w:val="8"/>
        </w:numPr>
        <w:spacing w:before="60" w:after="0" w:line="240" w:lineRule="auto"/>
        <w:ind w:left="680" w:hanging="340"/>
        <w:jc w:val="both"/>
        <w:rPr>
          <w:rFonts w:eastAsiaTheme="minorEastAsia" w:cs="Arial"/>
          <w:szCs w:val="20"/>
          <w:lang w:val="en-GB"/>
        </w:rPr>
      </w:pPr>
      <m:oMath>
        <m:r>
          <w:rPr>
            <w:rFonts w:ascii="Cambria Math" w:eastAsiaTheme="minorEastAsia" w:hAnsi="Cambria Math" w:cs="Arial"/>
            <w:szCs w:val="20"/>
            <w:lang w:val="en-GB"/>
          </w:rPr>
          <m:t xml:space="preserve">α=1 </m:t>
        </m:r>
        <m:r>
          <m:rPr>
            <m:sty m:val="p"/>
          </m:rPr>
          <w:rPr>
            <w:rFonts w:ascii="Cambria Math" w:eastAsiaTheme="minorEastAsia" w:hAnsi="Cambria Math" w:cs="Arial"/>
            <w:szCs w:val="20"/>
            <w:lang w:val="en-GB"/>
          </w:rPr>
          <m:t>dB</m:t>
        </m:r>
      </m:oMath>
      <w:r w:rsidRPr="008946B0">
        <w:rPr>
          <w:rFonts w:eastAsiaTheme="minorEastAsia" w:cs="Arial"/>
          <w:szCs w:val="20"/>
          <w:lang w:val="en-GB"/>
        </w:rPr>
        <w:t xml:space="preserve"> for a baseline level of -85 dBm/100kHz below 915 MHz (Table 6.6.1.2.1-1 for self-protection*)</w:t>
      </w:r>
      <w:r w:rsidR="00CF6E1D" w:rsidRPr="008946B0">
        <w:rPr>
          <w:rFonts w:eastAsiaTheme="minorEastAsia" w:cs="Arial"/>
          <w:szCs w:val="20"/>
          <w:lang w:val="en-GB"/>
        </w:rPr>
        <w:t>;</w:t>
      </w:r>
    </w:p>
    <w:p w14:paraId="064C86A2" w14:textId="0FC86773" w:rsidR="005A47F3" w:rsidRPr="008946B0" w:rsidRDefault="00AB77EF">
      <w:pPr>
        <w:numPr>
          <w:ilvl w:val="0"/>
          <w:numId w:val="8"/>
        </w:numPr>
        <w:spacing w:before="60" w:after="0" w:line="240" w:lineRule="auto"/>
        <w:ind w:left="340" w:hanging="340"/>
        <w:jc w:val="both"/>
        <w:rPr>
          <w:rFonts w:eastAsiaTheme="minorEastAsia" w:cs="Arial"/>
          <w:szCs w:val="20"/>
          <w:lang w:val="en-GB"/>
        </w:rPr>
      </w:pPr>
      <m:oMath>
        <m:r>
          <w:rPr>
            <w:rFonts w:ascii="Cambria Math" w:eastAsiaTheme="minorEastAsia" w:hAnsi="Cambria Math" w:cs="Arial"/>
            <w:szCs w:val="20"/>
            <w:lang w:val="en-GB"/>
          </w:rPr>
          <m:t>PL</m:t>
        </m:r>
      </m:oMath>
      <w:r w:rsidRPr="008946B0">
        <w:rPr>
          <w:rFonts w:eastAsiaTheme="minorEastAsia" w:cs="Arial"/>
          <w:szCs w:val="20"/>
          <w:lang w:val="en-GB"/>
        </w:rPr>
        <w:t xml:space="preserve"> is the path loss specific to the propagation environment and ground occupancy</w:t>
      </w:r>
      <w:r w:rsidR="00CF6E1D" w:rsidRPr="008946B0">
        <w:rPr>
          <w:rFonts w:eastAsiaTheme="minorEastAsia" w:cs="Arial"/>
          <w:szCs w:val="20"/>
          <w:lang w:val="en-GB"/>
        </w:rPr>
        <w:t>;</w:t>
      </w:r>
    </w:p>
    <w:p w14:paraId="40D5A388" w14:textId="1635680B" w:rsidR="005A47F3" w:rsidRPr="008946B0" w:rsidRDefault="003D5261">
      <w:pPr>
        <w:numPr>
          <w:ilvl w:val="0"/>
          <w:numId w:val="8"/>
        </w:numPr>
        <w:spacing w:before="60" w:after="0" w:line="240" w:lineRule="auto"/>
        <w:ind w:left="340" w:hanging="340"/>
        <w:jc w:val="both"/>
        <w:rPr>
          <w:rFonts w:eastAsiaTheme="minorEastAsia" w:cs="Arial"/>
          <w:szCs w:val="20"/>
          <w:lang w:val="en-GB"/>
        </w:rPr>
      </w:pPr>
      <m:oMath>
        <m:sSub>
          <m:sSubPr>
            <m:ctrlPr>
              <w:rPr>
                <w:rFonts w:ascii="Cambria Math" w:eastAsiaTheme="minorEastAsia" w:hAnsi="Cambria Math" w:cs="Arial"/>
                <w:i/>
                <w:szCs w:val="20"/>
                <w:lang w:val="en-GB"/>
              </w:rPr>
            </m:ctrlPr>
          </m:sSubPr>
          <m:e>
            <m:r>
              <w:rPr>
                <w:rFonts w:ascii="Cambria Math" w:eastAsiaTheme="minorEastAsia" w:hAnsi="Cambria Math" w:cs="Arial"/>
                <w:szCs w:val="20"/>
                <w:lang w:val="en-GB"/>
              </w:rPr>
              <m:t>D</m:t>
            </m:r>
          </m:e>
          <m:sub>
            <m:r>
              <w:rPr>
                <w:rFonts w:ascii="Cambria Math" w:eastAsiaTheme="minorEastAsia" w:hAnsi="Cambria Math" w:cs="Arial"/>
                <w:szCs w:val="20"/>
                <w:lang w:val="en-GB"/>
              </w:rPr>
              <m:t>Rail</m:t>
            </m:r>
          </m:sub>
        </m:sSub>
      </m:oMath>
      <w:r w:rsidR="00AB77EF" w:rsidRPr="008946B0">
        <w:rPr>
          <w:rFonts w:eastAsiaTheme="minorEastAsia" w:cs="Arial"/>
          <w:szCs w:val="20"/>
          <w:lang w:val="en-GB"/>
        </w:rPr>
        <w:t xml:space="preserve"> is the RMR antenna discrimination, noting that having more directive antennas or adjusting tilt and azimuth may ease coexistence</w:t>
      </w:r>
      <w:r w:rsidR="00CF6E1D" w:rsidRPr="008946B0">
        <w:rPr>
          <w:rFonts w:eastAsiaTheme="minorEastAsia" w:cs="Arial"/>
          <w:szCs w:val="20"/>
          <w:lang w:val="en-GB"/>
        </w:rPr>
        <w:t>;</w:t>
      </w:r>
    </w:p>
    <w:p w14:paraId="5EEF7876" w14:textId="19E5297E" w:rsidR="005A47F3" w:rsidRPr="008946B0" w:rsidRDefault="003D5261">
      <w:pPr>
        <w:numPr>
          <w:ilvl w:val="0"/>
          <w:numId w:val="8"/>
        </w:numPr>
        <w:spacing w:before="60" w:after="0" w:line="240" w:lineRule="auto"/>
        <w:ind w:left="340" w:hanging="340"/>
        <w:jc w:val="both"/>
        <w:rPr>
          <w:rFonts w:eastAsiaTheme="minorEastAsia" w:cs="Arial"/>
          <w:szCs w:val="20"/>
          <w:lang w:val="en-GB"/>
        </w:rPr>
      </w:pPr>
      <m:oMath>
        <m:sSub>
          <m:sSubPr>
            <m:ctrlPr>
              <w:rPr>
                <w:rFonts w:ascii="Cambria Math" w:eastAsiaTheme="minorEastAsia" w:hAnsi="Cambria Math" w:cs="Arial"/>
                <w:i/>
                <w:szCs w:val="20"/>
                <w:lang w:val="en-GB"/>
              </w:rPr>
            </m:ctrlPr>
          </m:sSubPr>
          <m:e>
            <m:r>
              <w:rPr>
                <w:rFonts w:ascii="Cambria Math" w:eastAsiaTheme="minorEastAsia" w:hAnsi="Cambria Math" w:cs="Arial"/>
                <w:szCs w:val="20"/>
                <w:lang w:val="en-GB"/>
              </w:rPr>
              <m:t>D</m:t>
            </m:r>
          </m:e>
          <m:sub>
            <m:r>
              <w:rPr>
                <w:rFonts w:ascii="Cambria Math" w:eastAsiaTheme="minorEastAsia" w:hAnsi="Cambria Math" w:cs="Arial"/>
                <w:szCs w:val="20"/>
                <w:lang w:val="en-GB"/>
              </w:rPr>
              <m:t>MFCN</m:t>
            </m:r>
          </m:sub>
        </m:sSub>
      </m:oMath>
      <w:r w:rsidR="00AB77EF" w:rsidRPr="008946B0">
        <w:rPr>
          <w:rFonts w:eastAsiaTheme="minorEastAsia" w:cs="Arial"/>
          <w:szCs w:val="20"/>
          <w:lang w:val="en-GB"/>
        </w:rPr>
        <w:t xml:space="preserve"> is the </w:t>
      </w:r>
      <w:r w:rsidR="0035259A" w:rsidRPr="008946B0">
        <w:rPr>
          <w:rFonts w:eastAsiaTheme="minorEastAsia" w:cs="Arial"/>
          <w:szCs w:val="20"/>
          <w:lang w:val="en-GB"/>
        </w:rPr>
        <w:t>ECS</w:t>
      </w:r>
      <w:r w:rsidR="00153F83" w:rsidRPr="008946B0">
        <w:rPr>
          <w:rFonts w:eastAsiaTheme="minorEastAsia" w:cs="Arial"/>
          <w:szCs w:val="20"/>
          <w:lang w:val="en-GB"/>
        </w:rPr>
        <w:t xml:space="preserve"> BS</w:t>
      </w:r>
      <w:r w:rsidR="00AB77EF" w:rsidRPr="008946B0">
        <w:rPr>
          <w:rFonts w:eastAsiaTheme="minorEastAsia" w:cs="Arial"/>
          <w:szCs w:val="20"/>
          <w:lang w:val="en-GB"/>
        </w:rPr>
        <w:t xml:space="preserve"> antenna discrimination</w:t>
      </w:r>
      <w:r w:rsidR="00CF6E1D" w:rsidRPr="008946B0">
        <w:rPr>
          <w:rFonts w:eastAsiaTheme="minorEastAsia" w:cs="Arial"/>
          <w:szCs w:val="20"/>
          <w:lang w:val="en-GB"/>
        </w:rPr>
        <w:t>;</w:t>
      </w:r>
    </w:p>
    <w:p w14:paraId="23ED41D4" w14:textId="077582CB" w:rsidR="005A47F3" w:rsidRPr="008946B0" w:rsidRDefault="003D5261">
      <w:pPr>
        <w:numPr>
          <w:ilvl w:val="0"/>
          <w:numId w:val="8"/>
        </w:numPr>
        <w:spacing w:before="60" w:after="0" w:line="240" w:lineRule="auto"/>
        <w:ind w:left="340" w:hanging="340"/>
        <w:jc w:val="both"/>
        <w:rPr>
          <w:rFonts w:eastAsiaTheme="minorEastAsia" w:cs="Arial"/>
          <w:szCs w:val="20"/>
          <w:lang w:val="en-GB"/>
        </w:rPr>
      </w:pPr>
      <m:oMath>
        <m:sSub>
          <m:sSubPr>
            <m:ctrlPr>
              <w:rPr>
                <w:rFonts w:ascii="Cambria Math" w:eastAsiaTheme="minorEastAsia" w:hAnsi="Cambria Math" w:cs="Arial"/>
                <w:i/>
                <w:szCs w:val="20"/>
                <w:lang w:val="en-GB"/>
              </w:rPr>
            </m:ctrlPr>
          </m:sSubPr>
          <m:e>
            <m:r>
              <w:rPr>
                <w:rFonts w:ascii="Cambria Math" w:eastAsiaTheme="minorEastAsia" w:hAnsi="Cambria Math" w:cs="Arial"/>
                <w:szCs w:val="20"/>
                <w:lang w:val="en-GB"/>
              </w:rPr>
              <m:t>G</m:t>
            </m:r>
          </m:e>
          <m:sub>
            <m:r>
              <w:rPr>
                <w:rFonts w:ascii="Cambria Math" w:eastAsiaTheme="minorEastAsia" w:hAnsi="Cambria Math" w:cs="Arial"/>
                <w:szCs w:val="20"/>
                <w:lang w:val="en-GB"/>
              </w:rPr>
              <m:t>MFCN</m:t>
            </m:r>
          </m:sub>
        </m:sSub>
      </m:oMath>
      <w:r w:rsidR="00AB77EF" w:rsidRPr="008946B0">
        <w:rPr>
          <w:rFonts w:eastAsiaTheme="minorEastAsia" w:cs="Arial"/>
          <w:szCs w:val="20"/>
          <w:lang w:val="en-GB"/>
        </w:rPr>
        <w:t xml:space="preserve"> is the </w:t>
      </w:r>
      <w:r w:rsidR="00153F83" w:rsidRPr="008946B0">
        <w:rPr>
          <w:rFonts w:eastAsiaTheme="minorEastAsia" w:cs="Arial"/>
          <w:szCs w:val="20"/>
          <w:lang w:val="en-GB"/>
        </w:rPr>
        <w:t>ECS BS</w:t>
      </w:r>
      <w:r w:rsidR="00AB77EF" w:rsidRPr="008946B0">
        <w:rPr>
          <w:rFonts w:eastAsiaTheme="minorEastAsia" w:cs="Arial"/>
          <w:szCs w:val="20"/>
          <w:lang w:val="en-GB"/>
        </w:rPr>
        <w:t xml:space="preserve"> antenna gain (including feeder loss)</w:t>
      </w:r>
      <w:r w:rsidR="00CF6E1D" w:rsidRPr="008946B0">
        <w:rPr>
          <w:rFonts w:eastAsiaTheme="minorEastAsia" w:cs="Arial"/>
          <w:szCs w:val="20"/>
          <w:lang w:val="en-GB"/>
        </w:rPr>
        <w:t>.</w:t>
      </w:r>
    </w:p>
    <w:p w14:paraId="60031843" w14:textId="77777777" w:rsidR="005A47F3" w:rsidRPr="008946B0" w:rsidRDefault="00AB77EF">
      <w:pPr>
        <w:spacing w:before="240" w:after="60" w:line="240" w:lineRule="auto"/>
        <w:jc w:val="both"/>
        <w:rPr>
          <w:rFonts w:eastAsiaTheme="minorEastAsia" w:cs="Arial"/>
          <w:szCs w:val="20"/>
          <w:lang w:val="en-GB"/>
        </w:rPr>
      </w:pPr>
      <w:r w:rsidRPr="008946B0">
        <w:rPr>
          <w:rFonts w:eastAsiaTheme="minorEastAsia" w:cs="Arial"/>
          <w:szCs w:val="20"/>
          <w:lang w:val="en-GB"/>
        </w:rPr>
        <w:t>* in 3GPP TS 37.104: -98 dBm/100kHz + 13 dBi antenna gain</w:t>
      </w:r>
    </w:p>
    <w:p w14:paraId="71C6AFA8" w14:textId="54D3ED56" w:rsidR="005A47F3" w:rsidRPr="008946B0" w:rsidRDefault="00AB77EF">
      <w:pPr>
        <w:spacing w:before="240" w:after="60" w:line="240" w:lineRule="auto"/>
        <w:jc w:val="both"/>
        <w:rPr>
          <w:rFonts w:eastAsiaTheme="minorEastAsia" w:cs="Arial"/>
          <w:szCs w:val="20"/>
          <w:lang w:val="en-GB"/>
        </w:rPr>
      </w:pPr>
      <w:bookmarkStart w:id="119" w:name="_Toc17280830"/>
      <w:bookmarkStart w:id="120" w:name="_Toc18017153"/>
      <w:bookmarkEnd w:id="119"/>
      <w:bookmarkEnd w:id="120"/>
      <w:r w:rsidRPr="008946B0">
        <w:rPr>
          <w:rFonts w:eastAsiaTheme="minorEastAsia" w:cs="Arial"/>
          <w:szCs w:val="20"/>
          <w:lang w:val="en-GB"/>
        </w:rPr>
        <w:t xml:space="preserve">The RMR BS in-block e.i.r.p. may be increased while fulfilling this coexistence criterion </w:t>
      </w:r>
      <w:r w:rsidR="00CD20DC" w:rsidRPr="008946B0">
        <w:rPr>
          <w:rFonts w:eastAsiaTheme="minorEastAsia" w:cs="Arial"/>
          <w:szCs w:val="20"/>
          <w:lang w:val="en-GB"/>
        </w:rPr>
        <w:t>by means of</w:t>
      </w:r>
      <w:r w:rsidRPr="008946B0">
        <w:rPr>
          <w:rFonts w:eastAsiaTheme="minorEastAsia" w:cs="Arial"/>
          <w:szCs w:val="20"/>
          <w:lang w:val="en-GB"/>
        </w:rPr>
        <w:t xml:space="preserve"> adjustments of antenna directivity, azimuth, tilt, etc.</w:t>
      </w:r>
    </w:p>
    <w:p w14:paraId="6E4DC0C1" w14:textId="6293AED1" w:rsidR="005A47F3" w:rsidRPr="008946B0" w:rsidRDefault="00AB77EF">
      <w:pPr>
        <w:spacing w:before="240" w:after="60" w:line="240" w:lineRule="auto"/>
        <w:jc w:val="both"/>
        <w:rPr>
          <w:rFonts w:eastAsiaTheme="minorEastAsia" w:cs="Arial"/>
          <w:szCs w:val="20"/>
          <w:lang w:val="en-GB"/>
        </w:rPr>
      </w:pPr>
      <w:r w:rsidRPr="008946B0">
        <w:rPr>
          <w:rFonts w:eastAsiaTheme="minorEastAsia" w:cs="Arial"/>
          <w:szCs w:val="20"/>
          <w:lang w:val="en-GB"/>
        </w:rPr>
        <w:t xml:space="preserve">All the required elements related to the neighbouring </w:t>
      </w:r>
      <w:r w:rsidR="00153F83" w:rsidRPr="008946B0">
        <w:rPr>
          <w:rFonts w:eastAsiaTheme="minorEastAsia" w:cs="Arial"/>
          <w:szCs w:val="20"/>
          <w:lang w:val="en-GB"/>
        </w:rPr>
        <w:t>ECS</w:t>
      </w:r>
      <w:r w:rsidR="00AD08A6" w:rsidRPr="008946B0">
        <w:rPr>
          <w:rFonts w:eastAsiaTheme="minorEastAsia" w:cs="Arial"/>
          <w:szCs w:val="20"/>
          <w:lang w:val="en-GB"/>
        </w:rPr>
        <w:t xml:space="preserve"> and RMR</w:t>
      </w:r>
      <w:r w:rsidRPr="008946B0">
        <w:rPr>
          <w:rFonts w:eastAsiaTheme="minorEastAsia" w:cs="Arial"/>
          <w:szCs w:val="20"/>
          <w:lang w:val="en-GB"/>
        </w:rPr>
        <w:t xml:space="preserve"> sites (coordinates, antenna height, azimuth, tilt, antenna reference, frequency carrier, etc.) </w:t>
      </w:r>
      <w:r w:rsidR="00AD08A6" w:rsidRPr="008946B0">
        <w:rPr>
          <w:rFonts w:eastAsiaTheme="minorEastAsia" w:cs="Arial"/>
          <w:szCs w:val="20"/>
          <w:lang w:val="en-GB"/>
        </w:rPr>
        <w:t>c</w:t>
      </w:r>
      <w:r w:rsidRPr="008946B0">
        <w:rPr>
          <w:rFonts w:eastAsiaTheme="minorEastAsia" w:cs="Arial"/>
          <w:szCs w:val="20"/>
          <w:lang w:val="en-GB"/>
        </w:rPr>
        <w:t xml:space="preserve">ould be made available to </w:t>
      </w:r>
      <w:r w:rsidR="00AD08A6" w:rsidRPr="008946B0">
        <w:rPr>
          <w:rFonts w:eastAsiaTheme="minorEastAsia" w:cs="Arial"/>
          <w:szCs w:val="20"/>
          <w:lang w:val="en-GB"/>
        </w:rPr>
        <w:t xml:space="preserve">exchange between the ECS operator and </w:t>
      </w:r>
      <w:r w:rsidRPr="008946B0">
        <w:rPr>
          <w:rFonts w:eastAsiaTheme="minorEastAsia" w:cs="Arial"/>
          <w:szCs w:val="20"/>
          <w:lang w:val="en-GB"/>
        </w:rPr>
        <w:t xml:space="preserve">the infrastructure manager </w:t>
      </w:r>
      <w:r w:rsidR="00B62E9D" w:rsidRPr="008946B0">
        <w:rPr>
          <w:rFonts w:eastAsiaTheme="minorEastAsia" w:cs="Arial"/>
          <w:szCs w:val="20"/>
          <w:lang w:val="en-GB"/>
        </w:rPr>
        <w:t>as part of the national coordination procedure</w:t>
      </w:r>
      <w:r w:rsidRPr="008946B0">
        <w:rPr>
          <w:rFonts w:eastAsiaTheme="minorEastAsia" w:cs="Arial"/>
          <w:szCs w:val="20"/>
          <w:lang w:val="en-GB"/>
        </w:rPr>
        <w:t>.</w:t>
      </w:r>
    </w:p>
    <w:p w14:paraId="37E8AEB7" w14:textId="56A67000" w:rsidR="00AE7455" w:rsidRPr="008946B0" w:rsidRDefault="00AE7455" w:rsidP="00AE7455">
      <w:pPr>
        <w:spacing w:before="240" w:after="60" w:line="240" w:lineRule="auto"/>
        <w:jc w:val="both"/>
        <w:rPr>
          <w:rFonts w:eastAsiaTheme="minorEastAsia" w:cs="Arial"/>
          <w:szCs w:val="20"/>
          <w:lang w:val="en-GB"/>
        </w:rPr>
      </w:pPr>
      <w:r w:rsidRPr="008946B0">
        <w:rPr>
          <w:rFonts w:eastAsiaTheme="minorEastAsia" w:cs="Arial"/>
          <w:szCs w:val="20"/>
          <w:lang w:val="en-GB"/>
        </w:rPr>
        <w:t xml:space="preserve">To enable a better coexistence between RMR and ECS, ECC Report 229 </w:t>
      </w:r>
      <w:r w:rsidR="000C047A" w:rsidRPr="008946B0">
        <w:rPr>
          <w:rFonts w:eastAsiaTheme="minorEastAsia" w:cs="Arial"/>
          <w:szCs w:val="20"/>
          <w:lang w:val="en-GB"/>
        </w:rPr>
        <w:fldChar w:fldCharType="begin"/>
      </w:r>
      <w:r w:rsidR="000C047A" w:rsidRPr="008946B0">
        <w:rPr>
          <w:rFonts w:eastAsiaTheme="minorEastAsia" w:cs="Arial"/>
          <w:szCs w:val="20"/>
          <w:lang w:val="en-GB"/>
        </w:rPr>
        <w:instrText xml:space="preserve"> REF _Ref34310692 \r \h </w:instrText>
      </w:r>
      <w:r w:rsidR="000C047A" w:rsidRPr="008946B0">
        <w:rPr>
          <w:rFonts w:eastAsiaTheme="minorEastAsia" w:cs="Arial"/>
          <w:szCs w:val="20"/>
          <w:lang w:val="en-GB"/>
        </w:rPr>
      </w:r>
      <w:r w:rsidR="000C047A" w:rsidRPr="008946B0">
        <w:rPr>
          <w:rFonts w:eastAsiaTheme="minorEastAsia" w:cs="Arial"/>
          <w:szCs w:val="20"/>
          <w:lang w:val="en-GB"/>
        </w:rPr>
        <w:fldChar w:fldCharType="separate"/>
      </w:r>
      <w:r w:rsidR="00610DD8" w:rsidRPr="008946B0">
        <w:rPr>
          <w:rFonts w:eastAsiaTheme="minorEastAsia" w:cs="Arial"/>
          <w:szCs w:val="20"/>
          <w:lang w:val="en-GB"/>
        </w:rPr>
        <w:t>[28]</w:t>
      </w:r>
      <w:r w:rsidR="000C047A" w:rsidRPr="008946B0">
        <w:rPr>
          <w:rFonts w:eastAsiaTheme="minorEastAsia" w:cs="Arial"/>
          <w:szCs w:val="20"/>
          <w:lang w:val="en-GB"/>
        </w:rPr>
        <w:fldChar w:fldCharType="end"/>
      </w:r>
      <w:r w:rsidR="000C047A" w:rsidRPr="008946B0">
        <w:rPr>
          <w:rFonts w:eastAsiaTheme="minorEastAsia" w:cs="Arial"/>
          <w:szCs w:val="20"/>
          <w:lang w:val="en-GB"/>
        </w:rPr>
        <w:t xml:space="preserve"> </w:t>
      </w:r>
      <w:r w:rsidRPr="008946B0">
        <w:rPr>
          <w:rFonts w:eastAsiaTheme="minorEastAsia" w:cs="Arial"/>
          <w:szCs w:val="20"/>
          <w:lang w:val="en-GB"/>
        </w:rPr>
        <w:t xml:space="preserve">proposes a systematic approach based on a coordination/cooperation process and guidelines for the dialogue </w:t>
      </w:r>
      <w:r w:rsidR="0058330E" w:rsidRPr="008946B0">
        <w:rPr>
          <w:rFonts w:eastAsiaTheme="minorEastAsia" w:cs="Arial"/>
          <w:szCs w:val="20"/>
          <w:lang w:val="en-GB"/>
        </w:rPr>
        <w:t>between</w:t>
      </w:r>
      <w:r w:rsidRPr="008946B0">
        <w:rPr>
          <w:rFonts w:eastAsiaTheme="minorEastAsia" w:cs="Arial"/>
          <w:szCs w:val="20"/>
          <w:lang w:val="en-GB"/>
        </w:rPr>
        <w:t xml:space="preserve"> RMR and ECS licensees</w:t>
      </w:r>
      <w:r w:rsidR="0058330E" w:rsidRPr="008946B0">
        <w:rPr>
          <w:rFonts w:eastAsiaTheme="minorEastAsia" w:cs="Arial"/>
          <w:szCs w:val="20"/>
          <w:lang w:val="en-GB"/>
        </w:rPr>
        <w:t xml:space="preserve"> as well as with the spectrum administration</w:t>
      </w:r>
      <w:r w:rsidRPr="008946B0">
        <w:rPr>
          <w:rFonts w:eastAsiaTheme="minorEastAsia" w:cs="Arial"/>
          <w:szCs w:val="20"/>
          <w:lang w:val="en-GB"/>
        </w:rPr>
        <w:t>.</w:t>
      </w:r>
    </w:p>
    <w:p w14:paraId="5EEB51B6" w14:textId="77777777" w:rsidR="005A47F3" w:rsidRPr="008946B0" w:rsidRDefault="00AB77EF">
      <w:pPr>
        <w:pStyle w:val="Heading3"/>
        <w:rPr>
          <w:rFonts w:eastAsia="Calibri"/>
          <w:lang w:val="en-GB"/>
        </w:rPr>
      </w:pPr>
      <w:bookmarkStart w:id="121" w:name="_Toc38557990"/>
      <w:bookmarkStart w:id="122" w:name="_Toc40453135"/>
      <w:bookmarkStart w:id="123" w:name="_Toc40456594"/>
      <w:bookmarkStart w:id="124" w:name="_Toc42722832"/>
      <w:bookmarkStart w:id="125" w:name="_Toc42722833"/>
      <w:bookmarkEnd w:id="121"/>
      <w:bookmarkEnd w:id="122"/>
      <w:bookmarkEnd w:id="123"/>
      <w:bookmarkEnd w:id="124"/>
      <w:r w:rsidRPr="008946B0">
        <w:rPr>
          <w:rFonts w:eastAsia="Calibri"/>
          <w:lang w:val="en-GB"/>
        </w:rPr>
        <w:t>Impact of FRMCS cab-radio on ECS BS receiving above 880 MHz</w:t>
      </w:r>
      <w:bookmarkEnd w:id="125"/>
    </w:p>
    <w:p w14:paraId="04AA8FA8" w14:textId="355FD3D3" w:rsidR="005A47F3" w:rsidRPr="008946B0" w:rsidRDefault="00AB77EF" w:rsidP="00F65D13">
      <w:pPr>
        <w:spacing w:before="240" w:after="60" w:line="240" w:lineRule="auto"/>
        <w:jc w:val="both"/>
        <w:rPr>
          <w:rFonts w:eastAsia="Calibri"/>
          <w:szCs w:val="22"/>
          <w:lang w:val="en-GB"/>
        </w:rPr>
      </w:pPr>
      <w:r w:rsidRPr="008946B0">
        <w:rPr>
          <w:rFonts w:eastAsia="Calibri"/>
          <w:szCs w:val="22"/>
          <w:lang w:val="en-GB"/>
        </w:rPr>
        <w:t xml:space="preserve">As of today, GSM-R cab-radios can already transmit up to 39 dBm (output power) </w:t>
      </w:r>
      <w:r w:rsidRPr="008946B0">
        <w:rPr>
          <w:rFonts w:eastAsia="Calibri"/>
          <w:szCs w:val="22"/>
          <w:u w:val="single"/>
          <w:lang w:val="en-GB"/>
        </w:rPr>
        <w:t>without</w:t>
      </w:r>
      <w:r w:rsidRPr="008946B0">
        <w:rPr>
          <w:rFonts w:eastAsia="Calibri"/>
          <w:szCs w:val="22"/>
          <w:lang w:val="en-GB"/>
        </w:rPr>
        <w:t xml:space="preserve"> UL power control in 873-880 MHz. No harmful interference case has been reported so far on ECS BS receiving above 880 MHz</w:t>
      </w:r>
      <w:r w:rsidR="006E5FD1" w:rsidRPr="008946B0">
        <w:rPr>
          <w:rFonts w:eastAsia="Calibri"/>
          <w:szCs w:val="22"/>
          <w:lang w:val="en-GB"/>
        </w:rPr>
        <w:t xml:space="preserve">, noting that 12 to 19 GSM-R carriers may fall within the ACS domain of </w:t>
      </w:r>
      <w:r w:rsidR="00064477" w:rsidRPr="008946B0">
        <w:rPr>
          <w:rFonts w:eastAsia="Calibri"/>
          <w:szCs w:val="22"/>
          <w:lang w:val="en-GB"/>
        </w:rPr>
        <w:t xml:space="preserve">adjacent </w:t>
      </w:r>
      <w:r w:rsidR="004C0AAF" w:rsidRPr="008946B0">
        <w:rPr>
          <w:rFonts w:eastAsia="Calibri"/>
          <w:szCs w:val="22"/>
          <w:lang w:val="en-GB"/>
        </w:rPr>
        <w:t>ECS</w:t>
      </w:r>
      <w:r w:rsidR="006E5FD1" w:rsidRPr="008946B0">
        <w:rPr>
          <w:rFonts w:eastAsia="Calibri"/>
          <w:szCs w:val="22"/>
          <w:lang w:val="en-GB"/>
        </w:rPr>
        <w:t xml:space="preserve"> UMTS/LTE BS</w:t>
      </w:r>
      <w:r w:rsidRPr="008946B0">
        <w:rPr>
          <w:rFonts w:eastAsia="Calibri"/>
          <w:szCs w:val="22"/>
          <w:lang w:val="en-GB"/>
        </w:rPr>
        <w:t>.</w:t>
      </w:r>
    </w:p>
    <w:p w14:paraId="1E55E006" w14:textId="384E0FAF" w:rsidR="00247F98" w:rsidRPr="008946B0" w:rsidRDefault="00F54ACE" w:rsidP="00F65D13">
      <w:pPr>
        <w:pStyle w:val="ECCFiguregraphcentered"/>
        <w:spacing w:before="240" w:beforeAutospacing="0" w:after="60" w:afterAutospacing="0" w:line="240" w:lineRule="auto"/>
        <w:rPr>
          <w:rFonts w:cs="Arial"/>
          <w:sz w:val="20"/>
          <w:lang w:val="en-GB"/>
        </w:rPr>
      </w:pPr>
      <w:r w:rsidRPr="008946B0">
        <w:rPr>
          <w:rFonts w:cs="Arial"/>
          <w:noProof/>
          <w:sz w:val="20"/>
        </w:rPr>
        <w:drawing>
          <wp:inline distT="0" distB="0" distL="0" distR="0" wp14:anchorId="60D210FB" wp14:editId="19BB6FF4">
            <wp:extent cx="3617595" cy="3394420"/>
            <wp:effectExtent l="0" t="0" r="0" b="0"/>
            <wp:docPr id="1024" name="Imag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3590" cy="3437577"/>
                    </a:xfrm>
                    <a:prstGeom prst="rect">
                      <a:avLst/>
                    </a:prstGeom>
                    <a:noFill/>
                  </pic:spPr>
                </pic:pic>
              </a:graphicData>
            </a:graphic>
          </wp:inline>
        </w:drawing>
      </w:r>
    </w:p>
    <w:p w14:paraId="5F7FFE4D" w14:textId="683EFA91" w:rsidR="00247F98" w:rsidRPr="008946B0" w:rsidRDefault="00247F98" w:rsidP="00247F98">
      <w:pPr>
        <w:pStyle w:val="Caption"/>
        <w:rPr>
          <w:lang w:val="en-GB"/>
        </w:rPr>
      </w:pPr>
      <w:r w:rsidRPr="008946B0">
        <w:rPr>
          <w:lang w:val="en-GB"/>
        </w:rPr>
        <w:t xml:space="preserve">Figure </w:t>
      </w:r>
      <w:r w:rsidRPr="008946B0">
        <w:rPr>
          <w:lang w:val="en-GB"/>
        </w:rPr>
        <w:fldChar w:fldCharType="begin"/>
      </w:r>
      <w:r w:rsidRPr="008946B0">
        <w:rPr>
          <w:lang w:val="en-GB"/>
        </w:rPr>
        <w:instrText xml:space="preserve"> SEQ Figure \* ARABIC </w:instrText>
      </w:r>
      <w:r w:rsidRPr="008946B0">
        <w:rPr>
          <w:lang w:val="en-GB"/>
        </w:rPr>
        <w:fldChar w:fldCharType="separate"/>
      </w:r>
      <w:r w:rsidR="00CF6E1D" w:rsidRPr="008946B0">
        <w:rPr>
          <w:lang w:val="en-GB"/>
        </w:rPr>
        <w:t>3</w:t>
      </w:r>
      <w:r w:rsidRPr="008946B0">
        <w:rPr>
          <w:lang w:val="en-GB"/>
        </w:rPr>
        <w:fldChar w:fldCharType="end"/>
      </w:r>
      <w:r w:rsidRPr="008946B0">
        <w:rPr>
          <w:lang w:val="en-GB"/>
        </w:rPr>
        <w:t>: Scenarios where GSM-R falls within the ACS domain</w:t>
      </w:r>
    </w:p>
    <w:p w14:paraId="42852086" w14:textId="21F6ABF7" w:rsidR="007803A5" w:rsidRPr="008946B0" w:rsidRDefault="00EC4E03" w:rsidP="007803A5">
      <w:pPr>
        <w:spacing w:before="240" w:after="60" w:line="240" w:lineRule="auto"/>
        <w:jc w:val="both"/>
        <w:rPr>
          <w:lang w:val="en-GB"/>
        </w:rPr>
      </w:pPr>
      <w:r w:rsidRPr="008946B0">
        <w:rPr>
          <w:lang w:val="en-GB"/>
        </w:rPr>
        <w:t xml:space="preserve">According to ECC Report 318, </w:t>
      </w:r>
      <w:r w:rsidR="007803A5" w:rsidRPr="008946B0">
        <w:rPr>
          <w:lang w:val="en-GB"/>
        </w:rPr>
        <w:t xml:space="preserve">FRMCS high-power cab-radios transmitting up to 31 dBm (output power) </w:t>
      </w:r>
      <w:r w:rsidR="003B4ADA" w:rsidRPr="008946B0">
        <w:rPr>
          <w:lang w:val="en-GB"/>
        </w:rPr>
        <w:t xml:space="preserve">can be allowed in 874.4-880 MHz provided that </w:t>
      </w:r>
      <w:r w:rsidR="007803A5" w:rsidRPr="008946B0">
        <w:rPr>
          <w:lang w:val="en-GB"/>
        </w:rPr>
        <w:t xml:space="preserve">UL power control </w:t>
      </w:r>
      <w:r w:rsidR="003B4ADA" w:rsidRPr="008946B0">
        <w:rPr>
          <w:lang w:val="en-GB"/>
        </w:rPr>
        <w:t xml:space="preserve">is </w:t>
      </w:r>
      <w:r w:rsidR="003977DD" w:rsidRPr="008946B0">
        <w:rPr>
          <w:lang w:val="en-GB"/>
        </w:rPr>
        <w:t>activated</w:t>
      </w:r>
      <w:r w:rsidR="003B4ADA" w:rsidRPr="008946B0">
        <w:rPr>
          <w:lang w:val="en-GB"/>
        </w:rPr>
        <w:t>,</w:t>
      </w:r>
      <w:r w:rsidR="003977DD" w:rsidRPr="008946B0">
        <w:rPr>
          <w:lang w:val="en-GB"/>
        </w:rPr>
        <w:t xml:space="preserve"> </w:t>
      </w:r>
      <w:r w:rsidR="007803A5" w:rsidRPr="008946B0">
        <w:rPr>
          <w:lang w:val="en-GB"/>
        </w:rPr>
        <w:t xml:space="preserve">and </w:t>
      </w:r>
      <w:r w:rsidR="002E2124" w:rsidRPr="008946B0">
        <w:rPr>
          <w:lang w:val="en-GB"/>
        </w:rPr>
        <w:t xml:space="preserve">that </w:t>
      </w:r>
      <w:r w:rsidR="003B4ADA" w:rsidRPr="008946B0">
        <w:rPr>
          <w:lang w:val="en-GB"/>
        </w:rPr>
        <w:t xml:space="preserve">FRMCS cab-radios are </w:t>
      </w:r>
      <w:r w:rsidR="00B42293" w:rsidRPr="008946B0">
        <w:rPr>
          <w:lang w:val="en-GB"/>
        </w:rPr>
        <w:t xml:space="preserve">compliant with </w:t>
      </w:r>
      <w:r w:rsidR="007803A5" w:rsidRPr="008946B0">
        <w:rPr>
          <w:lang w:val="en-GB"/>
        </w:rPr>
        <w:t>an ACLR of 37 dB</w:t>
      </w:r>
      <w:r w:rsidR="00B42293" w:rsidRPr="008946B0">
        <w:rPr>
          <w:lang w:val="en-GB"/>
        </w:rPr>
        <w:t xml:space="preserve"> and 3GPP </w:t>
      </w:r>
      <w:r w:rsidR="003977DD" w:rsidRPr="008946B0">
        <w:rPr>
          <w:lang w:val="en-GB"/>
        </w:rPr>
        <w:t xml:space="preserve">LTE/NR </w:t>
      </w:r>
      <w:r w:rsidR="00B42293" w:rsidRPr="008946B0">
        <w:rPr>
          <w:lang w:val="en-GB"/>
        </w:rPr>
        <w:t>spectrum emission mask</w:t>
      </w:r>
      <w:r w:rsidR="007803A5" w:rsidRPr="008946B0">
        <w:rPr>
          <w:lang w:val="en-GB"/>
        </w:rPr>
        <w:t>.</w:t>
      </w:r>
    </w:p>
    <w:p w14:paraId="7935E1BB" w14:textId="77777777" w:rsidR="005A47F3" w:rsidRPr="008946B0" w:rsidRDefault="00AB77EF">
      <w:pPr>
        <w:pStyle w:val="Heading3"/>
        <w:rPr>
          <w:rFonts w:eastAsia="Calibri"/>
          <w:lang w:val="en-GB"/>
        </w:rPr>
      </w:pPr>
      <w:bookmarkStart w:id="126" w:name="_Toc38557992"/>
      <w:bookmarkStart w:id="127" w:name="_Toc40453137"/>
      <w:bookmarkStart w:id="128" w:name="_Toc40456596"/>
      <w:bookmarkStart w:id="129" w:name="_Toc42722834"/>
      <w:bookmarkStart w:id="130" w:name="_Toc38557993"/>
      <w:bookmarkStart w:id="131" w:name="_Toc40453138"/>
      <w:bookmarkStart w:id="132" w:name="_Toc40456597"/>
      <w:bookmarkStart w:id="133" w:name="_Toc42722835"/>
      <w:bookmarkStart w:id="134" w:name="_Toc38557994"/>
      <w:bookmarkStart w:id="135" w:name="_Toc40453139"/>
      <w:bookmarkStart w:id="136" w:name="_Toc40456598"/>
      <w:bookmarkStart w:id="137" w:name="_Toc42722836"/>
      <w:bookmarkStart w:id="138" w:name="_Toc42722837"/>
      <w:bookmarkEnd w:id="126"/>
      <w:bookmarkEnd w:id="127"/>
      <w:bookmarkEnd w:id="128"/>
      <w:bookmarkEnd w:id="129"/>
      <w:bookmarkEnd w:id="130"/>
      <w:bookmarkEnd w:id="131"/>
      <w:bookmarkEnd w:id="132"/>
      <w:bookmarkEnd w:id="133"/>
      <w:bookmarkEnd w:id="134"/>
      <w:bookmarkEnd w:id="135"/>
      <w:bookmarkEnd w:id="136"/>
      <w:bookmarkEnd w:id="137"/>
      <w:r w:rsidRPr="008946B0">
        <w:rPr>
          <w:rFonts w:eastAsia="Calibri"/>
          <w:lang w:val="en-GB"/>
        </w:rPr>
        <w:t>Impact of ECS BS above 925 MHz on FRMCS cab-radio</w:t>
      </w:r>
      <w:bookmarkEnd w:id="138"/>
    </w:p>
    <w:p w14:paraId="2321A9BD" w14:textId="6BA9820E" w:rsidR="005A47F3" w:rsidRPr="008946B0" w:rsidRDefault="00AB77EF">
      <w:pPr>
        <w:spacing w:before="240" w:after="60" w:line="240" w:lineRule="auto"/>
        <w:jc w:val="both"/>
        <w:rPr>
          <w:rFonts w:eastAsia="Calibri"/>
          <w:szCs w:val="22"/>
          <w:lang w:val="en-GB"/>
        </w:rPr>
      </w:pPr>
      <w:r w:rsidRPr="008946B0">
        <w:rPr>
          <w:rFonts w:eastAsia="Calibri"/>
          <w:szCs w:val="22"/>
          <w:lang w:val="en-GB"/>
        </w:rPr>
        <w:t>ETSI TS 102 933-1 v1.3.1</w:t>
      </w:r>
      <w:r w:rsidR="00D04729" w:rsidRPr="008946B0">
        <w:rPr>
          <w:rFonts w:eastAsia="Calibri"/>
          <w:szCs w:val="22"/>
          <w:lang w:val="en-GB"/>
        </w:rPr>
        <w:t xml:space="preserve"> </w:t>
      </w:r>
      <w:r w:rsidR="00D04729" w:rsidRPr="008946B0">
        <w:rPr>
          <w:rFonts w:eastAsia="Calibri"/>
          <w:szCs w:val="22"/>
          <w:lang w:val="en-GB"/>
        </w:rPr>
        <w:fldChar w:fldCharType="begin"/>
      </w:r>
      <w:r w:rsidR="00D04729" w:rsidRPr="008946B0">
        <w:rPr>
          <w:rFonts w:eastAsia="Calibri"/>
          <w:szCs w:val="22"/>
          <w:lang w:val="en-GB"/>
        </w:rPr>
        <w:instrText xml:space="preserve"> REF _Ref34310084 \r \h </w:instrText>
      </w:r>
      <w:r w:rsidR="00D04729" w:rsidRPr="008946B0">
        <w:rPr>
          <w:rFonts w:eastAsia="Calibri"/>
          <w:szCs w:val="22"/>
          <w:lang w:val="en-GB"/>
        </w:rPr>
      </w:r>
      <w:r w:rsidR="00D04729" w:rsidRPr="008946B0">
        <w:rPr>
          <w:rFonts w:eastAsia="Calibri"/>
          <w:szCs w:val="22"/>
          <w:lang w:val="en-GB"/>
        </w:rPr>
        <w:fldChar w:fldCharType="separate"/>
      </w:r>
      <w:r w:rsidR="00610DD8" w:rsidRPr="008946B0">
        <w:rPr>
          <w:rFonts w:eastAsia="Calibri"/>
          <w:szCs w:val="22"/>
          <w:lang w:val="en-GB"/>
        </w:rPr>
        <w:t>[31]</w:t>
      </w:r>
      <w:r w:rsidR="00D04729" w:rsidRPr="008946B0">
        <w:rPr>
          <w:rFonts w:eastAsia="Calibri"/>
          <w:szCs w:val="22"/>
          <w:lang w:val="en-GB"/>
        </w:rPr>
        <w:fldChar w:fldCharType="end"/>
      </w:r>
      <w:r w:rsidRPr="008946B0">
        <w:rPr>
          <w:rFonts w:eastAsia="Calibri"/>
          <w:szCs w:val="22"/>
          <w:lang w:val="en-GB"/>
        </w:rPr>
        <w:t xml:space="preserve"> onwards has specified an enhanced blocking / intermodulation threshold for GSM-R cab-radios </w:t>
      </w:r>
      <w:r w:rsidR="00261C53" w:rsidRPr="008946B0">
        <w:rPr>
          <w:rFonts w:eastAsia="Calibri"/>
          <w:szCs w:val="22"/>
          <w:lang w:val="en-GB"/>
        </w:rPr>
        <w:t>in a way</w:t>
      </w:r>
      <w:r w:rsidRPr="008946B0">
        <w:rPr>
          <w:rFonts w:eastAsia="Calibri"/>
          <w:szCs w:val="22"/>
          <w:lang w:val="en-GB"/>
        </w:rPr>
        <w:t xml:space="preserve"> that they are able to cope with ECS emissions above 925 MHz. This TS has been derived from UIC’s report O-8736, which documents field measurements of emissions from UMTS BS and </w:t>
      </w:r>
      <w:r w:rsidR="00267D1B" w:rsidRPr="008946B0">
        <w:rPr>
          <w:rFonts w:eastAsia="Calibri"/>
          <w:szCs w:val="22"/>
          <w:lang w:val="en-GB"/>
        </w:rPr>
        <w:t>predicts</w:t>
      </w:r>
      <w:r w:rsidRPr="008946B0">
        <w:rPr>
          <w:rFonts w:eastAsia="Calibri"/>
          <w:szCs w:val="22"/>
          <w:lang w:val="en-GB"/>
        </w:rPr>
        <w:t xml:space="preserve"> a potential increase of ECS BS e.i.r.p. in the long term when moving to 10 MHz channels (as described in Report ITU-R M.2292-0</w:t>
      </w:r>
      <w:r w:rsidR="00D04729" w:rsidRPr="008946B0">
        <w:rPr>
          <w:rFonts w:eastAsia="Calibri"/>
          <w:szCs w:val="22"/>
          <w:lang w:val="en-GB"/>
        </w:rPr>
        <w:t>,</w:t>
      </w:r>
      <w:r w:rsidRPr="008946B0">
        <w:rPr>
          <w:rFonts w:eastAsia="Calibri"/>
          <w:szCs w:val="22"/>
          <w:lang w:val="en-GB"/>
        </w:rPr>
        <w:t xml:space="preserve"> Table 3).</w:t>
      </w:r>
    </w:p>
    <w:p w14:paraId="5D79733A" w14:textId="5447AA0A"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The requirements </w:t>
      </w:r>
      <w:r w:rsidR="00261C53" w:rsidRPr="008946B0">
        <w:rPr>
          <w:rFonts w:eastAsia="Calibri"/>
          <w:szCs w:val="22"/>
          <w:lang w:val="en-GB"/>
        </w:rPr>
        <w:t xml:space="preserve">given </w:t>
      </w:r>
      <w:r w:rsidRPr="008946B0">
        <w:rPr>
          <w:rFonts w:eastAsia="Calibri"/>
          <w:szCs w:val="22"/>
          <w:lang w:val="en-GB"/>
        </w:rPr>
        <w:t xml:space="preserve">in ETSI TS 102 933-1 </w:t>
      </w:r>
      <w:r w:rsidR="00A53D57" w:rsidRPr="008946B0">
        <w:rPr>
          <w:rFonts w:eastAsia="Calibri"/>
          <w:szCs w:val="22"/>
          <w:lang w:val="en-GB"/>
        </w:rPr>
        <w:t>are considered to</w:t>
      </w:r>
      <w:r w:rsidRPr="008946B0">
        <w:rPr>
          <w:rFonts w:eastAsia="Calibri"/>
          <w:szCs w:val="22"/>
          <w:lang w:val="en-GB"/>
        </w:rPr>
        <w:t xml:space="preserve"> be </w:t>
      </w:r>
      <w:r w:rsidR="00261C53" w:rsidRPr="008946B0">
        <w:rPr>
          <w:rFonts w:eastAsia="Calibri"/>
          <w:szCs w:val="22"/>
          <w:lang w:val="en-GB"/>
        </w:rPr>
        <w:t>also</w:t>
      </w:r>
      <w:r w:rsidRPr="008946B0">
        <w:rPr>
          <w:rFonts w:eastAsia="Calibri"/>
          <w:szCs w:val="22"/>
          <w:lang w:val="en-GB"/>
        </w:rPr>
        <w:t xml:space="preserve"> appli</w:t>
      </w:r>
      <w:r w:rsidR="00A53D57" w:rsidRPr="008946B0">
        <w:rPr>
          <w:rFonts w:eastAsia="Calibri"/>
          <w:szCs w:val="22"/>
          <w:lang w:val="en-GB"/>
        </w:rPr>
        <w:t>cable</w:t>
      </w:r>
      <w:r w:rsidRPr="008946B0">
        <w:rPr>
          <w:rFonts w:eastAsia="Calibri"/>
          <w:szCs w:val="22"/>
          <w:lang w:val="en-GB"/>
        </w:rPr>
        <w:t xml:space="preserve"> to FRMCS cab-radios</w:t>
      </w:r>
      <w:r w:rsidR="004C1903" w:rsidRPr="008946B0">
        <w:rPr>
          <w:lang w:val="en-GB"/>
        </w:rPr>
        <w:t>, except the sensitivity level which needs to be specified by ETSI/3GPP,</w:t>
      </w:r>
      <w:r w:rsidRPr="008946B0">
        <w:rPr>
          <w:rFonts w:eastAsia="Calibri"/>
          <w:szCs w:val="22"/>
          <w:lang w:val="en-GB"/>
        </w:rPr>
        <w:t xml:space="preserve"> to ensure their robustness against </w:t>
      </w:r>
      <w:r w:rsidR="004B7E60" w:rsidRPr="008946B0">
        <w:rPr>
          <w:rFonts w:eastAsia="Calibri"/>
          <w:szCs w:val="22"/>
          <w:lang w:val="en-GB"/>
        </w:rPr>
        <w:t xml:space="preserve">emissions from </w:t>
      </w:r>
      <w:r w:rsidRPr="008946B0">
        <w:rPr>
          <w:rFonts w:eastAsia="Calibri"/>
          <w:szCs w:val="22"/>
          <w:lang w:val="en-GB"/>
        </w:rPr>
        <w:t xml:space="preserve">ECS BS </w:t>
      </w:r>
      <w:r w:rsidR="004B7E60" w:rsidRPr="008946B0">
        <w:rPr>
          <w:rFonts w:eastAsia="Calibri"/>
          <w:szCs w:val="22"/>
          <w:lang w:val="en-GB"/>
        </w:rPr>
        <w:t>transmitting</w:t>
      </w:r>
      <w:r w:rsidRPr="008946B0">
        <w:rPr>
          <w:rFonts w:eastAsia="Calibri"/>
          <w:szCs w:val="22"/>
          <w:lang w:val="en-GB"/>
        </w:rPr>
        <w:t xml:space="preserve"> above 925 MHz.</w:t>
      </w:r>
      <w:r w:rsidR="00261C53" w:rsidRPr="008946B0">
        <w:rPr>
          <w:rFonts w:eastAsia="Calibri"/>
          <w:szCs w:val="22"/>
          <w:lang w:val="en-GB"/>
        </w:rPr>
        <w:t xml:space="preserve"> They should be considered by the relevant ETSI bodies.</w:t>
      </w:r>
    </w:p>
    <w:p w14:paraId="670EDDB5" w14:textId="16231874" w:rsidR="00897020" w:rsidRPr="008946B0" w:rsidRDefault="00897020" w:rsidP="00897020">
      <w:pPr>
        <w:spacing w:before="240" w:after="60" w:line="240" w:lineRule="auto"/>
        <w:jc w:val="both"/>
        <w:rPr>
          <w:rFonts w:eastAsiaTheme="minorEastAsia" w:cs="Arial"/>
          <w:szCs w:val="20"/>
          <w:lang w:val="en-GB"/>
        </w:rPr>
      </w:pPr>
      <w:r w:rsidRPr="008946B0">
        <w:rPr>
          <w:rFonts w:eastAsiaTheme="minorEastAsia" w:cs="Arial"/>
          <w:szCs w:val="20"/>
          <w:lang w:val="en-GB"/>
        </w:rPr>
        <w:t xml:space="preserve">ECC Report 313 shows that, when in close vicinity to rail tracks, ECS BS unwanted emissions may cause interference to FRMCS cab-radio. In practice, to solve these cases, </w:t>
      </w:r>
      <w:r w:rsidR="0061467D" w:rsidRPr="008946B0">
        <w:rPr>
          <w:rFonts w:eastAsiaTheme="minorEastAsia" w:cs="Arial"/>
          <w:szCs w:val="20"/>
          <w:lang w:val="en-GB"/>
        </w:rPr>
        <w:t xml:space="preserve">technical and/or operational </w:t>
      </w:r>
      <w:r w:rsidRPr="008946B0">
        <w:rPr>
          <w:rFonts w:eastAsiaTheme="minorEastAsia" w:cs="Arial"/>
          <w:szCs w:val="20"/>
          <w:lang w:val="en-GB"/>
        </w:rPr>
        <w:t xml:space="preserve">measures could be </w:t>
      </w:r>
      <w:r w:rsidR="00C4235F" w:rsidRPr="008946B0">
        <w:rPr>
          <w:rFonts w:eastAsiaTheme="minorEastAsia" w:cs="Arial"/>
          <w:szCs w:val="20"/>
          <w:lang w:val="en-GB"/>
        </w:rPr>
        <w:t>taken</w:t>
      </w:r>
      <w:r w:rsidRPr="008946B0">
        <w:rPr>
          <w:rFonts w:eastAsiaTheme="minorEastAsia" w:cs="Arial"/>
          <w:szCs w:val="20"/>
          <w:lang w:val="en-GB"/>
        </w:rPr>
        <w:t xml:space="preserve"> to ensure the coexistence of both ECS and FRMCS in parallel.</w:t>
      </w:r>
    </w:p>
    <w:p w14:paraId="1746616C" w14:textId="77777777" w:rsidR="005A47F3" w:rsidRPr="008946B0" w:rsidRDefault="00AB77EF">
      <w:pPr>
        <w:pStyle w:val="Heading3"/>
        <w:rPr>
          <w:rFonts w:eastAsia="Calibri"/>
          <w:lang w:val="en-GB"/>
        </w:rPr>
      </w:pPr>
      <w:bookmarkStart w:id="139" w:name="_Toc42722838"/>
      <w:r w:rsidRPr="008946B0">
        <w:rPr>
          <w:rFonts w:eastAsia="Calibri"/>
          <w:lang w:val="en-GB"/>
        </w:rPr>
        <w:t>Impact of aerial UE in 880-915 MHz on RMR</w:t>
      </w:r>
      <w:bookmarkEnd w:id="139"/>
    </w:p>
    <w:p w14:paraId="02142E8D" w14:textId="3F6E6DE9" w:rsidR="005A47F3" w:rsidRPr="008946B0" w:rsidRDefault="00AB77EF">
      <w:pPr>
        <w:spacing w:before="240" w:after="60" w:line="240" w:lineRule="auto"/>
        <w:jc w:val="both"/>
        <w:rPr>
          <w:rFonts w:eastAsia="Calibri"/>
          <w:szCs w:val="22"/>
          <w:lang w:val="en-GB"/>
        </w:rPr>
      </w:pPr>
      <w:r w:rsidRPr="008946B0">
        <w:rPr>
          <w:rFonts w:eastAsia="Calibri"/>
          <w:szCs w:val="22"/>
          <w:lang w:val="en-GB"/>
        </w:rPr>
        <w:t>This section assesses whether aerial UE in the uplink band 880-915 MHz may interfere RMR cab-radios receiving in 919.4-925 MHz through blocking effects and unwanted emissions.</w:t>
      </w:r>
    </w:p>
    <w:p w14:paraId="5B4A812E" w14:textId="1F1410F6"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ECC Report </w:t>
      </w:r>
      <w:r w:rsidR="00293DC9" w:rsidRPr="008946B0">
        <w:rPr>
          <w:rFonts w:eastAsia="Calibri"/>
          <w:szCs w:val="22"/>
          <w:lang w:val="en-GB"/>
        </w:rPr>
        <w:t>313</w:t>
      </w:r>
      <w:r w:rsidRPr="008946B0">
        <w:rPr>
          <w:rFonts w:eastAsia="Calibri"/>
          <w:szCs w:val="22"/>
          <w:lang w:val="en-GB"/>
        </w:rPr>
        <w:t xml:space="preserve"> determined the need to improve the receiver characteristics of the FRMCS cab-radio, compared to 3GPP specification for band #8, so that it can cope with aerial UE using ECS below 915 MHz. Reversely, the requirements calculated are already fulfilled by GSM-R cab-radios specified in ETSI TS 102 933-1.</w:t>
      </w:r>
    </w:p>
    <w:p w14:paraId="3750B2ED" w14:textId="2CD7EB44" w:rsidR="00031C83" w:rsidRPr="008946B0" w:rsidRDefault="00E27162">
      <w:pPr>
        <w:spacing w:before="240" w:after="60" w:line="240" w:lineRule="auto"/>
        <w:jc w:val="both"/>
        <w:rPr>
          <w:rFonts w:eastAsia="Calibri"/>
          <w:szCs w:val="22"/>
          <w:lang w:val="en-GB"/>
        </w:rPr>
      </w:pPr>
      <w:r w:rsidRPr="008946B0">
        <w:rPr>
          <w:rFonts w:eastAsia="Calibri"/>
          <w:szCs w:val="22"/>
          <w:lang w:val="en-GB"/>
        </w:rPr>
        <w:t>A</w:t>
      </w:r>
      <w:r w:rsidR="00843467" w:rsidRPr="008946B0">
        <w:rPr>
          <w:rFonts w:eastAsia="Calibri"/>
          <w:szCs w:val="22"/>
          <w:lang w:val="en-GB"/>
        </w:rPr>
        <w:t>ccording to ECC Report 309, a</w:t>
      </w:r>
      <w:r w:rsidR="00AB77EF" w:rsidRPr="008946B0">
        <w:rPr>
          <w:rFonts w:eastAsia="Calibri"/>
          <w:szCs w:val="22"/>
          <w:lang w:val="en-GB"/>
        </w:rPr>
        <w:t xml:space="preserve">erial UE unwanted emissions will not cause harmful interference to RMR cab-radio, </w:t>
      </w:r>
      <w:r w:rsidR="00DA38D5" w:rsidRPr="008946B0">
        <w:rPr>
          <w:rFonts w:eastAsia="Calibri"/>
          <w:szCs w:val="22"/>
          <w:lang w:val="en-GB"/>
        </w:rPr>
        <w:t>due</w:t>
      </w:r>
      <w:r w:rsidR="00AB77EF" w:rsidRPr="008946B0">
        <w:rPr>
          <w:rFonts w:eastAsia="Calibri"/>
          <w:szCs w:val="22"/>
          <w:lang w:val="en-GB"/>
        </w:rPr>
        <w:t xml:space="preserve"> to the additional filtering provided above 915 MHz by the duplexer of the aerial UE.</w:t>
      </w:r>
    </w:p>
    <w:p w14:paraId="711D77A4" w14:textId="77777777" w:rsidR="005A47F3" w:rsidRPr="008946B0" w:rsidRDefault="00AB77EF">
      <w:pPr>
        <w:pStyle w:val="Heading2"/>
        <w:rPr>
          <w:rFonts w:eastAsia="Calibri"/>
          <w:lang w:val="en-GB"/>
        </w:rPr>
      </w:pPr>
      <w:bookmarkStart w:id="140" w:name="_Toc31237096"/>
      <w:bookmarkStart w:id="141" w:name="_Toc31294004"/>
      <w:bookmarkStart w:id="142" w:name="_Toc31719421"/>
      <w:bookmarkStart w:id="143" w:name="_Toc42722839"/>
      <w:bookmarkEnd w:id="140"/>
      <w:bookmarkEnd w:id="141"/>
      <w:bookmarkEnd w:id="142"/>
      <w:r w:rsidRPr="008946B0">
        <w:rPr>
          <w:rFonts w:eastAsia="Calibri"/>
          <w:lang w:val="en-GB"/>
        </w:rPr>
        <w:t>Coexistence with SRD</w:t>
      </w:r>
      <w:bookmarkEnd w:id="143"/>
    </w:p>
    <w:p w14:paraId="1283B469" w14:textId="77777777" w:rsidR="005A47F3" w:rsidRPr="008946B0" w:rsidRDefault="00AB77EF">
      <w:pPr>
        <w:pStyle w:val="Heading3"/>
        <w:rPr>
          <w:rFonts w:eastAsia="Calibri"/>
          <w:lang w:val="en-GB"/>
        </w:rPr>
      </w:pPr>
      <w:bookmarkStart w:id="144" w:name="_Toc42722840"/>
      <w:r w:rsidRPr="008946B0">
        <w:rPr>
          <w:rFonts w:eastAsia="Calibri"/>
          <w:lang w:val="en-GB"/>
        </w:rPr>
        <w:t>Frequency use</w:t>
      </w:r>
      <w:bookmarkEnd w:id="144"/>
    </w:p>
    <w:p w14:paraId="61ACCDED" w14:textId="6472C88A" w:rsidR="005A47F3" w:rsidRPr="008946B0" w:rsidRDefault="00AB77EF">
      <w:pPr>
        <w:spacing w:before="240" w:after="60" w:line="240" w:lineRule="auto"/>
        <w:jc w:val="both"/>
        <w:rPr>
          <w:lang w:val="en-GB"/>
        </w:rPr>
      </w:pPr>
      <w:r w:rsidRPr="008946B0">
        <w:rPr>
          <w:noProof/>
          <w:lang w:val="fr-FR" w:eastAsia="fr-FR"/>
        </w:rPr>
        <w:drawing>
          <wp:inline distT="0" distB="0" distL="0" distR="0" wp14:anchorId="204C852B" wp14:editId="329D8BC1">
            <wp:extent cx="6054725" cy="61150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055200" cy="612000"/>
                    </a:xfrm>
                    <a:prstGeom prst="rect">
                      <a:avLst/>
                    </a:prstGeom>
                    <a:noFill/>
                  </pic:spPr>
                </pic:pic>
              </a:graphicData>
            </a:graphic>
          </wp:inline>
        </w:drawing>
      </w:r>
    </w:p>
    <w:p w14:paraId="3D64D643" w14:textId="318D9C50" w:rsidR="005A47F3" w:rsidRPr="008946B0" w:rsidRDefault="00AB77EF">
      <w:pPr>
        <w:pStyle w:val="Caption"/>
        <w:rPr>
          <w:lang w:val="en-GB"/>
        </w:rPr>
      </w:pPr>
      <w:r w:rsidRPr="008946B0">
        <w:rPr>
          <w:lang w:val="en-GB"/>
        </w:rPr>
        <w:t xml:space="preserve">Figure </w:t>
      </w:r>
      <w:r w:rsidRPr="008946B0">
        <w:rPr>
          <w:lang w:val="en-GB"/>
        </w:rPr>
        <w:fldChar w:fldCharType="begin"/>
      </w:r>
      <w:r w:rsidRPr="008946B0">
        <w:rPr>
          <w:lang w:val="en-GB"/>
        </w:rPr>
        <w:instrText xml:space="preserve"> SEQ Figure \* ARABIC </w:instrText>
      </w:r>
      <w:r w:rsidRPr="008946B0">
        <w:rPr>
          <w:lang w:val="en-GB"/>
        </w:rPr>
        <w:fldChar w:fldCharType="separate"/>
      </w:r>
      <w:r w:rsidR="00CF6E1D" w:rsidRPr="008946B0">
        <w:rPr>
          <w:lang w:val="en-GB"/>
        </w:rPr>
        <w:t>4</w:t>
      </w:r>
      <w:r w:rsidRPr="008946B0">
        <w:rPr>
          <w:lang w:val="en-GB"/>
        </w:rPr>
        <w:fldChar w:fldCharType="end"/>
      </w:r>
      <w:r w:rsidRPr="008946B0">
        <w:rPr>
          <w:lang w:val="en-GB"/>
        </w:rPr>
        <w:t>: Band plan for 870-880 MHz</w:t>
      </w:r>
    </w:p>
    <w:p w14:paraId="2946C64C" w14:textId="1EAB265C" w:rsidR="005A47F3" w:rsidRPr="008946B0" w:rsidRDefault="00AB77EF">
      <w:pPr>
        <w:spacing w:before="240" w:after="60" w:line="240" w:lineRule="auto"/>
        <w:jc w:val="both"/>
        <w:rPr>
          <w:lang w:val="en-GB"/>
        </w:rPr>
      </w:pPr>
      <w:r w:rsidRPr="008946B0">
        <w:rPr>
          <w:noProof/>
          <w:lang w:val="fr-FR" w:eastAsia="fr-FR"/>
        </w:rPr>
        <w:drawing>
          <wp:inline distT="0" distB="0" distL="0" distR="0" wp14:anchorId="61072961" wp14:editId="6ACB45E7">
            <wp:extent cx="6043930" cy="118427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044400" cy="1184400"/>
                    </a:xfrm>
                    <a:prstGeom prst="rect">
                      <a:avLst/>
                    </a:prstGeom>
                    <a:noFill/>
                  </pic:spPr>
                </pic:pic>
              </a:graphicData>
            </a:graphic>
          </wp:inline>
        </w:drawing>
      </w:r>
    </w:p>
    <w:p w14:paraId="1B321C77" w14:textId="2C0622C1" w:rsidR="005A47F3" w:rsidRPr="008946B0" w:rsidRDefault="00AB77EF">
      <w:pPr>
        <w:pStyle w:val="Caption"/>
        <w:rPr>
          <w:lang w:val="en-GB"/>
        </w:rPr>
      </w:pPr>
      <w:r w:rsidRPr="008946B0">
        <w:rPr>
          <w:lang w:val="en-GB"/>
        </w:rPr>
        <w:t xml:space="preserve">Figure </w:t>
      </w:r>
      <w:r w:rsidRPr="008946B0">
        <w:rPr>
          <w:lang w:val="en-GB"/>
        </w:rPr>
        <w:fldChar w:fldCharType="begin"/>
      </w:r>
      <w:r w:rsidRPr="008946B0">
        <w:rPr>
          <w:lang w:val="en-GB"/>
        </w:rPr>
        <w:instrText xml:space="preserve"> SEQ Figure \* ARABIC </w:instrText>
      </w:r>
      <w:r w:rsidRPr="008946B0">
        <w:rPr>
          <w:lang w:val="en-GB"/>
        </w:rPr>
        <w:fldChar w:fldCharType="separate"/>
      </w:r>
      <w:r w:rsidR="00CF6E1D" w:rsidRPr="008946B0">
        <w:rPr>
          <w:lang w:val="en-GB"/>
        </w:rPr>
        <w:t>5</w:t>
      </w:r>
      <w:r w:rsidRPr="008946B0">
        <w:rPr>
          <w:lang w:val="en-GB"/>
        </w:rPr>
        <w:fldChar w:fldCharType="end"/>
      </w:r>
      <w:r w:rsidRPr="008946B0">
        <w:rPr>
          <w:lang w:val="en-GB"/>
        </w:rPr>
        <w:t>: Band plan for 915-925 MHz</w:t>
      </w:r>
    </w:p>
    <w:p w14:paraId="3D16D709" w14:textId="77777777" w:rsidR="005A47F3" w:rsidRPr="008946B0" w:rsidRDefault="00AB77EF">
      <w:pPr>
        <w:spacing w:before="240" w:after="60" w:line="240" w:lineRule="auto"/>
        <w:jc w:val="both"/>
        <w:rPr>
          <w:rFonts w:eastAsia="Calibri"/>
          <w:szCs w:val="22"/>
          <w:lang w:val="en-GB"/>
        </w:rPr>
      </w:pPr>
      <w:r w:rsidRPr="008946B0">
        <w:rPr>
          <w:rFonts w:eastAsia="Calibri"/>
          <w:szCs w:val="22"/>
          <w:lang w:val="en-GB"/>
        </w:rPr>
        <w:t>Notes:</w:t>
      </w:r>
    </w:p>
    <w:p w14:paraId="3044445F" w14:textId="48B66694" w:rsidR="005A47F3" w:rsidRPr="008946B0" w:rsidRDefault="00AB77EF">
      <w:pPr>
        <w:pStyle w:val="ECCBulletsLv1"/>
      </w:pPr>
      <w:r w:rsidRPr="008946B0">
        <w:t>500</w:t>
      </w:r>
      <w:r w:rsidR="00D04729" w:rsidRPr="008946B0">
        <w:t xml:space="preserve"> </w:t>
      </w:r>
      <w:proofErr w:type="spellStart"/>
      <w:r w:rsidRPr="008946B0">
        <w:t>mW</w:t>
      </w:r>
      <w:proofErr w:type="spellEnd"/>
      <w:r w:rsidRPr="008946B0">
        <w:t xml:space="preserve"> SRD in data networks are harmonised in 874-874.4 MHz in the Decision </w:t>
      </w:r>
      <w:r w:rsidR="00043718" w:rsidRPr="008946B0">
        <w:t>(</w:t>
      </w:r>
      <w:r w:rsidRPr="008946B0">
        <w:t>EU</w:t>
      </w:r>
      <w:r w:rsidR="00043718" w:rsidRPr="008946B0">
        <w:t>)</w:t>
      </w:r>
      <w:r w:rsidRPr="008946B0">
        <w:t xml:space="preserve"> 2018/1538, while the band 870-874.4 MHz is listed in ERC Recommendation 70-03 Annex 2;</w:t>
      </w:r>
    </w:p>
    <w:p w14:paraId="45FFAAA8" w14:textId="188A24F8" w:rsidR="005A47F3" w:rsidRPr="008946B0" w:rsidRDefault="00AB77EF">
      <w:pPr>
        <w:pStyle w:val="ECCBulletsLv1"/>
      </w:pPr>
      <w:r w:rsidRPr="008946B0">
        <w:t xml:space="preserve">25 </w:t>
      </w:r>
      <w:proofErr w:type="spellStart"/>
      <w:r w:rsidRPr="008946B0">
        <w:t>mW</w:t>
      </w:r>
      <w:proofErr w:type="spellEnd"/>
      <w:r w:rsidRPr="008946B0">
        <w:t xml:space="preserve"> non-specific SRD </w:t>
      </w:r>
      <w:r w:rsidR="00051D11" w:rsidRPr="008946B0">
        <w:t xml:space="preserve">in data networks </w:t>
      </w:r>
      <w:r w:rsidRPr="008946B0">
        <w:t xml:space="preserve">are harmonised in 917.4-919.4 MHz in the Decision </w:t>
      </w:r>
      <w:r w:rsidR="00043718" w:rsidRPr="008946B0">
        <w:t>(</w:t>
      </w:r>
      <w:r w:rsidRPr="008946B0">
        <w:t>EU</w:t>
      </w:r>
      <w:r w:rsidR="00043718" w:rsidRPr="008946B0">
        <w:t>)</w:t>
      </w:r>
      <w:r w:rsidRPr="008946B0">
        <w:t xml:space="preserve"> 2018/1538, while the band 915-919.4 MHz is listed in ERC Recommendation 70-03 Annex 2.</w:t>
      </w:r>
    </w:p>
    <w:p w14:paraId="7C42C712" w14:textId="003ABE2A" w:rsidR="005A47F3" w:rsidRPr="008946B0" w:rsidRDefault="00AB77EF">
      <w:pPr>
        <w:pStyle w:val="ECCBulletsLv1"/>
      </w:pPr>
      <w:r w:rsidRPr="008946B0">
        <w:t xml:space="preserve">Wideband data transmission </w:t>
      </w:r>
      <w:r w:rsidR="00CB50D6" w:rsidRPr="008946B0">
        <w:t xml:space="preserve">devices in data networks </w:t>
      </w:r>
      <w:r w:rsidRPr="008946B0">
        <w:t xml:space="preserve">(802.11ah on the figure) </w:t>
      </w:r>
      <w:r w:rsidR="00043718" w:rsidRPr="008946B0">
        <w:t>are</w:t>
      </w:r>
      <w:r w:rsidRPr="008946B0">
        <w:t xml:space="preserve"> harmonised in 917.4-919.4 MHz in the Decision </w:t>
      </w:r>
      <w:r w:rsidR="00043718" w:rsidRPr="008946B0">
        <w:t>(</w:t>
      </w:r>
      <w:r w:rsidRPr="008946B0">
        <w:t>EU</w:t>
      </w:r>
      <w:r w:rsidR="00043718" w:rsidRPr="008946B0">
        <w:t>)</w:t>
      </w:r>
      <w:r w:rsidRPr="008946B0">
        <w:t xml:space="preserve"> 2018/1538, while the band 915.8-919.4 MHz is listed in ERC Recommendation 70-03 Annex 3;</w:t>
      </w:r>
    </w:p>
    <w:p w14:paraId="28DBE7CA" w14:textId="77777777" w:rsidR="005A47F3" w:rsidRPr="008946B0" w:rsidRDefault="00AB77EF">
      <w:pPr>
        <w:pStyle w:val="ECCBulletsLv1"/>
      </w:pPr>
      <w:r w:rsidRPr="008946B0">
        <w:t>The 874-874.4 MHz and 915-919.4 MHz frequency bands are harmonised at EU level for short-range devices under Decision (EU) 2018/1538;</w:t>
      </w:r>
    </w:p>
    <w:p w14:paraId="1757F9BE" w14:textId="4AAD667D" w:rsidR="005A47F3" w:rsidRPr="008946B0" w:rsidRDefault="00AB77EF">
      <w:pPr>
        <w:pStyle w:val="ECCBulletsLv1"/>
      </w:pPr>
      <w:r w:rsidRPr="008946B0">
        <w:t>A few countries in Europe are using this frequency band 873-876 MHz / 918-921 MHz on a national basis for GSM-R. In some CEPT countries, these bands are used by other governmental</w:t>
      </w:r>
      <w:r w:rsidR="007D7D3B" w:rsidRPr="008946B0">
        <w:t>/military</w:t>
      </w:r>
      <w:r w:rsidRPr="008946B0">
        <w:t xml:space="preserve"> systems.</w:t>
      </w:r>
    </w:p>
    <w:p w14:paraId="25149AD5" w14:textId="6EDE58D6" w:rsidR="009B3FCF" w:rsidRPr="008946B0" w:rsidRDefault="009B3FCF" w:rsidP="009B3FCF">
      <w:pPr>
        <w:pStyle w:val="ECCBulletsLv1"/>
      </w:pPr>
      <w:r w:rsidRPr="008946B0">
        <w:t xml:space="preserve">Some countries permit the use of SRD across the bands 870-876 MHz and 915-921 MHz, based on the ERC Recommendation 70-03 dated 7 February 2014. </w:t>
      </w:r>
      <w:r w:rsidR="009E0D4A" w:rsidRPr="008946B0">
        <w:t>These entries have</w:t>
      </w:r>
      <w:r w:rsidRPr="008946B0">
        <w:t xml:space="preserve"> been subsequently </w:t>
      </w:r>
      <w:r w:rsidR="00147A65" w:rsidRPr="008946B0">
        <w:t>modified in an update of</w:t>
      </w:r>
      <w:r w:rsidRPr="008946B0">
        <w:t xml:space="preserve"> ERC Recommendation 70-03</w:t>
      </w:r>
      <w:r w:rsidR="009E0D4A" w:rsidRPr="008946B0">
        <w:t xml:space="preserve"> (June 2019) to align with Decision (EU) 2018/1538</w:t>
      </w:r>
      <w:r w:rsidRPr="008946B0">
        <w:t>.</w:t>
      </w:r>
    </w:p>
    <w:p w14:paraId="56480A1B" w14:textId="6302F4ED" w:rsidR="005A47F3" w:rsidRPr="008946B0" w:rsidRDefault="00AB77EF">
      <w:pPr>
        <w:pStyle w:val="Heading3"/>
        <w:rPr>
          <w:rFonts w:eastAsia="Calibri"/>
          <w:lang w:val="en-GB"/>
        </w:rPr>
      </w:pPr>
      <w:bookmarkStart w:id="145" w:name="_Toc31104391"/>
      <w:bookmarkStart w:id="146" w:name="_Toc31112650"/>
      <w:bookmarkStart w:id="147" w:name="_Toc31131695"/>
      <w:bookmarkStart w:id="148" w:name="_Toc31237099"/>
      <w:bookmarkStart w:id="149" w:name="_Toc31294007"/>
      <w:bookmarkStart w:id="150" w:name="_Toc31719424"/>
      <w:bookmarkStart w:id="151" w:name="_Toc42722841"/>
      <w:bookmarkEnd w:id="145"/>
      <w:bookmarkEnd w:id="146"/>
      <w:bookmarkEnd w:id="147"/>
      <w:bookmarkEnd w:id="148"/>
      <w:bookmarkEnd w:id="149"/>
      <w:bookmarkEnd w:id="150"/>
      <w:r w:rsidRPr="008946B0">
        <w:rPr>
          <w:rFonts w:eastAsia="Calibri"/>
          <w:lang w:val="en-GB"/>
        </w:rPr>
        <w:t xml:space="preserve">Coexistence of </w:t>
      </w:r>
      <w:r w:rsidR="00733D21" w:rsidRPr="008946B0">
        <w:rPr>
          <w:rFonts w:eastAsia="Calibri"/>
          <w:lang w:val="en-GB"/>
        </w:rPr>
        <w:t xml:space="preserve">adjacent frequency </w:t>
      </w:r>
      <w:r w:rsidRPr="008946B0">
        <w:rPr>
          <w:rFonts w:eastAsia="Calibri"/>
          <w:lang w:val="en-GB"/>
        </w:rPr>
        <w:t xml:space="preserve">500mW networked SRD with RMR BS </w:t>
      </w:r>
      <w:r w:rsidR="00733D21" w:rsidRPr="008946B0">
        <w:rPr>
          <w:rFonts w:eastAsia="Calibri"/>
          <w:lang w:val="en-GB"/>
        </w:rPr>
        <w:t>above</w:t>
      </w:r>
      <w:r w:rsidRPr="008946B0">
        <w:rPr>
          <w:rFonts w:eastAsia="Calibri"/>
          <w:lang w:val="en-GB"/>
        </w:rPr>
        <w:t xml:space="preserve"> 874.4 MHz</w:t>
      </w:r>
      <w:bookmarkEnd w:id="151"/>
    </w:p>
    <w:p w14:paraId="24B8810E" w14:textId="574C3C83"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This section assesses whether 500mW networked SRD in 870-874.4 MHz may interfere </w:t>
      </w:r>
      <w:r w:rsidR="00FA212C" w:rsidRPr="008946B0">
        <w:rPr>
          <w:rFonts w:eastAsia="Calibri"/>
          <w:szCs w:val="22"/>
          <w:lang w:val="en-GB"/>
        </w:rPr>
        <w:t xml:space="preserve">with </w:t>
      </w:r>
      <w:r w:rsidRPr="008946B0">
        <w:rPr>
          <w:rFonts w:eastAsia="Calibri"/>
          <w:szCs w:val="22"/>
          <w:lang w:val="en-GB"/>
        </w:rPr>
        <w:t>RMR BS receiving within 874.4-880 MHz through blocking effects and unwanted emissions.</w:t>
      </w:r>
    </w:p>
    <w:p w14:paraId="553BC85B" w14:textId="0F6DC5E4"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ECC Report </w:t>
      </w:r>
      <w:r w:rsidR="00293DC9" w:rsidRPr="008946B0">
        <w:rPr>
          <w:rFonts w:eastAsia="Calibri"/>
          <w:szCs w:val="22"/>
          <w:lang w:val="en-GB"/>
        </w:rPr>
        <w:t>313</w:t>
      </w:r>
      <w:r w:rsidRPr="008946B0">
        <w:rPr>
          <w:rFonts w:eastAsia="Calibri"/>
          <w:szCs w:val="22"/>
          <w:lang w:val="en-GB"/>
        </w:rPr>
        <w:t xml:space="preserve"> determined the need to improve the receiver characteristics of the RMR BS, compared to 3GPP specification for band #8, so that it can cope with 500mW networked SRD below 874.4 MHz.</w:t>
      </w:r>
    </w:p>
    <w:p w14:paraId="718235D4" w14:textId="1229DB38"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With respect to unwanted emissions, </w:t>
      </w:r>
      <w:r w:rsidR="00293DC9" w:rsidRPr="008946B0">
        <w:rPr>
          <w:rFonts w:eastAsia="Calibri"/>
          <w:szCs w:val="22"/>
          <w:lang w:val="en-GB"/>
        </w:rPr>
        <w:t>ECC Report 313</w:t>
      </w:r>
      <w:r w:rsidRPr="008946B0">
        <w:rPr>
          <w:rFonts w:eastAsia="Calibri"/>
          <w:szCs w:val="22"/>
          <w:lang w:val="en-GB"/>
        </w:rPr>
        <w:t xml:space="preserve"> concluded that </w:t>
      </w:r>
      <w:r w:rsidRPr="008946B0">
        <w:rPr>
          <w:lang w:val="en-GB"/>
        </w:rPr>
        <w:t xml:space="preserve">no specific requirement is needed on 500 </w:t>
      </w:r>
      <w:proofErr w:type="spellStart"/>
      <w:r w:rsidRPr="008946B0">
        <w:rPr>
          <w:lang w:val="en-GB"/>
        </w:rPr>
        <w:t>mW</w:t>
      </w:r>
      <w:proofErr w:type="spellEnd"/>
      <w:r w:rsidRPr="008946B0">
        <w:rPr>
          <w:lang w:val="en-GB"/>
        </w:rPr>
        <w:t xml:space="preserve"> SRD operating below 874.4 MHz and ERC Recommendation 74-01 should apply.</w:t>
      </w:r>
    </w:p>
    <w:p w14:paraId="2B580000" w14:textId="0DFDD033" w:rsidR="005A47F3" w:rsidRPr="008946B0" w:rsidRDefault="00AB77EF">
      <w:pPr>
        <w:pStyle w:val="Heading3"/>
        <w:rPr>
          <w:rFonts w:eastAsia="Calibri"/>
          <w:lang w:val="en-GB"/>
        </w:rPr>
      </w:pPr>
      <w:bookmarkStart w:id="152" w:name="_Toc42722842"/>
      <w:r w:rsidRPr="008946B0">
        <w:rPr>
          <w:rFonts w:eastAsia="Calibri"/>
          <w:lang w:val="en-GB"/>
        </w:rPr>
        <w:t xml:space="preserve">Coexistence of </w:t>
      </w:r>
      <w:r w:rsidR="00733D21" w:rsidRPr="008946B0">
        <w:rPr>
          <w:rFonts w:eastAsia="Calibri"/>
          <w:lang w:val="en-GB"/>
        </w:rPr>
        <w:t xml:space="preserve">adjacent frequency </w:t>
      </w:r>
      <w:r w:rsidRPr="008946B0">
        <w:rPr>
          <w:rFonts w:eastAsia="Calibri"/>
          <w:lang w:val="en-GB"/>
        </w:rPr>
        <w:t xml:space="preserve">SRD with RMR cab-radio </w:t>
      </w:r>
      <w:r w:rsidR="00733D21" w:rsidRPr="008946B0">
        <w:rPr>
          <w:rFonts w:eastAsia="Calibri"/>
          <w:lang w:val="en-GB"/>
        </w:rPr>
        <w:t>above</w:t>
      </w:r>
      <w:r w:rsidRPr="008946B0">
        <w:rPr>
          <w:rFonts w:eastAsia="Calibri"/>
          <w:lang w:val="en-GB"/>
        </w:rPr>
        <w:t xml:space="preserve"> 919.4 MHz</w:t>
      </w:r>
      <w:bookmarkEnd w:id="152"/>
    </w:p>
    <w:p w14:paraId="6A04CEBF" w14:textId="7BF91893"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This section assesses whether SRD in 915-919.4 MHz may interfere </w:t>
      </w:r>
      <w:r w:rsidR="00FA212C" w:rsidRPr="008946B0">
        <w:rPr>
          <w:rFonts w:eastAsia="Calibri"/>
          <w:szCs w:val="22"/>
          <w:lang w:val="en-GB"/>
        </w:rPr>
        <w:t xml:space="preserve">with </w:t>
      </w:r>
      <w:r w:rsidRPr="008946B0">
        <w:rPr>
          <w:rFonts w:eastAsia="Calibri"/>
          <w:szCs w:val="22"/>
          <w:lang w:val="en-GB"/>
        </w:rPr>
        <w:t xml:space="preserve">RMR cab-radios receiving within </w:t>
      </w:r>
      <w:r w:rsidR="00DD08F8" w:rsidRPr="008946B0">
        <w:rPr>
          <w:rFonts w:eastAsia="Calibri"/>
          <w:szCs w:val="22"/>
          <w:lang w:val="en-GB"/>
        </w:rPr>
        <w:t>919.4-925</w:t>
      </w:r>
      <w:r w:rsidRPr="008946B0">
        <w:rPr>
          <w:rFonts w:eastAsia="Calibri"/>
          <w:szCs w:val="22"/>
          <w:lang w:val="en-GB"/>
        </w:rPr>
        <w:t xml:space="preserve"> MHz through blocking effects and unwanted emissions.</w:t>
      </w:r>
    </w:p>
    <w:p w14:paraId="557C71EB" w14:textId="7CA569D9" w:rsidR="005A47F3" w:rsidRPr="008946B0" w:rsidRDefault="00293DC9">
      <w:pPr>
        <w:spacing w:before="240" w:after="60" w:line="240" w:lineRule="auto"/>
        <w:jc w:val="both"/>
        <w:rPr>
          <w:rFonts w:eastAsia="Calibri"/>
          <w:szCs w:val="22"/>
          <w:lang w:val="en-GB"/>
        </w:rPr>
      </w:pPr>
      <w:r w:rsidRPr="008946B0">
        <w:rPr>
          <w:rFonts w:eastAsia="Calibri"/>
          <w:szCs w:val="22"/>
          <w:lang w:val="en-GB"/>
        </w:rPr>
        <w:t xml:space="preserve">ECC Report 313 </w:t>
      </w:r>
      <w:r w:rsidR="00AB77EF" w:rsidRPr="008946B0">
        <w:rPr>
          <w:rFonts w:eastAsia="Calibri"/>
          <w:szCs w:val="22"/>
          <w:lang w:val="en-GB"/>
        </w:rPr>
        <w:t>determined the need to improve the receiver characteristics of the RMR cab-radio, compared to 3GPP specification for band #8, so that it can cope with SRD below 919.4 MHz. The level of robustness required is driven by 4W RFID interrogators</w:t>
      </w:r>
      <w:r w:rsidR="00AB43B6" w:rsidRPr="008946B0">
        <w:rPr>
          <w:rFonts w:eastAsia="Calibri"/>
          <w:szCs w:val="22"/>
          <w:lang w:val="en-GB"/>
        </w:rPr>
        <w:t xml:space="preserve">, according to assumptions made in </w:t>
      </w:r>
      <w:r w:rsidRPr="008946B0">
        <w:rPr>
          <w:rFonts w:eastAsia="Calibri"/>
          <w:szCs w:val="22"/>
          <w:lang w:val="en-GB"/>
        </w:rPr>
        <w:t>ECC Report 313</w:t>
      </w:r>
      <w:r w:rsidR="00AB77EF" w:rsidRPr="008946B0">
        <w:rPr>
          <w:rFonts w:eastAsia="Calibri"/>
          <w:szCs w:val="22"/>
          <w:lang w:val="en-GB"/>
        </w:rPr>
        <w:t>.</w:t>
      </w:r>
      <w:r w:rsidR="00AB43B6" w:rsidRPr="008946B0">
        <w:rPr>
          <w:rFonts w:eastAsia="Calibri"/>
          <w:szCs w:val="22"/>
          <w:lang w:val="en-GB"/>
        </w:rPr>
        <w:t xml:space="preserve"> With other deployment scenarios, the RMR cab-radio also needs to be robust against 500 </w:t>
      </w:r>
      <w:proofErr w:type="spellStart"/>
      <w:r w:rsidR="00AB43B6" w:rsidRPr="008946B0">
        <w:rPr>
          <w:rFonts w:eastAsia="Calibri"/>
          <w:szCs w:val="22"/>
          <w:lang w:val="en-GB"/>
        </w:rPr>
        <w:t>mW</w:t>
      </w:r>
      <w:proofErr w:type="spellEnd"/>
      <w:r w:rsidR="00AB43B6" w:rsidRPr="008946B0">
        <w:rPr>
          <w:rFonts w:eastAsia="Calibri"/>
          <w:szCs w:val="22"/>
          <w:lang w:val="en-GB"/>
        </w:rPr>
        <w:t xml:space="preserve"> SRD.</w:t>
      </w:r>
    </w:p>
    <w:p w14:paraId="222B19DE" w14:textId="6306C563" w:rsidR="005A47F3" w:rsidRPr="008946B0" w:rsidRDefault="00AB77EF">
      <w:pPr>
        <w:spacing w:before="240" w:after="60" w:line="240" w:lineRule="auto"/>
        <w:jc w:val="both"/>
        <w:rPr>
          <w:lang w:val="en-GB"/>
        </w:rPr>
      </w:pPr>
      <w:r w:rsidRPr="008946B0">
        <w:rPr>
          <w:lang w:val="en-GB"/>
        </w:rPr>
        <w:t xml:space="preserve">Improved GSM-R cab-radios as per ETSI TS 102 933-1 </w:t>
      </w:r>
      <w:r w:rsidR="00773C7F" w:rsidRPr="008946B0">
        <w:rPr>
          <w:lang w:val="en-GB"/>
        </w:rPr>
        <w:fldChar w:fldCharType="begin"/>
      </w:r>
      <w:r w:rsidR="00773C7F" w:rsidRPr="008946B0">
        <w:rPr>
          <w:lang w:val="en-GB"/>
        </w:rPr>
        <w:instrText xml:space="preserve"> REF _Ref34310084 \r \h </w:instrText>
      </w:r>
      <w:r w:rsidR="00773C7F" w:rsidRPr="008946B0">
        <w:rPr>
          <w:lang w:val="en-GB"/>
        </w:rPr>
      </w:r>
      <w:r w:rsidR="00773C7F" w:rsidRPr="008946B0">
        <w:rPr>
          <w:lang w:val="en-GB"/>
        </w:rPr>
        <w:fldChar w:fldCharType="separate"/>
      </w:r>
      <w:r w:rsidR="00773C7F" w:rsidRPr="008946B0">
        <w:rPr>
          <w:lang w:val="en-GB"/>
        </w:rPr>
        <w:t>[31]</w:t>
      </w:r>
      <w:r w:rsidR="00773C7F" w:rsidRPr="008946B0">
        <w:rPr>
          <w:lang w:val="en-GB"/>
        </w:rPr>
        <w:fldChar w:fldCharType="end"/>
      </w:r>
      <w:r w:rsidR="00773C7F" w:rsidRPr="008946B0">
        <w:rPr>
          <w:lang w:val="en-GB"/>
        </w:rPr>
        <w:t xml:space="preserve"> </w:t>
      </w:r>
      <w:r w:rsidRPr="008946B0">
        <w:rPr>
          <w:lang w:val="en-GB"/>
        </w:rPr>
        <w:t xml:space="preserve">are currently </w:t>
      </w:r>
      <w:r w:rsidR="000D4BCC" w:rsidRPr="008946B0">
        <w:rPr>
          <w:lang w:val="en-GB"/>
        </w:rPr>
        <w:t xml:space="preserve">being deployed and are </w:t>
      </w:r>
      <w:r w:rsidR="0095139D" w:rsidRPr="008946B0">
        <w:rPr>
          <w:lang w:val="en-GB"/>
        </w:rPr>
        <w:t>specified for the improved reception of GSM-R in the vicinity of intensive ECS emissions above 925 MHz, but the current GSM-R cab-radio receiver specification is less resilient against adjacent emissions from higher-power SRD below 919.4 MHz in some close proximity cases</w:t>
      </w:r>
      <w:r w:rsidR="000D4BCC" w:rsidRPr="008946B0">
        <w:rPr>
          <w:lang w:val="en-GB"/>
        </w:rPr>
        <w:t>. Administrations may further consider the protection of GSM-R cab-radios</w:t>
      </w:r>
      <w:r w:rsidR="000D4BCC" w:rsidRPr="008946B0">
        <w:rPr>
          <w:vertAlign w:val="superscript"/>
          <w:lang w:val="en-GB"/>
        </w:rPr>
        <w:footnoteReference w:id="14"/>
      </w:r>
      <w:r w:rsidR="000D4BCC" w:rsidRPr="008946B0">
        <w:rPr>
          <w:lang w:val="en-GB"/>
        </w:rPr>
        <w:t xml:space="preserve"> if the requirements in 916.1-918.9 MHz on the GSM-R cab-radio receiver in Table 2 of ECC Report 313 are not met.</w:t>
      </w:r>
    </w:p>
    <w:p w14:paraId="6A8C16CA" w14:textId="501D5526" w:rsidR="00C018A3" w:rsidRPr="008946B0" w:rsidRDefault="00C018A3">
      <w:pPr>
        <w:spacing w:before="240" w:after="60" w:line="240" w:lineRule="auto"/>
        <w:jc w:val="both"/>
        <w:rPr>
          <w:lang w:val="en-GB"/>
        </w:rPr>
      </w:pPr>
      <w:r w:rsidRPr="008946B0">
        <w:rPr>
          <w:rFonts w:eastAsia="Calibri"/>
          <w:szCs w:val="22"/>
          <w:lang w:val="en-GB"/>
        </w:rPr>
        <w:t xml:space="preserve">FRMCS cab-radios </w:t>
      </w:r>
      <w:r w:rsidR="00E50CFB" w:rsidRPr="008946B0">
        <w:rPr>
          <w:rFonts w:eastAsia="Calibri"/>
          <w:szCs w:val="22"/>
          <w:lang w:val="en-GB"/>
        </w:rPr>
        <w:t>need</w:t>
      </w:r>
      <w:r w:rsidR="00F61B12" w:rsidRPr="008946B0">
        <w:rPr>
          <w:rFonts w:eastAsia="Calibri"/>
          <w:szCs w:val="22"/>
          <w:lang w:val="en-GB"/>
        </w:rPr>
        <w:t xml:space="preserve"> to</w:t>
      </w:r>
      <w:r w:rsidRPr="008946B0">
        <w:rPr>
          <w:rFonts w:eastAsia="Calibri"/>
          <w:szCs w:val="22"/>
          <w:lang w:val="en-GB"/>
        </w:rPr>
        <w:t xml:space="preserve"> fulfil the receiver characteristics determined in </w:t>
      </w:r>
      <w:r w:rsidR="00293DC9" w:rsidRPr="008946B0">
        <w:rPr>
          <w:rFonts w:eastAsia="Calibri"/>
          <w:szCs w:val="22"/>
          <w:lang w:val="en-GB"/>
        </w:rPr>
        <w:t>ECC Report 313</w:t>
      </w:r>
      <w:r w:rsidRPr="008946B0">
        <w:rPr>
          <w:rFonts w:eastAsia="Calibri"/>
          <w:szCs w:val="22"/>
          <w:lang w:val="en-GB"/>
        </w:rPr>
        <w:t>.</w:t>
      </w:r>
    </w:p>
    <w:p w14:paraId="6920A89D" w14:textId="77777777" w:rsidR="005A47F3" w:rsidRPr="008946B0" w:rsidRDefault="00FC13D8">
      <w:pPr>
        <w:pStyle w:val="Heading2"/>
        <w:rPr>
          <w:rFonts w:eastAsia="Calibri"/>
          <w:lang w:val="en-GB"/>
        </w:rPr>
      </w:pPr>
      <w:bookmarkStart w:id="153" w:name="_Toc38558001"/>
      <w:bookmarkStart w:id="154" w:name="_Toc40453146"/>
      <w:bookmarkStart w:id="155" w:name="_Toc40456605"/>
      <w:bookmarkStart w:id="156" w:name="_Toc42722843"/>
      <w:bookmarkStart w:id="157" w:name="_Toc31104394"/>
      <w:bookmarkStart w:id="158" w:name="_Toc31112653"/>
      <w:bookmarkStart w:id="159" w:name="_Toc31131698"/>
      <w:bookmarkStart w:id="160" w:name="_Toc31237102"/>
      <w:bookmarkStart w:id="161" w:name="_Toc31294010"/>
      <w:bookmarkStart w:id="162" w:name="_Toc31719427"/>
      <w:bookmarkStart w:id="163" w:name="_Toc31104395"/>
      <w:bookmarkStart w:id="164" w:name="_Toc31112654"/>
      <w:bookmarkStart w:id="165" w:name="_Toc31131699"/>
      <w:bookmarkStart w:id="166" w:name="_Toc31237103"/>
      <w:bookmarkStart w:id="167" w:name="_Toc31294011"/>
      <w:bookmarkStart w:id="168" w:name="_Toc31719428"/>
      <w:bookmarkStart w:id="169" w:name="_Toc31104396"/>
      <w:bookmarkStart w:id="170" w:name="_Toc31112655"/>
      <w:bookmarkStart w:id="171" w:name="_Toc31131700"/>
      <w:bookmarkStart w:id="172" w:name="_Toc31237104"/>
      <w:bookmarkStart w:id="173" w:name="_Toc31294012"/>
      <w:bookmarkStart w:id="174" w:name="_Toc31719429"/>
      <w:bookmarkStart w:id="175" w:name="_Toc31104397"/>
      <w:bookmarkStart w:id="176" w:name="_Toc31112656"/>
      <w:bookmarkStart w:id="177" w:name="_Toc31131701"/>
      <w:bookmarkStart w:id="178" w:name="_Toc31237105"/>
      <w:bookmarkStart w:id="179" w:name="_Toc31294013"/>
      <w:bookmarkStart w:id="180" w:name="_Toc31719430"/>
      <w:bookmarkStart w:id="181" w:name="_Toc31104398"/>
      <w:bookmarkStart w:id="182" w:name="_Toc31112657"/>
      <w:bookmarkStart w:id="183" w:name="_Toc31131702"/>
      <w:bookmarkStart w:id="184" w:name="_Toc31237106"/>
      <w:bookmarkStart w:id="185" w:name="_Toc31294014"/>
      <w:bookmarkStart w:id="186" w:name="_Toc31719431"/>
      <w:bookmarkStart w:id="187" w:name="_Toc31104399"/>
      <w:bookmarkStart w:id="188" w:name="_Toc31112658"/>
      <w:bookmarkStart w:id="189" w:name="_Toc31131703"/>
      <w:bookmarkStart w:id="190" w:name="_Toc31237107"/>
      <w:bookmarkStart w:id="191" w:name="_Toc31294015"/>
      <w:bookmarkStart w:id="192" w:name="_Toc31719432"/>
      <w:bookmarkStart w:id="193" w:name="_Toc37349047"/>
      <w:bookmarkStart w:id="194" w:name="_Toc38558002"/>
      <w:bookmarkStart w:id="195" w:name="_Toc40453147"/>
      <w:bookmarkStart w:id="196" w:name="_Toc40456606"/>
      <w:bookmarkStart w:id="197" w:name="_Toc42722844"/>
      <w:bookmarkStart w:id="198" w:name="_Toc37349048"/>
      <w:bookmarkStart w:id="199" w:name="_Toc38558003"/>
      <w:bookmarkStart w:id="200" w:name="_Toc40453148"/>
      <w:bookmarkStart w:id="201" w:name="_Toc40456607"/>
      <w:bookmarkStart w:id="202" w:name="_Toc42722845"/>
      <w:bookmarkStart w:id="203" w:name="_Toc32357352"/>
      <w:bookmarkStart w:id="204" w:name="_Toc32494295"/>
      <w:bookmarkStart w:id="205" w:name="_Toc33089645"/>
      <w:bookmarkStart w:id="206" w:name="_Toc31104401"/>
      <w:bookmarkStart w:id="207" w:name="_Toc31112660"/>
      <w:bookmarkStart w:id="208" w:name="_Toc31131705"/>
      <w:bookmarkStart w:id="209" w:name="_Toc31237109"/>
      <w:bookmarkStart w:id="210" w:name="_Toc31294017"/>
      <w:bookmarkStart w:id="211" w:name="_Toc31719434"/>
      <w:bookmarkStart w:id="212" w:name="_Toc31104402"/>
      <w:bookmarkStart w:id="213" w:name="_Toc31112661"/>
      <w:bookmarkStart w:id="214" w:name="_Toc31131706"/>
      <w:bookmarkStart w:id="215" w:name="_Toc31237110"/>
      <w:bookmarkStart w:id="216" w:name="_Toc31294018"/>
      <w:bookmarkStart w:id="217" w:name="_Toc31719435"/>
      <w:bookmarkStart w:id="218" w:name="_Toc27146889"/>
      <w:bookmarkStart w:id="219" w:name="_Toc27864809"/>
      <w:bookmarkStart w:id="220" w:name="_Toc27146892"/>
      <w:bookmarkStart w:id="221" w:name="_Toc27146890"/>
      <w:bookmarkStart w:id="222" w:name="_Toc27146893"/>
      <w:bookmarkStart w:id="223" w:name="_Toc27864810"/>
      <w:bookmarkStart w:id="224" w:name="_Toc27864808"/>
      <w:bookmarkStart w:id="225" w:name="_Toc27146894"/>
      <w:bookmarkStart w:id="226" w:name="_Toc27864812"/>
      <w:bookmarkStart w:id="227" w:name="_Toc27864807"/>
      <w:bookmarkStart w:id="228" w:name="_Toc27146891"/>
      <w:bookmarkStart w:id="229" w:name="_Toc27146895"/>
      <w:bookmarkStart w:id="230" w:name="_Toc27864813"/>
      <w:bookmarkStart w:id="231" w:name="_Toc27864811"/>
      <w:bookmarkStart w:id="232" w:name="_Toc42722846"/>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sidRPr="008946B0">
        <w:rPr>
          <w:rFonts w:eastAsia="Calibri"/>
          <w:lang w:val="en-GB"/>
        </w:rPr>
        <w:t xml:space="preserve">Use of </w:t>
      </w:r>
      <w:r w:rsidR="00AB77EF" w:rsidRPr="008946B0">
        <w:rPr>
          <w:rFonts w:eastAsia="Calibri"/>
          <w:lang w:val="en-GB"/>
        </w:rPr>
        <w:t>NB-IoT</w:t>
      </w:r>
      <w:r w:rsidRPr="008946B0">
        <w:rPr>
          <w:rFonts w:eastAsia="Calibri"/>
          <w:lang w:val="en-GB"/>
        </w:rPr>
        <w:t xml:space="preserve"> with FRMCS</w:t>
      </w:r>
      <w:bookmarkEnd w:id="232"/>
    </w:p>
    <w:p w14:paraId="24F175C4" w14:textId="77777777" w:rsidR="005A47F3" w:rsidRPr="008946B0" w:rsidRDefault="00AB77EF">
      <w:pPr>
        <w:spacing w:before="240" w:after="60" w:line="240" w:lineRule="auto"/>
        <w:jc w:val="both"/>
        <w:rPr>
          <w:rFonts w:eastAsia="Calibri"/>
          <w:szCs w:val="22"/>
          <w:lang w:val="en-GB"/>
        </w:rPr>
      </w:pPr>
      <w:r w:rsidRPr="008946B0">
        <w:rPr>
          <w:rFonts w:eastAsia="Calibri"/>
          <w:szCs w:val="22"/>
          <w:lang w:val="en-GB"/>
        </w:rPr>
        <w:t>NB-IoT is a 3GPP radio technology for machine-to-machine communications. It supports half-duplex operation. The channel bandwidth is 200 kHz and the occupied bandwidth is 180 kHz, equivalent to one LTE</w:t>
      </w:r>
      <w:r w:rsidR="003A72E7" w:rsidRPr="008946B0">
        <w:rPr>
          <w:rFonts w:eastAsia="Calibri"/>
          <w:szCs w:val="22"/>
          <w:lang w:val="en-GB"/>
        </w:rPr>
        <w:t>/NR</w:t>
      </w:r>
      <w:r w:rsidRPr="008946B0">
        <w:rPr>
          <w:rFonts w:eastAsia="Calibri"/>
          <w:szCs w:val="22"/>
          <w:lang w:val="en-GB"/>
        </w:rPr>
        <w:t xml:space="preserve"> resource block. Three modes are defined:</w:t>
      </w:r>
    </w:p>
    <w:p w14:paraId="5E3F94CD" w14:textId="77777777" w:rsidR="005A47F3" w:rsidRPr="008946B0" w:rsidRDefault="00AB77EF">
      <w:pPr>
        <w:pStyle w:val="ECCBulletsLv1"/>
      </w:pPr>
      <w:r w:rsidRPr="008946B0">
        <w:t>in-band operation mode where NB-IoT utilizes one or several resource blocks within an LTE/NR carrier;</w:t>
      </w:r>
    </w:p>
    <w:p w14:paraId="483C69F1" w14:textId="7A51AE41" w:rsidR="005A47F3" w:rsidRPr="008946B0" w:rsidRDefault="00AB77EF">
      <w:pPr>
        <w:pStyle w:val="ECCBulletsLv1"/>
      </w:pPr>
      <w:r w:rsidRPr="008946B0">
        <w:t>guard-band operation mode where NB-IoT utilizes the unused spectrum within an LTE carrier’s guard-band;</w:t>
      </w:r>
    </w:p>
    <w:p w14:paraId="50B92ADA" w14:textId="77777777" w:rsidR="005A47F3" w:rsidRPr="008946B0" w:rsidRDefault="00AB77EF">
      <w:pPr>
        <w:pStyle w:val="ECCBulletsLv1"/>
      </w:pPr>
      <w:r w:rsidRPr="008946B0">
        <w:t>standalone operation mode where NB-IoT utilizes its own spectrum.</w:t>
      </w:r>
    </w:p>
    <w:p w14:paraId="6AADC10A" w14:textId="2786100C" w:rsidR="005A47F3" w:rsidRPr="008946B0" w:rsidRDefault="00AB77EF" w:rsidP="00870349">
      <w:pPr>
        <w:pStyle w:val="ECCBulletsLv1"/>
        <w:numPr>
          <w:ilvl w:val="0"/>
          <w:numId w:val="0"/>
        </w:numPr>
        <w:tabs>
          <w:tab w:val="clear" w:pos="340"/>
        </w:tabs>
        <w:spacing w:before="240" w:line="240" w:lineRule="auto"/>
        <w:contextualSpacing w:val="0"/>
      </w:pPr>
      <w:r w:rsidRPr="008946B0">
        <w:t xml:space="preserve">The studies in </w:t>
      </w:r>
      <w:r w:rsidR="00293DC9" w:rsidRPr="008946B0">
        <w:t xml:space="preserve">ECC Report </w:t>
      </w:r>
      <w:r w:rsidR="00EA0E67" w:rsidRPr="008946B0">
        <w:t>318</w:t>
      </w:r>
      <w:r w:rsidR="00293DC9" w:rsidRPr="008946B0">
        <w:t xml:space="preserve"> </w:t>
      </w:r>
      <w:r w:rsidRPr="008946B0">
        <w:t xml:space="preserve">can be applied to the in-band </w:t>
      </w:r>
      <w:r w:rsidR="00EC6180" w:rsidRPr="008946B0">
        <w:t xml:space="preserve">operation </w:t>
      </w:r>
      <w:r w:rsidRPr="008946B0">
        <w:t>mode without power boost</w:t>
      </w:r>
      <w:r w:rsidR="003A72E7" w:rsidRPr="008946B0">
        <w:rPr>
          <w:rStyle w:val="FootnoteReference"/>
        </w:rPr>
        <w:footnoteReference w:id="15"/>
      </w:r>
      <w:r w:rsidRPr="008946B0">
        <w:t xml:space="preserve"> (where the NB-IoT RB is one of the LTE/NR RB</w:t>
      </w:r>
      <w:r w:rsidR="00B10B80" w:rsidRPr="008946B0">
        <w:t xml:space="preserve"> with the same power density</w:t>
      </w:r>
      <w:r w:rsidRPr="008946B0">
        <w:t xml:space="preserve">) and to the standalone </w:t>
      </w:r>
      <w:r w:rsidR="00EC6180" w:rsidRPr="008946B0">
        <w:t xml:space="preserve">operation </w:t>
      </w:r>
      <w:r w:rsidRPr="008946B0">
        <w:t>mode (where the NB-IoT channel can be compared to a GSM channel)</w:t>
      </w:r>
      <w:r w:rsidR="00B16798" w:rsidRPr="008946B0">
        <w:t xml:space="preserve"> for a single </w:t>
      </w:r>
      <w:r w:rsidR="00CB4A85" w:rsidRPr="008946B0">
        <w:t xml:space="preserve">NB-IoT </w:t>
      </w:r>
      <w:r w:rsidR="00B16798" w:rsidRPr="008946B0">
        <w:t>carrier</w:t>
      </w:r>
      <w:r w:rsidRPr="008946B0">
        <w:t>.</w:t>
      </w:r>
      <w:r w:rsidR="003A72E7" w:rsidRPr="008946B0">
        <w:t xml:space="preserve"> If power boost were to be used for </w:t>
      </w:r>
      <w:r w:rsidR="007B68AA" w:rsidRPr="008946B0">
        <w:t xml:space="preserve">in-band </w:t>
      </w:r>
      <w:r w:rsidR="003A72E7" w:rsidRPr="008946B0">
        <w:t xml:space="preserve">NB-IoT, the BEM </w:t>
      </w:r>
      <w:r w:rsidR="009E4404" w:rsidRPr="008946B0">
        <w:t>would</w:t>
      </w:r>
      <w:r w:rsidR="007B68AA" w:rsidRPr="008946B0">
        <w:t xml:space="preserve"> not </w:t>
      </w:r>
      <w:r w:rsidR="009E4404" w:rsidRPr="008946B0">
        <w:t xml:space="preserve">be </w:t>
      </w:r>
      <w:r w:rsidR="007B68AA" w:rsidRPr="008946B0">
        <w:t xml:space="preserve">directly </w:t>
      </w:r>
      <w:r w:rsidR="009E4404" w:rsidRPr="008946B0">
        <w:t xml:space="preserve">be </w:t>
      </w:r>
      <w:r w:rsidR="007B68AA" w:rsidRPr="008946B0">
        <w:t>appl</w:t>
      </w:r>
      <w:r w:rsidR="009E4404" w:rsidRPr="008946B0">
        <w:t>icable</w:t>
      </w:r>
      <w:r w:rsidR="00DE2CBE" w:rsidRPr="008946B0">
        <w:t>.</w:t>
      </w:r>
      <w:r w:rsidR="004D3AB0" w:rsidRPr="008946B0">
        <w:t xml:space="preserve"> T</w:t>
      </w:r>
      <w:r w:rsidR="004D3AB0" w:rsidRPr="008946B0">
        <w:rPr>
          <w:szCs w:val="20"/>
        </w:rPr>
        <w:t xml:space="preserve">he </w:t>
      </w:r>
      <w:r w:rsidR="00592556" w:rsidRPr="008946B0">
        <w:rPr>
          <w:szCs w:val="20"/>
        </w:rPr>
        <w:t xml:space="preserve">conditions of use and the </w:t>
      </w:r>
      <w:r w:rsidR="004D3AB0" w:rsidRPr="008946B0">
        <w:rPr>
          <w:szCs w:val="20"/>
        </w:rPr>
        <w:t xml:space="preserve">impact on </w:t>
      </w:r>
      <w:r w:rsidR="004C0AAF" w:rsidRPr="008946B0">
        <w:rPr>
          <w:szCs w:val="20"/>
        </w:rPr>
        <w:t>ECS</w:t>
      </w:r>
      <w:r w:rsidR="004D3AB0" w:rsidRPr="008946B0">
        <w:rPr>
          <w:szCs w:val="20"/>
        </w:rPr>
        <w:t xml:space="preserve"> BS of multiple </w:t>
      </w:r>
      <w:r w:rsidR="00034D28" w:rsidRPr="008946B0">
        <w:rPr>
          <w:szCs w:val="20"/>
        </w:rPr>
        <w:t>FRMCS</w:t>
      </w:r>
      <w:r w:rsidR="004D3AB0" w:rsidRPr="008946B0">
        <w:rPr>
          <w:szCs w:val="20"/>
        </w:rPr>
        <w:t xml:space="preserve"> carriers using wideband technologies (including NB-IoT) within 5.6 MHz spectrum is not yet technically assessed.</w:t>
      </w:r>
    </w:p>
    <w:p w14:paraId="26D3804A" w14:textId="34CDE3C7" w:rsidR="00690704" w:rsidRPr="008946B0" w:rsidRDefault="00690704" w:rsidP="00870349">
      <w:pPr>
        <w:spacing w:before="240" w:after="60" w:line="240" w:lineRule="auto"/>
        <w:jc w:val="both"/>
        <w:rPr>
          <w:rFonts w:eastAsia="Calibri"/>
          <w:szCs w:val="22"/>
          <w:lang w:val="en-GB"/>
        </w:rPr>
      </w:pPr>
      <w:r w:rsidRPr="008946B0">
        <w:rPr>
          <w:rFonts w:eastAsia="Calibri"/>
          <w:szCs w:val="22"/>
          <w:lang w:val="en-GB"/>
        </w:rPr>
        <w:t xml:space="preserve">The guard-band </w:t>
      </w:r>
      <w:r w:rsidR="00EC6180" w:rsidRPr="008946B0">
        <w:rPr>
          <w:rFonts w:eastAsia="Calibri"/>
          <w:szCs w:val="22"/>
          <w:lang w:val="en-GB"/>
        </w:rPr>
        <w:t xml:space="preserve">operation </w:t>
      </w:r>
      <w:r w:rsidRPr="008946B0">
        <w:rPr>
          <w:rFonts w:eastAsia="Calibri"/>
          <w:szCs w:val="22"/>
          <w:lang w:val="en-GB"/>
        </w:rPr>
        <w:t xml:space="preserve">mode would require further study if a need for </w:t>
      </w:r>
      <w:r w:rsidR="00EC6180" w:rsidRPr="008946B0">
        <w:rPr>
          <w:rFonts w:eastAsia="Calibri"/>
          <w:szCs w:val="22"/>
          <w:lang w:val="en-GB"/>
        </w:rPr>
        <w:t>this use case</w:t>
      </w:r>
      <w:r w:rsidRPr="008946B0">
        <w:rPr>
          <w:rFonts w:eastAsia="Calibri"/>
          <w:szCs w:val="22"/>
          <w:lang w:val="en-GB"/>
        </w:rPr>
        <w:t xml:space="preserve"> is confirmed.</w:t>
      </w:r>
    </w:p>
    <w:p w14:paraId="1AED60B1" w14:textId="77777777" w:rsidR="005A47F3" w:rsidRPr="008946B0" w:rsidRDefault="00AB77EF">
      <w:pPr>
        <w:pStyle w:val="Heading2"/>
        <w:rPr>
          <w:rFonts w:eastAsia="Calibri"/>
          <w:lang w:val="en-GB"/>
        </w:rPr>
      </w:pPr>
      <w:bookmarkStart w:id="233" w:name="_Toc31719437"/>
      <w:bookmarkStart w:id="234" w:name="_Toc42722847"/>
      <w:bookmarkStart w:id="235" w:name="_Hlk31722943"/>
      <w:bookmarkEnd w:id="233"/>
      <w:r w:rsidRPr="008946B0">
        <w:rPr>
          <w:rFonts w:eastAsia="Calibri"/>
          <w:lang w:val="en-GB"/>
        </w:rPr>
        <w:t>Conclusion on feasibility</w:t>
      </w:r>
      <w:bookmarkEnd w:id="234"/>
    </w:p>
    <w:p w14:paraId="1FA3168F" w14:textId="77777777"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The 874.4-880 MHz / 919.4-925 MHz frequency band is feasible for RMR, provided that </w:t>
      </w:r>
      <w:r w:rsidR="00306FAD" w:rsidRPr="008946B0">
        <w:rPr>
          <w:rFonts w:eastAsia="Calibri"/>
          <w:szCs w:val="22"/>
          <w:lang w:val="en-GB"/>
        </w:rPr>
        <w:t>t</w:t>
      </w:r>
      <w:r w:rsidR="00711DE6" w:rsidRPr="008946B0">
        <w:rPr>
          <w:rFonts w:eastAsia="Calibri"/>
          <w:szCs w:val="22"/>
          <w:lang w:val="en-GB"/>
        </w:rPr>
        <w:t>he following conditions are met.</w:t>
      </w:r>
    </w:p>
    <w:p w14:paraId="1C9579EC" w14:textId="3F9A148B" w:rsidR="00F9446B" w:rsidRPr="008946B0" w:rsidRDefault="00F9446B" w:rsidP="00F9446B">
      <w:pPr>
        <w:spacing w:before="240" w:after="60" w:line="240" w:lineRule="auto"/>
        <w:jc w:val="both"/>
        <w:rPr>
          <w:rFonts w:eastAsia="Calibri"/>
          <w:szCs w:val="22"/>
          <w:lang w:val="en-GB"/>
        </w:rPr>
      </w:pPr>
      <w:r w:rsidRPr="008946B0">
        <w:rPr>
          <w:lang w:val="en-GB"/>
        </w:rPr>
        <w:t>1. RMR BS shall ensure coexistence with ECS BS receiving below 915 MHz. The statistical approach, as described in ECC Report 318, relying on existing GSM-R and ECS deployment data, was chosen to define the BEM which</w:t>
      </w:r>
      <w:r w:rsidRPr="008946B0">
        <w:rPr>
          <w:rFonts w:eastAsia="Calibri"/>
          <w:szCs w:val="22"/>
          <w:lang w:val="en-GB"/>
        </w:rPr>
        <w:t xml:space="preserve"> enables uncoordinated deployments, while ensuring an acceptably low occurrence probability of residual interference cases to be addressed at national level when interference occurs.</w:t>
      </w:r>
      <w:r w:rsidRPr="008946B0">
        <w:rPr>
          <w:lang w:val="en-GB"/>
        </w:rPr>
        <w:t xml:space="preserve"> The BEM for FRMCS will include channels of 1.4 MHz, 5 MHz and 5.6 MHz.</w:t>
      </w:r>
    </w:p>
    <w:p w14:paraId="38728D93" w14:textId="37F14F09" w:rsidR="00F9446B" w:rsidRPr="008946B0" w:rsidRDefault="00F9446B" w:rsidP="00F9446B">
      <w:pPr>
        <w:spacing w:before="240" w:after="60" w:line="240" w:lineRule="auto"/>
        <w:jc w:val="both"/>
        <w:rPr>
          <w:rFonts w:eastAsia="Calibri"/>
          <w:szCs w:val="22"/>
          <w:lang w:val="en-GB"/>
        </w:rPr>
      </w:pPr>
      <w:r w:rsidRPr="008946B0">
        <w:rPr>
          <w:rFonts w:eastAsia="Calibri"/>
          <w:szCs w:val="22"/>
          <w:lang w:val="en-GB"/>
        </w:rPr>
        <w:t xml:space="preserve">National regulation may allow </w:t>
      </w:r>
      <w:r w:rsidR="007D2FDA" w:rsidRPr="008946B0">
        <w:rPr>
          <w:rFonts w:eastAsia="Calibri"/>
          <w:szCs w:val="22"/>
          <w:lang w:val="en-GB"/>
        </w:rPr>
        <w:t>multiple carriers using wideband technologies</w:t>
      </w:r>
      <w:bookmarkStart w:id="236" w:name="_Ref40289328"/>
      <w:r w:rsidR="007D2FDA" w:rsidRPr="008946B0">
        <w:rPr>
          <w:rStyle w:val="FootnoteReference"/>
          <w:rFonts w:eastAsia="Calibri"/>
          <w:szCs w:val="22"/>
          <w:lang w:val="en-GB"/>
        </w:rPr>
        <w:footnoteReference w:id="16"/>
      </w:r>
      <w:bookmarkEnd w:id="236"/>
      <w:r w:rsidR="007D2FDA" w:rsidRPr="008946B0">
        <w:rPr>
          <w:rFonts w:eastAsia="Calibri"/>
          <w:szCs w:val="22"/>
          <w:lang w:val="en-GB"/>
        </w:rPr>
        <w:t xml:space="preserve"> </w:t>
      </w:r>
      <w:r w:rsidRPr="008946B0">
        <w:rPr>
          <w:rFonts w:eastAsia="Calibri"/>
          <w:szCs w:val="22"/>
          <w:lang w:val="en-GB"/>
        </w:rPr>
        <w:t xml:space="preserve">or higher e.i.r.p. for RMR BS than stated in the technical conditions, as long as no harmful interference on ECS BS can be ensured. </w:t>
      </w:r>
      <w:r w:rsidR="001E78BD" w:rsidRPr="008946B0">
        <w:rPr>
          <w:rFonts w:eastAsia="Calibri"/>
          <w:szCs w:val="22"/>
          <w:lang w:val="en-GB"/>
        </w:rPr>
        <w:t>As part of a national coordination procedure, t</w:t>
      </w:r>
      <w:r w:rsidRPr="008946B0">
        <w:rPr>
          <w:rFonts w:eastAsia="Calibri"/>
          <w:szCs w:val="22"/>
          <w:lang w:val="en-GB"/>
        </w:rPr>
        <w:t xml:space="preserve">he infrastructure manager could, for example, demonstrate </w:t>
      </w:r>
      <w:r w:rsidR="005E5485" w:rsidRPr="008946B0">
        <w:rPr>
          <w:rFonts w:eastAsia="Calibri"/>
          <w:szCs w:val="22"/>
          <w:lang w:val="en-GB"/>
        </w:rPr>
        <w:t>that</w:t>
      </w:r>
      <w:r w:rsidRPr="008946B0">
        <w:rPr>
          <w:rFonts w:eastAsia="Calibri"/>
          <w:szCs w:val="22"/>
          <w:lang w:val="en-GB"/>
        </w:rPr>
        <w:t xml:space="preserve"> a coexistence criterion with respect to each ECS BS in the vicinity of the RMR radio site</w:t>
      </w:r>
      <w:r w:rsidR="005E5485" w:rsidRPr="008946B0">
        <w:rPr>
          <w:rFonts w:eastAsia="Calibri"/>
          <w:szCs w:val="22"/>
          <w:lang w:val="en-GB"/>
        </w:rPr>
        <w:t xml:space="preserve"> is fulfilled</w:t>
      </w:r>
      <w:r w:rsidRPr="008946B0">
        <w:rPr>
          <w:rFonts w:eastAsia="Calibri"/>
          <w:szCs w:val="22"/>
          <w:lang w:val="en-GB"/>
        </w:rPr>
        <w:t xml:space="preserve">. The relevant national coordination procedure may differ from country to country, taking into account that coordination procedures with regard to ECS / GSM-R are already in force based on the guidance as described in ECC Report 229 </w:t>
      </w:r>
      <w:r w:rsidRPr="008946B0">
        <w:rPr>
          <w:rFonts w:eastAsia="Calibri"/>
          <w:szCs w:val="22"/>
          <w:lang w:val="en-GB"/>
        </w:rPr>
        <w:fldChar w:fldCharType="begin"/>
      </w:r>
      <w:r w:rsidRPr="008946B0">
        <w:rPr>
          <w:rFonts w:eastAsia="Calibri"/>
          <w:szCs w:val="22"/>
          <w:lang w:val="en-GB"/>
        </w:rPr>
        <w:instrText xml:space="preserve"> REF _Ref34310692 \r \h </w:instrText>
      </w:r>
      <w:r w:rsidRPr="008946B0">
        <w:rPr>
          <w:rFonts w:eastAsia="Calibri"/>
          <w:szCs w:val="22"/>
          <w:lang w:val="en-GB"/>
        </w:rPr>
      </w:r>
      <w:r w:rsidRPr="008946B0">
        <w:rPr>
          <w:rFonts w:eastAsia="Calibri"/>
          <w:szCs w:val="22"/>
          <w:lang w:val="en-GB"/>
        </w:rPr>
        <w:fldChar w:fldCharType="separate"/>
      </w:r>
      <w:r w:rsidRPr="008946B0">
        <w:rPr>
          <w:rFonts w:eastAsia="Calibri"/>
          <w:szCs w:val="22"/>
          <w:lang w:val="en-GB"/>
        </w:rPr>
        <w:t>[27]</w:t>
      </w:r>
      <w:r w:rsidRPr="008946B0">
        <w:rPr>
          <w:rFonts w:eastAsia="Calibri"/>
          <w:szCs w:val="22"/>
          <w:lang w:val="en-GB"/>
        </w:rPr>
        <w:fldChar w:fldCharType="end"/>
      </w:r>
      <w:r w:rsidRPr="008946B0">
        <w:rPr>
          <w:rFonts w:eastAsia="Calibri"/>
          <w:szCs w:val="22"/>
          <w:lang w:val="en-GB"/>
        </w:rPr>
        <w:t>.</w:t>
      </w:r>
    </w:p>
    <w:p w14:paraId="1DAE105A" w14:textId="00A7F8EE" w:rsidR="00F9446B" w:rsidRPr="008946B0" w:rsidRDefault="00F9446B" w:rsidP="00F9446B">
      <w:pPr>
        <w:pStyle w:val="FootnoteText"/>
        <w:spacing w:before="240" w:after="60" w:line="240" w:lineRule="auto"/>
        <w:jc w:val="both"/>
        <w:rPr>
          <w:lang w:val="en-GB"/>
        </w:rPr>
      </w:pPr>
      <w:r w:rsidRPr="008946B0">
        <w:rPr>
          <w:rFonts w:eastAsia="Calibri"/>
          <w:lang w:val="en-GB"/>
        </w:rPr>
        <w:t>2. FRMCS high-power cab-radios transmitting up to 31 dBm (output power)</w:t>
      </w:r>
      <w:r w:rsidR="00D963DF" w:rsidRPr="008946B0">
        <w:rPr>
          <w:lang w:val="en-GB"/>
        </w:rPr>
        <w:t xml:space="preserve"> </w:t>
      </w:r>
      <w:r w:rsidR="00D963DF" w:rsidRPr="008946B0">
        <w:rPr>
          <w:rFonts w:eastAsia="Calibri"/>
          <w:lang w:val="en-GB"/>
        </w:rPr>
        <w:t>can be allowed in 874.4-880 MHz provided that</w:t>
      </w:r>
      <w:r w:rsidRPr="008946B0">
        <w:rPr>
          <w:rFonts w:eastAsia="Calibri"/>
          <w:lang w:val="en-GB"/>
        </w:rPr>
        <w:t xml:space="preserve"> UL power control </w:t>
      </w:r>
      <w:r w:rsidR="00D963DF" w:rsidRPr="008946B0">
        <w:rPr>
          <w:rFonts w:eastAsia="Calibri"/>
          <w:lang w:val="en-GB"/>
        </w:rPr>
        <w:t xml:space="preserve">is </w:t>
      </w:r>
      <w:r w:rsidR="00EC4E03" w:rsidRPr="008946B0">
        <w:rPr>
          <w:rFonts w:eastAsia="Calibri"/>
          <w:lang w:val="en-GB"/>
        </w:rPr>
        <w:t>activated</w:t>
      </w:r>
      <w:r w:rsidR="00D963DF" w:rsidRPr="008946B0">
        <w:rPr>
          <w:rFonts w:eastAsia="Calibri"/>
          <w:lang w:val="en-GB"/>
        </w:rPr>
        <w:t>,</w:t>
      </w:r>
      <w:r w:rsidR="00EC4E03" w:rsidRPr="008946B0">
        <w:rPr>
          <w:rFonts w:eastAsia="Calibri"/>
          <w:lang w:val="en-GB"/>
        </w:rPr>
        <w:t xml:space="preserve"> </w:t>
      </w:r>
      <w:r w:rsidRPr="008946B0">
        <w:rPr>
          <w:lang w:val="en-GB"/>
        </w:rPr>
        <w:t xml:space="preserve">and </w:t>
      </w:r>
      <w:r w:rsidR="003E4CC1" w:rsidRPr="008946B0">
        <w:rPr>
          <w:lang w:val="en-GB"/>
        </w:rPr>
        <w:t xml:space="preserve">that </w:t>
      </w:r>
      <w:r w:rsidR="00D963DF" w:rsidRPr="008946B0">
        <w:rPr>
          <w:lang w:val="en-GB"/>
        </w:rPr>
        <w:t xml:space="preserve">FRMCS cab-radios are </w:t>
      </w:r>
      <w:r w:rsidRPr="008946B0">
        <w:rPr>
          <w:lang w:val="en-GB"/>
        </w:rPr>
        <w:t xml:space="preserve">compliant with an ACLR of 37 dB and 3GPP </w:t>
      </w:r>
      <w:r w:rsidR="00EC4E03" w:rsidRPr="008946B0">
        <w:rPr>
          <w:lang w:val="en-GB"/>
        </w:rPr>
        <w:t xml:space="preserve">LTE/NR </w:t>
      </w:r>
      <w:r w:rsidRPr="008946B0">
        <w:rPr>
          <w:lang w:val="en-GB"/>
        </w:rPr>
        <w:t>spectrum emission mask</w:t>
      </w:r>
      <w:r w:rsidRPr="008946B0">
        <w:rPr>
          <w:rFonts w:eastAsia="Calibri"/>
          <w:lang w:val="en-GB"/>
        </w:rPr>
        <w:t>.</w:t>
      </w:r>
    </w:p>
    <w:p w14:paraId="44D4D40C" w14:textId="35C9DE09" w:rsidR="00F9446B" w:rsidRPr="008946B0" w:rsidRDefault="00F9446B" w:rsidP="00F9446B">
      <w:pPr>
        <w:spacing w:before="240" w:after="60" w:line="240" w:lineRule="auto"/>
        <w:jc w:val="both"/>
        <w:rPr>
          <w:rFonts w:eastAsia="Calibri"/>
          <w:szCs w:val="22"/>
          <w:lang w:val="en-GB"/>
        </w:rPr>
      </w:pPr>
      <w:r w:rsidRPr="008946B0">
        <w:rPr>
          <w:rFonts w:eastAsia="Calibri"/>
          <w:szCs w:val="22"/>
          <w:lang w:val="en-GB"/>
        </w:rPr>
        <w:t xml:space="preserve">3. RMR cab-radios shall be robust against adjacent emissions, including ECS BS above 925 MHz, aerial UE using ECS below 915 MHz and SRD below 919.4 MHz. For the latter case, the </w:t>
      </w:r>
      <w:r w:rsidR="006B7244" w:rsidRPr="008946B0">
        <w:rPr>
          <w:rFonts w:eastAsia="Calibri"/>
          <w:szCs w:val="22"/>
          <w:lang w:val="en-GB"/>
        </w:rPr>
        <w:t xml:space="preserve">required </w:t>
      </w:r>
      <w:r w:rsidRPr="008946B0">
        <w:rPr>
          <w:rFonts w:eastAsia="Calibri"/>
          <w:szCs w:val="22"/>
          <w:lang w:val="en-GB"/>
        </w:rPr>
        <w:t>level of robustness is driven by 4W RFID interrogators. ETSI shall take the results of the studies into account when specifying the Harmonised European Standard for RMR cab-radios.</w:t>
      </w:r>
    </w:p>
    <w:p w14:paraId="515DB942" w14:textId="62AF2D3E" w:rsidR="00C8475B" w:rsidRPr="008946B0" w:rsidRDefault="00C8475B" w:rsidP="00C8475B">
      <w:pPr>
        <w:spacing w:before="240" w:after="60" w:line="240" w:lineRule="auto"/>
        <w:jc w:val="both"/>
        <w:rPr>
          <w:lang w:val="en-GB"/>
        </w:rPr>
      </w:pPr>
      <w:r w:rsidRPr="008946B0">
        <w:rPr>
          <w:lang w:val="en-GB"/>
        </w:rPr>
        <w:t>Improved GSM-R cab-radios as per ETSI TS 102 933-1</w:t>
      </w:r>
      <w:r w:rsidR="00D04729" w:rsidRPr="008946B0">
        <w:rPr>
          <w:lang w:val="en-GB"/>
        </w:rPr>
        <w:t xml:space="preserve"> </w:t>
      </w:r>
      <w:r w:rsidRPr="008946B0">
        <w:rPr>
          <w:lang w:val="en-GB"/>
        </w:rPr>
        <w:t xml:space="preserve">are currently </w:t>
      </w:r>
      <w:r w:rsidR="00101AD5" w:rsidRPr="008946B0">
        <w:rPr>
          <w:lang w:val="en-GB"/>
        </w:rPr>
        <w:t xml:space="preserve">being deployed and are </w:t>
      </w:r>
      <w:r w:rsidR="0095139D" w:rsidRPr="008946B0">
        <w:rPr>
          <w:lang w:val="en-GB"/>
        </w:rPr>
        <w:t>specified for the improved reception of GSM-R in the vicinity of intensive ECS emissions above 925 MHz, but the current GSM-R cab-radio receiver specification is less resilient against adjacent emissions from higher-power SRD below 919.4 MHz in some close proximity cases</w:t>
      </w:r>
      <w:r w:rsidR="00101AD5" w:rsidRPr="008946B0">
        <w:rPr>
          <w:lang w:val="en-GB"/>
        </w:rPr>
        <w:t>. Administrations may further consider the protection of GSM-R cab-radios</w:t>
      </w:r>
      <w:r w:rsidR="00101AD5" w:rsidRPr="008946B0">
        <w:rPr>
          <w:vertAlign w:val="superscript"/>
          <w:lang w:val="en-GB"/>
        </w:rPr>
        <w:footnoteReference w:id="17"/>
      </w:r>
      <w:r w:rsidR="00101AD5" w:rsidRPr="008946B0">
        <w:rPr>
          <w:lang w:val="en-GB"/>
        </w:rPr>
        <w:t xml:space="preserve"> if the requirements in 916.1-918.9 MHz on the GSM-R cab-radio receiver in Table 2 of ECC Report 313 are not met.</w:t>
      </w:r>
    </w:p>
    <w:p w14:paraId="1398F60A" w14:textId="756781B5" w:rsidR="00C8475B" w:rsidRPr="008946B0" w:rsidRDefault="00C8475B" w:rsidP="00C8475B">
      <w:pPr>
        <w:spacing w:before="240" w:after="60" w:line="240" w:lineRule="auto"/>
        <w:jc w:val="both"/>
        <w:rPr>
          <w:rFonts w:eastAsia="Calibri"/>
          <w:szCs w:val="22"/>
          <w:lang w:val="en-GB"/>
        </w:rPr>
      </w:pPr>
      <w:r w:rsidRPr="008946B0">
        <w:rPr>
          <w:rFonts w:eastAsia="Calibri"/>
          <w:szCs w:val="22"/>
          <w:lang w:val="en-GB"/>
        </w:rPr>
        <w:t xml:space="preserve">FRMCS cab-radios </w:t>
      </w:r>
      <w:r w:rsidR="0058043A" w:rsidRPr="008946B0">
        <w:rPr>
          <w:rFonts w:eastAsia="Calibri"/>
          <w:szCs w:val="22"/>
          <w:lang w:val="en-GB"/>
        </w:rPr>
        <w:t>need to</w:t>
      </w:r>
      <w:r w:rsidRPr="008946B0">
        <w:rPr>
          <w:rFonts w:eastAsia="Calibri"/>
          <w:szCs w:val="22"/>
          <w:lang w:val="en-GB"/>
        </w:rPr>
        <w:t xml:space="preserve"> fulfil the </w:t>
      </w:r>
      <w:r w:rsidR="00797261" w:rsidRPr="008946B0">
        <w:rPr>
          <w:rFonts w:eastAsia="Calibri"/>
          <w:szCs w:val="22"/>
          <w:lang w:val="en-GB"/>
        </w:rPr>
        <w:t>receiver characteristics</w:t>
      </w:r>
      <w:r w:rsidRPr="008946B0">
        <w:rPr>
          <w:rFonts w:eastAsia="Calibri"/>
          <w:szCs w:val="22"/>
          <w:lang w:val="en-GB"/>
        </w:rPr>
        <w:t xml:space="preserve"> determined in </w:t>
      </w:r>
      <w:r w:rsidR="00293DC9" w:rsidRPr="008946B0">
        <w:rPr>
          <w:rFonts w:eastAsia="Calibri"/>
          <w:szCs w:val="22"/>
          <w:lang w:val="en-GB"/>
        </w:rPr>
        <w:t>ECC Report 313</w:t>
      </w:r>
      <w:r w:rsidRPr="008946B0">
        <w:rPr>
          <w:rFonts w:eastAsia="Calibri"/>
          <w:szCs w:val="22"/>
          <w:lang w:val="en-GB"/>
        </w:rPr>
        <w:t>.</w:t>
      </w:r>
    </w:p>
    <w:p w14:paraId="6E23A809" w14:textId="1EE7E2F5" w:rsidR="002907F7" w:rsidRPr="008946B0" w:rsidRDefault="0086275D" w:rsidP="00797261">
      <w:pPr>
        <w:spacing w:before="240" w:after="60" w:line="240" w:lineRule="auto"/>
        <w:jc w:val="both"/>
        <w:rPr>
          <w:rFonts w:eastAsia="Calibri"/>
          <w:szCs w:val="22"/>
          <w:lang w:val="en-GB"/>
        </w:rPr>
      </w:pPr>
      <w:r w:rsidRPr="008946B0">
        <w:rPr>
          <w:rFonts w:eastAsia="Calibri"/>
          <w:szCs w:val="22"/>
          <w:lang w:val="en-GB"/>
        </w:rPr>
        <w:t xml:space="preserve">4. </w:t>
      </w:r>
      <w:r w:rsidR="002907F7" w:rsidRPr="008946B0">
        <w:rPr>
          <w:rFonts w:eastAsia="Calibri"/>
          <w:szCs w:val="22"/>
          <w:lang w:val="en-GB"/>
        </w:rPr>
        <w:t xml:space="preserve">RMR BS shall be robust against adjacent emissions, including SRD below 874.4 MHz. ETSI shall take the results of the studies into account when specifying the Harmonised </w:t>
      </w:r>
      <w:r w:rsidR="00053D9D" w:rsidRPr="008946B0">
        <w:rPr>
          <w:rFonts w:eastAsia="Calibri"/>
          <w:szCs w:val="22"/>
          <w:lang w:val="en-GB"/>
        </w:rPr>
        <w:t xml:space="preserve">European </w:t>
      </w:r>
      <w:r w:rsidR="002907F7" w:rsidRPr="008946B0">
        <w:rPr>
          <w:rFonts w:eastAsia="Calibri"/>
          <w:szCs w:val="22"/>
          <w:lang w:val="en-GB"/>
        </w:rPr>
        <w:t>Standard for RMR BS.</w:t>
      </w:r>
    </w:p>
    <w:p w14:paraId="5DB4B355" w14:textId="4295D5ED" w:rsidR="00706974" w:rsidRPr="008946B0" w:rsidRDefault="00706974" w:rsidP="00706974">
      <w:pPr>
        <w:spacing w:before="240" w:after="60" w:line="240" w:lineRule="auto"/>
        <w:jc w:val="both"/>
        <w:rPr>
          <w:rFonts w:eastAsia="Calibri"/>
          <w:szCs w:val="22"/>
          <w:lang w:val="en-GB"/>
        </w:rPr>
      </w:pPr>
      <w:r w:rsidRPr="008946B0">
        <w:rPr>
          <w:rFonts w:eastAsia="Calibri"/>
          <w:szCs w:val="22"/>
          <w:lang w:val="en-GB"/>
        </w:rPr>
        <w:t>5. W</w:t>
      </w:r>
      <w:r w:rsidRPr="008946B0">
        <w:rPr>
          <w:rFonts w:eastAsiaTheme="minorEastAsia" w:cs="Arial"/>
          <w:szCs w:val="20"/>
          <w:lang w:val="en-GB"/>
        </w:rPr>
        <w:t xml:space="preserve">hen in close vicinity to rail tracks, ECS BS unwanted emissions may cause interference to FRMCS cab-radio. In practice, to solve these cases, </w:t>
      </w:r>
      <w:r w:rsidR="00A667AF" w:rsidRPr="008946B0">
        <w:rPr>
          <w:rFonts w:eastAsiaTheme="minorEastAsia" w:cs="Arial"/>
          <w:szCs w:val="20"/>
          <w:lang w:val="en-GB"/>
        </w:rPr>
        <w:t xml:space="preserve">technical and/or operational </w:t>
      </w:r>
      <w:r w:rsidRPr="008946B0">
        <w:rPr>
          <w:rFonts w:eastAsiaTheme="minorEastAsia" w:cs="Arial"/>
          <w:szCs w:val="20"/>
          <w:lang w:val="en-GB"/>
        </w:rPr>
        <w:t>measures could be taken to ensure the coexistence of both ECS and FRMCS in parallel.</w:t>
      </w:r>
    </w:p>
    <w:p w14:paraId="31F1BA67" w14:textId="422066EF" w:rsidR="00C8475B" w:rsidRPr="008946B0" w:rsidRDefault="0086275D" w:rsidP="00C8475B">
      <w:pPr>
        <w:spacing w:before="240" w:after="60" w:line="240" w:lineRule="auto"/>
        <w:jc w:val="both"/>
        <w:rPr>
          <w:rFonts w:eastAsia="Calibri"/>
          <w:szCs w:val="22"/>
          <w:lang w:val="en-GB"/>
        </w:rPr>
      </w:pPr>
      <w:r w:rsidRPr="008946B0">
        <w:rPr>
          <w:rFonts w:eastAsia="Calibri"/>
          <w:szCs w:val="22"/>
          <w:lang w:val="en-GB"/>
        </w:rPr>
        <w:t xml:space="preserve">6. </w:t>
      </w:r>
      <w:r w:rsidR="002907F7" w:rsidRPr="008946B0">
        <w:rPr>
          <w:rFonts w:eastAsia="Calibri"/>
          <w:szCs w:val="22"/>
          <w:lang w:val="en-GB"/>
        </w:rPr>
        <w:t xml:space="preserve">With respect to </w:t>
      </w:r>
      <w:r w:rsidR="00BF1B34" w:rsidRPr="008946B0">
        <w:rPr>
          <w:rFonts w:eastAsia="Calibri"/>
          <w:szCs w:val="22"/>
          <w:lang w:val="en-GB"/>
        </w:rPr>
        <w:t xml:space="preserve">the use of </w:t>
      </w:r>
      <w:r w:rsidR="007D2FDA" w:rsidRPr="008946B0">
        <w:rPr>
          <w:rFonts w:eastAsia="Calibri"/>
          <w:szCs w:val="22"/>
          <w:lang w:val="en-GB"/>
        </w:rPr>
        <w:t xml:space="preserve">a single </w:t>
      </w:r>
      <w:r w:rsidR="002907F7" w:rsidRPr="008946B0">
        <w:rPr>
          <w:rFonts w:eastAsia="Calibri"/>
          <w:szCs w:val="22"/>
          <w:lang w:val="en-GB"/>
        </w:rPr>
        <w:t>NB-IoT</w:t>
      </w:r>
      <w:r w:rsidR="00BF1B34" w:rsidRPr="008946B0">
        <w:rPr>
          <w:rFonts w:eastAsia="Calibri"/>
          <w:szCs w:val="22"/>
          <w:lang w:val="en-GB"/>
        </w:rPr>
        <w:t xml:space="preserve"> </w:t>
      </w:r>
      <w:r w:rsidR="007D2FDA" w:rsidRPr="008946B0">
        <w:rPr>
          <w:rFonts w:eastAsia="Calibri"/>
          <w:szCs w:val="22"/>
          <w:lang w:val="en-GB"/>
        </w:rPr>
        <w:t xml:space="preserve">carrier </w:t>
      </w:r>
      <w:r w:rsidR="00BF1B34" w:rsidRPr="008946B0">
        <w:rPr>
          <w:rFonts w:eastAsia="Calibri"/>
          <w:szCs w:val="22"/>
          <w:lang w:val="en-GB"/>
        </w:rPr>
        <w:t>for FRMCS</w:t>
      </w:r>
      <w:r w:rsidR="002907F7" w:rsidRPr="008946B0">
        <w:rPr>
          <w:rFonts w:eastAsia="Calibri"/>
          <w:szCs w:val="22"/>
          <w:lang w:val="en-GB"/>
        </w:rPr>
        <w:t>, t</w:t>
      </w:r>
      <w:r w:rsidR="00C8475B" w:rsidRPr="008946B0">
        <w:rPr>
          <w:rFonts w:eastAsia="Calibri"/>
          <w:szCs w:val="22"/>
          <w:lang w:val="en-GB"/>
        </w:rPr>
        <w:t xml:space="preserve">he studies in </w:t>
      </w:r>
      <w:r w:rsidR="00031C83" w:rsidRPr="008946B0">
        <w:rPr>
          <w:lang w:val="en-GB"/>
        </w:rPr>
        <w:t>ECC Report</w:t>
      </w:r>
      <w:r w:rsidR="00EA0E67" w:rsidRPr="008946B0">
        <w:rPr>
          <w:lang w:val="en-GB"/>
        </w:rPr>
        <w:t xml:space="preserve"> 318</w:t>
      </w:r>
      <w:r w:rsidR="00C8475B" w:rsidRPr="008946B0">
        <w:rPr>
          <w:rFonts w:eastAsia="Calibri"/>
          <w:szCs w:val="22"/>
          <w:lang w:val="en-GB"/>
        </w:rPr>
        <w:t xml:space="preserve"> can be applied to the in-band </w:t>
      </w:r>
      <w:r w:rsidR="00BF1B34" w:rsidRPr="008946B0">
        <w:rPr>
          <w:rFonts w:eastAsia="Calibri"/>
          <w:szCs w:val="22"/>
          <w:lang w:val="en-GB"/>
        </w:rPr>
        <w:t xml:space="preserve">operation </w:t>
      </w:r>
      <w:r w:rsidR="00C8475B" w:rsidRPr="008946B0">
        <w:rPr>
          <w:rFonts w:eastAsia="Calibri"/>
          <w:szCs w:val="22"/>
          <w:lang w:val="en-GB"/>
        </w:rPr>
        <w:t xml:space="preserve">mode without power boost and to the standalone </w:t>
      </w:r>
      <w:r w:rsidR="00BF1B34" w:rsidRPr="008946B0">
        <w:rPr>
          <w:rFonts w:eastAsia="Calibri"/>
          <w:szCs w:val="22"/>
          <w:lang w:val="en-GB"/>
        </w:rPr>
        <w:t xml:space="preserve">operation </w:t>
      </w:r>
      <w:r w:rsidR="00C8475B" w:rsidRPr="008946B0">
        <w:rPr>
          <w:rFonts w:eastAsia="Calibri"/>
          <w:szCs w:val="22"/>
          <w:lang w:val="en-GB"/>
        </w:rPr>
        <w:t>mode.</w:t>
      </w:r>
      <w:r w:rsidR="00BF1B34" w:rsidRPr="008946B0">
        <w:rPr>
          <w:rFonts w:eastAsia="Calibri"/>
          <w:szCs w:val="22"/>
          <w:lang w:val="en-GB"/>
        </w:rPr>
        <w:t xml:space="preserve"> </w:t>
      </w:r>
      <w:r w:rsidR="00422EAB" w:rsidRPr="008946B0">
        <w:rPr>
          <w:rFonts w:eastAsia="Calibri"/>
          <w:szCs w:val="22"/>
          <w:lang w:val="en-GB"/>
        </w:rPr>
        <w:t xml:space="preserve">If </w:t>
      </w:r>
      <w:r w:rsidR="007D2FDA" w:rsidRPr="008946B0">
        <w:rPr>
          <w:rFonts w:eastAsia="Calibri"/>
          <w:szCs w:val="22"/>
          <w:lang w:val="en-GB"/>
        </w:rPr>
        <w:t>multiple carriers using wideband technologies</w:t>
      </w:r>
      <w:r w:rsidR="007D2FDA" w:rsidRPr="008946B0">
        <w:rPr>
          <w:rFonts w:eastAsia="Calibri"/>
          <w:szCs w:val="22"/>
          <w:vertAlign w:val="superscript"/>
          <w:lang w:val="en-GB"/>
        </w:rPr>
        <w:fldChar w:fldCharType="begin"/>
      </w:r>
      <w:r w:rsidR="007D2FDA" w:rsidRPr="008946B0">
        <w:rPr>
          <w:rFonts w:eastAsia="Calibri"/>
          <w:szCs w:val="22"/>
          <w:vertAlign w:val="superscript"/>
          <w:lang w:val="en-GB"/>
        </w:rPr>
        <w:instrText xml:space="preserve"> NOTEREF _Ref40289328 \h  \* MERGEFORMAT </w:instrText>
      </w:r>
      <w:r w:rsidR="007D2FDA" w:rsidRPr="008946B0">
        <w:rPr>
          <w:rFonts w:eastAsia="Calibri"/>
          <w:szCs w:val="22"/>
          <w:vertAlign w:val="superscript"/>
          <w:lang w:val="en-GB"/>
        </w:rPr>
      </w:r>
      <w:r w:rsidR="007D2FDA" w:rsidRPr="008946B0">
        <w:rPr>
          <w:rFonts w:eastAsia="Calibri"/>
          <w:szCs w:val="22"/>
          <w:vertAlign w:val="superscript"/>
          <w:lang w:val="en-GB"/>
        </w:rPr>
        <w:fldChar w:fldCharType="separate"/>
      </w:r>
      <w:r w:rsidR="00395046" w:rsidRPr="008946B0">
        <w:rPr>
          <w:rFonts w:eastAsia="Calibri"/>
          <w:szCs w:val="22"/>
          <w:vertAlign w:val="superscript"/>
          <w:lang w:val="en-GB"/>
        </w:rPr>
        <w:t>27</w:t>
      </w:r>
      <w:r w:rsidR="007D2FDA" w:rsidRPr="008946B0">
        <w:rPr>
          <w:rFonts w:eastAsia="Calibri"/>
          <w:szCs w:val="22"/>
          <w:vertAlign w:val="superscript"/>
          <w:lang w:val="en-GB"/>
        </w:rPr>
        <w:fldChar w:fldCharType="end"/>
      </w:r>
      <w:r w:rsidR="007D2FDA" w:rsidRPr="008946B0">
        <w:rPr>
          <w:rFonts w:eastAsia="Calibri"/>
          <w:szCs w:val="22"/>
          <w:lang w:val="en-GB"/>
        </w:rPr>
        <w:t xml:space="preserve"> or </w:t>
      </w:r>
      <w:r w:rsidR="00422EAB" w:rsidRPr="008946B0">
        <w:rPr>
          <w:rFonts w:eastAsia="Calibri"/>
          <w:szCs w:val="22"/>
          <w:lang w:val="en-GB"/>
        </w:rPr>
        <w:t>power boost were to be used for in-band NB-IoT, the BEM would not directly be applicable.</w:t>
      </w:r>
    </w:p>
    <w:p w14:paraId="1F5F6B2D" w14:textId="77777777" w:rsidR="005A47F3" w:rsidRPr="008946B0" w:rsidRDefault="00AB77EF">
      <w:pPr>
        <w:pStyle w:val="Heading1"/>
        <w:rPr>
          <w:rFonts w:eastAsia="Calibri"/>
        </w:rPr>
      </w:pPr>
      <w:bookmarkStart w:id="237" w:name="_Toc31104405"/>
      <w:bookmarkStart w:id="238" w:name="_Toc31112664"/>
      <w:bookmarkStart w:id="239" w:name="_Toc31131709"/>
      <w:bookmarkStart w:id="240" w:name="_Toc31237113"/>
      <w:bookmarkStart w:id="241" w:name="_Toc31294021"/>
      <w:bookmarkStart w:id="242" w:name="_Toc31719439"/>
      <w:bookmarkStart w:id="243" w:name="_Toc31104406"/>
      <w:bookmarkStart w:id="244" w:name="_Toc31112665"/>
      <w:bookmarkStart w:id="245" w:name="_Toc31131710"/>
      <w:bookmarkStart w:id="246" w:name="_Toc31237114"/>
      <w:bookmarkStart w:id="247" w:name="_Toc31294022"/>
      <w:bookmarkStart w:id="248" w:name="_Toc31719440"/>
      <w:bookmarkStart w:id="249" w:name="_Toc31104407"/>
      <w:bookmarkStart w:id="250" w:name="_Toc31112666"/>
      <w:bookmarkStart w:id="251" w:name="_Toc31131711"/>
      <w:bookmarkStart w:id="252" w:name="_Toc31237115"/>
      <w:bookmarkStart w:id="253" w:name="_Toc31294023"/>
      <w:bookmarkStart w:id="254" w:name="_Toc31719441"/>
      <w:bookmarkStart w:id="255" w:name="_Toc31104408"/>
      <w:bookmarkStart w:id="256" w:name="_Toc31112667"/>
      <w:bookmarkStart w:id="257" w:name="_Toc31131712"/>
      <w:bookmarkStart w:id="258" w:name="_Toc31237116"/>
      <w:bookmarkStart w:id="259" w:name="_Toc31294024"/>
      <w:bookmarkStart w:id="260" w:name="_Toc31719442"/>
      <w:bookmarkStart w:id="261" w:name="_Toc42722848"/>
      <w:bookmarkEnd w:id="235"/>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sidRPr="008946B0">
        <w:rPr>
          <w:rFonts w:eastAsia="Calibri"/>
        </w:rPr>
        <w:t>Technical feasibility of the 1900-1920 MHz band (task 3)</w:t>
      </w:r>
      <w:bookmarkEnd w:id="261"/>
    </w:p>
    <w:p w14:paraId="2A9F552C" w14:textId="77777777" w:rsidR="005A47F3" w:rsidRPr="008946B0" w:rsidRDefault="00AB77EF">
      <w:pPr>
        <w:pStyle w:val="Heading2"/>
        <w:rPr>
          <w:rFonts w:eastAsia="Calibri"/>
          <w:lang w:val="en-GB"/>
        </w:rPr>
      </w:pPr>
      <w:bookmarkStart w:id="262" w:name="_Toc42722849"/>
      <w:r w:rsidRPr="008946B0">
        <w:rPr>
          <w:rFonts w:eastAsia="Calibri"/>
          <w:lang w:val="en-GB"/>
        </w:rPr>
        <w:t>Coexistence with ECS</w:t>
      </w:r>
      <w:bookmarkEnd w:id="262"/>
    </w:p>
    <w:p w14:paraId="3D9338D3" w14:textId="77777777" w:rsidR="005A47F3" w:rsidRPr="008946B0" w:rsidRDefault="00AB77EF">
      <w:pPr>
        <w:pStyle w:val="Heading3"/>
        <w:rPr>
          <w:rFonts w:eastAsia="Calibri"/>
          <w:lang w:val="en-GB"/>
        </w:rPr>
      </w:pPr>
      <w:bookmarkStart w:id="263" w:name="_Toc42722850"/>
      <w:r w:rsidRPr="008946B0">
        <w:rPr>
          <w:rFonts w:eastAsia="Calibri"/>
          <w:lang w:val="en-GB"/>
        </w:rPr>
        <w:t>Impact of FRMCS on ECS BS receiving above 1920 MHz</w:t>
      </w:r>
      <w:bookmarkEnd w:id="263"/>
    </w:p>
    <w:p w14:paraId="53F7C733" w14:textId="77777777" w:rsidR="005A47F3" w:rsidRPr="008946B0" w:rsidRDefault="00AB77EF">
      <w:pPr>
        <w:numPr>
          <w:ilvl w:val="3"/>
          <w:numId w:val="1"/>
        </w:numPr>
        <w:spacing w:before="360" w:after="120"/>
        <w:outlineLvl w:val="3"/>
        <w:rPr>
          <w:rFonts w:eastAsia="Calibri" w:cs="Arial"/>
          <w:bCs/>
          <w:i/>
          <w:color w:val="D2232A"/>
          <w:szCs w:val="26"/>
          <w:lang w:val="en-GB"/>
        </w:rPr>
      </w:pPr>
      <w:bookmarkStart w:id="264" w:name="_Toc27864820"/>
      <w:bookmarkStart w:id="265" w:name="_Toc27223"/>
      <w:bookmarkStart w:id="266" w:name="_Toc42722851"/>
      <w:bookmarkEnd w:id="264"/>
      <w:r w:rsidRPr="008946B0">
        <w:rPr>
          <w:rFonts w:eastAsia="Calibri" w:cs="Arial"/>
          <w:bCs/>
          <w:i/>
          <w:color w:val="D2232A"/>
          <w:szCs w:val="26"/>
          <w:lang w:val="en-GB"/>
        </w:rPr>
        <w:t>FRMCS BS</w:t>
      </w:r>
      <w:bookmarkEnd w:id="265"/>
      <w:bookmarkEnd w:id="266"/>
    </w:p>
    <w:p w14:paraId="63A1D37B" w14:textId="7019A5EE" w:rsidR="005A47F3" w:rsidRPr="008946B0" w:rsidRDefault="00AB77EF">
      <w:pPr>
        <w:spacing w:before="240" w:after="60" w:line="240" w:lineRule="auto"/>
        <w:jc w:val="both"/>
        <w:rPr>
          <w:rFonts w:eastAsia="Calibri"/>
          <w:szCs w:val="22"/>
          <w:lang w:val="en-GB"/>
        </w:rPr>
      </w:pPr>
      <w:r w:rsidRPr="008946B0">
        <w:rPr>
          <w:rFonts w:eastAsia="Calibri"/>
          <w:szCs w:val="22"/>
          <w:lang w:val="en-GB"/>
        </w:rPr>
        <w:t>FRMCS BS are expected to operate in 1900-1910 MHz, which is 10 MHz away from the lower edge of the 3GPP UL band #1. Thus</w:t>
      </w:r>
      <w:r w:rsidR="00742980" w:rsidRPr="008946B0">
        <w:rPr>
          <w:rFonts w:eastAsia="Calibri"/>
          <w:szCs w:val="22"/>
          <w:lang w:val="en-GB"/>
        </w:rPr>
        <w:t>,</w:t>
      </w:r>
      <w:r w:rsidRPr="008946B0">
        <w:rPr>
          <w:rFonts w:eastAsia="Calibri"/>
          <w:szCs w:val="22"/>
          <w:lang w:val="en-GB"/>
        </w:rPr>
        <w:t xml:space="preserve"> </w:t>
      </w:r>
      <w:r w:rsidR="00A73F59" w:rsidRPr="008946B0">
        <w:rPr>
          <w:rFonts w:eastAsia="Calibri"/>
          <w:szCs w:val="22"/>
          <w:lang w:val="en-GB"/>
        </w:rPr>
        <w:t>FRMCS BS</w:t>
      </w:r>
      <w:r w:rsidRPr="008946B0">
        <w:rPr>
          <w:rFonts w:eastAsia="Calibri"/>
          <w:szCs w:val="22"/>
          <w:lang w:val="en-GB"/>
        </w:rPr>
        <w:t xml:space="preserve"> may interfere ECS BS receiving above 1920 MHz.</w:t>
      </w:r>
    </w:p>
    <w:p w14:paraId="523AFB5C" w14:textId="404342BC" w:rsidR="002F7BE1" w:rsidRPr="008946B0" w:rsidRDefault="000B18BB">
      <w:pPr>
        <w:spacing w:before="240" w:after="60" w:line="240" w:lineRule="auto"/>
        <w:jc w:val="both"/>
        <w:rPr>
          <w:lang w:val="en-GB"/>
        </w:rPr>
      </w:pPr>
      <w:r w:rsidRPr="000B18BB">
        <w:rPr>
          <w:lang w:val="en-GB"/>
        </w:rPr>
        <w:t xml:space="preserve">For uncoordinated deployment, the BEM for FRMCS BS will assume </w:t>
      </w:r>
      <w:r w:rsidRPr="000B18BB">
        <w:rPr>
          <w:rFonts w:eastAsia="Calibri"/>
          <w:szCs w:val="22"/>
          <w:lang w:val="en-GB"/>
        </w:rPr>
        <w:t xml:space="preserve">that ECS BS have enhanced selectivity </w:t>
      </w:r>
      <w:r w:rsidRPr="000B18BB">
        <w:rPr>
          <w:lang w:val="en-GB"/>
        </w:rPr>
        <w:t>compared to the current Harmonised European Standards. This would facilitate coexistence with FRMCS BS transmitting up to 65 dBm e.i.r.p.</w:t>
      </w:r>
      <w:r>
        <w:rPr>
          <w:lang w:val="en-GB"/>
        </w:rPr>
        <w:t xml:space="preserve"> w</w:t>
      </w:r>
      <w:r w:rsidR="00AB77EF" w:rsidRPr="008946B0">
        <w:rPr>
          <w:rFonts w:eastAsia="Calibri"/>
          <w:szCs w:val="22"/>
          <w:lang w:val="en-GB"/>
        </w:rPr>
        <w:t xml:space="preserve">ith the aim of having a future-proof regulation and allowing macro coverage. </w:t>
      </w:r>
      <w:r>
        <w:rPr>
          <w:lang w:val="en-GB"/>
        </w:rPr>
        <w:t>Current</w:t>
      </w:r>
      <w:r w:rsidR="00AB77EF" w:rsidRPr="008946B0">
        <w:rPr>
          <w:lang w:val="en-GB"/>
        </w:rPr>
        <w:t xml:space="preserve"> ECS BS located near an FRMCS radio site</w:t>
      </w:r>
      <w:r w:rsidR="00AB77EF" w:rsidRPr="000B18BB">
        <w:rPr>
          <w:lang w:val="en-GB"/>
        </w:rPr>
        <w:t xml:space="preserve"> may need to be adapted, </w:t>
      </w:r>
      <w:r>
        <w:rPr>
          <w:lang w:val="en-GB"/>
        </w:rPr>
        <w:t>in such a way</w:t>
      </w:r>
      <w:r w:rsidR="00AB77EF" w:rsidRPr="000B18BB">
        <w:rPr>
          <w:lang w:val="en-GB"/>
        </w:rPr>
        <w:t xml:space="preserve"> that they do not suffer interference from FRMCS</w:t>
      </w:r>
      <w:r w:rsidR="00AB77EF" w:rsidRPr="008946B0">
        <w:rPr>
          <w:lang w:val="en-GB"/>
        </w:rPr>
        <w:t xml:space="preserve">. </w:t>
      </w:r>
      <w:r w:rsidR="002F7BE1" w:rsidRPr="008946B0">
        <w:rPr>
          <w:lang w:val="en-GB"/>
        </w:rPr>
        <w:t xml:space="preserve">In such case, additional mitigation techniques would be needed, such as the upgrade of the ECS BS selectivity </w:t>
      </w:r>
      <w:r w:rsidR="00B00BBF" w:rsidRPr="008946B0">
        <w:rPr>
          <w:lang w:val="en-GB"/>
        </w:rPr>
        <w:t>or on a case-by-case basis adjustment of antenna directivity, azimuth, tilt, etc. of the FRMCS and/or ECS BS</w:t>
      </w:r>
      <w:r w:rsidRPr="0060189F">
        <w:rPr>
          <w:rStyle w:val="FootnoteReference"/>
          <w:lang w:val="en-GB"/>
        </w:rPr>
        <w:footnoteReference w:id="18"/>
      </w:r>
      <w:r w:rsidR="00B00BBF" w:rsidRPr="008946B0">
        <w:rPr>
          <w:lang w:val="en-GB"/>
        </w:rPr>
        <w:t>.</w:t>
      </w:r>
    </w:p>
    <w:p w14:paraId="4B5FE5CF" w14:textId="6BE73F0E" w:rsidR="005A47F3" w:rsidRPr="008946B0" w:rsidRDefault="00B56490">
      <w:pPr>
        <w:spacing w:before="240" w:after="60" w:line="240" w:lineRule="auto"/>
        <w:jc w:val="both"/>
        <w:rPr>
          <w:rFonts w:eastAsia="Calibri"/>
          <w:szCs w:val="22"/>
          <w:lang w:val="en-GB"/>
        </w:rPr>
      </w:pPr>
      <w:r w:rsidRPr="008946B0">
        <w:rPr>
          <w:rFonts w:eastAsia="Calibri"/>
          <w:szCs w:val="22"/>
          <w:lang w:val="en-GB"/>
        </w:rPr>
        <w:t xml:space="preserve">The improvement of the ECS </w:t>
      </w:r>
      <w:r w:rsidR="00BD573B" w:rsidRPr="008946B0">
        <w:rPr>
          <w:rFonts w:eastAsia="Calibri"/>
          <w:szCs w:val="22"/>
          <w:lang w:val="en-GB"/>
        </w:rPr>
        <w:t xml:space="preserve">BS </w:t>
      </w:r>
      <w:r w:rsidRPr="008946B0">
        <w:rPr>
          <w:rFonts w:eastAsia="Calibri"/>
          <w:szCs w:val="22"/>
          <w:lang w:val="en-GB"/>
        </w:rPr>
        <w:t>selectivity</w:t>
      </w:r>
      <w:r w:rsidR="00FB207B" w:rsidRPr="008946B0">
        <w:rPr>
          <w:rFonts w:eastAsia="Calibri"/>
          <w:szCs w:val="22"/>
          <w:lang w:val="en-GB"/>
        </w:rPr>
        <w:t xml:space="preserve"> </w:t>
      </w:r>
      <w:r w:rsidR="00D03F20" w:rsidRPr="008946B0">
        <w:rPr>
          <w:rFonts w:eastAsia="Calibri"/>
          <w:szCs w:val="22"/>
          <w:lang w:val="en-GB"/>
        </w:rPr>
        <w:t xml:space="preserve">for those ECS BS near the railway tracks </w:t>
      </w:r>
      <w:r w:rsidR="00FB207B" w:rsidRPr="008946B0">
        <w:rPr>
          <w:rFonts w:eastAsia="Calibri"/>
          <w:szCs w:val="22"/>
          <w:lang w:val="en-GB"/>
        </w:rPr>
        <w:t xml:space="preserve">to enable </w:t>
      </w:r>
      <w:r w:rsidR="005727F7" w:rsidRPr="008946B0">
        <w:rPr>
          <w:rFonts w:eastAsia="Calibri"/>
          <w:szCs w:val="22"/>
          <w:lang w:val="en-GB"/>
        </w:rPr>
        <w:t xml:space="preserve">a more </w:t>
      </w:r>
      <w:r w:rsidR="00FB207B" w:rsidRPr="008946B0">
        <w:rPr>
          <w:rFonts w:eastAsia="Calibri"/>
          <w:szCs w:val="22"/>
          <w:lang w:val="en-GB"/>
        </w:rPr>
        <w:t>efficient use of spectrum by FRMCS</w:t>
      </w:r>
      <w:r w:rsidR="00AB77EF" w:rsidRPr="008946B0">
        <w:rPr>
          <w:rFonts w:eastAsia="Calibri"/>
          <w:szCs w:val="22"/>
          <w:lang w:val="en-GB"/>
        </w:rPr>
        <w:t xml:space="preserve"> can be achieved either </w:t>
      </w:r>
      <w:r w:rsidR="008B6D51" w:rsidRPr="008946B0">
        <w:rPr>
          <w:rFonts w:eastAsia="Calibri"/>
          <w:szCs w:val="22"/>
          <w:lang w:val="en-GB"/>
        </w:rPr>
        <w:t>with</w:t>
      </w:r>
      <w:r w:rsidR="00AB77EF" w:rsidRPr="008946B0">
        <w:rPr>
          <w:rFonts w:eastAsia="Calibri"/>
          <w:szCs w:val="22"/>
          <w:lang w:val="en-GB"/>
        </w:rPr>
        <w:t xml:space="preserve">in new radio units of ECS BS or by adding external filter to existing radio units operating with passive antenna systems. Enhanced selectivity </w:t>
      </w:r>
      <w:r w:rsidR="00360790" w:rsidRPr="008946B0">
        <w:rPr>
          <w:rFonts w:eastAsia="Calibri"/>
          <w:szCs w:val="22"/>
          <w:lang w:val="en-GB"/>
        </w:rPr>
        <w:t>sh</w:t>
      </w:r>
      <w:r w:rsidR="00AB77EF" w:rsidRPr="008946B0">
        <w:rPr>
          <w:rFonts w:eastAsia="Calibri"/>
          <w:szCs w:val="22"/>
          <w:lang w:val="en-GB"/>
        </w:rPr>
        <w:t xml:space="preserve">ould be included (potentially as a specific receiver class) in the relevant ECS BS Harmonised </w:t>
      </w:r>
      <w:r w:rsidR="00053D9D" w:rsidRPr="008946B0">
        <w:rPr>
          <w:rFonts w:eastAsia="Calibri"/>
          <w:szCs w:val="22"/>
          <w:lang w:val="en-GB"/>
        </w:rPr>
        <w:t xml:space="preserve">European </w:t>
      </w:r>
      <w:r w:rsidR="00AB77EF" w:rsidRPr="008946B0">
        <w:rPr>
          <w:rFonts w:eastAsia="Calibri"/>
          <w:szCs w:val="22"/>
          <w:lang w:val="en-GB"/>
        </w:rPr>
        <w:t>Standards so that new</w:t>
      </w:r>
      <w:r w:rsidR="00795D20" w:rsidRPr="008946B0">
        <w:rPr>
          <w:rFonts w:eastAsia="Calibri"/>
          <w:szCs w:val="22"/>
          <w:lang w:val="en-GB"/>
        </w:rPr>
        <w:t>ly introduced</w:t>
      </w:r>
      <w:r w:rsidR="00AB77EF" w:rsidRPr="008946B0">
        <w:rPr>
          <w:rFonts w:eastAsia="Calibri"/>
          <w:szCs w:val="22"/>
          <w:lang w:val="en-GB"/>
        </w:rPr>
        <w:t xml:space="preserve"> products placed on the market based on this update natively fulfil this requirement.</w:t>
      </w:r>
      <w:r w:rsidR="00BD573B" w:rsidRPr="008946B0">
        <w:rPr>
          <w:rFonts w:eastAsia="Calibri"/>
          <w:szCs w:val="22"/>
          <w:lang w:val="en-GB"/>
        </w:rPr>
        <w:t xml:space="preserve"> It is assumed that</w:t>
      </w:r>
      <w:r w:rsidR="005727F7" w:rsidRPr="008946B0">
        <w:rPr>
          <w:rFonts w:eastAsia="Calibri"/>
          <w:szCs w:val="22"/>
          <w:lang w:val="en-GB"/>
        </w:rPr>
        <w:t>,</w:t>
      </w:r>
      <w:r w:rsidR="00BD573B" w:rsidRPr="008946B0">
        <w:rPr>
          <w:rFonts w:eastAsia="Calibri"/>
          <w:szCs w:val="22"/>
          <w:lang w:val="en-GB"/>
        </w:rPr>
        <w:t xml:space="preserve"> at the time of FRMCS rollout, </w:t>
      </w:r>
      <w:r w:rsidR="005727F7" w:rsidRPr="008946B0">
        <w:rPr>
          <w:rFonts w:eastAsia="Calibri"/>
          <w:szCs w:val="22"/>
          <w:lang w:val="en-GB"/>
        </w:rPr>
        <w:t xml:space="preserve">there </w:t>
      </w:r>
      <w:r w:rsidR="00A57203" w:rsidRPr="008946B0">
        <w:rPr>
          <w:rFonts w:eastAsia="Calibri"/>
          <w:szCs w:val="22"/>
          <w:lang w:val="en-GB"/>
        </w:rPr>
        <w:t>will be</w:t>
      </w:r>
      <w:r w:rsidR="005727F7" w:rsidRPr="008946B0">
        <w:rPr>
          <w:rFonts w:eastAsia="Calibri"/>
          <w:szCs w:val="22"/>
          <w:lang w:val="en-GB"/>
        </w:rPr>
        <w:t xml:space="preserve"> </w:t>
      </w:r>
      <w:r w:rsidR="00BD573B" w:rsidRPr="008946B0">
        <w:rPr>
          <w:rFonts w:eastAsia="Calibri"/>
          <w:szCs w:val="22"/>
          <w:lang w:val="en-GB"/>
        </w:rPr>
        <w:t xml:space="preserve">ECS </w:t>
      </w:r>
      <w:r w:rsidR="0084625C" w:rsidRPr="008946B0">
        <w:rPr>
          <w:rFonts w:eastAsia="Calibri"/>
          <w:szCs w:val="22"/>
          <w:lang w:val="en-GB"/>
        </w:rPr>
        <w:t xml:space="preserve">BS </w:t>
      </w:r>
      <w:r w:rsidR="00BD573B" w:rsidRPr="008946B0">
        <w:rPr>
          <w:rFonts w:eastAsia="Calibri"/>
          <w:szCs w:val="22"/>
          <w:lang w:val="en-GB"/>
        </w:rPr>
        <w:t xml:space="preserve">equipment available </w:t>
      </w:r>
      <w:r w:rsidR="005727F7" w:rsidRPr="008946B0">
        <w:rPr>
          <w:rFonts w:eastAsia="Calibri"/>
          <w:szCs w:val="22"/>
          <w:lang w:val="en-GB"/>
        </w:rPr>
        <w:t xml:space="preserve">that </w:t>
      </w:r>
      <w:r w:rsidR="0084625C" w:rsidRPr="008946B0">
        <w:rPr>
          <w:rFonts w:eastAsia="Calibri"/>
          <w:szCs w:val="22"/>
          <w:lang w:val="en-GB"/>
        </w:rPr>
        <w:t>meets this improved selectivity</w:t>
      </w:r>
      <w:r w:rsidR="00BD573B" w:rsidRPr="008946B0">
        <w:rPr>
          <w:rFonts w:eastAsia="Calibri"/>
          <w:szCs w:val="22"/>
          <w:lang w:val="en-GB"/>
        </w:rPr>
        <w:t>.</w:t>
      </w:r>
    </w:p>
    <w:p w14:paraId="699125C7" w14:textId="7FF90377" w:rsidR="00D1726F" w:rsidRPr="008946B0" w:rsidRDefault="00D1726F">
      <w:pPr>
        <w:spacing w:before="240" w:after="60" w:line="240" w:lineRule="auto"/>
        <w:jc w:val="both"/>
        <w:rPr>
          <w:rFonts w:eastAsia="SimSun"/>
          <w:lang w:val="en-GB"/>
        </w:rPr>
      </w:pPr>
      <w:r w:rsidRPr="008946B0">
        <w:rPr>
          <w:rFonts w:eastAsia="Calibri"/>
          <w:szCs w:val="22"/>
          <w:lang w:val="en-GB"/>
        </w:rPr>
        <w:t>The technical feasibility of improved receiver selectivity for ECS BS with AAS needs further study within the industry. An enhanced selectivity is assumed to be feasible for non-AAS ECS BS, although associated with some additional complexity and cost.</w:t>
      </w:r>
    </w:p>
    <w:p w14:paraId="39001941" w14:textId="216AECB5" w:rsidR="005A47F3" w:rsidRPr="008946B0" w:rsidRDefault="00085B3A" w:rsidP="00795D20">
      <w:pPr>
        <w:spacing w:before="240" w:after="60" w:line="240" w:lineRule="auto"/>
        <w:jc w:val="both"/>
        <w:rPr>
          <w:rFonts w:eastAsia="Calibri"/>
          <w:szCs w:val="22"/>
          <w:lang w:val="en-GB"/>
        </w:rPr>
      </w:pPr>
      <w:r w:rsidRPr="008946B0">
        <w:rPr>
          <w:rFonts w:eastAsia="Calibri"/>
          <w:szCs w:val="22"/>
          <w:lang w:val="en-GB"/>
        </w:rPr>
        <w:t xml:space="preserve">The BEM for FRMCS BS </w:t>
      </w:r>
      <w:r w:rsidR="00D47CC1" w:rsidRPr="008946B0">
        <w:rPr>
          <w:rFonts w:eastAsia="Calibri"/>
          <w:szCs w:val="22"/>
          <w:lang w:val="en-GB"/>
        </w:rPr>
        <w:t xml:space="preserve">will </w:t>
      </w:r>
      <w:r w:rsidRPr="008946B0">
        <w:rPr>
          <w:rFonts w:eastAsia="Calibri"/>
          <w:szCs w:val="22"/>
          <w:lang w:val="en-GB"/>
        </w:rPr>
        <w:t>assume ECS BS with enhanced selectivity.</w:t>
      </w:r>
      <w:r w:rsidR="00AB77EF" w:rsidRPr="008946B0">
        <w:rPr>
          <w:lang w:val="en-GB"/>
        </w:rPr>
        <w:t xml:space="preserve"> In order to ensure that the ECS operators have enough time to adapt the concerned radio sites, </w:t>
      </w:r>
      <w:r w:rsidR="00795D20" w:rsidRPr="008946B0">
        <w:rPr>
          <w:lang w:val="en-GB"/>
        </w:rPr>
        <w:t>they should have, sufficiently far in advance, information on the rollout of a new FRMCS BS in 1900-1910 MHz</w:t>
      </w:r>
      <w:r w:rsidR="00AB77EF" w:rsidRPr="008946B0">
        <w:rPr>
          <w:lang w:val="en-GB"/>
        </w:rPr>
        <w:t>.</w:t>
      </w:r>
    </w:p>
    <w:p w14:paraId="53D5B166" w14:textId="77777777" w:rsidR="005A47F3" w:rsidRPr="008946B0" w:rsidRDefault="00AB77EF">
      <w:pPr>
        <w:spacing w:before="240" w:after="60" w:line="240" w:lineRule="auto"/>
        <w:jc w:val="both"/>
        <w:rPr>
          <w:lang w:val="en-GB"/>
        </w:rPr>
      </w:pPr>
      <w:r w:rsidRPr="008946B0">
        <w:rPr>
          <w:lang w:val="en-GB"/>
        </w:rPr>
        <w:t>The BEM for FRMCS will include one channel of 10 MHz.</w:t>
      </w:r>
    </w:p>
    <w:p w14:paraId="459DE4BC" w14:textId="77777777" w:rsidR="005A47F3" w:rsidRPr="008946B0" w:rsidRDefault="00AB77EF">
      <w:pPr>
        <w:numPr>
          <w:ilvl w:val="3"/>
          <w:numId w:val="1"/>
        </w:numPr>
        <w:spacing w:before="360" w:after="120"/>
        <w:outlineLvl w:val="3"/>
        <w:rPr>
          <w:rFonts w:eastAsia="Calibri" w:cs="Arial"/>
          <w:bCs/>
          <w:i/>
          <w:color w:val="D2232A"/>
          <w:szCs w:val="26"/>
          <w:lang w:val="en-GB"/>
        </w:rPr>
      </w:pPr>
      <w:bookmarkStart w:id="267" w:name="_Toc31104413"/>
      <w:bookmarkStart w:id="268" w:name="_Toc31112672"/>
      <w:bookmarkStart w:id="269" w:name="_Toc31131717"/>
      <w:bookmarkStart w:id="270" w:name="_Toc31237121"/>
      <w:bookmarkStart w:id="271" w:name="_Toc31294029"/>
      <w:bookmarkStart w:id="272" w:name="_Toc31719447"/>
      <w:bookmarkStart w:id="273" w:name="_Toc9730"/>
      <w:bookmarkStart w:id="274" w:name="_Toc42722852"/>
      <w:bookmarkEnd w:id="267"/>
      <w:bookmarkEnd w:id="268"/>
      <w:bookmarkEnd w:id="269"/>
      <w:bookmarkEnd w:id="270"/>
      <w:bookmarkEnd w:id="271"/>
      <w:bookmarkEnd w:id="272"/>
      <w:r w:rsidRPr="008946B0">
        <w:rPr>
          <w:rFonts w:eastAsia="Calibri" w:cs="Arial"/>
          <w:bCs/>
          <w:i/>
          <w:color w:val="D2232A"/>
          <w:szCs w:val="26"/>
          <w:lang w:val="en-GB"/>
        </w:rPr>
        <w:t>FRMCS cab-radio</w:t>
      </w:r>
      <w:bookmarkEnd w:id="273"/>
      <w:bookmarkEnd w:id="274"/>
    </w:p>
    <w:p w14:paraId="6D6FF5F0" w14:textId="153B9ABE" w:rsidR="00D10AB0" w:rsidRPr="008946B0" w:rsidRDefault="00EC4E03" w:rsidP="00D10AB0">
      <w:pPr>
        <w:spacing w:before="240" w:after="60" w:line="240" w:lineRule="auto"/>
        <w:jc w:val="both"/>
        <w:rPr>
          <w:lang w:val="en-GB"/>
        </w:rPr>
      </w:pPr>
      <w:r w:rsidRPr="008946B0">
        <w:rPr>
          <w:lang w:val="en-GB"/>
        </w:rPr>
        <w:t xml:space="preserve">According to ECC Report 318, </w:t>
      </w:r>
      <w:r w:rsidR="00D10AB0" w:rsidRPr="008946B0">
        <w:rPr>
          <w:lang w:val="en-GB"/>
        </w:rPr>
        <w:t>FRMCS high-power cab-radios transmitting up to 31 dBm (output power)</w:t>
      </w:r>
      <w:r w:rsidR="00E93727" w:rsidRPr="008946B0">
        <w:rPr>
          <w:lang w:val="en-GB"/>
        </w:rPr>
        <w:t xml:space="preserve"> can be allowed in 1900-1910 MHz provided that</w:t>
      </w:r>
      <w:r w:rsidR="00D10AB0" w:rsidRPr="008946B0">
        <w:rPr>
          <w:lang w:val="en-GB"/>
        </w:rPr>
        <w:t xml:space="preserve"> UL power control </w:t>
      </w:r>
      <w:r w:rsidR="00E93727" w:rsidRPr="008946B0">
        <w:rPr>
          <w:lang w:val="en-GB"/>
        </w:rPr>
        <w:t xml:space="preserve">is </w:t>
      </w:r>
      <w:r w:rsidRPr="008946B0">
        <w:rPr>
          <w:lang w:val="en-GB"/>
        </w:rPr>
        <w:t>activated</w:t>
      </w:r>
      <w:r w:rsidR="00126E49" w:rsidRPr="008946B0">
        <w:rPr>
          <w:lang w:val="en-GB"/>
        </w:rPr>
        <w:t>,</w:t>
      </w:r>
      <w:r w:rsidRPr="008946B0">
        <w:rPr>
          <w:lang w:val="en-GB"/>
        </w:rPr>
        <w:t xml:space="preserve"> </w:t>
      </w:r>
      <w:r w:rsidR="00D10AB0" w:rsidRPr="008946B0">
        <w:rPr>
          <w:lang w:val="en-GB"/>
        </w:rPr>
        <w:t>and</w:t>
      </w:r>
      <w:r w:rsidR="00427FD5" w:rsidRPr="008946B0">
        <w:rPr>
          <w:lang w:val="en-GB"/>
        </w:rPr>
        <w:t xml:space="preserve"> </w:t>
      </w:r>
      <w:r w:rsidR="00ED3A37" w:rsidRPr="008946B0">
        <w:rPr>
          <w:lang w:val="en-GB"/>
        </w:rPr>
        <w:t xml:space="preserve">that </w:t>
      </w:r>
      <w:r w:rsidR="00126E49" w:rsidRPr="008946B0">
        <w:rPr>
          <w:lang w:val="en-GB"/>
        </w:rPr>
        <w:t>FRMCS cab-radios are</w:t>
      </w:r>
      <w:r w:rsidR="00E93727" w:rsidRPr="008946B0">
        <w:rPr>
          <w:lang w:val="en-GB"/>
        </w:rPr>
        <w:t xml:space="preserve"> </w:t>
      </w:r>
      <w:r w:rsidRPr="008946B0">
        <w:rPr>
          <w:lang w:val="en-GB"/>
        </w:rPr>
        <w:t xml:space="preserve">compliant with </w:t>
      </w:r>
      <w:r w:rsidR="00D10AB0" w:rsidRPr="008946B0">
        <w:rPr>
          <w:lang w:val="en-GB"/>
        </w:rPr>
        <w:t xml:space="preserve">an ACLR of 37 dB </w:t>
      </w:r>
      <w:r w:rsidRPr="008946B0">
        <w:rPr>
          <w:lang w:val="en-GB"/>
        </w:rPr>
        <w:t>and 3GPP LTE/NR spectrum emission mask</w:t>
      </w:r>
      <w:r w:rsidR="00D10AB0" w:rsidRPr="008946B0">
        <w:rPr>
          <w:lang w:val="en-GB"/>
        </w:rPr>
        <w:t>.</w:t>
      </w:r>
    </w:p>
    <w:p w14:paraId="39355809" w14:textId="77777777" w:rsidR="005A47F3" w:rsidRPr="008946B0" w:rsidRDefault="00AB77EF" w:rsidP="00BA34AA">
      <w:pPr>
        <w:pStyle w:val="Heading3"/>
        <w:rPr>
          <w:rFonts w:eastAsia="Calibri"/>
          <w:lang w:val="en-GB"/>
        </w:rPr>
      </w:pPr>
      <w:bookmarkStart w:id="275" w:name="_Toc38558011"/>
      <w:bookmarkStart w:id="276" w:name="_Toc40453156"/>
      <w:bookmarkStart w:id="277" w:name="_Toc40456615"/>
      <w:bookmarkStart w:id="278" w:name="_Toc42722853"/>
      <w:bookmarkStart w:id="279" w:name="_Toc38558012"/>
      <w:bookmarkStart w:id="280" w:name="_Toc40453157"/>
      <w:bookmarkStart w:id="281" w:name="_Toc40456616"/>
      <w:bookmarkStart w:id="282" w:name="_Toc42722854"/>
      <w:bookmarkStart w:id="283" w:name="_Toc38558013"/>
      <w:bookmarkStart w:id="284" w:name="_Toc40453158"/>
      <w:bookmarkStart w:id="285" w:name="_Toc40456617"/>
      <w:bookmarkStart w:id="286" w:name="_Toc42722855"/>
      <w:bookmarkStart w:id="287" w:name="_Toc38558014"/>
      <w:bookmarkStart w:id="288" w:name="_Toc40453159"/>
      <w:bookmarkStart w:id="289" w:name="_Toc40456618"/>
      <w:bookmarkStart w:id="290" w:name="_Toc42722856"/>
      <w:bookmarkStart w:id="291" w:name="_Toc38558015"/>
      <w:bookmarkStart w:id="292" w:name="_Toc40453160"/>
      <w:bookmarkStart w:id="293" w:name="_Toc40456619"/>
      <w:bookmarkStart w:id="294" w:name="_Toc42722857"/>
      <w:bookmarkStart w:id="295" w:name="_Toc27146902"/>
      <w:bookmarkStart w:id="296" w:name="_Toc27864823"/>
      <w:bookmarkStart w:id="297" w:name="_Toc27146903"/>
      <w:bookmarkStart w:id="298" w:name="_Toc27864824"/>
      <w:bookmarkStart w:id="299" w:name="_Toc42722858"/>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sidRPr="008946B0">
        <w:rPr>
          <w:rFonts w:eastAsia="Calibri"/>
          <w:lang w:val="en-GB"/>
        </w:rPr>
        <w:t>Impact of ECS BS below 1880 MHz on FRMCS</w:t>
      </w:r>
      <w:bookmarkEnd w:id="299"/>
    </w:p>
    <w:p w14:paraId="4E7F20B1" w14:textId="265BBEB5" w:rsidR="005A47F3" w:rsidRPr="008946B0" w:rsidRDefault="00293DC9">
      <w:pPr>
        <w:spacing w:before="240" w:after="60" w:line="240" w:lineRule="auto"/>
        <w:jc w:val="both"/>
        <w:rPr>
          <w:rFonts w:eastAsia="Calibri"/>
          <w:szCs w:val="20"/>
          <w:lang w:val="en-GB"/>
        </w:rPr>
      </w:pPr>
      <w:r w:rsidRPr="008946B0">
        <w:rPr>
          <w:rFonts w:eastAsia="Calibri"/>
          <w:szCs w:val="20"/>
          <w:lang w:val="en-GB"/>
        </w:rPr>
        <w:t>ECC Report 314</w:t>
      </w:r>
      <w:r w:rsidR="00AB77EF" w:rsidRPr="008946B0">
        <w:rPr>
          <w:rFonts w:eastAsia="Calibri"/>
          <w:szCs w:val="20"/>
          <w:lang w:val="en-GB"/>
        </w:rPr>
        <w:t xml:space="preserve"> determined the need to improve the receiver characteristics of both FRMCS BS and cab-radios, compared to 3GPP specification for band #39, </w:t>
      </w:r>
      <w:r w:rsidR="00495CD5" w:rsidRPr="008946B0">
        <w:rPr>
          <w:rFonts w:eastAsia="Calibri"/>
          <w:szCs w:val="20"/>
          <w:lang w:val="en-GB"/>
        </w:rPr>
        <w:t>in a way</w:t>
      </w:r>
      <w:r w:rsidR="00AB77EF" w:rsidRPr="008946B0">
        <w:rPr>
          <w:rFonts w:eastAsia="Calibri"/>
          <w:szCs w:val="20"/>
          <w:lang w:val="en-GB"/>
        </w:rPr>
        <w:t xml:space="preserve"> that they can cope with ECS BS transmitting below 1880 MHz.</w:t>
      </w:r>
    </w:p>
    <w:p w14:paraId="7E1614D1" w14:textId="77777777" w:rsidR="005A47F3" w:rsidRPr="008946B0" w:rsidRDefault="00AB77EF">
      <w:pPr>
        <w:pStyle w:val="Heading3"/>
        <w:rPr>
          <w:rFonts w:eastAsia="Calibri"/>
          <w:szCs w:val="20"/>
          <w:lang w:val="en-GB"/>
        </w:rPr>
      </w:pPr>
      <w:bookmarkStart w:id="300" w:name="_Toc42722859"/>
      <w:r w:rsidRPr="008946B0">
        <w:rPr>
          <w:rFonts w:eastAsia="Calibri"/>
          <w:szCs w:val="20"/>
          <w:lang w:val="en-GB"/>
        </w:rPr>
        <w:t>Impact of aerial UE above 1920 MHz on FRMCS</w:t>
      </w:r>
      <w:bookmarkEnd w:id="300"/>
    </w:p>
    <w:p w14:paraId="3029930F" w14:textId="27C76E09" w:rsidR="005A47F3" w:rsidRPr="008946B0" w:rsidRDefault="00AB77EF">
      <w:pPr>
        <w:spacing w:before="240" w:after="60" w:line="240" w:lineRule="auto"/>
        <w:jc w:val="both"/>
        <w:rPr>
          <w:rFonts w:eastAsia="Calibri"/>
          <w:szCs w:val="20"/>
          <w:lang w:val="en-GB"/>
        </w:rPr>
      </w:pPr>
      <w:r w:rsidRPr="008946B0">
        <w:rPr>
          <w:rFonts w:eastAsia="Calibri"/>
          <w:szCs w:val="20"/>
          <w:lang w:val="en-GB"/>
        </w:rPr>
        <w:t>This section assesses whether aerial UE in the uplink band 1920-1980 MHz may interfere FRMCS cab-radios receiving in 1900-1910 MHz through blocking effects and unwanted emissions.</w:t>
      </w:r>
    </w:p>
    <w:p w14:paraId="45FB671D" w14:textId="7EAEACC6" w:rsidR="005A47F3" w:rsidRPr="008946B0" w:rsidRDefault="00293DC9">
      <w:pPr>
        <w:spacing w:before="240" w:after="60" w:line="240" w:lineRule="auto"/>
        <w:jc w:val="both"/>
        <w:rPr>
          <w:rFonts w:eastAsia="Calibri"/>
          <w:szCs w:val="20"/>
          <w:lang w:val="en-GB"/>
        </w:rPr>
      </w:pPr>
      <w:r w:rsidRPr="008946B0">
        <w:rPr>
          <w:rFonts w:eastAsia="Calibri"/>
          <w:szCs w:val="20"/>
          <w:lang w:val="en-GB"/>
        </w:rPr>
        <w:t>ECC Report 314</w:t>
      </w:r>
      <w:r w:rsidR="00AB77EF" w:rsidRPr="008946B0">
        <w:rPr>
          <w:rFonts w:eastAsia="Calibri"/>
          <w:szCs w:val="20"/>
          <w:lang w:val="en-GB"/>
        </w:rPr>
        <w:t xml:space="preserve"> determined the need to improve the receiver characteristics of the FRMCS cab-radio, compared to 3GPP specification for band #39, </w:t>
      </w:r>
      <w:r w:rsidR="00495CD5" w:rsidRPr="008946B0">
        <w:rPr>
          <w:rFonts w:eastAsia="Calibri"/>
          <w:szCs w:val="20"/>
          <w:lang w:val="en-GB"/>
        </w:rPr>
        <w:t>in a way</w:t>
      </w:r>
      <w:r w:rsidR="00AB77EF" w:rsidRPr="008946B0">
        <w:rPr>
          <w:rFonts w:eastAsia="Calibri"/>
          <w:szCs w:val="20"/>
          <w:lang w:val="en-GB"/>
        </w:rPr>
        <w:t xml:space="preserve"> that it can cope with aerial UE using ECS above 1920 MHz.</w:t>
      </w:r>
    </w:p>
    <w:p w14:paraId="58AF9402" w14:textId="19E13659" w:rsidR="005A47F3" w:rsidRPr="008946B0" w:rsidRDefault="00AB77EF">
      <w:pPr>
        <w:spacing w:before="240" w:after="60" w:line="240" w:lineRule="auto"/>
        <w:jc w:val="both"/>
        <w:rPr>
          <w:rFonts w:eastAsia="Calibri"/>
          <w:szCs w:val="20"/>
          <w:lang w:val="en-GB"/>
        </w:rPr>
      </w:pPr>
      <w:r w:rsidRPr="008946B0">
        <w:rPr>
          <w:rFonts w:eastAsia="Calibri"/>
          <w:szCs w:val="20"/>
          <w:lang w:val="en-GB"/>
        </w:rPr>
        <w:t>ECC Report 309</w:t>
      </w:r>
      <w:r w:rsidR="00031C83" w:rsidRPr="008946B0">
        <w:rPr>
          <w:rFonts w:eastAsia="Calibri"/>
          <w:szCs w:val="20"/>
          <w:lang w:val="en-GB"/>
        </w:rPr>
        <w:t xml:space="preserve"> </w:t>
      </w:r>
      <w:r w:rsidRPr="008946B0">
        <w:rPr>
          <w:rFonts w:eastAsia="Calibri"/>
          <w:szCs w:val="20"/>
          <w:lang w:val="en-GB"/>
        </w:rPr>
        <w:t xml:space="preserve">concluded that </w:t>
      </w:r>
      <w:r w:rsidR="00D10AB0" w:rsidRPr="008946B0">
        <w:rPr>
          <w:lang w:val="en-GB"/>
        </w:rPr>
        <w:t>no specific measure is necessary to be applied to the aerial UE operating above 1920 MHz for the protection of FRMCS cab-radio receiver at 1900-1910 MHz</w:t>
      </w:r>
      <w:r w:rsidRPr="008946B0">
        <w:rPr>
          <w:rFonts w:eastAsia="Calibri"/>
          <w:szCs w:val="20"/>
          <w:lang w:val="en-GB"/>
        </w:rPr>
        <w:t>.</w:t>
      </w:r>
    </w:p>
    <w:p w14:paraId="112548EB" w14:textId="77777777" w:rsidR="005A47F3" w:rsidRPr="008946B0" w:rsidRDefault="00AB77EF">
      <w:pPr>
        <w:pStyle w:val="Heading2"/>
        <w:rPr>
          <w:rFonts w:eastAsia="Calibri"/>
          <w:szCs w:val="20"/>
          <w:lang w:val="en-GB"/>
        </w:rPr>
      </w:pPr>
      <w:bookmarkStart w:id="301" w:name="_Toc31104417"/>
      <w:bookmarkStart w:id="302" w:name="_Toc31112676"/>
      <w:bookmarkStart w:id="303" w:name="_Toc31131721"/>
      <w:bookmarkStart w:id="304" w:name="_Toc31237125"/>
      <w:bookmarkStart w:id="305" w:name="_Toc31294033"/>
      <w:bookmarkStart w:id="306" w:name="_Toc31719451"/>
      <w:bookmarkStart w:id="307" w:name="_Toc42722860"/>
      <w:bookmarkEnd w:id="301"/>
      <w:bookmarkEnd w:id="302"/>
      <w:bookmarkEnd w:id="303"/>
      <w:bookmarkEnd w:id="304"/>
      <w:bookmarkEnd w:id="305"/>
      <w:bookmarkEnd w:id="306"/>
      <w:r w:rsidRPr="008946B0">
        <w:rPr>
          <w:rFonts w:eastAsia="Calibri"/>
          <w:szCs w:val="20"/>
          <w:lang w:val="en-GB"/>
        </w:rPr>
        <w:t>Coexistence with DECT below 1900 MHz</w:t>
      </w:r>
      <w:bookmarkEnd w:id="307"/>
    </w:p>
    <w:p w14:paraId="3496C20E" w14:textId="77777777" w:rsidR="00D07663" w:rsidRPr="008946B0" w:rsidRDefault="00D07663" w:rsidP="00D07663">
      <w:pPr>
        <w:numPr>
          <w:ilvl w:val="3"/>
          <w:numId w:val="1"/>
        </w:numPr>
        <w:spacing w:before="360" w:after="120"/>
        <w:outlineLvl w:val="3"/>
        <w:rPr>
          <w:rFonts w:eastAsia="Calibri" w:cs="Arial"/>
          <w:bCs/>
          <w:i/>
          <w:color w:val="D2232A"/>
          <w:szCs w:val="20"/>
          <w:lang w:val="en-GB"/>
        </w:rPr>
      </w:pPr>
      <w:bookmarkStart w:id="308" w:name="_Toc31104419"/>
      <w:bookmarkStart w:id="309" w:name="_Toc31112678"/>
      <w:bookmarkStart w:id="310" w:name="_Toc31131723"/>
      <w:bookmarkStart w:id="311" w:name="_Toc31237127"/>
      <w:bookmarkStart w:id="312" w:name="_Toc31294035"/>
      <w:bookmarkStart w:id="313" w:name="_Toc31719453"/>
      <w:bookmarkStart w:id="314" w:name="_Toc31104420"/>
      <w:bookmarkStart w:id="315" w:name="_Toc31112679"/>
      <w:bookmarkStart w:id="316" w:name="_Toc31131724"/>
      <w:bookmarkStart w:id="317" w:name="_Toc31237128"/>
      <w:bookmarkStart w:id="318" w:name="_Toc31294036"/>
      <w:bookmarkStart w:id="319" w:name="_Toc31719454"/>
      <w:bookmarkStart w:id="320" w:name="_Toc42722861"/>
      <w:bookmarkStart w:id="321" w:name="_Toc27116"/>
      <w:bookmarkEnd w:id="308"/>
      <w:bookmarkEnd w:id="309"/>
      <w:bookmarkEnd w:id="310"/>
      <w:bookmarkEnd w:id="311"/>
      <w:bookmarkEnd w:id="312"/>
      <w:bookmarkEnd w:id="313"/>
      <w:bookmarkEnd w:id="314"/>
      <w:bookmarkEnd w:id="315"/>
      <w:bookmarkEnd w:id="316"/>
      <w:bookmarkEnd w:id="317"/>
      <w:bookmarkEnd w:id="318"/>
      <w:bookmarkEnd w:id="319"/>
      <w:r w:rsidRPr="008946B0">
        <w:rPr>
          <w:rFonts w:eastAsia="Calibri" w:cs="Arial"/>
          <w:bCs/>
          <w:i/>
          <w:color w:val="D2232A"/>
          <w:szCs w:val="20"/>
          <w:lang w:val="en-GB"/>
        </w:rPr>
        <w:t>Results of the studies</w:t>
      </w:r>
      <w:bookmarkEnd w:id="320"/>
    </w:p>
    <w:p w14:paraId="169F6FA0" w14:textId="421E820E" w:rsidR="00D07663" w:rsidRPr="008946B0" w:rsidRDefault="00D07663" w:rsidP="00BF1AD3">
      <w:pPr>
        <w:spacing w:before="240" w:after="60" w:line="240" w:lineRule="auto"/>
        <w:jc w:val="both"/>
        <w:rPr>
          <w:rFonts w:eastAsia="Calibri"/>
          <w:szCs w:val="20"/>
          <w:lang w:val="en-GB"/>
        </w:rPr>
      </w:pPr>
      <w:r w:rsidRPr="008946B0">
        <w:rPr>
          <w:rFonts w:eastAsia="Calibri"/>
          <w:szCs w:val="20"/>
          <w:lang w:val="en-GB"/>
        </w:rPr>
        <w:t xml:space="preserve">ECC Report 314 studied adjacent compatibility between DECT and FRMCS. Overall, it is understood that FRMCS and DECT, adjacent to each other, will </w:t>
      </w:r>
      <w:r w:rsidR="00772640" w:rsidRPr="008946B0">
        <w:rPr>
          <w:rFonts w:eastAsia="Calibri"/>
          <w:szCs w:val="20"/>
          <w:lang w:val="en-GB"/>
        </w:rPr>
        <w:t xml:space="preserve">generally </w:t>
      </w:r>
      <w:r w:rsidRPr="008946B0">
        <w:rPr>
          <w:rFonts w:eastAsia="Calibri"/>
          <w:szCs w:val="20"/>
          <w:lang w:val="en-GB"/>
        </w:rPr>
        <w:t>coexist. Where the DECT usage density is not high, the Dynamic Channel Selection (DCS) algorithm implemented in DECT would then allow the communication to use one of the DECT channels that do not experience interference.</w:t>
      </w:r>
    </w:p>
    <w:p w14:paraId="7D8A0D1C" w14:textId="0EB909A2" w:rsidR="00D07663" w:rsidRPr="008946B0" w:rsidRDefault="00BF1AD3" w:rsidP="00D07663">
      <w:pPr>
        <w:spacing w:before="240" w:after="60" w:line="240" w:lineRule="auto"/>
        <w:jc w:val="both"/>
        <w:rPr>
          <w:rFonts w:eastAsia="Calibri"/>
          <w:szCs w:val="20"/>
          <w:lang w:val="en-GB"/>
        </w:rPr>
      </w:pPr>
      <w:r w:rsidRPr="008946B0">
        <w:rPr>
          <w:rFonts w:eastAsia="Calibri"/>
          <w:szCs w:val="20"/>
          <w:lang w:val="en-GB"/>
        </w:rPr>
        <w:t>In some worst case</w:t>
      </w:r>
      <w:r w:rsidR="00167733" w:rsidRPr="008946B0">
        <w:rPr>
          <w:rFonts w:eastAsia="Calibri"/>
          <w:szCs w:val="20"/>
          <w:lang w:val="en-GB"/>
        </w:rPr>
        <w:t xml:space="preserve"> scenario</w:t>
      </w:r>
      <w:r w:rsidRPr="008946B0">
        <w:rPr>
          <w:rFonts w:eastAsia="Calibri"/>
          <w:szCs w:val="20"/>
          <w:lang w:val="en-GB"/>
        </w:rPr>
        <w:t>s,</w:t>
      </w:r>
      <w:r w:rsidR="004F7D47" w:rsidRPr="008946B0">
        <w:rPr>
          <w:rFonts w:eastAsia="Calibri"/>
          <w:szCs w:val="20"/>
          <w:lang w:val="en-GB"/>
        </w:rPr>
        <w:t xml:space="preserve"> </w:t>
      </w:r>
      <w:r w:rsidR="004F7D47" w:rsidRPr="008946B0">
        <w:rPr>
          <w:lang w:val="en-GB"/>
        </w:rPr>
        <w:t>measures to enable coexistence</w:t>
      </w:r>
      <w:r w:rsidR="004F7D47" w:rsidRPr="008946B0">
        <w:rPr>
          <w:rFonts w:eastAsia="Calibri"/>
          <w:szCs w:val="20"/>
          <w:lang w:val="en-GB"/>
        </w:rPr>
        <w:t xml:space="preserve"> between DECT</w:t>
      </w:r>
      <w:r w:rsidR="004F7D47" w:rsidRPr="008946B0">
        <w:rPr>
          <w:lang w:val="en-GB"/>
        </w:rPr>
        <w:t xml:space="preserve"> in 1880-1900 MHz and RMR in 1900-1910 MHz</w:t>
      </w:r>
      <w:r w:rsidR="004F7D47" w:rsidRPr="008946B0">
        <w:rPr>
          <w:rFonts w:eastAsia="Calibri"/>
          <w:szCs w:val="20"/>
          <w:lang w:val="en-GB"/>
        </w:rPr>
        <w:t xml:space="preserve"> might be needed</w:t>
      </w:r>
      <w:r w:rsidR="00D07663" w:rsidRPr="008946B0">
        <w:rPr>
          <w:rFonts w:eastAsia="Calibri"/>
          <w:szCs w:val="20"/>
          <w:lang w:val="en-GB"/>
        </w:rPr>
        <w:t xml:space="preserve">, when information </w:t>
      </w:r>
      <w:r w:rsidR="004F7D47" w:rsidRPr="008946B0">
        <w:rPr>
          <w:rFonts w:eastAsia="Calibri"/>
          <w:szCs w:val="20"/>
          <w:lang w:val="en-GB"/>
        </w:rPr>
        <w:t xml:space="preserve">on DECT local deployment </w:t>
      </w:r>
      <w:r w:rsidR="00D07663" w:rsidRPr="008946B0">
        <w:rPr>
          <w:rFonts w:eastAsia="Calibri"/>
          <w:szCs w:val="20"/>
          <w:lang w:val="en-GB"/>
        </w:rPr>
        <w:t>is made available.</w:t>
      </w:r>
      <w:r w:rsidR="00D6225D" w:rsidRPr="008946B0">
        <w:rPr>
          <w:rFonts w:eastAsia="Calibri"/>
          <w:szCs w:val="20"/>
          <w:lang w:val="en-GB"/>
        </w:rPr>
        <w:t xml:space="preserve"> </w:t>
      </w:r>
      <w:r w:rsidR="00D6225D" w:rsidRPr="008946B0">
        <w:rPr>
          <w:lang w:val="en-GB"/>
        </w:rPr>
        <w:t xml:space="preserve">DECT is a licence-exempt system and there is </w:t>
      </w:r>
      <w:r w:rsidR="00E04D71" w:rsidRPr="008946B0">
        <w:rPr>
          <w:lang w:val="en-GB"/>
        </w:rPr>
        <w:t xml:space="preserve">generally </w:t>
      </w:r>
      <w:r w:rsidR="00D6225D" w:rsidRPr="008946B0">
        <w:rPr>
          <w:lang w:val="en-GB"/>
        </w:rPr>
        <w:t>no record of locations.</w:t>
      </w:r>
      <w:r w:rsidR="00D6225D" w:rsidRPr="008946B0" w:rsidDel="006A52BF">
        <w:rPr>
          <w:lang w:val="en-GB"/>
        </w:rPr>
        <w:t xml:space="preserve"> </w:t>
      </w:r>
      <w:r w:rsidR="00D6225D" w:rsidRPr="008946B0">
        <w:rPr>
          <w:lang w:val="en-GB"/>
        </w:rPr>
        <w:t>Additionally, many PMSE type high-density activities will be of a temporary nature.</w:t>
      </w:r>
    </w:p>
    <w:p w14:paraId="6CD47B92" w14:textId="77777777" w:rsidR="005A47F3" w:rsidRPr="008946B0" w:rsidRDefault="00AB77EF">
      <w:pPr>
        <w:numPr>
          <w:ilvl w:val="3"/>
          <w:numId w:val="1"/>
        </w:numPr>
        <w:spacing w:before="360" w:after="120"/>
        <w:outlineLvl w:val="3"/>
        <w:rPr>
          <w:rFonts w:eastAsia="Calibri" w:cs="Arial"/>
          <w:bCs/>
          <w:i/>
          <w:color w:val="D2232A"/>
          <w:szCs w:val="20"/>
          <w:lang w:val="en-GB"/>
        </w:rPr>
      </w:pPr>
      <w:bookmarkStart w:id="322" w:name="_Toc42722862"/>
      <w:r w:rsidRPr="008946B0">
        <w:rPr>
          <w:rFonts w:eastAsia="Calibri" w:cs="Arial"/>
          <w:bCs/>
          <w:i/>
          <w:color w:val="D2232A"/>
          <w:szCs w:val="20"/>
          <w:lang w:val="en-GB"/>
        </w:rPr>
        <w:t>Comparison with current situation</w:t>
      </w:r>
      <w:bookmarkEnd w:id="321"/>
      <w:bookmarkEnd w:id="322"/>
    </w:p>
    <w:p w14:paraId="2E959351" w14:textId="56AEE874" w:rsidR="005A47F3" w:rsidRPr="008946B0" w:rsidRDefault="00AB77EF">
      <w:pPr>
        <w:spacing w:before="240" w:after="60" w:line="240" w:lineRule="auto"/>
        <w:jc w:val="both"/>
        <w:rPr>
          <w:rFonts w:eastAsia="Calibri"/>
          <w:szCs w:val="20"/>
          <w:lang w:val="en-GB"/>
        </w:rPr>
      </w:pPr>
      <w:r w:rsidRPr="008946B0">
        <w:rPr>
          <w:rFonts w:eastAsia="Calibri"/>
          <w:szCs w:val="20"/>
          <w:lang w:val="en-GB"/>
        </w:rPr>
        <w:t>As of today, DECT is harmonised in the 1880-1900 MHz frequency band and already coexist with ECS BS transmitting in 1805-1880 MHz, which is DL band #3. ECS BS may transmit up to 64 dBm e.i.r.p. and beyond. No harmful interference case has been reported so far on DECT.</w:t>
      </w:r>
    </w:p>
    <w:p w14:paraId="3B4146E5" w14:textId="77777777" w:rsidR="005A47F3" w:rsidRPr="008946B0" w:rsidRDefault="00AB77EF">
      <w:pPr>
        <w:spacing w:before="240" w:after="60" w:line="240" w:lineRule="auto"/>
        <w:jc w:val="both"/>
        <w:rPr>
          <w:rFonts w:eastAsia="Calibri"/>
          <w:szCs w:val="20"/>
          <w:lang w:val="en-GB"/>
        </w:rPr>
      </w:pPr>
      <w:r w:rsidRPr="008946B0">
        <w:rPr>
          <w:rFonts w:eastAsia="Calibri"/>
          <w:szCs w:val="20"/>
          <w:lang w:val="en-GB"/>
        </w:rPr>
        <w:t xml:space="preserve">Compared to ECS, the density of RMR radio sites is much lower and the RMR coverage </w:t>
      </w:r>
      <w:r w:rsidRPr="008946B0">
        <w:rPr>
          <w:rFonts w:cs="Arial"/>
          <w:szCs w:val="20"/>
          <w:lang w:val="en-GB"/>
        </w:rPr>
        <w:t>is largely focused on railway track and railway areas following curvilinear geometries when public networks focus on optimized area-based coverage of population concentrations.</w:t>
      </w:r>
    </w:p>
    <w:p w14:paraId="52498912" w14:textId="6BB334D6" w:rsidR="005A47F3" w:rsidRPr="008946B0" w:rsidRDefault="00AB77EF">
      <w:pPr>
        <w:spacing w:before="240" w:after="60" w:line="240" w:lineRule="auto"/>
        <w:jc w:val="both"/>
        <w:rPr>
          <w:rFonts w:eastAsia="Calibri"/>
          <w:szCs w:val="20"/>
          <w:lang w:val="en-GB"/>
        </w:rPr>
      </w:pPr>
      <w:r w:rsidRPr="008946B0">
        <w:rPr>
          <w:rFonts w:eastAsia="Calibri"/>
          <w:szCs w:val="20"/>
          <w:lang w:val="en-GB"/>
        </w:rPr>
        <w:t xml:space="preserve">Hence, </w:t>
      </w:r>
      <w:r w:rsidR="00B11F11" w:rsidRPr="008946B0">
        <w:rPr>
          <w:rFonts w:eastAsia="Calibri"/>
          <w:szCs w:val="20"/>
          <w:lang w:val="en-GB"/>
        </w:rPr>
        <w:t>based on the current situation</w:t>
      </w:r>
      <w:r w:rsidR="006D66E1" w:rsidRPr="008946B0">
        <w:rPr>
          <w:rFonts w:eastAsia="Calibri"/>
          <w:szCs w:val="20"/>
          <w:lang w:val="en-GB"/>
        </w:rPr>
        <w:t xml:space="preserve">, </w:t>
      </w:r>
      <w:r w:rsidR="003855C6" w:rsidRPr="008946B0">
        <w:rPr>
          <w:rFonts w:eastAsia="Calibri"/>
          <w:szCs w:val="20"/>
          <w:lang w:val="en-GB"/>
        </w:rPr>
        <w:t>a low probability of</w:t>
      </w:r>
      <w:r w:rsidRPr="008946B0">
        <w:rPr>
          <w:rFonts w:eastAsia="Calibri"/>
          <w:szCs w:val="20"/>
          <w:lang w:val="en-GB"/>
        </w:rPr>
        <w:t xml:space="preserve"> harmful interference on DECT is expected from FRMCS in 1900-1910 MHz.</w:t>
      </w:r>
    </w:p>
    <w:p w14:paraId="4C2944A2" w14:textId="77777777" w:rsidR="005A47F3" w:rsidRPr="008946B0" w:rsidRDefault="00AB77EF">
      <w:pPr>
        <w:pStyle w:val="Heading2"/>
        <w:rPr>
          <w:rFonts w:eastAsia="Calibri"/>
          <w:lang w:val="en-GB"/>
        </w:rPr>
      </w:pPr>
      <w:bookmarkStart w:id="323" w:name="_Toc42722863"/>
      <w:r w:rsidRPr="008946B0">
        <w:rPr>
          <w:rFonts w:eastAsia="Calibri"/>
          <w:lang w:val="en-GB"/>
        </w:rPr>
        <w:t>Coexistence with UAS</w:t>
      </w:r>
      <w:bookmarkEnd w:id="323"/>
    </w:p>
    <w:p w14:paraId="663AD656" w14:textId="77777777" w:rsidR="005A47F3" w:rsidRPr="008946B0" w:rsidRDefault="00AB77EF">
      <w:pPr>
        <w:pStyle w:val="Heading3"/>
        <w:rPr>
          <w:rFonts w:eastAsia="Calibri"/>
          <w:lang w:val="en-GB"/>
        </w:rPr>
      </w:pPr>
      <w:bookmarkStart w:id="324" w:name="_Toc42722864"/>
      <w:r w:rsidRPr="008946B0">
        <w:rPr>
          <w:rFonts w:eastAsia="Calibri"/>
          <w:lang w:val="en-GB"/>
        </w:rPr>
        <w:t>Coexistence with governmental UAS when adjacent in frequency</w:t>
      </w:r>
      <w:bookmarkEnd w:id="324"/>
    </w:p>
    <w:p w14:paraId="7A3D9920" w14:textId="4EACFB98"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Spectrum for governmental UAS will be used for command-control and payload. </w:t>
      </w:r>
      <w:r w:rsidR="00293DC9" w:rsidRPr="008946B0">
        <w:rPr>
          <w:rFonts w:eastAsia="Calibri"/>
          <w:szCs w:val="22"/>
          <w:lang w:val="en-GB"/>
        </w:rPr>
        <w:t>ECC Report 314</w:t>
      </w:r>
      <w:r w:rsidRPr="008946B0">
        <w:rPr>
          <w:rFonts w:eastAsia="Calibri"/>
          <w:szCs w:val="22"/>
          <w:lang w:val="en-GB"/>
        </w:rPr>
        <w:t xml:space="preserve"> studied coexistence between governmental UAS in 1880-19</w:t>
      </w:r>
      <w:r w:rsidR="00E2620D" w:rsidRPr="008946B0">
        <w:rPr>
          <w:rFonts w:eastAsia="Calibri"/>
          <w:szCs w:val="22"/>
          <w:lang w:val="en-GB"/>
        </w:rPr>
        <w:t>2</w:t>
      </w:r>
      <w:r w:rsidRPr="008946B0">
        <w:rPr>
          <w:rFonts w:eastAsia="Calibri"/>
          <w:szCs w:val="22"/>
          <w:lang w:val="en-GB"/>
        </w:rPr>
        <w:t>0 MHz and FRMCS in 1900-1910 MHz.</w:t>
      </w:r>
      <w:r w:rsidR="00422F3F" w:rsidRPr="008946B0">
        <w:rPr>
          <w:rFonts w:eastAsia="Calibri"/>
          <w:szCs w:val="22"/>
          <w:lang w:val="en-GB"/>
        </w:rPr>
        <w:t xml:space="preserve"> </w:t>
      </w:r>
      <w:r w:rsidR="0019199A" w:rsidRPr="008946B0">
        <w:rPr>
          <w:rFonts w:eastAsia="Calibri"/>
          <w:szCs w:val="22"/>
          <w:lang w:val="en-GB"/>
        </w:rPr>
        <w:t xml:space="preserve">Studies are still ongoing with respect to the </w:t>
      </w:r>
      <w:r w:rsidR="00FB6E92" w:rsidRPr="008946B0">
        <w:rPr>
          <w:rFonts w:eastAsia="Calibri"/>
          <w:szCs w:val="22"/>
          <w:lang w:val="en-GB"/>
        </w:rPr>
        <w:t>possible</w:t>
      </w:r>
      <w:r w:rsidR="0019199A" w:rsidRPr="008946B0">
        <w:rPr>
          <w:rFonts w:eastAsia="Calibri"/>
          <w:szCs w:val="22"/>
          <w:lang w:val="en-GB"/>
        </w:rPr>
        <w:t xml:space="preserve"> introduction of governmental UAS in 1880-1920 MHz. Depending on the feasibility, FRMCS and governmental UAS may need to coexist.</w:t>
      </w:r>
    </w:p>
    <w:p w14:paraId="28285271" w14:textId="77777777" w:rsidR="005A47F3" w:rsidRPr="008946B0" w:rsidRDefault="00AB77EF">
      <w:pPr>
        <w:spacing w:before="240" w:after="60" w:line="240" w:lineRule="auto"/>
        <w:jc w:val="both"/>
        <w:rPr>
          <w:rFonts w:eastAsia="Calibri"/>
          <w:szCs w:val="22"/>
          <w:lang w:val="en-GB"/>
        </w:rPr>
      </w:pPr>
      <w:r w:rsidRPr="008946B0">
        <w:rPr>
          <w:rFonts w:eastAsia="Calibri"/>
          <w:szCs w:val="22"/>
          <w:lang w:val="en-GB"/>
        </w:rPr>
        <w:t>Overall, UAS usage is very limited in time and space. Thus, the risk of causing harmful interference to an FRMCS cab-radio is expected to be rather low in practice.</w:t>
      </w:r>
    </w:p>
    <w:p w14:paraId="2DEF8F98" w14:textId="77777777" w:rsidR="005A47F3" w:rsidRPr="008946B0" w:rsidRDefault="00AB77EF">
      <w:pPr>
        <w:spacing w:before="240" w:after="60" w:line="240" w:lineRule="auto"/>
        <w:jc w:val="both"/>
        <w:rPr>
          <w:rFonts w:eastAsia="Calibri"/>
          <w:szCs w:val="22"/>
          <w:lang w:val="en-GB"/>
        </w:rPr>
      </w:pPr>
      <w:r w:rsidRPr="008946B0">
        <w:rPr>
          <w:rFonts w:eastAsia="Calibri"/>
          <w:szCs w:val="22"/>
          <w:lang w:val="en-GB"/>
        </w:rPr>
        <w:t>To define the improvement of the receiver performance required on the FRMCS cab-radio, it is assumed that only 1 drone at a time may fly in the vicinity of rail tracks and that this drone operates below 1890 MHz in order to provide enough frequency space to reach the filtering level required. This is expected to be feasible in terms of operational rules set up by governmental UAS users.</w:t>
      </w:r>
    </w:p>
    <w:p w14:paraId="5A648C30" w14:textId="115A2CED" w:rsidR="005A47F3" w:rsidRPr="008946B0" w:rsidRDefault="00AB77EF">
      <w:pPr>
        <w:spacing w:before="240" w:after="60" w:line="240" w:lineRule="auto"/>
        <w:jc w:val="both"/>
        <w:rPr>
          <w:rFonts w:eastAsia="Calibri"/>
          <w:szCs w:val="22"/>
          <w:lang w:val="en-GB"/>
        </w:rPr>
      </w:pPr>
      <w:r w:rsidRPr="008946B0">
        <w:rPr>
          <w:rFonts w:eastAsia="Calibri"/>
          <w:szCs w:val="22"/>
          <w:lang w:val="en-GB"/>
        </w:rPr>
        <w:t>It is up to ETSI to define the appropriate receiver characteristics of the FRMCS cab-radio so that it can cope with one drone operating below 1890 MHz.</w:t>
      </w:r>
    </w:p>
    <w:p w14:paraId="5E6302B3" w14:textId="4B7A3E83" w:rsidR="005A47F3" w:rsidRPr="008946B0" w:rsidRDefault="00AB77EF">
      <w:pPr>
        <w:spacing w:before="240" w:after="60" w:line="240" w:lineRule="auto"/>
        <w:jc w:val="both"/>
        <w:rPr>
          <w:rFonts w:eastAsia="Calibri"/>
          <w:szCs w:val="22"/>
          <w:lang w:val="en-GB"/>
        </w:rPr>
      </w:pPr>
      <w:r w:rsidRPr="008946B0">
        <w:rPr>
          <w:rFonts w:eastAsia="Calibri"/>
          <w:szCs w:val="22"/>
          <w:lang w:val="en-GB"/>
        </w:rPr>
        <w:t>These results would also be applicable if governmental UAS would operate in 1910-1920 MHz, but the required filtering would be more challenging due to lack of frequency separation between the two systems.</w:t>
      </w:r>
    </w:p>
    <w:p w14:paraId="176B7122" w14:textId="77777777" w:rsidR="005A47F3" w:rsidRPr="008946B0" w:rsidRDefault="00AB77EF">
      <w:pPr>
        <w:pStyle w:val="Heading3"/>
        <w:rPr>
          <w:rFonts w:eastAsia="Calibri"/>
          <w:lang w:val="en-GB"/>
        </w:rPr>
      </w:pPr>
      <w:bookmarkStart w:id="325" w:name="_Toc27146909"/>
      <w:bookmarkStart w:id="326" w:name="_Toc27864833"/>
      <w:bookmarkStart w:id="327" w:name="_Toc27864832"/>
      <w:bookmarkStart w:id="328" w:name="_Toc27146911"/>
      <w:bookmarkStart w:id="329" w:name="_Toc27864834"/>
      <w:bookmarkStart w:id="330" w:name="_Toc27146910"/>
      <w:bookmarkStart w:id="331" w:name="_Toc42722865"/>
      <w:bookmarkEnd w:id="325"/>
      <w:bookmarkEnd w:id="326"/>
      <w:bookmarkEnd w:id="327"/>
      <w:bookmarkEnd w:id="328"/>
      <w:bookmarkEnd w:id="329"/>
      <w:bookmarkEnd w:id="330"/>
      <w:r w:rsidRPr="008946B0">
        <w:rPr>
          <w:rFonts w:eastAsia="Calibri"/>
          <w:lang w:val="en-GB"/>
        </w:rPr>
        <w:t>Adjacent channel compatibility with commercial UAS in 1900-1920 MHz</w:t>
      </w:r>
      <w:bookmarkEnd w:id="331"/>
    </w:p>
    <w:p w14:paraId="0FDFF29B" w14:textId="77777777" w:rsidR="005A47F3" w:rsidRPr="008946B0" w:rsidRDefault="00AB77EF">
      <w:pPr>
        <w:spacing w:before="240" w:after="60" w:line="240" w:lineRule="auto"/>
        <w:jc w:val="both"/>
        <w:rPr>
          <w:rFonts w:eastAsia="Calibri"/>
          <w:szCs w:val="22"/>
          <w:lang w:val="en-GB"/>
        </w:rPr>
      </w:pPr>
      <w:r w:rsidRPr="008946B0">
        <w:rPr>
          <w:rFonts w:eastAsia="Calibri"/>
          <w:szCs w:val="22"/>
          <w:lang w:val="en-GB"/>
        </w:rPr>
        <w:t>The dedicated spectrum for commercial UAS is targeted for command-control only. No study has been carried out on this topic since no need for such dedicated spectrum has been confirmed.</w:t>
      </w:r>
    </w:p>
    <w:p w14:paraId="1D6AE234" w14:textId="77777777" w:rsidR="005A47F3" w:rsidRPr="008946B0" w:rsidRDefault="00AB77EF">
      <w:pPr>
        <w:pStyle w:val="Heading2"/>
        <w:rPr>
          <w:rFonts w:eastAsia="Calibri"/>
          <w:lang w:val="en-GB"/>
        </w:rPr>
      </w:pPr>
      <w:bookmarkStart w:id="332" w:name="_Toc42722866"/>
      <w:bookmarkStart w:id="333" w:name="_Hlk31723113"/>
      <w:r w:rsidRPr="008946B0">
        <w:rPr>
          <w:rFonts w:eastAsia="Calibri"/>
          <w:lang w:val="en-GB"/>
        </w:rPr>
        <w:t>Conclusion on feasibility</w:t>
      </w:r>
      <w:bookmarkEnd w:id="332"/>
    </w:p>
    <w:p w14:paraId="287499B8" w14:textId="77777777" w:rsidR="00CD5D4E" w:rsidRPr="008946B0" w:rsidRDefault="00CD5D4E" w:rsidP="00E87808">
      <w:pPr>
        <w:spacing w:before="240" w:after="60" w:line="240" w:lineRule="auto"/>
        <w:jc w:val="both"/>
        <w:rPr>
          <w:rFonts w:eastAsia="Calibri"/>
          <w:szCs w:val="22"/>
          <w:lang w:val="en-GB"/>
        </w:rPr>
      </w:pPr>
      <w:r w:rsidRPr="008946B0">
        <w:rPr>
          <w:rFonts w:eastAsia="Calibri"/>
          <w:szCs w:val="22"/>
          <w:lang w:val="en-GB"/>
        </w:rPr>
        <w:t>The 1900-1910 MHz frequency band is feasible for FRMCS, provided that the following conditions are met.</w:t>
      </w:r>
    </w:p>
    <w:p w14:paraId="5E90A034" w14:textId="1C036C3E" w:rsidR="00650C82" w:rsidRPr="008946B0" w:rsidRDefault="00650C82" w:rsidP="00650C82">
      <w:pPr>
        <w:spacing w:before="240" w:after="60" w:line="240" w:lineRule="auto"/>
        <w:jc w:val="both"/>
        <w:rPr>
          <w:rFonts w:eastAsia="Calibri"/>
          <w:szCs w:val="22"/>
          <w:lang w:val="en-GB"/>
        </w:rPr>
      </w:pPr>
      <w:bookmarkStart w:id="334" w:name="_Toc31104427"/>
      <w:bookmarkStart w:id="335" w:name="_Toc31112686"/>
      <w:bookmarkStart w:id="336" w:name="_Toc31131731"/>
      <w:bookmarkStart w:id="337" w:name="_Toc31237135"/>
      <w:bookmarkStart w:id="338" w:name="_Toc31294043"/>
      <w:bookmarkStart w:id="339" w:name="_Toc31719461"/>
      <w:bookmarkStart w:id="340" w:name="_Toc31104428"/>
      <w:bookmarkStart w:id="341" w:name="_Toc31112687"/>
      <w:bookmarkStart w:id="342" w:name="_Toc31131732"/>
      <w:bookmarkStart w:id="343" w:name="_Toc31237136"/>
      <w:bookmarkStart w:id="344" w:name="_Toc31294044"/>
      <w:bookmarkStart w:id="345" w:name="_Toc31719462"/>
      <w:bookmarkStart w:id="346" w:name="_Toc31104429"/>
      <w:bookmarkStart w:id="347" w:name="_Toc31112688"/>
      <w:bookmarkStart w:id="348" w:name="_Toc31131733"/>
      <w:bookmarkStart w:id="349" w:name="_Toc31237137"/>
      <w:bookmarkStart w:id="350" w:name="_Toc31294045"/>
      <w:bookmarkStart w:id="351" w:name="_Toc31719463"/>
      <w:bookmarkStart w:id="352" w:name="_Toc31104430"/>
      <w:bookmarkStart w:id="353" w:name="_Toc31112689"/>
      <w:bookmarkStart w:id="354" w:name="_Toc31131734"/>
      <w:bookmarkStart w:id="355" w:name="_Toc31237138"/>
      <w:bookmarkStart w:id="356" w:name="_Toc31294046"/>
      <w:bookmarkStart w:id="357" w:name="_Toc31719464"/>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r w:rsidRPr="008946B0">
        <w:rPr>
          <w:lang w:val="en-GB"/>
        </w:rPr>
        <w:t xml:space="preserve">1. FRMCS BS shall ensure coexistence with ECS BS receiving above 1920 MHz while ensuring an efficient use of spectrum. </w:t>
      </w:r>
      <w:r w:rsidR="0060189F" w:rsidRPr="0060189F">
        <w:rPr>
          <w:lang w:val="en-GB"/>
        </w:rPr>
        <w:t xml:space="preserve">For uncoordinated deployment, the BEM for FRMCS BS will assume </w:t>
      </w:r>
      <w:r w:rsidR="0060189F" w:rsidRPr="0060189F">
        <w:rPr>
          <w:rFonts w:eastAsia="Calibri"/>
          <w:szCs w:val="22"/>
          <w:lang w:val="en-GB"/>
        </w:rPr>
        <w:t xml:space="preserve">that ECS BS have enhanced selectivity </w:t>
      </w:r>
      <w:r w:rsidR="0060189F" w:rsidRPr="0060189F">
        <w:rPr>
          <w:lang w:val="en-GB"/>
        </w:rPr>
        <w:t>compared to the current Harmonised European Standards. This would facilitate coexistence with FRMCS BS transmitting up to 65 dBm e.i.r.p. w</w:t>
      </w:r>
      <w:r w:rsidRPr="008946B0">
        <w:rPr>
          <w:rFonts w:eastAsia="Calibri"/>
          <w:szCs w:val="22"/>
          <w:lang w:val="en-GB"/>
        </w:rPr>
        <w:t xml:space="preserve">ith the aim of having a future-proof regulation and allowing macro coverage. </w:t>
      </w:r>
      <w:r w:rsidR="00495FA6">
        <w:rPr>
          <w:lang w:val="en-GB"/>
        </w:rPr>
        <w:t>Current</w:t>
      </w:r>
      <w:r w:rsidRPr="008946B0">
        <w:rPr>
          <w:lang w:val="en-GB"/>
        </w:rPr>
        <w:t xml:space="preserve"> ECS BS located near an FRMCS radio site may need to be adapted, in such a way that they do not suffer interference from FRMCS. In such case, additional mitigation techniques would be needed, such as the upgrade of the ECS BS selectivity or on a case-by-case basis adjustment of antenna directivity, azimuth, tilt, etc. of the FRMCS and/or ECS BS</w:t>
      </w:r>
      <w:r w:rsidR="00495FA6" w:rsidRPr="00495FA6">
        <w:rPr>
          <w:rStyle w:val="FootnoteReference"/>
          <w:lang w:val="en-GB"/>
        </w:rPr>
        <w:footnoteReference w:id="19"/>
      </w:r>
      <w:r w:rsidRPr="008946B0">
        <w:rPr>
          <w:lang w:val="en-GB"/>
        </w:rPr>
        <w:t>.</w:t>
      </w:r>
    </w:p>
    <w:p w14:paraId="4F91437E" w14:textId="675FC7B1" w:rsidR="00650C82" w:rsidRPr="008946B0" w:rsidRDefault="00650C82" w:rsidP="00650C82">
      <w:pPr>
        <w:spacing w:before="240" w:after="60" w:line="240" w:lineRule="auto"/>
        <w:jc w:val="both"/>
        <w:rPr>
          <w:rFonts w:eastAsia="Calibri"/>
          <w:szCs w:val="22"/>
          <w:lang w:val="en-GB"/>
        </w:rPr>
      </w:pPr>
      <w:r w:rsidRPr="008946B0">
        <w:rPr>
          <w:rFonts w:eastAsia="Calibri"/>
          <w:szCs w:val="22"/>
          <w:lang w:val="en-GB"/>
        </w:rPr>
        <w:t xml:space="preserve">The improvement of the ECS selectivity </w:t>
      </w:r>
      <w:r w:rsidR="00CB2EAF" w:rsidRPr="008946B0">
        <w:rPr>
          <w:rFonts w:eastAsia="Calibri"/>
          <w:szCs w:val="22"/>
          <w:lang w:val="en-GB"/>
        </w:rPr>
        <w:t xml:space="preserve">for those ECS BS near the railway tracks </w:t>
      </w:r>
      <w:r w:rsidRPr="008946B0">
        <w:rPr>
          <w:rFonts w:eastAsia="Calibri"/>
          <w:szCs w:val="22"/>
          <w:lang w:val="en-GB"/>
        </w:rPr>
        <w:t>can be achieved by either the usage of new radio units of ECS BS or by adding external filter to existing radio units operating with passive antenna systems. Enhanced selectivity should be included (potentially as a specific receiver class) in the relevant ECS BS Harmonised European Standards so that new</w:t>
      </w:r>
      <w:r w:rsidR="0047368E" w:rsidRPr="008946B0">
        <w:rPr>
          <w:rFonts w:eastAsia="Calibri"/>
          <w:szCs w:val="22"/>
          <w:lang w:val="en-GB"/>
        </w:rPr>
        <w:t>ly introduced</w:t>
      </w:r>
      <w:r w:rsidRPr="008946B0">
        <w:rPr>
          <w:rFonts w:eastAsia="Calibri"/>
          <w:szCs w:val="22"/>
          <w:lang w:val="en-GB"/>
        </w:rPr>
        <w:t xml:space="preserve"> products placed on the market based on this update natively fulfil this requirement.</w:t>
      </w:r>
    </w:p>
    <w:p w14:paraId="5F0BED0D" w14:textId="2E2802ED" w:rsidR="00650C82" w:rsidRPr="008946B0" w:rsidRDefault="00650C82" w:rsidP="0047368E">
      <w:pPr>
        <w:spacing w:before="240" w:after="60" w:line="240" w:lineRule="auto"/>
        <w:jc w:val="both"/>
        <w:rPr>
          <w:rFonts w:eastAsia="Calibri"/>
          <w:szCs w:val="22"/>
          <w:lang w:val="en-GB"/>
        </w:rPr>
      </w:pPr>
      <w:r w:rsidRPr="008946B0">
        <w:rPr>
          <w:rFonts w:eastAsia="Calibri"/>
          <w:szCs w:val="22"/>
          <w:lang w:val="en-GB"/>
        </w:rPr>
        <w:t>The BEM for FRMCS BS will assume ECS BS with enhanced selectivity.</w:t>
      </w:r>
      <w:r w:rsidRPr="008946B0">
        <w:rPr>
          <w:lang w:val="en-GB"/>
        </w:rPr>
        <w:t xml:space="preserve"> In order to ensure that the ECS operators have enough time to adapt the concerned radio sites, </w:t>
      </w:r>
      <w:r w:rsidR="0047368E" w:rsidRPr="008946B0">
        <w:rPr>
          <w:lang w:val="en-GB"/>
        </w:rPr>
        <w:t>they should have, sufficiently far in advance, information on the rollout of a new FRMCS BS in 1900-1910 MHz</w:t>
      </w:r>
      <w:r w:rsidRPr="008946B0">
        <w:rPr>
          <w:lang w:val="en-GB"/>
        </w:rPr>
        <w:t>.</w:t>
      </w:r>
    </w:p>
    <w:p w14:paraId="52445E5A" w14:textId="77777777" w:rsidR="00650C82" w:rsidRPr="008946B0" w:rsidRDefault="00650C82" w:rsidP="00650C82">
      <w:pPr>
        <w:spacing w:before="240" w:after="60" w:line="240" w:lineRule="auto"/>
        <w:jc w:val="both"/>
        <w:rPr>
          <w:lang w:val="en-GB"/>
        </w:rPr>
      </w:pPr>
      <w:r w:rsidRPr="008946B0">
        <w:rPr>
          <w:lang w:val="en-GB"/>
        </w:rPr>
        <w:t>The BEM for FRMCS will include one channel of 10 MHz.</w:t>
      </w:r>
    </w:p>
    <w:p w14:paraId="23E493D7" w14:textId="671C15EC" w:rsidR="00650C82" w:rsidRPr="008946B0" w:rsidRDefault="00650C82" w:rsidP="00650C82">
      <w:pPr>
        <w:pStyle w:val="FootnoteText"/>
        <w:spacing w:before="240" w:after="60" w:line="240" w:lineRule="auto"/>
        <w:jc w:val="both"/>
        <w:rPr>
          <w:lang w:val="en-GB"/>
        </w:rPr>
      </w:pPr>
      <w:r w:rsidRPr="008946B0">
        <w:rPr>
          <w:rFonts w:eastAsia="Calibri"/>
          <w:szCs w:val="22"/>
          <w:lang w:val="en-GB"/>
        </w:rPr>
        <w:t>2. FRMCS high-power cab-radios transmitting up to 31 dBm (output power)</w:t>
      </w:r>
      <w:r w:rsidR="0072774E" w:rsidRPr="008946B0">
        <w:rPr>
          <w:lang w:val="en-GB"/>
        </w:rPr>
        <w:t xml:space="preserve"> </w:t>
      </w:r>
      <w:r w:rsidR="0072774E" w:rsidRPr="008946B0">
        <w:rPr>
          <w:rFonts w:eastAsia="Calibri"/>
          <w:szCs w:val="22"/>
          <w:lang w:val="en-GB"/>
        </w:rPr>
        <w:t>can be allowed in 1900-1910 MHz provided that</w:t>
      </w:r>
      <w:r w:rsidRPr="008946B0">
        <w:rPr>
          <w:rFonts w:eastAsia="Calibri"/>
          <w:szCs w:val="22"/>
          <w:lang w:val="en-GB"/>
        </w:rPr>
        <w:t xml:space="preserve"> UL power control </w:t>
      </w:r>
      <w:r w:rsidR="0072774E" w:rsidRPr="008946B0">
        <w:rPr>
          <w:rFonts w:eastAsia="Calibri"/>
          <w:szCs w:val="22"/>
          <w:lang w:val="en-GB"/>
        </w:rPr>
        <w:t xml:space="preserve">is </w:t>
      </w:r>
      <w:r w:rsidR="00736942" w:rsidRPr="008946B0">
        <w:rPr>
          <w:rFonts w:eastAsia="Calibri"/>
          <w:szCs w:val="22"/>
          <w:lang w:val="en-GB"/>
        </w:rPr>
        <w:t>activated</w:t>
      </w:r>
      <w:r w:rsidR="0072774E" w:rsidRPr="008946B0">
        <w:rPr>
          <w:rFonts w:eastAsia="Calibri"/>
          <w:szCs w:val="22"/>
          <w:lang w:val="en-GB"/>
        </w:rPr>
        <w:t>,</w:t>
      </w:r>
      <w:r w:rsidR="00736942" w:rsidRPr="008946B0">
        <w:rPr>
          <w:rFonts w:eastAsia="Calibri"/>
          <w:szCs w:val="22"/>
          <w:lang w:val="en-GB"/>
        </w:rPr>
        <w:t xml:space="preserve"> </w:t>
      </w:r>
      <w:r w:rsidRPr="008946B0">
        <w:rPr>
          <w:lang w:val="en-GB"/>
        </w:rPr>
        <w:t xml:space="preserve">and </w:t>
      </w:r>
      <w:r w:rsidR="002057E1" w:rsidRPr="008946B0">
        <w:rPr>
          <w:lang w:val="en-GB"/>
        </w:rPr>
        <w:t xml:space="preserve">that </w:t>
      </w:r>
      <w:r w:rsidR="0072774E" w:rsidRPr="008946B0">
        <w:rPr>
          <w:lang w:val="en-GB"/>
        </w:rPr>
        <w:t xml:space="preserve">FRMCS cab-radios are </w:t>
      </w:r>
      <w:r w:rsidRPr="008946B0">
        <w:rPr>
          <w:lang w:val="en-GB"/>
        </w:rPr>
        <w:t xml:space="preserve">compliant with an ACLR of 37 dB and 3GPP </w:t>
      </w:r>
      <w:r w:rsidR="00736942" w:rsidRPr="008946B0">
        <w:rPr>
          <w:lang w:val="en-GB"/>
        </w:rPr>
        <w:t xml:space="preserve">LTE/NR </w:t>
      </w:r>
      <w:r w:rsidRPr="008946B0">
        <w:rPr>
          <w:lang w:val="en-GB"/>
        </w:rPr>
        <w:t>spectrum emission mask</w:t>
      </w:r>
      <w:r w:rsidRPr="008946B0">
        <w:rPr>
          <w:rFonts w:eastAsia="Calibri"/>
          <w:szCs w:val="22"/>
          <w:lang w:val="en-GB"/>
        </w:rPr>
        <w:t>.</w:t>
      </w:r>
    </w:p>
    <w:p w14:paraId="13085D39" w14:textId="2D87E2CF" w:rsidR="00650C82" w:rsidRPr="008946B0" w:rsidRDefault="00650C82" w:rsidP="00650C82">
      <w:pPr>
        <w:spacing w:before="240" w:after="60" w:line="240" w:lineRule="auto"/>
        <w:jc w:val="both"/>
        <w:rPr>
          <w:rFonts w:eastAsia="Calibri"/>
          <w:szCs w:val="22"/>
          <w:lang w:val="en-GB"/>
        </w:rPr>
      </w:pPr>
      <w:r w:rsidRPr="008946B0">
        <w:rPr>
          <w:rFonts w:eastAsia="Calibri"/>
          <w:szCs w:val="22"/>
          <w:lang w:val="en-GB"/>
        </w:rPr>
        <w:t>3. FRMCS cab-radios shall be robust against adjacent emissions, including ECS BS below 1880 MHz and aerial UE using ECS above 1920 MHz. Depending on the possible introduction of governmental UAS in 1880-1920 MHz, ETSI shall take the results of the studies into account when specifying the Harmonised European Standard for RMR cab-radios.</w:t>
      </w:r>
    </w:p>
    <w:p w14:paraId="42ED1D70" w14:textId="77777777" w:rsidR="00650C82" w:rsidRPr="008946B0" w:rsidRDefault="00650C82" w:rsidP="00650C82">
      <w:pPr>
        <w:pStyle w:val="ECCParagraph"/>
        <w:spacing w:before="240" w:after="60"/>
      </w:pPr>
      <w:r w:rsidRPr="008946B0">
        <w:rPr>
          <w:rFonts w:eastAsia="Calibri"/>
          <w:szCs w:val="22"/>
        </w:rPr>
        <w:t>4. FRMCS BS shall be robust against adjacent emissions, including ECS BS below 1880 MHz.</w:t>
      </w:r>
    </w:p>
    <w:p w14:paraId="1D8F2157" w14:textId="1155DE2A" w:rsidR="00650C82" w:rsidRPr="008946B0" w:rsidRDefault="00650C82" w:rsidP="00650C82">
      <w:pPr>
        <w:pStyle w:val="ECCParagraph"/>
        <w:spacing w:before="240" w:after="60"/>
      </w:pPr>
      <w:r w:rsidRPr="008946B0">
        <w:rPr>
          <w:rFonts w:eastAsia="Calibri"/>
          <w:szCs w:val="22"/>
        </w:rPr>
        <w:t xml:space="preserve">5. </w:t>
      </w:r>
      <w:r w:rsidRPr="008946B0">
        <w:rPr>
          <w:rFonts w:eastAsia="Calibri"/>
          <w:szCs w:val="20"/>
        </w:rPr>
        <w:t>With regard to adjacent compatibility between DECT (1880-1900 MHz) and FRMCS, it is understood that FRMCS and DECT, adjacent to each other, will generally coexist. Where the DECT usage density is not high, the Dynamic Channel Selection (DCS) algorithm implemented in DECT would then allow the communication to use one of the DECT channels that do not experience interference. In some worst case</w:t>
      </w:r>
      <w:r w:rsidR="00C56C55" w:rsidRPr="008946B0">
        <w:rPr>
          <w:rFonts w:eastAsia="Calibri"/>
          <w:szCs w:val="20"/>
        </w:rPr>
        <w:t xml:space="preserve"> scenario</w:t>
      </w:r>
      <w:r w:rsidRPr="008946B0">
        <w:rPr>
          <w:rFonts w:eastAsia="Calibri"/>
          <w:szCs w:val="20"/>
        </w:rPr>
        <w:t xml:space="preserve">s, </w:t>
      </w:r>
      <w:r w:rsidR="006D2F24" w:rsidRPr="008946B0">
        <w:t>measures to enable coexistence</w:t>
      </w:r>
      <w:r w:rsidR="006D2F24" w:rsidRPr="008946B0">
        <w:rPr>
          <w:rFonts w:eastAsia="Calibri"/>
          <w:szCs w:val="20"/>
        </w:rPr>
        <w:t xml:space="preserve"> between DECT</w:t>
      </w:r>
      <w:r w:rsidR="006D2F24" w:rsidRPr="008946B0">
        <w:t xml:space="preserve"> in 1880-1900 MHz and RMR in 1900-1910 MHz</w:t>
      </w:r>
      <w:r w:rsidR="006D2F24" w:rsidRPr="008946B0">
        <w:rPr>
          <w:rFonts w:eastAsia="Calibri"/>
          <w:szCs w:val="20"/>
        </w:rPr>
        <w:t xml:space="preserve"> might be needed</w:t>
      </w:r>
      <w:r w:rsidRPr="008946B0">
        <w:rPr>
          <w:rFonts w:eastAsia="Calibri"/>
          <w:szCs w:val="20"/>
        </w:rPr>
        <w:t xml:space="preserve">, when information </w:t>
      </w:r>
      <w:r w:rsidR="006D2F24" w:rsidRPr="008946B0">
        <w:rPr>
          <w:rFonts w:eastAsia="Calibri"/>
          <w:szCs w:val="20"/>
        </w:rPr>
        <w:t xml:space="preserve">on DECT local deployment </w:t>
      </w:r>
      <w:r w:rsidRPr="008946B0">
        <w:rPr>
          <w:rFonts w:eastAsia="Calibri"/>
          <w:szCs w:val="20"/>
        </w:rPr>
        <w:t>is made available.</w:t>
      </w:r>
    </w:p>
    <w:p w14:paraId="04BDC81C" w14:textId="77777777" w:rsidR="005A47F3" w:rsidRPr="008946B0" w:rsidRDefault="00AB77EF">
      <w:pPr>
        <w:pStyle w:val="Heading1"/>
        <w:rPr>
          <w:rFonts w:eastAsia="Calibri"/>
        </w:rPr>
      </w:pPr>
      <w:bookmarkStart w:id="358" w:name="_Toc42722867"/>
      <w:r w:rsidRPr="008946B0">
        <w:rPr>
          <w:rFonts w:eastAsia="Calibri"/>
        </w:rPr>
        <w:t>Technical feasibility of the 2290-2300 MHz band (task 3)</w:t>
      </w:r>
      <w:bookmarkEnd w:id="358"/>
    </w:p>
    <w:p w14:paraId="7FB27BE3" w14:textId="77777777" w:rsidR="005A47F3" w:rsidRPr="008946B0" w:rsidRDefault="00AB77EF">
      <w:pPr>
        <w:pStyle w:val="Heading2"/>
        <w:rPr>
          <w:rFonts w:eastAsia="Calibri"/>
          <w:lang w:val="en-GB"/>
        </w:rPr>
      </w:pPr>
      <w:bookmarkStart w:id="359" w:name="_Toc42722868"/>
      <w:r w:rsidRPr="008946B0">
        <w:rPr>
          <w:rFonts w:eastAsia="Calibri"/>
          <w:lang w:val="en-GB"/>
        </w:rPr>
        <w:t>Coexistence with ECS</w:t>
      </w:r>
      <w:bookmarkEnd w:id="359"/>
    </w:p>
    <w:p w14:paraId="7D47A9A0" w14:textId="77777777" w:rsidR="005A47F3" w:rsidRPr="008946B0" w:rsidRDefault="00AB77EF">
      <w:pPr>
        <w:pStyle w:val="Heading3"/>
        <w:rPr>
          <w:rFonts w:eastAsia="Calibri"/>
          <w:lang w:val="en-GB"/>
        </w:rPr>
      </w:pPr>
      <w:bookmarkStart w:id="360" w:name="_Toc42722869"/>
      <w:r w:rsidRPr="008946B0">
        <w:rPr>
          <w:rFonts w:eastAsia="Calibri"/>
          <w:lang w:val="en-GB"/>
        </w:rPr>
        <w:t>Suitability of existing BEM as per ECC/DEC/(14)02 for FRMCS BS</w:t>
      </w:r>
      <w:bookmarkEnd w:id="360"/>
    </w:p>
    <w:p w14:paraId="41434A33" w14:textId="77777777" w:rsidR="005A47F3" w:rsidRPr="008946B0" w:rsidRDefault="00AB77EF">
      <w:pPr>
        <w:spacing w:before="240" w:after="60" w:line="240" w:lineRule="auto"/>
        <w:jc w:val="both"/>
        <w:rPr>
          <w:rFonts w:eastAsia="Calibri"/>
          <w:szCs w:val="22"/>
          <w:lang w:val="en-GB"/>
        </w:rPr>
      </w:pPr>
      <w:r w:rsidRPr="008946B0">
        <w:rPr>
          <w:rFonts w:eastAsia="Calibri"/>
          <w:szCs w:val="22"/>
          <w:lang w:val="en-GB"/>
        </w:rPr>
        <w:t>The LRTC specified in Annex 2 of ECC Decision (14)02 are considered valid in the case of FRMCS BS operating in 2290-2300 MHz. Reversely, LSA would not apply to FRMCS due to its permanent nature in terms of location, operation and availability requirements.</w:t>
      </w:r>
    </w:p>
    <w:p w14:paraId="4D824FBB" w14:textId="5114DE0E"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According to the answers to the </w:t>
      </w:r>
      <w:r w:rsidR="001F75EE" w:rsidRPr="008946B0">
        <w:rPr>
          <w:rFonts w:eastAsia="Calibri"/>
          <w:szCs w:val="22"/>
          <w:lang w:val="en-GB"/>
        </w:rPr>
        <w:t xml:space="preserve">CEPT </w:t>
      </w:r>
      <w:r w:rsidRPr="008946B0">
        <w:rPr>
          <w:rFonts w:eastAsia="Calibri"/>
          <w:szCs w:val="22"/>
          <w:lang w:val="en-GB"/>
        </w:rPr>
        <w:t>questionnaire on the 2290-2400 MHz range</w:t>
      </w:r>
      <w:r w:rsidR="003B02A5" w:rsidRPr="008946B0">
        <w:rPr>
          <w:rStyle w:val="FootnoteReference"/>
          <w:rFonts w:eastAsia="Calibri"/>
          <w:szCs w:val="22"/>
          <w:lang w:val="en-GB"/>
        </w:rPr>
        <w:footnoteReference w:id="20"/>
      </w:r>
      <w:r w:rsidRPr="008946B0">
        <w:rPr>
          <w:rFonts w:eastAsia="Calibri"/>
          <w:szCs w:val="22"/>
          <w:lang w:val="en-GB"/>
        </w:rPr>
        <w:t xml:space="preserve">, at least 15 CEPT countries out of 42 having a rail network have or plan to </w:t>
      </w:r>
      <w:r w:rsidR="00152BA2" w:rsidRPr="008946B0">
        <w:rPr>
          <w:rFonts w:eastAsia="Calibri"/>
          <w:szCs w:val="22"/>
          <w:lang w:val="en-GB"/>
        </w:rPr>
        <w:t>introduce</w:t>
      </w:r>
      <w:r w:rsidRPr="008946B0">
        <w:rPr>
          <w:rFonts w:eastAsia="Calibri"/>
          <w:szCs w:val="22"/>
          <w:lang w:val="en-GB"/>
        </w:rPr>
        <w:t xml:space="preserve"> ECS in the 2300-2400 MHz band. In these countries, the issue of TDD cross-network synchronisation arises.</w:t>
      </w:r>
    </w:p>
    <w:p w14:paraId="1B39A488" w14:textId="77777777" w:rsidR="005A47F3" w:rsidRPr="008946B0" w:rsidRDefault="00AB77EF">
      <w:pPr>
        <w:spacing w:before="240" w:after="60" w:line="240" w:lineRule="auto"/>
        <w:jc w:val="both"/>
        <w:rPr>
          <w:rFonts w:eastAsia="Calibri"/>
          <w:szCs w:val="22"/>
          <w:lang w:val="en-GB"/>
        </w:rPr>
      </w:pPr>
      <w:r w:rsidRPr="008946B0">
        <w:rPr>
          <w:rFonts w:eastAsia="Calibri"/>
          <w:szCs w:val="22"/>
          <w:lang w:val="en-GB"/>
        </w:rPr>
        <w:t>In the case of FRMCS in the 2290-2300 MHz band, which falls within the in-block blocking domain of band #40, this raises specific concerns:</w:t>
      </w:r>
    </w:p>
    <w:p w14:paraId="0D69C8F4" w14:textId="77777777" w:rsidR="005A47F3" w:rsidRPr="008946B0" w:rsidRDefault="00AB77EF">
      <w:pPr>
        <w:numPr>
          <w:ilvl w:val="0"/>
          <w:numId w:val="8"/>
        </w:numPr>
        <w:spacing w:after="60"/>
        <w:contextualSpacing/>
        <w:jc w:val="both"/>
        <w:rPr>
          <w:rFonts w:eastAsia="Calibri"/>
          <w:szCs w:val="22"/>
          <w:lang w:val="en-GB"/>
        </w:rPr>
      </w:pPr>
      <w:r w:rsidRPr="008946B0">
        <w:rPr>
          <w:rFonts w:eastAsia="Calibri"/>
          <w:szCs w:val="22"/>
          <w:lang w:val="en-GB"/>
        </w:rPr>
        <w:t>From the FRMCS perspective, it is unclear whether specific latency constraints will be mandated.</w:t>
      </w:r>
    </w:p>
    <w:p w14:paraId="2E4F006C" w14:textId="2B5A289B" w:rsidR="005A47F3" w:rsidRPr="008946B0" w:rsidRDefault="00AB77EF">
      <w:pPr>
        <w:numPr>
          <w:ilvl w:val="0"/>
          <w:numId w:val="8"/>
        </w:numPr>
        <w:spacing w:after="60"/>
        <w:contextualSpacing/>
        <w:jc w:val="both"/>
        <w:rPr>
          <w:rFonts w:eastAsia="Calibri"/>
          <w:szCs w:val="22"/>
          <w:lang w:val="en-GB"/>
        </w:rPr>
      </w:pPr>
      <w:r w:rsidRPr="008946B0">
        <w:rPr>
          <w:rFonts w:eastAsia="Calibri"/>
          <w:szCs w:val="22"/>
          <w:lang w:val="en-GB"/>
        </w:rPr>
        <w:t>It is foreseen that the required frame for FRMCS would be more UL-centric contrary to ECS networks which are DL-centric. Synchronisation between ECS and FRMCS would imply a significant suboptimal loss of capacity either for ECS or for FRMCS (or both).</w:t>
      </w:r>
    </w:p>
    <w:p w14:paraId="27D00986" w14:textId="3CD491CF" w:rsidR="005A47F3" w:rsidRPr="008946B0" w:rsidRDefault="00AB77EF">
      <w:pPr>
        <w:numPr>
          <w:ilvl w:val="0"/>
          <w:numId w:val="8"/>
        </w:numPr>
        <w:spacing w:after="60"/>
        <w:contextualSpacing/>
        <w:jc w:val="both"/>
        <w:rPr>
          <w:rFonts w:eastAsia="Calibri"/>
          <w:szCs w:val="22"/>
          <w:lang w:val="en-GB"/>
        </w:rPr>
      </w:pPr>
      <w:r w:rsidRPr="008946B0">
        <w:rPr>
          <w:rFonts w:eastAsia="Calibri"/>
          <w:szCs w:val="22"/>
          <w:lang w:val="en-GB"/>
        </w:rPr>
        <w:t>Implementing synchronised operation between different technologies – when feasible – often implies suboptimal configurations. In the case of LTE/NR coexistence, the latency penalty is assessed in ECC Report 296.</w:t>
      </w:r>
    </w:p>
    <w:p w14:paraId="730A2ECC" w14:textId="5AD11DDF"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In summary, the results on previous CEPT studies in the 2.3 GHz band as well as other 3GPP bands highlight several technical challenges to enable unsynchronised operation </w:t>
      </w:r>
      <w:r w:rsidR="006F32E8" w:rsidRPr="008946B0">
        <w:rPr>
          <w:rFonts w:eastAsia="Calibri"/>
          <w:szCs w:val="22"/>
          <w:lang w:val="en-GB"/>
        </w:rPr>
        <w:t>of</w:t>
      </w:r>
      <w:r w:rsidRPr="008946B0">
        <w:rPr>
          <w:rFonts w:eastAsia="Calibri"/>
          <w:szCs w:val="22"/>
          <w:lang w:val="en-GB"/>
        </w:rPr>
        <w:t xml:space="preserve"> </w:t>
      </w:r>
      <w:r w:rsidR="006F32E8" w:rsidRPr="008946B0">
        <w:rPr>
          <w:rFonts w:eastAsia="Calibri"/>
          <w:szCs w:val="22"/>
          <w:lang w:val="en-GB"/>
        </w:rPr>
        <w:t xml:space="preserve">FRMCS and </w:t>
      </w:r>
      <w:r w:rsidRPr="008946B0">
        <w:rPr>
          <w:rFonts w:eastAsia="Calibri"/>
          <w:szCs w:val="22"/>
          <w:lang w:val="en-GB"/>
        </w:rPr>
        <w:t xml:space="preserve">ECS TDD networks </w:t>
      </w:r>
      <w:r w:rsidR="00152BA2" w:rsidRPr="008946B0">
        <w:rPr>
          <w:rFonts w:eastAsia="Calibri"/>
          <w:szCs w:val="22"/>
          <w:lang w:val="en-GB"/>
        </w:rPr>
        <w:t>with</w:t>
      </w:r>
      <w:r w:rsidRPr="008946B0">
        <w:rPr>
          <w:rFonts w:eastAsia="Calibri"/>
          <w:szCs w:val="22"/>
          <w:lang w:val="en-GB"/>
        </w:rPr>
        <w:t xml:space="preserve">in the 2.3 GHz band. The required geographical protection distances between unsynchronised base stations are expected to be </w:t>
      </w:r>
      <w:r w:rsidR="0007702B" w:rsidRPr="008946B0">
        <w:rPr>
          <w:rFonts w:eastAsia="Calibri"/>
          <w:szCs w:val="22"/>
          <w:lang w:val="en-GB"/>
        </w:rPr>
        <w:t>that</w:t>
      </w:r>
      <w:r w:rsidRPr="008946B0">
        <w:rPr>
          <w:rFonts w:eastAsia="Calibri"/>
          <w:szCs w:val="22"/>
          <w:lang w:val="en-GB"/>
        </w:rPr>
        <w:t xml:space="preserve"> large that this is not considered a realistic option for FRMCS deployment. The possible implications of a synchronised operation between FRMCS and ECS (which also include sharing the same UL and DL frame structure) has not been studied.</w:t>
      </w:r>
    </w:p>
    <w:p w14:paraId="68B22F22" w14:textId="77777777" w:rsidR="005A47F3" w:rsidRPr="008946B0" w:rsidRDefault="00AB77EF">
      <w:pPr>
        <w:pStyle w:val="Heading3"/>
        <w:rPr>
          <w:rFonts w:eastAsia="Calibri"/>
          <w:lang w:val="en-GB"/>
        </w:rPr>
      </w:pPr>
      <w:bookmarkStart w:id="361" w:name="_Toc42722870"/>
      <w:r w:rsidRPr="008946B0">
        <w:rPr>
          <w:rFonts w:eastAsia="Calibri"/>
          <w:lang w:val="en-GB"/>
        </w:rPr>
        <w:t>Impact of FRMCS cab-radio on ECS BS above 2300 MHz</w:t>
      </w:r>
      <w:bookmarkEnd w:id="361"/>
    </w:p>
    <w:p w14:paraId="16C72244" w14:textId="69C6FACC" w:rsidR="005A47F3" w:rsidRPr="008946B0" w:rsidRDefault="00AB77EF">
      <w:pPr>
        <w:spacing w:before="240" w:after="60" w:line="240" w:lineRule="auto"/>
        <w:jc w:val="both"/>
        <w:rPr>
          <w:rFonts w:eastAsia="Calibri"/>
          <w:szCs w:val="22"/>
          <w:lang w:val="en-GB"/>
        </w:rPr>
      </w:pPr>
      <w:r w:rsidRPr="008946B0">
        <w:rPr>
          <w:rFonts w:eastAsia="Calibri"/>
          <w:szCs w:val="22"/>
          <w:lang w:val="en-GB"/>
        </w:rPr>
        <w:t>With respect to blocking, the feasibility of FRMCS high-power cab-radios (in terms of coexistence with ECS) depend on its density of usage, so that the ECS network adjacent in frequency face an acceptable throughput loss. This is for further study.</w:t>
      </w:r>
    </w:p>
    <w:p w14:paraId="707A484B" w14:textId="4C9C4BAB" w:rsidR="005A47F3" w:rsidRPr="008946B0" w:rsidRDefault="00AB77EF" w:rsidP="00DE6CC8">
      <w:pPr>
        <w:pStyle w:val="FootnoteText"/>
        <w:spacing w:before="240" w:after="60" w:line="240" w:lineRule="auto"/>
        <w:jc w:val="both"/>
        <w:rPr>
          <w:rFonts w:eastAsia="Calibri"/>
          <w:szCs w:val="22"/>
          <w:lang w:val="en-GB"/>
        </w:rPr>
      </w:pPr>
      <w:r w:rsidRPr="008946B0">
        <w:rPr>
          <w:rFonts w:eastAsia="Calibri"/>
          <w:szCs w:val="22"/>
          <w:lang w:val="en-GB"/>
        </w:rPr>
        <w:t>With regard to out-of-band emissions, a Power Class 1 UE (31 dBm output power) has a greater ACLR compared to a Power Class 3 UE (23 dBm output power)</w:t>
      </w:r>
      <w:r w:rsidR="00962758" w:rsidRPr="008946B0">
        <w:rPr>
          <w:rStyle w:val="FootnoteReference"/>
          <w:rFonts w:eastAsia="Calibri"/>
          <w:szCs w:val="22"/>
          <w:lang w:val="en-GB"/>
        </w:rPr>
        <w:footnoteReference w:id="21"/>
      </w:r>
      <w:r w:rsidRPr="008946B0">
        <w:rPr>
          <w:rFonts w:eastAsia="Calibri"/>
          <w:szCs w:val="22"/>
          <w:lang w:val="en-GB"/>
        </w:rPr>
        <w:t xml:space="preserve">, so that the </w:t>
      </w:r>
      <w:r w:rsidR="00962758" w:rsidRPr="008946B0">
        <w:rPr>
          <w:rFonts w:eastAsia="Calibri"/>
          <w:szCs w:val="22"/>
          <w:lang w:val="en-GB"/>
        </w:rPr>
        <w:t>spectrum emission mask</w:t>
      </w:r>
      <w:r w:rsidRPr="008946B0">
        <w:rPr>
          <w:rFonts w:eastAsia="Calibri"/>
          <w:szCs w:val="22"/>
          <w:lang w:val="en-GB"/>
        </w:rPr>
        <w:t xml:space="preserve"> remain</w:t>
      </w:r>
      <w:r w:rsidR="00FB6E92" w:rsidRPr="008946B0">
        <w:rPr>
          <w:rFonts w:eastAsia="Calibri"/>
          <w:szCs w:val="22"/>
          <w:lang w:val="en-GB"/>
        </w:rPr>
        <w:t>s</w:t>
      </w:r>
      <w:r w:rsidRPr="008946B0">
        <w:rPr>
          <w:rFonts w:eastAsia="Calibri"/>
          <w:szCs w:val="22"/>
          <w:lang w:val="en-GB"/>
        </w:rPr>
        <w:t xml:space="preserve"> the same.</w:t>
      </w:r>
    </w:p>
    <w:p w14:paraId="632162E9" w14:textId="0E5C34AC" w:rsidR="0092735E" w:rsidRPr="008946B0" w:rsidRDefault="0092735E" w:rsidP="0092735E">
      <w:pPr>
        <w:spacing w:before="240" w:after="60" w:line="240" w:lineRule="auto"/>
        <w:jc w:val="both"/>
        <w:rPr>
          <w:rFonts w:eastAsia="Calibri"/>
          <w:szCs w:val="22"/>
          <w:lang w:val="en-GB"/>
        </w:rPr>
      </w:pPr>
      <w:r w:rsidRPr="008946B0">
        <w:rPr>
          <w:lang w:val="en-GB"/>
        </w:rPr>
        <w:t>The potential interference from FRMCS cab-radio out-of-band emissions to ECS BS above 2300 MHz has not been studied.</w:t>
      </w:r>
    </w:p>
    <w:p w14:paraId="1E344AED" w14:textId="77777777" w:rsidR="005A47F3" w:rsidRPr="008946B0" w:rsidRDefault="00AB77EF">
      <w:pPr>
        <w:pStyle w:val="Heading3"/>
        <w:rPr>
          <w:rFonts w:eastAsia="Calibri"/>
          <w:lang w:val="en-GB"/>
        </w:rPr>
      </w:pPr>
      <w:bookmarkStart w:id="362" w:name="_Toc42722871"/>
      <w:r w:rsidRPr="008946B0">
        <w:rPr>
          <w:rFonts w:eastAsia="Calibri"/>
          <w:lang w:val="en-GB"/>
        </w:rPr>
        <w:t>Impact of ECS BS above 2300 MHz on FRMCS cab-radio</w:t>
      </w:r>
      <w:bookmarkEnd w:id="362"/>
    </w:p>
    <w:p w14:paraId="572B2C4E" w14:textId="77777777" w:rsidR="005A47F3" w:rsidRPr="008946B0" w:rsidRDefault="00AB77EF">
      <w:pPr>
        <w:spacing w:before="240" w:after="60" w:line="240" w:lineRule="auto"/>
        <w:jc w:val="both"/>
        <w:rPr>
          <w:rFonts w:eastAsia="Calibri"/>
          <w:szCs w:val="22"/>
          <w:lang w:val="en-GB"/>
        </w:rPr>
      </w:pPr>
      <w:r w:rsidRPr="008946B0">
        <w:rPr>
          <w:rFonts w:eastAsia="Calibri"/>
          <w:szCs w:val="22"/>
          <w:lang w:val="en-GB"/>
        </w:rPr>
        <w:t>This point has not been assessed.</w:t>
      </w:r>
    </w:p>
    <w:p w14:paraId="3CFD90F5" w14:textId="77777777" w:rsidR="005A47F3" w:rsidRPr="008946B0" w:rsidRDefault="00AB77EF">
      <w:pPr>
        <w:pStyle w:val="Heading2"/>
        <w:rPr>
          <w:rFonts w:eastAsia="Calibri"/>
          <w:lang w:val="en-GB"/>
        </w:rPr>
      </w:pPr>
      <w:bookmarkStart w:id="363" w:name="_Toc31104436"/>
      <w:bookmarkStart w:id="364" w:name="_Toc31112695"/>
      <w:bookmarkStart w:id="365" w:name="_Toc31131740"/>
      <w:bookmarkStart w:id="366" w:name="_Toc31237144"/>
      <w:bookmarkStart w:id="367" w:name="_Toc31294052"/>
      <w:bookmarkStart w:id="368" w:name="_Toc31719470"/>
      <w:bookmarkStart w:id="369" w:name="_Toc42722872"/>
      <w:bookmarkEnd w:id="363"/>
      <w:bookmarkEnd w:id="364"/>
      <w:bookmarkEnd w:id="365"/>
      <w:bookmarkEnd w:id="366"/>
      <w:bookmarkEnd w:id="367"/>
      <w:bookmarkEnd w:id="368"/>
      <w:r w:rsidRPr="008946B0">
        <w:rPr>
          <w:rFonts w:eastAsia="Calibri"/>
          <w:lang w:val="en-GB"/>
        </w:rPr>
        <w:t>Coexistence with applications below 2290 MHz</w:t>
      </w:r>
      <w:bookmarkEnd w:id="369"/>
    </w:p>
    <w:p w14:paraId="66AEE629" w14:textId="77777777" w:rsidR="005A47F3" w:rsidRPr="008946B0" w:rsidRDefault="00AB77EF">
      <w:pPr>
        <w:spacing w:before="240" w:after="60" w:line="240" w:lineRule="auto"/>
        <w:jc w:val="both"/>
        <w:rPr>
          <w:rFonts w:eastAsia="Calibri"/>
          <w:szCs w:val="22"/>
          <w:lang w:val="en-GB"/>
        </w:rPr>
      </w:pPr>
      <w:r w:rsidRPr="008946B0">
        <w:rPr>
          <w:rFonts w:eastAsia="Calibri"/>
          <w:szCs w:val="22"/>
          <w:lang w:val="en-GB"/>
        </w:rPr>
        <w:t>This point has not been assessed.</w:t>
      </w:r>
    </w:p>
    <w:p w14:paraId="1FD1ECB5" w14:textId="77777777" w:rsidR="005A47F3" w:rsidRPr="008946B0" w:rsidRDefault="00AB77EF">
      <w:pPr>
        <w:pStyle w:val="Heading2"/>
        <w:rPr>
          <w:rFonts w:eastAsia="Calibri"/>
          <w:lang w:val="en-GB"/>
        </w:rPr>
      </w:pPr>
      <w:bookmarkStart w:id="370" w:name="_Toc31104438"/>
      <w:bookmarkStart w:id="371" w:name="_Toc31112697"/>
      <w:bookmarkStart w:id="372" w:name="_Toc31131742"/>
      <w:bookmarkStart w:id="373" w:name="_Toc31237146"/>
      <w:bookmarkStart w:id="374" w:name="_Toc31294054"/>
      <w:bookmarkStart w:id="375" w:name="_Toc31719472"/>
      <w:bookmarkStart w:id="376" w:name="_Toc42722873"/>
      <w:bookmarkEnd w:id="370"/>
      <w:bookmarkEnd w:id="371"/>
      <w:bookmarkEnd w:id="372"/>
      <w:bookmarkEnd w:id="373"/>
      <w:bookmarkEnd w:id="374"/>
      <w:bookmarkEnd w:id="375"/>
      <w:r w:rsidRPr="008946B0">
        <w:rPr>
          <w:rFonts w:eastAsia="Calibri"/>
          <w:lang w:val="en-GB"/>
        </w:rPr>
        <w:t>Coexistence with Deep Space Research and radioastronomy in 2290-2300 MHz</w:t>
      </w:r>
      <w:bookmarkEnd w:id="376"/>
    </w:p>
    <w:p w14:paraId="53729E37" w14:textId="77777777" w:rsidR="005A47F3" w:rsidRPr="008946B0" w:rsidRDefault="00AB77EF">
      <w:pPr>
        <w:spacing w:before="240" w:after="60" w:line="240" w:lineRule="auto"/>
        <w:jc w:val="both"/>
        <w:rPr>
          <w:rFonts w:eastAsia="Calibri"/>
          <w:szCs w:val="22"/>
          <w:lang w:val="en-GB"/>
        </w:rPr>
      </w:pPr>
      <w:r w:rsidRPr="008946B0">
        <w:rPr>
          <w:rFonts w:eastAsia="Calibri"/>
          <w:szCs w:val="22"/>
          <w:lang w:val="en-GB"/>
        </w:rPr>
        <w:t>This point has not been assessed.</w:t>
      </w:r>
    </w:p>
    <w:p w14:paraId="198D4B55" w14:textId="77777777" w:rsidR="005A47F3" w:rsidRPr="008946B0" w:rsidRDefault="00AB77EF">
      <w:pPr>
        <w:pStyle w:val="Heading2"/>
        <w:rPr>
          <w:rFonts w:eastAsia="Calibri"/>
          <w:lang w:val="en-GB"/>
        </w:rPr>
      </w:pPr>
      <w:bookmarkStart w:id="377" w:name="_Toc31104440"/>
      <w:bookmarkStart w:id="378" w:name="_Toc31112699"/>
      <w:bookmarkStart w:id="379" w:name="_Toc31131744"/>
      <w:bookmarkStart w:id="380" w:name="_Toc31237148"/>
      <w:bookmarkStart w:id="381" w:name="_Toc31294056"/>
      <w:bookmarkStart w:id="382" w:name="_Toc31719474"/>
      <w:bookmarkStart w:id="383" w:name="_Toc42722874"/>
      <w:bookmarkEnd w:id="377"/>
      <w:bookmarkEnd w:id="378"/>
      <w:bookmarkEnd w:id="379"/>
      <w:bookmarkEnd w:id="380"/>
      <w:bookmarkEnd w:id="381"/>
      <w:bookmarkEnd w:id="382"/>
      <w:r w:rsidRPr="008946B0">
        <w:rPr>
          <w:rFonts w:eastAsia="Calibri"/>
          <w:lang w:val="en-GB"/>
        </w:rPr>
        <w:t>Coexistence with telemetry, video PMSE and fixed links in 2290-2400 MHz</w:t>
      </w:r>
      <w:bookmarkEnd w:id="383"/>
    </w:p>
    <w:p w14:paraId="5C8FC861" w14:textId="77777777" w:rsidR="005A47F3" w:rsidRPr="008946B0" w:rsidRDefault="00AB77EF">
      <w:pPr>
        <w:spacing w:before="240" w:after="60" w:line="240" w:lineRule="auto"/>
        <w:jc w:val="both"/>
        <w:rPr>
          <w:rFonts w:eastAsia="Calibri"/>
          <w:szCs w:val="22"/>
          <w:lang w:val="en-GB"/>
        </w:rPr>
      </w:pPr>
      <w:r w:rsidRPr="008946B0">
        <w:rPr>
          <w:rFonts w:eastAsia="Calibri"/>
          <w:szCs w:val="22"/>
          <w:lang w:val="en-GB"/>
        </w:rPr>
        <w:t>This point, limited to adjacent compatibility study, has not been assessed.</w:t>
      </w:r>
    </w:p>
    <w:p w14:paraId="7F8C6419" w14:textId="77777777" w:rsidR="005A47F3" w:rsidRPr="008946B0" w:rsidRDefault="00AB77EF">
      <w:pPr>
        <w:pStyle w:val="Heading2"/>
        <w:rPr>
          <w:rFonts w:eastAsia="Calibri"/>
          <w:lang w:val="en-GB"/>
        </w:rPr>
      </w:pPr>
      <w:bookmarkStart w:id="384" w:name="_Toc31104442"/>
      <w:bookmarkStart w:id="385" w:name="_Toc31112701"/>
      <w:bookmarkStart w:id="386" w:name="_Toc31131746"/>
      <w:bookmarkStart w:id="387" w:name="_Toc31237150"/>
      <w:bookmarkStart w:id="388" w:name="_Toc31294058"/>
      <w:bookmarkStart w:id="389" w:name="_Toc31719476"/>
      <w:bookmarkStart w:id="390" w:name="_Toc31104443"/>
      <w:bookmarkStart w:id="391" w:name="_Toc31112702"/>
      <w:bookmarkStart w:id="392" w:name="_Toc31131747"/>
      <w:bookmarkStart w:id="393" w:name="_Toc31237151"/>
      <w:bookmarkStart w:id="394" w:name="_Toc31294059"/>
      <w:bookmarkStart w:id="395" w:name="_Toc31719477"/>
      <w:bookmarkStart w:id="396" w:name="_Toc42722875"/>
      <w:bookmarkEnd w:id="384"/>
      <w:bookmarkEnd w:id="385"/>
      <w:bookmarkEnd w:id="386"/>
      <w:bookmarkEnd w:id="387"/>
      <w:bookmarkEnd w:id="388"/>
      <w:bookmarkEnd w:id="389"/>
      <w:bookmarkEnd w:id="390"/>
      <w:bookmarkEnd w:id="391"/>
      <w:bookmarkEnd w:id="392"/>
      <w:bookmarkEnd w:id="393"/>
      <w:bookmarkEnd w:id="394"/>
      <w:bookmarkEnd w:id="395"/>
      <w:r w:rsidRPr="008946B0">
        <w:rPr>
          <w:rFonts w:eastAsia="Calibri"/>
          <w:lang w:val="en-GB"/>
        </w:rPr>
        <w:t>Conclusion on feasibility</w:t>
      </w:r>
      <w:bookmarkEnd w:id="396"/>
    </w:p>
    <w:p w14:paraId="47E9123C" w14:textId="03D51FA1" w:rsidR="005A47F3" w:rsidRPr="008946B0" w:rsidRDefault="00AB77EF">
      <w:pPr>
        <w:spacing w:before="240" w:after="60" w:line="240" w:lineRule="auto"/>
        <w:jc w:val="both"/>
        <w:rPr>
          <w:rFonts w:eastAsia="Calibri"/>
          <w:szCs w:val="22"/>
          <w:lang w:val="en-GB"/>
        </w:rPr>
      </w:pPr>
      <w:r w:rsidRPr="008946B0">
        <w:rPr>
          <w:rFonts w:eastAsia="Calibri"/>
          <w:szCs w:val="22"/>
          <w:lang w:val="en-GB"/>
        </w:rPr>
        <w:t>The use of the 2290-2300 MHz frequency band for FRMCS raises several technical challenges to enable unsynchronised operation together with ECS TDD networks in the 2.3 GHz band. The required geographical protection distances between unsynchronised base stations are expected to be so large that this is not considered a realistic option for FRMCS deployment. The possible implications of a synchronised operation between FRMCS and ECS (which also include</w:t>
      </w:r>
      <w:r w:rsidR="00C6339E" w:rsidRPr="008946B0">
        <w:rPr>
          <w:rFonts w:eastAsia="Calibri"/>
          <w:szCs w:val="22"/>
          <w:lang w:val="en-GB"/>
        </w:rPr>
        <w:t>s</w:t>
      </w:r>
      <w:r w:rsidRPr="008946B0">
        <w:rPr>
          <w:rFonts w:eastAsia="Calibri"/>
          <w:szCs w:val="22"/>
          <w:lang w:val="en-GB"/>
        </w:rPr>
        <w:t xml:space="preserve"> sharing the same UL and DL frame structure) has not been studied.</w:t>
      </w:r>
      <w:r w:rsidR="00EE2B3C" w:rsidRPr="008946B0">
        <w:rPr>
          <w:rFonts w:eastAsia="Calibri"/>
          <w:szCs w:val="22"/>
          <w:lang w:val="en-GB"/>
        </w:rPr>
        <w:t xml:space="preserve"> Considering </w:t>
      </w:r>
      <w:r w:rsidR="00453C22" w:rsidRPr="008946B0">
        <w:rPr>
          <w:rFonts w:eastAsia="Calibri"/>
          <w:szCs w:val="22"/>
          <w:lang w:val="en-GB"/>
        </w:rPr>
        <w:t xml:space="preserve">that </w:t>
      </w:r>
      <w:r w:rsidR="00EE2B3C" w:rsidRPr="008946B0">
        <w:rPr>
          <w:rFonts w:eastAsia="Calibri"/>
          <w:szCs w:val="22"/>
          <w:lang w:val="en-GB"/>
        </w:rPr>
        <w:t xml:space="preserve">railways </w:t>
      </w:r>
      <w:r w:rsidR="0025262A" w:rsidRPr="008946B0">
        <w:rPr>
          <w:rFonts w:eastAsia="Calibri"/>
          <w:szCs w:val="22"/>
          <w:lang w:val="en-GB"/>
        </w:rPr>
        <w:t xml:space="preserve">anticipate heavy UL traffic (see </w:t>
      </w:r>
      <w:r w:rsidR="0025262A" w:rsidRPr="008946B0">
        <w:rPr>
          <w:rFonts w:eastAsia="Calibri"/>
          <w:szCs w:val="22"/>
          <w:lang w:val="en-GB"/>
        </w:rPr>
        <w:fldChar w:fldCharType="begin"/>
      </w:r>
      <w:r w:rsidR="0025262A" w:rsidRPr="008946B0">
        <w:rPr>
          <w:rFonts w:eastAsia="Calibri"/>
          <w:szCs w:val="22"/>
          <w:lang w:val="en-GB"/>
        </w:rPr>
        <w:instrText xml:space="preserve"> REF _Ref31277520 \h </w:instrText>
      </w:r>
      <w:r w:rsidR="0025262A" w:rsidRPr="008946B0">
        <w:rPr>
          <w:rFonts w:eastAsia="Calibri"/>
          <w:szCs w:val="22"/>
          <w:lang w:val="en-GB"/>
        </w:rPr>
      </w:r>
      <w:r w:rsidR="0025262A" w:rsidRPr="008946B0">
        <w:rPr>
          <w:rFonts w:eastAsia="Calibri"/>
          <w:szCs w:val="22"/>
          <w:lang w:val="en-GB"/>
        </w:rPr>
        <w:fldChar w:fldCharType="separate"/>
      </w:r>
      <w:r w:rsidR="0025262A" w:rsidRPr="008946B0">
        <w:rPr>
          <w:lang w:val="en-GB"/>
        </w:rPr>
        <w:t>Table 5</w:t>
      </w:r>
      <w:r w:rsidR="0025262A" w:rsidRPr="008946B0">
        <w:rPr>
          <w:rFonts w:eastAsia="Calibri"/>
          <w:szCs w:val="22"/>
          <w:lang w:val="en-GB"/>
        </w:rPr>
        <w:fldChar w:fldCharType="end"/>
      </w:r>
      <w:r w:rsidR="0025262A" w:rsidRPr="008946B0">
        <w:rPr>
          <w:rFonts w:eastAsia="Calibri"/>
          <w:szCs w:val="22"/>
          <w:lang w:val="en-GB"/>
        </w:rPr>
        <w:t xml:space="preserve">), it is unlikely that the required synchronisation </w:t>
      </w:r>
      <w:r w:rsidR="004C6F69" w:rsidRPr="008946B0">
        <w:rPr>
          <w:rFonts w:eastAsia="Calibri"/>
          <w:szCs w:val="22"/>
          <w:lang w:val="en-GB"/>
        </w:rPr>
        <w:t>of</w:t>
      </w:r>
      <w:r w:rsidR="0025262A" w:rsidRPr="008946B0">
        <w:rPr>
          <w:rFonts w:eastAsia="Calibri"/>
          <w:szCs w:val="22"/>
          <w:lang w:val="en-GB"/>
        </w:rPr>
        <w:t xml:space="preserve"> </w:t>
      </w:r>
      <w:r w:rsidR="007A4B97" w:rsidRPr="008946B0">
        <w:rPr>
          <w:rFonts w:eastAsia="Calibri"/>
          <w:szCs w:val="22"/>
          <w:lang w:val="en-GB"/>
        </w:rPr>
        <w:t xml:space="preserve">compatible </w:t>
      </w:r>
      <w:r w:rsidR="0025262A" w:rsidRPr="008946B0">
        <w:rPr>
          <w:rFonts w:eastAsia="Calibri"/>
          <w:szCs w:val="22"/>
          <w:lang w:val="en-GB"/>
        </w:rPr>
        <w:t>TDD frame configurations between RMR and neighbouring ECS would be achieved.</w:t>
      </w:r>
    </w:p>
    <w:p w14:paraId="536D6B13" w14:textId="77777777" w:rsidR="005A47F3" w:rsidRPr="008946B0" w:rsidRDefault="00A13137">
      <w:pPr>
        <w:spacing w:before="240" w:after="60" w:line="240" w:lineRule="auto"/>
        <w:jc w:val="both"/>
        <w:rPr>
          <w:rFonts w:eastAsia="Calibri"/>
          <w:szCs w:val="22"/>
          <w:lang w:val="en-GB"/>
        </w:rPr>
      </w:pPr>
      <w:r w:rsidRPr="008946B0">
        <w:rPr>
          <w:rFonts w:eastAsia="Calibri"/>
          <w:szCs w:val="22"/>
          <w:lang w:val="en-GB"/>
        </w:rPr>
        <w:t>T</w:t>
      </w:r>
      <w:r w:rsidR="00AB77EF" w:rsidRPr="008946B0">
        <w:rPr>
          <w:rFonts w:eastAsia="Calibri"/>
          <w:szCs w:val="22"/>
          <w:lang w:val="en-GB"/>
        </w:rPr>
        <w:t xml:space="preserve">he feasibility of FRMCS high-power cab-radios in terms of coexistence with ECS as well as of FRMCS coexistence with other applications in or adjacent to the band </w:t>
      </w:r>
      <w:r w:rsidR="00C24AD1" w:rsidRPr="008946B0">
        <w:rPr>
          <w:rFonts w:eastAsia="Calibri"/>
          <w:szCs w:val="22"/>
          <w:lang w:val="en-GB"/>
        </w:rPr>
        <w:t xml:space="preserve">would </w:t>
      </w:r>
      <w:r w:rsidRPr="008946B0">
        <w:rPr>
          <w:rFonts w:eastAsia="Calibri"/>
          <w:szCs w:val="22"/>
          <w:lang w:val="en-GB"/>
        </w:rPr>
        <w:t>require</w:t>
      </w:r>
      <w:r w:rsidR="00AB77EF" w:rsidRPr="008946B0">
        <w:rPr>
          <w:rFonts w:eastAsia="Calibri"/>
          <w:szCs w:val="22"/>
          <w:lang w:val="en-GB"/>
        </w:rPr>
        <w:t xml:space="preserve"> further study.</w:t>
      </w:r>
    </w:p>
    <w:p w14:paraId="27B1AB98" w14:textId="68AFC3D3" w:rsidR="003B02A5" w:rsidRPr="008946B0" w:rsidRDefault="00432498" w:rsidP="003B02A5">
      <w:pPr>
        <w:spacing w:before="240" w:after="60" w:line="240" w:lineRule="auto"/>
        <w:jc w:val="both"/>
        <w:rPr>
          <w:rFonts w:eastAsia="Calibri"/>
          <w:szCs w:val="22"/>
          <w:lang w:val="en-GB"/>
        </w:rPr>
      </w:pPr>
      <w:r w:rsidRPr="008946B0">
        <w:rPr>
          <w:rFonts w:eastAsia="Calibri"/>
          <w:szCs w:val="22"/>
          <w:lang w:val="en-GB"/>
        </w:rPr>
        <w:t xml:space="preserve">When considering </w:t>
      </w:r>
      <w:r w:rsidR="003B02A5" w:rsidRPr="008946B0">
        <w:rPr>
          <w:rFonts w:eastAsia="Calibri"/>
          <w:szCs w:val="22"/>
          <w:lang w:val="en-GB"/>
        </w:rPr>
        <w:t xml:space="preserve">ECC Report 172, coexistence of FRMCS with existing applications </w:t>
      </w:r>
      <w:r w:rsidRPr="008946B0">
        <w:rPr>
          <w:rFonts w:eastAsia="Calibri"/>
          <w:szCs w:val="22"/>
          <w:lang w:val="en-GB"/>
        </w:rPr>
        <w:t xml:space="preserve">in and adjacent to the band 2290-2300 MHz as documented in </w:t>
      </w:r>
      <w:r w:rsidR="003B02A5" w:rsidRPr="008946B0">
        <w:rPr>
          <w:rFonts w:eastAsia="Calibri"/>
          <w:szCs w:val="22"/>
          <w:lang w:val="en-GB"/>
        </w:rPr>
        <w:t xml:space="preserve">the synthesis of the answers to the </w:t>
      </w:r>
      <w:r w:rsidR="00C6339E" w:rsidRPr="008946B0">
        <w:rPr>
          <w:rFonts w:eastAsia="Calibri"/>
          <w:szCs w:val="22"/>
          <w:lang w:val="en-GB"/>
        </w:rPr>
        <w:t xml:space="preserve">CEPT </w:t>
      </w:r>
      <w:r w:rsidR="003B02A5" w:rsidRPr="008946B0">
        <w:rPr>
          <w:rFonts w:eastAsia="Calibri"/>
          <w:szCs w:val="22"/>
          <w:lang w:val="en-GB"/>
        </w:rPr>
        <w:t>questionnaire on the 2290-2400 MHz range</w:t>
      </w:r>
      <w:r w:rsidR="003B02A5" w:rsidRPr="008946B0">
        <w:rPr>
          <w:rStyle w:val="FootnoteReference"/>
          <w:rFonts w:eastAsia="Calibri"/>
          <w:szCs w:val="22"/>
          <w:lang w:val="en-GB"/>
        </w:rPr>
        <w:footnoteReference w:id="22"/>
      </w:r>
      <w:r w:rsidR="003B02A5" w:rsidRPr="008946B0">
        <w:rPr>
          <w:rFonts w:eastAsia="Calibri"/>
          <w:szCs w:val="22"/>
          <w:lang w:val="en-GB"/>
        </w:rPr>
        <w:t xml:space="preserve">, is challenging and would </w:t>
      </w:r>
      <w:r w:rsidR="00A13137" w:rsidRPr="008946B0">
        <w:rPr>
          <w:rFonts w:eastAsia="Calibri"/>
          <w:szCs w:val="22"/>
          <w:lang w:val="en-GB"/>
        </w:rPr>
        <w:t xml:space="preserve">also </w:t>
      </w:r>
      <w:r w:rsidR="003B02A5" w:rsidRPr="008946B0">
        <w:rPr>
          <w:rFonts w:eastAsia="Calibri"/>
          <w:szCs w:val="22"/>
          <w:lang w:val="en-GB"/>
        </w:rPr>
        <w:t>require further studies.</w:t>
      </w:r>
    </w:p>
    <w:p w14:paraId="6610AB13" w14:textId="6515A754" w:rsidR="005A47F3" w:rsidRPr="008946B0" w:rsidRDefault="00BC3AAD">
      <w:pPr>
        <w:spacing w:before="240" w:after="60" w:line="240" w:lineRule="auto"/>
        <w:jc w:val="both"/>
        <w:rPr>
          <w:rFonts w:eastAsia="Calibri"/>
          <w:szCs w:val="22"/>
          <w:lang w:val="en-GB"/>
        </w:rPr>
      </w:pPr>
      <w:r w:rsidRPr="008946B0">
        <w:rPr>
          <w:rFonts w:eastAsia="Calibri"/>
          <w:szCs w:val="22"/>
          <w:lang w:val="en-GB"/>
        </w:rPr>
        <w:t>The overall conclusion is that</w:t>
      </w:r>
      <w:r w:rsidR="00AB77EF" w:rsidRPr="008946B0">
        <w:rPr>
          <w:rFonts w:eastAsia="Calibri"/>
          <w:szCs w:val="22"/>
          <w:lang w:val="en-GB"/>
        </w:rPr>
        <w:t xml:space="preserve"> the 2290-2300 MHz frequency </w:t>
      </w:r>
      <w:r w:rsidR="00EE2B3C" w:rsidRPr="008946B0">
        <w:rPr>
          <w:rFonts w:eastAsia="Calibri"/>
          <w:szCs w:val="22"/>
          <w:lang w:val="en-GB"/>
        </w:rPr>
        <w:t xml:space="preserve">band </w:t>
      </w:r>
      <w:r w:rsidR="00AB77EF" w:rsidRPr="008946B0">
        <w:rPr>
          <w:rFonts w:eastAsia="Calibri"/>
          <w:szCs w:val="22"/>
          <w:lang w:val="en-GB"/>
        </w:rPr>
        <w:t xml:space="preserve">is not </w:t>
      </w:r>
      <w:r w:rsidR="000364F4" w:rsidRPr="008946B0">
        <w:rPr>
          <w:rFonts w:eastAsia="Calibri"/>
          <w:szCs w:val="22"/>
          <w:lang w:val="en-GB"/>
        </w:rPr>
        <w:t>a</w:t>
      </w:r>
      <w:r w:rsidR="00AB77EF" w:rsidRPr="008946B0">
        <w:rPr>
          <w:rFonts w:eastAsia="Calibri"/>
          <w:szCs w:val="22"/>
          <w:lang w:val="en-GB"/>
        </w:rPr>
        <w:t xml:space="preserve"> preferred option for </w:t>
      </w:r>
      <w:r w:rsidR="00FA01DB" w:rsidRPr="008946B0">
        <w:rPr>
          <w:rFonts w:eastAsia="Calibri"/>
          <w:szCs w:val="22"/>
          <w:lang w:val="en-GB"/>
        </w:rPr>
        <w:t xml:space="preserve">identifying appropriate </w:t>
      </w:r>
      <w:r w:rsidR="00AB77EF" w:rsidRPr="008946B0">
        <w:rPr>
          <w:rFonts w:eastAsia="Calibri"/>
          <w:szCs w:val="22"/>
          <w:lang w:val="en-GB"/>
        </w:rPr>
        <w:t>complementary spectrum for RMR.</w:t>
      </w:r>
    </w:p>
    <w:p w14:paraId="51419916" w14:textId="77777777" w:rsidR="005A47F3" w:rsidRPr="008946B0" w:rsidRDefault="00AB77EF">
      <w:pPr>
        <w:pStyle w:val="Heading1"/>
        <w:rPr>
          <w:rFonts w:eastAsia="Calibri"/>
        </w:rPr>
      </w:pPr>
      <w:bookmarkStart w:id="397" w:name="_Toc31104445"/>
      <w:bookmarkStart w:id="398" w:name="_Toc31112704"/>
      <w:bookmarkStart w:id="399" w:name="_Toc31131749"/>
      <w:bookmarkStart w:id="400" w:name="_Toc31237153"/>
      <w:bookmarkStart w:id="401" w:name="_Toc31294061"/>
      <w:bookmarkStart w:id="402" w:name="_Toc31719479"/>
      <w:bookmarkStart w:id="403" w:name="_Toc31104446"/>
      <w:bookmarkStart w:id="404" w:name="_Toc31112705"/>
      <w:bookmarkStart w:id="405" w:name="_Toc31131750"/>
      <w:bookmarkStart w:id="406" w:name="_Toc31237154"/>
      <w:bookmarkStart w:id="407" w:name="_Toc31294062"/>
      <w:bookmarkStart w:id="408" w:name="_Toc31719480"/>
      <w:bookmarkStart w:id="409" w:name="_Toc31104447"/>
      <w:bookmarkStart w:id="410" w:name="_Toc31112706"/>
      <w:bookmarkStart w:id="411" w:name="_Toc31131751"/>
      <w:bookmarkStart w:id="412" w:name="_Toc31237155"/>
      <w:bookmarkStart w:id="413" w:name="_Toc31294063"/>
      <w:bookmarkStart w:id="414" w:name="_Toc31719481"/>
      <w:bookmarkStart w:id="415" w:name="_Toc31104448"/>
      <w:bookmarkStart w:id="416" w:name="_Toc31112707"/>
      <w:bookmarkStart w:id="417" w:name="_Toc31131752"/>
      <w:bookmarkStart w:id="418" w:name="_Toc31237156"/>
      <w:bookmarkStart w:id="419" w:name="_Toc31294064"/>
      <w:bookmarkStart w:id="420" w:name="_Toc31719482"/>
      <w:bookmarkStart w:id="421" w:name="_Toc4272287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r w:rsidRPr="008946B0">
        <w:rPr>
          <w:rFonts w:eastAsia="Calibri"/>
        </w:rPr>
        <w:t>Feasibility and scenarios of using commercial mobile networks (task 4)</w:t>
      </w:r>
      <w:bookmarkEnd w:id="421"/>
    </w:p>
    <w:p w14:paraId="12DD7700" w14:textId="35945F19" w:rsidR="002000D9" w:rsidRPr="008946B0" w:rsidRDefault="002000D9" w:rsidP="002000D9">
      <w:pPr>
        <w:spacing w:before="240" w:after="60" w:line="240" w:lineRule="auto"/>
        <w:jc w:val="both"/>
        <w:rPr>
          <w:rFonts w:eastAsia="Calibri"/>
          <w:szCs w:val="22"/>
          <w:lang w:val="en-GB"/>
        </w:rPr>
      </w:pPr>
      <w:r w:rsidRPr="008946B0">
        <w:rPr>
          <w:rFonts w:eastAsia="Calibri"/>
          <w:szCs w:val="22"/>
          <w:lang w:val="en-GB"/>
        </w:rPr>
        <w:t xml:space="preserve">This chapter investigates the feasibility of </w:t>
      </w:r>
      <w:r w:rsidR="009304A1" w:rsidRPr="008946B0">
        <w:rPr>
          <w:rFonts w:eastAsia="Calibri"/>
          <w:szCs w:val="22"/>
          <w:lang w:val="en-GB"/>
        </w:rPr>
        <w:t>using</w:t>
      </w:r>
      <w:r w:rsidRPr="008946B0">
        <w:rPr>
          <w:rFonts w:eastAsia="Calibri"/>
          <w:szCs w:val="22"/>
          <w:lang w:val="en-GB"/>
        </w:rPr>
        <w:t xml:space="preserve"> commercial mobile networks to fulfil the communication needs of </w:t>
      </w:r>
      <w:proofErr w:type="gramStart"/>
      <w:r w:rsidRPr="008946B0">
        <w:rPr>
          <w:rFonts w:eastAsia="Calibri"/>
          <w:szCs w:val="22"/>
          <w:lang w:val="en-GB"/>
        </w:rPr>
        <w:t>railways, when</w:t>
      </w:r>
      <w:proofErr w:type="gramEnd"/>
      <w:r w:rsidRPr="008946B0">
        <w:rPr>
          <w:rFonts w:eastAsia="Calibri"/>
          <w:szCs w:val="22"/>
          <w:lang w:val="en-GB"/>
        </w:rPr>
        <w:t xml:space="preserve"> railways would either be users of the MNO’s network or operate as an MVNO (with network slicing). This would be part of a contractual commitment between railways and the MNO. A national regulatory framework and/or Service Level Agreements may </w:t>
      </w:r>
      <w:r w:rsidR="004E6C98" w:rsidRPr="008946B0">
        <w:rPr>
          <w:rFonts w:eastAsia="Calibri"/>
          <w:szCs w:val="22"/>
          <w:lang w:val="en-GB"/>
        </w:rPr>
        <w:t>be needed to ensure</w:t>
      </w:r>
      <w:r w:rsidRPr="008946B0">
        <w:rPr>
          <w:rFonts w:eastAsia="Calibri"/>
          <w:szCs w:val="22"/>
          <w:lang w:val="en-GB"/>
        </w:rPr>
        <w:t xml:space="preserve"> railway requirements, when considering </w:t>
      </w:r>
      <w:r w:rsidR="004E6C98" w:rsidRPr="008946B0">
        <w:rPr>
          <w:rFonts w:eastAsia="Calibri"/>
          <w:szCs w:val="22"/>
          <w:lang w:val="en-GB"/>
        </w:rPr>
        <w:t>using an</w:t>
      </w:r>
      <w:r w:rsidRPr="008946B0">
        <w:rPr>
          <w:rFonts w:eastAsia="Calibri"/>
          <w:szCs w:val="22"/>
          <w:lang w:val="en-GB"/>
        </w:rPr>
        <w:t xml:space="preserve"> MNO</w:t>
      </w:r>
      <w:r w:rsidR="004E6C98" w:rsidRPr="008946B0">
        <w:rPr>
          <w:rFonts w:eastAsia="Calibri"/>
          <w:szCs w:val="22"/>
          <w:lang w:val="en-GB"/>
        </w:rPr>
        <w:t xml:space="preserve"> network</w:t>
      </w:r>
      <w:r w:rsidRPr="008946B0">
        <w:rPr>
          <w:rFonts w:eastAsia="Calibri"/>
          <w:szCs w:val="22"/>
          <w:lang w:val="en-GB"/>
        </w:rPr>
        <w:t>.</w:t>
      </w:r>
    </w:p>
    <w:p w14:paraId="5C9ACE76" w14:textId="7253D18A" w:rsidR="005A47F3" w:rsidRPr="008946B0" w:rsidRDefault="00AB77EF">
      <w:pPr>
        <w:spacing w:before="240" w:after="60" w:line="240" w:lineRule="auto"/>
        <w:jc w:val="both"/>
        <w:rPr>
          <w:rFonts w:eastAsia="Calibri"/>
          <w:szCs w:val="22"/>
          <w:lang w:val="en-GB"/>
        </w:rPr>
      </w:pPr>
      <w:r w:rsidRPr="008946B0">
        <w:rPr>
          <w:rFonts w:eastAsia="Calibri"/>
          <w:szCs w:val="22"/>
          <w:lang w:val="en-GB"/>
        </w:rPr>
        <w:t>In its 5G Action Plan, the EU Commission emphasises that “</w:t>
      </w:r>
      <w:r w:rsidRPr="008946B0">
        <w:rPr>
          <w:rFonts w:eastAsia="Calibri"/>
          <w:i/>
          <w:iCs/>
          <w:szCs w:val="22"/>
          <w:lang w:val="en-GB"/>
        </w:rPr>
        <w:t xml:space="preserve">Public services may be an early adopter and a promoter of 5G connectivity-based solutions </w:t>
      </w:r>
      <w:r w:rsidRPr="008946B0">
        <w:rPr>
          <w:rFonts w:eastAsia="Calibri"/>
          <w:szCs w:val="22"/>
          <w:lang w:val="en-GB"/>
        </w:rPr>
        <w:t>[relying on public commercial mobile networks]</w:t>
      </w:r>
      <w:r w:rsidRPr="008946B0">
        <w:rPr>
          <w:rFonts w:eastAsia="Calibri"/>
          <w:i/>
          <w:iCs/>
          <w:szCs w:val="22"/>
          <w:lang w:val="en-GB"/>
        </w:rPr>
        <w:t>, encouraging the emergence of innovative services, contributing to a critical mass of investment, and addressing issues of importance for society.</w:t>
      </w:r>
      <w:r w:rsidRPr="008946B0">
        <w:rPr>
          <w:rFonts w:eastAsia="Calibri"/>
          <w:szCs w:val="22"/>
          <w:lang w:val="en-GB"/>
        </w:rPr>
        <w:t>”</w:t>
      </w:r>
      <w:r w:rsidRPr="008946B0">
        <w:rPr>
          <w:rStyle w:val="FootnoteReference"/>
          <w:rFonts w:eastAsia="Calibri"/>
          <w:szCs w:val="22"/>
          <w:lang w:val="en-GB"/>
        </w:rPr>
        <w:footnoteReference w:id="23"/>
      </w:r>
      <w:r w:rsidRPr="008946B0">
        <w:rPr>
          <w:rFonts w:eastAsia="Calibri"/>
          <w:szCs w:val="22"/>
          <w:lang w:val="en-GB"/>
        </w:rPr>
        <w:t xml:space="preserve"> The use of public mobile networks may be considered as part of the FRMCS bearer-independent architecture. In addition, the economic implications of utilising public mobile networks need be considered.</w:t>
      </w:r>
    </w:p>
    <w:p w14:paraId="313BDE78" w14:textId="77777777" w:rsidR="005A47F3" w:rsidRPr="008946B0" w:rsidRDefault="00AB77EF">
      <w:pPr>
        <w:pStyle w:val="Heading2"/>
        <w:rPr>
          <w:rFonts w:eastAsia="Calibri"/>
          <w:lang w:val="en-GB"/>
        </w:rPr>
      </w:pPr>
      <w:bookmarkStart w:id="422" w:name="_Toc42722877"/>
      <w:r w:rsidRPr="008946B0">
        <w:rPr>
          <w:rFonts w:eastAsia="Calibri"/>
          <w:lang w:val="en-GB"/>
        </w:rPr>
        <w:t>Technical feasibility</w:t>
      </w:r>
      <w:bookmarkEnd w:id="422"/>
    </w:p>
    <w:p w14:paraId="60D25EE2" w14:textId="18110CCA" w:rsidR="005A47F3" w:rsidRPr="008946B0" w:rsidRDefault="00AB77EF">
      <w:pPr>
        <w:keepLines/>
        <w:spacing w:before="240" w:after="240"/>
        <w:contextualSpacing/>
        <w:jc w:val="center"/>
        <w:rPr>
          <w:b/>
          <w:bCs/>
          <w:color w:val="D2232A"/>
          <w:lang w:val="en-GB"/>
        </w:rPr>
      </w:pPr>
      <w:r w:rsidRPr="008946B0">
        <w:rPr>
          <w:b/>
          <w:bCs/>
          <w:color w:val="D2232A"/>
          <w:lang w:val="en-GB"/>
        </w:rPr>
        <w:t xml:space="preserve">Table </w:t>
      </w:r>
      <w:r w:rsidRPr="008946B0">
        <w:rPr>
          <w:b/>
          <w:bCs/>
          <w:color w:val="D2232A"/>
          <w:lang w:val="en-GB"/>
        </w:rPr>
        <w:fldChar w:fldCharType="begin"/>
      </w:r>
      <w:r w:rsidRPr="008946B0">
        <w:rPr>
          <w:b/>
          <w:bCs/>
          <w:color w:val="D2232A"/>
          <w:lang w:val="en-GB"/>
        </w:rPr>
        <w:instrText xml:space="preserve"> SEQ Table \* ARABIC </w:instrText>
      </w:r>
      <w:r w:rsidRPr="008946B0">
        <w:rPr>
          <w:b/>
          <w:bCs/>
          <w:color w:val="D2232A"/>
          <w:lang w:val="en-GB"/>
        </w:rPr>
        <w:fldChar w:fldCharType="separate"/>
      </w:r>
      <w:r w:rsidR="00CF6E1D" w:rsidRPr="008946B0">
        <w:rPr>
          <w:b/>
          <w:bCs/>
          <w:color w:val="D2232A"/>
          <w:lang w:val="en-GB"/>
        </w:rPr>
        <w:t>6</w:t>
      </w:r>
      <w:r w:rsidRPr="008946B0">
        <w:rPr>
          <w:b/>
          <w:bCs/>
          <w:color w:val="D2232A"/>
          <w:lang w:val="en-GB"/>
        </w:rPr>
        <w:fldChar w:fldCharType="end"/>
      </w:r>
      <w:r w:rsidRPr="008946B0">
        <w:rPr>
          <w:b/>
          <w:bCs/>
          <w:color w:val="D2232A"/>
          <w:lang w:val="en-GB"/>
        </w:rPr>
        <w:t xml:space="preserve">: </w:t>
      </w:r>
      <w:r w:rsidR="00A45BB0" w:rsidRPr="008946B0">
        <w:rPr>
          <w:b/>
          <w:bCs/>
          <w:color w:val="D2232A"/>
          <w:lang w:val="en-GB"/>
        </w:rPr>
        <w:t>Comparison</w:t>
      </w:r>
      <w:r w:rsidRPr="008946B0">
        <w:rPr>
          <w:b/>
          <w:bCs/>
          <w:color w:val="D2232A"/>
          <w:lang w:val="en-GB"/>
        </w:rPr>
        <w:t xml:space="preserve"> between current MNO offering and railway requirements</w:t>
      </w:r>
    </w:p>
    <w:tbl>
      <w:tblPr>
        <w:tblStyle w:val="ECCTable-redheader"/>
        <w:tblW w:w="5000" w:type="pct"/>
        <w:jc w:val="center"/>
        <w:tblInd w:w="0" w:type="dxa"/>
        <w:tblLayout w:type="fixed"/>
        <w:tblCellMar>
          <w:top w:w="57" w:type="dxa"/>
          <w:left w:w="108" w:type="dxa"/>
          <w:right w:w="108" w:type="dxa"/>
        </w:tblCellMar>
        <w:tblLook w:val="04A0" w:firstRow="1" w:lastRow="0" w:firstColumn="1" w:lastColumn="0" w:noHBand="0" w:noVBand="1"/>
      </w:tblPr>
      <w:tblGrid>
        <w:gridCol w:w="1771"/>
        <w:gridCol w:w="3929"/>
        <w:gridCol w:w="3929"/>
      </w:tblGrid>
      <w:tr w:rsidR="005A47F3" w:rsidRPr="008946B0" w14:paraId="0BD44133" w14:textId="77777777" w:rsidTr="00630B4C">
        <w:trPr>
          <w:cnfStyle w:val="100000000000" w:firstRow="1" w:lastRow="0" w:firstColumn="0" w:lastColumn="0" w:oddVBand="0" w:evenVBand="0" w:oddHBand="0" w:evenHBand="0" w:firstRowFirstColumn="0" w:firstRowLastColumn="0" w:lastRowFirstColumn="0" w:lastRowLastColumn="0"/>
          <w:cantSplit/>
          <w:jc w:val="center"/>
        </w:trPr>
        <w:tc>
          <w:tcPr>
            <w:tcW w:w="9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18EF446" w14:textId="5E2FD3D9" w:rsidR="005A47F3" w:rsidRPr="008946B0" w:rsidRDefault="005A47F3" w:rsidP="00630B4C">
            <w:pPr>
              <w:pStyle w:val="ECCTableHeaderwhitefont"/>
              <w:spacing w:before="120" w:after="120"/>
              <w:rPr>
                <w:b w:val="0"/>
              </w:rPr>
            </w:pPr>
          </w:p>
        </w:tc>
        <w:tc>
          <w:tcPr>
            <w:tcW w:w="20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43DD1AE" w14:textId="77777777" w:rsidR="005A47F3" w:rsidRPr="008946B0" w:rsidRDefault="00AB77EF" w:rsidP="00630B4C">
            <w:pPr>
              <w:pStyle w:val="ECCTableHeaderwhitefont"/>
              <w:spacing w:before="120" w:after="120"/>
              <w:rPr>
                <w:b w:val="0"/>
              </w:rPr>
            </w:pPr>
            <w:r w:rsidRPr="008946B0">
              <w:t>MNO</w:t>
            </w:r>
          </w:p>
        </w:tc>
        <w:tc>
          <w:tcPr>
            <w:tcW w:w="20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A1FF84" w14:textId="77777777" w:rsidR="005A47F3" w:rsidRPr="008946B0" w:rsidRDefault="00AB77EF" w:rsidP="00630B4C">
            <w:pPr>
              <w:pStyle w:val="ECCTableHeaderwhitefont"/>
              <w:spacing w:before="120" w:after="120"/>
              <w:rPr>
                <w:b w:val="0"/>
              </w:rPr>
            </w:pPr>
            <w:r w:rsidRPr="008946B0">
              <w:t>Railways</w:t>
            </w:r>
          </w:p>
        </w:tc>
      </w:tr>
      <w:tr w:rsidR="005A47F3" w:rsidRPr="008946B0" w14:paraId="6D322D6E" w14:textId="77777777" w:rsidTr="00630B4C">
        <w:trPr>
          <w:cantSplit/>
          <w:jc w:val="center"/>
        </w:trPr>
        <w:tc>
          <w:tcPr>
            <w:tcW w:w="920" w:type="pct"/>
            <w:tcBorders>
              <w:top w:val="single" w:sz="4" w:space="0" w:color="FFFFFF" w:themeColor="background1"/>
            </w:tcBorders>
            <w:vAlign w:val="center"/>
          </w:tcPr>
          <w:p w14:paraId="68D5F7A0" w14:textId="77777777" w:rsidR="005A47F3" w:rsidRPr="008946B0" w:rsidRDefault="00AB77EF">
            <w:pPr>
              <w:spacing w:after="60"/>
              <w:rPr>
                <w:rFonts w:eastAsia="Calibri"/>
                <w:szCs w:val="22"/>
                <w:lang w:val="en-GB"/>
              </w:rPr>
            </w:pPr>
            <w:r w:rsidRPr="008946B0">
              <w:rPr>
                <w:rFonts w:eastAsia="Calibri"/>
                <w:szCs w:val="22"/>
                <w:lang w:val="en-GB"/>
              </w:rPr>
              <w:t>Coverage target</w:t>
            </w:r>
          </w:p>
        </w:tc>
        <w:tc>
          <w:tcPr>
            <w:tcW w:w="2040" w:type="pct"/>
            <w:tcBorders>
              <w:top w:val="single" w:sz="4" w:space="0" w:color="FFFFFF" w:themeColor="background1"/>
            </w:tcBorders>
            <w:vAlign w:val="center"/>
          </w:tcPr>
          <w:p w14:paraId="1DB2DA0B" w14:textId="77777777" w:rsidR="005A47F3" w:rsidRPr="008946B0" w:rsidRDefault="00AB77EF">
            <w:pPr>
              <w:spacing w:after="60"/>
              <w:rPr>
                <w:rFonts w:eastAsia="Calibri"/>
                <w:szCs w:val="22"/>
                <w:lang w:val="en-GB"/>
              </w:rPr>
            </w:pPr>
            <w:r w:rsidRPr="008946B0">
              <w:rPr>
                <w:rFonts w:eastAsia="Calibri"/>
                <w:szCs w:val="22"/>
                <w:lang w:val="en-GB"/>
              </w:rPr>
              <w:t>Mainly designed to maximise consumer population coverage, at the expense of occasional not-spots</w:t>
            </w:r>
          </w:p>
          <w:p w14:paraId="73899482" w14:textId="5D3AF6E6" w:rsidR="004D34C3" w:rsidRPr="008946B0" w:rsidRDefault="004D34C3" w:rsidP="007B4E0E">
            <w:pPr>
              <w:spacing w:after="60"/>
              <w:rPr>
                <w:rFonts w:eastAsia="Calibri"/>
                <w:szCs w:val="22"/>
                <w:lang w:val="en-GB"/>
              </w:rPr>
            </w:pPr>
            <w:r w:rsidRPr="008946B0">
              <w:rPr>
                <w:rFonts w:eastAsia="Calibri"/>
                <w:szCs w:val="22"/>
                <w:lang w:val="en-GB"/>
              </w:rPr>
              <w:t xml:space="preserve">In some countries, special design to provide in-train coverage </w:t>
            </w:r>
            <w:r w:rsidR="006C59CA" w:rsidRPr="008946B0">
              <w:rPr>
                <w:rFonts w:eastAsia="Calibri"/>
                <w:szCs w:val="22"/>
                <w:lang w:val="en-GB"/>
              </w:rPr>
              <w:t>from trackside</w:t>
            </w:r>
          </w:p>
        </w:tc>
        <w:tc>
          <w:tcPr>
            <w:tcW w:w="2040" w:type="pct"/>
            <w:tcBorders>
              <w:top w:val="single" w:sz="4" w:space="0" w:color="FFFFFF" w:themeColor="background1"/>
            </w:tcBorders>
            <w:vAlign w:val="center"/>
          </w:tcPr>
          <w:p w14:paraId="001321D6" w14:textId="7B45CE7E" w:rsidR="005A47F3" w:rsidRPr="008946B0" w:rsidRDefault="00AB77EF">
            <w:pPr>
              <w:spacing w:after="60"/>
              <w:rPr>
                <w:rFonts w:eastAsia="Calibri"/>
                <w:szCs w:val="22"/>
                <w:lang w:val="en-GB"/>
              </w:rPr>
            </w:pPr>
            <w:r w:rsidRPr="008946B0">
              <w:rPr>
                <w:rFonts w:eastAsia="Calibri"/>
                <w:szCs w:val="22"/>
                <w:lang w:val="en-GB"/>
              </w:rPr>
              <w:t xml:space="preserve">Designed for guaranteed performance on </w:t>
            </w:r>
            <w:r w:rsidR="00731CF1" w:rsidRPr="008946B0">
              <w:rPr>
                <w:rFonts w:eastAsia="Calibri"/>
                <w:szCs w:val="22"/>
                <w:lang w:val="en-GB"/>
              </w:rPr>
              <w:t xml:space="preserve">interoperable </w:t>
            </w:r>
            <w:r w:rsidRPr="008946B0">
              <w:rPr>
                <w:rFonts w:eastAsia="Calibri"/>
                <w:szCs w:val="22"/>
                <w:lang w:val="en-GB"/>
              </w:rPr>
              <w:t>railway lines and railway-related premises (shunting yards, railway stations, etc.)</w:t>
            </w:r>
          </w:p>
          <w:p w14:paraId="7905C3B7" w14:textId="77777777" w:rsidR="005A47F3" w:rsidRPr="008946B0" w:rsidRDefault="00AB77EF">
            <w:pPr>
              <w:spacing w:after="60"/>
              <w:rPr>
                <w:rFonts w:eastAsia="Calibri"/>
                <w:szCs w:val="22"/>
                <w:lang w:val="en-GB"/>
              </w:rPr>
            </w:pPr>
            <w:r w:rsidRPr="008946B0">
              <w:rPr>
                <w:rFonts w:eastAsia="Calibri"/>
                <w:szCs w:val="22"/>
                <w:lang w:val="en-GB"/>
              </w:rPr>
              <w:t>Formal verification of coverage (KPI according to EIRENE)</w:t>
            </w:r>
          </w:p>
        </w:tc>
      </w:tr>
      <w:tr w:rsidR="005A47F3" w:rsidRPr="008946B0" w14:paraId="16CE9EE7" w14:textId="77777777" w:rsidTr="00630B4C">
        <w:trPr>
          <w:cantSplit/>
          <w:jc w:val="center"/>
        </w:trPr>
        <w:tc>
          <w:tcPr>
            <w:tcW w:w="920" w:type="pct"/>
            <w:vAlign w:val="center"/>
          </w:tcPr>
          <w:p w14:paraId="3905B672" w14:textId="77777777" w:rsidR="005A47F3" w:rsidRPr="008946B0" w:rsidRDefault="00AB77EF">
            <w:pPr>
              <w:spacing w:after="60"/>
              <w:rPr>
                <w:rFonts w:eastAsia="Calibri"/>
                <w:szCs w:val="22"/>
                <w:lang w:val="en-GB"/>
              </w:rPr>
            </w:pPr>
            <w:r w:rsidRPr="008946B0">
              <w:rPr>
                <w:rFonts w:eastAsia="Calibri"/>
                <w:szCs w:val="22"/>
                <w:lang w:val="en-GB"/>
              </w:rPr>
              <w:t>Cellular model</w:t>
            </w:r>
          </w:p>
        </w:tc>
        <w:tc>
          <w:tcPr>
            <w:tcW w:w="2040" w:type="pct"/>
            <w:vAlign w:val="center"/>
          </w:tcPr>
          <w:p w14:paraId="6A9C307B" w14:textId="61245887" w:rsidR="005A47F3" w:rsidRPr="008946B0" w:rsidRDefault="005F2C54" w:rsidP="005F2C54">
            <w:pPr>
              <w:spacing w:after="60"/>
              <w:rPr>
                <w:rFonts w:eastAsia="Calibri"/>
                <w:szCs w:val="22"/>
                <w:lang w:val="en-GB"/>
              </w:rPr>
            </w:pPr>
            <w:r w:rsidRPr="008946B0">
              <w:rPr>
                <w:rFonts w:eastAsia="Calibri"/>
                <w:szCs w:val="22"/>
                <w:lang w:val="en-GB"/>
              </w:rPr>
              <w:t>Mostly h</w:t>
            </w:r>
            <w:r w:rsidR="00AB77EF" w:rsidRPr="008946B0">
              <w:rPr>
                <w:rFonts w:eastAsia="Calibri"/>
                <w:szCs w:val="22"/>
                <w:lang w:val="en-GB"/>
              </w:rPr>
              <w:t>exagonal</w:t>
            </w:r>
          </w:p>
          <w:p w14:paraId="326871FF" w14:textId="0F9381D5" w:rsidR="00F3170C" w:rsidRPr="008946B0" w:rsidRDefault="00F3170C" w:rsidP="005F2C54">
            <w:pPr>
              <w:spacing w:after="60"/>
              <w:rPr>
                <w:rFonts w:eastAsia="Calibri"/>
                <w:szCs w:val="22"/>
                <w:lang w:val="en-GB"/>
              </w:rPr>
            </w:pPr>
            <w:r w:rsidRPr="008946B0">
              <w:rPr>
                <w:rFonts w:eastAsia="Calibri"/>
                <w:szCs w:val="22"/>
                <w:lang w:val="en-GB"/>
              </w:rPr>
              <w:t>Possible specific radio design for in-train coverage from trackside</w:t>
            </w:r>
          </w:p>
          <w:p w14:paraId="2B34F308" w14:textId="540CBBA1" w:rsidR="005F2C54" w:rsidRPr="008946B0" w:rsidRDefault="005F2C54" w:rsidP="005F2C54">
            <w:pPr>
              <w:spacing w:after="60"/>
              <w:rPr>
                <w:rFonts w:eastAsia="Calibri"/>
                <w:szCs w:val="22"/>
                <w:lang w:val="en-GB"/>
              </w:rPr>
            </w:pPr>
            <w:r w:rsidRPr="008946B0">
              <w:rPr>
                <w:rFonts w:eastAsia="Calibri"/>
                <w:szCs w:val="22"/>
                <w:lang w:val="en-GB"/>
              </w:rPr>
              <w:t>Dedicated solutions for tunnels</w:t>
            </w:r>
          </w:p>
        </w:tc>
        <w:tc>
          <w:tcPr>
            <w:tcW w:w="2040" w:type="pct"/>
            <w:vAlign w:val="center"/>
          </w:tcPr>
          <w:p w14:paraId="295C358D" w14:textId="259FDE41" w:rsidR="005A47F3" w:rsidRPr="008946B0" w:rsidRDefault="00AB77EF">
            <w:pPr>
              <w:spacing w:after="60"/>
              <w:rPr>
                <w:rFonts w:eastAsia="Calibri"/>
                <w:szCs w:val="22"/>
                <w:lang w:val="en-GB"/>
              </w:rPr>
            </w:pPr>
            <w:r w:rsidRPr="008946B0">
              <w:rPr>
                <w:rFonts w:eastAsia="Calibri"/>
                <w:szCs w:val="22"/>
                <w:lang w:val="en-GB"/>
              </w:rPr>
              <w:t xml:space="preserve">Mostly </w:t>
            </w:r>
            <w:r w:rsidR="005F2C54" w:rsidRPr="008946B0">
              <w:rPr>
                <w:rFonts w:eastAsia="Calibri"/>
                <w:szCs w:val="22"/>
                <w:lang w:val="en-GB"/>
              </w:rPr>
              <w:t>l</w:t>
            </w:r>
            <w:r w:rsidRPr="008946B0">
              <w:rPr>
                <w:rFonts w:eastAsia="Calibri"/>
                <w:szCs w:val="22"/>
                <w:lang w:val="en-GB"/>
              </w:rPr>
              <w:t>inear/</w:t>
            </w:r>
            <w:r w:rsidR="005F2C54" w:rsidRPr="008946B0">
              <w:rPr>
                <w:rFonts w:eastAsia="Calibri"/>
                <w:szCs w:val="22"/>
                <w:lang w:val="en-GB"/>
              </w:rPr>
              <w:t>c</w:t>
            </w:r>
            <w:r w:rsidRPr="008946B0">
              <w:rPr>
                <w:rFonts w:eastAsia="Calibri"/>
                <w:szCs w:val="22"/>
                <w:lang w:val="en-GB"/>
              </w:rPr>
              <w:t>urvilinear</w:t>
            </w:r>
          </w:p>
          <w:p w14:paraId="517F2C2D" w14:textId="77777777" w:rsidR="005A47F3" w:rsidRPr="008946B0" w:rsidRDefault="00AB77EF">
            <w:pPr>
              <w:spacing w:after="60"/>
              <w:rPr>
                <w:rFonts w:eastAsia="Calibri"/>
                <w:szCs w:val="22"/>
                <w:lang w:val="en-GB"/>
              </w:rPr>
            </w:pPr>
            <w:r w:rsidRPr="008946B0">
              <w:rPr>
                <w:rFonts w:eastAsia="Calibri"/>
                <w:szCs w:val="22"/>
                <w:lang w:val="en-GB"/>
              </w:rPr>
              <w:t>Hexagonal in station areas and shunting yards</w:t>
            </w:r>
          </w:p>
        </w:tc>
      </w:tr>
      <w:tr w:rsidR="005A47F3" w:rsidRPr="008946B0" w14:paraId="2E72E7A7" w14:textId="77777777" w:rsidTr="00630B4C">
        <w:trPr>
          <w:cantSplit/>
          <w:jc w:val="center"/>
        </w:trPr>
        <w:tc>
          <w:tcPr>
            <w:tcW w:w="920" w:type="pct"/>
            <w:vMerge w:val="restart"/>
            <w:vAlign w:val="center"/>
          </w:tcPr>
          <w:p w14:paraId="0FB2D49E" w14:textId="77777777" w:rsidR="005A47F3" w:rsidRPr="008946B0" w:rsidRDefault="00AB77EF">
            <w:pPr>
              <w:spacing w:after="60"/>
              <w:rPr>
                <w:rFonts w:eastAsia="Calibri"/>
                <w:szCs w:val="22"/>
                <w:lang w:val="en-GB"/>
              </w:rPr>
            </w:pPr>
            <w:r w:rsidRPr="008946B0">
              <w:rPr>
                <w:rFonts w:eastAsia="Calibri"/>
                <w:szCs w:val="22"/>
                <w:lang w:val="en-GB"/>
              </w:rPr>
              <w:t>System/Service Availability Requirements</w:t>
            </w:r>
          </w:p>
        </w:tc>
        <w:tc>
          <w:tcPr>
            <w:tcW w:w="2040" w:type="pct"/>
            <w:vAlign w:val="center"/>
          </w:tcPr>
          <w:p w14:paraId="5A937CED" w14:textId="77777777" w:rsidR="005A47F3" w:rsidRPr="008946B0" w:rsidRDefault="00AB77EF">
            <w:pPr>
              <w:spacing w:after="60"/>
              <w:rPr>
                <w:rFonts w:eastAsia="Calibri"/>
                <w:szCs w:val="22"/>
                <w:lang w:val="en-GB"/>
              </w:rPr>
            </w:pPr>
            <w:r w:rsidRPr="008946B0">
              <w:rPr>
                <w:rFonts w:eastAsia="Calibri"/>
                <w:szCs w:val="22"/>
                <w:lang w:val="en-GB"/>
              </w:rPr>
              <w:t>Mainly designed on a statistical approach, at the expense of occasional failures</w:t>
            </w:r>
          </w:p>
        </w:tc>
        <w:tc>
          <w:tcPr>
            <w:tcW w:w="2040" w:type="pct"/>
            <w:vAlign w:val="center"/>
          </w:tcPr>
          <w:p w14:paraId="672C6D88" w14:textId="0AA4FD94" w:rsidR="005A47F3" w:rsidRPr="008946B0" w:rsidRDefault="00AB77EF">
            <w:pPr>
              <w:spacing w:after="60"/>
              <w:rPr>
                <w:rFonts w:eastAsia="Calibri"/>
                <w:szCs w:val="22"/>
                <w:lang w:val="en-GB"/>
              </w:rPr>
            </w:pPr>
            <w:r w:rsidRPr="008946B0">
              <w:rPr>
                <w:rFonts w:eastAsia="Calibri"/>
                <w:szCs w:val="22"/>
                <w:lang w:val="en-GB"/>
              </w:rPr>
              <w:t>Fault tolerant</w:t>
            </w:r>
            <w:r w:rsidR="006C37A2" w:rsidRPr="008946B0">
              <w:rPr>
                <w:rFonts w:eastAsia="Calibri"/>
                <w:szCs w:val="22"/>
                <w:lang w:val="en-GB"/>
              </w:rPr>
              <w:t xml:space="preserve"> </w:t>
            </w:r>
            <w:r w:rsidRPr="008946B0">
              <w:rPr>
                <w:rFonts w:eastAsia="Calibri"/>
                <w:szCs w:val="22"/>
                <w:lang w:val="en-GB"/>
              </w:rPr>
              <w:t>/ high-availability requirements and performance guarantees</w:t>
            </w:r>
            <w:r w:rsidR="00DC3199" w:rsidRPr="008946B0">
              <w:rPr>
                <w:rFonts w:eastAsia="Calibri"/>
                <w:szCs w:val="22"/>
                <w:lang w:val="en-GB"/>
              </w:rPr>
              <w:t>, particularly for railway lines using train control signalling</w:t>
            </w:r>
          </w:p>
        </w:tc>
      </w:tr>
      <w:tr w:rsidR="005A47F3" w:rsidRPr="008946B0" w14:paraId="0392D3B5" w14:textId="77777777" w:rsidTr="00630B4C">
        <w:trPr>
          <w:cantSplit/>
          <w:jc w:val="center"/>
        </w:trPr>
        <w:tc>
          <w:tcPr>
            <w:tcW w:w="920" w:type="pct"/>
            <w:vMerge/>
            <w:vAlign w:val="center"/>
          </w:tcPr>
          <w:p w14:paraId="092DC511" w14:textId="77777777" w:rsidR="005A47F3" w:rsidRPr="008946B0" w:rsidRDefault="005A47F3">
            <w:pPr>
              <w:spacing w:after="60"/>
              <w:rPr>
                <w:rFonts w:eastAsia="Calibri"/>
                <w:szCs w:val="22"/>
                <w:lang w:val="en-GB"/>
              </w:rPr>
            </w:pPr>
          </w:p>
        </w:tc>
        <w:tc>
          <w:tcPr>
            <w:tcW w:w="2040" w:type="pct"/>
            <w:vAlign w:val="center"/>
          </w:tcPr>
          <w:p w14:paraId="3BEDD705" w14:textId="77777777" w:rsidR="005A47F3" w:rsidRPr="008946B0" w:rsidRDefault="00AB77EF">
            <w:pPr>
              <w:spacing w:after="60"/>
              <w:rPr>
                <w:rFonts w:eastAsia="Calibri"/>
                <w:szCs w:val="22"/>
                <w:lang w:val="en-GB"/>
              </w:rPr>
            </w:pPr>
            <w:r w:rsidRPr="008946B0">
              <w:rPr>
                <w:rFonts w:eastAsia="Calibri"/>
                <w:szCs w:val="22"/>
                <w:lang w:val="en-GB"/>
              </w:rPr>
              <w:t>Frequent maintenance windows</w:t>
            </w:r>
          </w:p>
        </w:tc>
        <w:tc>
          <w:tcPr>
            <w:tcW w:w="2040" w:type="pct"/>
            <w:vAlign w:val="center"/>
          </w:tcPr>
          <w:p w14:paraId="2E5EBD59" w14:textId="1ACC59C1" w:rsidR="005A47F3" w:rsidRPr="008946B0" w:rsidRDefault="00AB77EF">
            <w:pPr>
              <w:spacing w:after="60"/>
              <w:rPr>
                <w:rFonts w:eastAsia="Calibri"/>
                <w:szCs w:val="22"/>
                <w:lang w:val="en-GB"/>
              </w:rPr>
            </w:pPr>
            <w:r w:rsidRPr="008946B0">
              <w:rPr>
                <w:rFonts w:eastAsia="Calibri"/>
                <w:szCs w:val="22"/>
                <w:lang w:val="en-GB"/>
              </w:rPr>
              <w:t xml:space="preserve">Limited maintenance windows </w:t>
            </w:r>
            <w:r w:rsidR="00731CF1" w:rsidRPr="008946B0">
              <w:rPr>
                <w:rFonts w:eastAsia="Calibri"/>
                <w:szCs w:val="22"/>
                <w:lang w:val="en-GB"/>
              </w:rPr>
              <w:t>(</w:t>
            </w:r>
            <w:r w:rsidR="00AD725E" w:rsidRPr="008946B0">
              <w:rPr>
                <w:rFonts w:eastAsia="Calibri"/>
                <w:szCs w:val="22"/>
                <w:lang w:val="en-GB"/>
              </w:rPr>
              <w:t xml:space="preserve">when </w:t>
            </w:r>
            <w:r w:rsidR="00731CF1" w:rsidRPr="008946B0">
              <w:rPr>
                <w:rFonts w:eastAsia="Calibri"/>
                <w:szCs w:val="22"/>
                <w:lang w:val="en-GB"/>
              </w:rPr>
              <w:t xml:space="preserve">no </w:t>
            </w:r>
            <w:r w:rsidR="00FB6E92" w:rsidRPr="008946B0">
              <w:rPr>
                <w:rFonts w:eastAsia="Calibri"/>
                <w:szCs w:val="22"/>
                <w:lang w:val="en-GB"/>
              </w:rPr>
              <w:t xml:space="preserve">railway </w:t>
            </w:r>
            <w:r w:rsidR="00731CF1" w:rsidRPr="008946B0">
              <w:rPr>
                <w:rFonts w:eastAsia="Calibri"/>
                <w:szCs w:val="22"/>
                <w:lang w:val="en-GB"/>
              </w:rPr>
              <w:t xml:space="preserve">traffic) </w:t>
            </w:r>
            <w:r w:rsidRPr="008946B0">
              <w:rPr>
                <w:rFonts w:eastAsia="Calibri"/>
                <w:szCs w:val="22"/>
                <w:lang w:val="en-GB"/>
              </w:rPr>
              <w:t>with mid to long term scheduling</w:t>
            </w:r>
          </w:p>
        </w:tc>
      </w:tr>
      <w:tr w:rsidR="005A47F3" w:rsidRPr="008946B0" w14:paraId="22B71970" w14:textId="77777777" w:rsidTr="00630B4C">
        <w:trPr>
          <w:cantSplit/>
          <w:jc w:val="center"/>
        </w:trPr>
        <w:tc>
          <w:tcPr>
            <w:tcW w:w="920" w:type="pct"/>
            <w:vMerge w:val="restart"/>
            <w:vAlign w:val="center"/>
          </w:tcPr>
          <w:p w14:paraId="32D06819" w14:textId="77777777" w:rsidR="005A47F3" w:rsidRPr="008946B0" w:rsidRDefault="00AB77EF">
            <w:pPr>
              <w:spacing w:after="60"/>
              <w:rPr>
                <w:rFonts w:eastAsia="Calibri"/>
                <w:szCs w:val="22"/>
                <w:lang w:val="en-GB"/>
              </w:rPr>
            </w:pPr>
            <w:r w:rsidRPr="008946B0">
              <w:rPr>
                <w:rFonts w:eastAsia="Calibri"/>
                <w:szCs w:val="22"/>
                <w:lang w:val="en-GB"/>
              </w:rPr>
              <w:t>Resiliency to (cell) coverage outage</w:t>
            </w:r>
          </w:p>
        </w:tc>
        <w:tc>
          <w:tcPr>
            <w:tcW w:w="2040" w:type="pct"/>
            <w:vAlign w:val="center"/>
          </w:tcPr>
          <w:p w14:paraId="00365A68" w14:textId="77777777" w:rsidR="005A47F3" w:rsidRPr="008946B0" w:rsidRDefault="00AB77EF">
            <w:pPr>
              <w:spacing w:after="60"/>
              <w:rPr>
                <w:rFonts w:eastAsia="Calibri"/>
                <w:szCs w:val="22"/>
                <w:lang w:val="en-GB"/>
              </w:rPr>
            </w:pPr>
            <w:r w:rsidRPr="008946B0">
              <w:rPr>
                <w:rFonts w:eastAsia="Calibri"/>
                <w:szCs w:val="22"/>
                <w:lang w:val="en-GB"/>
              </w:rPr>
              <w:t>Optimal geographical coverage having minimum overlap.</w:t>
            </w:r>
          </w:p>
          <w:p w14:paraId="4036FAA8" w14:textId="149A805D" w:rsidR="005A47F3" w:rsidRPr="008946B0" w:rsidRDefault="00AB77EF">
            <w:pPr>
              <w:spacing w:after="60"/>
              <w:rPr>
                <w:rFonts w:eastAsia="Calibri"/>
                <w:szCs w:val="22"/>
                <w:lang w:val="en-GB"/>
              </w:rPr>
            </w:pPr>
            <w:r w:rsidRPr="008946B0">
              <w:rPr>
                <w:rFonts w:eastAsia="Calibri"/>
                <w:szCs w:val="22"/>
                <w:lang w:val="en-GB"/>
              </w:rPr>
              <w:t>Urban: currently high-density of cells to cover traffic requirements including some overlap of the cell coverage for capacity purposes.</w:t>
            </w:r>
          </w:p>
          <w:p w14:paraId="7FC23CA6" w14:textId="7137A590" w:rsidR="005A47F3" w:rsidRPr="008946B0" w:rsidRDefault="00AB77EF">
            <w:pPr>
              <w:spacing w:after="60"/>
              <w:rPr>
                <w:rFonts w:eastAsia="Calibri"/>
                <w:szCs w:val="22"/>
                <w:lang w:val="en-GB"/>
              </w:rPr>
            </w:pPr>
            <w:r w:rsidRPr="008946B0">
              <w:rPr>
                <w:rFonts w:eastAsia="Calibri"/>
                <w:szCs w:val="22"/>
                <w:lang w:val="en-GB"/>
              </w:rPr>
              <w:t>Rural: currently low density of cells having a limited overlap.</w:t>
            </w:r>
          </w:p>
          <w:p w14:paraId="183AE5B0" w14:textId="7D616B9F" w:rsidR="00DC3199" w:rsidRPr="008946B0" w:rsidRDefault="00DC3199" w:rsidP="00C55E50">
            <w:pPr>
              <w:spacing w:after="60"/>
              <w:rPr>
                <w:rFonts w:eastAsia="Calibri"/>
                <w:szCs w:val="22"/>
                <w:lang w:val="en-GB"/>
              </w:rPr>
            </w:pPr>
            <w:r w:rsidRPr="008946B0">
              <w:rPr>
                <w:rFonts w:eastAsia="Calibri"/>
                <w:szCs w:val="22"/>
                <w:lang w:val="en-GB"/>
              </w:rPr>
              <w:t>I</w:t>
            </w:r>
            <w:r w:rsidR="00D61CAA" w:rsidRPr="008946B0">
              <w:rPr>
                <w:rFonts w:eastAsia="Calibri"/>
                <w:szCs w:val="22"/>
                <w:lang w:val="en-GB"/>
              </w:rPr>
              <w:t>n some countries, i</w:t>
            </w:r>
            <w:r w:rsidRPr="008946B0">
              <w:rPr>
                <w:rFonts w:eastAsia="Calibri"/>
                <w:szCs w:val="22"/>
                <w:lang w:val="en-GB"/>
              </w:rPr>
              <w:t>n-train coverage</w:t>
            </w:r>
            <w:r w:rsidR="00536DE7" w:rsidRPr="008946B0">
              <w:rPr>
                <w:rFonts w:eastAsia="Calibri"/>
                <w:szCs w:val="22"/>
                <w:lang w:val="en-GB"/>
              </w:rPr>
              <w:t xml:space="preserve"> from trackside</w:t>
            </w:r>
            <w:r w:rsidR="00FB5CD1" w:rsidRPr="008946B0">
              <w:rPr>
                <w:rFonts w:eastAsia="Calibri"/>
                <w:szCs w:val="22"/>
                <w:lang w:val="en-GB"/>
              </w:rPr>
              <w:t xml:space="preserve"> may lead to overlapping </w:t>
            </w:r>
            <w:r w:rsidR="00C55E50" w:rsidRPr="008946B0">
              <w:rPr>
                <w:rFonts w:eastAsia="Calibri"/>
                <w:szCs w:val="22"/>
                <w:lang w:val="en-GB"/>
              </w:rPr>
              <w:t xml:space="preserve">MNO </w:t>
            </w:r>
            <w:r w:rsidR="00FB5CD1" w:rsidRPr="008946B0">
              <w:rPr>
                <w:rFonts w:eastAsia="Calibri"/>
                <w:szCs w:val="22"/>
                <w:lang w:val="en-GB"/>
              </w:rPr>
              <w:t>outdoor coverage</w:t>
            </w:r>
            <w:r w:rsidR="00B26E78" w:rsidRPr="008946B0">
              <w:rPr>
                <w:rFonts w:eastAsia="Calibri"/>
                <w:szCs w:val="22"/>
                <w:lang w:val="en-GB"/>
              </w:rPr>
              <w:t>.</w:t>
            </w:r>
          </w:p>
        </w:tc>
        <w:tc>
          <w:tcPr>
            <w:tcW w:w="2040" w:type="pct"/>
            <w:vAlign w:val="center"/>
          </w:tcPr>
          <w:p w14:paraId="268A4CF5" w14:textId="77777777" w:rsidR="005A47F3" w:rsidRPr="008946B0" w:rsidRDefault="00AB77EF">
            <w:pPr>
              <w:spacing w:after="60"/>
              <w:rPr>
                <w:rFonts w:eastAsia="Calibri"/>
                <w:szCs w:val="22"/>
                <w:lang w:val="en-GB"/>
              </w:rPr>
            </w:pPr>
            <w:r w:rsidRPr="008946B0">
              <w:rPr>
                <w:rFonts w:eastAsia="Calibri"/>
                <w:szCs w:val="22"/>
                <w:lang w:val="en-GB"/>
              </w:rPr>
              <w:t>Resilience created for example in current GSM-R by usage of significant cell overlap or double coverage (urban, rural) for (high speed) ETCS lines.</w:t>
            </w:r>
          </w:p>
        </w:tc>
      </w:tr>
      <w:tr w:rsidR="005A47F3" w:rsidRPr="008946B0" w14:paraId="3D30EE8C" w14:textId="77777777" w:rsidTr="00630B4C">
        <w:trPr>
          <w:cantSplit/>
          <w:jc w:val="center"/>
        </w:trPr>
        <w:tc>
          <w:tcPr>
            <w:tcW w:w="920" w:type="pct"/>
            <w:vMerge/>
            <w:vAlign w:val="center"/>
          </w:tcPr>
          <w:p w14:paraId="6557ADA2" w14:textId="77777777" w:rsidR="005A47F3" w:rsidRPr="008946B0" w:rsidRDefault="005A47F3">
            <w:pPr>
              <w:spacing w:after="60"/>
              <w:rPr>
                <w:rFonts w:eastAsia="Calibri"/>
                <w:szCs w:val="22"/>
                <w:lang w:val="en-GB"/>
              </w:rPr>
            </w:pPr>
          </w:p>
        </w:tc>
        <w:tc>
          <w:tcPr>
            <w:tcW w:w="2040" w:type="pct"/>
            <w:vAlign w:val="center"/>
          </w:tcPr>
          <w:p w14:paraId="6FAD18C9" w14:textId="280EF8A2" w:rsidR="005A47F3" w:rsidRPr="008946B0" w:rsidRDefault="00AB77EF">
            <w:pPr>
              <w:spacing w:after="60"/>
              <w:rPr>
                <w:rFonts w:eastAsia="Calibri"/>
                <w:szCs w:val="22"/>
                <w:lang w:val="en-GB"/>
              </w:rPr>
            </w:pPr>
            <w:r w:rsidRPr="008946B0">
              <w:rPr>
                <w:rFonts w:eastAsia="Calibri"/>
                <w:szCs w:val="22"/>
                <w:lang w:val="en-GB"/>
              </w:rPr>
              <w:t>Coverage resiliency is expected to improve on high-traffic railway lines.</w:t>
            </w:r>
          </w:p>
        </w:tc>
        <w:tc>
          <w:tcPr>
            <w:tcW w:w="2040" w:type="pct"/>
            <w:vAlign w:val="center"/>
          </w:tcPr>
          <w:p w14:paraId="5E9CB74D" w14:textId="77777777" w:rsidR="005A47F3" w:rsidRPr="008946B0" w:rsidRDefault="00AB77EF">
            <w:pPr>
              <w:spacing w:after="60"/>
              <w:rPr>
                <w:rFonts w:eastAsia="Calibri"/>
                <w:szCs w:val="22"/>
                <w:lang w:val="en-GB"/>
              </w:rPr>
            </w:pPr>
            <w:r w:rsidRPr="008946B0">
              <w:rPr>
                <w:rFonts w:eastAsia="Calibri"/>
                <w:szCs w:val="22"/>
                <w:lang w:val="en-GB"/>
              </w:rPr>
              <w:t>Backup via MNO possible at national level e.g. for voice communications.</w:t>
            </w:r>
          </w:p>
        </w:tc>
      </w:tr>
      <w:tr w:rsidR="005A47F3" w:rsidRPr="008946B0" w14:paraId="53B76AFE" w14:textId="77777777" w:rsidTr="00630B4C">
        <w:trPr>
          <w:cantSplit/>
          <w:jc w:val="center"/>
        </w:trPr>
        <w:tc>
          <w:tcPr>
            <w:tcW w:w="920" w:type="pct"/>
            <w:vMerge w:val="restart"/>
            <w:vAlign w:val="center"/>
          </w:tcPr>
          <w:p w14:paraId="193C4814" w14:textId="77777777" w:rsidR="005A47F3" w:rsidRPr="008946B0" w:rsidRDefault="00AB77EF">
            <w:pPr>
              <w:spacing w:after="60"/>
              <w:rPr>
                <w:rFonts w:eastAsia="Calibri"/>
                <w:szCs w:val="22"/>
                <w:lang w:val="en-GB"/>
              </w:rPr>
            </w:pPr>
            <w:r w:rsidRPr="008946B0">
              <w:rPr>
                <w:rFonts w:eastAsia="Calibri"/>
                <w:szCs w:val="22"/>
                <w:lang w:val="en-GB"/>
              </w:rPr>
              <w:t>Orientation and specific features</w:t>
            </w:r>
          </w:p>
        </w:tc>
        <w:tc>
          <w:tcPr>
            <w:tcW w:w="2040" w:type="pct"/>
            <w:vAlign w:val="center"/>
          </w:tcPr>
          <w:p w14:paraId="38A5EB3A" w14:textId="77777777" w:rsidR="005A47F3" w:rsidRPr="008946B0" w:rsidRDefault="00AB77EF">
            <w:pPr>
              <w:spacing w:after="60"/>
              <w:rPr>
                <w:rFonts w:eastAsia="Calibri"/>
                <w:szCs w:val="22"/>
                <w:lang w:val="en-GB"/>
              </w:rPr>
            </w:pPr>
            <w:r w:rsidRPr="008946B0">
              <w:rPr>
                <w:rFonts w:eastAsia="Calibri"/>
                <w:szCs w:val="22"/>
                <w:lang w:val="en-GB"/>
              </w:rPr>
              <w:t>Massive broadband data services</w:t>
            </w:r>
          </w:p>
        </w:tc>
        <w:tc>
          <w:tcPr>
            <w:tcW w:w="2040" w:type="pct"/>
            <w:vAlign w:val="center"/>
          </w:tcPr>
          <w:p w14:paraId="503DE03E" w14:textId="77777777" w:rsidR="005A47F3" w:rsidRPr="008946B0" w:rsidRDefault="00AB77EF">
            <w:pPr>
              <w:spacing w:after="60"/>
              <w:rPr>
                <w:rFonts w:eastAsia="Calibri"/>
                <w:szCs w:val="22"/>
                <w:lang w:val="en-GB"/>
              </w:rPr>
            </w:pPr>
            <w:r w:rsidRPr="008946B0">
              <w:rPr>
                <w:rFonts w:eastAsia="Calibri"/>
                <w:szCs w:val="22"/>
                <w:lang w:val="en-GB"/>
              </w:rPr>
              <w:t>Critical data communication for semi-automatic/automatic train operation (Emergency brake, Voice Group Calls, Emergency Calls, etc.)</w:t>
            </w:r>
          </w:p>
          <w:p w14:paraId="70D091FF" w14:textId="77777777" w:rsidR="005A47F3" w:rsidRPr="008946B0" w:rsidRDefault="00AB77EF">
            <w:pPr>
              <w:spacing w:after="60"/>
              <w:rPr>
                <w:rFonts w:eastAsia="Calibri"/>
                <w:szCs w:val="22"/>
                <w:lang w:val="en-GB"/>
              </w:rPr>
            </w:pPr>
            <w:r w:rsidRPr="008946B0">
              <w:rPr>
                <w:rFonts w:eastAsia="Calibri"/>
                <w:szCs w:val="22"/>
                <w:lang w:val="en-GB"/>
              </w:rPr>
              <w:t>Reliant on priority and pre-emption</w:t>
            </w:r>
          </w:p>
          <w:p w14:paraId="0C7DDDEC" w14:textId="77777777" w:rsidR="005A47F3" w:rsidRPr="008946B0" w:rsidRDefault="00AB77EF">
            <w:pPr>
              <w:spacing w:after="60"/>
              <w:rPr>
                <w:rFonts w:eastAsia="Calibri"/>
                <w:szCs w:val="22"/>
                <w:lang w:val="en-GB"/>
              </w:rPr>
            </w:pPr>
            <w:r w:rsidRPr="008946B0">
              <w:rPr>
                <w:rFonts w:eastAsia="Calibri"/>
                <w:szCs w:val="22"/>
                <w:lang w:val="en-GB"/>
              </w:rPr>
              <w:t>Using Functional Addressing,</w:t>
            </w:r>
            <w:r w:rsidRPr="008946B0">
              <w:rPr>
                <w:rFonts w:eastAsia="Calibri"/>
                <w:szCs w:val="22"/>
                <w:lang w:val="en-GB"/>
              </w:rPr>
              <w:br/>
              <w:t>Location-based Addressing</w:t>
            </w:r>
          </w:p>
        </w:tc>
      </w:tr>
      <w:tr w:rsidR="005A47F3" w:rsidRPr="008946B0" w14:paraId="7CCD216F" w14:textId="77777777" w:rsidTr="00630B4C">
        <w:trPr>
          <w:cantSplit/>
          <w:jc w:val="center"/>
        </w:trPr>
        <w:tc>
          <w:tcPr>
            <w:tcW w:w="920" w:type="pct"/>
            <w:vMerge/>
            <w:vAlign w:val="center"/>
          </w:tcPr>
          <w:p w14:paraId="3E907E52" w14:textId="77777777" w:rsidR="005A47F3" w:rsidRPr="008946B0" w:rsidRDefault="005A47F3">
            <w:pPr>
              <w:spacing w:after="60"/>
              <w:rPr>
                <w:rFonts w:eastAsia="Calibri"/>
                <w:szCs w:val="22"/>
                <w:lang w:val="en-GB"/>
              </w:rPr>
            </w:pPr>
          </w:p>
        </w:tc>
        <w:tc>
          <w:tcPr>
            <w:tcW w:w="2040" w:type="pct"/>
            <w:vAlign w:val="center"/>
          </w:tcPr>
          <w:p w14:paraId="484AE6C8" w14:textId="77777777" w:rsidR="005A47F3" w:rsidRPr="008946B0" w:rsidRDefault="00AB77EF">
            <w:pPr>
              <w:spacing w:after="60"/>
              <w:rPr>
                <w:rFonts w:eastAsia="Calibri"/>
                <w:szCs w:val="22"/>
                <w:lang w:val="en-GB"/>
              </w:rPr>
            </w:pPr>
            <w:r w:rsidRPr="008946B0">
              <w:rPr>
                <w:rFonts w:eastAsia="Calibri"/>
                <w:szCs w:val="22"/>
                <w:lang w:val="en-GB"/>
              </w:rPr>
              <w:t>System upgrades largely without interaction with customers</w:t>
            </w:r>
          </w:p>
        </w:tc>
        <w:tc>
          <w:tcPr>
            <w:tcW w:w="2040" w:type="pct"/>
            <w:vAlign w:val="center"/>
          </w:tcPr>
          <w:p w14:paraId="7C845C12" w14:textId="19EC451D" w:rsidR="005A47F3" w:rsidRPr="008946B0" w:rsidRDefault="00AB77EF" w:rsidP="005D21DB">
            <w:pPr>
              <w:spacing w:after="60"/>
              <w:rPr>
                <w:rFonts w:eastAsia="Calibri"/>
                <w:szCs w:val="22"/>
                <w:lang w:val="en-GB"/>
              </w:rPr>
            </w:pPr>
            <w:r w:rsidRPr="008946B0">
              <w:rPr>
                <w:rFonts w:eastAsia="Calibri"/>
                <w:szCs w:val="22"/>
                <w:lang w:val="en-GB"/>
              </w:rPr>
              <w:t>System upgrades only in close coordination with railway undertakings</w:t>
            </w:r>
            <w:r w:rsidR="00532DDD" w:rsidRPr="008946B0">
              <w:rPr>
                <w:rFonts w:eastAsia="Calibri"/>
                <w:szCs w:val="22"/>
                <w:lang w:val="en-GB"/>
              </w:rPr>
              <w:t xml:space="preserve"> and National Safety Authorities, due to </w:t>
            </w:r>
            <w:r w:rsidR="005D21DB" w:rsidRPr="008946B0">
              <w:rPr>
                <w:rFonts w:eastAsia="Calibri"/>
                <w:szCs w:val="22"/>
                <w:lang w:val="en-GB"/>
              </w:rPr>
              <w:t>lengthy upgrade cycle on rolling stock</w:t>
            </w:r>
          </w:p>
        </w:tc>
      </w:tr>
      <w:tr w:rsidR="005A47F3" w:rsidRPr="008946B0" w14:paraId="7219DD31" w14:textId="77777777" w:rsidTr="00630B4C">
        <w:trPr>
          <w:cantSplit/>
          <w:jc w:val="center"/>
        </w:trPr>
        <w:tc>
          <w:tcPr>
            <w:tcW w:w="920" w:type="pct"/>
            <w:vMerge/>
            <w:vAlign w:val="center"/>
          </w:tcPr>
          <w:p w14:paraId="6488AC1D" w14:textId="77777777" w:rsidR="005A47F3" w:rsidRPr="008946B0" w:rsidRDefault="005A47F3">
            <w:pPr>
              <w:spacing w:after="60"/>
              <w:rPr>
                <w:rFonts w:eastAsia="Calibri"/>
                <w:szCs w:val="22"/>
                <w:lang w:val="en-GB"/>
              </w:rPr>
            </w:pPr>
          </w:p>
        </w:tc>
        <w:tc>
          <w:tcPr>
            <w:tcW w:w="2040" w:type="pct"/>
            <w:vAlign w:val="center"/>
          </w:tcPr>
          <w:p w14:paraId="6A3FBA10" w14:textId="77777777" w:rsidR="005A47F3" w:rsidRPr="008946B0" w:rsidRDefault="00AB77EF">
            <w:pPr>
              <w:spacing w:after="60"/>
              <w:rPr>
                <w:rFonts w:eastAsia="Calibri"/>
                <w:szCs w:val="22"/>
                <w:lang w:val="en-GB"/>
              </w:rPr>
            </w:pPr>
            <w:r w:rsidRPr="008946B0">
              <w:rPr>
                <w:rFonts w:eastAsia="Calibri"/>
                <w:szCs w:val="22"/>
                <w:lang w:val="en-GB"/>
              </w:rPr>
              <w:t>Emphasis on bringing new features</w:t>
            </w:r>
          </w:p>
        </w:tc>
        <w:tc>
          <w:tcPr>
            <w:tcW w:w="2040" w:type="pct"/>
            <w:vAlign w:val="center"/>
          </w:tcPr>
          <w:p w14:paraId="29D1D660" w14:textId="77777777" w:rsidR="005A47F3" w:rsidRPr="008946B0" w:rsidRDefault="00AB77EF">
            <w:pPr>
              <w:spacing w:after="60"/>
              <w:rPr>
                <w:rFonts w:eastAsia="Calibri"/>
                <w:szCs w:val="22"/>
                <w:lang w:val="en-GB"/>
              </w:rPr>
            </w:pPr>
            <w:r w:rsidRPr="008946B0">
              <w:rPr>
                <w:rFonts w:eastAsia="Calibri"/>
                <w:szCs w:val="22"/>
                <w:lang w:val="en-GB"/>
              </w:rPr>
              <w:t>Certification requirements prior to upgrades and introduction of new features</w:t>
            </w:r>
          </w:p>
        </w:tc>
      </w:tr>
      <w:tr w:rsidR="005A47F3" w:rsidRPr="008946B0" w14:paraId="623E27B7" w14:textId="77777777" w:rsidTr="00630B4C">
        <w:trPr>
          <w:cantSplit/>
          <w:jc w:val="center"/>
        </w:trPr>
        <w:tc>
          <w:tcPr>
            <w:tcW w:w="920" w:type="pct"/>
            <w:vAlign w:val="center"/>
          </w:tcPr>
          <w:p w14:paraId="6547831B" w14:textId="77777777" w:rsidR="005A47F3" w:rsidRPr="008946B0" w:rsidRDefault="00AB77EF">
            <w:pPr>
              <w:spacing w:after="60"/>
              <w:rPr>
                <w:rFonts w:eastAsia="Calibri"/>
                <w:szCs w:val="22"/>
                <w:lang w:val="en-GB"/>
              </w:rPr>
            </w:pPr>
            <w:r w:rsidRPr="008946B0">
              <w:rPr>
                <w:rFonts w:eastAsia="Calibri"/>
                <w:szCs w:val="22"/>
                <w:lang w:val="en-GB"/>
              </w:rPr>
              <w:t>Bandwidth</w:t>
            </w:r>
          </w:p>
        </w:tc>
        <w:tc>
          <w:tcPr>
            <w:tcW w:w="2040" w:type="pct"/>
            <w:vAlign w:val="center"/>
          </w:tcPr>
          <w:p w14:paraId="037D88A4" w14:textId="77777777" w:rsidR="005A47F3" w:rsidRPr="008946B0" w:rsidRDefault="00AB77EF">
            <w:pPr>
              <w:spacing w:after="60"/>
              <w:rPr>
                <w:rFonts w:eastAsia="Calibri"/>
                <w:szCs w:val="22"/>
                <w:lang w:val="en-GB"/>
              </w:rPr>
            </w:pPr>
            <w:r w:rsidRPr="008946B0">
              <w:rPr>
                <w:rFonts w:eastAsia="Calibri"/>
                <w:szCs w:val="22"/>
                <w:lang w:val="en-GB"/>
              </w:rPr>
              <w:t>Optimal statistical multiplexing of the users</w:t>
            </w:r>
          </w:p>
        </w:tc>
        <w:tc>
          <w:tcPr>
            <w:tcW w:w="2040" w:type="pct"/>
            <w:vAlign w:val="center"/>
          </w:tcPr>
          <w:p w14:paraId="01EFA94A" w14:textId="77777777" w:rsidR="005A47F3" w:rsidRPr="008946B0" w:rsidRDefault="00AB77EF">
            <w:pPr>
              <w:spacing w:after="60"/>
              <w:rPr>
                <w:rFonts w:eastAsia="Calibri"/>
                <w:szCs w:val="22"/>
                <w:highlight w:val="yellow"/>
                <w:lang w:val="en-GB"/>
              </w:rPr>
            </w:pPr>
            <w:r w:rsidRPr="008946B0">
              <w:rPr>
                <w:rFonts w:eastAsia="Calibri"/>
                <w:szCs w:val="22"/>
                <w:lang w:val="en-GB"/>
              </w:rPr>
              <w:t>Service throughput guarantee at the cell edge (e.g. at the handover points)</w:t>
            </w:r>
          </w:p>
        </w:tc>
      </w:tr>
      <w:tr w:rsidR="005A47F3" w:rsidRPr="008946B0" w14:paraId="2402E2F9" w14:textId="77777777" w:rsidTr="00630B4C">
        <w:trPr>
          <w:cantSplit/>
          <w:jc w:val="center"/>
        </w:trPr>
        <w:tc>
          <w:tcPr>
            <w:tcW w:w="920" w:type="pct"/>
            <w:vMerge w:val="restart"/>
            <w:vAlign w:val="center"/>
          </w:tcPr>
          <w:p w14:paraId="05867B4B" w14:textId="77777777" w:rsidR="005A47F3" w:rsidRPr="008946B0" w:rsidRDefault="00AB77EF">
            <w:pPr>
              <w:spacing w:after="60"/>
              <w:rPr>
                <w:rFonts w:eastAsia="Calibri"/>
                <w:szCs w:val="22"/>
                <w:lang w:val="en-GB"/>
              </w:rPr>
            </w:pPr>
            <w:r w:rsidRPr="008946B0">
              <w:rPr>
                <w:rFonts w:eastAsia="Calibri"/>
                <w:szCs w:val="22"/>
                <w:lang w:val="en-GB"/>
              </w:rPr>
              <w:t>Traffic QoS / Service Guarantee</w:t>
            </w:r>
          </w:p>
        </w:tc>
        <w:tc>
          <w:tcPr>
            <w:tcW w:w="2040" w:type="pct"/>
            <w:vAlign w:val="center"/>
          </w:tcPr>
          <w:p w14:paraId="13348E44" w14:textId="77777777" w:rsidR="005A47F3" w:rsidRPr="008946B0" w:rsidRDefault="00AB77EF">
            <w:pPr>
              <w:spacing w:after="60"/>
              <w:rPr>
                <w:rFonts w:eastAsia="Calibri"/>
                <w:szCs w:val="22"/>
                <w:lang w:val="en-GB"/>
              </w:rPr>
            </w:pPr>
            <w:r w:rsidRPr="008946B0">
              <w:rPr>
                <w:rFonts w:eastAsia="Calibri"/>
                <w:szCs w:val="22"/>
                <w:lang w:val="en-GB"/>
              </w:rPr>
              <w:t>Best-effort for data communication</w:t>
            </w:r>
          </w:p>
          <w:p w14:paraId="62428C03" w14:textId="77777777" w:rsidR="005A47F3" w:rsidRPr="008946B0" w:rsidRDefault="00AB77EF">
            <w:pPr>
              <w:spacing w:after="60"/>
              <w:rPr>
                <w:rFonts w:eastAsia="Calibri"/>
                <w:szCs w:val="22"/>
                <w:lang w:val="en-GB"/>
              </w:rPr>
            </w:pPr>
            <w:r w:rsidRPr="008946B0">
              <w:rPr>
                <w:rFonts w:eastAsia="Calibri"/>
                <w:szCs w:val="22"/>
                <w:lang w:val="en-GB"/>
              </w:rPr>
              <w:t>Priority for VoLTE services</w:t>
            </w:r>
          </w:p>
        </w:tc>
        <w:tc>
          <w:tcPr>
            <w:tcW w:w="2040" w:type="pct"/>
            <w:vAlign w:val="center"/>
          </w:tcPr>
          <w:p w14:paraId="2E02299B" w14:textId="76B3A3FA" w:rsidR="005A47F3" w:rsidRPr="008946B0" w:rsidRDefault="00AB77EF">
            <w:pPr>
              <w:spacing w:after="60"/>
              <w:rPr>
                <w:rFonts w:eastAsia="Calibri"/>
                <w:szCs w:val="22"/>
                <w:lang w:val="en-GB"/>
              </w:rPr>
            </w:pPr>
            <w:r w:rsidRPr="008946B0">
              <w:rPr>
                <w:rFonts w:eastAsia="Calibri"/>
                <w:szCs w:val="22"/>
                <w:lang w:val="en-GB"/>
              </w:rPr>
              <w:t xml:space="preserve">Critical applications having very strong QoS </w:t>
            </w:r>
            <w:r w:rsidR="007C3E47" w:rsidRPr="008946B0">
              <w:rPr>
                <w:rFonts w:eastAsia="Calibri"/>
                <w:szCs w:val="22"/>
                <w:lang w:val="en-GB"/>
              </w:rPr>
              <w:t xml:space="preserve">and service guarantee </w:t>
            </w:r>
            <w:r w:rsidRPr="008946B0">
              <w:rPr>
                <w:rFonts w:eastAsia="Calibri"/>
                <w:szCs w:val="22"/>
                <w:lang w:val="en-GB"/>
              </w:rPr>
              <w:t>requirements (for GSM-R, refer to KPIs in EIRENE and Subset-093)</w:t>
            </w:r>
          </w:p>
        </w:tc>
      </w:tr>
      <w:tr w:rsidR="005A47F3" w:rsidRPr="008946B0" w14:paraId="56C6FB7F" w14:textId="77777777" w:rsidTr="00630B4C">
        <w:trPr>
          <w:cantSplit/>
          <w:jc w:val="center"/>
        </w:trPr>
        <w:tc>
          <w:tcPr>
            <w:tcW w:w="920" w:type="pct"/>
            <w:vMerge/>
            <w:vAlign w:val="center"/>
          </w:tcPr>
          <w:p w14:paraId="1DCA1EC2" w14:textId="77777777" w:rsidR="005A47F3" w:rsidRPr="008946B0" w:rsidRDefault="005A47F3">
            <w:pPr>
              <w:spacing w:after="60"/>
              <w:rPr>
                <w:rFonts w:eastAsia="Calibri"/>
                <w:szCs w:val="22"/>
                <w:lang w:val="en-GB"/>
              </w:rPr>
            </w:pPr>
          </w:p>
        </w:tc>
        <w:tc>
          <w:tcPr>
            <w:tcW w:w="2040" w:type="pct"/>
            <w:vAlign w:val="center"/>
          </w:tcPr>
          <w:p w14:paraId="6E0ACA12" w14:textId="7B6B5362" w:rsidR="005A47F3" w:rsidRPr="008946B0" w:rsidRDefault="00AB77EF" w:rsidP="00861FFE">
            <w:pPr>
              <w:spacing w:after="60"/>
              <w:rPr>
                <w:rFonts w:eastAsia="Calibri"/>
                <w:szCs w:val="22"/>
                <w:lang w:val="en-GB"/>
              </w:rPr>
            </w:pPr>
            <w:r w:rsidRPr="008946B0">
              <w:rPr>
                <w:rFonts w:eastAsia="Calibri"/>
                <w:szCs w:val="22"/>
                <w:lang w:val="en-GB"/>
              </w:rPr>
              <w:t xml:space="preserve">QoS features and support </w:t>
            </w:r>
            <w:r w:rsidR="00F1702D" w:rsidRPr="008946B0">
              <w:rPr>
                <w:rFonts w:eastAsia="Calibri"/>
                <w:szCs w:val="22"/>
                <w:lang w:val="en-GB"/>
              </w:rPr>
              <w:t>(</w:t>
            </w:r>
            <w:r w:rsidR="007C3E47" w:rsidRPr="008946B0">
              <w:rPr>
                <w:rFonts w:eastAsia="Calibri"/>
                <w:szCs w:val="22"/>
                <w:lang w:val="en-GB"/>
              </w:rPr>
              <w:t xml:space="preserve">such as </w:t>
            </w:r>
            <w:r w:rsidR="00F1702D" w:rsidRPr="008946B0">
              <w:rPr>
                <w:rFonts w:eastAsia="Calibri"/>
                <w:szCs w:val="22"/>
                <w:lang w:val="en-GB"/>
              </w:rPr>
              <w:t>priority access and</w:t>
            </w:r>
            <w:r w:rsidR="008B7F7C" w:rsidRPr="008946B0">
              <w:rPr>
                <w:rFonts w:eastAsia="Calibri"/>
                <w:szCs w:val="22"/>
                <w:lang w:val="en-GB"/>
              </w:rPr>
              <w:t>/or</w:t>
            </w:r>
            <w:r w:rsidR="00F1702D" w:rsidRPr="008946B0">
              <w:rPr>
                <w:rFonts w:eastAsia="Calibri"/>
                <w:szCs w:val="22"/>
                <w:lang w:val="en-GB"/>
              </w:rPr>
              <w:t xml:space="preserve"> network slicing) </w:t>
            </w:r>
            <w:r w:rsidR="007021F0" w:rsidRPr="008946B0">
              <w:rPr>
                <w:rFonts w:eastAsia="Calibri"/>
                <w:szCs w:val="22"/>
                <w:lang w:val="en-GB"/>
              </w:rPr>
              <w:t>may be</w:t>
            </w:r>
            <w:r w:rsidRPr="008946B0">
              <w:rPr>
                <w:rFonts w:eastAsia="Calibri"/>
                <w:szCs w:val="22"/>
                <w:lang w:val="en-GB"/>
              </w:rPr>
              <w:t xml:space="preserve"> implemented for a </w:t>
            </w:r>
            <w:r w:rsidR="00F1702D" w:rsidRPr="008946B0">
              <w:rPr>
                <w:rFonts w:eastAsia="Calibri"/>
                <w:szCs w:val="22"/>
                <w:lang w:val="en-GB"/>
              </w:rPr>
              <w:t>selected</w:t>
            </w:r>
            <w:r w:rsidRPr="008946B0">
              <w:rPr>
                <w:rFonts w:eastAsia="Calibri"/>
                <w:szCs w:val="22"/>
                <w:lang w:val="en-GB"/>
              </w:rPr>
              <w:t xml:space="preserve"> set of traffic profiles and subscriber contracts</w:t>
            </w:r>
          </w:p>
        </w:tc>
        <w:tc>
          <w:tcPr>
            <w:tcW w:w="2040" w:type="pct"/>
            <w:vAlign w:val="center"/>
          </w:tcPr>
          <w:p w14:paraId="2EF70D53" w14:textId="77777777" w:rsidR="005A47F3" w:rsidRPr="008946B0" w:rsidRDefault="00AB77EF">
            <w:pPr>
              <w:spacing w:after="60"/>
              <w:rPr>
                <w:rFonts w:eastAsia="Calibri"/>
                <w:szCs w:val="22"/>
                <w:lang w:val="en-GB"/>
              </w:rPr>
            </w:pPr>
            <w:r w:rsidRPr="008946B0">
              <w:rPr>
                <w:rFonts w:eastAsia="Calibri"/>
                <w:szCs w:val="22"/>
                <w:lang w:val="en-GB"/>
              </w:rPr>
              <w:t>Traffic handling based on priority and pre-emption mechanism</w:t>
            </w:r>
          </w:p>
        </w:tc>
      </w:tr>
      <w:tr w:rsidR="005A47F3" w:rsidRPr="008946B0" w14:paraId="22EDD12B" w14:textId="77777777" w:rsidTr="00630B4C">
        <w:trPr>
          <w:cantSplit/>
          <w:jc w:val="center"/>
        </w:trPr>
        <w:tc>
          <w:tcPr>
            <w:tcW w:w="920" w:type="pct"/>
            <w:vAlign w:val="center"/>
          </w:tcPr>
          <w:p w14:paraId="2AAB28E1" w14:textId="77777777" w:rsidR="005A47F3" w:rsidRPr="008946B0" w:rsidRDefault="00AB77EF">
            <w:pPr>
              <w:spacing w:after="60"/>
              <w:rPr>
                <w:rFonts w:eastAsia="Calibri"/>
                <w:szCs w:val="22"/>
                <w:lang w:val="en-GB"/>
              </w:rPr>
            </w:pPr>
            <w:r w:rsidRPr="008946B0">
              <w:rPr>
                <w:rFonts w:eastAsia="Calibri"/>
                <w:szCs w:val="22"/>
                <w:lang w:val="en-GB"/>
              </w:rPr>
              <w:t>Uplink versus downlink ratio</w:t>
            </w:r>
          </w:p>
        </w:tc>
        <w:tc>
          <w:tcPr>
            <w:tcW w:w="2040" w:type="pct"/>
            <w:vAlign w:val="center"/>
          </w:tcPr>
          <w:p w14:paraId="034C0F3E" w14:textId="77777777" w:rsidR="005A47F3" w:rsidRPr="008946B0" w:rsidRDefault="00AB77EF">
            <w:pPr>
              <w:spacing w:after="60"/>
              <w:rPr>
                <w:rFonts w:eastAsia="Calibri"/>
                <w:szCs w:val="22"/>
                <w:lang w:val="en-GB"/>
              </w:rPr>
            </w:pPr>
            <w:r w:rsidRPr="008946B0">
              <w:rPr>
                <w:rFonts w:eastAsia="Calibri"/>
                <w:szCs w:val="22"/>
                <w:lang w:val="en-GB"/>
              </w:rPr>
              <w:t>Asymmetric, currently optimised for downlink capacity</w:t>
            </w:r>
          </w:p>
        </w:tc>
        <w:tc>
          <w:tcPr>
            <w:tcW w:w="2040" w:type="pct"/>
            <w:vAlign w:val="center"/>
          </w:tcPr>
          <w:p w14:paraId="17F1664A" w14:textId="77777777" w:rsidR="005A47F3" w:rsidRPr="008946B0" w:rsidRDefault="00AB77EF">
            <w:pPr>
              <w:spacing w:after="60"/>
              <w:rPr>
                <w:rFonts w:eastAsia="Calibri"/>
                <w:szCs w:val="22"/>
                <w:lang w:val="en-GB"/>
              </w:rPr>
            </w:pPr>
            <w:r w:rsidRPr="008946B0">
              <w:rPr>
                <w:rFonts w:eastAsia="Calibri"/>
                <w:szCs w:val="22"/>
                <w:lang w:val="en-GB"/>
              </w:rPr>
              <w:t>For future applications, asymmetric with a higher traffic volume on the uplink than on the downlink</w:t>
            </w:r>
          </w:p>
        </w:tc>
      </w:tr>
    </w:tbl>
    <w:p w14:paraId="187E3684" w14:textId="77777777" w:rsidR="005A47F3" w:rsidRPr="008946B0" w:rsidRDefault="00AB77EF" w:rsidP="00296BDA">
      <w:pPr>
        <w:keepNext/>
        <w:spacing w:before="240" w:after="60" w:line="240" w:lineRule="auto"/>
        <w:jc w:val="both"/>
        <w:rPr>
          <w:rFonts w:eastAsia="Calibri"/>
          <w:szCs w:val="22"/>
          <w:lang w:val="en-GB"/>
        </w:rPr>
      </w:pPr>
      <w:r w:rsidRPr="008946B0">
        <w:rPr>
          <w:rFonts w:eastAsia="Calibri"/>
          <w:szCs w:val="22"/>
          <w:lang w:val="en-GB"/>
        </w:rPr>
        <w:t>Regarding the coverage of the railway lines by MNOs:</w:t>
      </w:r>
    </w:p>
    <w:p w14:paraId="3CFE1BE7" w14:textId="0EC13C22" w:rsidR="005A47F3" w:rsidRPr="008946B0" w:rsidRDefault="00AB77EF" w:rsidP="00296BDA">
      <w:pPr>
        <w:pStyle w:val="ECCBulletsLv1"/>
        <w:keepNext/>
        <w:spacing w:before="240"/>
        <w:ind w:left="357"/>
      </w:pPr>
      <w:r w:rsidRPr="008946B0">
        <w:t>In countries where licence conditions do not require specific coverage of the railway tracks, the coverage objective of MNOs is usually related to the percentage of the covered population, and not of the area. There are also countries where MNOs have already committed to improve their coverage along railway lines. It is expected that the coverage of railway tracks by MNOs will be greatly improved in the upcoming years</w:t>
      </w:r>
      <w:r w:rsidR="00296BDA" w:rsidRPr="008946B0">
        <w:t>;</w:t>
      </w:r>
    </w:p>
    <w:p w14:paraId="7B813E5D" w14:textId="5F6AE317" w:rsidR="005A47F3" w:rsidRPr="008946B0" w:rsidRDefault="00AB77EF">
      <w:pPr>
        <w:pStyle w:val="ECCBulletsLv1"/>
        <w:spacing w:before="240"/>
        <w:ind w:left="357"/>
      </w:pPr>
      <w:r w:rsidRPr="008946B0">
        <w:t xml:space="preserve">Some countries have issued licence conditions with the aim to provide telecommunication services to train passengers </w:t>
      </w:r>
      <w:r w:rsidR="00AF580F" w:rsidRPr="008946B0">
        <w:t>and/or have introduced</w:t>
      </w:r>
      <w:r w:rsidRPr="008946B0">
        <w:t xml:space="preserve"> requirements to cover all or parts of railway tracks for passenger services.</w:t>
      </w:r>
    </w:p>
    <w:p w14:paraId="284260A2" w14:textId="15F568A4" w:rsidR="005A47F3" w:rsidRPr="008946B0" w:rsidRDefault="00AB77EF" w:rsidP="00804836">
      <w:pPr>
        <w:spacing w:before="240" w:after="60" w:line="240" w:lineRule="auto"/>
        <w:jc w:val="both"/>
        <w:rPr>
          <w:rFonts w:eastAsia="Calibri"/>
          <w:szCs w:val="22"/>
          <w:lang w:val="en-GB"/>
        </w:rPr>
      </w:pPr>
      <w:r w:rsidRPr="008946B0">
        <w:rPr>
          <w:rFonts w:eastAsia="Calibri"/>
          <w:szCs w:val="22"/>
          <w:lang w:val="en-GB"/>
        </w:rPr>
        <w:t>In the above cases, where commercial mobile networks have not been designed and built for railway use, the suitability of MNO coverage needs to be assessed against railway requirements. There is currently no legal obligation to MNOs to offer hosting railway critical applications on their network.</w:t>
      </w:r>
    </w:p>
    <w:p w14:paraId="15820198" w14:textId="57C5DD02" w:rsidR="005A47F3" w:rsidRPr="008946B0" w:rsidRDefault="00AB77EF" w:rsidP="00804836">
      <w:pPr>
        <w:spacing w:before="240" w:after="60" w:line="240" w:lineRule="auto"/>
        <w:jc w:val="both"/>
        <w:rPr>
          <w:lang w:val="en-GB"/>
        </w:rPr>
      </w:pPr>
      <w:r w:rsidRPr="008946B0">
        <w:rPr>
          <w:lang w:val="en-GB"/>
        </w:rPr>
        <w:t xml:space="preserve">Countries considering providing FRMCS services through commercial mobile networks could define an appropriate national regulatory framework complemented with a Service Level Agreement to meet the stringent </w:t>
      </w:r>
      <w:r w:rsidR="00C23F22" w:rsidRPr="008946B0">
        <w:rPr>
          <w:lang w:val="en-GB"/>
        </w:rPr>
        <w:t xml:space="preserve">technical (e.g. QoS and </w:t>
      </w:r>
      <w:r w:rsidRPr="008946B0">
        <w:rPr>
          <w:lang w:val="en-GB"/>
        </w:rPr>
        <w:t>coverage</w:t>
      </w:r>
      <w:r w:rsidR="00C23F22" w:rsidRPr="008946B0">
        <w:rPr>
          <w:lang w:val="en-GB"/>
        </w:rPr>
        <w:t>)</w:t>
      </w:r>
      <w:r w:rsidRPr="008946B0">
        <w:rPr>
          <w:lang w:val="en-GB"/>
        </w:rPr>
        <w:t xml:space="preserve"> requirements expected by railways.</w:t>
      </w:r>
    </w:p>
    <w:p w14:paraId="3783D66C" w14:textId="51F916D2" w:rsidR="005A47F3" w:rsidRPr="008946B0" w:rsidRDefault="00AB77EF" w:rsidP="00804836">
      <w:pPr>
        <w:spacing w:before="240" w:after="60" w:line="240" w:lineRule="auto"/>
        <w:jc w:val="both"/>
        <w:rPr>
          <w:rFonts w:eastAsia="Calibri"/>
          <w:szCs w:val="22"/>
          <w:lang w:val="en-GB"/>
        </w:rPr>
      </w:pPr>
      <w:r w:rsidRPr="008946B0">
        <w:rPr>
          <w:rFonts w:eastAsia="Calibri"/>
          <w:szCs w:val="22"/>
          <w:lang w:val="en-GB"/>
        </w:rPr>
        <w:t>Coverage enhancement to meet the stringent railway requirements will require investments for e.g. additional radio sites.</w:t>
      </w:r>
    </w:p>
    <w:p w14:paraId="57C5BB89" w14:textId="77777777" w:rsidR="005A47F3" w:rsidRPr="008946B0" w:rsidRDefault="00AB77EF" w:rsidP="00804836">
      <w:pPr>
        <w:spacing w:before="240" w:after="60" w:line="240" w:lineRule="auto"/>
        <w:jc w:val="both"/>
        <w:rPr>
          <w:rFonts w:eastAsia="Calibri"/>
          <w:szCs w:val="22"/>
          <w:lang w:val="en-GB"/>
        </w:rPr>
      </w:pPr>
      <w:r w:rsidRPr="008946B0">
        <w:rPr>
          <w:rFonts w:eastAsia="Calibri"/>
          <w:szCs w:val="22"/>
          <w:lang w:val="en-GB"/>
        </w:rPr>
        <w:t>Regarding the reliability, availability, maintainability and continuity of service of the commercial mobile network:</w:t>
      </w:r>
    </w:p>
    <w:p w14:paraId="57B8497D" w14:textId="068DE158" w:rsidR="005A47F3" w:rsidRPr="008946B0" w:rsidRDefault="00AB77EF">
      <w:pPr>
        <w:pStyle w:val="ECCBulletsLv1"/>
      </w:pPr>
      <w:r w:rsidRPr="008946B0">
        <w:t>Commercial mobile networks without obligations to provide communication services for railway use, can be envisaged to support non-critical railway applications, or to act as a backup, however assuming a lower quality if railway mobile communication facilities are unavailable</w:t>
      </w:r>
      <w:r w:rsidR="00296BDA" w:rsidRPr="008946B0">
        <w:t>;</w:t>
      </w:r>
    </w:p>
    <w:p w14:paraId="53E82EA1" w14:textId="5BED5C91" w:rsidR="005A47F3" w:rsidRPr="008946B0" w:rsidRDefault="00AB77EF">
      <w:pPr>
        <w:pStyle w:val="ECCBulletsLv1"/>
        <w:spacing w:before="240"/>
        <w:ind w:left="357"/>
      </w:pPr>
      <w:r w:rsidRPr="008946B0">
        <w:t xml:space="preserve">Countries considering providing FRMCS services through commercial mobile networks could define an appropriate national regulatory framework complemented with a Service Level Agreement </w:t>
      </w:r>
      <w:r w:rsidR="00505C8A" w:rsidRPr="008946B0">
        <w:t xml:space="preserve">(including risk management) </w:t>
      </w:r>
      <w:r w:rsidRPr="008946B0">
        <w:t>to meet the level of Quality of Service for critical communications. Special attention in this approach should be given to alleviate concerns from railways on the ability of MNOs to ensure the safety-related services necessary for railway operation</w:t>
      </w:r>
      <w:r w:rsidR="00296BDA" w:rsidRPr="008946B0">
        <w:t>;</w:t>
      </w:r>
    </w:p>
    <w:p w14:paraId="0D51B7C0" w14:textId="7644F8DC" w:rsidR="005A47F3" w:rsidRPr="008946B0" w:rsidRDefault="00AB77EF">
      <w:pPr>
        <w:pStyle w:val="ECCBulletsLv1"/>
        <w:spacing w:before="240"/>
        <w:ind w:left="357"/>
      </w:pPr>
      <w:r w:rsidRPr="008946B0">
        <w:t xml:space="preserve">Prioritisation and pre-emption are necessary to ensure the rail communication </w:t>
      </w:r>
      <w:proofErr w:type="gramStart"/>
      <w:r w:rsidRPr="008946B0">
        <w:t>availability</w:t>
      </w:r>
      <w:proofErr w:type="gramEnd"/>
      <w:r w:rsidRPr="008946B0">
        <w:t xml:space="preserve"> especially in emergencies.</w:t>
      </w:r>
    </w:p>
    <w:p w14:paraId="1302EB63" w14:textId="209C039F"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From a technical point of view, </w:t>
      </w:r>
      <w:r w:rsidR="00040A94" w:rsidRPr="008946B0">
        <w:rPr>
          <w:rFonts w:eastAsia="Calibri"/>
          <w:szCs w:val="22"/>
          <w:lang w:val="en-GB"/>
        </w:rPr>
        <w:t xml:space="preserve">the </w:t>
      </w:r>
      <w:r w:rsidRPr="008946B0">
        <w:rPr>
          <w:rFonts w:eastAsia="Calibri"/>
          <w:szCs w:val="22"/>
          <w:lang w:val="en-GB"/>
        </w:rPr>
        <w:t xml:space="preserve">use of commercial mobile networks </w:t>
      </w:r>
      <w:r w:rsidR="00040A94" w:rsidRPr="008946B0">
        <w:rPr>
          <w:rFonts w:eastAsia="Calibri"/>
          <w:szCs w:val="22"/>
          <w:lang w:val="en-GB"/>
        </w:rPr>
        <w:t xml:space="preserve">for critical railway applications </w:t>
      </w:r>
      <w:r w:rsidRPr="008946B0">
        <w:rPr>
          <w:rFonts w:eastAsia="Calibri"/>
          <w:szCs w:val="22"/>
          <w:lang w:val="en-GB"/>
        </w:rPr>
        <w:t xml:space="preserve">is possible under the condition that the relevant parts of the MNO’s network fulfil the stringent </w:t>
      </w:r>
      <w:r w:rsidR="00040A94" w:rsidRPr="008946B0">
        <w:rPr>
          <w:rFonts w:eastAsia="Calibri"/>
          <w:szCs w:val="22"/>
          <w:lang w:val="en-GB"/>
        </w:rPr>
        <w:t xml:space="preserve">interoperability, </w:t>
      </w:r>
      <w:r w:rsidRPr="008946B0">
        <w:rPr>
          <w:rFonts w:eastAsia="Calibri"/>
          <w:szCs w:val="22"/>
          <w:lang w:val="en-GB"/>
        </w:rPr>
        <w:t>coverage</w:t>
      </w:r>
      <w:r w:rsidR="00040A94" w:rsidRPr="008946B0">
        <w:rPr>
          <w:rFonts w:eastAsia="Calibri"/>
          <w:szCs w:val="22"/>
          <w:lang w:val="en-GB"/>
        </w:rPr>
        <w:t>,</w:t>
      </w:r>
      <w:r w:rsidRPr="008946B0">
        <w:rPr>
          <w:rFonts w:eastAsia="Calibri"/>
          <w:szCs w:val="22"/>
          <w:lang w:val="en-GB"/>
        </w:rPr>
        <w:t xml:space="preserve"> availability</w:t>
      </w:r>
      <w:r w:rsidR="00040A94" w:rsidRPr="008946B0">
        <w:rPr>
          <w:rFonts w:eastAsia="Calibri"/>
          <w:szCs w:val="22"/>
          <w:lang w:val="en-GB"/>
        </w:rPr>
        <w:t xml:space="preserve"> and QoS</w:t>
      </w:r>
      <w:r w:rsidRPr="008946B0">
        <w:rPr>
          <w:rFonts w:eastAsia="Calibri"/>
          <w:szCs w:val="22"/>
          <w:lang w:val="en-GB"/>
        </w:rPr>
        <w:t xml:space="preserve"> requirements </w:t>
      </w:r>
      <w:r w:rsidR="00420DA3" w:rsidRPr="008946B0">
        <w:rPr>
          <w:rFonts w:eastAsia="Calibri"/>
          <w:szCs w:val="22"/>
          <w:lang w:val="en-GB"/>
        </w:rPr>
        <w:t>given</w:t>
      </w:r>
      <w:r w:rsidRPr="008946B0">
        <w:rPr>
          <w:rFonts w:eastAsia="Calibri"/>
          <w:szCs w:val="22"/>
          <w:lang w:val="en-GB"/>
        </w:rPr>
        <w:t xml:space="preserve"> by </w:t>
      </w:r>
      <w:r w:rsidR="00420DA3" w:rsidRPr="008946B0">
        <w:rPr>
          <w:rFonts w:eastAsia="Calibri"/>
          <w:szCs w:val="22"/>
          <w:lang w:val="en-GB"/>
        </w:rPr>
        <w:t xml:space="preserve">European </w:t>
      </w:r>
      <w:r w:rsidRPr="008946B0">
        <w:rPr>
          <w:rFonts w:eastAsia="Calibri"/>
          <w:szCs w:val="22"/>
          <w:lang w:val="en-GB"/>
        </w:rPr>
        <w:t>railway</w:t>
      </w:r>
      <w:r w:rsidR="00420DA3" w:rsidRPr="008946B0">
        <w:rPr>
          <w:rFonts w:eastAsia="Calibri"/>
          <w:szCs w:val="22"/>
          <w:lang w:val="en-GB"/>
        </w:rPr>
        <w:t xml:space="preserve"> regulation</w:t>
      </w:r>
      <w:r w:rsidRPr="008946B0">
        <w:rPr>
          <w:rFonts w:eastAsia="Calibri"/>
          <w:szCs w:val="22"/>
          <w:lang w:val="en-GB"/>
        </w:rPr>
        <w:t xml:space="preserve">s. </w:t>
      </w:r>
      <w:r w:rsidR="005F5AFB" w:rsidRPr="008946B0">
        <w:rPr>
          <w:rFonts w:eastAsia="Calibri"/>
          <w:szCs w:val="22"/>
          <w:lang w:val="en-GB"/>
        </w:rPr>
        <w:t>Us</w:t>
      </w:r>
      <w:r w:rsidR="006905EF" w:rsidRPr="008946B0">
        <w:rPr>
          <w:rFonts w:eastAsia="Calibri"/>
          <w:szCs w:val="22"/>
          <w:lang w:val="en-GB"/>
        </w:rPr>
        <w:t>e of</w:t>
      </w:r>
      <w:r w:rsidR="005F5AFB" w:rsidRPr="008946B0">
        <w:rPr>
          <w:rFonts w:eastAsia="Calibri"/>
          <w:szCs w:val="22"/>
          <w:lang w:val="en-GB"/>
        </w:rPr>
        <w:t xml:space="preserve"> a commercial mobile network </w:t>
      </w:r>
      <w:r w:rsidR="005711E7" w:rsidRPr="008946B0">
        <w:rPr>
          <w:rFonts w:eastAsia="Calibri"/>
          <w:szCs w:val="22"/>
          <w:lang w:val="en-GB"/>
        </w:rPr>
        <w:t xml:space="preserve">would </w:t>
      </w:r>
      <w:r w:rsidR="005F5AFB" w:rsidRPr="008946B0">
        <w:rPr>
          <w:rFonts w:eastAsia="Calibri"/>
          <w:szCs w:val="22"/>
          <w:lang w:val="en-GB"/>
        </w:rPr>
        <w:t xml:space="preserve">need to be </w:t>
      </w:r>
      <w:r w:rsidR="005711E7" w:rsidRPr="008946B0">
        <w:rPr>
          <w:rFonts w:eastAsia="Calibri"/>
          <w:szCs w:val="22"/>
          <w:lang w:val="en-GB"/>
        </w:rPr>
        <w:t xml:space="preserve">specified and </w:t>
      </w:r>
      <w:r w:rsidR="005F5AFB" w:rsidRPr="008946B0">
        <w:rPr>
          <w:rFonts w:eastAsia="Calibri"/>
          <w:szCs w:val="22"/>
          <w:lang w:val="en-GB"/>
        </w:rPr>
        <w:t xml:space="preserve">tested </w:t>
      </w:r>
      <w:r w:rsidR="006905EF" w:rsidRPr="008946B0">
        <w:rPr>
          <w:rFonts w:eastAsia="Calibri"/>
          <w:szCs w:val="22"/>
          <w:lang w:val="en-GB"/>
        </w:rPr>
        <w:t>under</w:t>
      </w:r>
      <w:r w:rsidR="005F5AFB" w:rsidRPr="008946B0">
        <w:rPr>
          <w:rFonts w:eastAsia="Calibri"/>
          <w:szCs w:val="22"/>
          <w:lang w:val="en-GB"/>
        </w:rPr>
        <w:t xml:space="preserve"> real-life conditions to </w:t>
      </w:r>
      <w:r w:rsidR="005711E7" w:rsidRPr="008946B0">
        <w:rPr>
          <w:rFonts w:eastAsia="Calibri"/>
          <w:szCs w:val="22"/>
          <w:lang w:val="en-GB"/>
        </w:rPr>
        <w:t>ensure those</w:t>
      </w:r>
      <w:r w:rsidR="005F5AFB" w:rsidRPr="008946B0">
        <w:rPr>
          <w:rFonts w:eastAsia="Calibri"/>
          <w:szCs w:val="22"/>
          <w:lang w:val="en-GB"/>
        </w:rPr>
        <w:t xml:space="preserve"> railway requirements are met.</w:t>
      </w:r>
    </w:p>
    <w:p w14:paraId="720CF600" w14:textId="69EC3264" w:rsidR="005A47F3" w:rsidRPr="008946B0" w:rsidRDefault="005711E7">
      <w:pPr>
        <w:spacing w:before="240" w:after="60" w:line="240" w:lineRule="auto"/>
        <w:jc w:val="both"/>
        <w:rPr>
          <w:rFonts w:eastAsia="Calibri"/>
          <w:szCs w:val="22"/>
          <w:lang w:val="en-GB"/>
        </w:rPr>
      </w:pPr>
      <w:r w:rsidRPr="008946B0">
        <w:rPr>
          <w:rFonts w:eastAsia="Calibri"/>
          <w:szCs w:val="22"/>
          <w:lang w:val="en-GB"/>
        </w:rPr>
        <w:t>U</w:t>
      </w:r>
      <w:r w:rsidR="00AB77EF" w:rsidRPr="008946B0">
        <w:rPr>
          <w:rFonts w:eastAsia="Calibri"/>
          <w:szCs w:val="22"/>
          <w:lang w:val="en-GB"/>
        </w:rPr>
        <w:t>se of commercial mobile networks is yet to be proven in the context of critical applications for railways. Coverage of railway</w:t>
      </w:r>
      <w:r w:rsidR="00037975" w:rsidRPr="008946B0">
        <w:rPr>
          <w:rFonts w:eastAsia="Calibri"/>
          <w:szCs w:val="22"/>
          <w:lang w:val="en-GB"/>
        </w:rPr>
        <w:t xml:space="preserve"> propertie</w:t>
      </w:r>
      <w:r w:rsidR="00AB77EF" w:rsidRPr="008946B0">
        <w:rPr>
          <w:rFonts w:eastAsia="Calibri"/>
          <w:szCs w:val="22"/>
          <w:lang w:val="en-GB"/>
        </w:rPr>
        <w:t xml:space="preserve">s by MNOs without railway oriented national regulatory framework remains identified in a 2018 joint report by BEREC and RSPG as a "challenge area" for mobile connectivity, see pages 11-14 in </w:t>
      </w:r>
      <w:r w:rsidR="00AB77EF" w:rsidRPr="008946B0">
        <w:rPr>
          <w:rFonts w:eastAsia="Calibri"/>
          <w:szCs w:val="22"/>
          <w:lang w:val="en-GB"/>
        </w:rPr>
        <w:fldChar w:fldCharType="begin"/>
      </w:r>
      <w:r w:rsidR="00AB77EF" w:rsidRPr="008946B0">
        <w:rPr>
          <w:rFonts w:eastAsia="Calibri"/>
          <w:szCs w:val="22"/>
          <w:lang w:val="en-GB"/>
        </w:rPr>
        <w:instrText xml:space="preserve"> REF _Ref512506715 \r \h  \* MERGEFORMAT </w:instrText>
      </w:r>
      <w:r w:rsidR="00AB77EF" w:rsidRPr="008946B0">
        <w:rPr>
          <w:rFonts w:eastAsia="Calibri"/>
          <w:szCs w:val="22"/>
          <w:lang w:val="en-GB"/>
        </w:rPr>
      </w:r>
      <w:r w:rsidR="00AB77EF" w:rsidRPr="008946B0">
        <w:rPr>
          <w:rFonts w:eastAsia="Calibri"/>
          <w:szCs w:val="22"/>
          <w:lang w:val="en-GB"/>
        </w:rPr>
        <w:fldChar w:fldCharType="separate"/>
      </w:r>
      <w:r w:rsidR="00610DD8" w:rsidRPr="008946B0">
        <w:rPr>
          <w:rFonts w:eastAsia="Calibri"/>
          <w:szCs w:val="22"/>
          <w:lang w:val="en-GB"/>
        </w:rPr>
        <w:t>[14]</w:t>
      </w:r>
      <w:r w:rsidR="00AB77EF" w:rsidRPr="008946B0">
        <w:rPr>
          <w:rFonts w:eastAsia="Calibri"/>
          <w:szCs w:val="22"/>
          <w:lang w:val="en-GB"/>
        </w:rPr>
        <w:fldChar w:fldCharType="end"/>
      </w:r>
      <w:r w:rsidR="00AB77EF" w:rsidRPr="008946B0">
        <w:rPr>
          <w:rFonts w:eastAsia="Calibri"/>
          <w:szCs w:val="22"/>
          <w:lang w:val="en-GB"/>
        </w:rPr>
        <w:t>.</w:t>
      </w:r>
    </w:p>
    <w:p w14:paraId="76465150" w14:textId="37EFF51B" w:rsidR="005A47F3" w:rsidRPr="008946B0" w:rsidRDefault="00AB77EF">
      <w:pPr>
        <w:spacing w:before="240" w:after="60" w:line="240" w:lineRule="auto"/>
        <w:jc w:val="both"/>
        <w:rPr>
          <w:rFonts w:eastAsia="Calibri"/>
          <w:szCs w:val="22"/>
          <w:lang w:val="en-GB"/>
        </w:rPr>
      </w:pPr>
      <w:r w:rsidRPr="008946B0">
        <w:rPr>
          <w:rFonts w:eastAsia="Calibri"/>
          <w:szCs w:val="22"/>
          <w:lang w:val="en-GB"/>
        </w:rPr>
        <w:t>An MNO with obligation to support railway needs would deploy infrastructure in required locations including tunnels and thus improve signal strength along railway lines and other railway-related premises as needed. Such a network would also be designed to handle handover issues from cell to cell in a robust way without loss of the communication link. In addition to providing full coverage, the MNO would also need to satisfy other requirements, such as network resilience and availability which would entail specific engineering, long-term investments (additional radio sites, power backup, overall strengthening of the radio transmission, redesign of backhaul and core network).</w:t>
      </w:r>
    </w:p>
    <w:p w14:paraId="2DB2071C" w14:textId="77777777" w:rsidR="005A47F3" w:rsidRPr="008946B0" w:rsidRDefault="00AB77EF">
      <w:pPr>
        <w:pStyle w:val="Heading2"/>
        <w:rPr>
          <w:rFonts w:eastAsia="Calibri"/>
          <w:lang w:val="en-GB"/>
        </w:rPr>
      </w:pPr>
      <w:bookmarkStart w:id="423" w:name="_Toc32494323"/>
      <w:bookmarkStart w:id="424" w:name="_Toc33089673"/>
      <w:bookmarkStart w:id="425" w:name="_Toc32494324"/>
      <w:bookmarkStart w:id="426" w:name="_Toc33089674"/>
      <w:bookmarkStart w:id="427" w:name="_Toc32494325"/>
      <w:bookmarkStart w:id="428" w:name="_Toc33089675"/>
      <w:bookmarkStart w:id="429" w:name="_Toc32494326"/>
      <w:bookmarkStart w:id="430" w:name="_Toc33089676"/>
      <w:bookmarkStart w:id="431" w:name="_Toc42722878"/>
      <w:bookmarkEnd w:id="423"/>
      <w:bookmarkEnd w:id="424"/>
      <w:bookmarkEnd w:id="425"/>
      <w:bookmarkEnd w:id="426"/>
      <w:bookmarkEnd w:id="427"/>
      <w:bookmarkEnd w:id="428"/>
      <w:bookmarkEnd w:id="429"/>
      <w:bookmarkEnd w:id="430"/>
      <w:r w:rsidRPr="008946B0">
        <w:rPr>
          <w:rFonts w:eastAsia="Calibri"/>
          <w:lang w:val="en-GB"/>
        </w:rPr>
        <w:t>Operational and legal considerations</w:t>
      </w:r>
      <w:bookmarkEnd w:id="431"/>
    </w:p>
    <w:p w14:paraId="21C77778" w14:textId="255605CA" w:rsidR="005A47F3" w:rsidRPr="008946B0" w:rsidRDefault="00DD55A8">
      <w:pPr>
        <w:spacing w:before="240" w:after="60" w:line="240" w:lineRule="auto"/>
        <w:jc w:val="both"/>
        <w:rPr>
          <w:lang w:val="en-GB"/>
        </w:rPr>
      </w:pPr>
      <w:r w:rsidRPr="008946B0">
        <w:rPr>
          <w:lang w:val="en-GB"/>
        </w:rPr>
        <w:t>Identified p</w:t>
      </w:r>
      <w:r w:rsidR="00DC33EE" w:rsidRPr="008946B0">
        <w:rPr>
          <w:lang w:val="en-GB"/>
        </w:rPr>
        <w:t>otential i</w:t>
      </w:r>
      <w:r w:rsidR="00AB77EF" w:rsidRPr="008946B0">
        <w:rPr>
          <w:lang w:val="en-GB"/>
        </w:rPr>
        <w:t xml:space="preserve">ssues to be </w:t>
      </w:r>
      <w:r w:rsidR="00DC33EE" w:rsidRPr="008946B0">
        <w:rPr>
          <w:lang w:val="en-GB"/>
        </w:rPr>
        <w:t>considered</w:t>
      </w:r>
      <w:r w:rsidR="00AB77EF" w:rsidRPr="008946B0">
        <w:rPr>
          <w:lang w:val="en-GB"/>
        </w:rPr>
        <w:t xml:space="preserve"> </w:t>
      </w:r>
      <w:r w:rsidR="00AB77EF" w:rsidRPr="008946B0">
        <w:rPr>
          <w:rFonts w:eastAsia="Calibri"/>
          <w:szCs w:val="22"/>
          <w:lang w:val="en-GB"/>
        </w:rPr>
        <w:t>when</w:t>
      </w:r>
      <w:r w:rsidR="00AB77EF" w:rsidRPr="008946B0">
        <w:rPr>
          <w:lang w:val="en-GB"/>
        </w:rPr>
        <w:t xml:space="preserve"> </w:t>
      </w:r>
      <w:r w:rsidR="00606A03" w:rsidRPr="008946B0">
        <w:rPr>
          <w:lang w:val="en-GB"/>
        </w:rPr>
        <w:t>using commercial mobile networks</w:t>
      </w:r>
      <w:r w:rsidR="00AB77EF" w:rsidRPr="008946B0">
        <w:rPr>
          <w:lang w:val="en-GB"/>
        </w:rPr>
        <w:t xml:space="preserve"> are:</w:t>
      </w:r>
    </w:p>
    <w:p w14:paraId="7C3EF634" w14:textId="77777777" w:rsidR="005A47F3" w:rsidRPr="008946B0" w:rsidRDefault="00AB77EF">
      <w:pPr>
        <w:pStyle w:val="ECCBulletsLv1"/>
      </w:pPr>
      <w:r w:rsidRPr="008946B0">
        <w:t>In case of railway accidents, the assignment of responsibility on legal and juridical matters, or related penalties, where malfunctioning of e.g. the radio network is involved;</w:t>
      </w:r>
    </w:p>
    <w:p w14:paraId="16783143" w14:textId="7028D997" w:rsidR="005A47F3" w:rsidRPr="008946B0" w:rsidRDefault="00AB77EF">
      <w:pPr>
        <w:pStyle w:val="ECCBulletsLv1"/>
      </w:pPr>
      <w:r w:rsidRPr="008946B0">
        <w:t xml:space="preserve">Management of MNO technology evolutions, including 3GPP releases and other regular software updates, which may need to be </w:t>
      </w:r>
      <w:r w:rsidR="0069601F" w:rsidRPr="008946B0">
        <w:t>authorised</w:t>
      </w:r>
      <w:r w:rsidRPr="008946B0">
        <w:t xml:space="preserve"> </w:t>
      </w:r>
      <w:r w:rsidR="009807F6" w:rsidRPr="008946B0">
        <w:t xml:space="preserve">by the Railway Safety Authorities </w:t>
      </w:r>
      <w:r w:rsidRPr="008946B0">
        <w:t>before introduction on live network (this process could have a significant impact on MNO evolutions and operations);</w:t>
      </w:r>
    </w:p>
    <w:p w14:paraId="1C06A14C" w14:textId="77777777" w:rsidR="005A47F3" w:rsidRPr="008946B0" w:rsidRDefault="00AB77EF">
      <w:pPr>
        <w:pStyle w:val="ECCBulletsLv1"/>
      </w:pPr>
      <w:r w:rsidRPr="008946B0">
        <w:t>Congestion in case of major incidents or accidents;</w:t>
      </w:r>
    </w:p>
    <w:p w14:paraId="45669ECD" w14:textId="09E1B524" w:rsidR="005A47F3" w:rsidRPr="008946B0" w:rsidRDefault="00AB77EF">
      <w:pPr>
        <w:pStyle w:val="ECCBulletsLv1"/>
      </w:pPr>
      <w:r w:rsidRPr="008946B0">
        <w:t xml:space="preserve">A </w:t>
      </w:r>
      <w:r w:rsidR="00715346" w:rsidRPr="008946B0">
        <w:t xml:space="preserve">long-term </w:t>
      </w:r>
      <w:r w:rsidRPr="008946B0">
        <w:t xml:space="preserve">dependency </w:t>
      </w:r>
      <w:r w:rsidR="005832E9" w:rsidRPr="008946B0">
        <w:t xml:space="preserve">and stable relationship </w:t>
      </w:r>
      <w:r w:rsidRPr="008946B0">
        <w:t>between the railway infrastructure manager and the MNO;</w:t>
      </w:r>
    </w:p>
    <w:p w14:paraId="12723684" w14:textId="3406E3B3" w:rsidR="005A47F3" w:rsidRPr="008946B0" w:rsidRDefault="00AB77EF">
      <w:pPr>
        <w:pStyle w:val="ECCBulletsLv1"/>
      </w:pPr>
      <w:r w:rsidRPr="008946B0">
        <w:t xml:space="preserve">Long-term guarantee </w:t>
      </w:r>
      <w:r w:rsidR="00907C83" w:rsidRPr="008946B0">
        <w:t xml:space="preserve">(possibly exceeding the equipment life cycle) </w:t>
      </w:r>
      <w:r w:rsidRPr="008946B0">
        <w:t xml:space="preserve">for technology support related to available hardware, software and support services for the trackside infrastructure, as well as for railway terminal </w:t>
      </w:r>
      <w:r w:rsidR="00D74C35" w:rsidRPr="008946B0">
        <w:t xml:space="preserve">(cab-radio, handheld or data modem) </w:t>
      </w:r>
      <w:r w:rsidRPr="008946B0">
        <w:t>backwards-compatibility.</w:t>
      </w:r>
    </w:p>
    <w:p w14:paraId="42A21D07" w14:textId="5FC953A5"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In addition to satisfying technical requirements, the MNO would also need to satisfy other requirements, such as operational and field maintenance processes. The willingness of MNOs to take legal obligations and liabilities </w:t>
      </w:r>
      <w:r w:rsidR="00907C83" w:rsidRPr="008946B0">
        <w:rPr>
          <w:rFonts w:eastAsia="Calibri"/>
          <w:szCs w:val="22"/>
          <w:lang w:val="en-GB"/>
        </w:rPr>
        <w:t xml:space="preserve">has </w:t>
      </w:r>
      <w:r w:rsidR="008B2076" w:rsidRPr="008946B0">
        <w:rPr>
          <w:rFonts w:eastAsia="Calibri"/>
          <w:szCs w:val="22"/>
          <w:lang w:val="en-GB"/>
        </w:rPr>
        <w:t xml:space="preserve">to be </w:t>
      </w:r>
      <w:proofErr w:type="gramStart"/>
      <w:r w:rsidR="008B2076" w:rsidRPr="008946B0">
        <w:rPr>
          <w:rFonts w:eastAsia="Calibri"/>
          <w:szCs w:val="22"/>
          <w:lang w:val="en-GB"/>
        </w:rPr>
        <w:t>taken into account</w:t>
      </w:r>
      <w:proofErr w:type="gramEnd"/>
      <w:r w:rsidRPr="008946B0">
        <w:rPr>
          <w:rFonts w:eastAsia="Calibri"/>
          <w:szCs w:val="22"/>
          <w:lang w:val="en-GB"/>
        </w:rPr>
        <w:t>. To date, MNO processes do not cover safety-related and interoperability assurance</w:t>
      </w:r>
      <w:r w:rsidR="002E6771" w:rsidRPr="008946B0">
        <w:rPr>
          <w:rFonts w:eastAsia="Calibri"/>
          <w:szCs w:val="22"/>
          <w:lang w:val="en-GB"/>
        </w:rPr>
        <w:t xml:space="preserve"> for railways</w:t>
      </w:r>
      <w:r w:rsidRPr="008946B0">
        <w:rPr>
          <w:rFonts w:eastAsia="Calibri"/>
          <w:szCs w:val="22"/>
          <w:lang w:val="en-GB"/>
        </w:rPr>
        <w:t>, which currently requires extensive certification.</w:t>
      </w:r>
    </w:p>
    <w:p w14:paraId="60405C6C" w14:textId="59A26DFF" w:rsidR="00C763DC" w:rsidRPr="008946B0" w:rsidRDefault="00230052">
      <w:pPr>
        <w:pStyle w:val="Heading2"/>
        <w:rPr>
          <w:rFonts w:eastAsia="Calibri"/>
          <w:lang w:val="en-GB"/>
        </w:rPr>
      </w:pPr>
      <w:bookmarkStart w:id="432" w:name="_Toc42722879"/>
      <w:r w:rsidRPr="008946B0">
        <w:rPr>
          <w:rFonts w:eastAsia="Calibri"/>
          <w:lang w:val="en-GB"/>
        </w:rPr>
        <w:t>Impact</w:t>
      </w:r>
      <w:r w:rsidR="00C763DC" w:rsidRPr="008946B0">
        <w:rPr>
          <w:rFonts w:eastAsia="Calibri"/>
          <w:lang w:val="en-GB"/>
        </w:rPr>
        <w:t xml:space="preserve"> o</w:t>
      </w:r>
      <w:r w:rsidR="00401451" w:rsidRPr="008946B0">
        <w:rPr>
          <w:rFonts w:eastAsia="Calibri"/>
          <w:lang w:val="en-GB"/>
        </w:rPr>
        <w:t>f</w:t>
      </w:r>
      <w:r w:rsidR="00C763DC" w:rsidRPr="008946B0">
        <w:rPr>
          <w:rFonts w:eastAsia="Calibri"/>
          <w:lang w:val="en-GB"/>
        </w:rPr>
        <w:t xml:space="preserve"> railway interop</w:t>
      </w:r>
      <w:r w:rsidR="00C64EEB" w:rsidRPr="008946B0">
        <w:rPr>
          <w:rFonts w:eastAsia="Calibri"/>
          <w:lang w:val="en-GB"/>
        </w:rPr>
        <w:t>e</w:t>
      </w:r>
      <w:r w:rsidR="00C763DC" w:rsidRPr="008946B0">
        <w:rPr>
          <w:rFonts w:eastAsia="Calibri"/>
          <w:lang w:val="en-GB"/>
        </w:rPr>
        <w:t>r</w:t>
      </w:r>
      <w:r w:rsidR="00C64EEB" w:rsidRPr="008946B0">
        <w:rPr>
          <w:rFonts w:eastAsia="Calibri"/>
          <w:lang w:val="en-GB"/>
        </w:rPr>
        <w:t>a</w:t>
      </w:r>
      <w:r w:rsidR="00C763DC" w:rsidRPr="008946B0">
        <w:rPr>
          <w:rFonts w:eastAsia="Calibri"/>
          <w:lang w:val="en-GB"/>
        </w:rPr>
        <w:t>bility</w:t>
      </w:r>
      <w:r w:rsidR="00DF4131" w:rsidRPr="008946B0">
        <w:rPr>
          <w:rFonts w:eastAsia="Calibri"/>
          <w:lang w:val="en-GB"/>
        </w:rPr>
        <w:t xml:space="preserve"> requirement</w:t>
      </w:r>
      <w:bookmarkEnd w:id="432"/>
    </w:p>
    <w:p w14:paraId="202694FF" w14:textId="77777777" w:rsidR="003E2864" w:rsidRPr="008946B0" w:rsidRDefault="00C763DC" w:rsidP="00C763DC">
      <w:pPr>
        <w:spacing w:before="240" w:after="60" w:line="240" w:lineRule="auto"/>
        <w:jc w:val="both"/>
        <w:rPr>
          <w:rFonts w:eastAsia="Calibri"/>
          <w:szCs w:val="22"/>
          <w:lang w:val="en-GB"/>
        </w:rPr>
      </w:pPr>
      <w:r w:rsidRPr="008946B0">
        <w:rPr>
          <w:rFonts w:eastAsia="Calibri"/>
          <w:szCs w:val="22"/>
          <w:lang w:val="en-GB"/>
        </w:rPr>
        <w:t xml:space="preserve">In case </w:t>
      </w:r>
      <w:r w:rsidR="003E2864" w:rsidRPr="008946B0">
        <w:rPr>
          <w:rFonts w:eastAsia="Calibri"/>
          <w:szCs w:val="22"/>
          <w:lang w:val="en-GB"/>
        </w:rPr>
        <w:t>FRMCS make use of commercial mobile networks:</w:t>
      </w:r>
    </w:p>
    <w:p w14:paraId="032EB47C" w14:textId="54494ACC" w:rsidR="003E2864" w:rsidRPr="008946B0" w:rsidRDefault="003E2864" w:rsidP="00997229">
      <w:pPr>
        <w:pStyle w:val="ECCBulletsLv1"/>
      </w:pPr>
      <w:r w:rsidRPr="008946B0">
        <w:t>Multiple-band support is to be realised through the availability of multiple-band on-board radio modules and antennas</w:t>
      </w:r>
      <w:r w:rsidR="005150EA" w:rsidRPr="008946B0">
        <w:t>. The ECS network to be used will require</w:t>
      </w:r>
      <w:r w:rsidRPr="008946B0">
        <w:t xml:space="preserve"> the adoption of common technical standards (i.e. LTE/</w:t>
      </w:r>
      <w:r w:rsidR="00FA318E" w:rsidRPr="008946B0">
        <w:t>NR</w:t>
      </w:r>
      <w:r w:rsidRPr="008946B0">
        <w:t>)</w:t>
      </w:r>
      <w:r w:rsidR="00FA318E" w:rsidRPr="008946B0">
        <w:t xml:space="preserve"> </w:t>
      </w:r>
      <w:r w:rsidR="0001540B" w:rsidRPr="008946B0">
        <w:t>and compatible network sharing mechanisms</w:t>
      </w:r>
      <w:r w:rsidRPr="008946B0">
        <w:t xml:space="preserve">, and also </w:t>
      </w:r>
      <w:r w:rsidR="005150EA" w:rsidRPr="008946B0">
        <w:t>will need to support</w:t>
      </w:r>
      <w:r w:rsidRPr="008946B0">
        <w:t xml:space="preserve"> standard conformance and interoperability specifications.</w:t>
      </w:r>
    </w:p>
    <w:p w14:paraId="5BC4CBC1" w14:textId="55A82A34" w:rsidR="00F91391" w:rsidRPr="008946B0" w:rsidRDefault="00F91391" w:rsidP="00997229">
      <w:pPr>
        <w:pStyle w:val="ECCBulletsLv1"/>
      </w:pPr>
      <w:r w:rsidRPr="008946B0">
        <w:t>Due to the potential implementation variations throughout the EU, trains will need to support both the dedicated RMR spectrum as well as the identified ECS spectrum parts.</w:t>
      </w:r>
    </w:p>
    <w:p w14:paraId="31CEB537" w14:textId="259FD79A" w:rsidR="003E2864" w:rsidRPr="008946B0" w:rsidRDefault="003E2864" w:rsidP="00997229">
      <w:pPr>
        <w:pStyle w:val="ECCBulletsLv1"/>
      </w:pPr>
      <w:r w:rsidRPr="008946B0">
        <w:t xml:space="preserve">Several </w:t>
      </w:r>
      <w:r w:rsidR="002E6771" w:rsidRPr="008946B0">
        <w:t xml:space="preserve">typical technical </w:t>
      </w:r>
      <w:r w:rsidRPr="008946B0">
        <w:t xml:space="preserve">challenges need to be addressed: limited space for antennas on train roof; potential limitations on the total range of spectrum that can be covered at sufficient performance level; limiting the </w:t>
      </w:r>
      <w:r w:rsidRPr="008946B0">
        <w:rPr>
          <w:rFonts w:cs="Arial"/>
        </w:rPr>
        <w:t>loss between the roof antenna and the RMR receiver input (6 dB according to EIRENE SRS for GSM-R); etc.</w:t>
      </w:r>
    </w:p>
    <w:p w14:paraId="32801624" w14:textId="30DE1417" w:rsidR="00BE2A96" w:rsidRPr="008946B0" w:rsidRDefault="00BE2A96" w:rsidP="00BE2A96">
      <w:pPr>
        <w:spacing w:before="240" w:after="60" w:line="240" w:lineRule="auto"/>
        <w:jc w:val="both"/>
        <w:rPr>
          <w:rFonts w:eastAsia="Calibri"/>
          <w:szCs w:val="22"/>
          <w:lang w:val="en-GB"/>
        </w:rPr>
      </w:pPr>
      <w:bookmarkStart w:id="433" w:name="_Hlk31723443"/>
      <w:r w:rsidRPr="008946B0">
        <w:rPr>
          <w:rFonts w:eastAsia="Calibri"/>
          <w:szCs w:val="22"/>
          <w:lang w:val="en-GB"/>
        </w:rPr>
        <w:t>The CCS TSI</w:t>
      </w:r>
      <w:r w:rsidR="00582DE9" w:rsidRPr="008946B0">
        <w:rPr>
          <w:rFonts w:eastAsia="Calibri"/>
          <w:szCs w:val="22"/>
          <w:lang w:val="en-GB"/>
        </w:rPr>
        <w:t xml:space="preserve"> and the EIRENE SRS</w:t>
      </w:r>
      <w:r w:rsidRPr="008946B0">
        <w:rPr>
          <w:rFonts w:eastAsia="Calibri"/>
          <w:szCs w:val="22"/>
          <w:lang w:val="en-GB"/>
        </w:rPr>
        <w:t xml:space="preserve"> would need to be </w:t>
      </w:r>
      <w:r w:rsidR="003A36DD" w:rsidRPr="008946B0">
        <w:rPr>
          <w:rFonts w:eastAsia="Calibri"/>
          <w:szCs w:val="22"/>
          <w:lang w:val="en-GB"/>
        </w:rPr>
        <w:t>amended</w:t>
      </w:r>
      <w:r w:rsidRPr="008946B0">
        <w:rPr>
          <w:rFonts w:eastAsia="Calibri"/>
          <w:szCs w:val="22"/>
          <w:lang w:val="en-GB"/>
        </w:rPr>
        <w:t xml:space="preserve"> to make </w:t>
      </w:r>
      <w:r w:rsidR="003A36DD" w:rsidRPr="008946B0">
        <w:rPr>
          <w:rFonts w:eastAsia="Calibri"/>
          <w:szCs w:val="22"/>
          <w:lang w:val="en-GB"/>
        </w:rPr>
        <w:t>the use of</w:t>
      </w:r>
      <w:r w:rsidRPr="008946B0">
        <w:rPr>
          <w:rFonts w:eastAsia="Calibri"/>
          <w:szCs w:val="22"/>
          <w:lang w:val="en-GB"/>
        </w:rPr>
        <w:t xml:space="preserve"> commercial mobile networks </w:t>
      </w:r>
      <w:r w:rsidR="003A36DD" w:rsidRPr="008946B0">
        <w:rPr>
          <w:rFonts w:eastAsia="Calibri"/>
          <w:szCs w:val="22"/>
          <w:lang w:val="en-GB"/>
        </w:rPr>
        <w:t>possible</w:t>
      </w:r>
      <w:r w:rsidRPr="008946B0">
        <w:rPr>
          <w:rFonts w:eastAsia="Calibri"/>
          <w:szCs w:val="22"/>
          <w:lang w:val="en-GB"/>
        </w:rPr>
        <w:t xml:space="preserve"> for railway critical applications. With respect to railway interoperability, a limited number of ECS frequency bands would need to be referenced in the CCS TSI. The national contract between the infrastructure manager and the MNO would mandate the provision of coverage with at least one of these frequency bands. It would also be necessary to integrate in the on-board radio equipment the entire set of frequency bands referenced in the CCS TSI to fulfil the railway interoperability requirement.</w:t>
      </w:r>
    </w:p>
    <w:p w14:paraId="545B0267" w14:textId="171BEE69" w:rsidR="005A47F3" w:rsidRPr="008946B0" w:rsidRDefault="00AB77EF">
      <w:pPr>
        <w:pStyle w:val="Heading2"/>
        <w:rPr>
          <w:rFonts w:eastAsia="Calibri"/>
          <w:lang w:val="en-GB"/>
        </w:rPr>
      </w:pPr>
      <w:bookmarkStart w:id="434" w:name="_Toc42722880"/>
      <w:r w:rsidRPr="008946B0">
        <w:rPr>
          <w:rFonts w:eastAsia="Calibri"/>
          <w:lang w:val="en-GB"/>
        </w:rPr>
        <w:t xml:space="preserve">Conclusions on </w:t>
      </w:r>
      <w:r w:rsidR="006939F2" w:rsidRPr="008946B0">
        <w:rPr>
          <w:rFonts w:eastAsia="Calibri"/>
          <w:lang w:val="en-GB"/>
        </w:rPr>
        <w:t>using</w:t>
      </w:r>
      <w:r w:rsidRPr="008946B0">
        <w:rPr>
          <w:rFonts w:eastAsia="Calibri"/>
          <w:lang w:val="en-GB"/>
        </w:rPr>
        <w:t xml:space="preserve"> commercial mobile networks</w:t>
      </w:r>
      <w:bookmarkEnd w:id="434"/>
    </w:p>
    <w:bookmarkEnd w:id="433"/>
    <w:p w14:paraId="03027CDB" w14:textId="3B46A0E3" w:rsidR="00D846DC" w:rsidRPr="008946B0" w:rsidRDefault="00D846DC" w:rsidP="00D846DC">
      <w:pPr>
        <w:spacing w:before="240" w:after="60" w:line="240" w:lineRule="auto"/>
        <w:jc w:val="both"/>
        <w:rPr>
          <w:rFonts w:eastAsia="Calibri"/>
          <w:szCs w:val="22"/>
          <w:lang w:val="en-GB"/>
        </w:rPr>
      </w:pPr>
      <w:r w:rsidRPr="008946B0">
        <w:rPr>
          <w:rFonts w:eastAsia="Calibri"/>
          <w:szCs w:val="22"/>
          <w:lang w:val="en-GB"/>
        </w:rPr>
        <w:t xml:space="preserve">From a technical point of view, the use of commercial mobile networks for critical railway applications is possible under the condition that the relevant parts of the MNO’s network fulfil the stringent interoperability, coverage, availability and QoS requirements of railways (including prioritisation and pre-emption). Use of a commercial mobile network </w:t>
      </w:r>
      <w:r w:rsidR="000C4F8C" w:rsidRPr="008946B0">
        <w:rPr>
          <w:rFonts w:eastAsia="Calibri"/>
          <w:szCs w:val="22"/>
          <w:lang w:val="en-GB"/>
        </w:rPr>
        <w:t xml:space="preserve">would </w:t>
      </w:r>
      <w:r w:rsidRPr="008946B0">
        <w:rPr>
          <w:rFonts w:eastAsia="Calibri"/>
          <w:szCs w:val="22"/>
          <w:lang w:val="en-GB"/>
        </w:rPr>
        <w:t xml:space="preserve">need to be </w:t>
      </w:r>
      <w:r w:rsidR="000C4F8C" w:rsidRPr="008946B0">
        <w:rPr>
          <w:rFonts w:eastAsia="Calibri"/>
          <w:szCs w:val="22"/>
          <w:lang w:val="en-GB"/>
        </w:rPr>
        <w:t xml:space="preserve">specified and </w:t>
      </w:r>
      <w:r w:rsidRPr="008946B0">
        <w:rPr>
          <w:rFonts w:eastAsia="Calibri"/>
          <w:szCs w:val="22"/>
          <w:lang w:val="en-GB"/>
        </w:rPr>
        <w:t xml:space="preserve">tested under real-life conditions to </w:t>
      </w:r>
      <w:r w:rsidR="000C4F8C" w:rsidRPr="008946B0">
        <w:rPr>
          <w:rFonts w:eastAsia="Calibri"/>
          <w:szCs w:val="22"/>
          <w:lang w:val="en-GB"/>
        </w:rPr>
        <w:t>ensure</w:t>
      </w:r>
      <w:r w:rsidRPr="008946B0">
        <w:rPr>
          <w:rFonts w:eastAsia="Calibri"/>
          <w:szCs w:val="22"/>
          <w:lang w:val="en-GB"/>
        </w:rPr>
        <w:t xml:space="preserve"> those railway requirements are met. To date, MNO processes do not cover railway safety-related and interoperability assurance, which currently requires extensive certification.</w:t>
      </w:r>
    </w:p>
    <w:p w14:paraId="117C8FEA" w14:textId="554AD8C0" w:rsidR="00D846DC" w:rsidRPr="008946B0" w:rsidRDefault="00D846DC" w:rsidP="00D846DC">
      <w:pPr>
        <w:spacing w:before="240" w:after="60" w:line="240" w:lineRule="auto"/>
        <w:jc w:val="both"/>
        <w:rPr>
          <w:rFonts w:eastAsia="Calibri"/>
          <w:szCs w:val="22"/>
          <w:lang w:val="en-GB"/>
        </w:rPr>
      </w:pPr>
      <w:r w:rsidRPr="008946B0">
        <w:rPr>
          <w:rFonts w:eastAsia="Calibri"/>
          <w:szCs w:val="22"/>
          <w:lang w:val="en-GB"/>
        </w:rPr>
        <w:t xml:space="preserve">Some </w:t>
      </w:r>
      <w:r w:rsidR="000C4F8C" w:rsidRPr="008946B0">
        <w:rPr>
          <w:rFonts w:eastAsia="Calibri"/>
          <w:szCs w:val="22"/>
          <w:lang w:val="en-GB"/>
        </w:rPr>
        <w:t>elements</w:t>
      </w:r>
      <w:r w:rsidRPr="008946B0">
        <w:rPr>
          <w:rFonts w:eastAsia="Calibri"/>
          <w:szCs w:val="22"/>
          <w:lang w:val="en-GB"/>
        </w:rPr>
        <w:t xml:space="preserve"> would require further exploration </w:t>
      </w:r>
      <w:r w:rsidR="000C4F8C" w:rsidRPr="008946B0">
        <w:rPr>
          <w:rFonts w:eastAsia="Calibri"/>
          <w:szCs w:val="22"/>
          <w:lang w:val="en-GB"/>
        </w:rPr>
        <w:t>with respect</w:t>
      </w:r>
      <w:r w:rsidRPr="008946B0">
        <w:rPr>
          <w:rFonts w:eastAsia="Calibri"/>
          <w:szCs w:val="22"/>
          <w:lang w:val="en-GB"/>
        </w:rPr>
        <w:t xml:space="preserve"> to railway safety, certification and validation. Key issues are MNO's legal obligations, liabilities and risk assessment. </w:t>
      </w:r>
      <w:r w:rsidR="006939F2" w:rsidRPr="008946B0">
        <w:rPr>
          <w:rFonts w:eastAsia="Calibri"/>
          <w:szCs w:val="22"/>
          <w:lang w:val="en-GB"/>
        </w:rPr>
        <w:t>In addition, the European railway regulatory framework must be fulfilled to guarantee interoperability.</w:t>
      </w:r>
    </w:p>
    <w:p w14:paraId="474FDE1B" w14:textId="256D4B0E" w:rsidR="00D846DC" w:rsidRPr="008946B0" w:rsidRDefault="00D846DC" w:rsidP="00D846DC">
      <w:pPr>
        <w:spacing w:before="240" w:after="60" w:line="240" w:lineRule="auto"/>
        <w:jc w:val="both"/>
        <w:rPr>
          <w:rFonts w:eastAsia="Calibri"/>
          <w:szCs w:val="22"/>
          <w:lang w:val="en-GB"/>
        </w:rPr>
      </w:pPr>
      <w:r w:rsidRPr="008946B0">
        <w:rPr>
          <w:rFonts w:eastAsia="Calibri"/>
          <w:szCs w:val="22"/>
          <w:lang w:val="en-GB"/>
        </w:rPr>
        <w:t xml:space="preserve">MNO networks that do not fulfil railway requirements might be used for lines with </w:t>
      </w:r>
      <w:r w:rsidR="00E80BB6" w:rsidRPr="008946B0">
        <w:rPr>
          <w:rFonts w:eastAsia="Calibri"/>
          <w:szCs w:val="22"/>
          <w:lang w:val="en-GB"/>
        </w:rPr>
        <w:t>different</w:t>
      </w:r>
      <w:r w:rsidRPr="008946B0">
        <w:rPr>
          <w:rFonts w:eastAsia="Calibri"/>
          <w:szCs w:val="22"/>
          <w:lang w:val="en-GB"/>
        </w:rPr>
        <w:t xml:space="preserve"> requirements and non-critical railway communications.</w:t>
      </w:r>
      <w:r w:rsidR="006A4928" w:rsidRPr="008946B0">
        <w:rPr>
          <w:rFonts w:eastAsia="Calibri"/>
          <w:szCs w:val="22"/>
          <w:lang w:val="en-GB"/>
        </w:rPr>
        <w:t xml:space="preserve"> </w:t>
      </w:r>
      <w:r w:rsidRPr="008946B0">
        <w:rPr>
          <w:rFonts w:eastAsia="Calibri"/>
          <w:szCs w:val="22"/>
          <w:lang w:val="en-GB"/>
        </w:rPr>
        <w:t xml:space="preserve">Use of commercial mobile networks can also be envisaged to offer some flexibility in providing </w:t>
      </w:r>
      <w:r w:rsidR="00E80BB6" w:rsidRPr="008946B0">
        <w:rPr>
          <w:rFonts w:eastAsia="Calibri"/>
          <w:szCs w:val="22"/>
          <w:lang w:val="en-GB"/>
        </w:rPr>
        <w:t>additional</w:t>
      </w:r>
      <w:r w:rsidRPr="008946B0">
        <w:rPr>
          <w:rFonts w:eastAsia="Calibri"/>
          <w:szCs w:val="22"/>
          <w:lang w:val="en-GB"/>
        </w:rPr>
        <w:t xml:space="preserve"> capacity </w:t>
      </w:r>
      <w:r w:rsidR="00E80BB6" w:rsidRPr="008946B0">
        <w:rPr>
          <w:rFonts w:eastAsia="Calibri"/>
          <w:szCs w:val="22"/>
          <w:lang w:val="en-GB"/>
        </w:rPr>
        <w:t>to</w:t>
      </w:r>
      <w:r w:rsidRPr="008946B0">
        <w:rPr>
          <w:rFonts w:eastAsia="Calibri"/>
          <w:szCs w:val="22"/>
          <w:lang w:val="en-GB"/>
        </w:rPr>
        <w:t xml:space="preserve"> the spectrum harmonised for railway interoperability.</w:t>
      </w:r>
    </w:p>
    <w:p w14:paraId="4ABF402F" w14:textId="6DED9628" w:rsidR="00D846DC" w:rsidRPr="008946B0" w:rsidRDefault="00D846DC" w:rsidP="00D846DC">
      <w:pPr>
        <w:spacing w:before="240" w:after="60" w:line="240" w:lineRule="auto"/>
        <w:jc w:val="both"/>
        <w:rPr>
          <w:rFonts w:eastAsia="Calibri"/>
          <w:szCs w:val="22"/>
          <w:lang w:val="en-GB"/>
        </w:rPr>
      </w:pPr>
      <w:r w:rsidRPr="008946B0">
        <w:rPr>
          <w:rFonts w:eastAsia="Calibri"/>
          <w:szCs w:val="22"/>
          <w:lang w:val="en-GB"/>
        </w:rPr>
        <w:t>For the retention of the railway interoperability, the EIRENE SRS and CCS TSI should be amended to make the use of commercial mobile networks possible.</w:t>
      </w:r>
    </w:p>
    <w:p w14:paraId="45DE45C1" w14:textId="77777777" w:rsidR="005A47F3" w:rsidRPr="008946B0" w:rsidRDefault="00AB77EF">
      <w:pPr>
        <w:pStyle w:val="Heading1"/>
      </w:pPr>
      <w:bookmarkStart w:id="435" w:name="_Toc42722881"/>
      <w:r w:rsidRPr="008946B0">
        <w:t>Conclusions</w:t>
      </w:r>
      <w:bookmarkEnd w:id="435"/>
    </w:p>
    <w:p w14:paraId="0DED351F" w14:textId="6CE51DC4" w:rsidR="00AF0D5E" w:rsidRPr="008946B0" w:rsidRDefault="00AF0D5E" w:rsidP="00AF0D5E">
      <w:pPr>
        <w:pStyle w:val="ECCParagraph"/>
        <w:spacing w:before="240" w:after="60"/>
      </w:pPr>
      <w:r w:rsidRPr="008946B0">
        <w:t>The present CEPT Report answers tasks 1 to 4 of the Mandate from the European Commission to CEPT on spectrum for the future railway mobile communications system (FRMCS).</w:t>
      </w:r>
    </w:p>
    <w:p w14:paraId="601B9EE8" w14:textId="77777777" w:rsidR="00AF0D5E" w:rsidRPr="008946B0" w:rsidRDefault="00AF0D5E" w:rsidP="00AF0D5E">
      <w:pPr>
        <w:pStyle w:val="ECCParagraph"/>
        <w:spacing w:before="240" w:after="60"/>
      </w:pPr>
      <w:r w:rsidRPr="008946B0">
        <w:t>Only non-AAS FRMCS has been considered. Additional studies should be performed in case AAS are considered for FRMCS deployments.</w:t>
      </w:r>
    </w:p>
    <w:p w14:paraId="1EAC1069" w14:textId="77777777" w:rsidR="00AF0D5E" w:rsidRPr="008946B0" w:rsidRDefault="00AF0D5E" w:rsidP="00AF0D5E">
      <w:pPr>
        <w:pStyle w:val="ECCParagraph"/>
        <w:spacing w:before="240" w:after="60"/>
        <w:rPr>
          <w:b/>
        </w:rPr>
      </w:pPr>
      <w:r w:rsidRPr="008946B0">
        <w:rPr>
          <w:b/>
        </w:rPr>
        <w:t>Task 1: spectrum needs for mission critical operation of the future railway mobile communications system (successor system of GSM-R)</w:t>
      </w:r>
    </w:p>
    <w:p w14:paraId="08B62A60" w14:textId="0A233BCA" w:rsidR="00E51246" w:rsidRPr="008946B0" w:rsidRDefault="00E51246" w:rsidP="00E51246">
      <w:pPr>
        <w:pStyle w:val="ECCParagraph"/>
        <w:spacing w:before="240" w:after="60"/>
      </w:pPr>
      <w:r w:rsidRPr="008946B0">
        <w:rPr>
          <w:rFonts w:cs="Arial"/>
          <w:szCs w:val="20"/>
        </w:rPr>
        <w:t xml:space="preserve">Ensuring railway interoperability throughout Europe must be considered when determining spectrum needs. </w:t>
      </w:r>
      <w:r w:rsidRPr="008946B0">
        <w:t>Having the possibility to reuse as much as possible the current radio network infrastructure (BS sites) would save costs, time and reduce operational burden. Therefore, the spectrum in the whole 2x5.6 MHz in 874.4-880 MHz / 919.4-925 MHz is one of the two identified</w:t>
      </w:r>
      <w:r w:rsidRPr="008946B0">
        <w:rPr>
          <w:rFonts w:eastAsia="Calibri"/>
          <w:szCs w:val="22"/>
        </w:rPr>
        <w:t xml:space="preserve"> spectrum bands for </w:t>
      </w:r>
      <w:r w:rsidRPr="008946B0">
        <w:t>the successor to GSM-R for the migration and beyond. Considering the FRMCS rollout timeframe, it may not make sense to invest in a 4G network compared to 5G. A migration using only the 900 MHz spectrum would require that the initial FRMCS deployment uses a deployment of a 1.4 MHz LTE carrier adjacent to GSM-R, or the realisation of overlapping NR wideband channels in a co-channel deployment with GSM-R.</w:t>
      </w:r>
    </w:p>
    <w:p w14:paraId="4F844AF0" w14:textId="77777777" w:rsidR="00E51246" w:rsidRPr="008946B0" w:rsidRDefault="00E51246" w:rsidP="00E51246">
      <w:pPr>
        <w:pStyle w:val="ECCParagraph"/>
        <w:spacing w:before="240" w:after="60"/>
      </w:pPr>
      <w:r w:rsidRPr="008946B0">
        <w:t xml:space="preserve">The targeted 2x5.6 MHz of spectrum could be used by a 5.6 MHz FDD NR carrier </w:t>
      </w:r>
      <w:r w:rsidRPr="008946B0">
        <w:rPr>
          <w:rFonts w:cs="Arial"/>
          <w:szCs w:val="20"/>
        </w:rPr>
        <w:t>during both migration and post-migration</w:t>
      </w:r>
      <w:r w:rsidRPr="008946B0">
        <w:t>. Such a carrier would provide a higher traffic handling capacity than the current 3GPP defined 5 MHz carrier and thus would better support the anticipated growth of the FRMCS traffic volume. Although current indications are that such a 5.6 MHz carrier should be feasible within the 3GPP NR specifications, additional work is necessary in 3GPP to confirm feasibility and carry out the specification work.</w:t>
      </w:r>
    </w:p>
    <w:p w14:paraId="213BBD85" w14:textId="68B53E6F" w:rsidR="00E51246" w:rsidRPr="008946B0" w:rsidRDefault="00E51246" w:rsidP="00E51246">
      <w:pPr>
        <w:pStyle w:val="ECCParagraph"/>
        <w:spacing w:before="240" w:after="60"/>
      </w:pPr>
      <w:r w:rsidRPr="008946B0">
        <w:t>In-band coexistence, based on an overlay of a 5 MHz FDD NR carrier or of a 5.6 MHz FDD NR carrier, co-channel with GSM-R carriers, would be an option for the migration using the 900 MHz spectrum while maintaining operation of GSM-R.</w:t>
      </w:r>
    </w:p>
    <w:p w14:paraId="0BE2531D" w14:textId="2004EBBD" w:rsidR="00E51246" w:rsidRPr="008946B0" w:rsidRDefault="00E51246" w:rsidP="00E51246">
      <w:pPr>
        <w:pStyle w:val="ECCParagraph"/>
        <w:spacing w:before="240" w:after="60"/>
      </w:pPr>
      <w:r w:rsidRPr="008946B0">
        <w:t xml:space="preserve">Alternatively, a 5 MHz FDD LTE/NR carrier could be implemented plus several NB-IoT carriers in the remaining 600 kHz. An NB-IoT carrier potentially supports a larger coverage area than a 5 MHz LTE/NR carrier. </w:t>
      </w:r>
      <w:r w:rsidRPr="008946B0">
        <w:rPr>
          <w:rFonts w:cs="Arial"/>
          <w:szCs w:val="20"/>
        </w:rPr>
        <w:t>Certain critical railway applications like monitoring and control of critical infrastructure may benefit from the usage of NB-IoT.</w:t>
      </w:r>
    </w:p>
    <w:p w14:paraId="06C86D64" w14:textId="77777777" w:rsidR="00E51246" w:rsidRPr="008946B0" w:rsidRDefault="00E51246" w:rsidP="00E51246">
      <w:pPr>
        <w:pStyle w:val="ECCParagraph"/>
        <w:spacing w:before="240" w:after="60"/>
      </w:pPr>
      <w:r w:rsidRPr="008946B0">
        <w:t>As another alternative, a 1.4 MHz FDD LTE carrier may be used, adjacent to the 4 MHz for GSM-R during migration. This approach would have a lower traffic handling capacity and needs to be considered in terms of product lifecycle and longer-term migration to NR.</w:t>
      </w:r>
    </w:p>
    <w:p w14:paraId="521949B4" w14:textId="3744E3D5" w:rsidR="00E51246" w:rsidRPr="008946B0" w:rsidRDefault="00E51246" w:rsidP="00E51246">
      <w:pPr>
        <w:pStyle w:val="ECCParagraph"/>
        <w:spacing w:before="240" w:after="60"/>
      </w:pPr>
      <w:r w:rsidRPr="008946B0">
        <w:t>Furthermore, considering the throughput requirements, access to complementary spectrum, such as 1900-1910 MHz, is a prerequisite for many countries in order to fulfil the interoperability requirements, to enable parallel operation of GSM-R and its successor, to benefit from new railway critical applications (including ATO and critical sensing/video), and to deal with border and hotspot areas. Hence the spectrum 1900-1910 MHz is one of the two identified</w:t>
      </w:r>
      <w:r w:rsidRPr="008946B0">
        <w:rPr>
          <w:rFonts w:eastAsia="Calibri"/>
          <w:szCs w:val="22"/>
        </w:rPr>
        <w:t xml:space="preserve"> spectrum bands for </w:t>
      </w:r>
      <w:r w:rsidRPr="008946B0">
        <w:t>the successor to GSM-R for the migration and beyond.</w:t>
      </w:r>
    </w:p>
    <w:p w14:paraId="2F2D56F5" w14:textId="77777777" w:rsidR="00E51246" w:rsidRPr="008946B0" w:rsidRDefault="00E51246" w:rsidP="00E51246">
      <w:pPr>
        <w:pStyle w:val="ECCParagraph"/>
        <w:spacing w:before="240" w:after="60"/>
      </w:pPr>
      <w:r w:rsidRPr="008946B0">
        <w:t>This does not preclude the use of public mobile networks, noting that the railway interoperability, coverage, availability and QoS requirements still needs to be fulfilled.</w:t>
      </w:r>
    </w:p>
    <w:p w14:paraId="27E2E0F1" w14:textId="77777777" w:rsidR="00AF0D5E" w:rsidRPr="008946B0" w:rsidRDefault="00AF0D5E" w:rsidP="00AF0D5E">
      <w:pPr>
        <w:pStyle w:val="ECCParagraph"/>
        <w:spacing w:before="240" w:after="60"/>
        <w:rPr>
          <w:b/>
        </w:rPr>
      </w:pPr>
      <w:r w:rsidRPr="008946B0">
        <w:rPr>
          <w:b/>
        </w:rPr>
        <w:t>Task 2: technical feasibility for operating the successor system in the 874.4-880 MHz / 919.4-925 MHz frequency band while ensuring simultaneous operation of GSM-R and the successor system in these bands during a migration period</w:t>
      </w:r>
    </w:p>
    <w:p w14:paraId="3E791B62" w14:textId="77777777" w:rsidR="00E51246" w:rsidRPr="008946B0" w:rsidRDefault="00E51246" w:rsidP="00E51246">
      <w:pPr>
        <w:spacing w:before="240" w:after="60" w:line="240" w:lineRule="auto"/>
        <w:jc w:val="both"/>
        <w:rPr>
          <w:rFonts w:eastAsia="Calibri"/>
          <w:szCs w:val="22"/>
          <w:lang w:val="en-GB"/>
        </w:rPr>
      </w:pPr>
      <w:r w:rsidRPr="008946B0">
        <w:rPr>
          <w:rFonts w:eastAsia="Calibri"/>
          <w:szCs w:val="22"/>
          <w:lang w:val="en-GB"/>
        </w:rPr>
        <w:t>The 874.4-880 MHz / 919.4-925 MHz frequency band is feasible for RMR, provided that the following conditions are met.</w:t>
      </w:r>
    </w:p>
    <w:p w14:paraId="471C4303" w14:textId="49A2190C" w:rsidR="00E51246" w:rsidRPr="008946B0" w:rsidRDefault="00E51246" w:rsidP="00E51246">
      <w:pPr>
        <w:spacing w:before="240" w:after="60" w:line="240" w:lineRule="auto"/>
        <w:jc w:val="both"/>
        <w:rPr>
          <w:rFonts w:eastAsia="Calibri"/>
          <w:szCs w:val="22"/>
          <w:lang w:val="en-GB"/>
        </w:rPr>
      </w:pPr>
      <w:r w:rsidRPr="008946B0">
        <w:rPr>
          <w:lang w:val="en-GB"/>
        </w:rPr>
        <w:t>1. RMR BS shall ensure coexistence with ECS BS receiving below 915 MHz. The statistical approach, as described in ECC Report 318, relying on existing GSM-R and ECS deployment data, was chosen to define the BEM which</w:t>
      </w:r>
      <w:r w:rsidRPr="008946B0">
        <w:rPr>
          <w:rFonts w:eastAsia="Calibri"/>
          <w:szCs w:val="22"/>
          <w:lang w:val="en-GB"/>
        </w:rPr>
        <w:t xml:space="preserve"> enables uncoordinated deployments, while ensuring an acceptably low occurrence probability of residual interference cases to be addressed at national level when interference occurs.</w:t>
      </w:r>
      <w:r w:rsidRPr="008946B0">
        <w:rPr>
          <w:lang w:val="en-GB"/>
        </w:rPr>
        <w:t xml:space="preserve"> The BEM for FRMCS will include channels of 1.4 MHz, 5 MHz and 5.6 MHz.</w:t>
      </w:r>
    </w:p>
    <w:p w14:paraId="22439DB6" w14:textId="1EDA7DB1" w:rsidR="00E51246" w:rsidRPr="008946B0" w:rsidRDefault="00E51246" w:rsidP="00E51246">
      <w:pPr>
        <w:spacing w:before="240" w:after="60" w:line="240" w:lineRule="auto"/>
        <w:jc w:val="both"/>
        <w:rPr>
          <w:rFonts w:eastAsia="Calibri"/>
          <w:szCs w:val="22"/>
          <w:lang w:val="en-GB"/>
        </w:rPr>
      </w:pPr>
      <w:r w:rsidRPr="008946B0">
        <w:rPr>
          <w:rFonts w:eastAsia="Calibri"/>
          <w:szCs w:val="22"/>
          <w:lang w:val="en-GB"/>
        </w:rPr>
        <w:t>National regulation may allow multiple carriers using wideband technologies</w:t>
      </w:r>
      <w:r w:rsidRPr="008946B0">
        <w:rPr>
          <w:rStyle w:val="FootnoteReference"/>
          <w:rFonts w:eastAsia="Calibri"/>
          <w:szCs w:val="22"/>
          <w:lang w:val="en-GB"/>
        </w:rPr>
        <w:footnoteReference w:id="24"/>
      </w:r>
      <w:r w:rsidRPr="008946B0">
        <w:rPr>
          <w:rFonts w:eastAsia="Calibri"/>
          <w:szCs w:val="22"/>
          <w:lang w:val="en-GB"/>
        </w:rPr>
        <w:t xml:space="preserve"> or higher e.i.r.p. for RMR BS than stated in the technical conditions, as long as no harmful interference on ECS BS can be ensured. As part of a national coordination procedure, the infrastructure manager could, for example, demonstrate that a coexistence criterion with respect to each ECS BS in the vicinity of the RMR radio site is fulfilled. The relevant national coordination procedure may differ from country to country, taking into account that coordination procedures with regard to ECS / GSM-R are already in force based on the guidance as described in ECC Report 229 </w:t>
      </w:r>
      <w:r w:rsidRPr="008946B0">
        <w:rPr>
          <w:rFonts w:eastAsia="Calibri"/>
          <w:szCs w:val="22"/>
          <w:lang w:val="en-GB"/>
        </w:rPr>
        <w:fldChar w:fldCharType="begin"/>
      </w:r>
      <w:r w:rsidRPr="008946B0">
        <w:rPr>
          <w:rFonts w:eastAsia="Calibri"/>
          <w:szCs w:val="22"/>
          <w:lang w:val="en-GB"/>
        </w:rPr>
        <w:instrText xml:space="preserve"> REF _Ref34310692 \r \h </w:instrText>
      </w:r>
      <w:r w:rsidRPr="008946B0">
        <w:rPr>
          <w:rFonts w:eastAsia="Calibri"/>
          <w:szCs w:val="22"/>
          <w:lang w:val="en-GB"/>
        </w:rPr>
      </w:r>
      <w:r w:rsidRPr="008946B0">
        <w:rPr>
          <w:rFonts w:eastAsia="Calibri"/>
          <w:szCs w:val="22"/>
          <w:lang w:val="en-GB"/>
        </w:rPr>
        <w:fldChar w:fldCharType="separate"/>
      </w:r>
      <w:r w:rsidRPr="008946B0">
        <w:rPr>
          <w:rFonts w:eastAsia="Calibri"/>
          <w:szCs w:val="22"/>
          <w:lang w:val="en-GB"/>
        </w:rPr>
        <w:t>[27]</w:t>
      </w:r>
      <w:r w:rsidRPr="008946B0">
        <w:rPr>
          <w:rFonts w:eastAsia="Calibri"/>
          <w:szCs w:val="22"/>
          <w:lang w:val="en-GB"/>
        </w:rPr>
        <w:fldChar w:fldCharType="end"/>
      </w:r>
      <w:r w:rsidRPr="008946B0">
        <w:rPr>
          <w:rFonts w:eastAsia="Calibri"/>
          <w:szCs w:val="22"/>
          <w:lang w:val="en-GB"/>
        </w:rPr>
        <w:t>.</w:t>
      </w:r>
    </w:p>
    <w:p w14:paraId="17061DDF" w14:textId="47A964FD" w:rsidR="00E51246" w:rsidRPr="008946B0" w:rsidRDefault="00E51246" w:rsidP="00E51246">
      <w:pPr>
        <w:pStyle w:val="FootnoteText"/>
        <w:spacing w:before="240" w:after="60" w:line="240" w:lineRule="auto"/>
        <w:jc w:val="both"/>
        <w:rPr>
          <w:lang w:val="en-GB"/>
        </w:rPr>
      </w:pPr>
      <w:r w:rsidRPr="008946B0">
        <w:rPr>
          <w:rFonts w:eastAsia="Calibri"/>
          <w:lang w:val="en-GB"/>
        </w:rPr>
        <w:t>2. FRMCS high-power cab-radios transmitting up to 31 dBm (output power)</w:t>
      </w:r>
      <w:r w:rsidRPr="008946B0">
        <w:rPr>
          <w:lang w:val="en-GB"/>
        </w:rPr>
        <w:t xml:space="preserve"> </w:t>
      </w:r>
      <w:r w:rsidRPr="008946B0">
        <w:rPr>
          <w:rFonts w:eastAsia="Calibri"/>
          <w:lang w:val="en-GB"/>
        </w:rPr>
        <w:t xml:space="preserve">can be allowed in 874.4-880 MHz provided that UL power control is activated, </w:t>
      </w:r>
      <w:r w:rsidRPr="008946B0">
        <w:rPr>
          <w:lang w:val="en-GB"/>
        </w:rPr>
        <w:t>and that FRMCS cab-radios are compliant with an ACLR of 37 dB and 3GPP LTE/NR spectrum emission mask</w:t>
      </w:r>
      <w:r w:rsidRPr="008946B0">
        <w:rPr>
          <w:rFonts w:eastAsia="Calibri"/>
          <w:lang w:val="en-GB"/>
        </w:rPr>
        <w:t>.</w:t>
      </w:r>
    </w:p>
    <w:p w14:paraId="60B4A3D0" w14:textId="75880519" w:rsidR="00E51246" w:rsidRPr="008946B0" w:rsidRDefault="00E51246" w:rsidP="00E51246">
      <w:pPr>
        <w:spacing w:before="240" w:after="60" w:line="240" w:lineRule="auto"/>
        <w:jc w:val="both"/>
        <w:rPr>
          <w:rFonts w:eastAsia="Calibri"/>
          <w:szCs w:val="22"/>
          <w:lang w:val="en-GB"/>
        </w:rPr>
      </w:pPr>
      <w:r w:rsidRPr="008946B0">
        <w:rPr>
          <w:rFonts w:eastAsia="Calibri"/>
          <w:szCs w:val="22"/>
          <w:lang w:val="en-GB"/>
        </w:rPr>
        <w:t>3. RMR cab-radios shall be robust against adjacent emissions, including ECS BS above 925 MHz, aerial UE using ECS below 915 MHz and SRD below 919.4 MHz. For the latter case, the required level of robustness is driven by 4W RFID interrogators. ETSI shall take the results of the studies into account when specifying the Harmonised European Standard for RMR cab-radios.</w:t>
      </w:r>
    </w:p>
    <w:p w14:paraId="0CFD5E6C" w14:textId="5E3615B4" w:rsidR="00E51246" w:rsidRPr="008946B0" w:rsidRDefault="00E51246" w:rsidP="00E51246">
      <w:pPr>
        <w:spacing w:before="240" w:after="60" w:line="240" w:lineRule="auto"/>
        <w:jc w:val="both"/>
        <w:rPr>
          <w:lang w:val="en-GB"/>
        </w:rPr>
      </w:pPr>
      <w:r w:rsidRPr="008946B0">
        <w:rPr>
          <w:lang w:val="en-GB"/>
        </w:rPr>
        <w:t xml:space="preserve">Improved GSM-R cab-radios as per ETSI TS 102 933-1 are currently being deployed and are </w:t>
      </w:r>
      <w:r w:rsidR="0095139D" w:rsidRPr="008946B0">
        <w:rPr>
          <w:lang w:val="en-GB"/>
        </w:rPr>
        <w:t>specified for the improved reception of GSM-R in the vicinity of intensive ECS emissions above 925 MHz, but the current GSM-R cab-radio receiver specification is less resilient against adjacent emissions from higher-power SRD below 919.4 MHz in some close proximity cases</w:t>
      </w:r>
      <w:r w:rsidRPr="008946B0">
        <w:rPr>
          <w:lang w:val="en-GB"/>
        </w:rPr>
        <w:t>. Administrations may further consider the protection of GSM-R cab-radios</w:t>
      </w:r>
      <w:r w:rsidRPr="008946B0">
        <w:rPr>
          <w:vertAlign w:val="superscript"/>
          <w:lang w:val="en-GB"/>
        </w:rPr>
        <w:footnoteReference w:id="25"/>
      </w:r>
      <w:r w:rsidRPr="008946B0">
        <w:rPr>
          <w:lang w:val="en-GB"/>
        </w:rPr>
        <w:t xml:space="preserve"> if the requirements in 916.1-918.9 MHz on the GSM-R cab-radio receiver in Table 2 of ECC Report 313 are not met.</w:t>
      </w:r>
    </w:p>
    <w:p w14:paraId="6F1C1260" w14:textId="5BEB871C" w:rsidR="00E51246" w:rsidRPr="008946B0" w:rsidRDefault="00E51246" w:rsidP="00E51246">
      <w:pPr>
        <w:spacing w:before="240" w:after="60" w:line="240" w:lineRule="auto"/>
        <w:jc w:val="both"/>
        <w:rPr>
          <w:rFonts w:eastAsia="Calibri"/>
          <w:szCs w:val="22"/>
          <w:lang w:val="en-GB"/>
        </w:rPr>
      </w:pPr>
      <w:r w:rsidRPr="008946B0">
        <w:rPr>
          <w:rFonts w:eastAsia="Calibri"/>
          <w:szCs w:val="22"/>
          <w:lang w:val="en-GB"/>
        </w:rPr>
        <w:t>FRMCS cab-radios need to fulfil the receiver characteristics determined in ECC Report 313.</w:t>
      </w:r>
    </w:p>
    <w:p w14:paraId="22F9CF1C" w14:textId="75AB2C83" w:rsidR="00E51246" w:rsidRPr="008946B0" w:rsidRDefault="00E51246" w:rsidP="00E51246">
      <w:pPr>
        <w:spacing w:before="240" w:after="60" w:line="240" w:lineRule="auto"/>
        <w:jc w:val="both"/>
        <w:rPr>
          <w:rFonts w:eastAsia="Calibri"/>
          <w:szCs w:val="22"/>
          <w:lang w:val="en-GB"/>
        </w:rPr>
      </w:pPr>
      <w:r w:rsidRPr="008946B0">
        <w:rPr>
          <w:rFonts w:eastAsia="Calibri"/>
          <w:szCs w:val="22"/>
          <w:lang w:val="en-GB"/>
        </w:rPr>
        <w:t>4. RMR BS shall be robust against adjacent emissions, including SRD below 874.4 MHz. ETSI shall take the results of the studies into account when specifying the Harmonised European Standard for RMR BS.</w:t>
      </w:r>
    </w:p>
    <w:p w14:paraId="648B1DBE" w14:textId="77777777" w:rsidR="00E51246" w:rsidRPr="008946B0" w:rsidRDefault="00E51246" w:rsidP="00E51246">
      <w:pPr>
        <w:spacing w:before="240" w:after="60" w:line="240" w:lineRule="auto"/>
        <w:jc w:val="both"/>
        <w:rPr>
          <w:rFonts w:eastAsia="Calibri"/>
          <w:szCs w:val="22"/>
          <w:lang w:val="en-GB"/>
        </w:rPr>
      </w:pPr>
      <w:r w:rsidRPr="008946B0">
        <w:rPr>
          <w:rFonts w:eastAsia="Calibri"/>
          <w:szCs w:val="22"/>
          <w:lang w:val="en-GB"/>
        </w:rPr>
        <w:t>5. W</w:t>
      </w:r>
      <w:r w:rsidRPr="008946B0">
        <w:rPr>
          <w:rFonts w:eastAsiaTheme="minorEastAsia" w:cs="Arial"/>
          <w:szCs w:val="20"/>
          <w:lang w:val="en-GB"/>
        </w:rPr>
        <w:t>hen in close vicinity to rail tracks, ECS BS unwanted emissions may cause interference to FRMCS cab-radio. In practice, to solve these cases, technical and/or operational measures could be taken to ensure the coexistence of both ECS and FRMCS in parallel.</w:t>
      </w:r>
    </w:p>
    <w:p w14:paraId="64CB95C6" w14:textId="1AEA99EF" w:rsidR="00E51246" w:rsidRPr="008946B0" w:rsidRDefault="00E51246" w:rsidP="00E51246">
      <w:pPr>
        <w:spacing w:before="240" w:after="60" w:line="240" w:lineRule="auto"/>
        <w:jc w:val="both"/>
        <w:rPr>
          <w:rFonts w:eastAsia="Calibri"/>
          <w:szCs w:val="22"/>
          <w:lang w:val="en-GB"/>
        </w:rPr>
      </w:pPr>
      <w:r w:rsidRPr="008946B0">
        <w:rPr>
          <w:rFonts w:eastAsia="Calibri"/>
          <w:szCs w:val="22"/>
          <w:lang w:val="en-GB"/>
        </w:rPr>
        <w:t xml:space="preserve">6. With respect to the use of a single NB-IoT carrier for FRMCS, the studies in </w:t>
      </w:r>
      <w:r w:rsidRPr="008946B0">
        <w:rPr>
          <w:lang w:val="en-GB"/>
        </w:rPr>
        <w:t>ECC Report 318</w:t>
      </w:r>
      <w:r w:rsidRPr="008946B0">
        <w:rPr>
          <w:rFonts w:eastAsia="Calibri"/>
          <w:szCs w:val="22"/>
          <w:lang w:val="en-GB"/>
        </w:rPr>
        <w:t xml:space="preserve"> can be applied to the in-band operation mode without power boost and to the standalone operation mode. If multiple carriers using wideband technologies</w:t>
      </w:r>
      <w:r w:rsidRPr="008946B0">
        <w:rPr>
          <w:rFonts w:eastAsia="Calibri"/>
          <w:szCs w:val="22"/>
          <w:vertAlign w:val="superscript"/>
          <w:lang w:val="en-GB"/>
        </w:rPr>
        <w:fldChar w:fldCharType="begin"/>
      </w:r>
      <w:r w:rsidRPr="008946B0">
        <w:rPr>
          <w:rFonts w:eastAsia="Calibri"/>
          <w:szCs w:val="22"/>
          <w:vertAlign w:val="superscript"/>
          <w:lang w:val="en-GB"/>
        </w:rPr>
        <w:instrText xml:space="preserve"> NOTEREF _Ref40456121 \h  \* MERGEFORMAT </w:instrText>
      </w:r>
      <w:r w:rsidRPr="008946B0">
        <w:rPr>
          <w:rFonts w:eastAsia="Calibri"/>
          <w:szCs w:val="22"/>
          <w:vertAlign w:val="superscript"/>
          <w:lang w:val="en-GB"/>
        </w:rPr>
      </w:r>
      <w:r w:rsidRPr="008946B0">
        <w:rPr>
          <w:rFonts w:eastAsia="Calibri"/>
          <w:szCs w:val="22"/>
          <w:vertAlign w:val="superscript"/>
          <w:lang w:val="en-GB"/>
        </w:rPr>
        <w:fldChar w:fldCharType="separate"/>
      </w:r>
      <w:r w:rsidRPr="008946B0">
        <w:rPr>
          <w:rFonts w:eastAsia="Calibri"/>
          <w:szCs w:val="22"/>
          <w:vertAlign w:val="superscript"/>
          <w:lang w:val="en-GB"/>
        </w:rPr>
        <w:t>1</w:t>
      </w:r>
      <w:r w:rsidRPr="008946B0">
        <w:rPr>
          <w:rFonts w:eastAsia="Calibri"/>
          <w:szCs w:val="22"/>
          <w:vertAlign w:val="superscript"/>
          <w:lang w:val="en-GB"/>
        </w:rPr>
        <w:fldChar w:fldCharType="end"/>
      </w:r>
      <w:r w:rsidRPr="008946B0">
        <w:rPr>
          <w:rFonts w:eastAsia="Calibri"/>
          <w:szCs w:val="22"/>
          <w:lang w:val="en-GB"/>
        </w:rPr>
        <w:t xml:space="preserve"> or power boost were to be used for in-band NB-IoT, the BEM would not directly be applicable.</w:t>
      </w:r>
    </w:p>
    <w:p w14:paraId="45EB9F4E" w14:textId="77777777" w:rsidR="00AF0D5E" w:rsidRPr="008946B0" w:rsidRDefault="00AF0D5E" w:rsidP="00AF0D5E">
      <w:pPr>
        <w:pStyle w:val="ECCParagraph"/>
        <w:spacing w:before="240" w:after="60"/>
        <w:rPr>
          <w:b/>
        </w:rPr>
      </w:pPr>
      <w:r w:rsidRPr="008946B0">
        <w:rPr>
          <w:b/>
        </w:rPr>
        <w:t>Task3: technical feasibility for operating the successor system in part of the 1900-1920 MHz frequency band</w:t>
      </w:r>
    </w:p>
    <w:p w14:paraId="7B4B3AD0" w14:textId="77777777" w:rsidR="00AF0D5E" w:rsidRPr="008946B0" w:rsidRDefault="00AF0D5E" w:rsidP="00AF0D5E">
      <w:pPr>
        <w:spacing w:before="240" w:after="60" w:line="240" w:lineRule="auto"/>
        <w:jc w:val="both"/>
        <w:rPr>
          <w:rFonts w:eastAsia="Calibri"/>
          <w:szCs w:val="22"/>
          <w:lang w:val="en-GB"/>
        </w:rPr>
      </w:pPr>
      <w:r w:rsidRPr="008946B0">
        <w:rPr>
          <w:rFonts w:eastAsia="Calibri"/>
          <w:szCs w:val="22"/>
          <w:lang w:val="en-GB"/>
        </w:rPr>
        <w:t>The 1900-1910 MHz frequency band is feasible for FRMCS, provided that the following conditions are met.</w:t>
      </w:r>
    </w:p>
    <w:p w14:paraId="101C48B5" w14:textId="2CD0A4E0" w:rsidR="00AF0D5E" w:rsidRPr="008946B0" w:rsidRDefault="00AF0D5E" w:rsidP="00AF0D5E">
      <w:pPr>
        <w:spacing w:before="240" w:after="60" w:line="240" w:lineRule="auto"/>
        <w:jc w:val="both"/>
        <w:rPr>
          <w:rFonts w:eastAsia="Calibri"/>
          <w:szCs w:val="22"/>
          <w:lang w:val="en-GB"/>
        </w:rPr>
      </w:pPr>
      <w:r w:rsidRPr="008946B0">
        <w:rPr>
          <w:lang w:val="en-GB"/>
        </w:rPr>
        <w:t xml:space="preserve">1. FRMCS BS shall ensure coexistence with ECS BS receiving above 1920 MHz while ensuring an efficient use of spectrum. </w:t>
      </w:r>
      <w:r w:rsidR="00E44181" w:rsidRPr="00E44181">
        <w:rPr>
          <w:lang w:val="en-GB"/>
        </w:rPr>
        <w:t xml:space="preserve">For uncoordinated deployment, the BEM for FRMCS BS will assume </w:t>
      </w:r>
      <w:r w:rsidR="00E44181" w:rsidRPr="00E44181">
        <w:rPr>
          <w:rFonts w:eastAsia="Calibri"/>
          <w:szCs w:val="22"/>
          <w:lang w:val="en-GB"/>
        </w:rPr>
        <w:t xml:space="preserve">that ECS BS have enhanced selectivity </w:t>
      </w:r>
      <w:r w:rsidR="00E44181" w:rsidRPr="00E44181">
        <w:rPr>
          <w:lang w:val="en-GB"/>
        </w:rPr>
        <w:t>compared to the current Harmonised European Standards. This would facilitate coexistence with FRMCS BS transmitting up to 65 dBm e.i.r.p. w</w:t>
      </w:r>
      <w:r w:rsidRPr="008946B0">
        <w:rPr>
          <w:rFonts w:eastAsia="Calibri"/>
          <w:szCs w:val="22"/>
          <w:lang w:val="en-GB"/>
        </w:rPr>
        <w:t xml:space="preserve">ith the aim of having a future-proof regulation and allowing macro coverage. </w:t>
      </w:r>
      <w:r w:rsidR="00E44181">
        <w:rPr>
          <w:lang w:val="en-GB"/>
        </w:rPr>
        <w:t>Current</w:t>
      </w:r>
      <w:r w:rsidRPr="008946B0">
        <w:rPr>
          <w:lang w:val="en-GB"/>
        </w:rPr>
        <w:t xml:space="preserve"> ECS BS located near an FRMCS radio site may need to be adapted, in such a way that they do not suffer interference from FRMCS. In such case, additional mitigation techniques would be needed, such as the upgrade of the ECS BS selectivity or on a case-by-case basis adjustment of antenna directivity, azimuth, tilt, etc. of the FRMCS and/or ECS BS</w:t>
      </w:r>
      <w:r w:rsidR="00E44181" w:rsidRPr="00E44181">
        <w:rPr>
          <w:rStyle w:val="FootnoteReference"/>
          <w:lang w:val="en-GB"/>
        </w:rPr>
        <w:footnoteReference w:id="26"/>
      </w:r>
      <w:r w:rsidRPr="008946B0">
        <w:rPr>
          <w:lang w:val="en-GB"/>
        </w:rPr>
        <w:t>.</w:t>
      </w:r>
    </w:p>
    <w:p w14:paraId="281E0712" w14:textId="631240D7" w:rsidR="00AF0D5E" w:rsidRPr="008946B0" w:rsidRDefault="00AF0D5E" w:rsidP="00AF0D5E">
      <w:pPr>
        <w:spacing w:before="240" w:after="60" w:line="240" w:lineRule="auto"/>
        <w:jc w:val="both"/>
        <w:rPr>
          <w:rFonts w:eastAsia="Calibri"/>
          <w:szCs w:val="22"/>
          <w:lang w:val="en-GB"/>
        </w:rPr>
      </w:pPr>
      <w:r w:rsidRPr="008946B0">
        <w:rPr>
          <w:rFonts w:eastAsia="Calibri"/>
          <w:szCs w:val="22"/>
          <w:lang w:val="en-GB"/>
        </w:rPr>
        <w:t>The improvement of the ECS selectivity for those ECS BS near the railway tracks can be achieved by either the usage of new radio units of ECS BS or by adding external filter to existing radio units operating with passive antenna systems. Enhanced selectivity should be included (potentially as a specific receiver class) in the relevant ECS BS Harmonised European Standards so that newly introduced products placed on the market based on this update natively fulfil this requirement.</w:t>
      </w:r>
    </w:p>
    <w:p w14:paraId="230203AD" w14:textId="4E4E540B" w:rsidR="00AF0D5E" w:rsidRPr="008946B0" w:rsidRDefault="00AF0D5E" w:rsidP="00AF0D5E">
      <w:pPr>
        <w:spacing w:before="240" w:after="60" w:line="240" w:lineRule="auto"/>
        <w:jc w:val="both"/>
        <w:rPr>
          <w:rFonts w:eastAsia="Calibri"/>
          <w:szCs w:val="22"/>
          <w:lang w:val="en-GB"/>
        </w:rPr>
      </w:pPr>
      <w:r w:rsidRPr="008946B0">
        <w:rPr>
          <w:rFonts w:eastAsia="Calibri"/>
          <w:szCs w:val="22"/>
          <w:lang w:val="en-GB"/>
        </w:rPr>
        <w:t>The BEM for FRMCS BS will assume ECS BS with enhanced selectivity.</w:t>
      </w:r>
      <w:r w:rsidRPr="008946B0">
        <w:rPr>
          <w:lang w:val="en-GB"/>
        </w:rPr>
        <w:t xml:space="preserve"> In order to ensure that the ECS operators have enough time to adapt the concerned radio sites, they should have, sufficiently far in advance, information on the rollout of a new FRMCS BS in 1900-1910 MHz.</w:t>
      </w:r>
    </w:p>
    <w:p w14:paraId="1F53B7ED" w14:textId="77777777" w:rsidR="00AF0D5E" w:rsidRPr="008946B0" w:rsidRDefault="00AF0D5E" w:rsidP="00AF0D5E">
      <w:pPr>
        <w:spacing w:before="240" w:after="60" w:line="240" w:lineRule="auto"/>
        <w:jc w:val="both"/>
        <w:rPr>
          <w:lang w:val="en-GB"/>
        </w:rPr>
      </w:pPr>
      <w:r w:rsidRPr="008946B0">
        <w:rPr>
          <w:lang w:val="en-GB"/>
        </w:rPr>
        <w:t>The BEM for FRMCS will include one channel of 10 MHz.</w:t>
      </w:r>
    </w:p>
    <w:p w14:paraId="69C3BBCA" w14:textId="4525A978" w:rsidR="00AF0D5E" w:rsidRPr="008946B0" w:rsidRDefault="00AF0D5E" w:rsidP="00AF0D5E">
      <w:pPr>
        <w:pStyle w:val="FootnoteText"/>
        <w:spacing w:before="240" w:after="60" w:line="240" w:lineRule="auto"/>
        <w:jc w:val="both"/>
        <w:rPr>
          <w:lang w:val="en-GB"/>
        </w:rPr>
      </w:pPr>
      <w:r w:rsidRPr="008946B0">
        <w:rPr>
          <w:rFonts w:eastAsia="Calibri"/>
          <w:szCs w:val="22"/>
          <w:lang w:val="en-GB"/>
        </w:rPr>
        <w:t>2. FRMCS high-power cab-radios transmitting up to 31 dBm (output power)</w:t>
      </w:r>
      <w:r w:rsidRPr="008946B0">
        <w:rPr>
          <w:lang w:val="en-GB"/>
        </w:rPr>
        <w:t xml:space="preserve"> </w:t>
      </w:r>
      <w:r w:rsidRPr="008946B0">
        <w:rPr>
          <w:rFonts w:eastAsia="Calibri"/>
          <w:szCs w:val="22"/>
          <w:lang w:val="en-GB"/>
        </w:rPr>
        <w:t xml:space="preserve">can be allowed in 1900-1910 MHz provided that UL power control is activated, </w:t>
      </w:r>
      <w:r w:rsidRPr="008946B0">
        <w:rPr>
          <w:lang w:val="en-GB"/>
        </w:rPr>
        <w:t>and that FRMS cab-radios are compliant with an ACLR of 37 dB and 3GPP LTE/NR spectrum emission mask</w:t>
      </w:r>
      <w:r w:rsidRPr="008946B0">
        <w:rPr>
          <w:rFonts w:eastAsia="Calibri"/>
          <w:szCs w:val="22"/>
          <w:lang w:val="en-GB"/>
        </w:rPr>
        <w:t>.</w:t>
      </w:r>
    </w:p>
    <w:p w14:paraId="1508132C" w14:textId="58464048" w:rsidR="00AF0D5E" w:rsidRPr="008946B0" w:rsidRDefault="00AF0D5E" w:rsidP="00AF0D5E">
      <w:pPr>
        <w:spacing w:before="240" w:after="60" w:line="240" w:lineRule="auto"/>
        <w:jc w:val="both"/>
        <w:rPr>
          <w:rFonts w:eastAsia="Calibri"/>
          <w:szCs w:val="22"/>
          <w:lang w:val="en-GB"/>
        </w:rPr>
      </w:pPr>
      <w:r w:rsidRPr="008946B0">
        <w:rPr>
          <w:rFonts w:eastAsia="Calibri"/>
          <w:szCs w:val="22"/>
          <w:lang w:val="en-GB"/>
        </w:rPr>
        <w:t>3. FRMCS cab-radios shall be robust against adjacent emissions, including ECS BS below 1880 MHz and aerial UE using ECS above 1920 MHz. Depending on the possible introduction of governmental UAS in 1880-1920 MHz, ETSI shall take the results of the studies into account when specifying the Harmonised European Standard for RMR cab-radios.</w:t>
      </w:r>
    </w:p>
    <w:p w14:paraId="71D429D7" w14:textId="77777777" w:rsidR="00AF0D5E" w:rsidRPr="008946B0" w:rsidRDefault="00AF0D5E" w:rsidP="00AF0D5E">
      <w:pPr>
        <w:pStyle w:val="ECCParagraph"/>
        <w:spacing w:before="240" w:after="60"/>
      </w:pPr>
      <w:r w:rsidRPr="008946B0">
        <w:rPr>
          <w:rFonts w:eastAsia="Calibri"/>
          <w:szCs w:val="22"/>
        </w:rPr>
        <w:t>4. FRMCS BS shall be robust against adjacent emissions, including ECS BS below 1880 MHz.</w:t>
      </w:r>
    </w:p>
    <w:p w14:paraId="73561969" w14:textId="77777777" w:rsidR="00AF0D5E" w:rsidRPr="008946B0" w:rsidRDefault="00AF0D5E" w:rsidP="00AF0D5E">
      <w:pPr>
        <w:pStyle w:val="ECCParagraph"/>
        <w:spacing w:before="240" w:after="60"/>
      </w:pPr>
      <w:r w:rsidRPr="008946B0">
        <w:rPr>
          <w:rFonts w:eastAsia="Calibri"/>
          <w:szCs w:val="22"/>
        </w:rPr>
        <w:t xml:space="preserve">5. </w:t>
      </w:r>
      <w:r w:rsidRPr="008946B0">
        <w:rPr>
          <w:rFonts w:eastAsia="Calibri"/>
          <w:szCs w:val="20"/>
        </w:rPr>
        <w:t xml:space="preserve">With regard to adjacent compatibility between DECT (1880-1900 MHz) and FRMCS, it is understood that FRMCS and DECT, adjacent to each other, will generally coexist. Where the DECT usage density is not high, the Dynamic Channel Selection (DCS) algorithm implemented in DECT would then allow the communication to use one of the DECT channels that do not experience interference. In some worst case scenarios, </w:t>
      </w:r>
      <w:r w:rsidRPr="008946B0">
        <w:t>measures to enable coexistence</w:t>
      </w:r>
      <w:r w:rsidRPr="008946B0">
        <w:rPr>
          <w:rFonts w:eastAsia="Calibri"/>
          <w:szCs w:val="20"/>
        </w:rPr>
        <w:t xml:space="preserve"> between DECT</w:t>
      </w:r>
      <w:r w:rsidRPr="008946B0">
        <w:t xml:space="preserve"> in 1880-1900 MHz and RMR in 1900-1910 MHz</w:t>
      </w:r>
      <w:r w:rsidRPr="008946B0">
        <w:rPr>
          <w:rFonts w:eastAsia="Calibri"/>
          <w:szCs w:val="20"/>
        </w:rPr>
        <w:t xml:space="preserve"> might be needed, when information on DECT local deployment is made available.</w:t>
      </w:r>
    </w:p>
    <w:p w14:paraId="4919B82C" w14:textId="77777777" w:rsidR="00AF0D5E" w:rsidRPr="008946B0" w:rsidRDefault="00AF0D5E" w:rsidP="00AF0D5E">
      <w:pPr>
        <w:pStyle w:val="ECCParagraph"/>
        <w:spacing w:before="240" w:after="60"/>
        <w:rPr>
          <w:b/>
        </w:rPr>
      </w:pPr>
      <w:r w:rsidRPr="008946B0">
        <w:rPr>
          <w:b/>
        </w:rPr>
        <w:t>Task 3bis: if necessary, technical feasibility for operating the successor system in another frequency band</w:t>
      </w:r>
    </w:p>
    <w:p w14:paraId="7ABB4087" w14:textId="77777777" w:rsidR="00AF0D5E" w:rsidRPr="008946B0" w:rsidRDefault="00AF0D5E" w:rsidP="00AF0D5E">
      <w:pPr>
        <w:spacing w:before="240" w:after="60" w:line="240" w:lineRule="auto"/>
        <w:jc w:val="both"/>
        <w:rPr>
          <w:rFonts w:eastAsia="Calibri"/>
          <w:szCs w:val="22"/>
          <w:lang w:val="en-GB"/>
        </w:rPr>
      </w:pPr>
      <w:r w:rsidRPr="008946B0">
        <w:rPr>
          <w:rFonts w:eastAsia="Calibri"/>
          <w:szCs w:val="22"/>
          <w:lang w:val="en-GB"/>
        </w:rPr>
        <w:t xml:space="preserve">The use of the 2290-2300 MHz frequency band for FRMCS raises several technical challenges to enable unsynchronised operation together with ECS TDD networks in the 2.3 GHz band. The required geographical protection distances between unsynchronised base stations are expected to be so large that this is not considered a realistic option for FRMCS deployment. The possible implications of a synchronised operation between FRMCS and ECS (which also includes sharing the same UL and DL frame structure) has not been studied. Considering that railways anticipate heavy UL traffic (see </w:t>
      </w:r>
      <w:r w:rsidRPr="008946B0">
        <w:rPr>
          <w:rFonts w:eastAsia="Calibri"/>
          <w:szCs w:val="22"/>
          <w:lang w:val="en-GB"/>
        </w:rPr>
        <w:fldChar w:fldCharType="begin"/>
      </w:r>
      <w:r w:rsidRPr="008946B0">
        <w:rPr>
          <w:rFonts w:eastAsia="Calibri"/>
          <w:szCs w:val="22"/>
          <w:lang w:val="en-GB"/>
        </w:rPr>
        <w:instrText xml:space="preserve"> REF _Ref31277520 \h </w:instrText>
      </w:r>
      <w:r w:rsidRPr="008946B0">
        <w:rPr>
          <w:rFonts w:eastAsia="Calibri"/>
          <w:szCs w:val="22"/>
          <w:lang w:val="en-GB"/>
        </w:rPr>
      </w:r>
      <w:r w:rsidRPr="008946B0">
        <w:rPr>
          <w:rFonts w:eastAsia="Calibri"/>
          <w:szCs w:val="22"/>
          <w:lang w:val="en-GB"/>
        </w:rPr>
        <w:fldChar w:fldCharType="separate"/>
      </w:r>
      <w:r w:rsidRPr="008946B0">
        <w:rPr>
          <w:lang w:val="en-GB"/>
        </w:rPr>
        <w:t>Table 5</w:t>
      </w:r>
      <w:r w:rsidRPr="008946B0">
        <w:rPr>
          <w:rFonts w:eastAsia="Calibri"/>
          <w:szCs w:val="22"/>
          <w:lang w:val="en-GB"/>
        </w:rPr>
        <w:fldChar w:fldCharType="end"/>
      </w:r>
      <w:r w:rsidRPr="008946B0">
        <w:rPr>
          <w:rFonts w:eastAsia="Calibri"/>
          <w:szCs w:val="22"/>
          <w:lang w:val="en-GB"/>
        </w:rPr>
        <w:t>), it is unlikely that the required synchronisation of compatible TDD frame configurations between RMR and neighbouring ECS would be achieved.</w:t>
      </w:r>
    </w:p>
    <w:p w14:paraId="7CA7855B" w14:textId="77777777" w:rsidR="00AF0D5E" w:rsidRPr="008946B0" w:rsidRDefault="00AF0D5E" w:rsidP="00AF0D5E">
      <w:pPr>
        <w:spacing w:before="240" w:after="60" w:line="240" w:lineRule="auto"/>
        <w:jc w:val="both"/>
        <w:rPr>
          <w:rFonts w:eastAsia="Calibri"/>
          <w:szCs w:val="22"/>
          <w:lang w:val="en-GB"/>
        </w:rPr>
      </w:pPr>
      <w:r w:rsidRPr="008946B0">
        <w:rPr>
          <w:rFonts w:eastAsia="Calibri"/>
          <w:szCs w:val="22"/>
          <w:lang w:val="en-GB"/>
        </w:rPr>
        <w:t>The feasibility of FRMCS high-power cab-radios in terms of coexistence with ECS as well as of FRMCS coexistence with other applications in or adjacent to the band would require further study.</w:t>
      </w:r>
    </w:p>
    <w:p w14:paraId="41B40040" w14:textId="77777777" w:rsidR="00AF0D5E" w:rsidRPr="008946B0" w:rsidRDefault="00AF0D5E" w:rsidP="00AF0D5E">
      <w:pPr>
        <w:spacing w:before="240" w:after="60" w:line="240" w:lineRule="auto"/>
        <w:jc w:val="both"/>
        <w:rPr>
          <w:rFonts w:eastAsia="Calibri"/>
          <w:szCs w:val="22"/>
          <w:lang w:val="en-GB"/>
        </w:rPr>
      </w:pPr>
      <w:r w:rsidRPr="008946B0">
        <w:rPr>
          <w:rFonts w:eastAsia="Calibri"/>
          <w:szCs w:val="22"/>
          <w:lang w:val="en-GB"/>
        </w:rPr>
        <w:t>When considering ECC Report 172, coexistence of FRMCS with existing applications in and adjacent to the band 2290-2300 MHz as documented in the synthesis of the answers to the CEPT questionnaire on the 2290-2400 MHz range</w:t>
      </w:r>
      <w:r w:rsidRPr="008946B0">
        <w:rPr>
          <w:rStyle w:val="FootnoteReference"/>
          <w:rFonts w:eastAsia="Calibri"/>
          <w:szCs w:val="22"/>
          <w:lang w:val="en-GB"/>
        </w:rPr>
        <w:footnoteReference w:id="27"/>
      </w:r>
      <w:r w:rsidRPr="008946B0">
        <w:rPr>
          <w:rFonts w:eastAsia="Calibri"/>
          <w:szCs w:val="22"/>
          <w:lang w:val="en-GB"/>
        </w:rPr>
        <w:t>, is challenging and would also require further studies.</w:t>
      </w:r>
    </w:p>
    <w:p w14:paraId="317A6B65" w14:textId="27E12667" w:rsidR="00AF0D5E" w:rsidRPr="008946B0" w:rsidRDefault="00AF0D5E" w:rsidP="00AF0D5E">
      <w:pPr>
        <w:spacing w:before="240" w:after="60" w:line="240" w:lineRule="auto"/>
        <w:jc w:val="both"/>
        <w:rPr>
          <w:lang w:val="en-GB"/>
        </w:rPr>
      </w:pPr>
      <w:r w:rsidRPr="008946B0">
        <w:rPr>
          <w:rFonts w:eastAsia="Calibri"/>
          <w:szCs w:val="22"/>
          <w:lang w:val="en-GB"/>
        </w:rPr>
        <w:t>The overall conclusion is that the 2290-2300 MHz frequency band is not a preferred option for identifying appropriate complementary spectrum for RMR.</w:t>
      </w:r>
    </w:p>
    <w:p w14:paraId="4076DADB" w14:textId="77777777" w:rsidR="00AF0D5E" w:rsidRPr="008946B0" w:rsidRDefault="00AF0D5E" w:rsidP="00AF0D5E">
      <w:pPr>
        <w:pStyle w:val="ECCParagraph"/>
        <w:spacing w:before="240" w:after="60"/>
        <w:rPr>
          <w:b/>
        </w:rPr>
      </w:pPr>
      <w:r w:rsidRPr="008946B0">
        <w:rPr>
          <w:b/>
        </w:rPr>
        <w:t>Task 4: technical feasibility and scenarios of using commercial mobile networks</w:t>
      </w:r>
    </w:p>
    <w:p w14:paraId="0A86FC35" w14:textId="73AFAF20" w:rsidR="003A7B3C" w:rsidRPr="008946B0" w:rsidRDefault="003A7B3C" w:rsidP="003A7B3C">
      <w:pPr>
        <w:spacing w:before="240" w:after="60" w:line="240" w:lineRule="auto"/>
        <w:jc w:val="both"/>
        <w:rPr>
          <w:rFonts w:eastAsia="Calibri"/>
          <w:szCs w:val="22"/>
          <w:lang w:val="en-GB"/>
        </w:rPr>
      </w:pPr>
      <w:r w:rsidRPr="008946B0">
        <w:rPr>
          <w:rFonts w:eastAsia="Calibri"/>
          <w:szCs w:val="22"/>
          <w:lang w:val="en-GB"/>
        </w:rPr>
        <w:t>From a technical point of view, the use of commercial mobile networks for critical railway applications is possible under the condition that the relevant parts of the MNO’s network fulfil the stringent interoperability, coverage, availability and QoS requirements of railways (including prioritisation and pre-emption). Use of a commercial mobile network would need to be specified and tested under real-life conditions to ensure those railway requirements are met. To date, MNO processes do not cover railway safety-related and interoperability assurance, which currently requires extensive certification.</w:t>
      </w:r>
    </w:p>
    <w:p w14:paraId="7786233D" w14:textId="5409F249" w:rsidR="003A7B3C" w:rsidRPr="008946B0" w:rsidRDefault="003A7B3C" w:rsidP="003A7B3C">
      <w:pPr>
        <w:spacing w:before="240" w:after="60" w:line="240" w:lineRule="auto"/>
        <w:jc w:val="both"/>
        <w:rPr>
          <w:rFonts w:eastAsia="Calibri"/>
          <w:szCs w:val="22"/>
          <w:lang w:val="en-GB"/>
        </w:rPr>
      </w:pPr>
      <w:r w:rsidRPr="008946B0">
        <w:rPr>
          <w:rFonts w:eastAsia="Calibri"/>
          <w:szCs w:val="22"/>
          <w:lang w:val="en-GB"/>
        </w:rPr>
        <w:t>Some elements would require further exploration with respect to railway safety, certification and validation. Key issues are MNO's legal obligations, liabilities and risk assessment. In addition, the European railway regulatory framework must be fulfilled to guarantee interoperability.</w:t>
      </w:r>
    </w:p>
    <w:p w14:paraId="392D6A87" w14:textId="38372D90" w:rsidR="003A7B3C" w:rsidRPr="008946B0" w:rsidRDefault="003A7B3C" w:rsidP="003A7B3C">
      <w:pPr>
        <w:spacing w:before="240" w:after="60" w:line="240" w:lineRule="auto"/>
        <w:jc w:val="both"/>
        <w:rPr>
          <w:rFonts w:eastAsia="Calibri"/>
          <w:szCs w:val="22"/>
          <w:lang w:val="en-GB"/>
        </w:rPr>
      </w:pPr>
      <w:r w:rsidRPr="008946B0">
        <w:rPr>
          <w:rFonts w:eastAsia="Calibri"/>
          <w:szCs w:val="22"/>
          <w:lang w:val="en-GB"/>
        </w:rPr>
        <w:t>MNO networks that do not fulfil railway requirements might be used for lines with different requirements and non-critical railway communications. Use of commercial mobile networks can also be envisaged to offer some flexibility in providing additional capacity to the spectrum harmonised for railway interoperability.</w:t>
      </w:r>
    </w:p>
    <w:p w14:paraId="1E5CA293" w14:textId="77777777" w:rsidR="003A7B3C" w:rsidRPr="008946B0" w:rsidRDefault="003A7B3C" w:rsidP="003A7B3C">
      <w:pPr>
        <w:spacing w:before="240" w:after="60" w:line="240" w:lineRule="auto"/>
        <w:jc w:val="both"/>
        <w:rPr>
          <w:rFonts w:eastAsia="Calibri"/>
          <w:szCs w:val="22"/>
          <w:lang w:val="en-GB"/>
        </w:rPr>
      </w:pPr>
      <w:r w:rsidRPr="008946B0">
        <w:rPr>
          <w:rFonts w:eastAsia="Calibri"/>
          <w:szCs w:val="22"/>
          <w:lang w:val="en-GB"/>
        </w:rPr>
        <w:t>For the retention of the railway interoperability, the EIRENE SRS and CCS TSI should be amended to make the use of commercial mobile networks possible.</w:t>
      </w:r>
    </w:p>
    <w:p w14:paraId="1F9AA60B" w14:textId="77777777" w:rsidR="00DE6CC8" w:rsidRPr="008946B0" w:rsidRDefault="00DE6CC8">
      <w:pPr>
        <w:pStyle w:val="ECCParagraph"/>
        <w:spacing w:before="240" w:after="60"/>
      </w:pPr>
    </w:p>
    <w:p w14:paraId="6B28F4BA" w14:textId="77777777" w:rsidR="00DE6CC8" w:rsidRPr="008946B0" w:rsidRDefault="00DE6CC8">
      <w:pPr>
        <w:pStyle w:val="ECCParagraph"/>
        <w:spacing w:before="240" w:after="60"/>
        <w:sectPr w:rsidR="00DE6CC8" w:rsidRPr="008946B0">
          <w:headerReference w:type="even" r:id="rId20"/>
          <w:headerReference w:type="default" r:id="rId21"/>
          <w:headerReference w:type="first" r:id="rId22"/>
          <w:pgSz w:w="11907" w:h="16840"/>
          <w:pgMar w:top="1440" w:right="1134" w:bottom="1440" w:left="1134" w:header="709" w:footer="709" w:gutter="0"/>
          <w:cols w:space="708"/>
          <w:docGrid w:linePitch="360"/>
        </w:sectPr>
      </w:pPr>
    </w:p>
    <w:p w14:paraId="4C66EBBC" w14:textId="37DBC5A7" w:rsidR="001815E1" w:rsidRPr="008946B0" w:rsidRDefault="001815E1" w:rsidP="001815E1">
      <w:pPr>
        <w:pStyle w:val="ECCAnnexheading1"/>
        <w:ind w:left="567"/>
      </w:pPr>
      <w:bookmarkStart w:id="436" w:name="_Toc42722882"/>
      <w:r w:rsidRPr="008946B0">
        <w:t xml:space="preserve">cept </w:t>
      </w:r>
      <w:r w:rsidR="00047A6E" w:rsidRPr="008946B0">
        <w:t>M</w:t>
      </w:r>
      <w:r w:rsidRPr="008946B0">
        <w:t>andate</w:t>
      </w:r>
      <w:bookmarkEnd w:id="436"/>
    </w:p>
    <w:p w14:paraId="236E69DC" w14:textId="77777777" w:rsidR="001815E1" w:rsidRPr="008946B0" w:rsidRDefault="001815E1" w:rsidP="001815E1">
      <w:pPr>
        <w:spacing w:before="71"/>
        <w:ind w:right="112"/>
        <w:jc w:val="right"/>
        <w:rPr>
          <w:sz w:val="16"/>
          <w:lang w:val="en-GB"/>
        </w:rPr>
      </w:pPr>
      <w:r w:rsidRPr="008946B0">
        <w:rPr>
          <w:noProof/>
          <w:lang w:val="fr-FR" w:eastAsia="fr-FR"/>
        </w:rPr>
        <w:drawing>
          <wp:anchor distT="0" distB="0" distL="0" distR="0" simplePos="0" relativeHeight="251656704" behindDoc="0" locked="0" layoutInCell="1" allowOverlap="1" wp14:anchorId="4F027F7A" wp14:editId="2DE13CB2">
            <wp:simplePos x="0" y="0"/>
            <wp:positionH relativeFrom="page">
              <wp:posOffset>5435600</wp:posOffset>
            </wp:positionH>
            <wp:positionV relativeFrom="paragraph">
              <wp:posOffset>51484</wp:posOffset>
            </wp:positionV>
            <wp:extent cx="165100" cy="114300"/>
            <wp:effectExtent l="0" t="0" r="0" b="0"/>
            <wp:wrapNone/>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3" cstate="print"/>
                    <a:stretch>
                      <a:fillRect/>
                    </a:stretch>
                  </pic:blipFill>
                  <pic:spPr>
                    <a:xfrm>
                      <a:off x="0" y="0"/>
                      <a:ext cx="165100" cy="114300"/>
                    </a:xfrm>
                    <a:prstGeom prst="rect">
                      <a:avLst/>
                    </a:prstGeom>
                  </pic:spPr>
                </pic:pic>
              </a:graphicData>
            </a:graphic>
          </wp:anchor>
        </w:drawing>
      </w:r>
      <w:r w:rsidRPr="008946B0">
        <w:rPr>
          <w:sz w:val="16"/>
          <w:lang w:val="en-GB"/>
        </w:rPr>
        <w:t>Ref. Ares(2018)3947109 - 25/07/2018</w:t>
      </w:r>
    </w:p>
    <w:p w14:paraId="5DDFD93D" w14:textId="77777777" w:rsidR="001815E1" w:rsidRPr="008946B0" w:rsidRDefault="001815E1" w:rsidP="001815E1">
      <w:pPr>
        <w:pStyle w:val="BodyText"/>
        <w:spacing w:before="2"/>
        <w:rPr>
          <w:rFonts w:ascii="Arial"/>
          <w:sz w:val="16"/>
        </w:rPr>
      </w:pPr>
    </w:p>
    <w:tbl>
      <w:tblPr>
        <w:tblW w:w="0" w:type="auto"/>
        <w:tblInd w:w="1154" w:type="dxa"/>
        <w:tblLayout w:type="fixed"/>
        <w:tblCellMar>
          <w:left w:w="0" w:type="dxa"/>
          <w:right w:w="0" w:type="dxa"/>
        </w:tblCellMar>
        <w:tblLook w:val="01E0" w:firstRow="1" w:lastRow="1" w:firstColumn="1" w:lastColumn="1" w:noHBand="0" w:noVBand="0"/>
      </w:tblPr>
      <w:tblGrid>
        <w:gridCol w:w="2072"/>
        <w:gridCol w:w="5393"/>
      </w:tblGrid>
      <w:tr w:rsidR="001815E1" w:rsidRPr="008946B0" w14:paraId="47764C11" w14:textId="77777777" w:rsidTr="001815E1">
        <w:trPr>
          <w:trHeight w:val="1008"/>
        </w:trPr>
        <w:tc>
          <w:tcPr>
            <w:tcW w:w="2072" w:type="dxa"/>
          </w:tcPr>
          <w:p w14:paraId="6F9DDB77" w14:textId="77777777" w:rsidR="001815E1" w:rsidRPr="008946B0" w:rsidRDefault="001815E1" w:rsidP="001815E1">
            <w:pPr>
              <w:pStyle w:val="TableParagraph"/>
              <w:ind w:left="200"/>
              <w:rPr>
                <w:rFonts w:ascii="Arial"/>
                <w:sz w:val="20"/>
              </w:rPr>
            </w:pPr>
            <w:r w:rsidRPr="008946B0">
              <w:rPr>
                <w:rFonts w:ascii="Arial"/>
                <w:noProof/>
                <w:sz w:val="20"/>
                <w:lang w:val="fr-FR" w:eastAsia="fr-FR" w:bidi="ar-SA"/>
              </w:rPr>
              <w:drawing>
                <wp:inline distT="0" distB="0" distL="0" distR="0" wp14:anchorId="34E2362E" wp14:editId="6545616B">
                  <wp:extent cx="1079116" cy="576072"/>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4" cstate="print"/>
                          <a:stretch>
                            <a:fillRect/>
                          </a:stretch>
                        </pic:blipFill>
                        <pic:spPr>
                          <a:xfrm>
                            <a:off x="0" y="0"/>
                            <a:ext cx="1079116" cy="576072"/>
                          </a:xfrm>
                          <a:prstGeom prst="rect">
                            <a:avLst/>
                          </a:prstGeom>
                        </pic:spPr>
                      </pic:pic>
                    </a:graphicData>
                  </a:graphic>
                </wp:inline>
              </w:drawing>
            </w:r>
          </w:p>
        </w:tc>
        <w:tc>
          <w:tcPr>
            <w:tcW w:w="5393" w:type="dxa"/>
          </w:tcPr>
          <w:p w14:paraId="15F94A10" w14:textId="77777777" w:rsidR="001815E1" w:rsidRPr="008946B0" w:rsidRDefault="001815E1" w:rsidP="001815E1">
            <w:pPr>
              <w:pStyle w:val="TableParagraph"/>
              <w:spacing w:line="274" w:lineRule="exact"/>
              <w:ind w:left="167"/>
              <w:rPr>
                <w:rFonts w:ascii="Arial"/>
                <w:sz w:val="24"/>
              </w:rPr>
            </w:pPr>
            <w:r w:rsidRPr="008946B0">
              <w:rPr>
                <w:rFonts w:ascii="Arial"/>
                <w:sz w:val="24"/>
              </w:rPr>
              <w:t>EUROPEAN COMMISSION</w:t>
            </w:r>
          </w:p>
          <w:p w14:paraId="179AF599" w14:textId="77777777" w:rsidR="001815E1" w:rsidRPr="008946B0" w:rsidRDefault="001815E1" w:rsidP="001815E1">
            <w:pPr>
              <w:pStyle w:val="TableParagraph"/>
              <w:ind w:left="213"/>
              <w:rPr>
                <w:rFonts w:ascii="Arial"/>
                <w:sz w:val="16"/>
              </w:rPr>
            </w:pPr>
            <w:r w:rsidRPr="008946B0">
              <w:rPr>
                <w:rFonts w:ascii="Arial"/>
                <w:sz w:val="16"/>
              </w:rPr>
              <w:t>Communications Networks Content &amp; Technology Directorate-General</w:t>
            </w:r>
          </w:p>
          <w:p w14:paraId="2ECCA163" w14:textId="77777777" w:rsidR="001815E1" w:rsidRPr="008946B0" w:rsidRDefault="001815E1" w:rsidP="001815E1">
            <w:pPr>
              <w:pStyle w:val="TableParagraph"/>
              <w:spacing w:before="11"/>
              <w:ind w:left="0"/>
              <w:rPr>
                <w:rFonts w:ascii="Arial"/>
                <w:sz w:val="15"/>
              </w:rPr>
            </w:pPr>
          </w:p>
          <w:p w14:paraId="7B580C48" w14:textId="77777777" w:rsidR="001815E1" w:rsidRPr="008946B0" w:rsidRDefault="001815E1" w:rsidP="001815E1">
            <w:pPr>
              <w:pStyle w:val="TableParagraph"/>
              <w:spacing w:line="183" w:lineRule="exact"/>
              <w:ind w:left="213"/>
              <w:rPr>
                <w:rFonts w:ascii="Arial"/>
                <w:sz w:val="16"/>
              </w:rPr>
            </w:pPr>
            <w:r w:rsidRPr="008946B0">
              <w:rPr>
                <w:rFonts w:ascii="Arial"/>
                <w:sz w:val="16"/>
              </w:rPr>
              <w:t>Electronic Communications Networks &amp; Services</w:t>
            </w:r>
          </w:p>
          <w:p w14:paraId="7BDC24A2" w14:textId="77777777" w:rsidR="001815E1" w:rsidRPr="008946B0" w:rsidRDefault="001815E1" w:rsidP="001815E1">
            <w:pPr>
              <w:pStyle w:val="TableParagraph"/>
              <w:spacing w:line="164" w:lineRule="exact"/>
              <w:ind w:left="213"/>
              <w:rPr>
                <w:rFonts w:ascii="Arial"/>
                <w:b/>
                <w:sz w:val="16"/>
              </w:rPr>
            </w:pPr>
            <w:r w:rsidRPr="008946B0">
              <w:rPr>
                <w:rFonts w:ascii="Arial"/>
                <w:b/>
                <w:sz w:val="16"/>
              </w:rPr>
              <w:t>Spectrum</w:t>
            </w:r>
          </w:p>
        </w:tc>
      </w:tr>
    </w:tbl>
    <w:p w14:paraId="205113B3" w14:textId="77777777" w:rsidR="001815E1" w:rsidRPr="008946B0" w:rsidRDefault="001815E1" w:rsidP="001815E1">
      <w:pPr>
        <w:pStyle w:val="BodyText"/>
        <w:spacing w:before="9"/>
        <w:rPr>
          <w:rFonts w:ascii="Arial"/>
          <w:sz w:val="21"/>
        </w:rPr>
      </w:pPr>
    </w:p>
    <w:p w14:paraId="616D869A" w14:textId="77777777" w:rsidR="001815E1" w:rsidRPr="008946B0" w:rsidRDefault="001815E1" w:rsidP="001815E1">
      <w:pPr>
        <w:pStyle w:val="BodyText"/>
        <w:ind w:left="6450"/>
      </w:pPr>
      <w:r w:rsidRPr="008946B0">
        <w:t>Brussels, 12 July 2018</w:t>
      </w:r>
    </w:p>
    <w:p w14:paraId="41D1B436" w14:textId="77777777" w:rsidR="001815E1" w:rsidRPr="008946B0" w:rsidRDefault="001815E1" w:rsidP="001815E1">
      <w:pPr>
        <w:spacing w:before="2"/>
        <w:ind w:left="6450"/>
        <w:rPr>
          <w:lang w:val="en-GB"/>
        </w:rPr>
      </w:pPr>
      <w:r w:rsidRPr="008946B0">
        <w:rPr>
          <w:lang w:val="en-GB"/>
        </w:rPr>
        <w:t>DG CONNECT/B4</w:t>
      </w:r>
    </w:p>
    <w:p w14:paraId="24FB5588" w14:textId="77777777" w:rsidR="001815E1" w:rsidRPr="008946B0" w:rsidRDefault="001815E1" w:rsidP="001815E1">
      <w:pPr>
        <w:pStyle w:val="BodyText"/>
        <w:spacing w:before="1"/>
        <w:rPr>
          <w:b/>
          <w:sz w:val="20"/>
        </w:rPr>
      </w:pPr>
      <w:r w:rsidRPr="008946B0">
        <w:rPr>
          <w:b/>
          <w:noProof/>
          <w:sz w:val="20"/>
          <w:lang w:val="fr-FR" w:eastAsia="fr-FR" w:bidi="ar-SA"/>
        </w:rPr>
        <mc:AlternateContent>
          <mc:Choice Requires="wps">
            <w:drawing>
              <wp:anchor distT="0" distB="0" distL="0" distR="0" simplePos="0" relativeHeight="251659776" behindDoc="1" locked="0" layoutInCell="1" allowOverlap="1" wp14:anchorId="31B7367D" wp14:editId="5CB23379">
                <wp:simplePos x="0" y="0"/>
                <wp:positionH relativeFrom="page">
                  <wp:posOffset>4408187</wp:posOffset>
                </wp:positionH>
                <wp:positionV relativeFrom="paragraph">
                  <wp:posOffset>264977</wp:posOffset>
                </wp:positionV>
                <wp:extent cx="2388870" cy="571500"/>
                <wp:effectExtent l="8255" t="5080" r="12700" b="13970"/>
                <wp:wrapTopAndBottom/>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571500"/>
                        </a:xfrm>
                        <a:prstGeom prst="rect">
                          <a:avLst/>
                        </a:prstGeom>
                        <a:noFill/>
                        <a:ln w="6097"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9F1D9F0" w14:textId="77777777" w:rsidR="002374ED" w:rsidRDefault="002374ED" w:rsidP="001815E1">
                            <w:pPr>
                              <w:pStyle w:val="BodyText"/>
                              <w:spacing w:before="7"/>
                              <w:rPr>
                                <w:b/>
                                <w:sz w:val="26"/>
                              </w:rPr>
                            </w:pPr>
                          </w:p>
                          <w:p w14:paraId="4E42D5C1" w14:textId="77777777" w:rsidR="002374ED" w:rsidRDefault="002374ED" w:rsidP="001815E1">
                            <w:pPr>
                              <w:ind w:left="499"/>
                              <w:rPr>
                                <w:b/>
                                <w:sz w:val="24"/>
                              </w:rPr>
                            </w:pPr>
                            <w:r>
                              <w:rPr>
                                <w:b/>
                                <w:sz w:val="24"/>
                              </w:rPr>
                              <w:t>INTERNAL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7367D" id="Text Box 26" o:spid="_x0000_s1035" type="#_x0000_t202" style="position:absolute;margin-left:347.1pt;margin-top:20.85pt;width:188.1pt;height:4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" filled="f" strokeweight=".16936mm">
                <v:stroke linestyle="thinThin"/>
                <v:textbox inset="0,0,0,0">
                  <w:txbxContent>
                    <w:p w14:paraId="79F1D9F0" w14:textId="77777777" w:rsidR="002374ED" w:rsidRDefault="002374ED" w:rsidP="001815E1">
                      <w:pPr>
                        <w:pStyle w:val="BodyText"/>
                        <w:spacing w:before="7"/>
                        <w:rPr>
                          <w:b/>
                          <w:sz w:val="26"/>
                        </w:rPr>
                      </w:pPr>
                    </w:p>
                    <w:p w14:paraId="4E42D5C1" w14:textId="77777777" w:rsidR="002374ED" w:rsidRDefault="002374ED" w:rsidP="001815E1">
                      <w:pPr>
                        <w:ind w:left="499"/>
                        <w:rPr>
                          <w:b/>
                          <w:sz w:val="24"/>
                        </w:rPr>
                      </w:pPr>
                      <w:r>
                        <w:rPr>
                          <w:b/>
                          <w:sz w:val="24"/>
                        </w:rPr>
                        <w:t>INTERNAL DOCUMENT</w:t>
                      </w:r>
                    </w:p>
                  </w:txbxContent>
                </v:textbox>
                <w10:wrap type="topAndBottom" anchorx="page"/>
              </v:shape>
            </w:pict>
          </mc:Fallback>
        </mc:AlternateContent>
      </w:r>
    </w:p>
    <w:p w14:paraId="590D1B0C" w14:textId="77777777" w:rsidR="001815E1" w:rsidRPr="008946B0" w:rsidRDefault="001815E1" w:rsidP="001815E1">
      <w:pPr>
        <w:pStyle w:val="BodyText"/>
        <w:rPr>
          <w:b/>
          <w:sz w:val="20"/>
        </w:rPr>
      </w:pPr>
    </w:p>
    <w:p w14:paraId="66D370A0" w14:textId="77777777" w:rsidR="001815E1" w:rsidRPr="008946B0" w:rsidRDefault="001815E1" w:rsidP="001815E1">
      <w:pPr>
        <w:pStyle w:val="BodyText"/>
        <w:spacing w:before="1"/>
        <w:rPr>
          <w:b/>
          <w:sz w:val="19"/>
        </w:rPr>
      </w:pPr>
    </w:p>
    <w:p w14:paraId="58949F16" w14:textId="77777777" w:rsidR="001815E1" w:rsidRPr="008946B0" w:rsidRDefault="001815E1" w:rsidP="001815E1">
      <w:pPr>
        <w:spacing w:before="86"/>
        <w:ind w:left="3093" w:right="2932"/>
        <w:jc w:val="center"/>
        <w:rPr>
          <w:b/>
          <w:sz w:val="32"/>
          <w:lang w:val="en-GB"/>
        </w:rPr>
      </w:pPr>
      <w:r w:rsidRPr="008946B0">
        <w:rPr>
          <w:b/>
          <w:sz w:val="32"/>
          <w:lang w:val="en-GB"/>
        </w:rPr>
        <w:t>RADIO SPECTRUM COMMITTEE</w:t>
      </w:r>
    </w:p>
    <w:p w14:paraId="58A7FD96" w14:textId="77777777" w:rsidR="001815E1" w:rsidRPr="008946B0" w:rsidRDefault="001815E1" w:rsidP="001815E1">
      <w:pPr>
        <w:widowControl w:val="0"/>
        <w:spacing w:before="238"/>
        <w:ind w:left="3093" w:right="2928"/>
        <w:jc w:val="center"/>
        <w:rPr>
          <w:b/>
          <w:sz w:val="28"/>
          <w:lang w:val="en-GB"/>
        </w:rPr>
      </w:pPr>
      <w:r w:rsidRPr="008946B0">
        <w:rPr>
          <w:b/>
          <w:sz w:val="28"/>
          <w:lang w:val="en-GB"/>
        </w:rPr>
        <w:t xml:space="preserve">Working Document </w:t>
      </w:r>
    </w:p>
    <w:p w14:paraId="3FB8413A" w14:textId="77777777" w:rsidR="001815E1" w:rsidRPr="008946B0" w:rsidRDefault="001815E1" w:rsidP="001815E1">
      <w:pPr>
        <w:widowControl w:val="0"/>
        <w:spacing w:before="238"/>
        <w:ind w:left="1440" w:right="2928"/>
        <w:rPr>
          <w:b/>
          <w:bCs/>
          <w:lang w:val="en-GB"/>
        </w:rPr>
      </w:pPr>
      <w:r w:rsidRPr="008946B0">
        <w:rPr>
          <w:b/>
          <w:bCs/>
          <w:lang w:val="en-GB"/>
        </w:rPr>
        <w:t>Subject: Draft Mandate to CEPT on spectrum for the future railway mobile communications</w:t>
      </w:r>
      <w:r w:rsidRPr="008946B0">
        <w:rPr>
          <w:b/>
          <w:bCs/>
          <w:spacing w:val="-1"/>
          <w:lang w:val="en-GB"/>
        </w:rPr>
        <w:t xml:space="preserve"> </w:t>
      </w:r>
      <w:r w:rsidRPr="008946B0">
        <w:rPr>
          <w:b/>
          <w:bCs/>
          <w:lang w:val="en-GB"/>
        </w:rPr>
        <w:t>system.</w:t>
      </w:r>
    </w:p>
    <w:p w14:paraId="1AAB30D4" w14:textId="77777777" w:rsidR="001815E1" w:rsidRPr="008946B0" w:rsidRDefault="001815E1" w:rsidP="001815E1">
      <w:pPr>
        <w:pStyle w:val="BodyText"/>
        <w:spacing w:before="2"/>
        <w:rPr>
          <w:b/>
          <w:sz w:val="20"/>
        </w:rPr>
      </w:pPr>
      <w:r w:rsidRPr="008946B0">
        <w:rPr>
          <w:noProof/>
          <w:lang w:val="fr-FR" w:eastAsia="fr-FR" w:bidi="ar-SA"/>
        </w:rPr>
        <mc:AlternateContent>
          <mc:Choice Requires="wps">
            <w:drawing>
              <wp:anchor distT="0" distB="0" distL="0" distR="0" simplePos="0" relativeHeight="251657728" behindDoc="1" locked="0" layoutInCell="1" allowOverlap="1" wp14:anchorId="3B6D8F89" wp14:editId="752847CB">
                <wp:simplePos x="0" y="0"/>
                <wp:positionH relativeFrom="page">
                  <wp:posOffset>931545</wp:posOffset>
                </wp:positionH>
                <wp:positionV relativeFrom="paragraph">
                  <wp:posOffset>232410</wp:posOffset>
                </wp:positionV>
                <wp:extent cx="5629275" cy="825500"/>
                <wp:effectExtent l="0" t="0" r="28575" b="12700"/>
                <wp:wrapTopAndBottom/>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825500"/>
                        </a:xfrm>
                        <a:prstGeom prst="rect">
                          <a:avLst/>
                        </a:prstGeom>
                        <a:noFill/>
                        <a:ln w="6097"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42A8FB8" w14:textId="77777777" w:rsidR="002374ED" w:rsidRDefault="002374ED" w:rsidP="001815E1">
                            <w:pPr>
                              <w:spacing w:before="30"/>
                              <w:ind w:left="310" w:right="313"/>
                              <w:jc w:val="center"/>
                              <w:rPr>
                                <w:b/>
                                <w:sz w:val="24"/>
                              </w:rPr>
                            </w:pPr>
                            <w:r>
                              <w:rPr>
                                <w:b/>
                                <w:sz w:val="24"/>
                              </w:rPr>
                              <w:t>Opinion of the</w:t>
                            </w:r>
                            <w:r>
                              <w:rPr>
                                <w:b/>
                                <w:spacing w:val="-1"/>
                                <w:sz w:val="24"/>
                              </w:rPr>
                              <w:t xml:space="preserve"> </w:t>
                            </w:r>
                            <w:r>
                              <w:rPr>
                                <w:b/>
                                <w:sz w:val="24"/>
                              </w:rPr>
                              <w:t>RSC</w:t>
                            </w:r>
                          </w:p>
                          <w:p w14:paraId="4FD8830C" w14:textId="77777777" w:rsidR="002374ED" w:rsidRDefault="002374ED" w:rsidP="001815E1">
                            <w:pPr>
                              <w:spacing w:line="242" w:lineRule="auto"/>
                              <w:ind w:left="310" w:right="317"/>
                              <w:jc w:val="center"/>
                              <w:rPr>
                                <w:b/>
                                <w:sz w:val="24"/>
                              </w:rPr>
                            </w:pPr>
                            <w:r>
                              <w:rPr>
                                <w:b/>
                                <w:sz w:val="24"/>
                              </w:rPr>
                              <w:t>pursuant to Advisory Procedure under Article 4 of Regulation 182/2011/EU and Article 4.2 of Radio Spectrum Decision 676/2002/EC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D8F89" id="Text Box 25" o:spid="_x0000_s1036" type="#_x0000_t202" style="position:absolute;margin-left:73.35pt;margin-top:18.3pt;width:443.25pt;height:6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" filled="f" strokeweight=".16936mm">
                <v:stroke linestyle="thinThin"/>
                <v:textbox inset="0,0,0,0">
                  <w:txbxContent>
                    <w:p w14:paraId="642A8FB8" w14:textId="77777777" w:rsidR="002374ED" w:rsidRDefault="002374ED" w:rsidP="001815E1">
                      <w:pPr>
                        <w:spacing w:before="30"/>
                        <w:ind w:left="310" w:right="313"/>
                        <w:jc w:val="center"/>
                        <w:rPr>
                          <w:b/>
                          <w:sz w:val="24"/>
                        </w:rPr>
                      </w:pPr>
                      <w:r>
                        <w:rPr>
                          <w:b/>
                          <w:sz w:val="24"/>
                        </w:rPr>
                        <w:t>Opinion of the</w:t>
                      </w:r>
                      <w:r>
                        <w:rPr>
                          <w:b/>
                          <w:spacing w:val="-1"/>
                          <w:sz w:val="24"/>
                        </w:rPr>
                        <w:t xml:space="preserve"> </w:t>
                      </w:r>
                      <w:r>
                        <w:rPr>
                          <w:b/>
                          <w:sz w:val="24"/>
                        </w:rPr>
                        <w:t>RSC</w:t>
                      </w:r>
                    </w:p>
                    <w:p w14:paraId="4FD8830C" w14:textId="77777777" w:rsidR="002374ED" w:rsidRDefault="002374ED" w:rsidP="001815E1">
                      <w:pPr>
                        <w:spacing w:line="242" w:lineRule="auto"/>
                        <w:ind w:left="310" w:right="317"/>
                        <w:jc w:val="center"/>
                        <w:rPr>
                          <w:b/>
                          <w:sz w:val="24"/>
                        </w:rPr>
                      </w:pPr>
                      <w:r>
                        <w:rPr>
                          <w:b/>
                          <w:sz w:val="24"/>
                        </w:rPr>
                        <w:t>pursuant to Advisory Procedure under Article 4 of Regulation 182/2011/EU and Article 4.2 of Radio Spectrum Decision 676/2002/EC</w:t>
                      </w:r>
                    </w:p>
                  </w:txbxContent>
                </v:textbox>
                <w10:wrap type="topAndBottom" anchorx="page"/>
              </v:shape>
            </w:pict>
          </mc:Fallback>
        </mc:AlternateContent>
      </w:r>
    </w:p>
    <w:p w14:paraId="347CF7ED" w14:textId="77777777" w:rsidR="001815E1" w:rsidRPr="008946B0" w:rsidRDefault="001815E1" w:rsidP="001815E1">
      <w:pPr>
        <w:pStyle w:val="BodyText"/>
        <w:rPr>
          <w:b/>
          <w:sz w:val="20"/>
        </w:rPr>
      </w:pPr>
    </w:p>
    <w:p w14:paraId="394020CE" w14:textId="77777777" w:rsidR="001815E1" w:rsidRPr="008946B0" w:rsidRDefault="001815E1" w:rsidP="001815E1">
      <w:pPr>
        <w:pStyle w:val="BodyText"/>
        <w:spacing w:before="5"/>
        <w:rPr>
          <w:b/>
          <w:sz w:val="20"/>
        </w:rPr>
      </w:pPr>
      <w:r w:rsidRPr="008946B0">
        <w:rPr>
          <w:noProof/>
          <w:lang w:val="fr-FR" w:eastAsia="fr-FR" w:bidi="ar-SA"/>
        </w:rPr>
        <mc:AlternateContent>
          <mc:Choice Requires="wps">
            <w:drawing>
              <wp:anchor distT="0" distB="0" distL="0" distR="0" simplePos="0" relativeHeight="251658752" behindDoc="1" locked="0" layoutInCell="1" allowOverlap="1" wp14:anchorId="25572C76" wp14:editId="1C516C22">
                <wp:simplePos x="0" y="0"/>
                <wp:positionH relativeFrom="page">
                  <wp:posOffset>937895</wp:posOffset>
                </wp:positionH>
                <wp:positionV relativeFrom="paragraph">
                  <wp:posOffset>216535</wp:posOffset>
                </wp:positionV>
                <wp:extent cx="5617210" cy="1073150"/>
                <wp:effectExtent l="0" t="0" r="21590" b="12700"/>
                <wp:wrapTopAndBottom/>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7210" cy="107315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5C01CAB" w14:textId="77777777" w:rsidR="002374ED" w:rsidRDefault="002374ED" w:rsidP="001815E1">
                            <w:pPr>
                              <w:spacing w:before="13"/>
                              <w:ind w:left="160" w:right="162" w:hanging="4"/>
                              <w:jc w:val="center"/>
                              <w:rPr>
                                <w:i/>
                                <w:sz w:val="24"/>
                              </w:rPr>
                            </w:pPr>
                            <w:r>
                              <w:rPr>
                                <w:i/>
                                <w:sz w:val="24"/>
                              </w:rPr>
                              <w:t xml:space="preserve">This is a Committee working document which does not necessarily reflect the official position of the Commission. No inferences should be drawn from this document as to the precise form or content of future measures to be submitted by the Commission. The Commission accepts no responsibility or liability whatsoever </w:t>
                            </w:r>
                            <w:proofErr w:type="gramStart"/>
                            <w:r>
                              <w:rPr>
                                <w:i/>
                                <w:sz w:val="24"/>
                              </w:rPr>
                              <w:t>with regard to</w:t>
                            </w:r>
                            <w:proofErr w:type="gramEnd"/>
                            <w:r>
                              <w:rPr>
                                <w:i/>
                                <w:sz w:val="24"/>
                              </w:rPr>
                              <w:t xml:space="preserve"> any information or data referred to in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72C76" id="Text Box 24" o:spid="_x0000_s1037" type="#_x0000_t202" style="position:absolute;margin-left:73.85pt;margin-top:17.05pt;width:442.3pt;height:84.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" filled="f" strokeweight=".48pt">
                <v:textbox inset="0,0,0,0">
                  <w:txbxContent>
                    <w:p w14:paraId="65C01CAB" w14:textId="77777777" w:rsidR="002374ED" w:rsidRDefault="002374ED" w:rsidP="001815E1">
                      <w:pPr>
                        <w:spacing w:before="13"/>
                        <w:ind w:left="160" w:right="162" w:hanging="4"/>
                        <w:jc w:val="center"/>
                        <w:rPr>
                          <w:i/>
                          <w:sz w:val="24"/>
                        </w:rPr>
                      </w:pPr>
                      <w:r>
                        <w:rPr>
                          <w:i/>
                          <w:sz w:val="24"/>
                        </w:rPr>
                        <w:t xml:space="preserve">This is a Committee working document which does not necessarily reflect the official position of the Commission. No inferences should be drawn from this document as to the precise form or content of future measures to be submitted by the Commission. The Commission accepts no responsibility or liability whatsoever </w:t>
                      </w:r>
                      <w:proofErr w:type="gramStart"/>
                      <w:r>
                        <w:rPr>
                          <w:i/>
                          <w:sz w:val="24"/>
                        </w:rPr>
                        <w:t>with regard to</w:t>
                      </w:r>
                      <w:proofErr w:type="gramEnd"/>
                      <w:r>
                        <w:rPr>
                          <w:i/>
                          <w:sz w:val="24"/>
                        </w:rPr>
                        <w:t xml:space="preserve"> any information or data referred to in this document.</w:t>
                      </w:r>
                    </w:p>
                  </w:txbxContent>
                </v:textbox>
                <w10:wrap type="topAndBottom" anchorx="page"/>
              </v:shape>
            </w:pict>
          </mc:Fallback>
        </mc:AlternateContent>
      </w:r>
    </w:p>
    <w:p w14:paraId="6C375347" w14:textId="77777777" w:rsidR="001815E1" w:rsidRPr="008946B0" w:rsidRDefault="001815E1" w:rsidP="001815E1">
      <w:pPr>
        <w:pStyle w:val="BodyText"/>
        <w:rPr>
          <w:b/>
          <w:sz w:val="20"/>
        </w:rPr>
      </w:pPr>
    </w:p>
    <w:p w14:paraId="2182BFD5" w14:textId="7BFE31DD" w:rsidR="001815E1" w:rsidRPr="008946B0" w:rsidRDefault="001815E1" w:rsidP="001815E1">
      <w:pPr>
        <w:pStyle w:val="BodyText"/>
        <w:rPr>
          <w:b/>
          <w:sz w:val="20"/>
        </w:rPr>
      </w:pPr>
    </w:p>
    <w:p w14:paraId="61CBDC80" w14:textId="352D193E" w:rsidR="001815E1" w:rsidRPr="008946B0" w:rsidRDefault="001815E1" w:rsidP="001815E1">
      <w:pPr>
        <w:pStyle w:val="BodyText"/>
        <w:rPr>
          <w:b/>
          <w:sz w:val="20"/>
        </w:rPr>
      </w:pPr>
    </w:p>
    <w:p w14:paraId="1E2E4175" w14:textId="357DA11F" w:rsidR="001815E1" w:rsidRPr="008946B0" w:rsidRDefault="001815E1" w:rsidP="001815E1">
      <w:pPr>
        <w:pStyle w:val="BodyText"/>
        <w:rPr>
          <w:b/>
          <w:sz w:val="20"/>
        </w:rPr>
      </w:pPr>
    </w:p>
    <w:p w14:paraId="2F9B0432" w14:textId="0CBF8DED" w:rsidR="001815E1" w:rsidRPr="008946B0" w:rsidRDefault="001815E1" w:rsidP="001815E1">
      <w:pPr>
        <w:pStyle w:val="BodyText"/>
        <w:rPr>
          <w:b/>
          <w:sz w:val="20"/>
        </w:rPr>
      </w:pPr>
    </w:p>
    <w:p w14:paraId="2BB46F14" w14:textId="757898EC" w:rsidR="001815E1" w:rsidRPr="008946B0" w:rsidRDefault="001815E1" w:rsidP="001815E1">
      <w:pPr>
        <w:pStyle w:val="BodyText"/>
        <w:rPr>
          <w:b/>
          <w:sz w:val="20"/>
        </w:rPr>
      </w:pPr>
    </w:p>
    <w:p w14:paraId="2E8F89CD" w14:textId="4DCC0D27" w:rsidR="001815E1" w:rsidRPr="008946B0" w:rsidRDefault="001815E1" w:rsidP="001815E1">
      <w:pPr>
        <w:pStyle w:val="BodyText"/>
        <w:rPr>
          <w:b/>
          <w:sz w:val="20"/>
        </w:rPr>
      </w:pPr>
    </w:p>
    <w:p w14:paraId="28217353" w14:textId="75DA6C37" w:rsidR="001815E1" w:rsidRPr="008946B0" w:rsidRDefault="001815E1" w:rsidP="001815E1">
      <w:pPr>
        <w:pStyle w:val="BodyText"/>
        <w:rPr>
          <w:b/>
          <w:sz w:val="20"/>
        </w:rPr>
      </w:pPr>
    </w:p>
    <w:p w14:paraId="57766F9E" w14:textId="77777777" w:rsidR="001815E1" w:rsidRPr="008946B0" w:rsidRDefault="001815E1" w:rsidP="001815E1">
      <w:pPr>
        <w:pStyle w:val="BodyText"/>
        <w:rPr>
          <w:b/>
          <w:sz w:val="20"/>
        </w:rPr>
      </w:pPr>
    </w:p>
    <w:p w14:paraId="30061DBB" w14:textId="77777777" w:rsidR="001815E1" w:rsidRPr="008946B0" w:rsidRDefault="001815E1" w:rsidP="001815E1">
      <w:pPr>
        <w:pStyle w:val="BodyText"/>
        <w:spacing w:before="6"/>
        <w:rPr>
          <w:b/>
          <w:sz w:val="23"/>
        </w:rPr>
      </w:pPr>
    </w:p>
    <w:p w14:paraId="75AF501E" w14:textId="77777777" w:rsidR="001815E1" w:rsidRPr="008946B0" w:rsidRDefault="001815E1" w:rsidP="001815E1">
      <w:pPr>
        <w:spacing w:before="96"/>
        <w:ind w:left="1630" w:right="1044"/>
        <w:rPr>
          <w:sz w:val="16"/>
          <w:lang w:val="en-GB"/>
        </w:rPr>
      </w:pPr>
      <w:r w:rsidRPr="008946B0">
        <w:rPr>
          <w:sz w:val="16"/>
          <w:lang w:val="en-GB"/>
        </w:rPr>
        <w:t xml:space="preserve">European Commission, DG Communications Networks Content &amp; Technology, 200 Rue de la </w:t>
      </w:r>
      <w:proofErr w:type="spellStart"/>
      <w:r w:rsidRPr="008946B0">
        <w:rPr>
          <w:sz w:val="16"/>
          <w:lang w:val="en-GB"/>
        </w:rPr>
        <w:t>Loi</w:t>
      </w:r>
      <w:proofErr w:type="spellEnd"/>
      <w:r w:rsidRPr="008946B0">
        <w:rPr>
          <w:sz w:val="16"/>
          <w:lang w:val="en-GB"/>
        </w:rPr>
        <w:t xml:space="preserve">, B-1049 </w:t>
      </w:r>
      <w:proofErr w:type="spellStart"/>
      <w:r w:rsidRPr="008946B0">
        <w:rPr>
          <w:sz w:val="16"/>
          <w:lang w:val="en-GB"/>
        </w:rPr>
        <w:t>Bruxelles</w:t>
      </w:r>
      <w:proofErr w:type="spellEnd"/>
      <w:r w:rsidRPr="008946B0">
        <w:rPr>
          <w:sz w:val="16"/>
          <w:lang w:val="en-GB"/>
        </w:rPr>
        <w:t xml:space="preserve"> RSC Secretariat, Avenue de Beaulieu 33, B-1160 Brussels - Belgium - Office BU33 7/09</w:t>
      </w:r>
    </w:p>
    <w:p w14:paraId="61A19026" w14:textId="77777777" w:rsidR="001815E1" w:rsidRPr="008946B0" w:rsidRDefault="001815E1" w:rsidP="001815E1">
      <w:pPr>
        <w:ind w:left="1630" w:right="2807"/>
        <w:rPr>
          <w:color w:val="0000FF"/>
          <w:sz w:val="16"/>
          <w:u w:val="single" w:color="0000FF"/>
          <w:lang w:val="en-GB"/>
        </w:rPr>
      </w:pPr>
      <w:r w:rsidRPr="008946B0">
        <w:rPr>
          <w:sz w:val="16"/>
          <w:lang w:val="en-GB"/>
        </w:rPr>
        <w:t xml:space="preserve">Telephone: direct line (+32-2)295.6512, switchboard (+32-2)299.11.11. Fax: (+32-2) 296.38.95 E-mail : </w:t>
      </w:r>
      <w:hyperlink r:id="rId25">
        <w:r w:rsidRPr="008946B0">
          <w:rPr>
            <w:color w:val="0000FF"/>
            <w:sz w:val="16"/>
            <w:u w:val="single" w:color="0000FF"/>
            <w:lang w:val="en-GB"/>
          </w:rPr>
          <w:t>cnect-rsc@ec.europa.eu</w:t>
        </w:r>
      </w:hyperlink>
    </w:p>
    <w:p w14:paraId="0E23E863" w14:textId="77777777" w:rsidR="001815E1" w:rsidRPr="008946B0" w:rsidRDefault="001815E1" w:rsidP="001815E1">
      <w:pPr>
        <w:pStyle w:val="ListParagraph"/>
        <w:widowControl w:val="0"/>
        <w:numPr>
          <w:ilvl w:val="0"/>
          <w:numId w:val="9"/>
        </w:numPr>
        <w:tabs>
          <w:tab w:val="left" w:pos="993"/>
        </w:tabs>
        <w:autoSpaceDE w:val="0"/>
        <w:autoSpaceDN w:val="0"/>
        <w:spacing w:before="76" w:after="0" w:line="240" w:lineRule="auto"/>
        <w:ind w:left="1049" w:hanging="56"/>
        <w:contextualSpacing w:val="0"/>
        <w:rPr>
          <w:b/>
          <w:sz w:val="19"/>
          <w:lang w:val="en-GB"/>
        </w:rPr>
      </w:pPr>
      <w:r w:rsidRPr="008946B0">
        <w:rPr>
          <w:b/>
          <w:sz w:val="24"/>
          <w:lang w:val="en-GB"/>
        </w:rPr>
        <w:t>P</w:t>
      </w:r>
      <w:r w:rsidRPr="008946B0">
        <w:rPr>
          <w:b/>
          <w:sz w:val="19"/>
          <w:lang w:val="en-GB"/>
        </w:rPr>
        <w:t>URPOSE</w:t>
      </w:r>
    </w:p>
    <w:p w14:paraId="1296C4A2" w14:textId="77777777" w:rsidR="001815E1" w:rsidRPr="008946B0" w:rsidRDefault="001815E1" w:rsidP="001815E1">
      <w:pPr>
        <w:pStyle w:val="BodyText"/>
        <w:tabs>
          <w:tab w:val="left" w:pos="1829"/>
        </w:tabs>
        <w:spacing w:before="5"/>
        <w:ind w:left="1049" w:hanging="482"/>
        <w:rPr>
          <w:b/>
          <w:sz w:val="20"/>
        </w:rPr>
      </w:pPr>
    </w:p>
    <w:p w14:paraId="3D0223D6" w14:textId="77777777" w:rsidR="001815E1" w:rsidRPr="008946B0" w:rsidRDefault="001815E1" w:rsidP="001815E1">
      <w:pPr>
        <w:pStyle w:val="BodyText"/>
        <w:tabs>
          <w:tab w:val="left" w:pos="1829"/>
        </w:tabs>
        <w:spacing w:before="1"/>
        <w:ind w:left="1560" w:right="1033" w:hanging="482"/>
        <w:jc w:val="both"/>
      </w:pPr>
      <w:r w:rsidRPr="008946B0">
        <w:tab/>
        <w:t>The objective of this Mandate is to consider the required amount of spectrum,  identify appropriate spectrum bands, study technical feasibility and develop harmonised technical conditions for a sustainable and efficient use of such bands for the operation of the future railway mobile communications system (FRMCS), which is the successor of</w:t>
      </w:r>
      <w:r w:rsidRPr="008946B0">
        <w:rPr>
          <w:spacing w:val="-1"/>
        </w:rPr>
        <w:t xml:space="preserve"> </w:t>
      </w:r>
      <w:r w:rsidRPr="008946B0">
        <w:t>GSM-R.</w:t>
      </w:r>
    </w:p>
    <w:p w14:paraId="1625B04C" w14:textId="77777777" w:rsidR="001815E1" w:rsidRPr="008946B0" w:rsidRDefault="001815E1" w:rsidP="001815E1">
      <w:pPr>
        <w:pStyle w:val="BodyText"/>
        <w:tabs>
          <w:tab w:val="left" w:pos="1829"/>
        </w:tabs>
        <w:spacing w:before="10"/>
        <w:ind w:left="1560" w:hanging="482"/>
        <w:rPr>
          <w:sz w:val="21"/>
        </w:rPr>
      </w:pPr>
    </w:p>
    <w:p w14:paraId="3EE90822" w14:textId="77777777" w:rsidR="001815E1" w:rsidRPr="008946B0" w:rsidRDefault="001815E1" w:rsidP="001815E1">
      <w:pPr>
        <w:pStyle w:val="BodyText"/>
        <w:tabs>
          <w:tab w:val="left" w:pos="1829"/>
        </w:tabs>
        <w:spacing w:line="228" w:lineRule="auto"/>
        <w:ind w:left="1560" w:right="1034" w:hanging="482"/>
        <w:jc w:val="both"/>
      </w:pPr>
      <w:r w:rsidRPr="008946B0">
        <w:tab/>
        <w:t>This mandate specifically invites CEPT to study the following frequency bands for existing and future mission-critical</w:t>
      </w:r>
      <w:r w:rsidRPr="008946B0">
        <w:rPr>
          <w:position w:val="9"/>
          <w:sz w:val="16"/>
        </w:rPr>
        <w:t xml:space="preserve">1 </w:t>
      </w:r>
      <w:r w:rsidRPr="008946B0">
        <w:t>railway mobile communications</w:t>
      </w:r>
    </w:p>
    <w:p w14:paraId="0CE9E6DB" w14:textId="77777777" w:rsidR="001815E1" w:rsidRPr="008946B0" w:rsidRDefault="001815E1" w:rsidP="001815E1">
      <w:pPr>
        <w:pStyle w:val="ListParagraph"/>
        <w:widowControl w:val="0"/>
        <w:numPr>
          <w:ilvl w:val="1"/>
          <w:numId w:val="9"/>
        </w:numPr>
        <w:tabs>
          <w:tab w:val="left" w:pos="1829"/>
          <w:tab w:val="left" w:pos="2549"/>
          <w:tab w:val="left" w:pos="2550"/>
        </w:tabs>
        <w:autoSpaceDE w:val="0"/>
        <w:autoSpaceDN w:val="0"/>
        <w:spacing w:before="241" w:after="0" w:line="293" w:lineRule="exact"/>
        <w:ind w:left="1560" w:hanging="482"/>
        <w:contextualSpacing w:val="0"/>
        <w:rPr>
          <w:sz w:val="24"/>
          <w:lang w:val="en-GB"/>
        </w:rPr>
      </w:pPr>
      <w:r w:rsidRPr="008946B0">
        <w:rPr>
          <w:sz w:val="24"/>
          <w:lang w:val="en-GB"/>
        </w:rPr>
        <w:t>874.4-880 MHz and 919.4-925</w:t>
      </w:r>
      <w:r w:rsidRPr="008946B0">
        <w:rPr>
          <w:spacing w:val="-1"/>
          <w:sz w:val="24"/>
          <w:lang w:val="en-GB"/>
        </w:rPr>
        <w:t xml:space="preserve"> </w:t>
      </w:r>
      <w:r w:rsidRPr="008946B0">
        <w:rPr>
          <w:sz w:val="24"/>
          <w:lang w:val="en-GB"/>
        </w:rPr>
        <w:t>MHz</w:t>
      </w:r>
    </w:p>
    <w:p w14:paraId="044A259F" w14:textId="77777777" w:rsidR="001815E1" w:rsidRPr="008946B0" w:rsidRDefault="001815E1" w:rsidP="001815E1">
      <w:pPr>
        <w:pStyle w:val="ListParagraph"/>
        <w:widowControl w:val="0"/>
        <w:numPr>
          <w:ilvl w:val="1"/>
          <w:numId w:val="9"/>
        </w:numPr>
        <w:tabs>
          <w:tab w:val="left" w:pos="1829"/>
          <w:tab w:val="left" w:pos="2549"/>
          <w:tab w:val="left" w:pos="2550"/>
        </w:tabs>
        <w:autoSpaceDE w:val="0"/>
        <w:autoSpaceDN w:val="0"/>
        <w:spacing w:after="0" w:line="293" w:lineRule="exact"/>
        <w:ind w:left="1560" w:hanging="482"/>
        <w:contextualSpacing w:val="0"/>
        <w:rPr>
          <w:sz w:val="24"/>
          <w:lang w:val="en-GB"/>
        </w:rPr>
      </w:pPr>
      <w:r w:rsidRPr="008946B0">
        <w:rPr>
          <w:sz w:val="24"/>
          <w:lang w:val="en-GB"/>
        </w:rPr>
        <w:t>1 900-1 920</w:t>
      </w:r>
      <w:r w:rsidRPr="008946B0">
        <w:rPr>
          <w:spacing w:val="-1"/>
          <w:sz w:val="24"/>
          <w:lang w:val="en-GB"/>
        </w:rPr>
        <w:t xml:space="preserve"> </w:t>
      </w:r>
      <w:r w:rsidRPr="008946B0">
        <w:rPr>
          <w:sz w:val="24"/>
          <w:lang w:val="en-GB"/>
        </w:rPr>
        <w:t>MHz</w:t>
      </w:r>
    </w:p>
    <w:p w14:paraId="2B91F1DF" w14:textId="77777777" w:rsidR="001815E1" w:rsidRPr="008946B0" w:rsidRDefault="001815E1" w:rsidP="001815E1">
      <w:pPr>
        <w:pStyle w:val="BodyText"/>
        <w:tabs>
          <w:tab w:val="left" w:pos="1829"/>
        </w:tabs>
        <w:spacing w:before="241"/>
        <w:ind w:left="1560" w:right="1036" w:hanging="482"/>
        <w:jc w:val="both"/>
      </w:pPr>
      <w:r w:rsidRPr="008946B0">
        <w:tab/>
        <w:t xml:space="preserve">Further spectrum bands, for example the band 2 290-2 400 MHz on a tuning range </w:t>
      </w:r>
      <w:proofErr w:type="gramStart"/>
      <w:r w:rsidRPr="008946B0">
        <w:t>basis, and</w:t>
      </w:r>
      <w:proofErr w:type="gramEnd"/>
      <w:r w:rsidRPr="008946B0">
        <w:t xml:space="preserve"> use of commercial mobile networks may also be studied. In this regard, the progressive phase-out of the existing GSM-R technology and the need for coexistence and simultaneous operation of the existing and the forthcoming system for up to several years should be considered, also in terms of spectrum needs.</w:t>
      </w:r>
    </w:p>
    <w:p w14:paraId="18F8B8D4" w14:textId="77777777" w:rsidR="001815E1" w:rsidRPr="008946B0" w:rsidRDefault="001815E1" w:rsidP="001815E1">
      <w:pPr>
        <w:pStyle w:val="BodyText"/>
        <w:tabs>
          <w:tab w:val="left" w:pos="1829"/>
        </w:tabs>
        <w:ind w:left="1049" w:hanging="482"/>
        <w:rPr>
          <w:sz w:val="26"/>
        </w:rPr>
      </w:pPr>
    </w:p>
    <w:p w14:paraId="18D75511" w14:textId="77777777" w:rsidR="001815E1" w:rsidRPr="008946B0" w:rsidRDefault="001815E1" w:rsidP="001815E1">
      <w:pPr>
        <w:pStyle w:val="ListParagraph"/>
        <w:widowControl w:val="0"/>
        <w:numPr>
          <w:ilvl w:val="0"/>
          <w:numId w:val="9"/>
        </w:numPr>
        <w:tabs>
          <w:tab w:val="left" w:pos="1829"/>
        </w:tabs>
        <w:autoSpaceDE w:val="0"/>
        <w:autoSpaceDN w:val="0"/>
        <w:spacing w:before="164" w:after="0" w:line="240" w:lineRule="auto"/>
        <w:ind w:left="1049" w:hanging="56"/>
        <w:contextualSpacing w:val="0"/>
        <w:rPr>
          <w:b/>
          <w:sz w:val="19"/>
          <w:lang w:val="en-GB"/>
        </w:rPr>
      </w:pPr>
      <w:r w:rsidRPr="008946B0">
        <w:rPr>
          <w:b/>
          <w:sz w:val="24"/>
          <w:lang w:val="en-GB"/>
        </w:rPr>
        <w:t>EU P</w:t>
      </w:r>
      <w:r w:rsidRPr="008946B0">
        <w:rPr>
          <w:b/>
          <w:sz w:val="19"/>
          <w:lang w:val="en-GB"/>
        </w:rPr>
        <w:t>OLICY</w:t>
      </w:r>
      <w:r w:rsidRPr="008946B0">
        <w:rPr>
          <w:b/>
          <w:spacing w:val="-14"/>
          <w:sz w:val="19"/>
          <w:lang w:val="en-GB"/>
        </w:rPr>
        <w:t xml:space="preserve"> </w:t>
      </w:r>
      <w:r w:rsidRPr="008946B0">
        <w:rPr>
          <w:b/>
          <w:sz w:val="19"/>
          <w:lang w:val="en-GB"/>
        </w:rPr>
        <w:t>CONTEXT</w:t>
      </w:r>
    </w:p>
    <w:p w14:paraId="17E71B8F" w14:textId="77777777" w:rsidR="001815E1" w:rsidRPr="008946B0" w:rsidRDefault="001815E1" w:rsidP="001815E1">
      <w:pPr>
        <w:pStyle w:val="BodyText"/>
        <w:tabs>
          <w:tab w:val="left" w:pos="1829"/>
        </w:tabs>
        <w:spacing w:before="9"/>
        <w:ind w:left="1049" w:hanging="56"/>
        <w:rPr>
          <w:b/>
          <w:sz w:val="20"/>
        </w:rPr>
      </w:pPr>
    </w:p>
    <w:p w14:paraId="18190123" w14:textId="77777777" w:rsidR="001815E1" w:rsidRPr="008946B0" w:rsidRDefault="001815E1" w:rsidP="001815E1">
      <w:pPr>
        <w:pStyle w:val="BodyText"/>
        <w:tabs>
          <w:tab w:val="left" w:pos="1829"/>
        </w:tabs>
        <w:spacing w:before="1" w:line="235" w:lineRule="auto"/>
        <w:ind w:left="1560" w:right="1033" w:hanging="56"/>
        <w:jc w:val="both"/>
      </w:pPr>
      <w:r w:rsidRPr="008946B0">
        <w:tab/>
        <w:t>Railways are essential for the EU economy. The European railway network covers over 220 000 km of lines and carries 9 billion passengers and 1 700 million tonnes of freight per year</w:t>
      </w:r>
      <w:r w:rsidRPr="008946B0">
        <w:rPr>
          <w:position w:val="9"/>
          <w:sz w:val="16"/>
        </w:rPr>
        <w:t>2</w:t>
      </w:r>
      <w:r w:rsidRPr="008946B0">
        <w:t>.The frequency bands to be studied and commercial networks should be considered as a possibility to support railway digitalisation and innovation.</w:t>
      </w:r>
    </w:p>
    <w:p w14:paraId="124D5A6F" w14:textId="77777777" w:rsidR="001815E1" w:rsidRPr="008946B0" w:rsidRDefault="001815E1" w:rsidP="001815E1">
      <w:pPr>
        <w:pStyle w:val="BodyText"/>
        <w:tabs>
          <w:tab w:val="left" w:pos="1829"/>
        </w:tabs>
        <w:spacing w:before="9"/>
        <w:ind w:left="1560" w:hanging="56"/>
        <w:rPr>
          <w:sz w:val="21"/>
        </w:rPr>
      </w:pPr>
    </w:p>
    <w:p w14:paraId="3C930913" w14:textId="77777777" w:rsidR="001815E1" w:rsidRPr="008946B0" w:rsidRDefault="001815E1" w:rsidP="001815E1">
      <w:pPr>
        <w:pStyle w:val="BodyText"/>
        <w:tabs>
          <w:tab w:val="left" w:pos="1829"/>
        </w:tabs>
        <w:spacing w:line="230" w:lineRule="auto"/>
        <w:ind w:left="1560" w:right="1032" w:hanging="56"/>
        <w:jc w:val="both"/>
        <w:rPr>
          <w:i/>
        </w:rPr>
      </w:pPr>
      <w:r w:rsidRPr="008946B0">
        <w:tab/>
        <w:t>The radiocommunication system used for railway operation is currently GSM-R. Today over 100 000 km of railway lines are operated by GSM-R</w:t>
      </w:r>
      <w:r w:rsidRPr="008946B0">
        <w:rPr>
          <w:position w:val="9"/>
          <w:sz w:val="16"/>
        </w:rPr>
        <w:t xml:space="preserve">3 </w:t>
      </w:r>
      <w:r w:rsidRPr="008946B0">
        <w:t>and this amount is still growing. It is defined through the basic parameters included in section 4 of the CCS</w:t>
      </w:r>
      <w:r w:rsidRPr="008946B0">
        <w:rPr>
          <w:spacing w:val="26"/>
        </w:rPr>
        <w:t xml:space="preserve"> </w:t>
      </w:r>
      <w:r w:rsidRPr="008946B0">
        <w:t>TSI</w:t>
      </w:r>
      <w:r w:rsidRPr="008946B0">
        <w:rPr>
          <w:position w:val="9"/>
          <w:sz w:val="16"/>
        </w:rPr>
        <w:t>4</w:t>
      </w:r>
      <w:r w:rsidRPr="008946B0">
        <w:t>.</w:t>
      </w:r>
      <w:r w:rsidRPr="008946B0">
        <w:rPr>
          <w:spacing w:val="26"/>
        </w:rPr>
        <w:t xml:space="preserve"> </w:t>
      </w:r>
      <w:r w:rsidRPr="008946B0">
        <w:t>The</w:t>
      </w:r>
      <w:r w:rsidRPr="008946B0">
        <w:rPr>
          <w:spacing w:val="28"/>
        </w:rPr>
        <w:t xml:space="preserve"> </w:t>
      </w:r>
      <w:r w:rsidRPr="008946B0">
        <w:t>air</w:t>
      </w:r>
      <w:r w:rsidRPr="008946B0">
        <w:rPr>
          <w:spacing w:val="29"/>
        </w:rPr>
        <w:t xml:space="preserve"> </w:t>
      </w:r>
      <w:r w:rsidRPr="008946B0">
        <w:t>interface</w:t>
      </w:r>
      <w:r w:rsidRPr="008946B0">
        <w:rPr>
          <w:spacing w:val="27"/>
        </w:rPr>
        <w:t xml:space="preserve"> </w:t>
      </w:r>
      <w:r w:rsidRPr="008946B0">
        <w:t>is</w:t>
      </w:r>
      <w:r w:rsidRPr="008946B0">
        <w:rPr>
          <w:spacing w:val="26"/>
        </w:rPr>
        <w:t xml:space="preserve"> </w:t>
      </w:r>
      <w:r w:rsidRPr="008946B0">
        <w:t>specified</w:t>
      </w:r>
      <w:r w:rsidRPr="008946B0">
        <w:rPr>
          <w:spacing w:val="27"/>
        </w:rPr>
        <w:t xml:space="preserve"> </w:t>
      </w:r>
      <w:r w:rsidRPr="008946B0">
        <w:t>to</w:t>
      </w:r>
      <w:r w:rsidRPr="008946B0">
        <w:rPr>
          <w:spacing w:val="26"/>
        </w:rPr>
        <w:t xml:space="preserve"> </w:t>
      </w:r>
      <w:r w:rsidRPr="008946B0">
        <w:t>use</w:t>
      </w:r>
      <w:r w:rsidRPr="008946B0">
        <w:rPr>
          <w:spacing w:val="27"/>
        </w:rPr>
        <w:t xml:space="preserve"> </w:t>
      </w:r>
      <w:r w:rsidRPr="008946B0">
        <w:t>the</w:t>
      </w:r>
      <w:r w:rsidRPr="008946B0">
        <w:rPr>
          <w:spacing w:val="25"/>
        </w:rPr>
        <w:t xml:space="preserve"> </w:t>
      </w:r>
      <w:r w:rsidRPr="008946B0">
        <w:t>R-GSM</w:t>
      </w:r>
      <w:r w:rsidRPr="008946B0">
        <w:rPr>
          <w:position w:val="9"/>
          <w:sz w:val="16"/>
        </w:rPr>
        <w:t xml:space="preserve">5 </w:t>
      </w:r>
      <w:r w:rsidRPr="008946B0">
        <w:rPr>
          <w:spacing w:val="8"/>
          <w:position w:val="9"/>
          <w:sz w:val="16"/>
        </w:rPr>
        <w:t xml:space="preserve"> </w:t>
      </w:r>
      <w:r w:rsidRPr="008946B0">
        <w:t>band</w:t>
      </w:r>
      <w:r w:rsidRPr="008946B0">
        <w:rPr>
          <w:spacing w:val="26"/>
        </w:rPr>
        <w:t xml:space="preserve"> </w:t>
      </w:r>
      <w:r w:rsidRPr="008946B0">
        <w:t>(see</w:t>
      </w:r>
      <w:r w:rsidRPr="008946B0">
        <w:rPr>
          <w:spacing w:val="26"/>
        </w:rPr>
        <w:t xml:space="preserve"> </w:t>
      </w:r>
      <w:r w:rsidRPr="008946B0">
        <w:t>table</w:t>
      </w:r>
      <w:r w:rsidRPr="008946B0">
        <w:rPr>
          <w:spacing w:val="25"/>
        </w:rPr>
        <w:t xml:space="preserve"> </w:t>
      </w:r>
      <w:r w:rsidRPr="008946B0">
        <w:t>3-A</w:t>
      </w:r>
      <w:r w:rsidRPr="008946B0">
        <w:rPr>
          <w:spacing w:val="28"/>
        </w:rPr>
        <w:t xml:space="preserve"> </w:t>
      </w:r>
      <w:r w:rsidRPr="008946B0">
        <w:t>in 3.5.1 of the EIRENE SRS). The so-called "UIC band" reserved for GSM-R operation is 876-880/921-925 MHz. These bands are harmonised EU-wide by Commission Decision</w:t>
      </w:r>
      <w:r w:rsidRPr="008946B0">
        <w:rPr>
          <w:spacing w:val="35"/>
        </w:rPr>
        <w:t xml:space="preserve"> </w:t>
      </w:r>
      <w:r w:rsidRPr="008946B0">
        <w:t>1999/569/EC</w:t>
      </w:r>
      <w:r w:rsidRPr="008946B0">
        <w:rPr>
          <w:spacing w:val="36"/>
        </w:rPr>
        <w:t xml:space="preserve"> </w:t>
      </w:r>
      <w:r w:rsidRPr="008946B0">
        <w:t>of</w:t>
      </w:r>
      <w:r w:rsidRPr="008946B0">
        <w:rPr>
          <w:spacing w:val="35"/>
        </w:rPr>
        <w:t xml:space="preserve"> </w:t>
      </w:r>
      <w:r w:rsidRPr="008946B0">
        <w:t>28</w:t>
      </w:r>
      <w:r w:rsidRPr="008946B0">
        <w:rPr>
          <w:spacing w:val="35"/>
        </w:rPr>
        <w:t xml:space="preserve"> </w:t>
      </w:r>
      <w:r w:rsidRPr="008946B0">
        <w:t>July</w:t>
      </w:r>
      <w:r w:rsidRPr="008946B0">
        <w:rPr>
          <w:spacing w:val="28"/>
        </w:rPr>
        <w:t xml:space="preserve"> </w:t>
      </w:r>
      <w:r w:rsidRPr="008946B0">
        <w:t>1999</w:t>
      </w:r>
      <w:r w:rsidRPr="008946B0">
        <w:rPr>
          <w:position w:val="9"/>
          <w:sz w:val="16"/>
        </w:rPr>
        <w:t>6</w:t>
      </w:r>
      <w:r w:rsidRPr="008946B0">
        <w:t>,</w:t>
      </w:r>
      <w:r w:rsidRPr="008946B0">
        <w:rPr>
          <w:spacing w:val="36"/>
        </w:rPr>
        <w:t xml:space="preserve"> </w:t>
      </w:r>
      <w:r w:rsidRPr="008946B0">
        <w:t>which</w:t>
      </w:r>
      <w:r w:rsidRPr="008946B0">
        <w:rPr>
          <w:spacing w:val="37"/>
        </w:rPr>
        <w:t xml:space="preserve"> </w:t>
      </w:r>
      <w:r w:rsidRPr="008946B0">
        <w:t>in</w:t>
      </w:r>
      <w:r w:rsidRPr="008946B0">
        <w:rPr>
          <w:spacing w:val="35"/>
        </w:rPr>
        <w:t xml:space="preserve"> </w:t>
      </w:r>
      <w:r w:rsidRPr="008946B0">
        <w:t>its</w:t>
      </w:r>
      <w:r w:rsidRPr="008946B0">
        <w:rPr>
          <w:spacing w:val="36"/>
        </w:rPr>
        <w:t xml:space="preserve"> </w:t>
      </w:r>
      <w:r w:rsidRPr="008946B0">
        <w:t>Article</w:t>
      </w:r>
      <w:r w:rsidRPr="008946B0">
        <w:rPr>
          <w:spacing w:val="35"/>
        </w:rPr>
        <w:t xml:space="preserve"> </w:t>
      </w:r>
      <w:r w:rsidRPr="008946B0">
        <w:t>2</w:t>
      </w:r>
      <w:r w:rsidRPr="008946B0">
        <w:rPr>
          <w:spacing w:val="35"/>
        </w:rPr>
        <w:t xml:space="preserve"> </w:t>
      </w:r>
      <w:r w:rsidRPr="008946B0">
        <w:t>provides</w:t>
      </w:r>
      <w:r w:rsidRPr="008946B0">
        <w:rPr>
          <w:spacing w:val="38"/>
        </w:rPr>
        <w:t xml:space="preserve"> </w:t>
      </w:r>
      <w:r w:rsidRPr="008946B0">
        <w:t>that</w:t>
      </w:r>
      <w:r w:rsidRPr="008946B0">
        <w:rPr>
          <w:spacing w:val="39"/>
        </w:rPr>
        <w:t xml:space="preserve"> </w:t>
      </w:r>
      <w:r w:rsidRPr="008946B0">
        <w:rPr>
          <w:i/>
        </w:rPr>
        <w:t>"The</w:t>
      </w:r>
    </w:p>
    <w:p w14:paraId="6FCFF2F2" w14:textId="77777777" w:rsidR="001815E1" w:rsidRPr="008946B0" w:rsidRDefault="001815E1" w:rsidP="001815E1">
      <w:pPr>
        <w:pStyle w:val="BodyText"/>
        <w:tabs>
          <w:tab w:val="left" w:pos="1829"/>
        </w:tabs>
        <w:spacing w:before="10"/>
        <w:ind w:left="1333" w:hanging="482"/>
        <w:rPr>
          <w:i/>
          <w:sz w:val="12"/>
        </w:rPr>
      </w:pPr>
      <w:r w:rsidRPr="008946B0">
        <w:rPr>
          <w:noProof/>
          <w:lang w:val="fr-FR" w:eastAsia="fr-FR" w:bidi="ar-SA"/>
        </w:rPr>
        <mc:AlternateContent>
          <mc:Choice Requires="wps">
            <w:drawing>
              <wp:anchor distT="0" distB="0" distL="0" distR="0" simplePos="0" relativeHeight="251660800" behindDoc="1" locked="0" layoutInCell="1" allowOverlap="1" wp14:anchorId="7AAE0FD7" wp14:editId="02A2B3DB">
                <wp:simplePos x="0" y="0"/>
                <wp:positionH relativeFrom="page">
                  <wp:posOffset>1009015</wp:posOffset>
                </wp:positionH>
                <wp:positionV relativeFrom="paragraph">
                  <wp:posOffset>122555</wp:posOffset>
                </wp:positionV>
                <wp:extent cx="1829435" cy="1270"/>
                <wp:effectExtent l="8890" t="10160" r="9525" b="7620"/>
                <wp:wrapTopAndBottom/>
                <wp:docPr id="17" name="Freeform: 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589 1589"/>
                            <a:gd name="T1" fmla="*/ T0 w 2881"/>
                            <a:gd name="T2" fmla="+- 0 4470 1589"/>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93DD5" id="Freeform: Shape 27" o:spid="_x0000_s1026" style="position:absolute;margin-left:79.45pt;margin-top:9.65pt;width:144.05pt;height:.1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" path="m,l2881,e" filled="f" strokeweight=".21169mm">
                <v:path arrowok="t" o:connecttype="custom" o:connectlocs="0,0;1829435,0" o:connectangles="0,0"/>
                <w10:wrap type="topAndBottom" anchorx="page"/>
              </v:shape>
            </w:pict>
          </mc:Fallback>
        </mc:AlternateContent>
      </w:r>
    </w:p>
    <w:p w14:paraId="17A80DFA" w14:textId="77777777" w:rsidR="001815E1" w:rsidRPr="008946B0" w:rsidRDefault="001815E1" w:rsidP="001815E1">
      <w:pPr>
        <w:pStyle w:val="BodyText"/>
        <w:tabs>
          <w:tab w:val="left" w:pos="1829"/>
        </w:tabs>
        <w:spacing w:before="9"/>
        <w:ind w:left="1333" w:hanging="482"/>
        <w:rPr>
          <w:i/>
          <w:sz w:val="18"/>
        </w:rPr>
      </w:pPr>
    </w:p>
    <w:p w14:paraId="252CDE34" w14:textId="77777777" w:rsidR="001815E1" w:rsidRPr="008946B0" w:rsidRDefault="001815E1" w:rsidP="001815E1">
      <w:pPr>
        <w:tabs>
          <w:tab w:val="left" w:pos="1829"/>
        </w:tabs>
        <w:spacing w:before="40" w:after="40"/>
        <w:ind w:left="1922" w:right="1034" w:hanging="482"/>
        <w:jc w:val="both"/>
        <w:rPr>
          <w:i/>
          <w:lang w:val="en-GB"/>
        </w:rPr>
      </w:pPr>
      <w:r w:rsidRPr="008946B0">
        <w:rPr>
          <w:position w:val="7"/>
          <w:sz w:val="13"/>
          <w:lang w:val="en-GB"/>
        </w:rPr>
        <w:t xml:space="preserve">1 </w:t>
      </w:r>
      <w:r w:rsidRPr="008946B0">
        <w:rPr>
          <w:lang w:val="en-GB"/>
        </w:rPr>
        <w:t xml:space="preserve">Mission </w:t>
      </w:r>
      <w:r w:rsidRPr="008946B0">
        <w:rPr>
          <w:i/>
          <w:lang w:val="en-GB"/>
        </w:rPr>
        <w:t xml:space="preserve">Critical: applications that are essential for train movements and  safety or a  legal obligation,  such as emergency communications, shunting, presence, trackside maintenance and Automatic Train Control (as described in UIC FRMCS User Requirement Specification v3.0.0. Art 4.1.3 ). </w:t>
      </w:r>
      <w:hyperlink r:id="rId26">
        <w:r w:rsidRPr="008946B0">
          <w:rPr>
            <w:i/>
            <w:color w:val="0000FF"/>
            <w:u w:val="single" w:color="0000FF"/>
            <w:lang w:val="en-GB"/>
          </w:rPr>
          <w:t>https://uic.org/IMG/pdf/fu-7100-3.0.0.pdf</w:t>
        </w:r>
      </w:hyperlink>
    </w:p>
    <w:p w14:paraId="45553513" w14:textId="77777777" w:rsidR="001815E1" w:rsidRPr="008946B0" w:rsidRDefault="001815E1" w:rsidP="001815E1">
      <w:pPr>
        <w:tabs>
          <w:tab w:val="left" w:pos="1706"/>
          <w:tab w:val="left" w:pos="1829"/>
        </w:tabs>
        <w:spacing w:before="40" w:after="40"/>
        <w:ind w:left="1922" w:hanging="482"/>
        <w:rPr>
          <w:lang w:val="en-GB"/>
        </w:rPr>
      </w:pPr>
      <w:r w:rsidRPr="008946B0">
        <w:rPr>
          <w:position w:val="7"/>
          <w:sz w:val="13"/>
          <w:lang w:val="en-GB"/>
        </w:rPr>
        <w:t>2</w:t>
      </w:r>
      <w:r w:rsidRPr="008946B0">
        <w:rPr>
          <w:position w:val="7"/>
          <w:sz w:val="13"/>
          <w:lang w:val="en-GB"/>
        </w:rPr>
        <w:tab/>
      </w:r>
      <w:r w:rsidRPr="008946B0">
        <w:rPr>
          <w:lang w:val="en-GB"/>
        </w:rPr>
        <w:t xml:space="preserve">Source: </w:t>
      </w:r>
      <w:r w:rsidRPr="008946B0">
        <w:rPr>
          <w:i/>
          <w:lang w:val="en-GB"/>
        </w:rPr>
        <w:t>"The economic footprint of railway transport in Europe"</w:t>
      </w:r>
      <w:r w:rsidRPr="008946B0">
        <w:rPr>
          <w:lang w:val="en-GB"/>
        </w:rPr>
        <w:t>, CER</w:t>
      </w:r>
      <w:r w:rsidRPr="008946B0">
        <w:rPr>
          <w:spacing w:val="-1"/>
          <w:lang w:val="en-GB"/>
        </w:rPr>
        <w:t xml:space="preserve"> </w:t>
      </w:r>
      <w:r w:rsidRPr="008946B0">
        <w:rPr>
          <w:lang w:val="en-GB"/>
        </w:rPr>
        <w:t>2014.</w:t>
      </w:r>
    </w:p>
    <w:p w14:paraId="70E1FEFA" w14:textId="77777777" w:rsidR="001815E1" w:rsidRPr="008946B0" w:rsidRDefault="001815E1" w:rsidP="001815E1">
      <w:pPr>
        <w:tabs>
          <w:tab w:val="left" w:pos="1706"/>
          <w:tab w:val="left" w:pos="1829"/>
        </w:tabs>
        <w:spacing w:before="40" w:after="40"/>
        <w:ind w:left="1922" w:hanging="482"/>
        <w:rPr>
          <w:lang w:val="en-GB"/>
        </w:rPr>
      </w:pPr>
      <w:r w:rsidRPr="008946B0">
        <w:rPr>
          <w:position w:val="7"/>
          <w:sz w:val="13"/>
          <w:lang w:val="en-GB"/>
        </w:rPr>
        <w:t>3</w:t>
      </w:r>
      <w:r w:rsidRPr="008946B0">
        <w:rPr>
          <w:position w:val="7"/>
          <w:sz w:val="13"/>
          <w:lang w:val="en-GB"/>
        </w:rPr>
        <w:tab/>
      </w:r>
      <w:r w:rsidRPr="008946B0">
        <w:rPr>
          <w:lang w:val="en-GB"/>
        </w:rPr>
        <w:t>Source:</w:t>
      </w:r>
      <w:r w:rsidRPr="008946B0">
        <w:rPr>
          <w:spacing w:val="-2"/>
          <w:lang w:val="en-GB"/>
        </w:rPr>
        <w:t xml:space="preserve"> </w:t>
      </w:r>
      <w:r w:rsidRPr="008946B0">
        <w:rPr>
          <w:lang w:val="en-GB"/>
        </w:rPr>
        <w:t>UIC.</w:t>
      </w:r>
    </w:p>
    <w:p w14:paraId="28FFBE4C" w14:textId="77777777" w:rsidR="001815E1" w:rsidRPr="008946B0" w:rsidRDefault="001815E1" w:rsidP="001815E1">
      <w:pPr>
        <w:tabs>
          <w:tab w:val="left" w:pos="1706"/>
          <w:tab w:val="left" w:pos="1829"/>
        </w:tabs>
        <w:spacing w:before="40" w:after="40"/>
        <w:ind w:left="1922" w:right="2385" w:hanging="482"/>
        <w:rPr>
          <w:sz w:val="12"/>
          <w:lang w:val="en-GB"/>
        </w:rPr>
      </w:pPr>
      <w:r w:rsidRPr="008946B0">
        <w:rPr>
          <w:position w:val="7"/>
          <w:sz w:val="13"/>
          <w:lang w:val="en-GB"/>
        </w:rPr>
        <w:t>4</w:t>
      </w:r>
      <w:r w:rsidRPr="008946B0">
        <w:rPr>
          <w:position w:val="7"/>
          <w:sz w:val="13"/>
          <w:lang w:val="en-GB"/>
        </w:rPr>
        <w:tab/>
      </w:r>
      <w:r w:rsidRPr="008946B0">
        <w:rPr>
          <w:lang w:val="en-GB"/>
        </w:rPr>
        <w:t xml:space="preserve">Control Command and Signalling Technical Specifications for Interoperability. </w:t>
      </w:r>
      <w:hyperlink r:id="rId27">
        <w:r w:rsidRPr="008946B0">
          <w:rPr>
            <w:color w:val="0000FF"/>
            <w:w w:val="95"/>
            <w:u w:val="single" w:color="0000FF"/>
            <w:lang w:val="en-GB"/>
          </w:rPr>
          <w:t>http://www.era.europa.eu/Core-Activities/ERTMS/Pages/Current-Legal-Reference.aspx</w:t>
        </w:r>
      </w:hyperlink>
    </w:p>
    <w:p w14:paraId="76343EA6" w14:textId="77777777" w:rsidR="001815E1" w:rsidRPr="008946B0" w:rsidRDefault="001815E1" w:rsidP="001815E1">
      <w:pPr>
        <w:tabs>
          <w:tab w:val="left" w:pos="1706"/>
          <w:tab w:val="left" w:pos="1829"/>
        </w:tabs>
        <w:spacing w:before="40" w:after="40"/>
        <w:ind w:left="1922" w:right="1044" w:hanging="482"/>
        <w:rPr>
          <w:lang w:val="en-GB"/>
        </w:rPr>
      </w:pPr>
      <w:r w:rsidRPr="008946B0">
        <w:rPr>
          <w:position w:val="7"/>
          <w:sz w:val="13"/>
          <w:lang w:val="en-GB"/>
        </w:rPr>
        <w:t>5</w:t>
      </w:r>
      <w:r w:rsidRPr="008946B0">
        <w:rPr>
          <w:position w:val="7"/>
          <w:sz w:val="13"/>
          <w:lang w:val="en-GB"/>
        </w:rPr>
        <w:tab/>
      </w:r>
      <w:r w:rsidRPr="008946B0">
        <w:rPr>
          <w:lang w:val="en-GB"/>
        </w:rPr>
        <w:t>GSM-R refers to the radio elements of ERTMS (network and equipment) while R GSM is a designation for the frequency band 876-915 &amp; 921-960 MHz. This includes the public mobile GSM</w:t>
      </w:r>
      <w:r w:rsidRPr="008946B0">
        <w:rPr>
          <w:spacing w:val="-15"/>
          <w:lang w:val="en-GB"/>
        </w:rPr>
        <w:t xml:space="preserve"> </w:t>
      </w:r>
      <w:r w:rsidRPr="008946B0">
        <w:rPr>
          <w:lang w:val="en-GB"/>
        </w:rPr>
        <w:t>network.</w:t>
      </w:r>
    </w:p>
    <w:p w14:paraId="4D546CBA" w14:textId="77777777" w:rsidR="001815E1" w:rsidRPr="008946B0" w:rsidRDefault="001815E1" w:rsidP="001815E1">
      <w:pPr>
        <w:tabs>
          <w:tab w:val="left" w:pos="1706"/>
          <w:tab w:val="left" w:pos="1829"/>
        </w:tabs>
        <w:spacing w:before="40" w:after="40"/>
        <w:ind w:left="1922" w:right="2979" w:hanging="482"/>
        <w:rPr>
          <w:color w:val="0000FF"/>
          <w:u w:val="single" w:color="0000FF"/>
          <w:lang w:val="en-GB"/>
        </w:rPr>
      </w:pPr>
      <w:r w:rsidRPr="008946B0">
        <w:rPr>
          <w:position w:val="7"/>
          <w:sz w:val="13"/>
          <w:lang w:val="en-GB"/>
        </w:rPr>
        <w:t>6</w:t>
      </w:r>
      <w:r w:rsidRPr="008946B0">
        <w:rPr>
          <w:position w:val="7"/>
          <w:sz w:val="13"/>
          <w:lang w:val="en-GB"/>
        </w:rPr>
        <w:tab/>
      </w:r>
      <w:hyperlink r:id="rId28">
        <w:r w:rsidRPr="008946B0">
          <w:rPr>
            <w:color w:val="0000FF"/>
            <w:u w:val="single" w:color="0000FF"/>
            <w:lang w:val="en-GB"/>
          </w:rPr>
          <w:t>http://eur-lex.europa.eu/legal-content/EN/TXT/PDF/?uri=CELEX:01999D0569-</w:t>
        </w:r>
      </w:hyperlink>
      <w:r w:rsidRPr="008946B0">
        <w:rPr>
          <w:color w:val="0000FF"/>
          <w:lang w:val="en-GB"/>
        </w:rPr>
        <w:t xml:space="preserve"> </w:t>
      </w:r>
      <w:hyperlink r:id="rId29">
        <w:r w:rsidRPr="008946B0">
          <w:rPr>
            <w:color w:val="0000FF"/>
            <w:u w:val="single" w:color="0000FF"/>
            <w:lang w:val="en-GB"/>
          </w:rPr>
          <w:t>19990729&amp;qid=1519396120758&amp;from=EN</w:t>
        </w:r>
      </w:hyperlink>
    </w:p>
    <w:p w14:paraId="56C7626B" w14:textId="77777777" w:rsidR="001815E1" w:rsidRPr="008946B0" w:rsidRDefault="001815E1">
      <w:pPr>
        <w:rPr>
          <w:i/>
          <w:sz w:val="24"/>
          <w:lang w:val="en-GB"/>
        </w:rPr>
      </w:pPr>
      <w:r w:rsidRPr="008946B0">
        <w:rPr>
          <w:i/>
          <w:sz w:val="24"/>
          <w:lang w:val="en-GB"/>
        </w:rPr>
        <w:br w:type="page"/>
      </w:r>
    </w:p>
    <w:p w14:paraId="3ADBF051" w14:textId="187EE296" w:rsidR="001815E1" w:rsidRPr="008946B0" w:rsidRDefault="001815E1" w:rsidP="001815E1">
      <w:pPr>
        <w:spacing w:before="72"/>
        <w:ind w:left="1831" w:right="1030"/>
        <w:jc w:val="both"/>
        <w:rPr>
          <w:sz w:val="24"/>
          <w:lang w:val="en-GB"/>
        </w:rPr>
      </w:pPr>
      <w:r w:rsidRPr="008946B0">
        <w:rPr>
          <w:i/>
          <w:sz w:val="24"/>
          <w:lang w:val="en-GB"/>
        </w:rPr>
        <w:t xml:space="preserve">frequency bands used for GSM-R radio links shall be 876-880 MHz for the train-to- ground link and 921/925 MHz for the ground-to-train link". </w:t>
      </w:r>
      <w:r w:rsidRPr="008946B0">
        <w:rPr>
          <w:sz w:val="24"/>
          <w:lang w:val="en-GB"/>
        </w:rPr>
        <w:t xml:space="preserve">These bands are used on a shared basis with </w:t>
      </w:r>
      <w:proofErr w:type="gramStart"/>
      <w:r w:rsidRPr="008946B0">
        <w:rPr>
          <w:sz w:val="24"/>
          <w:lang w:val="en-GB"/>
        </w:rPr>
        <w:t>others</w:t>
      </w:r>
      <w:proofErr w:type="gramEnd"/>
      <w:r w:rsidRPr="008946B0">
        <w:rPr>
          <w:sz w:val="24"/>
          <w:lang w:val="en-GB"/>
        </w:rPr>
        <w:t xml:space="preserve"> usages at national level (e.g. Defence) to ensure an efficient usage of the spectrum while ensuring an effective coexistence of these different usages.</w:t>
      </w:r>
    </w:p>
    <w:p w14:paraId="229F179D" w14:textId="77777777" w:rsidR="001815E1" w:rsidRPr="008946B0" w:rsidRDefault="001815E1" w:rsidP="001815E1">
      <w:pPr>
        <w:pStyle w:val="BodyText"/>
        <w:spacing w:before="10"/>
        <w:rPr>
          <w:sz w:val="20"/>
        </w:rPr>
      </w:pPr>
    </w:p>
    <w:p w14:paraId="4C59A0C0" w14:textId="77777777" w:rsidR="001815E1" w:rsidRPr="008946B0" w:rsidRDefault="001815E1" w:rsidP="001815E1">
      <w:pPr>
        <w:pStyle w:val="BodyText"/>
        <w:ind w:left="1831" w:right="1032"/>
        <w:jc w:val="both"/>
      </w:pPr>
      <w:r w:rsidRPr="008946B0">
        <w:t>As telecommunication standards are evolving and new railway applications are needed, GSM technology will become obsolete at some stage. The manufacturing industry is unlikely to support the GSM technology after 2030 and given the long time needed for selecting a technology and making it ready for operation, work has started at various levels (UIC, ERA, CEPT, ETSI…) on the definition of the most suitable radio technology and frequency bands for railway communications of the next generation. CEPT is preparing two ECC reports, respectively on spectrum requirements and on candidate bands for the implementation of the successor to GSM-R.</w:t>
      </w:r>
    </w:p>
    <w:p w14:paraId="2578C0DD" w14:textId="77777777" w:rsidR="001815E1" w:rsidRPr="008946B0" w:rsidRDefault="001815E1" w:rsidP="001815E1">
      <w:pPr>
        <w:pStyle w:val="BodyText"/>
        <w:spacing w:before="226"/>
        <w:ind w:left="1831" w:right="1034"/>
        <w:jc w:val="both"/>
      </w:pPr>
      <w:r w:rsidRPr="008946B0">
        <w:t>In its Opinion on ITS published in February 2017</w:t>
      </w:r>
      <w:r w:rsidRPr="008946B0">
        <w:rPr>
          <w:position w:val="9"/>
          <w:sz w:val="16"/>
        </w:rPr>
        <w:t>7</w:t>
      </w:r>
      <w:r w:rsidRPr="008946B0">
        <w:t>, the RSPG highlighted that it will be important to ensure interoperability for FRMCS across Member States. A common approach to make spectrum available for the future railway mobile communications system across the EU would ease implementation.</w:t>
      </w:r>
    </w:p>
    <w:p w14:paraId="248BB355" w14:textId="77777777" w:rsidR="001815E1" w:rsidRPr="008946B0" w:rsidRDefault="001815E1" w:rsidP="001815E1">
      <w:pPr>
        <w:pStyle w:val="BodyText"/>
        <w:spacing w:before="10"/>
        <w:rPr>
          <w:sz w:val="20"/>
        </w:rPr>
      </w:pPr>
    </w:p>
    <w:p w14:paraId="1E6B7D93" w14:textId="77777777" w:rsidR="001815E1" w:rsidRPr="008946B0" w:rsidRDefault="001815E1" w:rsidP="001815E1">
      <w:pPr>
        <w:pStyle w:val="BodyText"/>
        <w:ind w:left="1829" w:right="1029"/>
        <w:jc w:val="both"/>
      </w:pPr>
      <w:r w:rsidRPr="008946B0">
        <w:t>Recent discussions in the Radio Spectrum Committee and CEPT have shown that the 874.4-880 MHz and 919.4-925 MHz bands as well as the 1 900-1 920 MHz band are the currently most prominent options under investigation for mission-critical operation purposes for the future rail mobile communication system. However, other frequency bands, for example 2 290-2 400 MHz on a tuning range basis are also still under investigation within CEPT as an alternative to the 1 900-1 920 MHz frequency band.</w:t>
      </w:r>
    </w:p>
    <w:p w14:paraId="1CBD4500" w14:textId="77777777" w:rsidR="001815E1" w:rsidRPr="008946B0" w:rsidRDefault="001815E1" w:rsidP="001815E1">
      <w:pPr>
        <w:pStyle w:val="BodyText"/>
        <w:spacing w:before="10"/>
        <w:rPr>
          <w:sz w:val="20"/>
        </w:rPr>
      </w:pPr>
    </w:p>
    <w:p w14:paraId="240CC740" w14:textId="77777777" w:rsidR="001815E1" w:rsidRPr="008946B0" w:rsidRDefault="001815E1" w:rsidP="001815E1">
      <w:pPr>
        <w:pStyle w:val="BodyText"/>
        <w:ind w:left="1829" w:right="1034"/>
        <w:jc w:val="both"/>
      </w:pPr>
      <w:r w:rsidRPr="008946B0">
        <w:t>Concerning the 900 MHz range, CEPT is still investigating the total spectrum requirement needed after the GSM R switch off to handle all existing and</w:t>
      </w:r>
      <w:r w:rsidRPr="008946B0">
        <w:rPr>
          <w:spacing w:val="32"/>
        </w:rPr>
        <w:t xml:space="preserve"> </w:t>
      </w:r>
      <w:r w:rsidRPr="008946B0">
        <w:t>new railway critical applications. Depending on the result of this CEPT investigation, the remaining spectrum could be considered for other applications such as SRD including RFID.</w:t>
      </w:r>
    </w:p>
    <w:p w14:paraId="1944A936" w14:textId="77777777" w:rsidR="001815E1" w:rsidRPr="008946B0" w:rsidRDefault="001815E1" w:rsidP="001815E1">
      <w:pPr>
        <w:pStyle w:val="BodyText"/>
        <w:spacing w:before="3"/>
        <w:rPr>
          <w:sz w:val="21"/>
        </w:rPr>
      </w:pPr>
    </w:p>
    <w:p w14:paraId="7A1C309D" w14:textId="6D54E695" w:rsidR="001815E1" w:rsidRPr="008946B0" w:rsidRDefault="001815E1" w:rsidP="001815E1">
      <w:pPr>
        <w:pStyle w:val="BodyText"/>
        <w:spacing w:line="235" w:lineRule="auto"/>
        <w:ind w:left="1829" w:right="1031"/>
        <w:jc w:val="both"/>
      </w:pPr>
      <w:r w:rsidRPr="008946B0">
        <w:t>Within CEPT, the 1 900-1 920 MHz is also identified as a possible band to respond to future needs for professional drones/UAS.  ETSI has proposed DECT  evolution  in   1 900-1 920 MHz</w:t>
      </w:r>
      <w:r w:rsidRPr="008946B0">
        <w:rPr>
          <w:position w:val="9"/>
          <w:sz w:val="16"/>
        </w:rPr>
        <w:t>8</w:t>
      </w:r>
      <w:r w:rsidRPr="008946B0">
        <w:t>. Above 1 920 MHz, the spectrum band is widely and heavily used by WBB</w:t>
      </w:r>
      <w:r w:rsidRPr="008946B0">
        <w:rPr>
          <w:spacing w:val="-7"/>
        </w:rPr>
        <w:t xml:space="preserve"> </w:t>
      </w:r>
      <w:r w:rsidRPr="008946B0">
        <w:t>ECS.</w:t>
      </w:r>
    </w:p>
    <w:p w14:paraId="6D1EC6AE" w14:textId="0B48B2A3" w:rsidR="001815E1" w:rsidRPr="008946B0" w:rsidRDefault="001815E1" w:rsidP="001815E1">
      <w:pPr>
        <w:pStyle w:val="BodyText"/>
        <w:spacing w:line="235" w:lineRule="auto"/>
        <w:ind w:left="1829" w:right="1031"/>
        <w:jc w:val="both"/>
      </w:pPr>
    </w:p>
    <w:p w14:paraId="7EF9CD03" w14:textId="4477D4D6" w:rsidR="001815E1" w:rsidRPr="008946B0" w:rsidRDefault="001815E1" w:rsidP="001815E1">
      <w:pPr>
        <w:pStyle w:val="BodyText"/>
        <w:spacing w:line="235" w:lineRule="auto"/>
        <w:ind w:left="1829" w:right="1031"/>
        <w:jc w:val="both"/>
      </w:pPr>
    </w:p>
    <w:p w14:paraId="442CFD4B" w14:textId="43A89E26" w:rsidR="001815E1" w:rsidRPr="008946B0" w:rsidRDefault="001815E1" w:rsidP="001815E1">
      <w:pPr>
        <w:pStyle w:val="BodyText"/>
        <w:spacing w:line="235" w:lineRule="auto"/>
        <w:ind w:left="1829" w:right="1031"/>
        <w:jc w:val="both"/>
      </w:pPr>
    </w:p>
    <w:p w14:paraId="36C7F3E4" w14:textId="6D8516DC" w:rsidR="001815E1" w:rsidRPr="008946B0" w:rsidRDefault="001815E1" w:rsidP="001815E1">
      <w:pPr>
        <w:pStyle w:val="BodyText"/>
        <w:spacing w:line="235" w:lineRule="auto"/>
        <w:ind w:left="1829" w:right="1031"/>
        <w:jc w:val="both"/>
      </w:pPr>
    </w:p>
    <w:p w14:paraId="25CAF5FA" w14:textId="1660BC50" w:rsidR="001815E1" w:rsidRPr="008946B0" w:rsidRDefault="001815E1" w:rsidP="001815E1">
      <w:pPr>
        <w:pStyle w:val="BodyText"/>
        <w:spacing w:line="235" w:lineRule="auto"/>
        <w:ind w:left="1829" w:right="1031"/>
        <w:jc w:val="both"/>
      </w:pPr>
    </w:p>
    <w:p w14:paraId="182507A1" w14:textId="0B71B677" w:rsidR="001815E1" w:rsidRPr="008946B0" w:rsidRDefault="001815E1" w:rsidP="001815E1">
      <w:pPr>
        <w:pStyle w:val="BodyText"/>
        <w:spacing w:line="235" w:lineRule="auto"/>
        <w:ind w:left="1829" w:right="1031"/>
        <w:jc w:val="both"/>
      </w:pPr>
    </w:p>
    <w:p w14:paraId="2471B1A6" w14:textId="77777777" w:rsidR="001815E1" w:rsidRPr="008946B0" w:rsidRDefault="001815E1" w:rsidP="001815E1">
      <w:pPr>
        <w:pStyle w:val="BodyText"/>
        <w:spacing w:line="235" w:lineRule="auto"/>
        <w:ind w:left="1829" w:right="1031"/>
        <w:jc w:val="both"/>
      </w:pPr>
    </w:p>
    <w:p w14:paraId="2681F97D" w14:textId="77777777" w:rsidR="001815E1" w:rsidRPr="008946B0" w:rsidRDefault="001815E1" w:rsidP="001815E1">
      <w:pPr>
        <w:pStyle w:val="BodyText"/>
        <w:spacing w:before="1"/>
        <w:rPr>
          <w:sz w:val="17"/>
        </w:rPr>
      </w:pPr>
      <w:r w:rsidRPr="008946B0">
        <w:rPr>
          <w:noProof/>
          <w:lang w:val="fr-FR" w:eastAsia="fr-FR" w:bidi="ar-SA"/>
        </w:rPr>
        <mc:AlternateContent>
          <mc:Choice Requires="wps">
            <w:drawing>
              <wp:anchor distT="0" distB="0" distL="0" distR="0" simplePos="0" relativeHeight="251661824" behindDoc="1" locked="0" layoutInCell="1" allowOverlap="1" wp14:anchorId="36DA78B4" wp14:editId="7655684F">
                <wp:simplePos x="0" y="0"/>
                <wp:positionH relativeFrom="page">
                  <wp:posOffset>1009015</wp:posOffset>
                </wp:positionH>
                <wp:positionV relativeFrom="paragraph">
                  <wp:posOffset>153670</wp:posOffset>
                </wp:positionV>
                <wp:extent cx="1829435" cy="1270"/>
                <wp:effectExtent l="0" t="0" r="0" b="0"/>
                <wp:wrapTopAndBottom/>
                <wp:docPr id="21" name="Freeform: 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589 1589"/>
                            <a:gd name="T1" fmla="*/ T0 w 2881"/>
                            <a:gd name="T2" fmla="+- 0 4470 1589"/>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45F11" id="Freeform: Shape 28" o:spid="_x0000_s1026" style="position:absolute;margin-left:79.45pt;margin-top:12.1pt;width:144.05pt;height:.1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" path="m,l2881,e" filled="f" strokeweight=".6pt">
                <v:path arrowok="t" o:connecttype="custom" o:connectlocs="0,0;1829435,0" o:connectangles="0,0"/>
                <w10:wrap type="topAndBottom" anchorx="page"/>
              </v:shape>
            </w:pict>
          </mc:Fallback>
        </mc:AlternateContent>
      </w:r>
    </w:p>
    <w:p w14:paraId="634CED06" w14:textId="77777777" w:rsidR="001815E1" w:rsidRPr="008946B0" w:rsidRDefault="001815E1" w:rsidP="001815E1">
      <w:pPr>
        <w:pStyle w:val="BodyText"/>
        <w:spacing w:before="9"/>
        <w:rPr>
          <w:sz w:val="18"/>
        </w:rPr>
      </w:pPr>
    </w:p>
    <w:p w14:paraId="192DFD5D" w14:textId="77777777" w:rsidR="001815E1" w:rsidRPr="008946B0" w:rsidRDefault="001815E1" w:rsidP="001815E1">
      <w:pPr>
        <w:tabs>
          <w:tab w:val="left" w:pos="1706"/>
        </w:tabs>
        <w:spacing w:before="94"/>
        <w:ind w:left="1706" w:right="2433" w:hanging="358"/>
        <w:rPr>
          <w:lang w:val="en-GB"/>
        </w:rPr>
      </w:pPr>
      <w:r w:rsidRPr="008946B0">
        <w:rPr>
          <w:position w:val="7"/>
          <w:sz w:val="13"/>
          <w:lang w:val="en-GB"/>
        </w:rPr>
        <w:t>7</w:t>
      </w:r>
      <w:r w:rsidRPr="008946B0">
        <w:rPr>
          <w:position w:val="7"/>
          <w:sz w:val="13"/>
          <w:lang w:val="en-GB"/>
        </w:rPr>
        <w:tab/>
      </w:r>
      <w:hyperlink r:id="rId30">
        <w:r w:rsidRPr="008946B0">
          <w:rPr>
            <w:color w:val="0000FF"/>
            <w:u w:val="single" w:color="0000FF"/>
            <w:lang w:val="en-GB"/>
          </w:rPr>
          <w:t>https://circabc.europa.eu/sd/a/b30590d7-5190-480b-b1d1-def24719e061/RSPG17-008-</w:t>
        </w:r>
      </w:hyperlink>
      <w:r w:rsidRPr="008946B0">
        <w:rPr>
          <w:color w:val="0000FF"/>
          <w:lang w:val="en-GB"/>
        </w:rPr>
        <w:t xml:space="preserve"> </w:t>
      </w:r>
      <w:hyperlink r:id="rId31">
        <w:r w:rsidRPr="008946B0">
          <w:rPr>
            <w:color w:val="0000FF"/>
            <w:u w:val="single" w:color="0000FF"/>
            <w:lang w:val="en-GB"/>
          </w:rPr>
          <w:t>Final_opinion_ITS.pdf</w:t>
        </w:r>
      </w:hyperlink>
    </w:p>
    <w:p w14:paraId="145D87C5" w14:textId="77777777" w:rsidR="001815E1" w:rsidRPr="008946B0" w:rsidRDefault="001815E1" w:rsidP="001815E1">
      <w:pPr>
        <w:pStyle w:val="BodyText"/>
        <w:spacing w:before="4"/>
        <w:rPr>
          <w:sz w:val="12"/>
        </w:rPr>
      </w:pPr>
    </w:p>
    <w:p w14:paraId="0051530B" w14:textId="26AF9826" w:rsidR="001815E1" w:rsidRPr="008946B0" w:rsidRDefault="001815E1" w:rsidP="00964F09">
      <w:pPr>
        <w:tabs>
          <w:tab w:val="left" w:pos="1706"/>
        </w:tabs>
        <w:spacing w:before="94"/>
        <w:ind w:left="1349"/>
        <w:rPr>
          <w:lang w:val="en-GB"/>
        </w:rPr>
      </w:pPr>
      <w:r w:rsidRPr="008946B0">
        <w:rPr>
          <w:position w:val="7"/>
          <w:sz w:val="13"/>
          <w:lang w:val="en-GB"/>
        </w:rPr>
        <w:t>8</w:t>
      </w:r>
      <w:r w:rsidRPr="008946B0">
        <w:rPr>
          <w:position w:val="7"/>
          <w:sz w:val="13"/>
          <w:lang w:val="en-GB"/>
        </w:rPr>
        <w:tab/>
      </w:r>
      <w:r w:rsidRPr="008946B0">
        <w:rPr>
          <w:lang w:val="en-GB"/>
        </w:rPr>
        <w:t>TR103 149</w:t>
      </w:r>
      <w:r w:rsidRPr="008946B0">
        <w:rPr>
          <w:spacing w:val="-1"/>
          <w:lang w:val="en-GB"/>
        </w:rPr>
        <w:t xml:space="preserve"> </w:t>
      </w:r>
      <w:r w:rsidRPr="008946B0">
        <w:rPr>
          <w:lang w:val="en-GB"/>
        </w:rPr>
        <w:t>(2013).</w:t>
      </w:r>
      <w:r w:rsidRPr="008946B0">
        <w:rPr>
          <w:lang w:val="en-GB"/>
        </w:rPr>
        <w:br w:type="page"/>
      </w:r>
    </w:p>
    <w:p w14:paraId="4AEB84BE" w14:textId="77777777" w:rsidR="001815E1" w:rsidRPr="008946B0" w:rsidRDefault="001815E1" w:rsidP="001815E1">
      <w:pPr>
        <w:tabs>
          <w:tab w:val="left" w:pos="1706"/>
        </w:tabs>
        <w:spacing w:before="94"/>
        <w:ind w:left="1349"/>
        <w:rPr>
          <w:lang w:val="en-GB"/>
        </w:rPr>
      </w:pPr>
    </w:p>
    <w:p w14:paraId="48504C42" w14:textId="77777777" w:rsidR="001815E1" w:rsidRPr="008946B0" w:rsidRDefault="001815E1" w:rsidP="001815E1">
      <w:pPr>
        <w:pStyle w:val="ListParagraph"/>
        <w:widowControl w:val="0"/>
        <w:numPr>
          <w:ilvl w:val="0"/>
          <w:numId w:val="9"/>
        </w:numPr>
        <w:tabs>
          <w:tab w:val="left" w:pos="1829"/>
          <w:tab w:val="left" w:pos="1830"/>
        </w:tabs>
        <w:autoSpaceDE w:val="0"/>
        <w:autoSpaceDN w:val="0"/>
        <w:spacing w:before="76" w:after="0" w:line="240" w:lineRule="auto"/>
        <w:ind w:left="1758" w:hanging="1049"/>
        <w:contextualSpacing w:val="0"/>
        <w:rPr>
          <w:b/>
          <w:sz w:val="19"/>
          <w:lang w:val="en-GB"/>
        </w:rPr>
      </w:pPr>
      <w:r w:rsidRPr="008946B0">
        <w:rPr>
          <w:b/>
          <w:sz w:val="24"/>
          <w:lang w:val="en-GB"/>
        </w:rPr>
        <w:t>J</w:t>
      </w:r>
      <w:r w:rsidRPr="008946B0">
        <w:rPr>
          <w:b/>
          <w:sz w:val="19"/>
          <w:lang w:val="en-GB"/>
        </w:rPr>
        <w:t>USTIFICATION</w:t>
      </w:r>
    </w:p>
    <w:p w14:paraId="4B8A6308" w14:textId="77777777" w:rsidR="001815E1" w:rsidRPr="008946B0" w:rsidRDefault="001815E1" w:rsidP="001815E1">
      <w:pPr>
        <w:pStyle w:val="BodyText"/>
        <w:spacing w:before="5"/>
        <w:ind w:left="1758" w:hanging="624"/>
        <w:rPr>
          <w:b/>
          <w:sz w:val="20"/>
        </w:rPr>
      </w:pPr>
    </w:p>
    <w:p w14:paraId="170608B2" w14:textId="77777777" w:rsidR="001815E1" w:rsidRPr="008946B0" w:rsidRDefault="001815E1" w:rsidP="001815E1">
      <w:pPr>
        <w:pStyle w:val="BodyText"/>
        <w:spacing w:before="1"/>
        <w:ind w:left="1985" w:right="1035"/>
        <w:jc w:val="both"/>
      </w:pPr>
      <w:r w:rsidRPr="008946B0">
        <w:t>Pursuant to Article 4(2) of the Radio Spectrum Decision</w:t>
      </w:r>
      <w:r w:rsidRPr="008946B0">
        <w:rPr>
          <w:position w:val="7"/>
          <w:sz w:val="13"/>
        </w:rPr>
        <w:t>9</w:t>
      </w:r>
      <w:r w:rsidRPr="008946B0">
        <w:t>, the Commission may issue mandates to the CEPT for the development of technical implementing measures with a view to ensuring harmonised conditions for the availability and efficient use of radio spectrum necessary for the functioning of the internal market. Such mandates shall set the tasks to be performed and their</w:t>
      </w:r>
      <w:r w:rsidRPr="008946B0">
        <w:rPr>
          <w:spacing w:val="-2"/>
        </w:rPr>
        <w:t xml:space="preserve"> </w:t>
      </w:r>
      <w:r w:rsidRPr="008946B0">
        <w:t>timetable.</w:t>
      </w:r>
    </w:p>
    <w:p w14:paraId="5D883F86" w14:textId="77777777" w:rsidR="001815E1" w:rsidRPr="008946B0" w:rsidRDefault="001815E1" w:rsidP="001815E1">
      <w:pPr>
        <w:spacing w:before="229" w:line="235" w:lineRule="auto"/>
        <w:ind w:left="1985" w:right="1033"/>
        <w:jc w:val="both"/>
        <w:rPr>
          <w:i/>
          <w:sz w:val="24"/>
          <w:lang w:val="en-GB"/>
        </w:rPr>
      </w:pPr>
      <w:r w:rsidRPr="008946B0">
        <w:rPr>
          <w:sz w:val="24"/>
          <w:lang w:val="en-GB"/>
        </w:rPr>
        <w:t>The Radio Spectrum Policy Programme</w:t>
      </w:r>
      <w:r w:rsidRPr="008946B0">
        <w:rPr>
          <w:position w:val="9"/>
          <w:sz w:val="16"/>
          <w:lang w:val="en-GB"/>
        </w:rPr>
        <w:t xml:space="preserve">10 </w:t>
      </w:r>
      <w:r w:rsidRPr="008946B0">
        <w:rPr>
          <w:sz w:val="24"/>
          <w:lang w:val="en-GB"/>
        </w:rPr>
        <w:t xml:space="preserve">(RSPP) requires that Member States, in cooperation with the Commission, ensure spectrum availability </w:t>
      </w:r>
      <w:r w:rsidRPr="008946B0">
        <w:rPr>
          <w:i/>
          <w:sz w:val="24"/>
          <w:lang w:val="en-GB"/>
        </w:rPr>
        <w:t>"improving transport systems (…) and for intelligent transport safety and transport management systems"</w:t>
      </w:r>
      <w:r w:rsidRPr="008946B0">
        <w:rPr>
          <w:i/>
          <w:position w:val="9"/>
          <w:sz w:val="16"/>
          <w:lang w:val="en-GB"/>
        </w:rPr>
        <w:t>11</w:t>
      </w:r>
      <w:r w:rsidRPr="008946B0">
        <w:rPr>
          <w:i/>
          <w:sz w:val="24"/>
          <w:lang w:val="en-GB"/>
        </w:rPr>
        <w:t>.</w:t>
      </w:r>
    </w:p>
    <w:p w14:paraId="4EF9CD9F" w14:textId="77777777" w:rsidR="001815E1" w:rsidRPr="008946B0" w:rsidRDefault="001815E1" w:rsidP="001815E1">
      <w:pPr>
        <w:pStyle w:val="BodyText"/>
        <w:spacing w:before="243"/>
        <w:ind w:left="1985" w:right="1033"/>
        <w:jc w:val="both"/>
      </w:pPr>
      <w:r w:rsidRPr="008946B0">
        <w:t>Noting the work of CEPT, ERA, UIC, the evolving work of ETSI and the wider cooperation among stakeholders, the EU regulatory framework on the harmonised use of radio spectrum for railways should be updated in order to take into account the spectrum needs for the future railway mobile communications system taking into account the required migration phase.</w:t>
      </w:r>
    </w:p>
    <w:p w14:paraId="605233B6" w14:textId="77777777" w:rsidR="001815E1" w:rsidRPr="008946B0" w:rsidRDefault="001815E1" w:rsidP="001815E1">
      <w:pPr>
        <w:pStyle w:val="BodyText"/>
        <w:spacing w:before="1"/>
        <w:ind w:left="1758" w:hanging="624"/>
        <w:rPr>
          <w:sz w:val="35"/>
        </w:rPr>
      </w:pPr>
    </w:p>
    <w:p w14:paraId="4C96BCFC" w14:textId="77777777" w:rsidR="001815E1" w:rsidRPr="008946B0" w:rsidRDefault="001815E1" w:rsidP="001815E1">
      <w:pPr>
        <w:pStyle w:val="ListParagraph"/>
        <w:widowControl w:val="0"/>
        <w:numPr>
          <w:ilvl w:val="0"/>
          <w:numId w:val="9"/>
        </w:numPr>
        <w:tabs>
          <w:tab w:val="left" w:pos="1829"/>
          <w:tab w:val="left" w:pos="1830"/>
        </w:tabs>
        <w:autoSpaceDE w:val="0"/>
        <w:autoSpaceDN w:val="0"/>
        <w:spacing w:after="0" w:line="240" w:lineRule="auto"/>
        <w:ind w:left="1758" w:hanging="1049"/>
        <w:contextualSpacing w:val="0"/>
        <w:rPr>
          <w:b/>
          <w:sz w:val="19"/>
          <w:lang w:val="en-GB"/>
        </w:rPr>
      </w:pPr>
      <w:r w:rsidRPr="008946B0">
        <w:rPr>
          <w:b/>
          <w:sz w:val="24"/>
          <w:lang w:val="en-GB"/>
        </w:rPr>
        <w:t>T</w:t>
      </w:r>
      <w:r w:rsidRPr="008946B0">
        <w:rPr>
          <w:b/>
          <w:sz w:val="19"/>
          <w:lang w:val="en-GB"/>
        </w:rPr>
        <w:t>ASK ORDER AND</w:t>
      </w:r>
      <w:r w:rsidRPr="008946B0">
        <w:rPr>
          <w:b/>
          <w:spacing w:val="-3"/>
          <w:sz w:val="19"/>
          <w:lang w:val="en-GB"/>
        </w:rPr>
        <w:t xml:space="preserve"> </w:t>
      </w:r>
      <w:r w:rsidRPr="008946B0">
        <w:rPr>
          <w:b/>
          <w:sz w:val="19"/>
          <w:lang w:val="en-GB"/>
        </w:rPr>
        <w:t>SCHEDULE</w:t>
      </w:r>
    </w:p>
    <w:p w14:paraId="4DDCF0A7" w14:textId="77777777" w:rsidR="001815E1" w:rsidRPr="008946B0" w:rsidRDefault="001815E1" w:rsidP="001815E1">
      <w:pPr>
        <w:pStyle w:val="BodyText"/>
        <w:tabs>
          <w:tab w:val="left" w:pos="1985"/>
        </w:tabs>
        <w:spacing w:before="5"/>
        <w:ind w:left="1758" w:firstLine="85"/>
        <w:rPr>
          <w:b/>
          <w:sz w:val="20"/>
        </w:rPr>
      </w:pPr>
    </w:p>
    <w:p w14:paraId="30092018" w14:textId="77777777" w:rsidR="001815E1" w:rsidRPr="008946B0" w:rsidRDefault="001815E1" w:rsidP="001815E1">
      <w:pPr>
        <w:pStyle w:val="BodyText"/>
        <w:tabs>
          <w:tab w:val="left" w:pos="1985"/>
        </w:tabs>
        <w:ind w:left="1843" w:right="1035"/>
        <w:jc w:val="both"/>
      </w:pPr>
      <w:r w:rsidRPr="008946B0">
        <w:t>In order to support a common approach to spectrum for the future railway mobile communications system across the EU, CEPT is mandated to carry out the following technical tasks:</w:t>
      </w:r>
    </w:p>
    <w:p w14:paraId="692101FF" w14:textId="77777777" w:rsidR="001815E1" w:rsidRPr="008946B0" w:rsidRDefault="001815E1" w:rsidP="001815E1">
      <w:pPr>
        <w:pStyle w:val="BodyText"/>
        <w:spacing w:before="10"/>
        <w:ind w:left="1758" w:hanging="624"/>
        <w:rPr>
          <w:sz w:val="20"/>
        </w:rPr>
      </w:pPr>
    </w:p>
    <w:p w14:paraId="32568634" w14:textId="77777777" w:rsidR="001815E1" w:rsidRPr="008946B0" w:rsidRDefault="001815E1" w:rsidP="001815E1">
      <w:pPr>
        <w:pStyle w:val="BodyText"/>
        <w:tabs>
          <w:tab w:val="left" w:pos="2789"/>
        </w:tabs>
        <w:ind w:left="2160" w:right="1030" w:hanging="884"/>
        <w:jc w:val="both"/>
      </w:pPr>
      <w:r w:rsidRPr="008946B0">
        <w:rPr>
          <w:b/>
        </w:rPr>
        <w:t>Task</w:t>
      </w:r>
      <w:r w:rsidRPr="008946B0">
        <w:rPr>
          <w:b/>
          <w:spacing w:val="-1"/>
        </w:rPr>
        <w:t xml:space="preserve"> </w:t>
      </w:r>
      <w:r w:rsidRPr="008946B0">
        <w:rPr>
          <w:b/>
        </w:rPr>
        <w:t>1</w:t>
      </w:r>
      <w:r w:rsidRPr="008946B0">
        <w:rPr>
          <w:b/>
        </w:rPr>
        <w:tab/>
      </w:r>
      <w:r w:rsidRPr="008946B0">
        <w:t>Assess the spectrum needs for mission critical operation of the future railway mobile radio communications system (successor system of GSM-R) in terms of required amount of spectrum and frequency ranges. Study solutions for the typical/average need and increased need at limited geographical areas (hotspots)</w:t>
      </w:r>
      <w:r w:rsidRPr="008946B0">
        <w:rPr>
          <w:spacing w:val="-1"/>
        </w:rPr>
        <w:t xml:space="preserve"> </w:t>
      </w:r>
      <w:r w:rsidRPr="008946B0">
        <w:t>separately.</w:t>
      </w:r>
    </w:p>
    <w:p w14:paraId="3C674851" w14:textId="77777777" w:rsidR="001815E1" w:rsidRPr="008946B0" w:rsidRDefault="001815E1" w:rsidP="001815E1">
      <w:pPr>
        <w:pStyle w:val="BodyText"/>
        <w:spacing w:before="1"/>
        <w:ind w:left="2160" w:hanging="884"/>
        <w:rPr>
          <w:sz w:val="21"/>
        </w:rPr>
      </w:pPr>
    </w:p>
    <w:p w14:paraId="614E1394" w14:textId="77777777" w:rsidR="001815E1" w:rsidRPr="008946B0" w:rsidRDefault="001815E1" w:rsidP="001815E1">
      <w:pPr>
        <w:pStyle w:val="BodyText"/>
        <w:tabs>
          <w:tab w:val="left" w:pos="2789"/>
        </w:tabs>
        <w:spacing w:line="237" w:lineRule="auto"/>
        <w:ind w:left="2160" w:right="1033" w:hanging="884"/>
        <w:jc w:val="both"/>
      </w:pPr>
      <w:r w:rsidRPr="008946B0">
        <w:rPr>
          <w:b/>
        </w:rPr>
        <w:t>Task 2</w:t>
      </w:r>
      <w:r w:rsidRPr="008946B0">
        <w:rPr>
          <w:b/>
        </w:rPr>
        <w:tab/>
      </w:r>
      <w:r w:rsidRPr="008946B0">
        <w:t xml:space="preserve">Based on results of task 1, assess the technical feasibility for operating the successor system in the 874.4-880 MHz / 919.4-925 MHz frequency band while ensuring simultaneous operation of GSM-R and the successor system in these bands during a migration period. In this regard, </w:t>
      </w:r>
      <w:proofErr w:type="gramStart"/>
      <w:r w:rsidRPr="008946B0">
        <w:t>take into account</w:t>
      </w:r>
      <w:proofErr w:type="gramEnd"/>
      <w:r w:rsidRPr="008946B0">
        <w:t xml:space="preserve"> the spectrum needs, requirements and reliability </w:t>
      </w:r>
      <w:proofErr w:type="spellStart"/>
      <w:r w:rsidRPr="008946B0">
        <w:t>needsof</w:t>
      </w:r>
      <w:proofErr w:type="spellEnd"/>
      <w:r w:rsidRPr="008946B0">
        <w:t xml:space="preserve"> the railway system and ensure coexistence  with  services  in  adjacent  bands  (ECS  below  915 MHz and above 925 MHz, SRD and</w:t>
      </w:r>
      <w:r w:rsidRPr="008946B0">
        <w:rPr>
          <w:spacing w:val="1"/>
        </w:rPr>
        <w:t xml:space="preserve"> </w:t>
      </w:r>
      <w:r w:rsidRPr="008946B0">
        <w:t>Defence)</w:t>
      </w:r>
      <w:r w:rsidRPr="008946B0">
        <w:rPr>
          <w:position w:val="9"/>
          <w:sz w:val="16"/>
        </w:rPr>
        <w:t>12</w:t>
      </w:r>
      <w:r w:rsidRPr="008946B0">
        <w:t>.</w:t>
      </w:r>
    </w:p>
    <w:p w14:paraId="0B5211E6" w14:textId="77777777" w:rsidR="001815E1" w:rsidRPr="008946B0" w:rsidRDefault="001815E1" w:rsidP="001815E1">
      <w:pPr>
        <w:pStyle w:val="BodyText"/>
        <w:tabs>
          <w:tab w:val="left" w:pos="2789"/>
        </w:tabs>
        <w:spacing w:before="242"/>
        <w:ind w:left="2160" w:right="1033" w:hanging="884"/>
        <w:jc w:val="both"/>
      </w:pPr>
      <w:r w:rsidRPr="008946B0">
        <w:rPr>
          <w:b/>
        </w:rPr>
        <w:t>Task 3</w:t>
      </w:r>
      <w:r w:rsidRPr="008946B0">
        <w:rPr>
          <w:b/>
        </w:rPr>
        <w:tab/>
      </w:r>
      <w:r w:rsidRPr="008946B0">
        <w:t>Based on results of task 1, assess the technical feasibility for operating the successor system (FRMCS) in part of the 1 900-1 920 MHz frequency</w:t>
      </w:r>
      <w:r w:rsidRPr="008946B0">
        <w:rPr>
          <w:spacing w:val="31"/>
        </w:rPr>
        <w:t xml:space="preserve"> </w:t>
      </w:r>
      <w:r w:rsidRPr="008946B0">
        <w:t>band</w:t>
      </w:r>
    </w:p>
    <w:p w14:paraId="66856511" w14:textId="77777777" w:rsidR="001815E1" w:rsidRPr="008946B0" w:rsidRDefault="001815E1" w:rsidP="001815E1">
      <w:pPr>
        <w:pStyle w:val="BodyText"/>
        <w:spacing w:before="8"/>
        <w:ind w:leftChars="1134" w:left="2892" w:hanging="624"/>
        <w:rPr>
          <w:sz w:val="10"/>
        </w:rPr>
      </w:pPr>
      <w:r w:rsidRPr="008946B0">
        <w:rPr>
          <w:noProof/>
          <w:lang w:val="fr-FR" w:eastAsia="fr-FR" w:bidi="ar-SA"/>
        </w:rPr>
        <mc:AlternateContent>
          <mc:Choice Requires="wps">
            <w:drawing>
              <wp:anchor distT="0" distB="0" distL="0" distR="0" simplePos="0" relativeHeight="251662848" behindDoc="1" locked="0" layoutInCell="1" allowOverlap="1" wp14:anchorId="458F8427" wp14:editId="2DCDA3E9">
                <wp:simplePos x="0" y="0"/>
                <wp:positionH relativeFrom="page">
                  <wp:posOffset>1009015</wp:posOffset>
                </wp:positionH>
                <wp:positionV relativeFrom="paragraph">
                  <wp:posOffset>106680</wp:posOffset>
                </wp:positionV>
                <wp:extent cx="1829435" cy="1270"/>
                <wp:effectExtent l="8890" t="12065" r="9525" b="5715"/>
                <wp:wrapTopAndBottom/>
                <wp:docPr id="22" name="Freeform: 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589 1589"/>
                            <a:gd name="T1" fmla="*/ T0 w 2881"/>
                            <a:gd name="T2" fmla="+- 0 4470 1589"/>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6BC04" id="Freeform: Shape 29" o:spid="_x0000_s1026" style="position:absolute;margin-left:79.45pt;margin-top:8.4pt;width:144.05pt;height:.1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" path="m,l2881,e" filled="f" strokeweight=".6pt">
                <v:path arrowok="t" o:connecttype="custom" o:connectlocs="0,0;1829435,0" o:connectangles="0,0"/>
                <w10:wrap type="topAndBottom" anchorx="page"/>
              </v:shape>
            </w:pict>
          </mc:Fallback>
        </mc:AlternateContent>
      </w:r>
    </w:p>
    <w:p w14:paraId="26832614" w14:textId="77777777" w:rsidR="001815E1" w:rsidRPr="008946B0" w:rsidRDefault="001815E1" w:rsidP="001815E1">
      <w:pPr>
        <w:pStyle w:val="BodyText"/>
        <w:spacing w:before="9"/>
        <w:ind w:leftChars="1134" w:left="2892" w:hanging="624"/>
        <w:rPr>
          <w:sz w:val="18"/>
        </w:rPr>
      </w:pPr>
    </w:p>
    <w:p w14:paraId="10588C22" w14:textId="77777777" w:rsidR="001815E1" w:rsidRPr="008946B0" w:rsidRDefault="001815E1" w:rsidP="001815E1">
      <w:pPr>
        <w:spacing w:before="40" w:after="40"/>
        <w:ind w:left="2064" w:right="1043" w:hanging="624"/>
        <w:rPr>
          <w:lang w:val="en-GB"/>
        </w:rPr>
      </w:pPr>
      <w:r w:rsidRPr="008946B0">
        <w:rPr>
          <w:position w:val="7"/>
          <w:sz w:val="13"/>
          <w:lang w:val="en-GB"/>
        </w:rPr>
        <w:t xml:space="preserve">9 </w:t>
      </w:r>
      <w:r w:rsidRPr="008946B0">
        <w:rPr>
          <w:lang w:val="en-GB"/>
        </w:rPr>
        <w:t>Decision 676/2002/EC of the European Parliament and of the Council of 7 March 2002 on a regulatory framework for radio spectrum policy in the European Community, OJ L108 of 24.4.2002.</w:t>
      </w:r>
    </w:p>
    <w:p w14:paraId="3004B70A" w14:textId="77777777" w:rsidR="001815E1" w:rsidRPr="008946B0" w:rsidRDefault="001815E1" w:rsidP="001815E1">
      <w:pPr>
        <w:tabs>
          <w:tab w:val="left" w:pos="1706"/>
        </w:tabs>
        <w:spacing w:before="40" w:after="40"/>
        <w:ind w:left="1655"/>
        <w:rPr>
          <w:lang w:val="en-GB"/>
        </w:rPr>
      </w:pPr>
      <w:r w:rsidRPr="008946B0">
        <w:rPr>
          <w:position w:val="7"/>
          <w:sz w:val="13"/>
          <w:lang w:val="en-GB"/>
        </w:rPr>
        <w:t>10</w:t>
      </w:r>
      <w:r w:rsidRPr="008946B0">
        <w:rPr>
          <w:position w:val="7"/>
          <w:sz w:val="13"/>
          <w:lang w:val="en-GB"/>
        </w:rPr>
        <w:tab/>
      </w:r>
      <w:r w:rsidRPr="008946B0">
        <w:rPr>
          <w:lang w:val="en-GB"/>
        </w:rPr>
        <w:t>Decision 243/2012/EU of 14 March 2012, OJ L81 of</w:t>
      </w:r>
      <w:r w:rsidRPr="008946B0">
        <w:rPr>
          <w:spacing w:val="-9"/>
          <w:lang w:val="en-GB"/>
        </w:rPr>
        <w:t xml:space="preserve"> </w:t>
      </w:r>
      <w:r w:rsidRPr="008946B0">
        <w:rPr>
          <w:lang w:val="en-GB"/>
        </w:rPr>
        <w:t>21.3.2012.</w:t>
      </w:r>
    </w:p>
    <w:p w14:paraId="3FEEC76F" w14:textId="77777777" w:rsidR="001815E1" w:rsidRPr="008946B0" w:rsidRDefault="001815E1" w:rsidP="001815E1">
      <w:pPr>
        <w:tabs>
          <w:tab w:val="left" w:pos="1706"/>
        </w:tabs>
        <w:spacing w:before="40" w:after="40"/>
        <w:ind w:left="1655"/>
        <w:rPr>
          <w:lang w:val="en-GB"/>
        </w:rPr>
      </w:pPr>
      <w:r w:rsidRPr="008946B0">
        <w:rPr>
          <w:position w:val="7"/>
          <w:sz w:val="13"/>
          <w:lang w:val="en-GB"/>
        </w:rPr>
        <w:t>11</w:t>
      </w:r>
      <w:r w:rsidRPr="008946B0">
        <w:rPr>
          <w:position w:val="7"/>
          <w:sz w:val="13"/>
          <w:lang w:val="en-GB"/>
        </w:rPr>
        <w:tab/>
      </w:r>
      <w:r w:rsidRPr="008946B0">
        <w:rPr>
          <w:lang w:val="en-GB"/>
        </w:rPr>
        <w:t>Article 8 (1) of the</w:t>
      </w:r>
      <w:r w:rsidRPr="008946B0">
        <w:rPr>
          <w:spacing w:val="-2"/>
          <w:lang w:val="en-GB"/>
        </w:rPr>
        <w:t xml:space="preserve"> </w:t>
      </w:r>
      <w:r w:rsidRPr="008946B0">
        <w:rPr>
          <w:lang w:val="en-GB"/>
        </w:rPr>
        <w:t>RSPP.</w:t>
      </w:r>
    </w:p>
    <w:p w14:paraId="4665CE22" w14:textId="77777777" w:rsidR="001815E1" w:rsidRPr="008946B0" w:rsidRDefault="001815E1" w:rsidP="001815E1">
      <w:pPr>
        <w:spacing w:before="40" w:after="40"/>
        <w:ind w:left="1655"/>
        <w:rPr>
          <w:lang w:val="en-GB"/>
        </w:rPr>
      </w:pPr>
      <w:r w:rsidRPr="008946B0">
        <w:rPr>
          <w:position w:val="7"/>
          <w:sz w:val="13"/>
          <w:lang w:val="en-GB"/>
        </w:rPr>
        <w:t xml:space="preserve">12 </w:t>
      </w:r>
      <w:proofErr w:type="spellStart"/>
      <w:r w:rsidRPr="008946B0">
        <w:rPr>
          <w:lang w:val="en-GB"/>
        </w:rPr>
        <w:t>Cfr</w:t>
      </w:r>
      <w:proofErr w:type="spellEnd"/>
      <w:r w:rsidRPr="008946B0">
        <w:rPr>
          <w:lang w:val="en-GB"/>
        </w:rPr>
        <w:t>. RSCOM17-50 and RSCOM17-60</w:t>
      </w:r>
    </w:p>
    <w:p w14:paraId="4AA1BBE7" w14:textId="77777777" w:rsidR="001815E1" w:rsidRPr="008946B0" w:rsidRDefault="001815E1" w:rsidP="001815E1">
      <w:pPr>
        <w:rPr>
          <w:rFonts w:ascii="Times New Roman" w:hAnsi="Times New Roman"/>
          <w:sz w:val="24"/>
          <w:lang w:val="en-GB" w:eastAsia="en-GB" w:bidi="en-GB"/>
        </w:rPr>
      </w:pPr>
      <w:r w:rsidRPr="008946B0">
        <w:rPr>
          <w:lang w:val="en-GB"/>
        </w:rPr>
        <w:br w:type="page"/>
      </w:r>
    </w:p>
    <w:p w14:paraId="39B266AF" w14:textId="77777777" w:rsidR="001815E1" w:rsidRPr="008946B0" w:rsidRDefault="001815E1" w:rsidP="001815E1">
      <w:pPr>
        <w:pStyle w:val="BodyText"/>
        <w:spacing w:before="72"/>
        <w:ind w:left="2789" w:right="1033"/>
        <w:jc w:val="both"/>
      </w:pPr>
      <w:r w:rsidRPr="008946B0">
        <w:t xml:space="preserve">in addition to the band mentioned in task 2 while </w:t>
      </w:r>
      <w:proofErr w:type="gramStart"/>
      <w:r w:rsidRPr="008946B0">
        <w:t>taking into account</w:t>
      </w:r>
      <w:proofErr w:type="gramEnd"/>
      <w:r w:rsidRPr="008946B0">
        <w:t xml:space="preserve"> the specific requirements of the railway system and ensuring coexistence with adjacent use. In this regard, study the impact of shared use between the railway system and other systems under study within this band, with the objective of safeguarding the railway system. In addition, and if necessary, assess the technical feasibility for operating the successor system (FRMCS) in another frequency band.</w:t>
      </w:r>
    </w:p>
    <w:p w14:paraId="0C1A1248" w14:textId="77777777" w:rsidR="001815E1" w:rsidRPr="008946B0" w:rsidRDefault="001815E1" w:rsidP="001815E1">
      <w:pPr>
        <w:pStyle w:val="BodyText"/>
        <w:spacing w:before="10"/>
        <w:rPr>
          <w:sz w:val="20"/>
        </w:rPr>
      </w:pPr>
    </w:p>
    <w:p w14:paraId="5F3C0B4D" w14:textId="77777777" w:rsidR="001815E1" w:rsidRPr="008946B0" w:rsidRDefault="001815E1" w:rsidP="001815E1">
      <w:pPr>
        <w:pStyle w:val="BodyText"/>
        <w:tabs>
          <w:tab w:val="left" w:pos="2789"/>
        </w:tabs>
        <w:ind w:left="2789" w:right="1032" w:hanging="1440"/>
        <w:jc w:val="both"/>
      </w:pPr>
      <w:r w:rsidRPr="008946B0">
        <w:rPr>
          <w:b/>
        </w:rPr>
        <w:t>Task 4</w:t>
      </w:r>
      <w:r w:rsidRPr="008946B0">
        <w:rPr>
          <w:b/>
        </w:rPr>
        <w:tab/>
      </w:r>
      <w:r w:rsidRPr="008946B0">
        <w:t xml:space="preserve">Study and assess the technical feasibility and scenarios of using commercial mobile networks, </w:t>
      </w:r>
      <w:proofErr w:type="gramStart"/>
      <w:r w:rsidRPr="008946B0">
        <w:t>taking into account</w:t>
      </w:r>
      <w:proofErr w:type="gramEnd"/>
      <w:r w:rsidRPr="008946B0">
        <w:t xml:space="preserve"> wireless coverage and reliability needs of the railway</w:t>
      </w:r>
      <w:r w:rsidRPr="008946B0">
        <w:rPr>
          <w:spacing w:val="-5"/>
        </w:rPr>
        <w:t xml:space="preserve"> </w:t>
      </w:r>
      <w:r w:rsidRPr="008946B0">
        <w:t>system.</w:t>
      </w:r>
    </w:p>
    <w:p w14:paraId="1D8A7D30" w14:textId="77777777" w:rsidR="001815E1" w:rsidRPr="008946B0" w:rsidRDefault="001815E1" w:rsidP="001815E1">
      <w:pPr>
        <w:pStyle w:val="BodyText"/>
        <w:spacing w:before="10"/>
        <w:rPr>
          <w:sz w:val="20"/>
        </w:rPr>
      </w:pPr>
    </w:p>
    <w:p w14:paraId="64F169B6" w14:textId="77777777" w:rsidR="001815E1" w:rsidRPr="008946B0" w:rsidRDefault="001815E1" w:rsidP="001815E1">
      <w:pPr>
        <w:pStyle w:val="BodyText"/>
        <w:tabs>
          <w:tab w:val="left" w:pos="2789"/>
        </w:tabs>
        <w:ind w:left="2789" w:right="1033" w:hanging="1440"/>
        <w:jc w:val="both"/>
      </w:pPr>
      <w:r w:rsidRPr="008946B0">
        <w:rPr>
          <w:b/>
        </w:rPr>
        <w:t>Task 5</w:t>
      </w:r>
      <w:r w:rsidRPr="008946B0">
        <w:rPr>
          <w:b/>
        </w:rPr>
        <w:tab/>
      </w:r>
      <w:r w:rsidRPr="008946B0">
        <w:t>Assess the best option for long term development of FRMCS and develop EU-harmonised technical conditions, possibly for shared spectrum use, for the future railway mobile radio communications system, which are suitable for both the migration period and after the GSM-R switch-off, taking into account the results of tasks 1, 2, 3 and</w:t>
      </w:r>
      <w:r w:rsidRPr="008946B0">
        <w:rPr>
          <w:spacing w:val="-2"/>
        </w:rPr>
        <w:t xml:space="preserve"> </w:t>
      </w:r>
      <w:r w:rsidRPr="008946B0">
        <w:t>4.</w:t>
      </w:r>
    </w:p>
    <w:p w14:paraId="1C714BB4" w14:textId="77777777" w:rsidR="001815E1" w:rsidRPr="008946B0" w:rsidRDefault="001815E1" w:rsidP="001815E1">
      <w:pPr>
        <w:pStyle w:val="BodyText"/>
        <w:spacing w:before="11"/>
        <w:rPr>
          <w:sz w:val="20"/>
        </w:rPr>
      </w:pPr>
    </w:p>
    <w:p w14:paraId="4171F109" w14:textId="77777777" w:rsidR="001815E1" w:rsidRPr="008946B0" w:rsidRDefault="001815E1" w:rsidP="001815E1">
      <w:pPr>
        <w:pStyle w:val="BodyText"/>
        <w:ind w:left="1349" w:right="1031"/>
        <w:jc w:val="both"/>
      </w:pPr>
      <w:r w:rsidRPr="008946B0">
        <w:t>In performing the tasks above, CEPT should take due consideration of the anticipated simultaneous operation between GSM-R and the future railway mobile communications system for several years, which may necessitate a solution for temporary supplementary spectrum allocation for the migration period. During the migration period, pan-European railway interoperability rules are assumed to continue relying on GSM-R carriers within 876-880 / 921-925 MHz frequency bands.</w:t>
      </w:r>
    </w:p>
    <w:p w14:paraId="4B38CC65" w14:textId="77777777" w:rsidR="001815E1" w:rsidRPr="008946B0" w:rsidRDefault="001815E1" w:rsidP="001815E1">
      <w:pPr>
        <w:pStyle w:val="BodyText"/>
        <w:spacing w:before="10"/>
        <w:rPr>
          <w:sz w:val="20"/>
        </w:rPr>
      </w:pPr>
    </w:p>
    <w:p w14:paraId="5D062EA2" w14:textId="77777777" w:rsidR="001815E1" w:rsidRPr="008946B0" w:rsidRDefault="001815E1" w:rsidP="001815E1">
      <w:pPr>
        <w:pStyle w:val="BodyText"/>
        <w:ind w:left="1349" w:right="1036"/>
        <w:jc w:val="both"/>
      </w:pPr>
      <w:r w:rsidRPr="008946B0">
        <w:t>CEPT should work in cooperation with ETSI, as appropriate. CEPT should also ensure close cooperation with all concerned stakeholders when assessing scenarios and developing technical conditions for the shared use of spectrum. It is assumed that receiver characteristics of the future railway mobile communications system (for user terminals and possibly base stations) should fulfil the specific railway availability requirements and ensure appropriate co-existence with services in adjacent</w:t>
      </w:r>
      <w:r w:rsidRPr="008946B0">
        <w:rPr>
          <w:spacing w:val="-2"/>
        </w:rPr>
        <w:t xml:space="preserve"> </w:t>
      </w:r>
      <w:r w:rsidRPr="008946B0">
        <w:t>bands.</w:t>
      </w:r>
    </w:p>
    <w:p w14:paraId="5137E4ED" w14:textId="77777777" w:rsidR="001815E1" w:rsidRPr="008946B0" w:rsidRDefault="001815E1" w:rsidP="001815E1">
      <w:pPr>
        <w:pStyle w:val="BodyText"/>
        <w:spacing w:before="11"/>
        <w:rPr>
          <w:sz w:val="20"/>
        </w:rPr>
      </w:pPr>
    </w:p>
    <w:p w14:paraId="68563D66" w14:textId="77777777" w:rsidR="001815E1" w:rsidRPr="008946B0" w:rsidRDefault="001815E1" w:rsidP="001815E1">
      <w:pPr>
        <w:pStyle w:val="BodyText"/>
        <w:ind w:left="1349" w:right="1033"/>
        <w:jc w:val="both"/>
      </w:pPr>
      <w:r w:rsidRPr="008946B0">
        <w:t>In the work carried out under the Mandate, the overall policy objectives of the Radio Spectrum Policy Programme (RSPP) such as effective and efficient spectrum use and the support for specific Union policies shall be given utmost consideration. When carrying out studies based on this Mandate, the CEPT shall, whenever relevant, take utmost account of the applicable EU law and support the principles of service and technological neutrality, non-discrimination and proportionality insofar as technically possible.</w:t>
      </w:r>
    </w:p>
    <w:p w14:paraId="4F7E6212" w14:textId="77777777" w:rsidR="001815E1" w:rsidRPr="008946B0" w:rsidRDefault="001815E1" w:rsidP="001815E1">
      <w:pPr>
        <w:pStyle w:val="BodyText"/>
        <w:spacing w:before="10"/>
        <w:rPr>
          <w:sz w:val="20"/>
        </w:rPr>
      </w:pPr>
    </w:p>
    <w:p w14:paraId="3E853B95" w14:textId="77777777" w:rsidR="001815E1" w:rsidRPr="008946B0" w:rsidRDefault="001815E1" w:rsidP="001815E1">
      <w:pPr>
        <w:pStyle w:val="BodyText"/>
        <w:ind w:left="1349" w:right="1035"/>
        <w:jc w:val="both"/>
      </w:pPr>
      <w:r w:rsidRPr="008946B0">
        <w:t>CEPT should provide deliverables under this Mandate according to the following schedule:</w:t>
      </w:r>
    </w:p>
    <w:p w14:paraId="184BA450" w14:textId="77777777" w:rsidR="001815E1" w:rsidRPr="008946B0" w:rsidRDefault="001815E1" w:rsidP="001815E1">
      <w:pPr>
        <w:pStyle w:val="BodyText"/>
        <w:rPr>
          <w:sz w:val="20"/>
        </w:rPr>
      </w:pPr>
    </w:p>
    <w:p w14:paraId="28EB5B18" w14:textId="77777777" w:rsidR="001815E1" w:rsidRPr="008946B0" w:rsidRDefault="001815E1" w:rsidP="001815E1">
      <w:pPr>
        <w:pStyle w:val="BodyText"/>
        <w:spacing w:before="4"/>
        <w:rPr>
          <w:sz w:val="25"/>
        </w:rPr>
      </w:pPr>
    </w:p>
    <w:tbl>
      <w:tblPr>
        <w:tblW w:w="0" w:type="auto"/>
        <w:tblInd w:w="1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3"/>
        <w:gridCol w:w="4201"/>
        <w:gridCol w:w="2924"/>
      </w:tblGrid>
      <w:tr w:rsidR="001815E1" w:rsidRPr="008946B0" w14:paraId="4258036E" w14:textId="77777777" w:rsidTr="001815E1">
        <w:trPr>
          <w:trHeight w:val="516"/>
        </w:trPr>
        <w:tc>
          <w:tcPr>
            <w:tcW w:w="1853" w:type="dxa"/>
          </w:tcPr>
          <w:p w14:paraId="68126CE0" w14:textId="77777777" w:rsidR="001815E1" w:rsidRPr="008946B0" w:rsidRDefault="001815E1" w:rsidP="001815E1">
            <w:pPr>
              <w:pStyle w:val="TableParagraph"/>
              <w:spacing w:line="275" w:lineRule="exact"/>
              <w:rPr>
                <w:b/>
                <w:sz w:val="24"/>
              </w:rPr>
            </w:pPr>
            <w:r w:rsidRPr="008946B0">
              <w:rPr>
                <w:b/>
                <w:sz w:val="24"/>
              </w:rPr>
              <w:t>Delivery date</w:t>
            </w:r>
          </w:p>
        </w:tc>
        <w:tc>
          <w:tcPr>
            <w:tcW w:w="4201" w:type="dxa"/>
          </w:tcPr>
          <w:p w14:paraId="25E7C051" w14:textId="77777777" w:rsidR="001815E1" w:rsidRPr="008946B0" w:rsidRDefault="001815E1" w:rsidP="001815E1">
            <w:pPr>
              <w:pStyle w:val="TableParagraph"/>
              <w:spacing w:line="275" w:lineRule="exact"/>
              <w:rPr>
                <w:b/>
                <w:sz w:val="24"/>
              </w:rPr>
            </w:pPr>
            <w:r w:rsidRPr="008946B0">
              <w:rPr>
                <w:b/>
                <w:sz w:val="24"/>
              </w:rPr>
              <w:t>Deliverable</w:t>
            </w:r>
          </w:p>
        </w:tc>
        <w:tc>
          <w:tcPr>
            <w:tcW w:w="2924" w:type="dxa"/>
          </w:tcPr>
          <w:p w14:paraId="46C9AF54" w14:textId="77777777" w:rsidR="001815E1" w:rsidRPr="008946B0" w:rsidRDefault="001815E1" w:rsidP="001815E1">
            <w:pPr>
              <w:pStyle w:val="TableParagraph"/>
              <w:spacing w:line="275" w:lineRule="exact"/>
              <w:rPr>
                <w:b/>
                <w:sz w:val="24"/>
              </w:rPr>
            </w:pPr>
            <w:r w:rsidRPr="008946B0">
              <w:rPr>
                <w:b/>
                <w:sz w:val="24"/>
              </w:rPr>
              <w:t>Subject</w:t>
            </w:r>
          </w:p>
        </w:tc>
      </w:tr>
      <w:tr w:rsidR="001815E1" w:rsidRPr="008946B0" w14:paraId="5B09805C" w14:textId="77777777" w:rsidTr="001815E1">
        <w:trPr>
          <w:trHeight w:val="791"/>
        </w:trPr>
        <w:tc>
          <w:tcPr>
            <w:tcW w:w="1853" w:type="dxa"/>
          </w:tcPr>
          <w:p w14:paraId="45886B9A" w14:textId="77777777" w:rsidR="001815E1" w:rsidRPr="008946B0" w:rsidRDefault="001815E1" w:rsidP="001815E1">
            <w:pPr>
              <w:pStyle w:val="TableParagraph"/>
              <w:spacing w:line="270" w:lineRule="exact"/>
              <w:rPr>
                <w:sz w:val="24"/>
              </w:rPr>
            </w:pPr>
            <w:r w:rsidRPr="008946B0">
              <w:rPr>
                <w:sz w:val="24"/>
              </w:rPr>
              <w:t>March 2020</w:t>
            </w:r>
          </w:p>
        </w:tc>
        <w:tc>
          <w:tcPr>
            <w:tcW w:w="4201" w:type="dxa"/>
          </w:tcPr>
          <w:p w14:paraId="1D94C837" w14:textId="77777777" w:rsidR="001815E1" w:rsidRPr="008946B0" w:rsidRDefault="001815E1" w:rsidP="001815E1">
            <w:pPr>
              <w:pStyle w:val="TableParagraph"/>
              <w:rPr>
                <w:sz w:val="24"/>
              </w:rPr>
            </w:pPr>
            <w:r w:rsidRPr="008946B0">
              <w:rPr>
                <w:sz w:val="24"/>
              </w:rPr>
              <w:t>Final draft CEPT Report A to the Commission</w:t>
            </w:r>
          </w:p>
        </w:tc>
        <w:tc>
          <w:tcPr>
            <w:tcW w:w="2924" w:type="dxa"/>
          </w:tcPr>
          <w:p w14:paraId="6FD1B494" w14:textId="77777777" w:rsidR="001815E1" w:rsidRPr="008946B0" w:rsidRDefault="001815E1" w:rsidP="001815E1">
            <w:pPr>
              <w:pStyle w:val="TableParagraph"/>
              <w:ind w:right="80"/>
              <w:rPr>
                <w:sz w:val="24"/>
              </w:rPr>
            </w:pPr>
            <w:r w:rsidRPr="008946B0">
              <w:rPr>
                <w:sz w:val="24"/>
              </w:rPr>
              <w:t>Draft results under tasks 1, 2, 3 and 4</w:t>
            </w:r>
          </w:p>
        </w:tc>
      </w:tr>
      <w:tr w:rsidR="001815E1" w:rsidRPr="008946B0" w14:paraId="32398E74" w14:textId="77777777" w:rsidTr="001815E1">
        <w:trPr>
          <w:trHeight w:val="1067"/>
        </w:trPr>
        <w:tc>
          <w:tcPr>
            <w:tcW w:w="1853" w:type="dxa"/>
          </w:tcPr>
          <w:p w14:paraId="168E2729" w14:textId="77777777" w:rsidR="001815E1" w:rsidRPr="008946B0" w:rsidRDefault="001815E1" w:rsidP="001815E1">
            <w:pPr>
              <w:pStyle w:val="TableParagraph"/>
              <w:spacing w:line="273" w:lineRule="exact"/>
              <w:rPr>
                <w:sz w:val="24"/>
              </w:rPr>
            </w:pPr>
            <w:r w:rsidRPr="008946B0">
              <w:rPr>
                <w:sz w:val="24"/>
              </w:rPr>
              <w:t>July 2020</w:t>
            </w:r>
          </w:p>
        </w:tc>
        <w:tc>
          <w:tcPr>
            <w:tcW w:w="4201" w:type="dxa"/>
          </w:tcPr>
          <w:p w14:paraId="66810C49" w14:textId="77777777" w:rsidR="001815E1" w:rsidRPr="008946B0" w:rsidRDefault="001815E1" w:rsidP="001815E1">
            <w:pPr>
              <w:pStyle w:val="TableParagraph"/>
              <w:ind w:right="95"/>
              <w:jc w:val="both"/>
              <w:rPr>
                <w:sz w:val="24"/>
              </w:rPr>
            </w:pPr>
            <w:r w:rsidRPr="008946B0">
              <w:rPr>
                <w:sz w:val="24"/>
              </w:rPr>
              <w:t xml:space="preserve">Final CEPT Report A to the Commission </w:t>
            </w:r>
            <w:proofErr w:type="gramStart"/>
            <w:r w:rsidRPr="008946B0">
              <w:rPr>
                <w:sz w:val="24"/>
              </w:rPr>
              <w:t>taking into account</w:t>
            </w:r>
            <w:proofErr w:type="gramEnd"/>
            <w:r w:rsidRPr="008946B0">
              <w:rPr>
                <w:sz w:val="24"/>
              </w:rPr>
              <w:t xml:space="preserve"> the outcome of the public consultation</w:t>
            </w:r>
          </w:p>
        </w:tc>
        <w:tc>
          <w:tcPr>
            <w:tcW w:w="2924" w:type="dxa"/>
          </w:tcPr>
          <w:p w14:paraId="7FC135CA" w14:textId="77777777" w:rsidR="001815E1" w:rsidRPr="008946B0" w:rsidRDefault="001815E1" w:rsidP="001815E1">
            <w:pPr>
              <w:pStyle w:val="TableParagraph"/>
              <w:ind w:right="80"/>
              <w:rPr>
                <w:sz w:val="24"/>
              </w:rPr>
            </w:pPr>
            <w:r w:rsidRPr="008946B0">
              <w:rPr>
                <w:sz w:val="24"/>
              </w:rPr>
              <w:t>Final results under tasks 1, 2, 3 and 4</w:t>
            </w:r>
          </w:p>
        </w:tc>
      </w:tr>
      <w:tr w:rsidR="001815E1" w:rsidRPr="008946B0" w14:paraId="2C29DEE8" w14:textId="77777777" w:rsidTr="001815E1">
        <w:trPr>
          <w:trHeight w:val="518"/>
        </w:trPr>
        <w:tc>
          <w:tcPr>
            <w:tcW w:w="1853" w:type="dxa"/>
          </w:tcPr>
          <w:p w14:paraId="651ACC95" w14:textId="77777777" w:rsidR="001815E1" w:rsidRPr="008946B0" w:rsidRDefault="001815E1" w:rsidP="001815E1">
            <w:pPr>
              <w:pStyle w:val="TableParagraph"/>
              <w:spacing w:line="273" w:lineRule="exact"/>
              <w:rPr>
                <w:sz w:val="24"/>
              </w:rPr>
            </w:pPr>
            <w:r w:rsidRPr="008946B0">
              <w:rPr>
                <w:sz w:val="24"/>
              </w:rPr>
              <w:t>July 2020</w:t>
            </w:r>
          </w:p>
        </w:tc>
        <w:tc>
          <w:tcPr>
            <w:tcW w:w="4201" w:type="dxa"/>
          </w:tcPr>
          <w:p w14:paraId="5027652B" w14:textId="77777777" w:rsidR="001815E1" w:rsidRPr="008946B0" w:rsidRDefault="001815E1" w:rsidP="001815E1">
            <w:pPr>
              <w:pStyle w:val="TableParagraph"/>
              <w:spacing w:line="273" w:lineRule="exact"/>
              <w:rPr>
                <w:sz w:val="24"/>
              </w:rPr>
            </w:pPr>
            <w:r w:rsidRPr="008946B0">
              <w:rPr>
                <w:sz w:val="24"/>
              </w:rPr>
              <w:t>Final draft CEPT Report B to the</w:t>
            </w:r>
          </w:p>
        </w:tc>
        <w:tc>
          <w:tcPr>
            <w:tcW w:w="2924" w:type="dxa"/>
          </w:tcPr>
          <w:p w14:paraId="1260F1D3" w14:textId="77777777" w:rsidR="001815E1" w:rsidRPr="008946B0" w:rsidRDefault="001815E1" w:rsidP="001815E1">
            <w:pPr>
              <w:pStyle w:val="TableParagraph"/>
              <w:spacing w:line="273" w:lineRule="exact"/>
              <w:rPr>
                <w:sz w:val="24"/>
              </w:rPr>
            </w:pPr>
            <w:r w:rsidRPr="008946B0">
              <w:rPr>
                <w:sz w:val="24"/>
              </w:rPr>
              <w:t>Draft results under task 5</w:t>
            </w:r>
          </w:p>
        </w:tc>
      </w:tr>
    </w:tbl>
    <w:p w14:paraId="5D59270C" w14:textId="77777777" w:rsidR="001815E1" w:rsidRPr="008946B0" w:rsidRDefault="001815E1" w:rsidP="001815E1">
      <w:pPr>
        <w:spacing w:line="273" w:lineRule="exact"/>
        <w:rPr>
          <w:sz w:val="24"/>
          <w:lang w:val="en-GB"/>
        </w:rPr>
        <w:sectPr w:rsidR="001815E1" w:rsidRPr="008946B0">
          <w:pgSz w:w="11910" w:h="16840"/>
          <w:pgMar w:top="1020" w:right="520" w:bottom="840" w:left="240" w:header="0" w:footer="560" w:gutter="0"/>
          <w:cols w:space="708"/>
        </w:sectPr>
      </w:pPr>
    </w:p>
    <w:tbl>
      <w:tblPr>
        <w:tblW w:w="0" w:type="auto"/>
        <w:tblInd w:w="1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3"/>
        <w:gridCol w:w="4201"/>
        <w:gridCol w:w="1919"/>
      </w:tblGrid>
      <w:tr w:rsidR="001815E1" w:rsidRPr="008946B0" w14:paraId="3036F9D6" w14:textId="77777777" w:rsidTr="001815E1">
        <w:trPr>
          <w:trHeight w:val="517"/>
        </w:trPr>
        <w:tc>
          <w:tcPr>
            <w:tcW w:w="1853" w:type="dxa"/>
          </w:tcPr>
          <w:p w14:paraId="403BDD1D" w14:textId="77777777" w:rsidR="001815E1" w:rsidRPr="008946B0" w:rsidRDefault="001815E1" w:rsidP="001815E1">
            <w:pPr>
              <w:pStyle w:val="TableParagraph"/>
              <w:ind w:left="0"/>
              <w:rPr>
                <w:sz w:val="20"/>
              </w:rPr>
            </w:pPr>
          </w:p>
        </w:tc>
        <w:tc>
          <w:tcPr>
            <w:tcW w:w="4201" w:type="dxa"/>
          </w:tcPr>
          <w:p w14:paraId="539E6EA3" w14:textId="77777777" w:rsidR="001815E1" w:rsidRPr="008946B0" w:rsidRDefault="001815E1" w:rsidP="001815E1">
            <w:pPr>
              <w:pStyle w:val="TableParagraph"/>
              <w:spacing w:line="270" w:lineRule="exact"/>
              <w:rPr>
                <w:sz w:val="24"/>
              </w:rPr>
            </w:pPr>
            <w:r w:rsidRPr="008946B0">
              <w:rPr>
                <w:sz w:val="24"/>
              </w:rPr>
              <w:t>Commission</w:t>
            </w:r>
          </w:p>
        </w:tc>
        <w:tc>
          <w:tcPr>
            <w:tcW w:w="1919" w:type="dxa"/>
          </w:tcPr>
          <w:p w14:paraId="00073989" w14:textId="77777777" w:rsidR="001815E1" w:rsidRPr="008946B0" w:rsidRDefault="001815E1" w:rsidP="001815E1">
            <w:pPr>
              <w:pStyle w:val="TableParagraph"/>
              <w:ind w:left="0"/>
              <w:rPr>
                <w:sz w:val="20"/>
              </w:rPr>
            </w:pPr>
          </w:p>
        </w:tc>
      </w:tr>
      <w:tr w:rsidR="001815E1" w:rsidRPr="008946B0" w14:paraId="5DB2C276" w14:textId="77777777" w:rsidTr="001815E1">
        <w:trPr>
          <w:trHeight w:val="1067"/>
        </w:trPr>
        <w:tc>
          <w:tcPr>
            <w:tcW w:w="1853" w:type="dxa"/>
          </w:tcPr>
          <w:p w14:paraId="481B6202" w14:textId="77777777" w:rsidR="001815E1" w:rsidRPr="008946B0" w:rsidRDefault="001815E1" w:rsidP="001815E1">
            <w:pPr>
              <w:pStyle w:val="TableParagraph"/>
              <w:spacing w:line="268" w:lineRule="exact"/>
              <w:rPr>
                <w:sz w:val="24"/>
              </w:rPr>
            </w:pPr>
            <w:r w:rsidRPr="008946B0">
              <w:rPr>
                <w:sz w:val="24"/>
              </w:rPr>
              <w:t>November 2020</w:t>
            </w:r>
          </w:p>
        </w:tc>
        <w:tc>
          <w:tcPr>
            <w:tcW w:w="4201" w:type="dxa"/>
          </w:tcPr>
          <w:p w14:paraId="5D8BB0FB" w14:textId="77777777" w:rsidR="001815E1" w:rsidRPr="008946B0" w:rsidRDefault="001815E1" w:rsidP="001815E1">
            <w:pPr>
              <w:pStyle w:val="TableParagraph"/>
              <w:ind w:right="96"/>
              <w:jc w:val="both"/>
              <w:rPr>
                <w:sz w:val="24"/>
              </w:rPr>
            </w:pPr>
            <w:r w:rsidRPr="008946B0">
              <w:rPr>
                <w:sz w:val="24"/>
              </w:rPr>
              <w:t xml:space="preserve">Final CEPT Report B to the Commission </w:t>
            </w:r>
            <w:proofErr w:type="gramStart"/>
            <w:r w:rsidRPr="008946B0">
              <w:rPr>
                <w:sz w:val="24"/>
              </w:rPr>
              <w:t>taking into account</w:t>
            </w:r>
            <w:proofErr w:type="gramEnd"/>
            <w:r w:rsidRPr="008946B0">
              <w:rPr>
                <w:sz w:val="24"/>
              </w:rPr>
              <w:t xml:space="preserve"> the outcome of the public consultation</w:t>
            </w:r>
          </w:p>
        </w:tc>
        <w:tc>
          <w:tcPr>
            <w:tcW w:w="1919" w:type="dxa"/>
          </w:tcPr>
          <w:p w14:paraId="5311673F" w14:textId="77777777" w:rsidR="001815E1" w:rsidRPr="008946B0" w:rsidRDefault="001815E1" w:rsidP="001815E1">
            <w:pPr>
              <w:pStyle w:val="TableParagraph"/>
              <w:spacing w:line="268" w:lineRule="exact"/>
              <w:rPr>
                <w:sz w:val="24"/>
              </w:rPr>
            </w:pPr>
            <w:r w:rsidRPr="008946B0">
              <w:rPr>
                <w:sz w:val="24"/>
              </w:rPr>
              <w:t>Final results under task 5</w:t>
            </w:r>
          </w:p>
        </w:tc>
      </w:tr>
    </w:tbl>
    <w:p w14:paraId="2DDB1C42" w14:textId="77777777" w:rsidR="001815E1" w:rsidRPr="008946B0" w:rsidRDefault="001815E1" w:rsidP="001815E1">
      <w:pPr>
        <w:pStyle w:val="BodyText"/>
        <w:rPr>
          <w:sz w:val="20"/>
        </w:rPr>
      </w:pPr>
    </w:p>
    <w:p w14:paraId="49D7DF53" w14:textId="77777777" w:rsidR="001815E1" w:rsidRPr="008946B0" w:rsidRDefault="001815E1" w:rsidP="001815E1">
      <w:pPr>
        <w:pStyle w:val="BodyText"/>
        <w:spacing w:before="5"/>
        <w:rPr>
          <w:sz w:val="19"/>
        </w:rPr>
      </w:pPr>
    </w:p>
    <w:p w14:paraId="799F5AB3" w14:textId="77777777" w:rsidR="001815E1" w:rsidRPr="008946B0" w:rsidRDefault="001815E1" w:rsidP="001815E1">
      <w:pPr>
        <w:pStyle w:val="BodyText"/>
        <w:spacing w:before="90"/>
        <w:ind w:left="1349" w:right="1042" w:firstLine="12"/>
        <w:jc w:val="both"/>
      </w:pPr>
      <w:r w:rsidRPr="008946B0">
        <w:t>CEPT is requested to report on the progress of its work pursuant to this Mandate to all meetings of the Radio Spectrum Committee taking place during the course of the Mandate.</w:t>
      </w:r>
    </w:p>
    <w:p w14:paraId="71678647" w14:textId="77777777" w:rsidR="001815E1" w:rsidRPr="008946B0" w:rsidRDefault="001815E1" w:rsidP="001815E1">
      <w:pPr>
        <w:pStyle w:val="BodyText"/>
        <w:spacing w:before="120"/>
        <w:ind w:left="1349" w:right="1036" w:firstLine="12"/>
        <w:jc w:val="both"/>
      </w:pPr>
      <w:r w:rsidRPr="008946B0">
        <w:t>The Commission, with the assistance of the Radio Spectrum Committee and pursuant to the Radio Spectrum Decision, may consider applying the results of this mandate in the Union, pursuant to Article 4 of the Radio Spectrum Decision and having taken into account any relevant guidance of the</w:t>
      </w:r>
      <w:r w:rsidRPr="008946B0">
        <w:rPr>
          <w:spacing w:val="-6"/>
        </w:rPr>
        <w:t xml:space="preserve"> </w:t>
      </w:r>
      <w:r w:rsidRPr="008946B0">
        <w:t>RSPG.</w:t>
      </w:r>
    </w:p>
    <w:p w14:paraId="2B97385F" w14:textId="77777777" w:rsidR="001815E1" w:rsidRPr="008946B0" w:rsidRDefault="001815E1" w:rsidP="001815E1">
      <w:pPr>
        <w:pStyle w:val="BodyText"/>
        <w:rPr>
          <w:sz w:val="20"/>
        </w:rPr>
      </w:pPr>
    </w:p>
    <w:p w14:paraId="7C56D82F" w14:textId="77777777" w:rsidR="001815E1" w:rsidRPr="008946B0" w:rsidRDefault="001815E1" w:rsidP="001815E1">
      <w:pPr>
        <w:pStyle w:val="BodyText"/>
        <w:spacing w:before="8"/>
        <w:rPr>
          <w:sz w:val="22"/>
        </w:rPr>
      </w:pPr>
    </w:p>
    <w:p w14:paraId="661C8880" w14:textId="77777777" w:rsidR="001815E1" w:rsidRPr="008946B0" w:rsidRDefault="001815E1" w:rsidP="001815E1">
      <w:pPr>
        <w:spacing w:before="127"/>
        <w:ind w:left="100"/>
        <w:rPr>
          <w:sz w:val="16"/>
          <w:lang w:val="en-GB"/>
        </w:rPr>
        <w:sectPr w:rsidR="001815E1" w:rsidRPr="008946B0">
          <w:pgSz w:w="11907" w:h="16840"/>
          <w:pgMar w:top="1440" w:right="1134" w:bottom="1440" w:left="1134" w:header="709" w:footer="709" w:gutter="0"/>
          <w:cols w:space="708"/>
          <w:docGrid w:linePitch="360"/>
        </w:sectPr>
      </w:pPr>
      <w:r w:rsidRPr="008946B0">
        <w:rPr>
          <w:noProof/>
          <w:position w:val="-3"/>
          <w:lang w:val="fr-FR" w:eastAsia="fr-FR"/>
        </w:rPr>
        <w:drawing>
          <wp:inline distT="0" distB="0" distL="0" distR="0" wp14:anchorId="4515F005" wp14:editId="75A5C981">
            <wp:extent cx="165100" cy="114300"/>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23" cstate="print"/>
                    <a:stretch>
                      <a:fillRect/>
                    </a:stretch>
                  </pic:blipFill>
                  <pic:spPr>
                    <a:xfrm>
                      <a:off x="0" y="0"/>
                      <a:ext cx="165100" cy="114300"/>
                    </a:xfrm>
                    <a:prstGeom prst="rect">
                      <a:avLst/>
                    </a:prstGeom>
                  </pic:spPr>
                </pic:pic>
              </a:graphicData>
            </a:graphic>
          </wp:inline>
        </w:drawing>
      </w:r>
      <w:r w:rsidRPr="008946B0">
        <w:rPr>
          <w:lang w:val="en-GB"/>
        </w:rPr>
        <w:t xml:space="preserve"> </w:t>
      </w:r>
      <w:r w:rsidRPr="008946B0">
        <w:rPr>
          <w:spacing w:val="-20"/>
          <w:lang w:val="en-GB"/>
        </w:rPr>
        <w:t xml:space="preserve"> </w:t>
      </w:r>
      <w:r w:rsidRPr="008946B0">
        <w:rPr>
          <w:sz w:val="16"/>
          <w:lang w:val="en-GB"/>
        </w:rPr>
        <w:t>Electronically</w:t>
      </w:r>
      <w:r w:rsidRPr="008946B0">
        <w:rPr>
          <w:spacing w:val="-6"/>
          <w:sz w:val="16"/>
          <w:lang w:val="en-GB"/>
        </w:rPr>
        <w:t xml:space="preserve"> </w:t>
      </w:r>
      <w:r w:rsidRPr="008946B0">
        <w:rPr>
          <w:sz w:val="16"/>
          <w:lang w:val="en-GB"/>
        </w:rPr>
        <w:t>signed</w:t>
      </w:r>
      <w:r w:rsidRPr="008946B0">
        <w:rPr>
          <w:spacing w:val="-5"/>
          <w:sz w:val="16"/>
          <w:lang w:val="en-GB"/>
        </w:rPr>
        <w:t xml:space="preserve"> </w:t>
      </w:r>
      <w:r w:rsidRPr="008946B0">
        <w:rPr>
          <w:sz w:val="16"/>
          <w:lang w:val="en-GB"/>
        </w:rPr>
        <w:t>on</w:t>
      </w:r>
      <w:r w:rsidRPr="008946B0">
        <w:rPr>
          <w:spacing w:val="-6"/>
          <w:sz w:val="16"/>
          <w:lang w:val="en-GB"/>
        </w:rPr>
        <w:t xml:space="preserve"> </w:t>
      </w:r>
      <w:r w:rsidRPr="008946B0">
        <w:rPr>
          <w:sz w:val="16"/>
          <w:lang w:val="en-GB"/>
        </w:rPr>
        <w:t>25/07/2018</w:t>
      </w:r>
      <w:r w:rsidRPr="008946B0">
        <w:rPr>
          <w:spacing w:val="-5"/>
          <w:sz w:val="16"/>
          <w:lang w:val="en-GB"/>
        </w:rPr>
        <w:t xml:space="preserve"> </w:t>
      </w:r>
      <w:r w:rsidRPr="008946B0">
        <w:rPr>
          <w:sz w:val="16"/>
          <w:lang w:val="en-GB"/>
        </w:rPr>
        <w:t>10:08</w:t>
      </w:r>
      <w:r w:rsidRPr="008946B0">
        <w:rPr>
          <w:spacing w:val="-6"/>
          <w:sz w:val="16"/>
          <w:lang w:val="en-GB"/>
        </w:rPr>
        <w:t xml:space="preserve"> </w:t>
      </w:r>
      <w:r w:rsidRPr="008946B0">
        <w:rPr>
          <w:sz w:val="16"/>
          <w:lang w:val="en-GB"/>
        </w:rPr>
        <w:t>(UTC+02)</w:t>
      </w:r>
      <w:r w:rsidRPr="008946B0">
        <w:rPr>
          <w:spacing w:val="-5"/>
          <w:sz w:val="16"/>
          <w:lang w:val="en-GB"/>
        </w:rPr>
        <w:t xml:space="preserve"> </w:t>
      </w:r>
      <w:r w:rsidRPr="008946B0">
        <w:rPr>
          <w:sz w:val="16"/>
          <w:lang w:val="en-GB"/>
        </w:rPr>
        <w:t>in</w:t>
      </w:r>
      <w:r w:rsidRPr="008946B0">
        <w:rPr>
          <w:spacing w:val="-6"/>
          <w:sz w:val="16"/>
          <w:lang w:val="en-GB"/>
        </w:rPr>
        <w:t xml:space="preserve"> </w:t>
      </w:r>
      <w:r w:rsidRPr="008946B0">
        <w:rPr>
          <w:sz w:val="16"/>
          <w:lang w:val="en-GB"/>
        </w:rPr>
        <w:t>accordance</w:t>
      </w:r>
      <w:r w:rsidRPr="008946B0">
        <w:rPr>
          <w:spacing w:val="-5"/>
          <w:sz w:val="16"/>
          <w:lang w:val="en-GB"/>
        </w:rPr>
        <w:t xml:space="preserve"> </w:t>
      </w:r>
      <w:r w:rsidRPr="008946B0">
        <w:rPr>
          <w:sz w:val="16"/>
          <w:lang w:val="en-GB"/>
        </w:rPr>
        <w:t>with</w:t>
      </w:r>
      <w:r w:rsidRPr="008946B0">
        <w:rPr>
          <w:spacing w:val="-6"/>
          <w:sz w:val="16"/>
          <w:lang w:val="en-GB"/>
        </w:rPr>
        <w:t xml:space="preserve"> </w:t>
      </w:r>
      <w:r w:rsidRPr="008946B0">
        <w:rPr>
          <w:sz w:val="16"/>
          <w:lang w:val="en-GB"/>
        </w:rPr>
        <w:t>article</w:t>
      </w:r>
      <w:r w:rsidRPr="008946B0">
        <w:rPr>
          <w:spacing w:val="-5"/>
          <w:sz w:val="16"/>
          <w:lang w:val="en-GB"/>
        </w:rPr>
        <w:t xml:space="preserve"> </w:t>
      </w:r>
      <w:r w:rsidRPr="008946B0">
        <w:rPr>
          <w:sz w:val="16"/>
          <w:lang w:val="en-GB"/>
        </w:rPr>
        <w:t>4.2</w:t>
      </w:r>
      <w:r w:rsidRPr="008946B0">
        <w:rPr>
          <w:spacing w:val="-6"/>
          <w:sz w:val="16"/>
          <w:lang w:val="en-GB"/>
        </w:rPr>
        <w:t xml:space="preserve"> </w:t>
      </w:r>
      <w:r w:rsidRPr="008946B0">
        <w:rPr>
          <w:sz w:val="16"/>
          <w:lang w:val="en-GB"/>
        </w:rPr>
        <w:t>(Validity</w:t>
      </w:r>
      <w:r w:rsidRPr="008946B0">
        <w:rPr>
          <w:spacing w:val="-5"/>
          <w:sz w:val="16"/>
          <w:lang w:val="en-GB"/>
        </w:rPr>
        <w:t xml:space="preserve"> </w:t>
      </w:r>
      <w:r w:rsidRPr="008946B0">
        <w:rPr>
          <w:sz w:val="16"/>
          <w:lang w:val="en-GB"/>
        </w:rPr>
        <w:t>of</w:t>
      </w:r>
      <w:r w:rsidRPr="008946B0">
        <w:rPr>
          <w:spacing w:val="-6"/>
          <w:sz w:val="16"/>
          <w:lang w:val="en-GB"/>
        </w:rPr>
        <w:t xml:space="preserve"> </w:t>
      </w:r>
      <w:r w:rsidRPr="008946B0">
        <w:rPr>
          <w:sz w:val="16"/>
          <w:lang w:val="en-GB"/>
        </w:rPr>
        <w:t>electronic</w:t>
      </w:r>
      <w:r w:rsidRPr="008946B0">
        <w:rPr>
          <w:spacing w:val="-5"/>
          <w:sz w:val="16"/>
          <w:lang w:val="en-GB"/>
        </w:rPr>
        <w:t xml:space="preserve"> </w:t>
      </w:r>
      <w:r w:rsidRPr="008946B0">
        <w:rPr>
          <w:sz w:val="16"/>
          <w:lang w:val="en-GB"/>
        </w:rPr>
        <w:t>documents)</w:t>
      </w:r>
      <w:r w:rsidRPr="008946B0">
        <w:rPr>
          <w:spacing w:val="-5"/>
          <w:sz w:val="16"/>
          <w:lang w:val="en-GB"/>
        </w:rPr>
        <w:t xml:space="preserve"> </w:t>
      </w:r>
      <w:r w:rsidRPr="008946B0">
        <w:rPr>
          <w:sz w:val="16"/>
          <w:lang w:val="en-GB"/>
        </w:rPr>
        <w:t>of</w:t>
      </w:r>
      <w:r w:rsidRPr="008946B0">
        <w:rPr>
          <w:spacing w:val="-6"/>
          <w:sz w:val="16"/>
          <w:lang w:val="en-GB"/>
        </w:rPr>
        <w:t xml:space="preserve"> </w:t>
      </w:r>
      <w:r w:rsidRPr="008946B0">
        <w:rPr>
          <w:sz w:val="16"/>
          <w:lang w:val="en-GB"/>
        </w:rPr>
        <w:t>Commission</w:t>
      </w:r>
      <w:r w:rsidRPr="008946B0">
        <w:rPr>
          <w:spacing w:val="-5"/>
          <w:sz w:val="16"/>
          <w:lang w:val="en-GB"/>
        </w:rPr>
        <w:t xml:space="preserve"> </w:t>
      </w:r>
      <w:r w:rsidRPr="008946B0">
        <w:rPr>
          <w:sz w:val="16"/>
          <w:lang w:val="en-GB"/>
        </w:rPr>
        <w:t>Decision</w:t>
      </w:r>
      <w:r w:rsidRPr="008946B0">
        <w:rPr>
          <w:spacing w:val="-6"/>
          <w:sz w:val="16"/>
          <w:lang w:val="en-GB"/>
        </w:rPr>
        <w:t xml:space="preserve"> </w:t>
      </w:r>
      <w:r w:rsidRPr="008946B0">
        <w:rPr>
          <w:sz w:val="16"/>
          <w:lang w:val="en-GB"/>
        </w:rPr>
        <w:t>2004/563</w:t>
      </w:r>
    </w:p>
    <w:p w14:paraId="6F0FFB41" w14:textId="5162F6E8" w:rsidR="005A47F3" w:rsidRPr="008946B0" w:rsidRDefault="001815E1" w:rsidP="00D532BF">
      <w:pPr>
        <w:pStyle w:val="ECCAnnexheading1"/>
        <w:ind w:left="0"/>
      </w:pPr>
      <w:bookmarkStart w:id="437" w:name="_Toc31104455"/>
      <w:bookmarkStart w:id="438" w:name="_Toc31112714"/>
      <w:bookmarkStart w:id="439" w:name="_Toc31131759"/>
      <w:bookmarkStart w:id="440" w:name="_Toc31237164"/>
      <w:bookmarkStart w:id="441" w:name="_Toc31294072"/>
      <w:bookmarkStart w:id="442" w:name="_Toc31104456"/>
      <w:bookmarkStart w:id="443" w:name="_Toc31112715"/>
      <w:bookmarkStart w:id="444" w:name="_Toc31131760"/>
      <w:bookmarkStart w:id="445" w:name="_Toc31237165"/>
      <w:bookmarkStart w:id="446" w:name="_Toc31294073"/>
      <w:bookmarkStart w:id="447" w:name="_Toc42722883"/>
      <w:bookmarkEnd w:id="437"/>
      <w:bookmarkEnd w:id="438"/>
      <w:bookmarkEnd w:id="439"/>
      <w:bookmarkEnd w:id="440"/>
      <w:bookmarkEnd w:id="441"/>
      <w:bookmarkEnd w:id="442"/>
      <w:bookmarkEnd w:id="443"/>
      <w:bookmarkEnd w:id="444"/>
      <w:bookmarkEnd w:id="445"/>
      <w:bookmarkEnd w:id="446"/>
      <w:r w:rsidRPr="008946B0">
        <w:t>l</w:t>
      </w:r>
      <w:r w:rsidR="00AB77EF" w:rsidRPr="008946B0">
        <w:t>ist of references</w:t>
      </w:r>
      <w:bookmarkEnd w:id="447"/>
    </w:p>
    <w:p w14:paraId="5326D909" w14:textId="1803AF0D" w:rsidR="005A47F3" w:rsidRPr="008946B0" w:rsidRDefault="006B7083">
      <w:pPr>
        <w:pStyle w:val="ECCReference"/>
        <w:numPr>
          <w:ilvl w:val="0"/>
          <w:numId w:val="5"/>
        </w:numPr>
        <w:spacing w:after="0"/>
      </w:pPr>
      <w:bookmarkStart w:id="448" w:name="_Ref481397657"/>
      <w:bookmarkStart w:id="449" w:name="_Hlk45626735"/>
      <w:bookmarkStart w:id="450" w:name="_Hlk45626686"/>
      <w:r w:rsidRPr="006B7083">
        <w:t xml:space="preserve">Directive (EU) 2016/797 of the European Parliament and of the Council of 11 May 2016 on the interoperability of the rail system within the European Union </w:t>
      </w:r>
      <w:bookmarkEnd w:id="448"/>
    </w:p>
    <w:p w14:paraId="146101D1" w14:textId="715613AA" w:rsidR="005A47F3" w:rsidRPr="008946B0" w:rsidRDefault="006B7083">
      <w:pPr>
        <w:pStyle w:val="ECCReference"/>
        <w:numPr>
          <w:ilvl w:val="0"/>
          <w:numId w:val="5"/>
        </w:numPr>
        <w:spacing w:after="0"/>
      </w:pPr>
      <w:bookmarkStart w:id="451" w:name="_Ref481397705"/>
      <w:bookmarkEnd w:id="449"/>
      <w:r w:rsidRPr="006B7083">
        <w:t xml:space="preserve">Directive 2008/57/EC of the European Parliament and of the Council of 17 June 2008 on the interoperability of the rail system within the Community </w:t>
      </w:r>
      <w:bookmarkEnd w:id="451"/>
    </w:p>
    <w:p w14:paraId="688F76B4" w14:textId="310A1C1A" w:rsidR="005A47F3" w:rsidRPr="008946B0" w:rsidRDefault="006B7083">
      <w:pPr>
        <w:pStyle w:val="ECCReference"/>
        <w:numPr>
          <w:ilvl w:val="0"/>
          <w:numId w:val="5"/>
        </w:numPr>
        <w:spacing w:after="0"/>
      </w:pPr>
      <w:bookmarkStart w:id="452" w:name="_Ref396246769"/>
      <w:r w:rsidRPr="006B7083">
        <w:t>Directive 2014/53/EU of the European Parliament and of the Council of 16 April 2014 on the harmonisation of the laws of the Member States relating to the making available on the market of radio equipment and repealing Directive 1999/5/EC</w:t>
      </w:r>
      <w:r w:rsidRPr="006B7083" w:rsidDel="006B7083">
        <w:t xml:space="preserve"> </w:t>
      </w:r>
      <w:bookmarkEnd w:id="452"/>
    </w:p>
    <w:p w14:paraId="62C9D80A" w14:textId="18A3EB62" w:rsidR="005A47F3" w:rsidRPr="008946B0" w:rsidRDefault="006B7083">
      <w:pPr>
        <w:pStyle w:val="ECCReference"/>
        <w:numPr>
          <w:ilvl w:val="0"/>
          <w:numId w:val="5"/>
        </w:numPr>
        <w:spacing w:after="0"/>
      </w:pPr>
      <w:bookmarkStart w:id="453" w:name="_Ref481397801"/>
      <w:r w:rsidRPr="006B7083">
        <w:t>Commission Regulation (EU) 2016/919 of 27 May 2016 on the technical specification for interoperability relating to the ‘control-command and signalling’ subsystems of the rail system in the European Union</w:t>
      </w:r>
      <w:r w:rsidRPr="006B7083" w:rsidDel="006B7083">
        <w:t xml:space="preserve"> </w:t>
      </w:r>
      <w:bookmarkEnd w:id="453"/>
    </w:p>
    <w:p w14:paraId="7471F31D" w14:textId="77777777" w:rsidR="005A47F3" w:rsidRPr="008946B0" w:rsidRDefault="00AB77EF">
      <w:pPr>
        <w:pStyle w:val="ECCReference"/>
        <w:numPr>
          <w:ilvl w:val="0"/>
          <w:numId w:val="5"/>
        </w:numPr>
        <w:spacing w:after="0"/>
      </w:pPr>
      <w:bookmarkStart w:id="454" w:name="_Ref481397862"/>
      <w:bookmarkStart w:id="455" w:name="_Ref31977455"/>
      <w:r w:rsidRPr="008946B0">
        <w:t>EIRENE FRS v8.0.0: “Functional Requirements Specification</w:t>
      </w:r>
      <w:bookmarkEnd w:id="454"/>
      <w:r w:rsidRPr="008946B0">
        <w:t>”</w:t>
      </w:r>
      <w:bookmarkEnd w:id="455"/>
    </w:p>
    <w:p w14:paraId="52888690" w14:textId="77777777" w:rsidR="005A47F3" w:rsidRPr="008946B0" w:rsidRDefault="00AB77EF">
      <w:pPr>
        <w:pStyle w:val="ECCReference"/>
        <w:numPr>
          <w:ilvl w:val="0"/>
          <w:numId w:val="5"/>
        </w:numPr>
        <w:spacing w:after="0"/>
      </w:pPr>
      <w:bookmarkStart w:id="456" w:name="_Ref481397864"/>
      <w:bookmarkStart w:id="457" w:name="_Ref31977458"/>
      <w:r w:rsidRPr="008946B0">
        <w:t>EIRENE SRS v16.0.0: “System Requirements Specification</w:t>
      </w:r>
      <w:bookmarkEnd w:id="456"/>
      <w:r w:rsidRPr="008946B0">
        <w:t>”</w:t>
      </w:r>
      <w:bookmarkEnd w:id="457"/>
    </w:p>
    <w:p w14:paraId="5A9F12DC" w14:textId="77777777" w:rsidR="005A47F3" w:rsidRPr="008946B0" w:rsidRDefault="00AB77EF">
      <w:pPr>
        <w:pStyle w:val="ECCReference"/>
        <w:numPr>
          <w:ilvl w:val="0"/>
          <w:numId w:val="5"/>
        </w:numPr>
        <w:spacing w:after="0"/>
      </w:pPr>
      <w:bookmarkStart w:id="458" w:name="_Ref438709"/>
      <w:r w:rsidRPr="008946B0">
        <w:t>Mandate to CEPT on spectrum for the future railway mobile communications system, RSCOM18-05 rev.3 Final</w:t>
      </w:r>
      <w:bookmarkEnd w:id="458"/>
    </w:p>
    <w:p w14:paraId="23A365E1" w14:textId="114294AA" w:rsidR="005A47F3" w:rsidRPr="008946B0" w:rsidRDefault="006B7083">
      <w:pPr>
        <w:pStyle w:val="ECCReference"/>
        <w:numPr>
          <w:ilvl w:val="0"/>
          <w:numId w:val="5"/>
        </w:numPr>
        <w:spacing w:after="0"/>
      </w:pPr>
      <w:bookmarkStart w:id="459" w:name="_Ref481507796"/>
      <w:r w:rsidRPr="006B7083">
        <w:t>Commission Decision of 28 July 1999 on the basic parameters for the command-and-control and signalling subsystem relating to the trans-European high-speed rail system</w:t>
      </w:r>
      <w:r w:rsidRPr="006B7083" w:rsidDel="006B7083">
        <w:t xml:space="preserve"> </w:t>
      </w:r>
      <w:bookmarkEnd w:id="459"/>
    </w:p>
    <w:p w14:paraId="4E88280D" w14:textId="25C62C52" w:rsidR="005A47F3" w:rsidRPr="008946B0" w:rsidRDefault="00AB77EF">
      <w:pPr>
        <w:pStyle w:val="ECCReference"/>
        <w:numPr>
          <w:ilvl w:val="0"/>
          <w:numId w:val="5"/>
        </w:numPr>
        <w:spacing w:after="0"/>
      </w:pPr>
      <w:bookmarkStart w:id="460" w:name="_Ref481507841"/>
      <w:r w:rsidRPr="008946B0">
        <w:t>ECC Decision (02)05: “The designation and availability of frequency bands for railway purposes in the 876-880 MHz and 921-925 MHz bands</w:t>
      </w:r>
      <w:bookmarkEnd w:id="460"/>
      <w:r w:rsidRPr="008946B0">
        <w:t>”</w:t>
      </w:r>
      <w:r w:rsidR="006B7083">
        <w:t>, approved March 2013</w:t>
      </w:r>
    </w:p>
    <w:p w14:paraId="58756738" w14:textId="77777777" w:rsidR="005A47F3" w:rsidRPr="008946B0" w:rsidRDefault="00AB77EF">
      <w:pPr>
        <w:pStyle w:val="ECCReference"/>
        <w:numPr>
          <w:ilvl w:val="0"/>
          <w:numId w:val="5"/>
        </w:numPr>
        <w:spacing w:after="0"/>
      </w:pPr>
      <w:bookmarkStart w:id="461" w:name="_Ref499978451"/>
      <w:r w:rsidRPr="008946B0">
        <w:t>FW-</w:t>
      </w:r>
      <w:proofErr w:type="spellStart"/>
      <w:r w:rsidRPr="008946B0">
        <w:t>ATwG</w:t>
      </w:r>
      <w:proofErr w:type="spellEnd"/>
      <w:r w:rsidRPr="008946B0">
        <w:t xml:space="preserve"> 1903 v2.2.0 / FM56(18)065: “FRMCS Traffic Analysis”</w:t>
      </w:r>
      <w:bookmarkEnd w:id="461"/>
    </w:p>
    <w:p w14:paraId="2B05A9C9" w14:textId="2F046FAF" w:rsidR="005A47F3" w:rsidRPr="008946B0" w:rsidRDefault="00AB77EF">
      <w:pPr>
        <w:pStyle w:val="ECCReference"/>
        <w:numPr>
          <w:ilvl w:val="0"/>
          <w:numId w:val="5"/>
        </w:numPr>
        <w:spacing w:after="0"/>
      </w:pPr>
      <w:bookmarkStart w:id="462" w:name="_Ref499978464"/>
      <w:r w:rsidRPr="008946B0">
        <w:t>ETSI TR 103</w:t>
      </w:r>
      <w:r w:rsidR="00D40B58" w:rsidRPr="008946B0">
        <w:t> </w:t>
      </w:r>
      <w:r w:rsidRPr="008946B0">
        <w:t>554</w:t>
      </w:r>
      <w:r w:rsidR="00D40B58" w:rsidRPr="008946B0">
        <w:t>-1</w:t>
      </w:r>
      <w:r w:rsidRPr="008946B0">
        <w:t>: “</w:t>
      </w:r>
      <w:r w:rsidR="00D40B58" w:rsidRPr="008946B0">
        <w:t>LTE r</w:t>
      </w:r>
      <w:r w:rsidRPr="008946B0">
        <w:t>adio performance simulations and evaluations in rail environment”</w:t>
      </w:r>
      <w:bookmarkEnd w:id="462"/>
    </w:p>
    <w:p w14:paraId="6BEABC8E" w14:textId="7D3FE3C1" w:rsidR="00D40B58" w:rsidRPr="008946B0" w:rsidRDefault="00D40B58">
      <w:pPr>
        <w:pStyle w:val="ECCReference"/>
        <w:numPr>
          <w:ilvl w:val="0"/>
          <w:numId w:val="5"/>
        </w:numPr>
        <w:spacing w:after="0"/>
      </w:pPr>
      <w:bookmarkStart w:id="463" w:name="_Ref37149001"/>
      <w:bookmarkStart w:id="464" w:name="_Ref499984628"/>
      <w:r w:rsidRPr="008946B0">
        <w:t>ETSI TR 103 554-2: “NR radio performance simulations and evaluations in rail environment”</w:t>
      </w:r>
      <w:bookmarkEnd w:id="463"/>
    </w:p>
    <w:p w14:paraId="134F40B7" w14:textId="77777777" w:rsidR="005A47F3" w:rsidRPr="008946B0" w:rsidRDefault="00AB77EF">
      <w:pPr>
        <w:pStyle w:val="ECCReference"/>
        <w:numPr>
          <w:ilvl w:val="0"/>
          <w:numId w:val="5"/>
        </w:numPr>
        <w:spacing w:after="0"/>
      </w:pPr>
      <w:bookmarkStart w:id="465" w:name="_Ref37348885"/>
      <w:r w:rsidRPr="008946B0">
        <w:t>FRMCS User Requirement Specifications, UIC, v3.0</w:t>
      </w:r>
      <w:bookmarkEnd w:id="464"/>
      <w:bookmarkEnd w:id="465"/>
    </w:p>
    <w:p w14:paraId="627264E6" w14:textId="77777777" w:rsidR="005A47F3" w:rsidRPr="008946B0" w:rsidRDefault="00AB77EF">
      <w:pPr>
        <w:pStyle w:val="ECCReference"/>
        <w:numPr>
          <w:ilvl w:val="0"/>
          <w:numId w:val="5"/>
        </w:numPr>
        <w:spacing w:after="0"/>
      </w:pPr>
      <w:bookmarkStart w:id="466" w:name="_Ref512506715"/>
      <w:r w:rsidRPr="008946B0">
        <w:t xml:space="preserve">BEREC and RSPG joint report on Facilitating mobile connectivity in “challenge areas”, </w:t>
      </w:r>
      <w:proofErr w:type="spellStart"/>
      <w:r w:rsidRPr="008946B0">
        <w:t>BoR</w:t>
      </w:r>
      <w:proofErr w:type="spellEnd"/>
      <w:r w:rsidRPr="008946B0">
        <w:t xml:space="preserve"> (17) 256 / RSPG18-001</w:t>
      </w:r>
      <w:bookmarkEnd w:id="466"/>
    </w:p>
    <w:p w14:paraId="5995C324" w14:textId="627C7BD4" w:rsidR="005A47F3" w:rsidRPr="008946B0" w:rsidRDefault="006B7083">
      <w:pPr>
        <w:pStyle w:val="ECCReference"/>
        <w:numPr>
          <w:ilvl w:val="0"/>
          <w:numId w:val="5"/>
        </w:numPr>
        <w:spacing w:after="0"/>
      </w:pPr>
      <w:bookmarkStart w:id="467" w:name="_Ref21034"/>
      <w:r w:rsidRPr="006B7083">
        <w:t>Directive 2012/34/EU of the European Parliament and of the Council of 21 November 2012 establishing a single European railway area</w:t>
      </w:r>
      <w:r w:rsidRPr="006B7083" w:rsidDel="006B7083">
        <w:t xml:space="preserve"> </w:t>
      </w:r>
      <w:bookmarkEnd w:id="467"/>
    </w:p>
    <w:p w14:paraId="616C1205" w14:textId="77777777" w:rsidR="005A47F3" w:rsidRPr="008946B0" w:rsidRDefault="00AB77EF">
      <w:pPr>
        <w:pStyle w:val="ECCReference"/>
        <w:numPr>
          <w:ilvl w:val="0"/>
          <w:numId w:val="5"/>
        </w:numPr>
        <w:spacing w:after="0"/>
      </w:pPr>
      <w:bookmarkStart w:id="468" w:name="_Ref522708559"/>
      <w:bookmarkEnd w:id="450"/>
      <w:r w:rsidRPr="008946B0">
        <w:t>Commission Implementing Decision (EU) 2018/1538 of 11 October 2018 on the harmonisation of radio spectrum for use by short range devices within the 874-876 and 915-921 MHz frequency bands</w:t>
      </w:r>
      <w:bookmarkEnd w:id="468"/>
      <w:r w:rsidRPr="008946B0">
        <w:t xml:space="preserve"> (OJ L257, 15 Oct. 2018, p. 57)</w:t>
      </w:r>
    </w:p>
    <w:p w14:paraId="09FC30C6" w14:textId="77777777" w:rsidR="005A47F3" w:rsidRPr="008946B0" w:rsidRDefault="00AB77EF">
      <w:pPr>
        <w:pStyle w:val="ECCReference"/>
        <w:numPr>
          <w:ilvl w:val="0"/>
          <w:numId w:val="5"/>
        </w:numPr>
        <w:spacing w:after="0"/>
      </w:pPr>
      <w:bookmarkStart w:id="469" w:name="_Ref524781358"/>
      <w:r w:rsidRPr="008946B0">
        <w:t>Decision 676/2002/EC of the European Parliament and of the Council of 7 March 2002 on a regulatory framework for radio spectrum policy in the European Community (Radio Spectrum Decision)</w:t>
      </w:r>
      <w:bookmarkEnd w:id="469"/>
    </w:p>
    <w:p w14:paraId="2AE7BF13" w14:textId="77777777" w:rsidR="005A47F3" w:rsidRPr="008946B0" w:rsidRDefault="00AB77EF">
      <w:pPr>
        <w:pStyle w:val="ECCReference"/>
        <w:numPr>
          <w:ilvl w:val="0"/>
          <w:numId w:val="5"/>
        </w:numPr>
        <w:spacing w:after="0"/>
      </w:pPr>
      <w:bookmarkStart w:id="470" w:name="_Ref524781520"/>
      <w:r w:rsidRPr="008946B0">
        <w:t>Commission Delegated Decision (EU) 2017/1474 of 8 June 2017 supplementing Directive (EU) 2016/797 of the European Parliament and of the Council with regard to specific objectives for the drafting, adoption and review of technical specifications for interoperability</w:t>
      </w:r>
      <w:bookmarkEnd w:id="470"/>
    </w:p>
    <w:p w14:paraId="1799F6A6" w14:textId="7CA4FC61" w:rsidR="005A47F3" w:rsidRPr="008946B0" w:rsidRDefault="00AB77EF">
      <w:pPr>
        <w:pStyle w:val="ECCReference"/>
        <w:numPr>
          <w:ilvl w:val="0"/>
          <w:numId w:val="5"/>
        </w:numPr>
        <w:spacing w:after="0"/>
      </w:pPr>
      <w:bookmarkStart w:id="471" w:name="_Ref37149539"/>
      <w:r w:rsidRPr="008946B0">
        <w:t>Commission Decision 2009/766/EC of 16 October 2009 on the harmonisation of the 900 MHz and 1800 MHz frequency bands for terrestrial systems capable of providing pan-European electronic communications services in the Community (OJ L274, 20 October 2009, p. 32)</w:t>
      </w:r>
      <w:bookmarkEnd w:id="471"/>
    </w:p>
    <w:p w14:paraId="0898015F" w14:textId="69849C11" w:rsidR="005A47F3" w:rsidRPr="008946B0" w:rsidRDefault="00AB77EF">
      <w:pPr>
        <w:pStyle w:val="ECCReference"/>
        <w:numPr>
          <w:ilvl w:val="0"/>
          <w:numId w:val="5"/>
        </w:numPr>
        <w:spacing w:after="0"/>
      </w:pPr>
      <w:bookmarkStart w:id="472" w:name="_Ref37149547"/>
      <w:r w:rsidRPr="008946B0">
        <w:t>Commission Implementing Decision (EU) 2018/637 of 20 April 2018 amending Decision 2009/766/EC on the harmonisation of the 900 MHz and 1800 MHz frequency bands for terrestrial systems capable of providing pan-European electronic communications services in the Community as regards relevant technical conditions for the Internet of Things (OJ L105, 25 April 2018, p. 27)</w:t>
      </w:r>
      <w:bookmarkEnd w:id="472"/>
    </w:p>
    <w:p w14:paraId="4A793C6E" w14:textId="1F844FB7" w:rsidR="005A47F3" w:rsidRPr="008946B0" w:rsidRDefault="00AB77EF">
      <w:pPr>
        <w:numPr>
          <w:ilvl w:val="0"/>
          <w:numId w:val="5"/>
        </w:numPr>
        <w:spacing w:after="0"/>
        <w:jc w:val="both"/>
        <w:rPr>
          <w:rFonts w:eastAsia="Calibri"/>
          <w:szCs w:val="22"/>
          <w:lang w:val="en-GB" w:eastAsia="ja-JP"/>
        </w:rPr>
      </w:pPr>
      <w:bookmarkStart w:id="473" w:name="_Ref39676669"/>
      <w:r w:rsidRPr="008946B0">
        <w:rPr>
          <w:rFonts w:eastAsia="Calibri"/>
          <w:szCs w:val="22"/>
          <w:lang w:val="en-GB" w:eastAsia="ja-JP"/>
        </w:rPr>
        <w:t xml:space="preserve">CEPT Report 19: </w:t>
      </w:r>
      <w:r w:rsidR="000A53DD" w:rsidRPr="008946B0">
        <w:rPr>
          <w:rFonts w:eastAsia="Calibri"/>
          <w:szCs w:val="22"/>
          <w:lang w:val="en-GB" w:eastAsia="ja-JP"/>
        </w:rPr>
        <w:t>“</w:t>
      </w:r>
      <w:r w:rsidRPr="008946B0">
        <w:rPr>
          <w:rFonts w:eastAsia="Calibri"/>
          <w:szCs w:val="22"/>
          <w:lang w:val="en-GB" w:eastAsia="ja-JP"/>
        </w:rPr>
        <w:t>Report from CEPT to the European Commission in response to the Mandate to develop least restrictive technical conditions for frequency bands addressed in the context of WAPECS</w:t>
      </w:r>
      <w:r w:rsidR="000A53DD" w:rsidRPr="008946B0">
        <w:rPr>
          <w:rFonts w:eastAsia="Calibri"/>
          <w:szCs w:val="22"/>
          <w:lang w:val="en-GB" w:eastAsia="ja-JP"/>
        </w:rPr>
        <w:t>”</w:t>
      </w:r>
      <w:bookmarkEnd w:id="473"/>
      <w:r w:rsidR="00152A2A">
        <w:rPr>
          <w:rFonts w:eastAsia="Calibri"/>
          <w:szCs w:val="22"/>
          <w:lang w:val="en-GB" w:eastAsia="ja-JP"/>
        </w:rPr>
        <w:t>, approved October 2008</w:t>
      </w:r>
    </w:p>
    <w:p w14:paraId="2810142A" w14:textId="4D517D9F" w:rsidR="005A47F3" w:rsidRPr="008946B0" w:rsidRDefault="00AB77EF">
      <w:pPr>
        <w:numPr>
          <w:ilvl w:val="0"/>
          <w:numId w:val="5"/>
        </w:numPr>
        <w:spacing w:after="0"/>
        <w:jc w:val="both"/>
        <w:rPr>
          <w:rFonts w:eastAsia="Calibri"/>
          <w:szCs w:val="22"/>
          <w:lang w:val="en-GB" w:eastAsia="ja-JP"/>
        </w:rPr>
      </w:pPr>
      <w:r w:rsidRPr="008946B0">
        <w:rPr>
          <w:rFonts w:eastAsia="Calibri"/>
          <w:szCs w:val="22"/>
          <w:lang w:val="en-GB" w:eastAsia="ja-JP"/>
        </w:rPr>
        <w:t xml:space="preserve">ECC Report 294: </w:t>
      </w:r>
      <w:r w:rsidR="000A53DD" w:rsidRPr="008946B0">
        <w:rPr>
          <w:rFonts w:eastAsia="Calibri"/>
          <w:szCs w:val="22"/>
          <w:lang w:val="en-GB" w:eastAsia="ja-JP"/>
        </w:rPr>
        <w:t>“</w:t>
      </w:r>
      <w:r w:rsidRPr="008946B0">
        <w:rPr>
          <w:rFonts w:eastAsia="Calibri"/>
          <w:szCs w:val="22"/>
          <w:lang w:val="en-GB" w:eastAsia="ja-JP"/>
        </w:rPr>
        <w:t>Assessment of the spectrum needs for future railway mobile radio (RMR) communications</w:t>
      </w:r>
      <w:r w:rsidR="000A53DD" w:rsidRPr="008946B0">
        <w:rPr>
          <w:rFonts w:eastAsia="Calibri"/>
          <w:szCs w:val="22"/>
          <w:lang w:val="en-GB" w:eastAsia="ja-JP"/>
        </w:rPr>
        <w:t>”</w:t>
      </w:r>
      <w:r w:rsidR="00152A2A">
        <w:rPr>
          <w:rFonts w:eastAsia="Calibri"/>
          <w:szCs w:val="22"/>
          <w:lang w:val="en-GB" w:eastAsia="ja-JP"/>
        </w:rPr>
        <w:t>, approved February 2019</w:t>
      </w:r>
    </w:p>
    <w:p w14:paraId="0BE25EAF" w14:textId="16BD5559" w:rsidR="005A47F3" w:rsidRPr="008946B0" w:rsidRDefault="00AB77EF">
      <w:pPr>
        <w:numPr>
          <w:ilvl w:val="0"/>
          <w:numId w:val="5"/>
        </w:numPr>
        <w:spacing w:after="0"/>
        <w:jc w:val="both"/>
        <w:rPr>
          <w:rFonts w:eastAsia="Calibri"/>
          <w:szCs w:val="22"/>
          <w:lang w:val="en-GB" w:eastAsia="ja-JP"/>
        </w:rPr>
      </w:pPr>
      <w:r w:rsidRPr="008946B0">
        <w:rPr>
          <w:rFonts w:eastAsia="Calibri"/>
          <w:szCs w:val="22"/>
          <w:lang w:val="en-GB" w:eastAsia="ja-JP"/>
        </w:rPr>
        <w:t xml:space="preserve">ECC Report </w:t>
      </w:r>
      <w:r w:rsidR="000A53DD" w:rsidRPr="008946B0">
        <w:rPr>
          <w:rFonts w:eastAsia="Calibri"/>
          <w:szCs w:val="22"/>
          <w:lang w:val="en-GB" w:eastAsia="ja-JP"/>
        </w:rPr>
        <w:t>318</w:t>
      </w:r>
      <w:r w:rsidRPr="008946B0">
        <w:rPr>
          <w:rFonts w:eastAsia="Calibri"/>
          <w:szCs w:val="22"/>
          <w:lang w:val="en-GB" w:eastAsia="ja-JP"/>
        </w:rPr>
        <w:t xml:space="preserve">: </w:t>
      </w:r>
      <w:r w:rsidR="000A53DD" w:rsidRPr="008946B0">
        <w:rPr>
          <w:rFonts w:eastAsia="Calibri"/>
          <w:szCs w:val="22"/>
          <w:lang w:val="en-GB" w:eastAsia="ja-JP"/>
        </w:rPr>
        <w:t>“</w:t>
      </w:r>
      <w:r w:rsidRPr="008946B0">
        <w:rPr>
          <w:rFonts w:eastAsia="Calibri"/>
          <w:szCs w:val="22"/>
          <w:lang w:val="en-GB" w:eastAsia="ja-JP"/>
        </w:rPr>
        <w:t>Compatibility between RMR and MFCN in the 900 MHz range, the 1900-1920 MHz band and the 2290-2300 MHz band</w:t>
      </w:r>
      <w:r w:rsidR="000A53DD" w:rsidRPr="008946B0">
        <w:rPr>
          <w:rFonts w:eastAsia="Calibri"/>
          <w:szCs w:val="22"/>
          <w:lang w:val="en-GB" w:eastAsia="ja-JP"/>
        </w:rPr>
        <w:t>”</w:t>
      </w:r>
      <w:r w:rsidR="00152A2A">
        <w:rPr>
          <w:rFonts w:eastAsia="Calibri"/>
          <w:szCs w:val="22"/>
          <w:lang w:val="en-GB" w:eastAsia="ja-JP"/>
        </w:rPr>
        <w:t>, approved July 2020</w:t>
      </w:r>
    </w:p>
    <w:p w14:paraId="065727BC" w14:textId="5712EC92" w:rsidR="005A47F3" w:rsidRPr="008946B0" w:rsidRDefault="00AB77EF">
      <w:pPr>
        <w:numPr>
          <w:ilvl w:val="0"/>
          <w:numId w:val="5"/>
        </w:numPr>
        <w:spacing w:after="0"/>
        <w:jc w:val="both"/>
        <w:rPr>
          <w:rFonts w:eastAsia="Calibri"/>
          <w:szCs w:val="22"/>
          <w:lang w:val="en-GB" w:eastAsia="ja-JP"/>
        </w:rPr>
      </w:pPr>
      <w:r w:rsidRPr="008946B0">
        <w:rPr>
          <w:rFonts w:eastAsia="Calibri"/>
          <w:szCs w:val="22"/>
          <w:lang w:val="en-GB" w:eastAsia="ja-JP"/>
        </w:rPr>
        <w:t xml:space="preserve">ECC Report </w:t>
      </w:r>
      <w:r w:rsidR="00293DC9" w:rsidRPr="008946B0">
        <w:rPr>
          <w:rFonts w:eastAsia="Calibri"/>
          <w:szCs w:val="22"/>
          <w:lang w:val="en-GB" w:eastAsia="ja-JP"/>
        </w:rPr>
        <w:t>313</w:t>
      </w:r>
      <w:r w:rsidRPr="008946B0">
        <w:rPr>
          <w:rFonts w:eastAsia="Calibri"/>
          <w:szCs w:val="22"/>
          <w:lang w:val="en-GB" w:eastAsia="ja-JP"/>
        </w:rPr>
        <w:t xml:space="preserve">: </w:t>
      </w:r>
      <w:r w:rsidR="000A53DD" w:rsidRPr="008946B0">
        <w:rPr>
          <w:rFonts w:eastAsia="Calibri"/>
          <w:szCs w:val="22"/>
          <w:lang w:val="en-GB" w:eastAsia="ja-JP"/>
        </w:rPr>
        <w:t>“</w:t>
      </w:r>
      <w:r w:rsidRPr="008946B0">
        <w:rPr>
          <w:rFonts w:eastAsia="Calibri"/>
          <w:szCs w:val="22"/>
          <w:lang w:val="en-GB" w:eastAsia="ja-JP"/>
        </w:rPr>
        <w:t>Coexistence between RMR in the 900 MHz frequency range and other applications in adjacent bands</w:t>
      </w:r>
      <w:r w:rsidR="000A53DD" w:rsidRPr="008946B0">
        <w:rPr>
          <w:rFonts w:eastAsia="Calibri"/>
          <w:szCs w:val="22"/>
          <w:lang w:val="en-GB" w:eastAsia="ja-JP"/>
        </w:rPr>
        <w:t>”</w:t>
      </w:r>
      <w:r w:rsidR="00152A2A">
        <w:rPr>
          <w:rFonts w:eastAsia="Calibri"/>
          <w:szCs w:val="22"/>
          <w:lang w:val="en-GB" w:eastAsia="ja-JP"/>
        </w:rPr>
        <w:t>, approved May 2020</w:t>
      </w:r>
    </w:p>
    <w:p w14:paraId="589C07B3" w14:textId="068CBBEB" w:rsidR="005A47F3" w:rsidRPr="006B7083" w:rsidRDefault="00AB77EF" w:rsidP="00152A2A">
      <w:pPr>
        <w:numPr>
          <w:ilvl w:val="0"/>
          <w:numId w:val="5"/>
        </w:numPr>
        <w:spacing w:after="0"/>
        <w:jc w:val="both"/>
        <w:rPr>
          <w:rFonts w:eastAsia="Calibri"/>
          <w:szCs w:val="22"/>
          <w:lang w:val="en-GB" w:eastAsia="ja-JP"/>
        </w:rPr>
      </w:pPr>
      <w:r w:rsidRPr="00152A2A">
        <w:rPr>
          <w:rFonts w:eastAsia="Calibri"/>
          <w:szCs w:val="22"/>
          <w:lang w:val="en-GB" w:eastAsia="ja-JP"/>
        </w:rPr>
        <w:t xml:space="preserve">ECC Report </w:t>
      </w:r>
      <w:r w:rsidR="00293DC9" w:rsidRPr="00152A2A">
        <w:rPr>
          <w:rFonts w:eastAsia="Calibri"/>
          <w:szCs w:val="22"/>
          <w:lang w:val="en-GB" w:eastAsia="ja-JP"/>
        </w:rPr>
        <w:t>314</w:t>
      </w:r>
      <w:r w:rsidRPr="00152A2A">
        <w:rPr>
          <w:rFonts w:eastAsia="Calibri"/>
          <w:szCs w:val="22"/>
          <w:lang w:val="en-GB" w:eastAsia="ja-JP"/>
        </w:rPr>
        <w:t xml:space="preserve">: </w:t>
      </w:r>
      <w:r w:rsidR="002374ED">
        <w:rPr>
          <w:rFonts w:eastAsia="Calibri"/>
          <w:szCs w:val="22"/>
          <w:lang w:val="en-GB" w:eastAsia="ja-JP"/>
        </w:rPr>
        <w:t>“</w:t>
      </w:r>
      <w:r w:rsidRPr="00152A2A">
        <w:rPr>
          <w:rFonts w:eastAsia="Calibri"/>
          <w:szCs w:val="22"/>
          <w:lang w:val="en-GB" w:eastAsia="ja-JP"/>
        </w:rPr>
        <w:t>Coexistence between FRMCS in the 1900-1920 MHz frequency range and other applications in adjacent bands</w:t>
      </w:r>
      <w:r w:rsidR="002374ED">
        <w:rPr>
          <w:rFonts w:eastAsia="Calibri"/>
          <w:szCs w:val="22"/>
          <w:lang w:val="en-GB" w:eastAsia="ja-JP"/>
        </w:rPr>
        <w:t>”</w:t>
      </w:r>
      <w:r w:rsidR="00152A2A" w:rsidRPr="00152A2A">
        <w:rPr>
          <w:rFonts w:eastAsia="Calibri"/>
          <w:szCs w:val="22"/>
          <w:lang w:val="en-GB" w:eastAsia="ja-JP"/>
        </w:rPr>
        <w:t xml:space="preserve">, </w:t>
      </w:r>
      <w:r w:rsidR="00152A2A" w:rsidRPr="006B7083">
        <w:rPr>
          <w:rFonts w:eastAsia="Calibri"/>
          <w:szCs w:val="22"/>
          <w:lang w:val="en-GB" w:eastAsia="ja-JP"/>
        </w:rPr>
        <w:t>approved May 2020</w:t>
      </w:r>
    </w:p>
    <w:p w14:paraId="5AC03AD1" w14:textId="7875BDE5" w:rsidR="005A47F3" w:rsidRPr="008946B0" w:rsidRDefault="00AB77EF">
      <w:pPr>
        <w:numPr>
          <w:ilvl w:val="0"/>
          <w:numId w:val="5"/>
        </w:numPr>
        <w:spacing w:after="0"/>
        <w:jc w:val="both"/>
        <w:rPr>
          <w:rFonts w:eastAsia="Calibri"/>
          <w:szCs w:val="22"/>
          <w:lang w:val="en-GB" w:eastAsia="ja-JP"/>
        </w:rPr>
      </w:pPr>
      <w:r w:rsidRPr="008946B0">
        <w:rPr>
          <w:rFonts w:eastAsia="Calibri"/>
          <w:szCs w:val="22"/>
          <w:lang w:val="en-GB" w:eastAsia="ja-JP"/>
        </w:rPr>
        <w:t xml:space="preserve">ECC Report 309: </w:t>
      </w:r>
      <w:r w:rsidR="002374ED">
        <w:rPr>
          <w:rFonts w:eastAsia="Calibri"/>
          <w:szCs w:val="22"/>
          <w:lang w:val="en-GB" w:eastAsia="ja-JP"/>
        </w:rPr>
        <w:t>“</w:t>
      </w:r>
      <w:r w:rsidRPr="008946B0">
        <w:rPr>
          <w:rFonts w:eastAsia="Calibri"/>
          <w:szCs w:val="22"/>
          <w:lang w:val="en-GB" w:eastAsia="ja-JP"/>
        </w:rPr>
        <w:t>Use of MFCN for the command &amp; control and payload links of UAs within the current MFCN harmonised regulatory framework</w:t>
      </w:r>
      <w:r w:rsidR="002374ED">
        <w:rPr>
          <w:rFonts w:eastAsia="Calibri"/>
          <w:szCs w:val="22"/>
          <w:lang w:val="en-GB" w:eastAsia="ja-JP"/>
        </w:rPr>
        <w:t>”</w:t>
      </w:r>
      <w:r w:rsidR="00152A2A">
        <w:rPr>
          <w:rFonts w:eastAsia="Calibri"/>
          <w:szCs w:val="22"/>
          <w:lang w:val="en-GB" w:eastAsia="ja-JP"/>
        </w:rPr>
        <w:t>, approved July 2020</w:t>
      </w:r>
    </w:p>
    <w:p w14:paraId="1B9D4928" w14:textId="3F1F3831" w:rsidR="005A47F3" w:rsidRPr="00152A2A" w:rsidRDefault="00AB77EF" w:rsidP="00152A2A">
      <w:pPr>
        <w:numPr>
          <w:ilvl w:val="0"/>
          <w:numId w:val="5"/>
        </w:numPr>
        <w:spacing w:after="0"/>
        <w:jc w:val="both"/>
        <w:rPr>
          <w:rFonts w:eastAsia="Calibri"/>
          <w:szCs w:val="22"/>
          <w:lang w:val="en-GB" w:eastAsia="ja-JP"/>
        </w:rPr>
      </w:pPr>
      <w:r w:rsidRPr="00152A2A">
        <w:rPr>
          <w:rFonts w:eastAsia="Calibri"/>
          <w:szCs w:val="22"/>
          <w:lang w:val="en-GB" w:eastAsia="ja-JP"/>
        </w:rPr>
        <w:t xml:space="preserve">ECC Report 296: </w:t>
      </w:r>
      <w:r w:rsidR="000A53DD" w:rsidRPr="00152A2A">
        <w:rPr>
          <w:rFonts w:eastAsia="Calibri"/>
          <w:szCs w:val="22"/>
          <w:lang w:val="en-GB" w:eastAsia="ja-JP"/>
        </w:rPr>
        <w:t>“</w:t>
      </w:r>
      <w:r w:rsidRPr="00152A2A">
        <w:rPr>
          <w:rFonts w:eastAsia="Calibri"/>
          <w:szCs w:val="22"/>
          <w:lang w:val="en-GB" w:eastAsia="ja-JP"/>
        </w:rPr>
        <w:t>National synchroni</w:t>
      </w:r>
      <w:r w:rsidR="000A53DD" w:rsidRPr="00152A2A">
        <w:rPr>
          <w:rFonts w:eastAsia="Calibri"/>
          <w:szCs w:val="22"/>
          <w:lang w:val="en-GB" w:eastAsia="ja-JP"/>
        </w:rPr>
        <w:t>s</w:t>
      </w:r>
      <w:r w:rsidRPr="006B7083">
        <w:rPr>
          <w:rFonts w:eastAsia="Calibri"/>
          <w:szCs w:val="22"/>
          <w:lang w:val="en-GB" w:eastAsia="ja-JP"/>
        </w:rPr>
        <w:t>ation regulatory framework options in 3400-3800 MHz: a toolbox for coexiste</w:t>
      </w:r>
      <w:r w:rsidRPr="00152A2A">
        <w:rPr>
          <w:rFonts w:eastAsia="Calibri"/>
          <w:szCs w:val="22"/>
          <w:lang w:val="en-GB" w:eastAsia="ja-JP"/>
        </w:rPr>
        <w:t>nce of MFCNs in synchronised, unsynchronised and semi-synchronised operation in 3400-3800 MHz</w:t>
      </w:r>
      <w:r w:rsidR="000A53DD" w:rsidRPr="00152A2A">
        <w:rPr>
          <w:rFonts w:eastAsia="Calibri"/>
          <w:szCs w:val="22"/>
          <w:lang w:val="en-GB" w:eastAsia="ja-JP"/>
        </w:rPr>
        <w:t>”</w:t>
      </w:r>
      <w:r w:rsidR="00152A2A" w:rsidRPr="00152A2A">
        <w:rPr>
          <w:rFonts w:eastAsia="Calibri"/>
          <w:szCs w:val="22"/>
          <w:lang w:val="en-GB" w:eastAsia="ja-JP"/>
        </w:rPr>
        <w:t>, approved March 2019</w:t>
      </w:r>
    </w:p>
    <w:p w14:paraId="7C0C4637" w14:textId="36646082" w:rsidR="001C5A7F" w:rsidRPr="008946B0" w:rsidRDefault="001C5A7F">
      <w:pPr>
        <w:numPr>
          <w:ilvl w:val="0"/>
          <w:numId w:val="5"/>
        </w:numPr>
        <w:spacing w:after="0"/>
        <w:jc w:val="both"/>
        <w:rPr>
          <w:rFonts w:eastAsia="Calibri"/>
          <w:szCs w:val="22"/>
          <w:lang w:val="en-GB" w:eastAsia="ja-JP"/>
        </w:rPr>
      </w:pPr>
      <w:bookmarkStart w:id="474" w:name="_Ref34310692"/>
      <w:r w:rsidRPr="008946B0">
        <w:rPr>
          <w:rFonts w:eastAsia="Calibri"/>
          <w:szCs w:val="22"/>
          <w:lang w:val="en-GB" w:eastAsia="ja-JP"/>
        </w:rPr>
        <w:t xml:space="preserve">ECC Report 229: </w:t>
      </w:r>
      <w:r w:rsidR="000A53DD" w:rsidRPr="008946B0">
        <w:rPr>
          <w:rFonts w:eastAsia="Calibri"/>
          <w:szCs w:val="22"/>
          <w:lang w:val="en-GB" w:eastAsia="ja-JP"/>
        </w:rPr>
        <w:t>“</w:t>
      </w:r>
      <w:r w:rsidR="006B48B1" w:rsidRPr="008946B0">
        <w:rPr>
          <w:rFonts w:eastAsia="Calibri"/>
          <w:szCs w:val="22"/>
          <w:lang w:val="en-GB" w:eastAsia="ja-JP"/>
        </w:rPr>
        <w:t>Guidance for improving coexistence between GSM-R and MFCN in the 900 MHz band</w:t>
      </w:r>
      <w:r w:rsidR="000A53DD" w:rsidRPr="008946B0">
        <w:rPr>
          <w:rFonts w:eastAsia="Calibri"/>
          <w:szCs w:val="22"/>
          <w:lang w:val="en-GB" w:eastAsia="ja-JP"/>
        </w:rPr>
        <w:t>”</w:t>
      </w:r>
      <w:bookmarkEnd w:id="474"/>
      <w:r w:rsidR="00152A2A">
        <w:rPr>
          <w:rFonts w:eastAsia="Calibri"/>
          <w:szCs w:val="22"/>
          <w:lang w:val="en-GB" w:eastAsia="ja-JP"/>
        </w:rPr>
        <w:t>, approved May 2015</w:t>
      </w:r>
    </w:p>
    <w:p w14:paraId="7DEE9F24" w14:textId="7CDF2535" w:rsidR="001C5A7F" w:rsidRPr="008946B0" w:rsidRDefault="001C5A7F">
      <w:pPr>
        <w:numPr>
          <w:ilvl w:val="0"/>
          <w:numId w:val="5"/>
        </w:numPr>
        <w:spacing w:after="0"/>
        <w:jc w:val="both"/>
        <w:rPr>
          <w:rFonts w:eastAsia="Calibri"/>
          <w:szCs w:val="22"/>
          <w:lang w:val="en-GB" w:eastAsia="ja-JP"/>
        </w:rPr>
      </w:pPr>
      <w:r w:rsidRPr="008946B0">
        <w:rPr>
          <w:rFonts w:eastAsia="Calibri"/>
          <w:szCs w:val="22"/>
          <w:lang w:val="en-GB" w:eastAsia="ja-JP"/>
        </w:rPr>
        <w:t xml:space="preserve">ECC Report 172: </w:t>
      </w:r>
      <w:r w:rsidR="000A53DD" w:rsidRPr="008946B0">
        <w:rPr>
          <w:rFonts w:eastAsia="Calibri"/>
          <w:szCs w:val="22"/>
          <w:lang w:val="en-GB" w:eastAsia="ja-JP"/>
        </w:rPr>
        <w:t>“</w:t>
      </w:r>
      <w:r w:rsidRPr="008946B0">
        <w:rPr>
          <w:rFonts w:eastAsia="Calibri"/>
          <w:szCs w:val="22"/>
          <w:lang w:val="en-GB" w:eastAsia="ja-JP"/>
        </w:rPr>
        <w:t>Broadband Wireless Systems Usage in 2300-2400 MHz</w:t>
      </w:r>
      <w:r w:rsidR="000A53DD" w:rsidRPr="008946B0">
        <w:rPr>
          <w:rFonts w:eastAsia="Calibri"/>
          <w:szCs w:val="22"/>
          <w:lang w:val="en-GB" w:eastAsia="ja-JP"/>
        </w:rPr>
        <w:t>”</w:t>
      </w:r>
      <w:r w:rsidR="00152A2A">
        <w:rPr>
          <w:rFonts w:eastAsia="Calibri"/>
          <w:szCs w:val="22"/>
          <w:lang w:val="en-GB" w:eastAsia="ja-JP"/>
        </w:rPr>
        <w:t>, approved April 2012</w:t>
      </w:r>
    </w:p>
    <w:p w14:paraId="465C2F53" w14:textId="193F9DBD" w:rsidR="005A47F3" w:rsidRPr="008946B0" w:rsidRDefault="00AB77EF">
      <w:pPr>
        <w:numPr>
          <w:ilvl w:val="0"/>
          <w:numId w:val="5"/>
        </w:numPr>
        <w:spacing w:after="0"/>
        <w:jc w:val="both"/>
        <w:rPr>
          <w:rFonts w:eastAsia="Calibri"/>
          <w:szCs w:val="22"/>
          <w:lang w:val="en-GB" w:eastAsia="ja-JP"/>
        </w:rPr>
      </w:pPr>
      <w:r w:rsidRPr="008946B0">
        <w:rPr>
          <w:rFonts w:eastAsia="Calibri"/>
          <w:szCs w:val="22"/>
          <w:lang w:val="en-GB" w:eastAsia="ja-JP"/>
        </w:rPr>
        <w:t xml:space="preserve">UIC O-8736: </w:t>
      </w:r>
      <w:r w:rsidR="000A53DD" w:rsidRPr="008946B0">
        <w:rPr>
          <w:rFonts w:eastAsia="Calibri"/>
          <w:szCs w:val="22"/>
          <w:lang w:val="en-GB" w:eastAsia="ja-JP"/>
        </w:rPr>
        <w:t>“</w:t>
      </w:r>
      <w:r w:rsidRPr="008946B0">
        <w:rPr>
          <w:rFonts w:eastAsia="Calibri"/>
          <w:szCs w:val="22"/>
          <w:lang w:val="en-GB" w:eastAsia="ja-JP"/>
        </w:rPr>
        <w:t>Assessment report on GSM-R current and future radio environment</w:t>
      </w:r>
      <w:r w:rsidR="000A53DD" w:rsidRPr="008946B0">
        <w:rPr>
          <w:rFonts w:eastAsia="Calibri"/>
          <w:szCs w:val="22"/>
          <w:lang w:val="en-GB" w:eastAsia="ja-JP"/>
        </w:rPr>
        <w:t>”</w:t>
      </w:r>
    </w:p>
    <w:p w14:paraId="599057BF" w14:textId="3DDE499B" w:rsidR="005A47F3" w:rsidRPr="008946B0" w:rsidRDefault="00AB77EF">
      <w:pPr>
        <w:numPr>
          <w:ilvl w:val="0"/>
          <w:numId w:val="5"/>
        </w:numPr>
        <w:spacing w:after="0"/>
        <w:jc w:val="both"/>
        <w:rPr>
          <w:rFonts w:eastAsia="Calibri"/>
          <w:szCs w:val="22"/>
          <w:lang w:val="en-GB" w:eastAsia="ja-JP"/>
        </w:rPr>
      </w:pPr>
      <w:bookmarkStart w:id="475" w:name="_Ref34310084"/>
      <w:r w:rsidRPr="008946B0">
        <w:rPr>
          <w:rFonts w:eastAsia="Calibri"/>
          <w:szCs w:val="22"/>
          <w:lang w:val="en-GB" w:eastAsia="ja-JP"/>
        </w:rPr>
        <w:t xml:space="preserve">ETSI TS 102 933-1: </w:t>
      </w:r>
      <w:r w:rsidR="000A53DD" w:rsidRPr="008946B0">
        <w:rPr>
          <w:rFonts w:eastAsia="Calibri"/>
          <w:szCs w:val="22"/>
          <w:lang w:val="en-GB" w:eastAsia="ja-JP"/>
        </w:rPr>
        <w:t>“</w:t>
      </w:r>
      <w:r w:rsidRPr="008946B0">
        <w:rPr>
          <w:rFonts w:eastAsia="Calibri"/>
          <w:szCs w:val="22"/>
          <w:lang w:val="en-GB" w:eastAsia="ja-JP"/>
        </w:rPr>
        <w:t>GSM-R improved receiver parameters; Part 1: Requirements for radio reception</w:t>
      </w:r>
      <w:r w:rsidR="000A53DD" w:rsidRPr="008946B0">
        <w:rPr>
          <w:rFonts w:eastAsia="Calibri"/>
          <w:szCs w:val="22"/>
          <w:lang w:val="en-GB" w:eastAsia="ja-JP"/>
        </w:rPr>
        <w:t>”</w:t>
      </w:r>
      <w:bookmarkEnd w:id="475"/>
    </w:p>
    <w:p w14:paraId="11831700" w14:textId="020E0BE4" w:rsidR="005A47F3" w:rsidRPr="008946B0" w:rsidRDefault="006B7083">
      <w:pPr>
        <w:numPr>
          <w:ilvl w:val="0"/>
          <w:numId w:val="5"/>
        </w:numPr>
        <w:spacing w:after="0"/>
        <w:jc w:val="both"/>
        <w:rPr>
          <w:rFonts w:eastAsia="Calibri"/>
          <w:szCs w:val="22"/>
          <w:lang w:val="en-GB" w:eastAsia="ja-JP"/>
        </w:rPr>
      </w:pPr>
      <w:bookmarkStart w:id="476" w:name="_Ref34310048"/>
      <w:r w:rsidRPr="006B7083">
        <w:rPr>
          <w:rFonts w:eastAsia="Calibri"/>
          <w:szCs w:val="22"/>
          <w:lang w:val="en-GB" w:eastAsia="ja-JP"/>
        </w:rPr>
        <w:t>Commission Implementing Decision (EU) 2018/1538 of 11 October 2018 on the harmonisation of radio spectrum for use by short-range devices within the 874-876 and 915-921 MHz frequency bands</w:t>
      </w:r>
      <w:bookmarkEnd w:id="476"/>
    </w:p>
    <w:p w14:paraId="6D1621F4" w14:textId="77777777" w:rsidR="005A47F3" w:rsidRPr="008946B0" w:rsidRDefault="00AB77EF">
      <w:pPr>
        <w:numPr>
          <w:ilvl w:val="0"/>
          <w:numId w:val="5"/>
        </w:numPr>
        <w:spacing w:after="0"/>
        <w:jc w:val="both"/>
        <w:rPr>
          <w:rFonts w:eastAsia="Calibri"/>
          <w:szCs w:val="22"/>
          <w:lang w:val="en-GB" w:eastAsia="ja-JP"/>
        </w:rPr>
      </w:pPr>
      <w:bookmarkStart w:id="477" w:name="_Ref34310035"/>
      <w:r w:rsidRPr="008946B0">
        <w:rPr>
          <w:rFonts w:eastAsia="Calibri"/>
          <w:szCs w:val="22"/>
          <w:lang w:val="en-GB" w:eastAsia="ja-JP"/>
        </w:rPr>
        <w:t>ERC Recommendation 70-03 relating to the use of Short Range Devices</w:t>
      </w:r>
      <w:bookmarkEnd w:id="477"/>
    </w:p>
    <w:p w14:paraId="05218E5F" w14:textId="3BDD2D69" w:rsidR="005A47F3" w:rsidRPr="008946B0" w:rsidRDefault="00AB77EF">
      <w:pPr>
        <w:numPr>
          <w:ilvl w:val="0"/>
          <w:numId w:val="5"/>
        </w:numPr>
        <w:spacing w:after="0"/>
        <w:jc w:val="both"/>
        <w:rPr>
          <w:rFonts w:eastAsia="Calibri"/>
          <w:szCs w:val="22"/>
          <w:lang w:val="en-GB" w:eastAsia="ja-JP"/>
        </w:rPr>
      </w:pPr>
      <w:r w:rsidRPr="008946B0">
        <w:rPr>
          <w:rFonts w:eastAsia="Calibri"/>
          <w:szCs w:val="22"/>
          <w:lang w:val="en-GB" w:eastAsia="ja-JP"/>
        </w:rPr>
        <w:t xml:space="preserve">ECC Decision (14)02: </w:t>
      </w:r>
      <w:r w:rsidR="000A53DD" w:rsidRPr="008946B0">
        <w:rPr>
          <w:rFonts w:eastAsia="Calibri"/>
          <w:szCs w:val="22"/>
          <w:lang w:val="en-GB" w:eastAsia="ja-JP"/>
        </w:rPr>
        <w:t>“</w:t>
      </w:r>
      <w:r w:rsidRPr="008946B0">
        <w:rPr>
          <w:rFonts w:eastAsia="Calibri"/>
          <w:szCs w:val="22"/>
          <w:lang w:val="en-GB" w:eastAsia="ja-JP"/>
        </w:rPr>
        <w:t>Harmonised technical and regulatory conditions for the use of the band 2300-2400 MHz for MFCN</w:t>
      </w:r>
      <w:r w:rsidR="000A53DD" w:rsidRPr="008946B0">
        <w:rPr>
          <w:rFonts w:eastAsia="Calibri"/>
          <w:szCs w:val="22"/>
          <w:lang w:val="en-GB" w:eastAsia="ja-JP"/>
        </w:rPr>
        <w:t>”</w:t>
      </w:r>
      <w:r w:rsidR="00152A2A">
        <w:rPr>
          <w:rFonts w:eastAsia="Calibri"/>
          <w:szCs w:val="22"/>
          <w:lang w:val="en-GB" w:eastAsia="ja-JP"/>
        </w:rPr>
        <w:t>, approved June 2014</w:t>
      </w:r>
    </w:p>
    <w:p w14:paraId="33000872" w14:textId="5085B186" w:rsidR="005A47F3" w:rsidRPr="008946B0" w:rsidRDefault="005A47F3">
      <w:pPr>
        <w:pStyle w:val="ECCParagraph"/>
      </w:pPr>
    </w:p>
    <w:sectPr w:rsidR="005A47F3" w:rsidRPr="008946B0">
      <w:pgSz w:w="11907" w:h="16840"/>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0BA86D" w14:textId="77777777" w:rsidR="002374ED" w:rsidRDefault="002374ED">
      <w:pPr>
        <w:spacing w:after="0" w:line="240" w:lineRule="auto"/>
      </w:pPr>
      <w:r>
        <w:separator/>
      </w:r>
    </w:p>
  </w:endnote>
  <w:endnote w:type="continuationSeparator" w:id="0">
    <w:p w14:paraId="03E9B781" w14:textId="77777777" w:rsidR="002374ED" w:rsidRDefault="00237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5790FA" w14:textId="77777777" w:rsidR="002374ED" w:rsidRDefault="002374ED">
      <w:pPr>
        <w:spacing w:after="0" w:line="240" w:lineRule="auto"/>
      </w:pPr>
      <w:r>
        <w:separator/>
      </w:r>
    </w:p>
  </w:footnote>
  <w:footnote w:type="continuationSeparator" w:id="0">
    <w:p w14:paraId="1EFD38D7" w14:textId="77777777" w:rsidR="002374ED" w:rsidRDefault="002374ED">
      <w:pPr>
        <w:spacing w:after="0" w:line="240" w:lineRule="auto"/>
      </w:pPr>
      <w:r>
        <w:continuationSeparator/>
      </w:r>
    </w:p>
  </w:footnote>
  <w:footnote w:id="1">
    <w:p w14:paraId="649AD392" w14:textId="77777777" w:rsidR="002374ED" w:rsidRPr="00A32707" w:rsidRDefault="002374ED" w:rsidP="00AE5781">
      <w:pPr>
        <w:pStyle w:val="FootnoteText"/>
        <w:spacing w:after="0"/>
        <w:rPr>
          <w:sz w:val="16"/>
          <w:lang w:val="en-GB"/>
        </w:rPr>
      </w:pPr>
      <w:r w:rsidRPr="00A32707">
        <w:rPr>
          <w:rStyle w:val="FootnoteReference"/>
          <w:lang w:val="en-GB"/>
        </w:rPr>
        <w:footnoteRef/>
      </w:r>
      <w:r w:rsidRPr="00A32707">
        <w:rPr>
          <w:sz w:val="16"/>
          <w:lang w:val="en-GB"/>
        </w:rPr>
        <w:t xml:space="preserve"> including NB-IoT</w:t>
      </w:r>
    </w:p>
  </w:footnote>
  <w:footnote w:id="2">
    <w:p w14:paraId="1BBBB5ED" w14:textId="77777777" w:rsidR="002374ED" w:rsidRPr="00C56A92" w:rsidRDefault="002374ED" w:rsidP="003E0A44">
      <w:pPr>
        <w:pStyle w:val="FootnoteText"/>
        <w:spacing w:after="0" w:line="240" w:lineRule="auto"/>
        <w:rPr>
          <w:sz w:val="16"/>
          <w:szCs w:val="16"/>
          <w:lang w:val="en-GB"/>
        </w:rPr>
      </w:pPr>
      <w:r w:rsidRPr="00264303">
        <w:rPr>
          <w:rStyle w:val="FootnoteReference"/>
          <w:rFonts w:eastAsia="SimSun" w:cs="Arial"/>
          <w:lang w:val="en-GB"/>
        </w:rPr>
        <w:footnoteRef/>
      </w:r>
      <w:r w:rsidRPr="00C56A92">
        <w:rPr>
          <w:sz w:val="16"/>
          <w:szCs w:val="16"/>
          <w:lang w:val="en-GB"/>
        </w:rPr>
        <w:t xml:space="preserve"> National coordination is allowed as per Note 7 relative to the table on the harmonised technical conditions for SRD in Decision (EU) 2018/1538.</w:t>
      </w:r>
    </w:p>
  </w:footnote>
  <w:footnote w:id="3">
    <w:p w14:paraId="16E01CCC" w14:textId="7BB84C26" w:rsidR="002374ED" w:rsidRPr="00023A57" w:rsidRDefault="002374ED" w:rsidP="00381710">
      <w:pPr>
        <w:pStyle w:val="FootnoteText"/>
        <w:spacing w:after="0" w:line="240" w:lineRule="auto"/>
        <w:rPr>
          <w:sz w:val="16"/>
          <w:szCs w:val="16"/>
          <w:lang w:val="en-GB"/>
        </w:rPr>
      </w:pPr>
      <w:r w:rsidRPr="00023A57">
        <w:rPr>
          <w:rStyle w:val="FootnoteReference"/>
          <w:lang w:val="en-GB"/>
        </w:rPr>
        <w:footnoteRef/>
      </w:r>
      <w:r w:rsidRPr="00023A57">
        <w:rPr>
          <w:sz w:val="16"/>
          <w:szCs w:val="16"/>
          <w:lang w:val="en-GB"/>
        </w:rPr>
        <w:t xml:space="preserve"> Adjustments of antenna directivity, azimuth, tilt may not be sufficient to solve all interference cases. MFCN BS with improved selectivity would avoid the need for national coordination.</w:t>
      </w:r>
    </w:p>
  </w:footnote>
  <w:footnote w:id="4">
    <w:p w14:paraId="1BB173F6" w14:textId="6481A52F" w:rsidR="002374ED" w:rsidRPr="003B02A5" w:rsidRDefault="002374ED" w:rsidP="00203D80">
      <w:pPr>
        <w:pStyle w:val="FootnoteText"/>
        <w:spacing w:after="0" w:line="240" w:lineRule="auto"/>
        <w:rPr>
          <w:sz w:val="16"/>
          <w:lang w:val="en-GB"/>
        </w:rPr>
      </w:pPr>
      <w:r w:rsidRPr="0073396E">
        <w:rPr>
          <w:rStyle w:val="FootnoteReference"/>
          <w:lang w:val="en-GB"/>
        </w:rPr>
        <w:footnoteRef/>
      </w:r>
      <w:r w:rsidRPr="003B02A5">
        <w:rPr>
          <w:sz w:val="16"/>
          <w:lang w:val="en-GB"/>
        </w:rPr>
        <w:t xml:space="preserve"> See the synthesis in </w:t>
      </w:r>
      <w:r w:rsidRPr="005A78B8">
        <w:rPr>
          <w:sz w:val="16"/>
          <w:lang w:val="en-GB"/>
        </w:rPr>
        <w:t>FM(20)056-Annex 11</w:t>
      </w:r>
    </w:p>
  </w:footnote>
  <w:footnote w:id="5">
    <w:p w14:paraId="3F66DAB0" w14:textId="534BC970" w:rsidR="002374ED" w:rsidRPr="00B3785B" w:rsidRDefault="002374ED" w:rsidP="00B3785B">
      <w:pPr>
        <w:pStyle w:val="FootnoteText"/>
        <w:spacing w:after="0" w:line="240" w:lineRule="auto"/>
        <w:rPr>
          <w:sz w:val="16"/>
          <w:szCs w:val="16"/>
          <w:lang w:val="en-GB"/>
        </w:rPr>
      </w:pPr>
      <w:r w:rsidRPr="00C67E79">
        <w:rPr>
          <w:rStyle w:val="FootnoteReference"/>
          <w:lang w:val="en-GB"/>
        </w:rPr>
        <w:footnoteRef/>
      </w:r>
      <w:r w:rsidRPr="00B3785B">
        <w:rPr>
          <w:sz w:val="16"/>
          <w:szCs w:val="16"/>
          <w:lang w:val="en-GB"/>
        </w:rPr>
        <w:t xml:space="preserve"> The EIRENE specifications contain the requirements that are relevant to interoperability of the rail system within the European Union, according to the Directive </w:t>
      </w:r>
      <w:r w:rsidRPr="00B3785B">
        <w:rPr>
          <w:rFonts w:eastAsia="Calibri"/>
          <w:sz w:val="16"/>
          <w:szCs w:val="16"/>
          <w:lang w:val="en-GB"/>
        </w:rPr>
        <w:t>2016/797/EU</w:t>
      </w:r>
      <w:r>
        <w:rPr>
          <w:rFonts w:eastAsia="Calibri"/>
          <w:sz w:val="16"/>
          <w:szCs w:val="16"/>
          <w:lang w:val="en-GB"/>
        </w:rPr>
        <w:t>.</w:t>
      </w:r>
    </w:p>
  </w:footnote>
  <w:footnote w:id="6">
    <w:p w14:paraId="4030C757" w14:textId="2280F0CD" w:rsidR="002374ED" w:rsidRDefault="002374ED">
      <w:pPr>
        <w:pStyle w:val="FootnoteText"/>
        <w:spacing w:after="0" w:line="240" w:lineRule="auto"/>
        <w:rPr>
          <w:sz w:val="16"/>
          <w:lang w:val="en-GB"/>
        </w:rPr>
      </w:pPr>
      <w:r w:rsidRPr="0073396E">
        <w:rPr>
          <w:rStyle w:val="FootnoteReference"/>
          <w:lang w:val="en-GB"/>
        </w:rPr>
        <w:footnoteRef/>
      </w:r>
      <w:r>
        <w:rPr>
          <w:sz w:val="16"/>
          <w:lang w:val="en-GB"/>
        </w:rPr>
        <w:t xml:space="preserve"> On a national basis, the 873-876 / 918-921 MHz spectrum range or parts thereof will be operated with GSM-R prior to and during the migration period. The 874.4-876 MHz paired with 919.4-921 MHz are under consideration for railway usage on a harmonised basis in accordance with the EC mandate.</w:t>
      </w:r>
    </w:p>
  </w:footnote>
  <w:footnote w:id="7">
    <w:p w14:paraId="2F3A8865" w14:textId="77777777" w:rsidR="002374ED" w:rsidRDefault="002374ED">
      <w:pPr>
        <w:pStyle w:val="FootnoteText"/>
        <w:spacing w:after="0" w:line="240" w:lineRule="auto"/>
        <w:rPr>
          <w:sz w:val="16"/>
          <w:szCs w:val="16"/>
          <w:lang w:val="en-GB"/>
        </w:rPr>
      </w:pPr>
      <w:r w:rsidRPr="0073396E">
        <w:rPr>
          <w:rStyle w:val="FootnoteReference"/>
          <w:lang w:val="en-GB"/>
        </w:rPr>
        <w:footnoteRef/>
      </w:r>
      <w:r>
        <w:rPr>
          <w:sz w:val="16"/>
          <w:szCs w:val="16"/>
          <w:lang w:val="en-GB"/>
        </w:rPr>
        <w:t xml:space="preserve"> to replace the use of the Cell-ID</w:t>
      </w:r>
    </w:p>
  </w:footnote>
  <w:footnote w:id="8">
    <w:p w14:paraId="738F5CE3" w14:textId="77777777" w:rsidR="002374ED" w:rsidRDefault="002374ED">
      <w:pPr>
        <w:pStyle w:val="FootnoteText"/>
        <w:spacing w:after="0" w:line="240" w:lineRule="auto"/>
        <w:rPr>
          <w:sz w:val="16"/>
          <w:szCs w:val="16"/>
          <w:lang w:val="en-GB"/>
        </w:rPr>
      </w:pPr>
      <w:r w:rsidRPr="0073396E">
        <w:rPr>
          <w:rStyle w:val="FootnoteReference"/>
          <w:szCs w:val="16"/>
          <w:lang w:val="en-GB"/>
        </w:rPr>
        <w:footnoteRef/>
      </w:r>
      <w:r>
        <w:rPr>
          <w:sz w:val="16"/>
          <w:szCs w:val="16"/>
          <w:lang w:val="en-GB"/>
        </w:rPr>
        <w:t xml:space="preserve"> including Railway Emergency Call</w:t>
      </w:r>
    </w:p>
  </w:footnote>
  <w:footnote w:id="9">
    <w:p w14:paraId="5DEB5445" w14:textId="77777777" w:rsidR="002374ED" w:rsidRDefault="002374ED">
      <w:pPr>
        <w:pStyle w:val="FootnoteText"/>
        <w:snapToGrid w:val="0"/>
        <w:spacing w:after="0" w:line="240" w:lineRule="auto"/>
        <w:rPr>
          <w:sz w:val="16"/>
          <w:szCs w:val="16"/>
          <w:lang w:val="en-GB"/>
        </w:rPr>
      </w:pPr>
      <w:r w:rsidRPr="0073396E">
        <w:rPr>
          <w:rStyle w:val="FootnoteReference"/>
          <w:szCs w:val="16"/>
          <w:lang w:val="en-GB"/>
        </w:rPr>
        <w:footnoteRef/>
      </w:r>
      <w:r>
        <w:rPr>
          <w:sz w:val="16"/>
          <w:szCs w:val="16"/>
          <w:lang w:val="en-GB"/>
        </w:rPr>
        <w:t xml:space="preserve"> known under the name of “game changers”, see </w:t>
      </w:r>
      <w:hyperlink r:id="rId1" w:tgtFrame="https://webmail.anfr.fr/owa/_blank" w:history="1">
        <w:r>
          <w:rPr>
            <w:sz w:val="16"/>
            <w:szCs w:val="16"/>
            <w:lang w:val="en-GB"/>
          </w:rPr>
          <w:t>https://www.era.europa.eu/sites/default/files/library/docs/ex_post_evaluation/era_rep_150_ertms_longer_term_perspective_report_en.pdf</w:t>
        </w:r>
      </w:hyperlink>
    </w:p>
  </w:footnote>
  <w:footnote w:id="10">
    <w:p w14:paraId="280CB2CF" w14:textId="77777777" w:rsidR="002374ED" w:rsidRDefault="002374ED">
      <w:pPr>
        <w:pStyle w:val="FootnoteText"/>
        <w:spacing w:after="0" w:line="240" w:lineRule="auto"/>
        <w:rPr>
          <w:sz w:val="16"/>
          <w:szCs w:val="16"/>
          <w:lang w:val="en-GB"/>
        </w:rPr>
      </w:pPr>
      <w:r w:rsidRPr="0073396E">
        <w:rPr>
          <w:rStyle w:val="FootnoteReference"/>
          <w:szCs w:val="16"/>
          <w:lang w:val="en-GB"/>
        </w:rPr>
        <w:footnoteRef/>
      </w:r>
      <w:r>
        <w:rPr>
          <w:sz w:val="16"/>
          <w:szCs w:val="16"/>
          <w:lang w:val="en-GB"/>
        </w:rPr>
        <w:t xml:space="preserve"> This band is not harmonised for railway use neither at EU level nor at CEPT level. Three CEPT countries, Germany, Switzerland and Liechtenstein, are currently using the band 873-876 MHz / 918-921 MHz for GSM-R. In Belgium, the infrastructure manager informed the administration they intend to obtain the rights to use the GSM-R channels 919.6 MHz to 921.0 MHz.</w:t>
      </w:r>
    </w:p>
  </w:footnote>
  <w:footnote w:id="11">
    <w:p w14:paraId="2AA13E75" w14:textId="4605F6C6" w:rsidR="002374ED" w:rsidRPr="00D5472C" w:rsidRDefault="002374ED">
      <w:pPr>
        <w:pStyle w:val="FootnoteText"/>
        <w:spacing w:after="0" w:line="240" w:lineRule="auto"/>
        <w:rPr>
          <w:sz w:val="16"/>
          <w:szCs w:val="16"/>
          <w:lang w:val="en-GB"/>
        </w:rPr>
      </w:pPr>
      <w:r w:rsidRPr="00C67E79">
        <w:rPr>
          <w:rStyle w:val="FootnoteReference"/>
          <w:szCs w:val="16"/>
          <w:lang w:val="en-GB"/>
        </w:rPr>
        <w:footnoteRef/>
      </w:r>
      <w:r w:rsidRPr="00031C83">
        <w:rPr>
          <w:sz w:val="16"/>
          <w:szCs w:val="16"/>
          <w:lang w:val="en-GB"/>
        </w:rPr>
        <w:t xml:space="preserve"> Tables 14 and 16 </w:t>
      </w:r>
      <w:r>
        <w:rPr>
          <w:sz w:val="16"/>
          <w:szCs w:val="16"/>
          <w:lang w:val="en-GB"/>
        </w:rPr>
        <w:t xml:space="preserve">in </w:t>
      </w:r>
      <w:r w:rsidRPr="00D532BF">
        <w:rPr>
          <w:sz w:val="16"/>
          <w:szCs w:val="16"/>
        </w:rPr>
        <w:t>ECC Report</w:t>
      </w:r>
      <w:r>
        <w:rPr>
          <w:sz w:val="16"/>
          <w:szCs w:val="16"/>
        </w:rPr>
        <w:t xml:space="preserve"> 318</w:t>
      </w:r>
    </w:p>
  </w:footnote>
  <w:footnote w:id="12">
    <w:p w14:paraId="06E5C9C7" w14:textId="734DCB12" w:rsidR="002374ED" w:rsidRDefault="002374ED" w:rsidP="00BA34AA">
      <w:pPr>
        <w:pStyle w:val="FootnoteText"/>
        <w:spacing w:after="0" w:line="240" w:lineRule="auto"/>
        <w:rPr>
          <w:sz w:val="16"/>
          <w:szCs w:val="16"/>
          <w:lang w:val="en-GB"/>
        </w:rPr>
      </w:pPr>
      <w:r w:rsidRPr="0073396E">
        <w:rPr>
          <w:rStyle w:val="FootnoteReference"/>
          <w:szCs w:val="16"/>
          <w:lang w:val="en-GB"/>
        </w:rPr>
        <w:footnoteRef/>
      </w:r>
      <w:r>
        <w:rPr>
          <w:sz w:val="16"/>
          <w:szCs w:val="16"/>
          <w:lang w:val="en-GB"/>
        </w:rPr>
        <w:t xml:space="preserve"> </w:t>
      </w:r>
      <w:r w:rsidRPr="00F65D13">
        <w:rPr>
          <w:sz w:val="16"/>
          <w:szCs w:val="16"/>
          <w:lang w:val="en-GB"/>
        </w:rPr>
        <w:t xml:space="preserve">Tables 15 and 17 </w:t>
      </w:r>
      <w:r w:rsidRPr="000A53DD">
        <w:rPr>
          <w:sz w:val="16"/>
          <w:szCs w:val="16"/>
          <w:lang w:val="en-GB"/>
        </w:rPr>
        <w:t xml:space="preserve">in </w:t>
      </w:r>
      <w:r w:rsidRPr="00D532BF">
        <w:rPr>
          <w:sz w:val="16"/>
          <w:szCs w:val="16"/>
          <w:lang w:val="en-GB"/>
        </w:rPr>
        <w:t xml:space="preserve">ECC Report </w:t>
      </w:r>
      <w:r>
        <w:rPr>
          <w:sz w:val="16"/>
          <w:szCs w:val="16"/>
          <w:lang w:val="en-GB"/>
        </w:rPr>
        <w:t>318</w:t>
      </w:r>
    </w:p>
  </w:footnote>
  <w:footnote w:id="13">
    <w:p w14:paraId="7F410644" w14:textId="12FB0CF2" w:rsidR="002374ED" w:rsidRPr="009D1222" w:rsidRDefault="002374ED">
      <w:pPr>
        <w:pStyle w:val="FootnoteText"/>
        <w:rPr>
          <w:sz w:val="16"/>
          <w:lang w:val="en-GB"/>
        </w:rPr>
      </w:pPr>
      <w:r w:rsidRPr="009D1222">
        <w:rPr>
          <w:rStyle w:val="FootnoteReference"/>
          <w:lang w:val="en-GB"/>
        </w:rPr>
        <w:footnoteRef/>
      </w:r>
      <w:r w:rsidRPr="009D1222">
        <w:rPr>
          <w:sz w:val="16"/>
          <w:lang w:val="en-GB"/>
        </w:rPr>
        <w:t xml:space="preserve"> including NB-IoT</w:t>
      </w:r>
    </w:p>
  </w:footnote>
  <w:footnote w:id="14">
    <w:p w14:paraId="2E35A17E" w14:textId="77777777" w:rsidR="002374ED" w:rsidRPr="00C56A92" w:rsidRDefault="002374ED" w:rsidP="000D4BCC">
      <w:pPr>
        <w:pStyle w:val="FootnoteText"/>
        <w:spacing w:after="0" w:line="240" w:lineRule="auto"/>
        <w:rPr>
          <w:sz w:val="16"/>
          <w:szCs w:val="16"/>
          <w:lang w:val="en-GB"/>
        </w:rPr>
      </w:pPr>
      <w:r w:rsidRPr="00264303">
        <w:rPr>
          <w:rStyle w:val="FootnoteReference"/>
          <w:rFonts w:eastAsia="SimSun" w:cs="Arial"/>
          <w:lang w:val="en-GB"/>
        </w:rPr>
        <w:footnoteRef/>
      </w:r>
      <w:r w:rsidRPr="00C56A92">
        <w:rPr>
          <w:sz w:val="16"/>
          <w:szCs w:val="16"/>
          <w:lang w:val="en-GB"/>
        </w:rPr>
        <w:t xml:space="preserve"> National coordination is allowed as per Note 7 relative to the table on the harmonised technical conditions for SRD in Decision (EU) 2018/1538.</w:t>
      </w:r>
    </w:p>
  </w:footnote>
  <w:footnote w:id="15">
    <w:p w14:paraId="292B27FE" w14:textId="77777777" w:rsidR="002374ED" w:rsidRDefault="002374ED" w:rsidP="003A72E7">
      <w:pPr>
        <w:pStyle w:val="FootnoteText"/>
        <w:spacing w:after="0" w:line="240" w:lineRule="auto"/>
        <w:rPr>
          <w:sz w:val="16"/>
          <w:szCs w:val="16"/>
          <w:lang w:val="en-GB"/>
        </w:rPr>
      </w:pPr>
      <w:r w:rsidRPr="0073396E">
        <w:rPr>
          <w:rStyle w:val="FootnoteReference"/>
          <w:szCs w:val="16"/>
          <w:lang w:val="en-GB"/>
        </w:rPr>
        <w:footnoteRef/>
      </w:r>
      <w:r>
        <w:rPr>
          <w:sz w:val="16"/>
          <w:szCs w:val="16"/>
          <w:lang w:val="en-GB"/>
        </w:rPr>
        <w:t xml:space="preserve"> See section 6.3.3 of 3GPP TS 36.104</w:t>
      </w:r>
    </w:p>
  </w:footnote>
  <w:footnote w:id="16">
    <w:p w14:paraId="5668005E" w14:textId="77777777" w:rsidR="002374ED" w:rsidRPr="00A32707" w:rsidRDefault="002374ED" w:rsidP="007D2FDA">
      <w:pPr>
        <w:pStyle w:val="FootnoteText"/>
        <w:spacing w:after="0"/>
        <w:rPr>
          <w:sz w:val="16"/>
          <w:lang w:val="en-GB"/>
        </w:rPr>
      </w:pPr>
      <w:r w:rsidRPr="00A32707">
        <w:rPr>
          <w:rStyle w:val="FootnoteReference"/>
          <w:lang w:val="en-GB"/>
        </w:rPr>
        <w:footnoteRef/>
      </w:r>
      <w:r w:rsidRPr="00A32707">
        <w:rPr>
          <w:sz w:val="16"/>
          <w:lang w:val="en-GB"/>
        </w:rPr>
        <w:t xml:space="preserve"> including NB-IoT</w:t>
      </w:r>
    </w:p>
  </w:footnote>
  <w:footnote w:id="17">
    <w:p w14:paraId="2639C15F" w14:textId="77777777" w:rsidR="002374ED" w:rsidRPr="00C56A92" w:rsidRDefault="002374ED" w:rsidP="00101AD5">
      <w:pPr>
        <w:pStyle w:val="FootnoteText"/>
        <w:spacing w:after="0" w:line="240" w:lineRule="auto"/>
        <w:rPr>
          <w:sz w:val="16"/>
          <w:szCs w:val="16"/>
          <w:lang w:val="en-GB"/>
        </w:rPr>
      </w:pPr>
      <w:r w:rsidRPr="00264303">
        <w:rPr>
          <w:rStyle w:val="FootnoteReference"/>
          <w:rFonts w:eastAsia="SimSun" w:cs="Arial"/>
          <w:lang w:val="en-GB"/>
        </w:rPr>
        <w:footnoteRef/>
      </w:r>
      <w:r w:rsidRPr="00C56A92">
        <w:rPr>
          <w:sz w:val="16"/>
          <w:szCs w:val="16"/>
          <w:lang w:val="en-GB"/>
        </w:rPr>
        <w:t xml:space="preserve"> National coordination is allowed as per Note 7 relative to the table on the harmonised technical conditions for SRD in Decision (EU) 2018/1538.</w:t>
      </w:r>
    </w:p>
  </w:footnote>
  <w:footnote w:id="18">
    <w:p w14:paraId="12F0EFA5" w14:textId="0A9024B2" w:rsidR="002374ED" w:rsidRPr="00023A57" w:rsidRDefault="002374ED" w:rsidP="000B18BB">
      <w:pPr>
        <w:pStyle w:val="FootnoteText"/>
        <w:spacing w:after="0" w:line="240" w:lineRule="auto"/>
        <w:rPr>
          <w:sz w:val="16"/>
          <w:szCs w:val="16"/>
          <w:lang w:val="en-GB"/>
        </w:rPr>
      </w:pPr>
      <w:r w:rsidRPr="00023A57">
        <w:rPr>
          <w:rStyle w:val="FootnoteReference"/>
          <w:lang w:val="en-GB"/>
        </w:rPr>
        <w:footnoteRef/>
      </w:r>
      <w:r w:rsidRPr="00023A57">
        <w:rPr>
          <w:sz w:val="16"/>
          <w:szCs w:val="16"/>
          <w:lang w:val="en-GB"/>
        </w:rPr>
        <w:t xml:space="preserve"> Adjustments of antenna directivity, azimuth, tilt may not be sufficient to solve all interference cases. MFCN BS with improved selectivity would avoid the need for national coordination.</w:t>
      </w:r>
    </w:p>
  </w:footnote>
  <w:footnote w:id="19">
    <w:p w14:paraId="0C6AFE16" w14:textId="610A4A23" w:rsidR="002374ED" w:rsidRPr="00023A57" w:rsidRDefault="002374ED" w:rsidP="00495FA6">
      <w:pPr>
        <w:pStyle w:val="FootnoteText"/>
        <w:spacing w:after="0" w:line="240" w:lineRule="auto"/>
        <w:rPr>
          <w:sz w:val="16"/>
          <w:szCs w:val="16"/>
          <w:lang w:val="en-GB"/>
        </w:rPr>
      </w:pPr>
      <w:r w:rsidRPr="00023A57">
        <w:rPr>
          <w:rStyle w:val="FootnoteReference"/>
          <w:lang w:val="en-GB"/>
        </w:rPr>
        <w:footnoteRef/>
      </w:r>
      <w:r w:rsidRPr="00023A57">
        <w:rPr>
          <w:sz w:val="16"/>
          <w:szCs w:val="16"/>
          <w:lang w:val="en-GB"/>
        </w:rPr>
        <w:t xml:space="preserve"> Adjustments of antenna directivity, azimuth, tilt may not be sufficient to solve all interference cases. MFCN BS with improved selectivity would avoid the need for national coordination.</w:t>
      </w:r>
    </w:p>
  </w:footnote>
  <w:footnote w:id="20">
    <w:p w14:paraId="5E87F632" w14:textId="0A745559" w:rsidR="002374ED" w:rsidRPr="003B02A5" w:rsidRDefault="002374ED" w:rsidP="003B02A5">
      <w:pPr>
        <w:pStyle w:val="FootnoteText"/>
        <w:spacing w:after="0" w:line="240" w:lineRule="auto"/>
        <w:rPr>
          <w:sz w:val="16"/>
          <w:lang w:val="en-GB"/>
        </w:rPr>
      </w:pPr>
      <w:r w:rsidRPr="00C67E79">
        <w:rPr>
          <w:rStyle w:val="FootnoteReference"/>
          <w:rFonts w:cs="Arial"/>
          <w:lang w:val="en-GB"/>
        </w:rPr>
        <w:footnoteRef/>
      </w:r>
      <w:r w:rsidRPr="003B02A5">
        <w:rPr>
          <w:sz w:val="16"/>
          <w:lang w:val="en-GB"/>
        </w:rPr>
        <w:t xml:space="preserve"> See the synthesis in </w:t>
      </w:r>
      <w:r w:rsidRPr="005A78B8">
        <w:rPr>
          <w:sz w:val="16"/>
          <w:lang w:val="en-GB"/>
        </w:rPr>
        <w:t>FM(20)056-Annex 11</w:t>
      </w:r>
    </w:p>
  </w:footnote>
  <w:footnote w:id="21">
    <w:p w14:paraId="20FCD0FB" w14:textId="77777777" w:rsidR="002374ED" w:rsidRPr="004D0DA4" w:rsidRDefault="002374ED" w:rsidP="00962758">
      <w:pPr>
        <w:pStyle w:val="FootnoteText"/>
        <w:spacing w:after="0" w:line="240" w:lineRule="auto"/>
        <w:rPr>
          <w:sz w:val="16"/>
          <w:szCs w:val="16"/>
          <w:lang w:val="en-GB"/>
        </w:rPr>
      </w:pPr>
      <w:r w:rsidRPr="0073396E">
        <w:rPr>
          <w:rStyle w:val="FootnoteReference"/>
          <w:szCs w:val="16"/>
          <w:lang w:val="en-GB"/>
        </w:rPr>
        <w:footnoteRef/>
      </w:r>
      <w:r w:rsidRPr="004D0DA4">
        <w:rPr>
          <w:sz w:val="16"/>
          <w:szCs w:val="16"/>
          <w:lang w:val="en-GB"/>
        </w:rPr>
        <w:t xml:space="preserve"> See 3GPP TS 36.101</w:t>
      </w:r>
    </w:p>
  </w:footnote>
  <w:footnote w:id="22">
    <w:p w14:paraId="1DE9E77B" w14:textId="2BFAE8B6" w:rsidR="002374ED" w:rsidRPr="003B02A5" w:rsidRDefault="002374ED" w:rsidP="003B02A5">
      <w:pPr>
        <w:pStyle w:val="FootnoteText"/>
        <w:spacing w:after="0" w:line="240" w:lineRule="auto"/>
        <w:rPr>
          <w:sz w:val="16"/>
          <w:lang w:val="en-GB"/>
        </w:rPr>
      </w:pPr>
      <w:r w:rsidRPr="0073396E">
        <w:rPr>
          <w:rStyle w:val="FootnoteReference"/>
          <w:lang w:val="en-GB"/>
        </w:rPr>
        <w:footnoteRef/>
      </w:r>
      <w:r w:rsidRPr="003B02A5">
        <w:rPr>
          <w:sz w:val="16"/>
          <w:lang w:val="en-GB"/>
        </w:rPr>
        <w:t xml:space="preserve"> See the synthesis in </w:t>
      </w:r>
      <w:r w:rsidRPr="005A78B8">
        <w:rPr>
          <w:sz w:val="16"/>
          <w:lang w:val="en-GB"/>
        </w:rPr>
        <w:t>FM(20)056-Annex 11</w:t>
      </w:r>
    </w:p>
  </w:footnote>
  <w:footnote w:id="23">
    <w:p w14:paraId="3162194D" w14:textId="77777777" w:rsidR="002374ED" w:rsidRDefault="002374ED">
      <w:pPr>
        <w:pStyle w:val="FootnoteText"/>
        <w:snapToGrid w:val="0"/>
        <w:rPr>
          <w:sz w:val="16"/>
          <w:szCs w:val="16"/>
        </w:rPr>
      </w:pPr>
      <w:r w:rsidRPr="0073396E">
        <w:rPr>
          <w:rStyle w:val="FootnoteReference"/>
          <w:szCs w:val="16"/>
        </w:rPr>
        <w:footnoteRef/>
      </w:r>
      <w:r>
        <w:rPr>
          <w:sz w:val="16"/>
          <w:szCs w:val="16"/>
        </w:rPr>
        <w:t xml:space="preserve"> http://ec.europa.eu/newsroom/dae/document.cfm?doc_id=17131</w:t>
      </w:r>
    </w:p>
  </w:footnote>
  <w:footnote w:id="24">
    <w:p w14:paraId="713DB4A1" w14:textId="77777777" w:rsidR="002374ED" w:rsidRPr="00A32707" w:rsidRDefault="002374ED" w:rsidP="00E51246">
      <w:pPr>
        <w:pStyle w:val="FootnoteText"/>
        <w:spacing w:after="0"/>
        <w:rPr>
          <w:sz w:val="16"/>
          <w:lang w:val="en-GB"/>
        </w:rPr>
      </w:pPr>
      <w:r w:rsidRPr="00A32707">
        <w:rPr>
          <w:rStyle w:val="FootnoteReference"/>
          <w:lang w:val="en-GB"/>
        </w:rPr>
        <w:footnoteRef/>
      </w:r>
      <w:r w:rsidRPr="00A32707">
        <w:rPr>
          <w:sz w:val="16"/>
          <w:lang w:val="en-GB"/>
        </w:rPr>
        <w:t xml:space="preserve"> including NB-IoT</w:t>
      </w:r>
    </w:p>
  </w:footnote>
  <w:footnote w:id="25">
    <w:p w14:paraId="67476D50" w14:textId="77777777" w:rsidR="002374ED" w:rsidRPr="00C56A92" w:rsidRDefault="002374ED" w:rsidP="00E51246">
      <w:pPr>
        <w:pStyle w:val="FootnoteText"/>
        <w:spacing w:after="0" w:line="240" w:lineRule="auto"/>
        <w:rPr>
          <w:sz w:val="16"/>
          <w:szCs w:val="16"/>
          <w:lang w:val="en-GB"/>
        </w:rPr>
      </w:pPr>
      <w:r w:rsidRPr="00264303">
        <w:rPr>
          <w:rStyle w:val="FootnoteReference"/>
          <w:rFonts w:eastAsia="SimSun" w:cs="Arial"/>
          <w:lang w:val="en-GB"/>
        </w:rPr>
        <w:footnoteRef/>
      </w:r>
      <w:r w:rsidRPr="00C56A92">
        <w:rPr>
          <w:sz w:val="16"/>
          <w:szCs w:val="16"/>
          <w:lang w:val="en-GB"/>
        </w:rPr>
        <w:t xml:space="preserve"> National coordination is allowed as per Note 7 relative to the table on the harmonised technical conditions for SRD in Decision (EU) 2018/1538.</w:t>
      </w:r>
    </w:p>
  </w:footnote>
  <w:footnote w:id="26">
    <w:p w14:paraId="6714FB1D" w14:textId="246A582D" w:rsidR="002374ED" w:rsidRPr="00023A57" w:rsidRDefault="002374ED" w:rsidP="00E44181">
      <w:pPr>
        <w:pStyle w:val="FootnoteText"/>
        <w:spacing w:after="0" w:line="240" w:lineRule="auto"/>
        <w:rPr>
          <w:sz w:val="16"/>
          <w:szCs w:val="16"/>
          <w:lang w:val="en-GB"/>
        </w:rPr>
      </w:pPr>
      <w:r w:rsidRPr="00023A57">
        <w:rPr>
          <w:rStyle w:val="FootnoteReference"/>
          <w:lang w:val="en-GB"/>
        </w:rPr>
        <w:footnoteRef/>
      </w:r>
      <w:r w:rsidRPr="00023A57">
        <w:rPr>
          <w:sz w:val="16"/>
          <w:szCs w:val="16"/>
          <w:lang w:val="en-GB"/>
        </w:rPr>
        <w:t xml:space="preserve"> Adjustments of antenna directivity, azimuth, tilt may not be sufficient to solve all interference cases. MFCN BS with improved selectivity would avoid the need for national coordination.</w:t>
      </w:r>
    </w:p>
  </w:footnote>
  <w:footnote w:id="27">
    <w:p w14:paraId="310980C7" w14:textId="53BE5C7E" w:rsidR="002374ED" w:rsidRPr="003B02A5" w:rsidRDefault="002374ED" w:rsidP="00AF0D5E">
      <w:pPr>
        <w:pStyle w:val="FootnoteText"/>
        <w:spacing w:after="0" w:line="240" w:lineRule="auto"/>
        <w:rPr>
          <w:sz w:val="16"/>
          <w:lang w:val="en-GB"/>
        </w:rPr>
      </w:pPr>
      <w:r w:rsidRPr="0073396E">
        <w:rPr>
          <w:rStyle w:val="FootnoteReference"/>
          <w:lang w:val="en-GB"/>
        </w:rPr>
        <w:footnoteRef/>
      </w:r>
      <w:r w:rsidRPr="003B02A5">
        <w:rPr>
          <w:sz w:val="16"/>
          <w:lang w:val="en-GB"/>
        </w:rPr>
        <w:t xml:space="preserve"> See the synthesis in </w:t>
      </w:r>
      <w:r w:rsidRPr="005A78B8">
        <w:rPr>
          <w:sz w:val="16"/>
          <w:lang w:val="en-GB"/>
        </w:rPr>
        <w:t>FM(20)056-Annex 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1E994" w14:textId="0204ADFB" w:rsidR="002374ED" w:rsidRDefault="002374ED">
    <w:pPr>
      <w:pStyle w:val="Header"/>
      <w:rPr>
        <w:b w:val="0"/>
        <w:lang w:val="da-DK"/>
      </w:rPr>
    </w:pPr>
    <w:r>
      <w:rPr>
        <w:b w:val="0"/>
        <w:lang w:val="da-DK"/>
      </w:rPr>
      <w:t>Draft ECC REPORT XXX</w:t>
    </w:r>
  </w:p>
  <w:p w14:paraId="5EDAA7A8" w14:textId="77777777" w:rsidR="002374ED" w:rsidRDefault="002374ED">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Pr>
        <w:szCs w:val="16"/>
        <w:lang w:val="da-DK"/>
      </w:rPr>
      <w:t>2</w:t>
    </w:r>
    <w:r>
      <w:rPr>
        <w:szCs w:val="16"/>
        <w:lang w:val="da-DK"/>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234CB" w14:textId="089314FC" w:rsidR="002374ED" w:rsidRDefault="002374ED">
    <w:pPr>
      <w:pStyle w:val="Header"/>
      <w:jc w:val="right"/>
      <w:rPr>
        <w:b w:val="0"/>
        <w:lang w:val="da-DK"/>
      </w:rPr>
    </w:pPr>
    <w:r>
      <w:rPr>
        <w:b w:val="0"/>
        <w:lang w:val="da-DK"/>
      </w:rPr>
      <w:t>Draft ECC REPORT XXX</w:t>
    </w:r>
  </w:p>
  <w:p w14:paraId="3560053F" w14:textId="77777777" w:rsidR="002374ED" w:rsidRDefault="002374ED">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Pr>
        <w:szCs w:val="16"/>
        <w:lang w:val="da-DK"/>
      </w:rPr>
      <w:t>3</w:t>
    </w:r>
    <w:r>
      <w:rPr>
        <w:szCs w:val="16"/>
        <w:lang w:val="da-DK"/>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C54AD" w14:textId="58B71099" w:rsidR="002374ED" w:rsidRDefault="002374ED">
    <w:pPr>
      <w:pStyle w:val="Header"/>
    </w:pPr>
    <w:r>
      <w:rPr>
        <w:noProof/>
        <w:szCs w:val="20"/>
        <w:lang w:val="fr-FR" w:eastAsia="fr-FR"/>
      </w:rPr>
      <w:drawing>
        <wp:anchor distT="0" distB="0" distL="114300" distR="114300" simplePos="0" relativeHeight="251655680" behindDoc="0" locked="0" layoutInCell="1" allowOverlap="1" wp14:anchorId="18B1995C" wp14:editId="70552A79">
          <wp:simplePos x="0" y="0"/>
          <wp:positionH relativeFrom="page">
            <wp:posOffset>5717540</wp:posOffset>
          </wp:positionH>
          <wp:positionV relativeFrom="page">
            <wp:posOffset>648335</wp:posOffset>
          </wp:positionV>
          <wp:extent cx="1461770" cy="546100"/>
          <wp:effectExtent l="25400" t="0" r="11430" b="0"/>
          <wp:wrapNone/>
          <wp:docPr id="2"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cc_logo"/>
                  <pic:cNvPicPr>
                    <a:picLocks noChangeAspect="1" noChangeArrowheads="1"/>
                  </pic:cNvPicPr>
                </pic:nvPicPr>
                <pic:blipFill>
                  <a:blip r:embed="rId1"/>
                  <a:srcRect/>
                  <a:stretch>
                    <a:fillRect/>
                  </a:stretch>
                </pic:blipFill>
                <pic:spPr>
                  <a:xfrm>
                    <a:off x="0" y="0"/>
                    <a:ext cx="1461770" cy="546100"/>
                  </a:xfrm>
                  <a:prstGeom prst="rect">
                    <a:avLst/>
                  </a:prstGeom>
                  <a:noFill/>
                </pic:spPr>
              </pic:pic>
            </a:graphicData>
          </a:graphic>
        </wp:anchor>
      </w:drawing>
    </w:r>
    <w:r>
      <w:rPr>
        <w:noProof/>
        <w:szCs w:val="20"/>
        <w:lang w:val="fr-FR" w:eastAsia="fr-FR"/>
      </w:rPr>
      <w:drawing>
        <wp:anchor distT="0" distB="0" distL="114300" distR="114300" simplePos="0" relativeHeight="251653632" behindDoc="0" locked="0" layoutInCell="1" allowOverlap="1" wp14:anchorId="0E4B4BD0" wp14:editId="79A814BE">
          <wp:simplePos x="0" y="0"/>
          <wp:positionH relativeFrom="page">
            <wp:posOffset>572770</wp:posOffset>
          </wp:positionH>
          <wp:positionV relativeFrom="page">
            <wp:posOffset>457200</wp:posOffset>
          </wp:positionV>
          <wp:extent cx="889000" cy="889000"/>
          <wp:effectExtent l="25400" t="0" r="0" b="0"/>
          <wp:wrapNone/>
          <wp:docPr id="1"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ept logo"/>
                  <pic:cNvPicPr>
                    <a:picLocks noChangeAspect="1" noChangeArrowheads="1"/>
                  </pic:cNvPicPr>
                </pic:nvPicPr>
                <pic:blipFill>
                  <a:blip r:embed="rId2"/>
                  <a:srcRect/>
                  <a:stretch>
                    <a:fillRect/>
                  </a:stretch>
                </pic:blipFill>
                <pic:spPr>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99632" w14:textId="6500B6C5" w:rsidR="002374ED" w:rsidRDefault="002374ED" w:rsidP="00D5472C">
    <w:pPr>
      <w:pStyle w:val="Header"/>
      <w:rPr>
        <w:szCs w:val="16"/>
        <w:lang w:val="da-DK"/>
      </w:rPr>
    </w:pPr>
    <w:r>
      <w:rPr>
        <w:lang w:val="da-DK"/>
      </w:rPr>
      <w:t xml:space="preserve">CEPT REPORT 74 - </w:t>
    </w:r>
    <w:r>
      <w:rPr>
        <w:szCs w:val="16"/>
        <w:lang w:val="da-DK"/>
      </w:rPr>
      <w:t xml:space="preserve">Page </w:t>
    </w:r>
    <w:r>
      <w:fldChar w:fldCharType="begin"/>
    </w:r>
    <w:r>
      <w:instrText xml:space="preserve"> PAGE  \* Arabic  \* MERGEFORMAT </w:instrText>
    </w:r>
    <w:r>
      <w:fldChar w:fldCharType="separate"/>
    </w:r>
    <w:r w:rsidRPr="00EB0659">
      <w:rPr>
        <w:noProof/>
        <w:szCs w:val="16"/>
        <w:lang w:val="da-DK"/>
      </w:rPr>
      <w:t>50</w:t>
    </w:r>
    <w:r>
      <w:rPr>
        <w:szCs w:val="16"/>
        <w:lang w:val="da-DK"/>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EECFB" w14:textId="67709143" w:rsidR="002374ED" w:rsidRDefault="002374ED">
    <w:pPr>
      <w:pStyle w:val="Header"/>
      <w:jc w:val="right"/>
      <w:rPr>
        <w:szCs w:val="16"/>
        <w:lang w:val="da-DK"/>
      </w:rPr>
    </w:pPr>
    <w:r>
      <w:rPr>
        <w:lang w:val="da-DK"/>
      </w:rPr>
      <w:t xml:space="preserve">CEPT REPORT 74 - </w:t>
    </w:r>
    <w:r>
      <w:rPr>
        <w:szCs w:val="16"/>
        <w:lang w:val="da-DK"/>
      </w:rPr>
      <w:t xml:space="preserve">Page </w:t>
    </w:r>
    <w:r>
      <w:fldChar w:fldCharType="begin"/>
    </w:r>
    <w:r>
      <w:instrText xml:space="preserve"> PAGE  \* Arabic  \* MERGEFORMAT </w:instrText>
    </w:r>
    <w:r>
      <w:fldChar w:fldCharType="separate"/>
    </w:r>
    <w:r w:rsidRPr="00EB0659">
      <w:rPr>
        <w:noProof/>
        <w:szCs w:val="16"/>
        <w:lang w:val="da-DK"/>
      </w:rPr>
      <w:t>49</w:t>
    </w:r>
    <w:r>
      <w:rPr>
        <w:szCs w:val="16"/>
        <w:lang w:val="da-DK"/>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C21FE4" w14:textId="0D98ADC4" w:rsidR="002374ED" w:rsidRDefault="002374ED">
    <w:pPr>
      <w:pStyle w:val="Header"/>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EB4A7C"/>
    <w:multiLevelType w:val="multilevel"/>
    <w:tmpl w:val="0FEB4A7C"/>
    <w:lvl w:ilvl="0">
      <w:start w:val="1"/>
      <w:numFmt w:val="bullet"/>
      <w:pStyle w:val="ECCBulletsLv1"/>
      <w:lvlText w:val=""/>
      <w:lvlJc w:val="left"/>
      <w:pPr>
        <w:ind w:left="360" w:hanging="360"/>
      </w:pPr>
      <w:rPr>
        <w:rFonts w:ascii="Wingdings" w:hAnsi="Wingdings" w:hint="default"/>
        <w:color w:val="D2232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12F4188"/>
    <w:multiLevelType w:val="multilevel"/>
    <w:tmpl w:val="212F4188"/>
    <w:lvl w:ilvl="0">
      <w:start w:val="1"/>
      <w:numFmt w:val="decimal"/>
      <w:pStyle w:val="ECCAnnexheading1"/>
      <w:suff w:val="space"/>
      <w:lvlText w:val="ANNEX %1:"/>
      <w:lvlJc w:val="left"/>
      <w:pPr>
        <w:ind w:left="2836" w:firstLine="0"/>
      </w:pPr>
      <w:rPr>
        <w:rFonts w:ascii="Arial" w:hAnsi="Arial" w:hint="default"/>
        <w:b/>
        <w:bCs w:val="0"/>
        <w:i w:val="0"/>
        <w:iCs w:val="0"/>
        <w:smallCaps w:val="0"/>
        <w:strike w:val="0"/>
        <w:dstrike w:val="0"/>
        <w:vanish w:val="0"/>
        <w:color w:val="D2232A"/>
        <w:spacing w:val="0"/>
        <w:position w:val="0"/>
        <w:sz w:val="20"/>
        <w:u w:val="none"/>
        <w:vertAlign w:val="baseline"/>
        <w14:shadow w14:blurRad="0" w14:dist="0" w14:dir="0" w14:sx="0" w14:sy="0" w14:kx="0" w14:ky="0" w14:algn="none">
          <w14:srgbClr w14:val="000000"/>
        </w14:shadow>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left" w:pos="720"/>
        </w:tabs>
        <w:ind w:left="720" w:hanging="720"/>
      </w:pPr>
      <w:rPr>
        <w:rFonts w:hint="default"/>
      </w:rPr>
    </w:lvl>
    <w:lvl w:ilvl="3">
      <w:start w:val="1"/>
      <w:numFmt w:val="decimal"/>
      <w:pStyle w:val="ECCAnnexheading4"/>
      <w:lvlText w:val="A%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 w15:restartNumberingAfterBreak="0">
    <w:nsid w:val="272440E2"/>
    <w:multiLevelType w:val="multilevel"/>
    <w:tmpl w:val="272440E2"/>
    <w:lvl w:ilvl="0">
      <w:start w:val="1"/>
      <w:numFmt w:val="decimal"/>
      <w:pStyle w:val="ECCNumbered-LetteredList"/>
      <w:lvlText w:val="%1."/>
      <w:lvlJc w:val="left"/>
      <w:pPr>
        <w:tabs>
          <w:tab w:val="left" w:pos="340"/>
        </w:tabs>
        <w:ind w:left="340" w:hanging="340"/>
      </w:pPr>
      <w:rPr>
        <w:rFonts w:ascii="Arial" w:hAnsi="Arial" w:hint="default"/>
        <w:b w:val="0"/>
        <w:i w:val="0"/>
        <w:color w:val="D2232A"/>
        <w:sz w:val="20"/>
      </w:rPr>
    </w:lvl>
    <w:lvl w:ilvl="1">
      <w:start w:val="1"/>
      <w:numFmt w:val="lowerLetter"/>
      <w:lvlText w:val="%2)"/>
      <w:lvlJc w:val="left"/>
      <w:pPr>
        <w:tabs>
          <w:tab w:val="left" w:pos="680"/>
        </w:tabs>
        <w:ind w:left="680" w:hanging="340"/>
      </w:pPr>
      <w:rPr>
        <w:rFonts w:ascii="Arial" w:hAnsi="Arial" w:hint="default"/>
        <w:b w:val="0"/>
        <w:i w:val="0"/>
        <w:color w:val="D2232A"/>
        <w:sz w:val="20"/>
      </w:rPr>
    </w:lvl>
    <w:lvl w:ilvl="2">
      <w:start w:val="1"/>
      <w:numFmt w:val="bullet"/>
      <w:lvlText w:val=""/>
      <w:lvlJc w:val="left"/>
      <w:pPr>
        <w:tabs>
          <w:tab w:val="left" w:pos="1021"/>
        </w:tabs>
        <w:ind w:left="1021" w:hanging="341"/>
      </w:pPr>
      <w:rPr>
        <w:rFonts w:ascii="Wingdings" w:hAnsi="Wingdings" w:hint="default"/>
        <w:color w:val="D2232A"/>
      </w:rPr>
    </w:lvl>
    <w:lvl w:ilvl="3">
      <w:start w:val="1"/>
      <w:numFmt w:val="none"/>
      <w:lvlText w:val=""/>
      <w:lvlJc w:val="left"/>
      <w:pPr>
        <w:tabs>
          <w:tab w:val="left"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 w15:restartNumberingAfterBreak="0">
    <w:nsid w:val="3D163F7A"/>
    <w:multiLevelType w:val="multilevel"/>
    <w:tmpl w:val="3D163F7A"/>
    <w:lvl w:ilvl="0">
      <w:numFmt w:val="decimal"/>
      <w:pStyle w:val="Heading1"/>
      <w:lvlText w:val="%1"/>
      <w:lvlJc w:val="left"/>
      <w:pPr>
        <w:tabs>
          <w:tab w:val="left" w:pos="432"/>
        </w:tabs>
        <w:ind w:left="432" w:hanging="432"/>
      </w:pPr>
      <w:rPr>
        <w:rFonts w:ascii="Arial" w:hAnsi="Arial" w:hint="default"/>
        <w:b/>
        <w:i w:val="0"/>
        <w:color w:val="D2232A"/>
        <w:sz w:val="20"/>
        <w:szCs w:val="20"/>
      </w:rPr>
    </w:lvl>
    <w:lvl w:ilvl="1">
      <w:start w:val="1"/>
      <w:numFmt w:val="decimal"/>
      <w:pStyle w:val="Heading2"/>
      <w:lvlText w:val="%1.%2"/>
      <w:lvlJc w:val="left"/>
      <w:pPr>
        <w:tabs>
          <w:tab w:val="left" w:pos="576"/>
        </w:tabs>
        <w:ind w:left="576" w:hanging="576"/>
      </w:pPr>
      <w:rPr>
        <w:rFonts w:ascii="Arial" w:hAnsi="Arial" w:hint="default"/>
        <w:b/>
        <w:i w:val="0"/>
        <w:sz w:val="20"/>
      </w:rPr>
    </w:lvl>
    <w:lvl w:ilvl="2">
      <w:start w:val="1"/>
      <w:numFmt w:val="decimal"/>
      <w:pStyle w:val="Heading3"/>
      <w:lvlText w:val="%1.%2.%3"/>
      <w:lvlJc w:val="left"/>
      <w:pPr>
        <w:tabs>
          <w:tab w:val="left" w:pos="720"/>
        </w:tabs>
        <w:ind w:left="720" w:hanging="720"/>
      </w:pPr>
      <w:rPr>
        <w:rFonts w:ascii="Arial" w:hAnsi="Arial" w:hint="default"/>
        <w:b/>
        <w:i w:val="0"/>
        <w:caps w:val="0"/>
        <w:sz w:val="20"/>
        <w:szCs w:val="20"/>
      </w:rPr>
    </w:lvl>
    <w:lvl w:ilvl="3">
      <w:start w:val="1"/>
      <w:numFmt w:val="decimal"/>
      <w:pStyle w:val="Heading4"/>
      <w:lvlText w:val="%1.%2.%3.%4"/>
      <w:lvlJc w:val="left"/>
      <w:pPr>
        <w:tabs>
          <w:tab w:val="left" w:pos="864"/>
        </w:tabs>
        <w:ind w:left="864" w:hanging="864"/>
      </w:pPr>
      <w:rPr>
        <w:rFonts w:ascii="Arial" w:hAnsi="Arial" w:hint="default"/>
        <w:b w:val="0"/>
        <w:i/>
        <w:sz w:val="20"/>
      </w:rPr>
    </w:lvl>
    <w:lvl w:ilvl="4">
      <w:start w:val="1"/>
      <w:numFmt w:val="decimal"/>
      <w:pStyle w:val="Heading5"/>
      <w:lvlText w:val="%1.%2.%3.%4.%5"/>
      <w:lvlJc w:val="left"/>
      <w:pPr>
        <w:tabs>
          <w:tab w:val="left" w:pos="1008"/>
        </w:tabs>
        <w:ind w:left="1008" w:hanging="1008"/>
      </w:pPr>
      <w:rPr>
        <w:rFonts w:hint="default"/>
        <w:sz w:val="24"/>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4" w15:restartNumberingAfterBreak="0">
    <w:nsid w:val="3D256B7D"/>
    <w:multiLevelType w:val="multilevel"/>
    <w:tmpl w:val="3D256B7D"/>
    <w:lvl w:ilvl="0">
      <w:start w:val="1"/>
      <w:numFmt w:val="decimal"/>
      <w:pStyle w:val="ECCNumberedBullets"/>
      <w:lvlText w:val="%1."/>
      <w:lvlJc w:val="left"/>
      <w:pPr>
        <w:tabs>
          <w:tab w:val="left" w:pos="340"/>
        </w:tabs>
        <w:ind w:left="340" w:hanging="340"/>
      </w:pPr>
      <w:rPr>
        <w:rFonts w:ascii="Arial" w:hAnsi="Arial" w:hint="default"/>
        <w:b w:val="0"/>
        <w:i w:val="0"/>
        <w:color w:val="D2232A"/>
        <w:sz w:val="20"/>
      </w:rPr>
    </w:lvl>
    <w:lvl w:ilvl="1">
      <w:start w:val="1"/>
      <w:numFmt w:val="bullet"/>
      <w:lvlText w:val=""/>
      <w:lvlJc w:val="left"/>
      <w:pPr>
        <w:tabs>
          <w:tab w:val="left" w:pos="680"/>
        </w:tabs>
        <w:ind w:left="680" w:hanging="340"/>
      </w:pPr>
      <w:rPr>
        <w:rFonts w:ascii="Wingdings" w:hAnsi="Wingdings" w:hint="default"/>
        <w:color w:val="D2232A"/>
      </w:rPr>
    </w:lvl>
    <w:lvl w:ilvl="2">
      <w:start w:val="1"/>
      <w:numFmt w:val="bullet"/>
      <w:lvlText w:val=""/>
      <w:lvlJc w:val="left"/>
      <w:pPr>
        <w:tabs>
          <w:tab w:val="left"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5" w15:restartNumberingAfterBreak="0">
    <w:nsid w:val="46E6242A"/>
    <w:multiLevelType w:val="multilevel"/>
    <w:tmpl w:val="46E6242A"/>
    <w:lvl w:ilvl="0">
      <w:start w:val="1"/>
      <w:numFmt w:val="decimal"/>
      <w:pStyle w:val="reference"/>
      <w:lvlText w:val="[%1]"/>
      <w:lvlJc w:val="left"/>
      <w:pPr>
        <w:tabs>
          <w:tab w:val="left" w:pos="397"/>
        </w:tabs>
        <w:ind w:left="397" w:hanging="397"/>
      </w:pPr>
      <w:rPr>
        <w:rFonts w:ascii="Arial" w:hAnsi="Arial" w:hint="default"/>
        <w:b w:val="0"/>
        <w:i w:val="0"/>
        <w:color w:val="D2232A"/>
        <w:sz w:val="18"/>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499B11C1"/>
    <w:multiLevelType w:val="multilevel"/>
    <w:tmpl w:val="499B11C1"/>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left" w:pos="720"/>
        </w:tabs>
        <w:ind w:left="720" w:hanging="360"/>
      </w:pPr>
      <w:rPr>
        <w:rFonts w:hint="default"/>
      </w:rPr>
    </w:lvl>
    <w:lvl w:ilvl="2">
      <w:start w:val="1"/>
      <w:numFmt w:val="lowerRoman"/>
      <w:lvlText w:val="%3)"/>
      <w:lvlJc w:val="left"/>
      <w:pPr>
        <w:tabs>
          <w:tab w:val="left" w:pos="1080"/>
        </w:tabs>
        <w:ind w:left="1080" w:hanging="360"/>
      </w:pPr>
      <w:rPr>
        <w:rFonts w:hint="default"/>
      </w:rPr>
    </w:lvl>
    <w:lvl w:ilvl="3">
      <w:start w:val="1"/>
      <w:numFmt w:val="decimal"/>
      <w:lvlText w:val="(%4)"/>
      <w:lvlJc w:val="left"/>
      <w:pPr>
        <w:tabs>
          <w:tab w:val="left" w:pos="1440"/>
        </w:tabs>
        <w:ind w:left="1440" w:hanging="360"/>
      </w:pPr>
      <w:rPr>
        <w:rFonts w:hint="default"/>
      </w:rPr>
    </w:lvl>
    <w:lvl w:ilvl="4">
      <w:start w:val="1"/>
      <w:numFmt w:val="lowerLetter"/>
      <w:lvlText w:val="(%5)"/>
      <w:lvlJc w:val="left"/>
      <w:pPr>
        <w:tabs>
          <w:tab w:val="left" w:pos="1800"/>
        </w:tabs>
        <w:ind w:left="1800" w:hanging="360"/>
      </w:pPr>
      <w:rPr>
        <w:rFonts w:hint="default"/>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7" w15:restartNumberingAfterBreak="0">
    <w:nsid w:val="4DEC1C57"/>
    <w:multiLevelType w:val="hybridMultilevel"/>
    <w:tmpl w:val="B9521150"/>
    <w:lvl w:ilvl="0" w:tplc="9D8A66A4">
      <w:start w:val="1"/>
      <w:numFmt w:val="decimal"/>
      <w:lvlText w:val="%1."/>
      <w:lvlJc w:val="left"/>
      <w:pPr>
        <w:ind w:left="1829" w:hanging="480"/>
      </w:pPr>
      <w:rPr>
        <w:rFonts w:ascii="Times New Roman" w:eastAsia="Times New Roman" w:hAnsi="Times New Roman" w:cs="Times New Roman" w:hint="default"/>
        <w:b/>
        <w:bCs/>
        <w:spacing w:val="-3"/>
        <w:w w:val="99"/>
        <w:sz w:val="24"/>
        <w:szCs w:val="24"/>
        <w:lang w:val="en-GB" w:eastAsia="en-GB" w:bidi="en-GB"/>
      </w:rPr>
    </w:lvl>
    <w:lvl w:ilvl="1" w:tplc="FB28D498">
      <w:numFmt w:val="bullet"/>
      <w:lvlText w:val=""/>
      <w:lvlJc w:val="left"/>
      <w:pPr>
        <w:ind w:left="2549" w:hanging="360"/>
      </w:pPr>
      <w:rPr>
        <w:rFonts w:ascii="Symbol" w:eastAsia="Symbol" w:hAnsi="Symbol" w:cs="Symbol" w:hint="default"/>
        <w:w w:val="100"/>
        <w:sz w:val="24"/>
        <w:szCs w:val="24"/>
        <w:lang w:val="en-GB" w:eastAsia="en-GB" w:bidi="en-GB"/>
      </w:rPr>
    </w:lvl>
    <w:lvl w:ilvl="2" w:tplc="53F09E2A">
      <w:numFmt w:val="bullet"/>
      <w:lvlText w:val="•"/>
      <w:lvlJc w:val="left"/>
      <w:pPr>
        <w:ind w:left="3496" w:hanging="360"/>
      </w:pPr>
      <w:rPr>
        <w:rFonts w:hint="default"/>
        <w:lang w:val="en-GB" w:eastAsia="en-GB" w:bidi="en-GB"/>
      </w:rPr>
    </w:lvl>
    <w:lvl w:ilvl="3" w:tplc="37F2BB12">
      <w:numFmt w:val="bullet"/>
      <w:lvlText w:val="•"/>
      <w:lvlJc w:val="left"/>
      <w:pPr>
        <w:ind w:left="4452" w:hanging="360"/>
      </w:pPr>
      <w:rPr>
        <w:rFonts w:hint="default"/>
        <w:lang w:val="en-GB" w:eastAsia="en-GB" w:bidi="en-GB"/>
      </w:rPr>
    </w:lvl>
    <w:lvl w:ilvl="4" w:tplc="55DAF40E">
      <w:numFmt w:val="bullet"/>
      <w:lvlText w:val="•"/>
      <w:lvlJc w:val="left"/>
      <w:pPr>
        <w:ind w:left="5408" w:hanging="360"/>
      </w:pPr>
      <w:rPr>
        <w:rFonts w:hint="default"/>
        <w:lang w:val="en-GB" w:eastAsia="en-GB" w:bidi="en-GB"/>
      </w:rPr>
    </w:lvl>
    <w:lvl w:ilvl="5" w:tplc="42E820E8">
      <w:numFmt w:val="bullet"/>
      <w:lvlText w:val="•"/>
      <w:lvlJc w:val="left"/>
      <w:pPr>
        <w:ind w:left="6365" w:hanging="360"/>
      </w:pPr>
      <w:rPr>
        <w:rFonts w:hint="default"/>
        <w:lang w:val="en-GB" w:eastAsia="en-GB" w:bidi="en-GB"/>
      </w:rPr>
    </w:lvl>
    <w:lvl w:ilvl="6" w:tplc="B1CEA61A">
      <w:numFmt w:val="bullet"/>
      <w:lvlText w:val="•"/>
      <w:lvlJc w:val="left"/>
      <w:pPr>
        <w:ind w:left="7321" w:hanging="360"/>
      </w:pPr>
      <w:rPr>
        <w:rFonts w:hint="default"/>
        <w:lang w:val="en-GB" w:eastAsia="en-GB" w:bidi="en-GB"/>
      </w:rPr>
    </w:lvl>
    <w:lvl w:ilvl="7" w:tplc="D684FD70">
      <w:numFmt w:val="bullet"/>
      <w:lvlText w:val="•"/>
      <w:lvlJc w:val="left"/>
      <w:pPr>
        <w:ind w:left="8277" w:hanging="360"/>
      </w:pPr>
      <w:rPr>
        <w:rFonts w:hint="default"/>
        <w:lang w:val="en-GB" w:eastAsia="en-GB" w:bidi="en-GB"/>
      </w:rPr>
    </w:lvl>
    <w:lvl w:ilvl="8" w:tplc="61544502">
      <w:numFmt w:val="bullet"/>
      <w:lvlText w:val="•"/>
      <w:lvlJc w:val="left"/>
      <w:pPr>
        <w:ind w:left="9233" w:hanging="360"/>
      </w:pPr>
      <w:rPr>
        <w:rFonts w:hint="default"/>
        <w:lang w:val="en-GB" w:eastAsia="en-GB" w:bidi="en-GB"/>
      </w:rPr>
    </w:lvl>
  </w:abstractNum>
  <w:abstractNum w:abstractNumId="8" w15:restartNumberingAfterBreak="0">
    <w:nsid w:val="7B3212E4"/>
    <w:multiLevelType w:val="multilevel"/>
    <w:tmpl w:val="7B3212E4"/>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left" w:pos="792"/>
        </w:tabs>
        <w:ind w:left="792" w:hanging="432"/>
      </w:pPr>
      <w:rPr>
        <w:rFonts w:hint="default"/>
      </w:rPr>
    </w:lvl>
    <w:lvl w:ilvl="2">
      <w:start w:val="1"/>
      <w:numFmt w:val="decimal"/>
      <w:lvlText w:val="%1.%2.%3."/>
      <w:lvlJc w:val="left"/>
      <w:pPr>
        <w:tabs>
          <w:tab w:val="left" w:pos="1440"/>
        </w:tabs>
        <w:ind w:left="1224" w:hanging="504"/>
      </w:pPr>
      <w:rPr>
        <w:rFonts w:hint="default"/>
      </w:rPr>
    </w:lvl>
    <w:lvl w:ilvl="3">
      <w:start w:val="1"/>
      <w:numFmt w:val="decimal"/>
      <w:lvlText w:val="%1.%2.%3.%4."/>
      <w:lvlJc w:val="left"/>
      <w:pPr>
        <w:tabs>
          <w:tab w:val="left" w:pos="1800"/>
        </w:tabs>
        <w:ind w:left="1728" w:hanging="648"/>
      </w:pPr>
      <w:rPr>
        <w:rFonts w:hint="default"/>
      </w:rPr>
    </w:lvl>
    <w:lvl w:ilvl="4">
      <w:start w:val="1"/>
      <w:numFmt w:val="decimal"/>
      <w:lvlText w:val="%1.%2.%3.%4.%5."/>
      <w:lvlJc w:val="left"/>
      <w:pPr>
        <w:tabs>
          <w:tab w:val="left" w:pos="2520"/>
        </w:tabs>
        <w:ind w:left="2232" w:hanging="792"/>
      </w:pPr>
      <w:rPr>
        <w:rFonts w:hint="default"/>
      </w:rPr>
    </w:lvl>
    <w:lvl w:ilvl="5">
      <w:start w:val="1"/>
      <w:numFmt w:val="decimal"/>
      <w:lvlText w:val="%1.%2.%3.%4.%5.%6."/>
      <w:lvlJc w:val="left"/>
      <w:pPr>
        <w:tabs>
          <w:tab w:val="left" w:pos="2880"/>
        </w:tabs>
        <w:ind w:left="2736" w:hanging="936"/>
      </w:pPr>
      <w:rPr>
        <w:rFonts w:hint="default"/>
      </w:rPr>
    </w:lvl>
    <w:lvl w:ilvl="6">
      <w:start w:val="1"/>
      <w:numFmt w:val="decimal"/>
      <w:lvlText w:val="%1.%2.%3.%4.%5.%6.%7."/>
      <w:lvlJc w:val="left"/>
      <w:pPr>
        <w:tabs>
          <w:tab w:val="left" w:pos="3600"/>
        </w:tabs>
        <w:ind w:left="3240" w:hanging="1080"/>
      </w:pPr>
      <w:rPr>
        <w:rFonts w:hint="default"/>
      </w:rPr>
    </w:lvl>
    <w:lvl w:ilvl="7">
      <w:start w:val="1"/>
      <w:numFmt w:val="decimal"/>
      <w:lvlText w:val="%1.%2.%3.%4.%5.%6.%7.%8."/>
      <w:lvlJc w:val="left"/>
      <w:pPr>
        <w:tabs>
          <w:tab w:val="left" w:pos="3960"/>
        </w:tabs>
        <w:ind w:left="3744" w:hanging="1224"/>
      </w:pPr>
      <w:rPr>
        <w:rFonts w:hint="default"/>
      </w:rPr>
    </w:lvl>
    <w:lvl w:ilvl="8">
      <w:start w:val="1"/>
      <w:numFmt w:val="decimal"/>
      <w:lvlText w:val="%1.%2.%3.%4.%5.%6.%7.%8.%9."/>
      <w:lvlJc w:val="left"/>
      <w:pPr>
        <w:tabs>
          <w:tab w:val="left" w:pos="4680"/>
        </w:tabs>
        <w:ind w:left="4320" w:hanging="1440"/>
      </w:pPr>
      <w:rPr>
        <w:rFonts w:hint="default"/>
      </w:rPr>
    </w:lvl>
  </w:abstractNum>
  <w:num w:numId="1">
    <w:abstractNumId w:val="3"/>
  </w:num>
  <w:num w:numId="2">
    <w:abstractNumId w:val="1"/>
  </w:num>
  <w:num w:numId="3">
    <w:abstractNumId w:val="6"/>
  </w:num>
  <w:num w:numId="4">
    <w:abstractNumId w:val="8"/>
  </w:num>
  <w:num w:numId="5">
    <w:abstractNumId w:val="5"/>
  </w:num>
  <w:num w:numId="6">
    <w:abstractNumId w:val="2"/>
  </w:num>
  <w:num w:numId="7">
    <w:abstractNumId w:val="4"/>
  </w:num>
  <w:num w:numId="8">
    <w:abstractNumId w:val="0"/>
  </w:num>
  <w:num w:numId="9">
    <w:abstractNumId w:val="7"/>
  </w:num>
  <w:num w:numId="10">
    <w:abstractNumId w:val="0"/>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trackRevisions/>
  <w:defaultTabStop w:val="720"/>
  <w:hyphenationZone w:val="425"/>
  <w:evenAndOddHeaders/>
  <w:noPunctuationKerning/>
  <w:characterSpacingControl w:val="doNotCompress"/>
  <w:hdrShapeDefaults>
    <o:shapedefaults v:ext="edit" spidmax="20481"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0BC"/>
    <w:rsid w:val="00004FA6"/>
    <w:rsid w:val="0000559D"/>
    <w:rsid w:val="00006143"/>
    <w:rsid w:val="00010FB3"/>
    <w:rsid w:val="00014F03"/>
    <w:rsid w:val="0001540B"/>
    <w:rsid w:val="00017A36"/>
    <w:rsid w:val="00017E9E"/>
    <w:rsid w:val="00017EBD"/>
    <w:rsid w:val="0002333D"/>
    <w:rsid w:val="00023A57"/>
    <w:rsid w:val="00026210"/>
    <w:rsid w:val="00026E17"/>
    <w:rsid w:val="00030BA3"/>
    <w:rsid w:val="00031C83"/>
    <w:rsid w:val="00032DE4"/>
    <w:rsid w:val="000339D0"/>
    <w:rsid w:val="000345DD"/>
    <w:rsid w:val="00034D28"/>
    <w:rsid w:val="00035517"/>
    <w:rsid w:val="00036381"/>
    <w:rsid w:val="000364F4"/>
    <w:rsid w:val="00036D04"/>
    <w:rsid w:val="00037975"/>
    <w:rsid w:val="00040A94"/>
    <w:rsid w:val="000418DF"/>
    <w:rsid w:val="0004249D"/>
    <w:rsid w:val="00042EB8"/>
    <w:rsid w:val="0004305B"/>
    <w:rsid w:val="00043718"/>
    <w:rsid w:val="00043913"/>
    <w:rsid w:val="000444F6"/>
    <w:rsid w:val="0004474A"/>
    <w:rsid w:val="00044D0D"/>
    <w:rsid w:val="000476D5"/>
    <w:rsid w:val="00047A6E"/>
    <w:rsid w:val="00050705"/>
    <w:rsid w:val="00051D11"/>
    <w:rsid w:val="0005272B"/>
    <w:rsid w:val="00053876"/>
    <w:rsid w:val="00053D9D"/>
    <w:rsid w:val="00053DA8"/>
    <w:rsid w:val="0005481F"/>
    <w:rsid w:val="00054894"/>
    <w:rsid w:val="00054CAA"/>
    <w:rsid w:val="00056136"/>
    <w:rsid w:val="00056D91"/>
    <w:rsid w:val="000573B8"/>
    <w:rsid w:val="00061BEB"/>
    <w:rsid w:val="00064477"/>
    <w:rsid w:val="00067FFB"/>
    <w:rsid w:val="00070CA0"/>
    <w:rsid w:val="000727E3"/>
    <w:rsid w:val="00072EC9"/>
    <w:rsid w:val="000732D9"/>
    <w:rsid w:val="0007533F"/>
    <w:rsid w:val="0007702B"/>
    <w:rsid w:val="00080AF2"/>
    <w:rsid w:val="00080BB1"/>
    <w:rsid w:val="000851B4"/>
    <w:rsid w:val="00085342"/>
    <w:rsid w:val="00085B3A"/>
    <w:rsid w:val="00086347"/>
    <w:rsid w:val="00086658"/>
    <w:rsid w:val="00087568"/>
    <w:rsid w:val="00090136"/>
    <w:rsid w:val="0009605C"/>
    <w:rsid w:val="000A178F"/>
    <w:rsid w:val="000A4096"/>
    <w:rsid w:val="000A40D5"/>
    <w:rsid w:val="000A53DD"/>
    <w:rsid w:val="000A59DA"/>
    <w:rsid w:val="000A5BE7"/>
    <w:rsid w:val="000A7FAB"/>
    <w:rsid w:val="000B18BB"/>
    <w:rsid w:val="000B3EDF"/>
    <w:rsid w:val="000B4384"/>
    <w:rsid w:val="000B49B1"/>
    <w:rsid w:val="000B5237"/>
    <w:rsid w:val="000B5701"/>
    <w:rsid w:val="000B6D61"/>
    <w:rsid w:val="000B78E7"/>
    <w:rsid w:val="000B7906"/>
    <w:rsid w:val="000C047A"/>
    <w:rsid w:val="000C30BC"/>
    <w:rsid w:val="000C419F"/>
    <w:rsid w:val="000C4F8C"/>
    <w:rsid w:val="000D05B2"/>
    <w:rsid w:val="000D2B41"/>
    <w:rsid w:val="000D370E"/>
    <w:rsid w:val="000D4406"/>
    <w:rsid w:val="000D4BCC"/>
    <w:rsid w:val="000D6618"/>
    <w:rsid w:val="000D680A"/>
    <w:rsid w:val="000D76E9"/>
    <w:rsid w:val="000E577B"/>
    <w:rsid w:val="000E730D"/>
    <w:rsid w:val="000E75DC"/>
    <w:rsid w:val="000E763F"/>
    <w:rsid w:val="000F04E2"/>
    <w:rsid w:val="000F04FC"/>
    <w:rsid w:val="000F119A"/>
    <w:rsid w:val="000F3CD6"/>
    <w:rsid w:val="000F4786"/>
    <w:rsid w:val="000F47D2"/>
    <w:rsid w:val="000F5259"/>
    <w:rsid w:val="00100434"/>
    <w:rsid w:val="00101AD5"/>
    <w:rsid w:val="0010269A"/>
    <w:rsid w:val="0010374B"/>
    <w:rsid w:val="00105CB4"/>
    <w:rsid w:val="00107F9A"/>
    <w:rsid w:val="00111CC2"/>
    <w:rsid w:val="001134A0"/>
    <w:rsid w:val="00113968"/>
    <w:rsid w:val="001147A9"/>
    <w:rsid w:val="00114918"/>
    <w:rsid w:val="00114FCD"/>
    <w:rsid w:val="0011523E"/>
    <w:rsid w:val="00115CC4"/>
    <w:rsid w:val="00120836"/>
    <w:rsid w:val="00123D72"/>
    <w:rsid w:val="00124C7B"/>
    <w:rsid w:val="00126E49"/>
    <w:rsid w:val="0013010F"/>
    <w:rsid w:val="001327DA"/>
    <w:rsid w:val="00134A6C"/>
    <w:rsid w:val="0013535C"/>
    <w:rsid w:val="00135C90"/>
    <w:rsid w:val="001376B0"/>
    <w:rsid w:val="0014067C"/>
    <w:rsid w:val="00140F7E"/>
    <w:rsid w:val="00143271"/>
    <w:rsid w:val="001462DE"/>
    <w:rsid w:val="00147009"/>
    <w:rsid w:val="00147A65"/>
    <w:rsid w:val="00150102"/>
    <w:rsid w:val="00150812"/>
    <w:rsid w:val="00150886"/>
    <w:rsid w:val="00152A2A"/>
    <w:rsid w:val="00152BA2"/>
    <w:rsid w:val="00153F83"/>
    <w:rsid w:val="001552E3"/>
    <w:rsid w:val="00155B76"/>
    <w:rsid w:val="0015769F"/>
    <w:rsid w:val="00160131"/>
    <w:rsid w:val="0016169B"/>
    <w:rsid w:val="00164AE6"/>
    <w:rsid w:val="00164B84"/>
    <w:rsid w:val="00164C50"/>
    <w:rsid w:val="0016628E"/>
    <w:rsid w:val="00166FF8"/>
    <w:rsid w:val="001676D5"/>
    <w:rsid w:val="00167733"/>
    <w:rsid w:val="001701C9"/>
    <w:rsid w:val="00172775"/>
    <w:rsid w:val="00174728"/>
    <w:rsid w:val="00174FAD"/>
    <w:rsid w:val="00176324"/>
    <w:rsid w:val="00180D7C"/>
    <w:rsid w:val="001815E1"/>
    <w:rsid w:val="00182BCA"/>
    <w:rsid w:val="00184747"/>
    <w:rsid w:val="001866BF"/>
    <w:rsid w:val="00190C32"/>
    <w:rsid w:val="00190E7D"/>
    <w:rsid w:val="0019199A"/>
    <w:rsid w:val="00192ED9"/>
    <w:rsid w:val="001931E7"/>
    <w:rsid w:val="00193DED"/>
    <w:rsid w:val="00195D2C"/>
    <w:rsid w:val="00197260"/>
    <w:rsid w:val="001A1578"/>
    <w:rsid w:val="001A2826"/>
    <w:rsid w:val="001A37D3"/>
    <w:rsid w:val="001A3D88"/>
    <w:rsid w:val="001A720D"/>
    <w:rsid w:val="001B1320"/>
    <w:rsid w:val="001B2FB6"/>
    <w:rsid w:val="001B4D9E"/>
    <w:rsid w:val="001B5873"/>
    <w:rsid w:val="001B6F0F"/>
    <w:rsid w:val="001B7627"/>
    <w:rsid w:val="001C0036"/>
    <w:rsid w:val="001C2A34"/>
    <w:rsid w:val="001C363A"/>
    <w:rsid w:val="001C41B5"/>
    <w:rsid w:val="001C5A7F"/>
    <w:rsid w:val="001C7CE1"/>
    <w:rsid w:val="001D0910"/>
    <w:rsid w:val="001D0E4F"/>
    <w:rsid w:val="001D1464"/>
    <w:rsid w:val="001D24DC"/>
    <w:rsid w:val="001D2ED6"/>
    <w:rsid w:val="001D37A9"/>
    <w:rsid w:val="001D3A71"/>
    <w:rsid w:val="001D40E1"/>
    <w:rsid w:val="001D630B"/>
    <w:rsid w:val="001E2E06"/>
    <w:rsid w:val="001E383F"/>
    <w:rsid w:val="001E78BD"/>
    <w:rsid w:val="001F19AB"/>
    <w:rsid w:val="001F1B67"/>
    <w:rsid w:val="001F4773"/>
    <w:rsid w:val="001F49DB"/>
    <w:rsid w:val="001F4AEF"/>
    <w:rsid w:val="001F59ED"/>
    <w:rsid w:val="001F75A7"/>
    <w:rsid w:val="001F75EE"/>
    <w:rsid w:val="002000D9"/>
    <w:rsid w:val="00202C1B"/>
    <w:rsid w:val="00203D80"/>
    <w:rsid w:val="00204114"/>
    <w:rsid w:val="00205126"/>
    <w:rsid w:val="002055F1"/>
    <w:rsid w:val="002057E1"/>
    <w:rsid w:val="0020588F"/>
    <w:rsid w:val="00205F5C"/>
    <w:rsid w:val="00212CE0"/>
    <w:rsid w:val="002131F9"/>
    <w:rsid w:val="002146B5"/>
    <w:rsid w:val="00214C33"/>
    <w:rsid w:val="002155C2"/>
    <w:rsid w:val="00216BE1"/>
    <w:rsid w:val="002209A7"/>
    <w:rsid w:val="0022122E"/>
    <w:rsid w:val="00222DAD"/>
    <w:rsid w:val="002231A1"/>
    <w:rsid w:val="00230052"/>
    <w:rsid w:val="002346E1"/>
    <w:rsid w:val="002355B7"/>
    <w:rsid w:val="00236E7E"/>
    <w:rsid w:val="002374ED"/>
    <w:rsid w:val="0024048F"/>
    <w:rsid w:val="0024273E"/>
    <w:rsid w:val="00246663"/>
    <w:rsid w:val="00247F98"/>
    <w:rsid w:val="00250CC7"/>
    <w:rsid w:val="0025129E"/>
    <w:rsid w:val="00251824"/>
    <w:rsid w:val="002518B2"/>
    <w:rsid w:val="002522F0"/>
    <w:rsid w:val="0025262A"/>
    <w:rsid w:val="00253297"/>
    <w:rsid w:val="00253ED1"/>
    <w:rsid w:val="00256590"/>
    <w:rsid w:val="002567B2"/>
    <w:rsid w:val="0026027B"/>
    <w:rsid w:val="00261C53"/>
    <w:rsid w:val="00267D1B"/>
    <w:rsid w:val="002721E5"/>
    <w:rsid w:val="002731B7"/>
    <w:rsid w:val="002736DA"/>
    <w:rsid w:val="00275659"/>
    <w:rsid w:val="00275DCC"/>
    <w:rsid w:val="00277A6B"/>
    <w:rsid w:val="0028104B"/>
    <w:rsid w:val="00284775"/>
    <w:rsid w:val="002863C9"/>
    <w:rsid w:val="00287390"/>
    <w:rsid w:val="00287BAB"/>
    <w:rsid w:val="002900D4"/>
    <w:rsid w:val="002907F7"/>
    <w:rsid w:val="00292195"/>
    <w:rsid w:val="00293DC9"/>
    <w:rsid w:val="00296BDA"/>
    <w:rsid w:val="00297767"/>
    <w:rsid w:val="002A0324"/>
    <w:rsid w:val="002A3B08"/>
    <w:rsid w:val="002A47EF"/>
    <w:rsid w:val="002A5145"/>
    <w:rsid w:val="002A5AB0"/>
    <w:rsid w:val="002A5F4E"/>
    <w:rsid w:val="002A65C0"/>
    <w:rsid w:val="002A7D47"/>
    <w:rsid w:val="002B087B"/>
    <w:rsid w:val="002B0FFA"/>
    <w:rsid w:val="002B1714"/>
    <w:rsid w:val="002B1CF1"/>
    <w:rsid w:val="002B1D60"/>
    <w:rsid w:val="002B25EF"/>
    <w:rsid w:val="002B4020"/>
    <w:rsid w:val="002C1522"/>
    <w:rsid w:val="002C16F1"/>
    <w:rsid w:val="002C2F1F"/>
    <w:rsid w:val="002C5EEB"/>
    <w:rsid w:val="002C65B3"/>
    <w:rsid w:val="002D178C"/>
    <w:rsid w:val="002D2256"/>
    <w:rsid w:val="002D2B33"/>
    <w:rsid w:val="002D3F73"/>
    <w:rsid w:val="002D6079"/>
    <w:rsid w:val="002D7DF1"/>
    <w:rsid w:val="002E05C4"/>
    <w:rsid w:val="002E14D8"/>
    <w:rsid w:val="002E1559"/>
    <w:rsid w:val="002E2124"/>
    <w:rsid w:val="002E22CD"/>
    <w:rsid w:val="002E2304"/>
    <w:rsid w:val="002E6771"/>
    <w:rsid w:val="002E73A5"/>
    <w:rsid w:val="002E7ED1"/>
    <w:rsid w:val="002F1D17"/>
    <w:rsid w:val="002F40F5"/>
    <w:rsid w:val="002F4DA8"/>
    <w:rsid w:val="002F578D"/>
    <w:rsid w:val="002F7A83"/>
    <w:rsid w:val="002F7BE1"/>
    <w:rsid w:val="002F7F0D"/>
    <w:rsid w:val="003000C9"/>
    <w:rsid w:val="00300445"/>
    <w:rsid w:val="0030070A"/>
    <w:rsid w:val="00300B56"/>
    <w:rsid w:val="003026BB"/>
    <w:rsid w:val="00304422"/>
    <w:rsid w:val="00306FAD"/>
    <w:rsid w:val="003106DB"/>
    <w:rsid w:val="00314C8F"/>
    <w:rsid w:val="00316BD6"/>
    <w:rsid w:val="00316C70"/>
    <w:rsid w:val="00317521"/>
    <w:rsid w:val="003177A1"/>
    <w:rsid w:val="0032094A"/>
    <w:rsid w:val="003251A1"/>
    <w:rsid w:val="00330CB2"/>
    <w:rsid w:val="0033228A"/>
    <w:rsid w:val="0034099D"/>
    <w:rsid w:val="00343DCF"/>
    <w:rsid w:val="00344559"/>
    <w:rsid w:val="00346A6A"/>
    <w:rsid w:val="003510DD"/>
    <w:rsid w:val="00351D3B"/>
    <w:rsid w:val="0035259A"/>
    <w:rsid w:val="0035749C"/>
    <w:rsid w:val="003576A8"/>
    <w:rsid w:val="00360790"/>
    <w:rsid w:val="00360AAA"/>
    <w:rsid w:val="003617BE"/>
    <w:rsid w:val="003623F1"/>
    <w:rsid w:val="00362515"/>
    <w:rsid w:val="003630CB"/>
    <w:rsid w:val="00363553"/>
    <w:rsid w:val="003646D3"/>
    <w:rsid w:val="00365427"/>
    <w:rsid w:val="00367EA7"/>
    <w:rsid w:val="003700B6"/>
    <w:rsid w:val="00371B68"/>
    <w:rsid w:val="00371D08"/>
    <w:rsid w:val="003739AA"/>
    <w:rsid w:val="00373A4C"/>
    <w:rsid w:val="00376E05"/>
    <w:rsid w:val="00381710"/>
    <w:rsid w:val="00381B47"/>
    <w:rsid w:val="00383715"/>
    <w:rsid w:val="00383AEF"/>
    <w:rsid w:val="003855C6"/>
    <w:rsid w:val="003863F7"/>
    <w:rsid w:val="00386B92"/>
    <w:rsid w:val="00387324"/>
    <w:rsid w:val="00387A57"/>
    <w:rsid w:val="0039059B"/>
    <w:rsid w:val="003905EB"/>
    <w:rsid w:val="003917FD"/>
    <w:rsid w:val="00393831"/>
    <w:rsid w:val="0039392A"/>
    <w:rsid w:val="00395046"/>
    <w:rsid w:val="00396068"/>
    <w:rsid w:val="00396190"/>
    <w:rsid w:val="0039676D"/>
    <w:rsid w:val="00396D4C"/>
    <w:rsid w:val="00396F7D"/>
    <w:rsid w:val="003977DD"/>
    <w:rsid w:val="003A36DD"/>
    <w:rsid w:val="003A4AA2"/>
    <w:rsid w:val="003A4ED0"/>
    <w:rsid w:val="003A5640"/>
    <w:rsid w:val="003A61F7"/>
    <w:rsid w:val="003A68F1"/>
    <w:rsid w:val="003A6E65"/>
    <w:rsid w:val="003A72E7"/>
    <w:rsid w:val="003A7B3C"/>
    <w:rsid w:val="003B02A5"/>
    <w:rsid w:val="003B4A02"/>
    <w:rsid w:val="003B4ADA"/>
    <w:rsid w:val="003B676E"/>
    <w:rsid w:val="003B6882"/>
    <w:rsid w:val="003B6ED7"/>
    <w:rsid w:val="003C069F"/>
    <w:rsid w:val="003C16B5"/>
    <w:rsid w:val="003C3EE4"/>
    <w:rsid w:val="003C7B30"/>
    <w:rsid w:val="003D01E7"/>
    <w:rsid w:val="003D0F8F"/>
    <w:rsid w:val="003D25B9"/>
    <w:rsid w:val="003D2C43"/>
    <w:rsid w:val="003D5261"/>
    <w:rsid w:val="003D5779"/>
    <w:rsid w:val="003D5869"/>
    <w:rsid w:val="003D654E"/>
    <w:rsid w:val="003E0A44"/>
    <w:rsid w:val="003E0FEE"/>
    <w:rsid w:val="003E2864"/>
    <w:rsid w:val="003E2CBE"/>
    <w:rsid w:val="003E3016"/>
    <w:rsid w:val="003E31AE"/>
    <w:rsid w:val="003E3A4E"/>
    <w:rsid w:val="003E4CC1"/>
    <w:rsid w:val="003E57CD"/>
    <w:rsid w:val="003E633F"/>
    <w:rsid w:val="003E6BF8"/>
    <w:rsid w:val="003F0393"/>
    <w:rsid w:val="003F6229"/>
    <w:rsid w:val="00401451"/>
    <w:rsid w:val="00404DCF"/>
    <w:rsid w:val="00406EF2"/>
    <w:rsid w:val="00407AE0"/>
    <w:rsid w:val="00412C5C"/>
    <w:rsid w:val="00412EE4"/>
    <w:rsid w:val="0041362F"/>
    <w:rsid w:val="0041552A"/>
    <w:rsid w:val="0041588C"/>
    <w:rsid w:val="00415C58"/>
    <w:rsid w:val="00420DA3"/>
    <w:rsid w:val="004212F2"/>
    <w:rsid w:val="0042184E"/>
    <w:rsid w:val="00422493"/>
    <w:rsid w:val="00422EAB"/>
    <w:rsid w:val="00422F3F"/>
    <w:rsid w:val="004246C0"/>
    <w:rsid w:val="00425449"/>
    <w:rsid w:val="004259E2"/>
    <w:rsid w:val="00427FD5"/>
    <w:rsid w:val="00432498"/>
    <w:rsid w:val="00432EBB"/>
    <w:rsid w:val="004330B2"/>
    <w:rsid w:val="00437065"/>
    <w:rsid w:val="004378A6"/>
    <w:rsid w:val="00441647"/>
    <w:rsid w:val="0044223D"/>
    <w:rsid w:val="00445187"/>
    <w:rsid w:val="004456CD"/>
    <w:rsid w:val="004471AD"/>
    <w:rsid w:val="004510C0"/>
    <w:rsid w:val="0045148D"/>
    <w:rsid w:val="00451AEC"/>
    <w:rsid w:val="00452C5B"/>
    <w:rsid w:val="00453C22"/>
    <w:rsid w:val="00453FF4"/>
    <w:rsid w:val="004548B7"/>
    <w:rsid w:val="00454BAD"/>
    <w:rsid w:val="0045575F"/>
    <w:rsid w:val="00455E22"/>
    <w:rsid w:val="00460088"/>
    <w:rsid w:val="004619A3"/>
    <w:rsid w:val="004636B9"/>
    <w:rsid w:val="004639DA"/>
    <w:rsid w:val="0046658E"/>
    <w:rsid w:val="00466E3C"/>
    <w:rsid w:val="00472CEE"/>
    <w:rsid w:val="0047368E"/>
    <w:rsid w:val="00474F6D"/>
    <w:rsid w:val="004775FE"/>
    <w:rsid w:val="00477B6D"/>
    <w:rsid w:val="00484022"/>
    <w:rsid w:val="004842D3"/>
    <w:rsid w:val="00486211"/>
    <w:rsid w:val="00486663"/>
    <w:rsid w:val="004908D7"/>
    <w:rsid w:val="004915C6"/>
    <w:rsid w:val="00491AD5"/>
    <w:rsid w:val="00491C9A"/>
    <w:rsid w:val="004929EE"/>
    <w:rsid w:val="004946E8"/>
    <w:rsid w:val="00495CD5"/>
    <w:rsid w:val="00495FA6"/>
    <w:rsid w:val="00496946"/>
    <w:rsid w:val="0049740C"/>
    <w:rsid w:val="004A0985"/>
    <w:rsid w:val="004A147B"/>
    <w:rsid w:val="004A1B23"/>
    <w:rsid w:val="004A2337"/>
    <w:rsid w:val="004A2441"/>
    <w:rsid w:val="004A5512"/>
    <w:rsid w:val="004A5662"/>
    <w:rsid w:val="004A5BEE"/>
    <w:rsid w:val="004A78DB"/>
    <w:rsid w:val="004B16EB"/>
    <w:rsid w:val="004B4398"/>
    <w:rsid w:val="004B7E60"/>
    <w:rsid w:val="004C0AAF"/>
    <w:rsid w:val="004C1903"/>
    <w:rsid w:val="004C2316"/>
    <w:rsid w:val="004C6E08"/>
    <w:rsid w:val="004C6F69"/>
    <w:rsid w:val="004D015A"/>
    <w:rsid w:val="004D0DA4"/>
    <w:rsid w:val="004D34C3"/>
    <w:rsid w:val="004D3AB0"/>
    <w:rsid w:val="004D3C95"/>
    <w:rsid w:val="004D63E3"/>
    <w:rsid w:val="004E0AB5"/>
    <w:rsid w:val="004E204D"/>
    <w:rsid w:val="004E3482"/>
    <w:rsid w:val="004E35D2"/>
    <w:rsid w:val="004E5A0F"/>
    <w:rsid w:val="004E6C98"/>
    <w:rsid w:val="004F02C2"/>
    <w:rsid w:val="004F1B7E"/>
    <w:rsid w:val="004F1EB6"/>
    <w:rsid w:val="004F38B0"/>
    <w:rsid w:val="004F6B8F"/>
    <w:rsid w:val="004F7D47"/>
    <w:rsid w:val="00500121"/>
    <w:rsid w:val="0050568A"/>
    <w:rsid w:val="00505C8A"/>
    <w:rsid w:val="00506C8D"/>
    <w:rsid w:val="00510BBA"/>
    <w:rsid w:val="00511FE5"/>
    <w:rsid w:val="00512677"/>
    <w:rsid w:val="00513706"/>
    <w:rsid w:val="005150EA"/>
    <w:rsid w:val="00523741"/>
    <w:rsid w:val="005278A1"/>
    <w:rsid w:val="00532DDD"/>
    <w:rsid w:val="0053494F"/>
    <w:rsid w:val="00535C92"/>
    <w:rsid w:val="00536205"/>
    <w:rsid w:val="00536DE7"/>
    <w:rsid w:val="005371B6"/>
    <w:rsid w:val="00540762"/>
    <w:rsid w:val="00540EB7"/>
    <w:rsid w:val="0054192B"/>
    <w:rsid w:val="00541B24"/>
    <w:rsid w:val="00541E6D"/>
    <w:rsid w:val="00545A15"/>
    <w:rsid w:val="0055085E"/>
    <w:rsid w:val="00553318"/>
    <w:rsid w:val="005533E9"/>
    <w:rsid w:val="00553858"/>
    <w:rsid w:val="00553F13"/>
    <w:rsid w:val="00554E6B"/>
    <w:rsid w:val="00555837"/>
    <w:rsid w:val="0055757B"/>
    <w:rsid w:val="00561403"/>
    <w:rsid w:val="005658DA"/>
    <w:rsid w:val="005665E1"/>
    <w:rsid w:val="00566980"/>
    <w:rsid w:val="00566E85"/>
    <w:rsid w:val="00567F5D"/>
    <w:rsid w:val="005711E7"/>
    <w:rsid w:val="005716DA"/>
    <w:rsid w:val="00571DC4"/>
    <w:rsid w:val="005723E3"/>
    <w:rsid w:val="005727F7"/>
    <w:rsid w:val="00572B4D"/>
    <w:rsid w:val="005732B0"/>
    <w:rsid w:val="005774CE"/>
    <w:rsid w:val="0058043A"/>
    <w:rsid w:val="00582066"/>
    <w:rsid w:val="00582DE9"/>
    <w:rsid w:val="005832E9"/>
    <w:rsid w:val="0058330E"/>
    <w:rsid w:val="00584EDF"/>
    <w:rsid w:val="00586997"/>
    <w:rsid w:val="005919B1"/>
    <w:rsid w:val="00592556"/>
    <w:rsid w:val="005927BD"/>
    <w:rsid w:val="00593210"/>
    <w:rsid w:val="00596931"/>
    <w:rsid w:val="00597890"/>
    <w:rsid w:val="005A1273"/>
    <w:rsid w:val="005A3303"/>
    <w:rsid w:val="005A47F3"/>
    <w:rsid w:val="005A5067"/>
    <w:rsid w:val="005A6D12"/>
    <w:rsid w:val="005A78B8"/>
    <w:rsid w:val="005B00FA"/>
    <w:rsid w:val="005B018C"/>
    <w:rsid w:val="005B0205"/>
    <w:rsid w:val="005B0B07"/>
    <w:rsid w:val="005B12AA"/>
    <w:rsid w:val="005B1828"/>
    <w:rsid w:val="005B2EA9"/>
    <w:rsid w:val="005B2F4B"/>
    <w:rsid w:val="005B3476"/>
    <w:rsid w:val="005B387A"/>
    <w:rsid w:val="005B58D6"/>
    <w:rsid w:val="005B734C"/>
    <w:rsid w:val="005B751F"/>
    <w:rsid w:val="005C06D8"/>
    <w:rsid w:val="005C2CE6"/>
    <w:rsid w:val="005C3409"/>
    <w:rsid w:val="005C3973"/>
    <w:rsid w:val="005D11F3"/>
    <w:rsid w:val="005D1871"/>
    <w:rsid w:val="005D21DB"/>
    <w:rsid w:val="005D3B97"/>
    <w:rsid w:val="005D4147"/>
    <w:rsid w:val="005E152E"/>
    <w:rsid w:val="005E16B1"/>
    <w:rsid w:val="005E1D86"/>
    <w:rsid w:val="005E284E"/>
    <w:rsid w:val="005E3DC8"/>
    <w:rsid w:val="005E5485"/>
    <w:rsid w:val="005E607A"/>
    <w:rsid w:val="005E692E"/>
    <w:rsid w:val="005E72E2"/>
    <w:rsid w:val="005F04E3"/>
    <w:rsid w:val="005F2C54"/>
    <w:rsid w:val="005F5AFB"/>
    <w:rsid w:val="00601022"/>
    <w:rsid w:val="0060189F"/>
    <w:rsid w:val="00604D31"/>
    <w:rsid w:val="006054F5"/>
    <w:rsid w:val="00606A03"/>
    <w:rsid w:val="00606B01"/>
    <w:rsid w:val="00607E75"/>
    <w:rsid w:val="00610DD8"/>
    <w:rsid w:val="00612211"/>
    <w:rsid w:val="0061467D"/>
    <w:rsid w:val="006151B2"/>
    <w:rsid w:val="006215C0"/>
    <w:rsid w:val="006218D0"/>
    <w:rsid w:val="00622166"/>
    <w:rsid w:val="00622815"/>
    <w:rsid w:val="00622C95"/>
    <w:rsid w:val="0062311A"/>
    <w:rsid w:val="0062362C"/>
    <w:rsid w:val="006240AC"/>
    <w:rsid w:val="006249BB"/>
    <w:rsid w:val="0062637D"/>
    <w:rsid w:val="0062652E"/>
    <w:rsid w:val="006274CE"/>
    <w:rsid w:val="006279F1"/>
    <w:rsid w:val="006301E9"/>
    <w:rsid w:val="00630B4C"/>
    <w:rsid w:val="006311E0"/>
    <w:rsid w:val="00634233"/>
    <w:rsid w:val="00637688"/>
    <w:rsid w:val="0063792C"/>
    <w:rsid w:val="0064090B"/>
    <w:rsid w:val="00640AFF"/>
    <w:rsid w:val="00642AAC"/>
    <w:rsid w:val="00644449"/>
    <w:rsid w:val="0064444B"/>
    <w:rsid w:val="0064584E"/>
    <w:rsid w:val="00646904"/>
    <w:rsid w:val="00646A4F"/>
    <w:rsid w:val="00650C82"/>
    <w:rsid w:val="006528FA"/>
    <w:rsid w:val="00657412"/>
    <w:rsid w:val="006626BB"/>
    <w:rsid w:val="006629B9"/>
    <w:rsid w:val="0066361D"/>
    <w:rsid w:val="0066674A"/>
    <w:rsid w:val="006676F1"/>
    <w:rsid w:val="006703FD"/>
    <w:rsid w:val="006708E7"/>
    <w:rsid w:val="00671C2F"/>
    <w:rsid w:val="00676392"/>
    <w:rsid w:val="00680455"/>
    <w:rsid w:val="006829F2"/>
    <w:rsid w:val="006832F3"/>
    <w:rsid w:val="00683A5C"/>
    <w:rsid w:val="00683DF7"/>
    <w:rsid w:val="00684C57"/>
    <w:rsid w:val="00687021"/>
    <w:rsid w:val="006877D9"/>
    <w:rsid w:val="006905EF"/>
    <w:rsid w:val="00690704"/>
    <w:rsid w:val="0069110A"/>
    <w:rsid w:val="006939F2"/>
    <w:rsid w:val="0069566F"/>
    <w:rsid w:val="00695A6F"/>
    <w:rsid w:val="0069601F"/>
    <w:rsid w:val="006A1193"/>
    <w:rsid w:val="006A19C6"/>
    <w:rsid w:val="006A20DD"/>
    <w:rsid w:val="006A3CC8"/>
    <w:rsid w:val="006A4928"/>
    <w:rsid w:val="006A5973"/>
    <w:rsid w:val="006B0E50"/>
    <w:rsid w:val="006B21D5"/>
    <w:rsid w:val="006B3650"/>
    <w:rsid w:val="006B48B1"/>
    <w:rsid w:val="006B7083"/>
    <w:rsid w:val="006B7244"/>
    <w:rsid w:val="006C1711"/>
    <w:rsid w:val="006C2FDE"/>
    <w:rsid w:val="006C37A2"/>
    <w:rsid w:val="006C59CA"/>
    <w:rsid w:val="006D1B84"/>
    <w:rsid w:val="006D25B3"/>
    <w:rsid w:val="006D2F24"/>
    <w:rsid w:val="006D418E"/>
    <w:rsid w:val="006D4840"/>
    <w:rsid w:val="006D66E1"/>
    <w:rsid w:val="006D6B1D"/>
    <w:rsid w:val="006E468E"/>
    <w:rsid w:val="006E5FD1"/>
    <w:rsid w:val="006E641B"/>
    <w:rsid w:val="006E789E"/>
    <w:rsid w:val="006E7DC4"/>
    <w:rsid w:val="006F1115"/>
    <w:rsid w:val="006F32E8"/>
    <w:rsid w:val="006F3C88"/>
    <w:rsid w:val="006F4882"/>
    <w:rsid w:val="006F5883"/>
    <w:rsid w:val="006F675A"/>
    <w:rsid w:val="0070179D"/>
    <w:rsid w:val="007021F0"/>
    <w:rsid w:val="00705507"/>
    <w:rsid w:val="00706974"/>
    <w:rsid w:val="00707D69"/>
    <w:rsid w:val="007101C6"/>
    <w:rsid w:val="007110DD"/>
    <w:rsid w:val="00711DE6"/>
    <w:rsid w:val="00712073"/>
    <w:rsid w:val="0071220E"/>
    <w:rsid w:val="00712E46"/>
    <w:rsid w:val="0071351D"/>
    <w:rsid w:val="00715346"/>
    <w:rsid w:val="00716F30"/>
    <w:rsid w:val="007171DE"/>
    <w:rsid w:val="007211CD"/>
    <w:rsid w:val="00723190"/>
    <w:rsid w:val="0072584B"/>
    <w:rsid w:val="0072738E"/>
    <w:rsid w:val="0072774E"/>
    <w:rsid w:val="00727752"/>
    <w:rsid w:val="007278E6"/>
    <w:rsid w:val="00727A4B"/>
    <w:rsid w:val="007300C5"/>
    <w:rsid w:val="0073025E"/>
    <w:rsid w:val="00731366"/>
    <w:rsid w:val="00731CF1"/>
    <w:rsid w:val="0073396E"/>
    <w:rsid w:val="00733D21"/>
    <w:rsid w:val="00734139"/>
    <w:rsid w:val="0073452F"/>
    <w:rsid w:val="007351C1"/>
    <w:rsid w:val="0073522B"/>
    <w:rsid w:val="007355DE"/>
    <w:rsid w:val="00736942"/>
    <w:rsid w:val="00740E98"/>
    <w:rsid w:val="00742980"/>
    <w:rsid w:val="00743BE7"/>
    <w:rsid w:val="007449EC"/>
    <w:rsid w:val="00747583"/>
    <w:rsid w:val="0075083B"/>
    <w:rsid w:val="00753959"/>
    <w:rsid w:val="00754EB2"/>
    <w:rsid w:val="00763C30"/>
    <w:rsid w:val="00763CC4"/>
    <w:rsid w:val="00765A49"/>
    <w:rsid w:val="007663A0"/>
    <w:rsid w:val="007703B5"/>
    <w:rsid w:val="007721ED"/>
    <w:rsid w:val="00772640"/>
    <w:rsid w:val="00773C7F"/>
    <w:rsid w:val="0077400E"/>
    <w:rsid w:val="007803A5"/>
    <w:rsid w:val="00784741"/>
    <w:rsid w:val="007847FE"/>
    <w:rsid w:val="00791B16"/>
    <w:rsid w:val="00793943"/>
    <w:rsid w:val="007944C1"/>
    <w:rsid w:val="00794C18"/>
    <w:rsid w:val="00795D20"/>
    <w:rsid w:val="00796673"/>
    <w:rsid w:val="00797261"/>
    <w:rsid w:val="007A02B6"/>
    <w:rsid w:val="007A062D"/>
    <w:rsid w:val="007A27FC"/>
    <w:rsid w:val="007A4B97"/>
    <w:rsid w:val="007A54F9"/>
    <w:rsid w:val="007A693B"/>
    <w:rsid w:val="007B4E0E"/>
    <w:rsid w:val="007B630E"/>
    <w:rsid w:val="007B68AA"/>
    <w:rsid w:val="007C05C7"/>
    <w:rsid w:val="007C0B85"/>
    <w:rsid w:val="007C3B41"/>
    <w:rsid w:val="007C3E47"/>
    <w:rsid w:val="007C60A7"/>
    <w:rsid w:val="007D0AB2"/>
    <w:rsid w:val="007D0E4E"/>
    <w:rsid w:val="007D2FDA"/>
    <w:rsid w:val="007D6D04"/>
    <w:rsid w:val="007D7D3B"/>
    <w:rsid w:val="007E0131"/>
    <w:rsid w:val="007E03C8"/>
    <w:rsid w:val="007E094E"/>
    <w:rsid w:val="007E0BB2"/>
    <w:rsid w:val="007E24E1"/>
    <w:rsid w:val="007E3D27"/>
    <w:rsid w:val="007E52AE"/>
    <w:rsid w:val="007E5494"/>
    <w:rsid w:val="007F13C8"/>
    <w:rsid w:val="007F1E03"/>
    <w:rsid w:val="007F2C48"/>
    <w:rsid w:val="007F39B8"/>
    <w:rsid w:val="007F598E"/>
    <w:rsid w:val="007F6360"/>
    <w:rsid w:val="007F77BE"/>
    <w:rsid w:val="0080339F"/>
    <w:rsid w:val="008037D6"/>
    <w:rsid w:val="00804836"/>
    <w:rsid w:val="00806D8D"/>
    <w:rsid w:val="0081068F"/>
    <w:rsid w:val="00822D4E"/>
    <w:rsid w:val="00822E93"/>
    <w:rsid w:val="00823064"/>
    <w:rsid w:val="00826C73"/>
    <w:rsid w:val="00826C77"/>
    <w:rsid w:val="0082739B"/>
    <w:rsid w:val="00831B65"/>
    <w:rsid w:val="00833536"/>
    <w:rsid w:val="00836866"/>
    <w:rsid w:val="00837DC0"/>
    <w:rsid w:val="008411FD"/>
    <w:rsid w:val="0084244A"/>
    <w:rsid w:val="00843099"/>
    <w:rsid w:val="00843467"/>
    <w:rsid w:val="00843B68"/>
    <w:rsid w:val="008448DA"/>
    <w:rsid w:val="0084625C"/>
    <w:rsid w:val="008514FC"/>
    <w:rsid w:val="0085253D"/>
    <w:rsid w:val="00852670"/>
    <w:rsid w:val="00854369"/>
    <w:rsid w:val="008558A2"/>
    <w:rsid w:val="00860354"/>
    <w:rsid w:val="00860A3A"/>
    <w:rsid w:val="0086170F"/>
    <w:rsid w:val="00861D90"/>
    <w:rsid w:val="00861FFE"/>
    <w:rsid w:val="0086275D"/>
    <w:rsid w:val="008655D3"/>
    <w:rsid w:val="00865B28"/>
    <w:rsid w:val="00870349"/>
    <w:rsid w:val="00871E8E"/>
    <w:rsid w:val="00872139"/>
    <w:rsid w:val="008724D4"/>
    <w:rsid w:val="008767F1"/>
    <w:rsid w:val="00877304"/>
    <w:rsid w:val="008821FB"/>
    <w:rsid w:val="008826AD"/>
    <w:rsid w:val="008828B4"/>
    <w:rsid w:val="00890A82"/>
    <w:rsid w:val="00891221"/>
    <w:rsid w:val="0089276C"/>
    <w:rsid w:val="0089288A"/>
    <w:rsid w:val="00893C74"/>
    <w:rsid w:val="00893DA5"/>
    <w:rsid w:val="008946B0"/>
    <w:rsid w:val="00897020"/>
    <w:rsid w:val="008A0132"/>
    <w:rsid w:val="008A1409"/>
    <w:rsid w:val="008A1625"/>
    <w:rsid w:val="008A1B0B"/>
    <w:rsid w:val="008B0A11"/>
    <w:rsid w:val="008B1B1A"/>
    <w:rsid w:val="008B2076"/>
    <w:rsid w:val="008B218B"/>
    <w:rsid w:val="008B27FA"/>
    <w:rsid w:val="008B2BB0"/>
    <w:rsid w:val="008B303E"/>
    <w:rsid w:val="008B3BAE"/>
    <w:rsid w:val="008B40CF"/>
    <w:rsid w:val="008B4A1D"/>
    <w:rsid w:val="008B6D51"/>
    <w:rsid w:val="008B7F7C"/>
    <w:rsid w:val="008C0A63"/>
    <w:rsid w:val="008C1062"/>
    <w:rsid w:val="008C1590"/>
    <w:rsid w:val="008C1A1D"/>
    <w:rsid w:val="008C3943"/>
    <w:rsid w:val="008C4CB2"/>
    <w:rsid w:val="008C6BDA"/>
    <w:rsid w:val="008C7DD5"/>
    <w:rsid w:val="008D0760"/>
    <w:rsid w:val="008D2177"/>
    <w:rsid w:val="008D3DDA"/>
    <w:rsid w:val="008D5786"/>
    <w:rsid w:val="008D74DA"/>
    <w:rsid w:val="008E25AF"/>
    <w:rsid w:val="008E55BA"/>
    <w:rsid w:val="008E6FD5"/>
    <w:rsid w:val="008F14D0"/>
    <w:rsid w:val="008F65AD"/>
    <w:rsid w:val="008F6F42"/>
    <w:rsid w:val="008F7CF3"/>
    <w:rsid w:val="00901626"/>
    <w:rsid w:val="00904788"/>
    <w:rsid w:val="009060C4"/>
    <w:rsid w:val="00906725"/>
    <w:rsid w:val="00907C83"/>
    <w:rsid w:val="00910600"/>
    <w:rsid w:val="00914359"/>
    <w:rsid w:val="00914624"/>
    <w:rsid w:val="009148C6"/>
    <w:rsid w:val="0092213D"/>
    <w:rsid w:val="00922F56"/>
    <w:rsid w:val="00924620"/>
    <w:rsid w:val="00926AAD"/>
    <w:rsid w:val="0092735E"/>
    <w:rsid w:val="0093049E"/>
    <w:rsid w:val="009304A1"/>
    <w:rsid w:val="00930CBF"/>
    <w:rsid w:val="00931C31"/>
    <w:rsid w:val="0093209E"/>
    <w:rsid w:val="00932160"/>
    <w:rsid w:val="00933FE5"/>
    <w:rsid w:val="009340EA"/>
    <w:rsid w:val="00934F9A"/>
    <w:rsid w:val="00937EA3"/>
    <w:rsid w:val="00943523"/>
    <w:rsid w:val="00943654"/>
    <w:rsid w:val="00944D64"/>
    <w:rsid w:val="00947024"/>
    <w:rsid w:val="00947171"/>
    <w:rsid w:val="0095139D"/>
    <w:rsid w:val="00951D72"/>
    <w:rsid w:val="0095208F"/>
    <w:rsid w:val="009529C5"/>
    <w:rsid w:val="0095455D"/>
    <w:rsid w:val="00960332"/>
    <w:rsid w:val="00960405"/>
    <w:rsid w:val="00962758"/>
    <w:rsid w:val="00963320"/>
    <w:rsid w:val="00963F60"/>
    <w:rsid w:val="009646C8"/>
    <w:rsid w:val="00964D9E"/>
    <w:rsid w:val="00964F09"/>
    <w:rsid w:val="00966A49"/>
    <w:rsid w:val="0097109D"/>
    <w:rsid w:val="0098003A"/>
    <w:rsid w:val="009807F6"/>
    <w:rsid w:val="00981877"/>
    <w:rsid w:val="0099562C"/>
    <w:rsid w:val="00995F6B"/>
    <w:rsid w:val="0099628C"/>
    <w:rsid w:val="00997229"/>
    <w:rsid w:val="009A173F"/>
    <w:rsid w:val="009A3207"/>
    <w:rsid w:val="009A5CC2"/>
    <w:rsid w:val="009A6E19"/>
    <w:rsid w:val="009B1501"/>
    <w:rsid w:val="009B1597"/>
    <w:rsid w:val="009B2756"/>
    <w:rsid w:val="009B2B89"/>
    <w:rsid w:val="009B3FCF"/>
    <w:rsid w:val="009B5485"/>
    <w:rsid w:val="009B6EFC"/>
    <w:rsid w:val="009C13F5"/>
    <w:rsid w:val="009C51D6"/>
    <w:rsid w:val="009C6A76"/>
    <w:rsid w:val="009C7156"/>
    <w:rsid w:val="009C72DA"/>
    <w:rsid w:val="009D10D1"/>
    <w:rsid w:val="009D11F9"/>
    <w:rsid w:val="009D1222"/>
    <w:rsid w:val="009D2986"/>
    <w:rsid w:val="009D3DA3"/>
    <w:rsid w:val="009D42AB"/>
    <w:rsid w:val="009D6C26"/>
    <w:rsid w:val="009D70CA"/>
    <w:rsid w:val="009E0D4A"/>
    <w:rsid w:val="009E204C"/>
    <w:rsid w:val="009E2621"/>
    <w:rsid w:val="009E355E"/>
    <w:rsid w:val="009E3D55"/>
    <w:rsid w:val="009E4404"/>
    <w:rsid w:val="009E4889"/>
    <w:rsid w:val="009E740A"/>
    <w:rsid w:val="009F609A"/>
    <w:rsid w:val="009F69C8"/>
    <w:rsid w:val="009F6C72"/>
    <w:rsid w:val="00A01320"/>
    <w:rsid w:val="00A013DE"/>
    <w:rsid w:val="00A01D64"/>
    <w:rsid w:val="00A02E94"/>
    <w:rsid w:val="00A04304"/>
    <w:rsid w:val="00A04329"/>
    <w:rsid w:val="00A0440C"/>
    <w:rsid w:val="00A05F28"/>
    <w:rsid w:val="00A10BA8"/>
    <w:rsid w:val="00A13137"/>
    <w:rsid w:val="00A1470F"/>
    <w:rsid w:val="00A212AF"/>
    <w:rsid w:val="00A21CEB"/>
    <w:rsid w:val="00A322A2"/>
    <w:rsid w:val="00A32707"/>
    <w:rsid w:val="00A32A7C"/>
    <w:rsid w:val="00A34EA2"/>
    <w:rsid w:val="00A3712B"/>
    <w:rsid w:val="00A405FE"/>
    <w:rsid w:val="00A40658"/>
    <w:rsid w:val="00A42AAC"/>
    <w:rsid w:val="00A43555"/>
    <w:rsid w:val="00A45BB0"/>
    <w:rsid w:val="00A52255"/>
    <w:rsid w:val="00A53D57"/>
    <w:rsid w:val="00A549AF"/>
    <w:rsid w:val="00A54BED"/>
    <w:rsid w:val="00A5568C"/>
    <w:rsid w:val="00A57203"/>
    <w:rsid w:val="00A57233"/>
    <w:rsid w:val="00A57741"/>
    <w:rsid w:val="00A63BB8"/>
    <w:rsid w:val="00A667AF"/>
    <w:rsid w:val="00A667FE"/>
    <w:rsid w:val="00A71BEF"/>
    <w:rsid w:val="00A72A31"/>
    <w:rsid w:val="00A73192"/>
    <w:rsid w:val="00A73CE9"/>
    <w:rsid w:val="00A73F59"/>
    <w:rsid w:val="00A74AB8"/>
    <w:rsid w:val="00A807BF"/>
    <w:rsid w:val="00A8125A"/>
    <w:rsid w:val="00A821FA"/>
    <w:rsid w:val="00A83548"/>
    <w:rsid w:val="00A84422"/>
    <w:rsid w:val="00A86921"/>
    <w:rsid w:val="00A875F0"/>
    <w:rsid w:val="00A90041"/>
    <w:rsid w:val="00A90BF7"/>
    <w:rsid w:val="00A91D21"/>
    <w:rsid w:val="00A944D8"/>
    <w:rsid w:val="00A962FA"/>
    <w:rsid w:val="00AA074A"/>
    <w:rsid w:val="00AA2FB7"/>
    <w:rsid w:val="00AA51D8"/>
    <w:rsid w:val="00AB0BE5"/>
    <w:rsid w:val="00AB20FF"/>
    <w:rsid w:val="00AB24C9"/>
    <w:rsid w:val="00AB43B6"/>
    <w:rsid w:val="00AB46DF"/>
    <w:rsid w:val="00AB53A4"/>
    <w:rsid w:val="00AB77EF"/>
    <w:rsid w:val="00AC0BE3"/>
    <w:rsid w:val="00AC18CC"/>
    <w:rsid w:val="00AC46FD"/>
    <w:rsid w:val="00AD08A6"/>
    <w:rsid w:val="00AD292B"/>
    <w:rsid w:val="00AD523D"/>
    <w:rsid w:val="00AD725E"/>
    <w:rsid w:val="00AD75FD"/>
    <w:rsid w:val="00AD7E89"/>
    <w:rsid w:val="00AE3CA2"/>
    <w:rsid w:val="00AE4D52"/>
    <w:rsid w:val="00AE5781"/>
    <w:rsid w:val="00AE7455"/>
    <w:rsid w:val="00AF0D5E"/>
    <w:rsid w:val="00AF1344"/>
    <w:rsid w:val="00AF1ED3"/>
    <w:rsid w:val="00AF2CD8"/>
    <w:rsid w:val="00AF32D8"/>
    <w:rsid w:val="00AF374E"/>
    <w:rsid w:val="00AF3E23"/>
    <w:rsid w:val="00AF580F"/>
    <w:rsid w:val="00AF7B51"/>
    <w:rsid w:val="00AF7D03"/>
    <w:rsid w:val="00B00BBF"/>
    <w:rsid w:val="00B0146E"/>
    <w:rsid w:val="00B049D4"/>
    <w:rsid w:val="00B0514F"/>
    <w:rsid w:val="00B055E5"/>
    <w:rsid w:val="00B061D6"/>
    <w:rsid w:val="00B10071"/>
    <w:rsid w:val="00B10B80"/>
    <w:rsid w:val="00B11F11"/>
    <w:rsid w:val="00B125C6"/>
    <w:rsid w:val="00B13E61"/>
    <w:rsid w:val="00B146D8"/>
    <w:rsid w:val="00B158D7"/>
    <w:rsid w:val="00B16798"/>
    <w:rsid w:val="00B208CD"/>
    <w:rsid w:val="00B2333A"/>
    <w:rsid w:val="00B24C4E"/>
    <w:rsid w:val="00B25DE4"/>
    <w:rsid w:val="00B26057"/>
    <w:rsid w:val="00B2621D"/>
    <w:rsid w:val="00B26E78"/>
    <w:rsid w:val="00B34E46"/>
    <w:rsid w:val="00B35A92"/>
    <w:rsid w:val="00B3785B"/>
    <w:rsid w:val="00B37D00"/>
    <w:rsid w:val="00B404EB"/>
    <w:rsid w:val="00B4118C"/>
    <w:rsid w:val="00B41431"/>
    <w:rsid w:val="00B42293"/>
    <w:rsid w:val="00B43CAC"/>
    <w:rsid w:val="00B45541"/>
    <w:rsid w:val="00B47008"/>
    <w:rsid w:val="00B5140F"/>
    <w:rsid w:val="00B53B67"/>
    <w:rsid w:val="00B56490"/>
    <w:rsid w:val="00B62547"/>
    <w:rsid w:val="00B62E9D"/>
    <w:rsid w:val="00B6441D"/>
    <w:rsid w:val="00B65D00"/>
    <w:rsid w:val="00B70A48"/>
    <w:rsid w:val="00B70D88"/>
    <w:rsid w:val="00B73654"/>
    <w:rsid w:val="00B76CE1"/>
    <w:rsid w:val="00B77876"/>
    <w:rsid w:val="00B818C3"/>
    <w:rsid w:val="00B82B92"/>
    <w:rsid w:val="00B82D9B"/>
    <w:rsid w:val="00B8496C"/>
    <w:rsid w:val="00B85EB6"/>
    <w:rsid w:val="00B91890"/>
    <w:rsid w:val="00B919DE"/>
    <w:rsid w:val="00B921B1"/>
    <w:rsid w:val="00B937B4"/>
    <w:rsid w:val="00B93970"/>
    <w:rsid w:val="00B94140"/>
    <w:rsid w:val="00B94775"/>
    <w:rsid w:val="00B961E4"/>
    <w:rsid w:val="00B96FC9"/>
    <w:rsid w:val="00B97FF4"/>
    <w:rsid w:val="00BA0282"/>
    <w:rsid w:val="00BA2C1C"/>
    <w:rsid w:val="00BA34AA"/>
    <w:rsid w:val="00BB2993"/>
    <w:rsid w:val="00BB3687"/>
    <w:rsid w:val="00BB3AA7"/>
    <w:rsid w:val="00BB4798"/>
    <w:rsid w:val="00BB56F6"/>
    <w:rsid w:val="00BB7B68"/>
    <w:rsid w:val="00BB7D9D"/>
    <w:rsid w:val="00BC1A01"/>
    <w:rsid w:val="00BC3AAD"/>
    <w:rsid w:val="00BC3DA8"/>
    <w:rsid w:val="00BC48C6"/>
    <w:rsid w:val="00BC4C57"/>
    <w:rsid w:val="00BC522C"/>
    <w:rsid w:val="00BC5868"/>
    <w:rsid w:val="00BD0AE7"/>
    <w:rsid w:val="00BD1040"/>
    <w:rsid w:val="00BD1756"/>
    <w:rsid w:val="00BD3FAB"/>
    <w:rsid w:val="00BD42A7"/>
    <w:rsid w:val="00BD573B"/>
    <w:rsid w:val="00BD657F"/>
    <w:rsid w:val="00BD777F"/>
    <w:rsid w:val="00BE1963"/>
    <w:rsid w:val="00BE2A96"/>
    <w:rsid w:val="00BE440D"/>
    <w:rsid w:val="00BE618F"/>
    <w:rsid w:val="00BE68E1"/>
    <w:rsid w:val="00BF1562"/>
    <w:rsid w:val="00BF1599"/>
    <w:rsid w:val="00BF1AD3"/>
    <w:rsid w:val="00BF1B34"/>
    <w:rsid w:val="00BF1E37"/>
    <w:rsid w:val="00BF2CA9"/>
    <w:rsid w:val="00BF5548"/>
    <w:rsid w:val="00C018A3"/>
    <w:rsid w:val="00C03B06"/>
    <w:rsid w:val="00C04A7C"/>
    <w:rsid w:val="00C05177"/>
    <w:rsid w:val="00C06C6F"/>
    <w:rsid w:val="00C079CF"/>
    <w:rsid w:val="00C07F15"/>
    <w:rsid w:val="00C11B98"/>
    <w:rsid w:val="00C11F73"/>
    <w:rsid w:val="00C1353A"/>
    <w:rsid w:val="00C142F6"/>
    <w:rsid w:val="00C1517C"/>
    <w:rsid w:val="00C15FD6"/>
    <w:rsid w:val="00C16D44"/>
    <w:rsid w:val="00C17EE3"/>
    <w:rsid w:val="00C2054C"/>
    <w:rsid w:val="00C20C29"/>
    <w:rsid w:val="00C22833"/>
    <w:rsid w:val="00C23F22"/>
    <w:rsid w:val="00C24AD1"/>
    <w:rsid w:val="00C30863"/>
    <w:rsid w:val="00C32330"/>
    <w:rsid w:val="00C3548A"/>
    <w:rsid w:val="00C35958"/>
    <w:rsid w:val="00C36212"/>
    <w:rsid w:val="00C378A9"/>
    <w:rsid w:val="00C37CEB"/>
    <w:rsid w:val="00C40B4F"/>
    <w:rsid w:val="00C4235F"/>
    <w:rsid w:val="00C43459"/>
    <w:rsid w:val="00C45912"/>
    <w:rsid w:val="00C47368"/>
    <w:rsid w:val="00C4779D"/>
    <w:rsid w:val="00C506AB"/>
    <w:rsid w:val="00C51189"/>
    <w:rsid w:val="00C5118E"/>
    <w:rsid w:val="00C54D97"/>
    <w:rsid w:val="00C55AD3"/>
    <w:rsid w:val="00C55E50"/>
    <w:rsid w:val="00C56A92"/>
    <w:rsid w:val="00C56C55"/>
    <w:rsid w:val="00C571F6"/>
    <w:rsid w:val="00C616A5"/>
    <w:rsid w:val="00C6339E"/>
    <w:rsid w:val="00C6348A"/>
    <w:rsid w:val="00C64EEB"/>
    <w:rsid w:val="00C67E79"/>
    <w:rsid w:val="00C701C6"/>
    <w:rsid w:val="00C707E2"/>
    <w:rsid w:val="00C7144B"/>
    <w:rsid w:val="00C72086"/>
    <w:rsid w:val="00C75A04"/>
    <w:rsid w:val="00C763DC"/>
    <w:rsid w:val="00C77DD3"/>
    <w:rsid w:val="00C811A4"/>
    <w:rsid w:val="00C81530"/>
    <w:rsid w:val="00C81566"/>
    <w:rsid w:val="00C8174C"/>
    <w:rsid w:val="00C8397A"/>
    <w:rsid w:val="00C8475B"/>
    <w:rsid w:val="00C84AC7"/>
    <w:rsid w:val="00C84E68"/>
    <w:rsid w:val="00C851D3"/>
    <w:rsid w:val="00C8600C"/>
    <w:rsid w:val="00C86B27"/>
    <w:rsid w:val="00C9299B"/>
    <w:rsid w:val="00CA0BAE"/>
    <w:rsid w:val="00CA1CA9"/>
    <w:rsid w:val="00CA3905"/>
    <w:rsid w:val="00CB04DE"/>
    <w:rsid w:val="00CB07D5"/>
    <w:rsid w:val="00CB15CF"/>
    <w:rsid w:val="00CB2EAF"/>
    <w:rsid w:val="00CB3E3C"/>
    <w:rsid w:val="00CB3FDC"/>
    <w:rsid w:val="00CB4A85"/>
    <w:rsid w:val="00CB50D6"/>
    <w:rsid w:val="00CB5F3B"/>
    <w:rsid w:val="00CB6679"/>
    <w:rsid w:val="00CC08A8"/>
    <w:rsid w:val="00CC1162"/>
    <w:rsid w:val="00CC21E2"/>
    <w:rsid w:val="00CC2E9C"/>
    <w:rsid w:val="00CC50DD"/>
    <w:rsid w:val="00CC717A"/>
    <w:rsid w:val="00CD0F98"/>
    <w:rsid w:val="00CD20DC"/>
    <w:rsid w:val="00CD5830"/>
    <w:rsid w:val="00CD5D4E"/>
    <w:rsid w:val="00CE1420"/>
    <w:rsid w:val="00CE1628"/>
    <w:rsid w:val="00CE2877"/>
    <w:rsid w:val="00CE3313"/>
    <w:rsid w:val="00CE3FA1"/>
    <w:rsid w:val="00CE507F"/>
    <w:rsid w:val="00CE512A"/>
    <w:rsid w:val="00CF3B93"/>
    <w:rsid w:val="00CF46ED"/>
    <w:rsid w:val="00CF5DCA"/>
    <w:rsid w:val="00CF6E1D"/>
    <w:rsid w:val="00D02BD2"/>
    <w:rsid w:val="00D02E52"/>
    <w:rsid w:val="00D03F20"/>
    <w:rsid w:val="00D04729"/>
    <w:rsid w:val="00D07663"/>
    <w:rsid w:val="00D10AB0"/>
    <w:rsid w:val="00D11C03"/>
    <w:rsid w:val="00D134FE"/>
    <w:rsid w:val="00D1429D"/>
    <w:rsid w:val="00D1705C"/>
    <w:rsid w:val="00D1726F"/>
    <w:rsid w:val="00D17F6A"/>
    <w:rsid w:val="00D20E3B"/>
    <w:rsid w:val="00D23A7A"/>
    <w:rsid w:val="00D25387"/>
    <w:rsid w:val="00D25481"/>
    <w:rsid w:val="00D32A8E"/>
    <w:rsid w:val="00D333A3"/>
    <w:rsid w:val="00D3551D"/>
    <w:rsid w:val="00D36417"/>
    <w:rsid w:val="00D366D8"/>
    <w:rsid w:val="00D36C3E"/>
    <w:rsid w:val="00D40B58"/>
    <w:rsid w:val="00D40D1E"/>
    <w:rsid w:val="00D43F3B"/>
    <w:rsid w:val="00D47CC1"/>
    <w:rsid w:val="00D501CC"/>
    <w:rsid w:val="00D50285"/>
    <w:rsid w:val="00D516F8"/>
    <w:rsid w:val="00D517FF"/>
    <w:rsid w:val="00D532BF"/>
    <w:rsid w:val="00D54070"/>
    <w:rsid w:val="00D5472C"/>
    <w:rsid w:val="00D55395"/>
    <w:rsid w:val="00D564DB"/>
    <w:rsid w:val="00D56B08"/>
    <w:rsid w:val="00D57B22"/>
    <w:rsid w:val="00D60C32"/>
    <w:rsid w:val="00D60E94"/>
    <w:rsid w:val="00D611DC"/>
    <w:rsid w:val="00D617FA"/>
    <w:rsid w:val="00D61CAA"/>
    <w:rsid w:val="00D61EAB"/>
    <w:rsid w:val="00D6225D"/>
    <w:rsid w:val="00D62D64"/>
    <w:rsid w:val="00D65990"/>
    <w:rsid w:val="00D677F0"/>
    <w:rsid w:val="00D70659"/>
    <w:rsid w:val="00D71780"/>
    <w:rsid w:val="00D74C35"/>
    <w:rsid w:val="00D836D7"/>
    <w:rsid w:val="00D83CBE"/>
    <w:rsid w:val="00D846DC"/>
    <w:rsid w:val="00D87701"/>
    <w:rsid w:val="00D90ADA"/>
    <w:rsid w:val="00D90B8D"/>
    <w:rsid w:val="00D915BA"/>
    <w:rsid w:val="00D963DF"/>
    <w:rsid w:val="00D96884"/>
    <w:rsid w:val="00DA01FD"/>
    <w:rsid w:val="00DA0CB6"/>
    <w:rsid w:val="00DA125E"/>
    <w:rsid w:val="00DA38D5"/>
    <w:rsid w:val="00DA3B8D"/>
    <w:rsid w:val="00DA66E1"/>
    <w:rsid w:val="00DA7A0B"/>
    <w:rsid w:val="00DB01CE"/>
    <w:rsid w:val="00DB2CC8"/>
    <w:rsid w:val="00DB6189"/>
    <w:rsid w:val="00DB6C15"/>
    <w:rsid w:val="00DB6E78"/>
    <w:rsid w:val="00DC004D"/>
    <w:rsid w:val="00DC3199"/>
    <w:rsid w:val="00DC33EE"/>
    <w:rsid w:val="00DC4981"/>
    <w:rsid w:val="00DC554E"/>
    <w:rsid w:val="00DC5A64"/>
    <w:rsid w:val="00DC7E96"/>
    <w:rsid w:val="00DD08F8"/>
    <w:rsid w:val="00DD1E7C"/>
    <w:rsid w:val="00DD203A"/>
    <w:rsid w:val="00DD487D"/>
    <w:rsid w:val="00DD55A8"/>
    <w:rsid w:val="00DD75ED"/>
    <w:rsid w:val="00DD7F62"/>
    <w:rsid w:val="00DE257A"/>
    <w:rsid w:val="00DE2CBE"/>
    <w:rsid w:val="00DE3D37"/>
    <w:rsid w:val="00DE6CC8"/>
    <w:rsid w:val="00DE7EF5"/>
    <w:rsid w:val="00DF2E32"/>
    <w:rsid w:val="00DF4131"/>
    <w:rsid w:val="00DF480C"/>
    <w:rsid w:val="00DF4E0C"/>
    <w:rsid w:val="00DF55B1"/>
    <w:rsid w:val="00DF5933"/>
    <w:rsid w:val="00DF5D29"/>
    <w:rsid w:val="00DF5EC4"/>
    <w:rsid w:val="00DF6096"/>
    <w:rsid w:val="00DF7376"/>
    <w:rsid w:val="00E00A1C"/>
    <w:rsid w:val="00E047D5"/>
    <w:rsid w:val="00E04CA2"/>
    <w:rsid w:val="00E04D71"/>
    <w:rsid w:val="00E06B5F"/>
    <w:rsid w:val="00E0796A"/>
    <w:rsid w:val="00E10924"/>
    <w:rsid w:val="00E10EEC"/>
    <w:rsid w:val="00E1490B"/>
    <w:rsid w:val="00E14E40"/>
    <w:rsid w:val="00E1644E"/>
    <w:rsid w:val="00E16AD9"/>
    <w:rsid w:val="00E16E41"/>
    <w:rsid w:val="00E22454"/>
    <w:rsid w:val="00E2620D"/>
    <w:rsid w:val="00E26444"/>
    <w:rsid w:val="00E27162"/>
    <w:rsid w:val="00E3055D"/>
    <w:rsid w:val="00E30AAE"/>
    <w:rsid w:val="00E32639"/>
    <w:rsid w:val="00E32B23"/>
    <w:rsid w:val="00E32DD0"/>
    <w:rsid w:val="00E34F87"/>
    <w:rsid w:val="00E3614F"/>
    <w:rsid w:val="00E43573"/>
    <w:rsid w:val="00E44181"/>
    <w:rsid w:val="00E44996"/>
    <w:rsid w:val="00E4574B"/>
    <w:rsid w:val="00E46755"/>
    <w:rsid w:val="00E50CFB"/>
    <w:rsid w:val="00E51246"/>
    <w:rsid w:val="00E5449B"/>
    <w:rsid w:val="00E54A99"/>
    <w:rsid w:val="00E61700"/>
    <w:rsid w:val="00E61F87"/>
    <w:rsid w:val="00E62091"/>
    <w:rsid w:val="00E62575"/>
    <w:rsid w:val="00E62D46"/>
    <w:rsid w:val="00E63B24"/>
    <w:rsid w:val="00E6564B"/>
    <w:rsid w:val="00E658ED"/>
    <w:rsid w:val="00E65A9C"/>
    <w:rsid w:val="00E66414"/>
    <w:rsid w:val="00E72C61"/>
    <w:rsid w:val="00E75300"/>
    <w:rsid w:val="00E8037A"/>
    <w:rsid w:val="00E80BB6"/>
    <w:rsid w:val="00E85E9C"/>
    <w:rsid w:val="00E875B7"/>
    <w:rsid w:val="00E87808"/>
    <w:rsid w:val="00E90617"/>
    <w:rsid w:val="00E90C72"/>
    <w:rsid w:val="00E93165"/>
    <w:rsid w:val="00E93727"/>
    <w:rsid w:val="00E93A87"/>
    <w:rsid w:val="00E93AE8"/>
    <w:rsid w:val="00E94831"/>
    <w:rsid w:val="00E94EF8"/>
    <w:rsid w:val="00E97159"/>
    <w:rsid w:val="00EA0E67"/>
    <w:rsid w:val="00EA3F5F"/>
    <w:rsid w:val="00EB0659"/>
    <w:rsid w:val="00EB3B08"/>
    <w:rsid w:val="00EB44E5"/>
    <w:rsid w:val="00EB7B25"/>
    <w:rsid w:val="00EC05E8"/>
    <w:rsid w:val="00EC2C04"/>
    <w:rsid w:val="00EC3730"/>
    <w:rsid w:val="00EC4E03"/>
    <w:rsid w:val="00EC6180"/>
    <w:rsid w:val="00EC6DF1"/>
    <w:rsid w:val="00EC7266"/>
    <w:rsid w:val="00EC76C7"/>
    <w:rsid w:val="00ED3A37"/>
    <w:rsid w:val="00ED5271"/>
    <w:rsid w:val="00ED5794"/>
    <w:rsid w:val="00ED6AF9"/>
    <w:rsid w:val="00ED6B5E"/>
    <w:rsid w:val="00EE12B5"/>
    <w:rsid w:val="00EE2B3C"/>
    <w:rsid w:val="00EE3071"/>
    <w:rsid w:val="00EE36A1"/>
    <w:rsid w:val="00EE4F51"/>
    <w:rsid w:val="00EE6580"/>
    <w:rsid w:val="00EE720E"/>
    <w:rsid w:val="00EE7CC0"/>
    <w:rsid w:val="00EF11DB"/>
    <w:rsid w:val="00EF56F3"/>
    <w:rsid w:val="00EF5757"/>
    <w:rsid w:val="00EF5827"/>
    <w:rsid w:val="00EF5DD6"/>
    <w:rsid w:val="00EF682F"/>
    <w:rsid w:val="00F016AD"/>
    <w:rsid w:val="00F04AED"/>
    <w:rsid w:val="00F0623F"/>
    <w:rsid w:val="00F129BC"/>
    <w:rsid w:val="00F1702D"/>
    <w:rsid w:val="00F21600"/>
    <w:rsid w:val="00F22171"/>
    <w:rsid w:val="00F22BF2"/>
    <w:rsid w:val="00F238E0"/>
    <w:rsid w:val="00F27A97"/>
    <w:rsid w:val="00F3170C"/>
    <w:rsid w:val="00F34349"/>
    <w:rsid w:val="00F35469"/>
    <w:rsid w:val="00F43B20"/>
    <w:rsid w:val="00F46046"/>
    <w:rsid w:val="00F4761C"/>
    <w:rsid w:val="00F522F2"/>
    <w:rsid w:val="00F5257A"/>
    <w:rsid w:val="00F54120"/>
    <w:rsid w:val="00F54352"/>
    <w:rsid w:val="00F54ACE"/>
    <w:rsid w:val="00F5621E"/>
    <w:rsid w:val="00F57F71"/>
    <w:rsid w:val="00F61B12"/>
    <w:rsid w:val="00F62083"/>
    <w:rsid w:val="00F63263"/>
    <w:rsid w:val="00F635E5"/>
    <w:rsid w:val="00F63CC5"/>
    <w:rsid w:val="00F63F63"/>
    <w:rsid w:val="00F63FAF"/>
    <w:rsid w:val="00F6403B"/>
    <w:rsid w:val="00F6592D"/>
    <w:rsid w:val="00F65D13"/>
    <w:rsid w:val="00F71BB7"/>
    <w:rsid w:val="00F71F98"/>
    <w:rsid w:val="00F73532"/>
    <w:rsid w:val="00F7434A"/>
    <w:rsid w:val="00F77EF7"/>
    <w:rsid w:val="00F82063"/>
    <w:rsid w:val="00F821A3"/>
    <w:rsid w:val="00F849FD"/>
    <w:rsid w:val="00F85843"/>
    <w:rsid w:val="00F86894"/>
    <w:rsid w:val="00F878F5"/>
    <w:rsid w:val="00F902CE"/>
    <w:rsid w:val="00F90B26"/>
    <w:rsid w:val="00F91391"/>
    <w:rsid w:val="00F928C2"/>
    <w:rsid w:val="00F936F4"/>
    <w:rsid w:val="00F93EBD"/>
    <w:rsid w:val="00F94095"/>
    <w:rsid w:val="00F9446B"/>
    <w:rsid w:val="00F95585"/>
    <w:rsid w:val="00F96519"/>
    <w:rsid w:val="00F965F2"/>
    <w:rsid w:val="00F9715F"/>
    <w:rsid w:val="00F973C7"/>
    <w:rsid w:val="00FA01DB"/>
    <w:rsid w:val="00FA1888"/>
    <w:rsid w:val="00FA212C"/>
    <w:rsid w:val="00FA2C88"/>
    <w:rsid w:val="00FA318E"/>
    <w:rsid w:val="00FA5F3A"/>
    <w:rsid w:val="00FA6F5D"/>
    <w:rsid w:val="00FA786C"/>
    <w:rsid w:val="00FA7EE2"/>
    <w:rsid w:val="00FB207B"/>
    <w:rsid w:val="00FB3A51"/>
    <w:rsid w:val="00FB5CD1"/>
    <w:rsid w:val="00FB6E92"/>
    <w:rsid w:val="00FC0282"/>
    <w:rsid w:val="00FC05E0"/>
    <w:rsid w:val="00FC13D8"/>
    <w:rsid w:val="00FC2C08"/>
    <w:rsid w:val="00FC3545"/>
    <w:rsid w:val="00FC3C2E"/>
    <w:rsid w:val="00FC55A5"/>
    <w:rsid w:val="00FC73A9"/>
    <w:rsid w:val="00FC7955"/>
    <w:rsid w:val="00FD7E20"/>
    <w:rsid w:val="00FE1459"/>
    <w:rsid w:val="00FE1BEB"/>
    <w:rsid w:val="00FE2B67"/>
    <w:rsid w:val="00FE3890"/>
    <w:rsid w:val="00FE3CDA"/>
    <w:rsid w:val="00FE6F41"/>
    <w:rsid w:val="00FF0BE1"/>
    <w:rsid w:val="00FF110B"/>
    <w:rsid w:val="00FF3B8C"/>
    <w:rsid w:val="00FF4FED"/>
    <w:rsid w:val="00FF6208"/>
    <w:rsid w:val="00FF6D00"/>
    <w:rsid w:val="00FF74CE"/>
    <w:rsid w:val="014917B6"/>
    <w:rsid w:val="02B7403D"/>
    <w:rsid w:val="02D7726C"/>
    <w:rsid w:val="05D82B2B"/>
    <w:rsid w:val="07266B4C"/>
    <w:rsid w:val="0A007090"/>
    <w:rsid w:val="0AF7448A"/>
    <w:rsid w:val="0E9214DE"/>
    <w:rsid w:val="0F697D35"/>
    <w:rsid w:val="131B59EF"/>
    <w:rsid w:val="15DE5951"/>
    <w:rsid w:val="17D25419"/>
    <w:rsid w:val="1809737A"/>
    <w:rsid w:val="18B17A3A"/>
    <w:rsid w:val="1CB65B06"/>
    <w:rsid w:val="22823087"/>
    <w:rsid w:val="23AB3CEA"/>
    <w:rsid w:val="247D20F2"/>
    <w:rsid w:val="252030EB"/>
    <w:rsid w:val="257F571A"/>
    <w:rsid w:val="25EE260D"/>
    <w:rsid w:val="26A81321"/>
    <w:rsid w:val="29034075"/>
    <w:rsid w:val="2CFE11EA"/>
    <w:rsid w:val="2EDF7801"/>
    <w:rsid w:val="31C23D1B"/>
    <w:rsid w:val="365354C4"/>
    <w:rsid w:val="37C40156"/>
    <w:rsid w:val="3CF32C6B"/>
    <w:rsid w:val="3DCD15E9"/>
    <w:rsid w:val="3E8479B8"/>
    <w:rsid w:val="3FB926C9"/>
    <w:rsid w:val="404860A2"/>
    <w:rsid w:val="4051246A"/>
    <w:rsid w:val="4587270C"/>
    <w:rsid w:val="469A7D99"/>
    <w:rsid w:val="48396E9A"/>
    <w:rsid w:val="49BF5696"/>
    <w:rsid w:val="4A1B3208"/>
    <w:rsid w:val="4A6672DC"/>
    <w:rsid w:val="4ADD3822"/>
    <w:rsid w:val="4BF914C3"/>
    <w:rsid w:val="4C921567"/>
    <w:rsid w:val="4D3D7548"/>
    <w:rsid w:val="51B00605"/>
    <w:rsid w:val="554E5ACE"/>
    <w:rsid w:val="55D1441A"/>
    <w:rsid w:val="56804D67"/>
    <w:rsid w:val="56AC4F60"/>
    <w:rsid w:val="5A1336BF"/>
    <w:rsid w:val="5C67070C"/>
    <w:rsid w:val="5CCC4E07"/>
    <w:rsid w:val="5E065B7D"/>
    <w:rsid w:val="5F584676"/>
    <w:rsid w:val="611267C1"/>
    <w:rsid w:val="61A53659"/>
    <w:rsid w:val="61D362B1"/>
    <w:rsid w:val="621F3E3E"/>
    <w:rsid w:val="626509D7"/>
    <w:rsid w:val="650F0EFC"/>
    <w:rsid w:val="6FDD783F"/>
    <w:rsid w:val="70053DFC"/>
    <w:rsid w:val="7019309E"/>
    <w:rsid w:val="75FD2A2F"/>
    <w:rsid w:val="7830041B"/>
    <w:rsid w:val="785937DD"/>
    <w:rsid w:val="79123A92"/>
    <w:rsid w:val="7BD35E46"/>
    <w:rsid w:val="7C9B5414"/>
    <w:rsid w:val="7CF32EF1"/>
    <w:rsid w:val="7D0640B8"/>
    <w:rsid w:val="7E542D68"/>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fillcolor="white">
      <v:fill color="white"/>
    </o:shapedefaults>
    <o:shapelayout v:ext="edit">
      <o:idmap v:ext="edit" data="1"/>
    </o:shapelayout>
  </w:shapeDefaults>
  <w:decimalSymbol w:val=","/>
  <w:listSeparator w:val=";"/>
  <w14:docId w14:val="0E863A46"/>
  <w15:docId w15:val="{6C57A5A8-7210-440E-BD6C-CDD8EDDF3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semiHidden="1" w:unhideWhenUsed="1" w:qFormat="1"/>
    <w:lsdException w:name="header" w:semiHidden="1" w:uiPriority="0" w:qFormat="1"/>
    <w:lsdException w:name="footer" w:semiHidden="1"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533F"/>
    <w:rPr>
      <w:rFonts w:ascii="Arial" w:eastAsia="Times New Roman" w:hAnsi="Arial"/>
      <w:szCs w:val="24"/>
      <w:lang w:val="en-US" w:eastAsia="en-US"/>
    </w:rPr>
  </w:style>
  <w:style w:type="paragraph" w:styleId="Heading1">
    <w:name w:val="heading 1"/>
    <w:basedOn w:val="Normal"/>
    <w:next w:val="ECCParagraph"/>
    <w:link w:val="Heading1Char"/>
    <w:qFormat/>
    <w:pPr>
      <w:keepNext/>
      <w:pageBreakBefore/>
      <w:numPr>
        <w:numId w:val="1"/>
      </w:numPr>
      <w:spacing w:before="600" w:after="240"/>
      <w:outlineLvl w:val="0"/>
    </w:pPr>
    <w:rPr>
      <w:rFonts w:cs="Arial"/>
      <w:b/>
      <w:bCs/>
      <w:caps/>
      <w:color w:val="D2232A"/>
      <w:kern w:val="32"/>
      <w:szCs w:val="32"/>
      <w:lang w:val="en-GB"/>
    </w:rPr>
  </w:style>
  <w:style w:type="paragraph" w:styleId="Heading2">
    <w:name w:val="heading 2"/>
    <w:basedOn w:val="Normal"/>
    <w:next w:val="ECCParagraph"/>
    <w:link w:val="Heading2Char"/>
    <w:qFormat/>
    <w:pPr>
      <w:keepNext/>
      <w:numPr>
        <w:ilvl w:val="1"/>
        <w:numId w:val="1"/>
      </w:numPr>
      <w:tabs>
        <w:tab w:val="left" w:pos="432"/>
      </w:tabs>
      <w:spacing w:before="480" w:after="240"/>
      <w:outlineLvl w:val="1"/>
    </w:pPr>
    <w:rPr>
      <w:rFonts w:cs="Arial"/>
      <w:b/>
      <w:bCs/>
      <w:iCs/>
      <w:caps/>
      <w:szCs w:val="28"/>
    </w:rPr>
  </w:style>
  <w:style w:type="paragraph" w:styleId="Heading3">
    <w:name w:val="heading 3"/>
    <w:basedOn w:val="Normal"/>
    <w:next w:val="ECCParagraph"/>
    <w:qFormat/>
    <w:pPr>
      <w:keepNext/>
      <w:numPr>
        <w:ilvl w:val="2"/>
        <w:numId w:val="1"/>
      </w:numPr>
      <w:tabs>
        <w:tab w:val="left" w:pos="432"/>
      </w:tabs>
      <w:spacing w:before="360" w:after="120"/>
      <w:outlineLvl w:val="2"/>
    </w:pPr>
    <w:rPr>
      <w:rFonts w:cs="Arial"/>
      <w:b/>
      <w:bCs/>
      <w:szCs w:val="26"/>
    </w:rPr>
  </w:style>
  <w:style w:type="paragraph" w:styleId="Heading4">
    <w:name w:val="heading 4"/>
    <w:basedOn w:val="Normal"/>
    <w:next w:val="ECCParagraph"/>
    <w:qFormat/>
    <w:pPr>
      <w:numPr>
        <w:ilvl w:val="3"/>
        <w:numId w:val="1"/>
      </w:numPr>
      <w:tabs>
        <w:tab w:val="left" w:pos="432"/>
      </w:tabs>
      <w:spacing w:before="360" w:after="120"/>
      <w:outlineLvl w:val="3"/>
    </w:pPr>
    <w:rPr>
      <w:rFonts w:cs="Arial"/>
      <w:bCs/>
      <w:i/>
      <w:color w:val="D2232A"/>
      <w:szCs w:val="26"/>
    </w:rPr>
  </w:style>
  <w:style w:type="paragraph" w:styleId="Heading5">
    <w:name w:val="heading 5"/>
    <w:basedOn w:val="Normal"/>
    <w:next w:val="Normal"/>
    <w:qFormat/>
    <w:pPr>
      <w:numPr>
        <w:ilvl w:val="4"/>
        <w:numId w:val="1"/>
      </w:numPr>
      <w:tabs>
        <w:tab w:val="left" w:pos="432"/>
      </w:tabs>
      <w:spacing w:before="240" w:after="60"/>
      <w:outlineLvl w:val="4"/>
    </w:pPr>
    <w:rPr>
      <w:b/>
      <w:bCs/>
      <w:i/>
      <w:iCs/>
      <w:sz w:val="26"/>
      <w:szCs w:val="26"/>
    </w:rPr>
  </w:style>
  <w:style w:type="paragraph" w:styleId="Heading6">
    <w:name w:val="heading 6"/>
    <w:basedOn w:val="Normal"/>
    <w:next w:val="Normal"/>
    <w:qFormat/>
    <w:pPr>
      <w:numPr>
        <w:ilvl w:val="5"/>
        <w:numId w:val="1"/>
      </w:numPr>
      <w:tabs>
        <w:tab w:val="left" w:pos="432"/>
      </w:tabs>
      <w:spacing w:before="240" w:after="60"/>
      <w:outlineLvl w:val="5"/>
    </w:pPr>
    <w:rPr>
      <w:b/>
      <w:bCs/>
      <w:sz w:val="22"/>
      <w:szCs w:val="22"/>
    </w:rPr>
  </w:style>
  <w:style w:type="paragraph" w:styleId="Heading7">
    <w:name w:val="heading 7"/>
    <w:basedOn w:val="Normal"/>
    <w:next w:val="Normal"/>
    <w:qFormat/>
    <w:pPr>
      <w:numPr>
        <w:ilvl w:val="6"/>
        <w:numId w:val="1"/>
      </w:numPr>
      <w:tabs>
        <w:tab w:val="left" w:pos="432"/>
      </w:tabs>
      <w:spacing w:before="240" w:after="60"/>
      <w:outlineLvl w:val="6"/>
    </w:pPr>
    <w:rPr>
      <w:sz w:val="24"/>
    </w:rPr>
  </w:style>
  <w:style w:type="paragraph" w:styleId="Heading8">
    <w:name w:val="heading 8"/>
    <w:basedOn w:val="Normal"/>
    <w:next w:val="Normal"/>
    <w:qFormat/>
    <w:pPr>
      <w:numPr>
        <w:ilvl w:val="7"/>
        <w:numId w:val="1"/>
      </w:numPr>
      <w:tabs>
        <w:tab w:val="left" w:pos="432"/>
      </w:tabs>
      <w:spacing w:before="240" w:after="60"/>
      <w:outlineLvl w:val="7"/>
    </w:pPr>
    <w:rPr>
      <w:i/>
      <w:iCs/>
      <w:sz w:val="24"/>
    </w:rPr>
  </w:style>
  <w:style w:type="paragraph" w:styleId="Heading9">
    <w:name w:val="heading 9"/>
    <w:basedOn w:val="Normal"/>
    <w:next w:val="Normal"/>
    <w:qFormat/>
    <w:pPr>
      <w:numPr>
        <w:ilvl w:val="8"/>
        <w:numId w:val="1"/>
      </w:numPr>
      <w:tabs>
        <w:tab w:val="left" w:pos="432"/>
      </w:tabs>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qFormat/>
    <w:rsid w:val="00152A2A"/>
    <w:pPr>
      <w:spacing w:after="240" w:line="240" w:lineRule="auto"/>
      <w:jc w:val="both"/>
    </w:pPr>
    <w:rPr>
      <w:lang w:val="en-GB"/>
    </w:rPr>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paragraph" w:styleId="Caption">
    <w:name w:val="caption"/>
    <w:next w:val="Normal"/>
    <w:link w:val="CaptionChar"/>
    <w:qFormat/>
    <w:pPr>
      <w:keepLines/>
      <w:tabs>
        <w:tab w:val="left" w:pos="0"/>
        <w:tab w:val="center" w:pos="4820"/>
        <w:tab w:val="right" w:pos="9639"/>
      </w:tabs>
      <w:spacing w:before="240" w:after="240"/>
      <w:contextualSpacing/>
      <w:jc w:val="center"/>
    </w:pPr>
    <w:rPr>
      <w:rFonts w:ascii="Arial" w:eastAsia="Times New Roman" w:hAnsi="Arial"/>
      <w:b/>
      <w:bCs/>
      <w:color w:val="D2232A"/>
      <w:lang w:val="da-DK" w:eastAsia="en-US"/>
    </w:rPr>
  </w:style>
  <w:style w:type="paragraph" w:styleId="CommentText">
    <w:name w:val="annotation text"/>
    <w:basedOn w:val="Normal"/>
    <w:link w:val="CommentTextChar"/>
    <w:uiPriority w:val="99"/>
    <w:unhideWhenUsed/>
    <w:qFormat/>
    <w:rPr>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semiHidden/>
    <w:qFormat/>
    <w:pPr>
      <w:tabs>
        <w:tab w:val="center" w:pos="4320"/>
        <w:tab w:val="right" w:pos="8640"/>
      </w:tabs>
    </w:pPr>
  </w:style>
  <w:style w:type="paragraph" w:styleId="FootnoteText">
    <w:name w:val="footnote text"/>
    <w:basedOn w:val="Normal"/>
    <w:link w:val="FootnoteTextChar"/>
    <w:uiPriority w:val="99"/>
    <w:qFormat/>
    <w:rPr>
      <w:szCs w:val="20"/>
    </w:rPr>
  </w:style>
  <w:style w:type="paragraph" w:styleId="Header">
    <w:name w:val="header"/>
    <w:basedOn w:val="Normal"/>
    <w:semiHidden/>
    <w:qFormat/>
    <w:pPr>
      <w:tabs>
        <w:tab w:val="center" w:pos="4320"/>
        <w:tab w:val="right" w:pos="8640"/>
      </w:tabs>
    </w:pPr>
    <w:rPr>
      <w:b/>
      <w:sz w:val="16"/>
    </w:rPr>
  </w:style>
  <w:style w:type="paragraph" w:styleId="TOC1">
    <w:name w:val="toc 1"/>
    <w:basedOn w:val="Normal"/>
    <w:next w:val="Normal"/>
    <w:uiPriority w:val="39"/>
    <w:qFormat/>
    <w:pPr>
      <w:tabs>
        <w:tab w:val="left" w:pos="360"/>
        <w:tab w:val="right" w:leader="dot" w:pos="9629"/>
      </w:tabs>
      <w:spacing w:before="240"/>
    </w:pPr>
    <w:rPr>
      <w:b/>
      <w:caps/>
    </w:rPr>
  </w:style>
  <w:style w:type="paragraph" w:styleId="TOC2">
    <w:name w:val="toc 2"/>
    <w:basedOn w:val="Normal"/>
    <w:next w:val="Normal"/>
    <w:uiPriority w:val="39"/>
    <w:qFormat/>
    <w:pPr>
      <w:tabs>
        <w:tab w:val="left" w:pos="900"/>
        <w:tab w:val="right" w:leader="dot" w:pos="9629"/>
      </w:tabs>
      <w:ind w:left="360"/>
    </w:pPr>
  </w:style>
  <w:style w:type="paragraph" w:styleId="TOC3">
    <w:name w:val="toc 3"/>
    <w:basedOn w:val="Normal"/>
    <w:next w:val="Normal"/>
    <w:uiPriority w:val="39"/>
    <w:qFormat/>
    <w:pPr>
      <w:tabs>
        <w:tab w:val="left" w:pos="1440"/>
        <w:tab w:val="right" w:leader="dot" w:pos="9629"/>
      </w:tabs>
      <w:ind w:left="900"/>
    </w:pPr>
  </w:style>
  <w:style w:type="paragraph" w:styleId="TOC4">
    <w:name w:val="toc 4"/>
    <w:basedOn w:val="Normal"/>
    <w:next w:val="Normal"/>
    <w:uiPriority w:val="39"/>
    <w:qFormat/>
    <w:pPr>
      <w:tabs>
        <w:tab w:val="left" w:pos="2340"/>
        <w:tab w:val="right" w:leader="dot" w:pos="9629"/>
      </w:tabs>
      <w:ind w:left="1440"/>
    </w:pPr>
    <w:rPr>
      <w:i/>
    </w:rPr>
  </w:style>
  <w:style w:type="character" w:styleId="CommentReference">
    <w:name w:val="annotation reference"/>
    <w:basedOn w:val="DefaultParagraphFont"/>
    <w:uiPriority w:val="99"/>
    <w:semiHidden/>
    <w:unhideWhenUsed/>
    <w:qFormat/>
    <w:rPr>
      <w:sz w:val="16"/>
      <w:szCs w:val="16"/>
    </w:rPr>
  </w:style>
  <w:style w:type="character" w:styleId="FootnoteReference">
    <w:name w:val="footnote reference"/>
    <w:basedOn w:val="DefaultParagraphFont"/>
    <w:uiPriority w:val="99"/>
    <w:qFormat/>
    <w:rPr>
      <w:vertAlign w:val="superscript"/>
    </w:rPr>
  </w:style>
  <w:style w:type="character" w:styleId="Hyperlink">
    <w:name w:val="Hyperlink"/>
    <w:basedOn w:val="DefaultParagraphFont"/>
    <w:uiPriority w:val="99"/>
    <w:qFormat/>
    <w:rPr>
      <w:color w:val="0000FF"/>
      <w:u w:val="single"/>
    </w:rPr>
  </w:style>
  <w:style w:type="table" w:styleId="TableGrid">
    <w:name w:val="Table Grid"/>
    <w:basedOn w:val="TableNormal"/>
    <w:semiHidden/>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Annexheading1">
    <w:name w:val="ECC Annex heading1"/>
    <w:basedOn w:val="Heading1"/>
    <w:next w:val="ECCParagraph"/>
    <w:qFormat/>
    <w:pPr>
      <w:numPr>
        <w:numId w:val="2"/>
      </w:numPr>
    </w:pPr>
  </w:style>
  <w:style w:type="paragraph" w:customStyle="1" w:styleId="ECCFiguretitle">
    <w:name w:val="ECC Figure title"/>
    <w:basedOn w:val="ECCParagraph"/>
    <w:next w:val="ECCParagraph"/>
    <w:qFormat/>
    <w:pPr>
      <w:numPr>
        <w:numId w:val="3"/>
      </w:numPr>
      <w:spacing w:before="240" w:after="480"/>
      <w:jc w:val="center"/>
    </w:pPr>
    <w:rPr>
      <w:b/>
      <w:color w:val="D2232A"/>
    </w:rPr>
  </w:style>
  <w:style w:type="paragraph" w:customStyle="1" w:styleId="ECCTabletitle">
    <w:name w:val="ECC Table title"/>
    <w:basedOn w:val="ECCFiguretitle"/>
    <w:next w:val="ECCParagraph"/>
    <w:qFormat/>
    <w:pPr>
      <w:numPr>
        <w:numId w:val="4"/>
      </w:numPr>
      <w:spacing w:before="360" w:after="240"/>
    </w:pPr>
  </w:style>
  <w:style w:type="paragraph" w:customStyle="1" w:styleId="ECCFootnote">
    <w:name w:val="ECC Footnote"/>
    <w:basedOn w:val="Normal"/>
    <w:qFormat/>
    <w:pPr>
      <w:ind w:left="454" w:hanging="454"/>
    </w:pPr>
    <w:rPr>
      <w:sz w:val="16"/>
    </w:rPr>
  </w:style>
  <w:style w:type="paragraph" w:customStyle="1" w:styleId="Text">
    <w:name w:val="Text"/>
    <w:basedOn w:val="Normal"/>
    <w:qFormat/>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qFormat/>
    <w:pPr>
      <w:spacing w:after="0"/>
      <w:ind w:left="284" w:hanging="284"/>
    </w:pPr>
    <w:rPr>
      <w:sz w:val="16"/>
      <w:szCs w:val="16"/>
    </w:rPr>
  </w:style>
  <w:style w:type="paragraph" w:customStyle="1" w:styleId="reference">
    <w:name w:val="reference"/>
    <w:basedOn w:val="Normal"/>
    <w:qFormat/>
    <w:pPr>
      <w:numPr>
        <w:numId w:val="5"/>
      </w:numPr>
    </w:pPr>
    <w:rPr>
      <w:lang w:eastAsia="ja-JP"/>
    </w:rPr>
  </w:style>
  <w:style w:type="paragraph" w:customStyle="1" w:styleId="ECCAnnexheading2">
    <w:name w:val="ECC Annex heading2"/>
    <w:basedOn w:val="Normal"/>
    <w:next w:val="ECCParagraph"/>
    <w:qFormat/>
    <w:pPr>
      <w:numPr>
        <w:ilvl w:val="1"/>
        <w:numId w:val="2"/>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qFormat/>
    <w:pPr>
      <w:numPr>
        <w:ilvl w:val="2"/>
        <w:numId w:val="2"/>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pPr>
      <w:numPr>
        <w:ilvl w:val="3"/>
        <w:numId w:val="2"/>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qFormat/>
    <w:pPr>
      <w:spacing w:before="120" w:after="120"/>
      <w:ind w:left="3402"/>
    </w:pPr>
    <w:rPr>
      <w:bCs/>
      <w:sz w:val="18"/>
    </w:rPr>
  </w:style>
  <w:style w:type="paragraph" w:customStyle="1" w:styleId="Reporttitledescription">
    <w:name w:val="Report title/description"/>
    <w:basedOn w:val="Normal"/>
    <w:qFormat/>
    <w:pPr>
      <w:spacing w:before="600" w:line="288" w:lineRule="auto"/>
      <w:ind w:left="3402"/>
    </w:pPr>
    <w:rPr>
      <w:sz w:val="24"/>
    </w:rPr>
  </w:style>
  <w:style w:type="paragraph" w:customStyle="1" w:styleId="Default">
    <w:name w:val="Default"/>
    <w:pPr>
      <w:autoSpaceDE w:val="0"/>
      <w:autoSpaceDN w:val="0"/>
      <w:adjustRightInd w:val="0"/>
    </w:pPr>
    <w:rPr>
      <w:rFonts w:eastAsia="Times New Roman"/>
      <w:color w:val="000000"/>
      <w:sz w:val="24"/>
      <w:szCs w:val="24"/>
      <w:lang w:val="en-US" w:eastAsia="en-US"/>
    </w:rPr>
  </w:style>
  <w:style w:type="paragraph" w:customStyle="1" w:styleId="ECCNumbered-LetteredList">
    <w:name w:val="ECC Numbered-Lettered List"/>
    <w:basedOn w:val="Normal"/>
    <w:qFormat/>
    <w:pPr>
      <w:numPr>
        <w:numId w:val="6"/>
      </w:numPr>
    </w:pPr>
  </w:style>
  <w:style w:type="paragraph" w:customStyle="1" w:styleId="ECCNumberedBullets">
    <w:name w:val="ECC Numbered Bullets"/>
    <w:basedOn w:val="Normal"/>
    <w:qFormat/>
    <w:pPr>
      <w:numPr>
        <w:numId w:val="7"/>
      </w:numPr>
    </w:pPr>
  </w:style>
  <w:style w:type="character" w:customStyle="1" w:styleId="BalloonTextChar">
    <w:name w:val="Balloon Text Char"/>
    <w:basedOn w:val="DefaultParagraphFont"/>
    <w:link w:val="BalloonText"/>
    <w:uiPriority w:val="99"/>
    <w:semiHidden/>
    <w:qFormat/>
    <w:rPr>
      <w:rFonts w:ascii="Lucida Grande" w:hAnsi="Lucida Grande" w:cs="Lucida Grande"/>
      <w:sz w:val="18"/>
      <w:szCs w:val="18"/>
      <w:lang w:val="en-US"/>
    </w:rPr>
  </w:style>
  <w:style w:type="paragraph" w:customStyle="1" w:styleId="ECCTabletext">
    <w:name w:val="ECC Table text"/>
    <w:basedOn w:val="Normal"/>
    <w:qFormat/>
    <w:pPr>
      <w:spacing w:after="60"/>
      <w:jc w:val="both"/>
    </w:pPr>
    <w:rPr>
      <w:rFonts w:eastAsia="Calibri"/>
      <w:szCs w:val="22"/>
      <w:lang w:val="en-GB"/>
    </w:rPr>
  </w:style>
  <w:style w:type="paragraph" w:customStyle="1" w:styleId="ECCTableHeaderredfont">
    <w:name w:val="ECC Table Header red font"/>
    <w:qFormat/>
    <w:pPr>
      <w:spacing w:before="120" w:after="120"/>
    </w:pPr>
    <w:rPr>
      <w:rFonts w:ascii="Arial" w:eastAsia="Calibri" w:hAnsi="Arial"/>
      <w:bCs/>
      <w:color w:val="D2232A"/>
      <w:lang w:val="en-GB" w:eastAsia="de-DE"/>
    </w:rPr>
  </w:style>
  <w:style w:type="table" w:customStyle="1" w:styleId="ECCTable-clean">
    <w:name w:val="ECC Table - clean"/>
    <w:uiPriority w:val="99"/>
    <w:qFormat/>
    <w:pPr>
      <w:spacing w:before="60"/>
    </w:pPr>
    <w:rPr>
      <w:rFonts w:eastAsia="Calibri"/>
      <w:lang w:val="da-DK" w:eastAsia="da-DK"/>
    </w:rPr>
    <w:tblPr>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paragraph" w:customStyle="1" w:styleId="ECCBulletsLv1">
    <w:name w:val="ECC Bullets Lv1"/>
    <w:basedOn w:val="Normal"/>
    <w:qFormat/>
    <w:pPr>
      <w:numPr>
        <w:numId w:val="8"/>
      </w:numPr>
      <w:tabs>
        <w:tab w:val="left" w:pos="340"/>
      </w:tabs>
      <w:spacing w:after="60"/>
      <w:contextualSpacing/>
      <w:jc w:val="both"/>
    </w:pPr>
    <w:rPr>
      <w:rFonts w:eastAsia="Calibri"/>
      <w:szCs w:val="22"/>
      <w:lang w:val="en-GB"/>
    </w:rPr>
  </w:style>
  <w:style w:type="character" w:customStyle="1" w:styleId="FootnoteTextChar">
    <w:name w:val="Footnote Text Char"/>
    <w:basedOn w:val="DefaultParagraphFont"/>
    <w:link w:val="FootnoteText"/>
    <w:uiPriority w:val="99"/>
    <w:qFormat/>
    <w:rPr>
      <w:rFonts w:ascii="Arial" w:hAnsi="Arial"/>
      <w:lang w:val="en-US"/>
    </w:rPr>
  </w:style>
  <w:style w:type="paragraph" w:customStyle="1" w:styleId="ECCBulletsLv2">
    <w:name w:val="ECC Bullets Lv2"/>
    <w:basedOn w:val="ECCBulletsLv1"/>
    <w:qFormat/>
    <w:rsid w:val="00593210"/>
    <w:pPr>
      <w:numPr>
        <w:numId w:val="0"/>
      </w:numPr>
      <w:tabs>
        <w:tab w:val="left" w:pos="432"/>
        <w:tab w:val="left" w:pos="680"/>
      </w:tabs>
      <w:ind w:left="249"/>
    </w:pPr>
  </w:style>
  <w:style w:type="character" w:customStyle="1" w:styleId="CaptionChar">
    <w:name w:val="Caption Char"/>
    <w:link w:val="Caption"/>
    <w:qFormat/>
    <w:rPr>
      <w:rFonts w:ascii="Arial" w:hAnsi="Arial"/>
      <w:b/>
      <w:bCs/>
      <w:color w:val="D2232A"/>
      <w:lang w:val="da-DK"/>
    </w:rPr>
  </w:style>
  <w:style w:type="character" w:customStyle="1" w:styleId="CommentTextChar">
    <w:name w:val="Comment Text Char"/>
    <w:basedOn w:val="DefaultParagraphFont"/>
    <w:link w:val="CommentText"/>
    <w:uiPriority w:val="99"/>
    <w:qFormat/>
    <w:rPr>
      <w:rFonts w:ascii="Arial" w:hAnsi="Arial"/>
      <w:lang w:val="en-US"/>
    </w:rPr>
  </w:style>
  <w:style w:type="character" w:customStyle="1" w:styleId="CommentSubjectChar">
    <w:name w:val="Comment Subject Char"/>
    <w:basedOn w:val="CommentTextChar"/>
    <w:link w:val="CommentSubject"/>
    <w:uiPriority w:val="99"/>
    <w:semiHidden/>
    <w:qFormat/>
    <w:rPr>
      <w:rFonts w:ascii="Arial" w:hAnsi="Arial"/>
      <w:b/>
      <w:bCs/>
      <w:lang w:val="en-US"/>
    </w:rPr>
  </w:style>
  <w:style w:type="character" w:customStyle="1" w:styleId="ECCHLbold">
    <w:name w:val="ECC HL bold"/>
    <w:uiPriority w:val="1"/>
    <w:qFormat/>
    <w:rPr>
      <w:b/>
    </w:rPr>
  </w:style>
  <w:style w:type="paragraph" w:customStyle="1" w:styleId="ECCReference">
    <w:name w:val="ECC Reference"/>
    <w:basedOn w:val="Normal"/>
    <w:qFormat/>
    <w:pPr>
      <w:tabs>
        <w:tab w:val="left" w:pos="397"/>
      </w:tabs>
      <w:ind w:left="397" w:hanging="397"/>
      <w:jc w:val="both"/>
    </w:pPr>
    <w:rPr>
      <w:rFonts w:eastAsia="Calibri"/>
      <w:szCs w:val="22"/>
      <w:lang w:val="en-GB" w:eastAsia="ja-JP"/>
    </w:rPr>
  </w:style>
  <w:style w:type="paragraph" w:customStyle="1" w:styleId="ECCTableHeaderwhitefont">
    <w:name w:val="ECC Table Header white font"/>
    <w:qFormat/>
    <w:pPr>
      <w:spacing w:before="240" w:after="60"/>
      <w:jc w:val="center"/>
    </w:pPr>
    <w:rPr>
      <w:rFonts w:ascii="Arial" w:eastAsia="Calibri" w:hAnsi="Arial"/>
      <w:bCs/>
      <w:color w:val="FFFFFF" w:themeColor="background1"/>
      <w:lang w:val="en-GB" w:eastAsia="de-DE"/>
    </w:rPr>
  </w:style>
  <w:style w:type="table" w:customStyle="1" w:styleId="ECCTable-redheader">
    <w:name w:val="ECC Table - red header"/>
    <w:uiPriority w:val="99"/>
    <w:qFormat/>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0" w:type="dxa"/>
        <w:left w:w="0" w:type="dxa"/>
        <w:bottom w:w="0" w:type="dxa"/>
        <w:right w:w="0" w:type="dxa"/>
      </w:tblCellMar>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auto"/>
          <w:tl2br w:val="nil"/>
          <w:tr2bl w:val="nil"/>
        </w:tcBorders>
        <w:shd w:val="clear" w:color="auto" w:fill="D22A23"/>
      </w:tcPr>
    </w:tblStylePr>
  </w:style>
  <w:style w:type="table" w:customStyle="1" w:styleId="TableauNormal1">
    <w:name w:val="Tableau Normal1"/>
    <w:semiHidden/>
    <w:rPr>
      <w:rFonts w:ascii="Calibri" w:hAnsi="Calibri" w:cs="Calibri" w:hint="eastAsia"/>
      <w:sz w:val="22"/>
      <w:szCs w:val="22"/>
      <w:lang w:eastAsia="en-US"/>
    </w:rPr>
    <w:tblPr>
      <w:tblCellMar>
        <w:top w:w="0" w:type="dxa"/>
        <w:left w:w="100" w:type="dxa"/>
        <w:bottom w:w="0" w:type="dxa"/>
        <w:right w:w="100" w:type="dxa"/>
      </w:tblCellMar>
    </w:tblPr>
  </w:style>
  <w:style w:type="paragraph" w:customStyle="1" w:styleId="xmsonormal">
    <w:name w:val="x_msonormal"/>
    <w:pPr>
      <w:spacing w:beforeAutospacing="1" w:after="0" w:afterAutospacing="1" w:line="240" w:lineRule="auto"/>
    </w:pPr>
    <w:rPr>
      <w:rFonts w:eastAsia="Times New Roman"/>
      <w:sz w:val="24"/>
      <w:szCs w:val="24"/>
      <w:lang w:val="en-US" w:eastAsia="zh-CN"/>
    </w:rPr>
  </w:style>
  <w:style w:type="paragraph" w:styleId="ListParagraph">
    <w:name w:val="List Paragraph"/>
    <w:basedOn w:val="Normal"/>
    <w:uiPriority w:val="1"/>
    <w:unhideWhenUsed/>
    <w:qFormat/>
    <w:rsid w:val="007355DE"/>
    <w:pPr>
      <w:ind w:left="720"/>
      <w:contextualSpacing/>
    </w:pPr>
  </w:style>
  <w:style w:type="paragraph" w:customStyle="1" w:styleId="ECCFiguregraphcentered">
    <w:name w:val="ECC Figure/graph centered"/>
    <w:basedOn w:val="Normal"/>
    <w:next w:val="Normal"/>
    <w:rsid w:val="00247F98"/>
    <w:pPr>
      <w:spacing w:before="100" w:beforeAutospacing="1" w:after="100" w:afterAutospacing="1" w:line="273" w:lineRule="auto"/>
      <w:jc w:val="center"/>
    </w:pPr>
    <w:rPr>
      <w:sz w:val="24"/>
      <w:lang w:val="fr-FR" w:eastAsia="fr-FR"/>
    </w:rPr>
  </w:style>
  <w:style w:type="paragraph" w:customStyle="1" w:styleId="Lgende1">
    <w:name w:val="Légende1"/>
    <w:basedOn w:val="Normal"/>
    <w:next w:val="Normal"/>
    <w:rsid w:val="00247F98"/>
    <w:pPr>
      <w:keepLines/>
      <w:widowControl w:val="0"/>
      <w:spacing w:before="100" w:beforeAutospacing="1" w:after="100" w:afterAutospacing="1" w:line="273" w:lineRule="auto"/>
      <w:contextualSpacing/>
      <w:jc w:val="center"/>
    </w:pPr>
    <w:rPr>
      <w:b/>
      <w:bCs/>
      <w:color w:val="D2232A"/>
      <w:sz w:val="24"/>
      <w:lang w:val="fr-FR" w:eastAsia="fr-FR"/>
    </w:rPr>
  </w:style>
  <w:style w:type="paragraph" w:styleId="Revision">
    <w:name w:val="Revision"/>
    <w:hidden/>
    <w:uiPriority w:val="99"/>
    <w:semiHidden/>
    <w:rsid w:val="001815E1"/>
    <w:pPr>
      <w:spacing w:after="0" w:line="240" w:lineRule="auto"/>
    </w:pPr>
    <w:rPr>
      <w:rFonts w:ascii="Arial" w:eastAsia="Times New Roman" w:hAnsi="Arial"/>
      <w:szCs w:val="24"/>
      <w:lang w:val="en-US" w:eastAsia="en-US"/>
    </w:rPr>
  </w:style>
  <w:style w:type="paragraph" w:styleId="BodyText">
    <w:name w:val="Body Text"/>
    <w:basedOn w:val="Normal"/>
    <w:link w:val="BodyTextChar"/>
    <w:uiPriority w:val="1"/>
    <w:qFormat/>
    <w:rsid w:val="001815E1"/>
    <w:pPr>
      <w:widowControl w:val="0"/>
      <w:autoSpaceDE w:val="0"/>
      <w:autoSpaceDN w:val="0"/>
      <w:spacing w:after="0" w:line="240" w:lineRule="auto"/>
    </w:pPr>
    <w:rPr>
      <w:rFonts w:ascii="Times New Roman" w:hAnsi="Times New Roman"/>
      <w:sz w:val="24"/>
      <w:lang w:val="en-GB" w:eastAsia="en-GB" w:bidi="en-GB"/>
    </w:rPr>
  </w:style>
  <w:style w:type="character" w:customStyle="1" w:styleId="BodyTextChar">
    <w:name w:val="Body Text Char"/>
    <w:basedOn w:val="DefaultParagraphFont"/>
    <w:link w:val="BodyText"/>
    <w:uiPriority w:val="1"/>
    <w:rsid w:val="001815E1"/>
    <w:rPr>
      <w:rFonts w:eastAsia="Times New Roman"/>
      <w:sz w:val="24"/>
      <w:szCs w:val="24"/>
      <w:lang w:val="en-GB" w:eastAsia="en-GB" w:bidi="en-GB"/>
    </w:rPr>
  </w:style>
  <w:style w:type="paragraph" w:customStyle="1" w:styleId="TableParagraph">
    <w:name w:val="Table Paragraph"/>
    <w:basedOn w:val="Normal"/>
    <w:uiPriority w:val="1"/>
    <w:qFormat/>
    <w:rsid w:val="001815E1"/>
    <w:pPr>
      <w:widowControl w:val="0"/>
      <w:autoSpaceDE w:val="0"/>
      <w:autoSpaceDN w:val="0"/>
      <w:spacing w:after="0" w:line="240" w:lineRule="auto"/>
      <w:ind w:left="107"/>
    </w:pPr>
    <w:rPr>
      <w:rFonts w:ascii="Times New Roman" w:hAnsi="Times New Roman"/>
      <w:sz w:val="22"/>
      <w:szCs w:val="22"/>
      <w:lang w:val="en-GB" w:eastAsia="en-GB" w:bidi="en-GB"/>
    </w:rPr>
  </w:style>
  <w:style w:type="character" w:customStyle="1" w:styleId="Heading1Char">
    <w:name w:val="Heading 1 Char"/>
    <w:basedOn w:val="DefaultParagraphFont"/>
    <w:link w:val="Heading1"/>
    <w:rsid w:val="00F821A3"/>
    <w:rPr>
      <w:rFonts w:ascii="Arial" w:eastAsia="Times New Roman" w:hAnsi="Arial" w:cs="Arial"/>
      <w:b/>
      <w:bCs/>
      <w:caps/>
      <w:color w:val="D2232A"/>
      <w:kern w:val="32"/>
      <w:szCs w:val="32"/>
      <w:lang w:val="en-GB" w:eastAsia="en-US"/>
    </w:rPr>
  </w:style>
  <w:style w:type="character" w:customStyle="1" w:styleId="Heading2Char">
    <w:name w:val="Heading 2 Char"/>
    <w:basedOn w:val="DefaultParagraphFont"/>
    <w:link w:val="Heading2"/>
    <w:rsid w:val="00F821A3"/>
    <w:rPr>
      <w:rFonts w:ascii="Arial" w:eastAsia="Times New Roman" w:hAnsi="Arial" w:cs="Arial"/>
      <w:b/>
      <w:bCs/>
      <w:iCs/>
      <w:caps/>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6956034">
      <w:bodyDiv w:val="1"/>
      <w:marLeft w:val="0"/>
      <w:marRight w:val="0"/>
      <w:marTop w:val="0"/>
      <w:marBottom w:val="0"/>
      <w:divBdr>
        <w:top w:val="none" w:sz="0" w:space="0" w:color="auto"/>
        <w:left w:val="none" w:sz="0" w:space="0" w:color="auto"/>
        <w:bottom w:val="none" w:sz="0" w:space="0" w:color="auto"/>
        <w:right w:val="none" w:sz="0" w:space="0" w:color="auto"/>
      </w:divBdr>
    </w:div>
    <w:div w:id="584724735">
      <w:bodyDiv w:val="1"/>
      <w:marLeft w:val="0"/>
      <w:marRight w:val="0"/>
      <w:marTop w:val="0"/>
      <w:marBottom w:val="0"/>
      <w:divBdr>
        <w:top w:val="none" w:sz="0" w:space="0" w:color="auto"/>
        <w:left w:val="none" w:sz="0" w:space="0" w:color="auto"/>
        <w:bottom w:val="none" w:sz="0" w:space="0" w:color="auto"/>
        <w:right w:val="none" w:sz="0" w:space="0" w:color="auto"/>
      </w:divBdr>
    </w:div>
    <w:div w:id="728916817">
      <w:bodyDiv w:val="1"/>
      <w:marLeft w:val="0"/>
      <w:marRight w:val="0"/>
      <w:marTop w:val="0"/>
      <w:marBottom w:val="0"/>
      <w:divBdr>
        <w:top w:val="none" w:sz="0" w:space="0" w:color="auto"/>
        <w:left w:val="none" w:sz="0" w:space="0" w:color="auto"/>
        <w:bottom w:val="none" w:sz="0" w:space="0" w:color="auto"/>
        <w:right w:val="none" w:sz="0" w:space="0" w:color="auto"/>
      </w:divBdr>
    </w:div>
    <w:div w:id="731732897">
      <w:bodyDiv w:val="1"/>
      <w:marLeft w:val="0"/>
      <w:marRight w:val="0"/>
      <w:marTop w:val="0"/>
      <w:marBottom w:val="0"/>
      <w:divBdr>
        <w:top w:val="none" w:sz="0" w:space="0" w:color="auto"/>
        <w:left w:val="none" w:sz="0" w:space="0" w:color="auto"/>
        <w:bottom w:val="none" w:sz="0" w:space="0" w:color="auto"/>
        <w:right w:val="none" w:sz="0" w:space="0" w:color="auto"/>
      </w:divBdr>
    </w:div>
    <w:div w:id="954410801">
      <w:bodyDiv w:val="1"/>
      <w:marLeft w:val="0"/>
      <w:marRight w:val="0"/>
      <w:marTop w:val="0"/>
      <w:marBottom w:val="0"/>
      <w:divBdr>
        <w:top w:val="none" w:sz="0" w:space="0" w:color="auto"/>
        <w:left w:val="none" w:sz="0" w:space="0" w:color="auto"/>
        <w:bottom w:val="none" w:sz="0" w:space="0" w:color="auto"/>
        <w:right w:val="none" w:sz="0" w:space="0" w:color="auto"/>
      </w:divBdr>
    </w:div>
    <w:div w:id="1165171121">
      <w:bodyDiv w:val="1"/>
      <w:marLeft w:val="0"/>
      <w:marRight w:val="0"/>
      <w:marTop w:val="0"/>
      <w:marBottom w:val="0"/>
      <w:divBdr>
        <w:top w:val="none" w:sz="0" w:space="0" w:color="auto"/>
        <w:left w:val="none" w:sz="0" w:space="0" w:color="auto"/>
        <w:bottom w:val="none" w:sz="0" w:space="0" w:color="auto"/>
        <w:right w:val="none" w:sz="0" w:space="0" w:color="auto"/>
      </w:divBdr>
    </w:div>
    <w:div w:id="1301812605">
      <w:bodyDiv w:val="1"/>
      <w:marLeft w:val="0"/>
      <w:marRight w:val="0"/>
      <w:marTop w:val="0"/>
      <w:marBottom w:val="0"/>
      <w:divBdr>
        <w:top w:val="none" w:sz="0" w:space="0" w:color="auto"/>
        <w:left w:val="none" w:sz="0" w:space="0" w:color="auto"/>
        <w:bottom w:val="none" w:sz="0" w:space="0" w:color="auto"/>
        <w:right w:val="none" w:sz="0" w:space="0" w:color="auto"/>
      </w:divBdr>
    </w:div>
    <w:div w:id="1512796730">
      <w:bodyDiv w:val="1"/>
      <w:marLeft w:val="0"/>
      <w:marRight w:val="0"/>
      <w:marTop w:val="0"/>
      <w:marBottom w:val="0"/>
      <w:divBdr>
        <w:top w:val="none" w:sz="0" w:space="0" w:color="auto"/>
        <w:left w:val="none" w:sz="0" w:space="0" w:color="auto"/>
        <w:bottom w:val="none" w:sz="0" w:space="0" w:color="auto"/>
        <w:right w:val="none" w:sz="0" w:space="0" w:color="auto"/>
      </w:divBdr>
    </w:div>
    <w:div w:id="1575506106">
      <w:bodyDiv w:val="1"/>
      <w:marLeft w:val="0"/>
      <w:marRight w:val="0"/>
      <w:marTop w:val="0"/>
      <w:marBottom w:val="0"/>
      <w:divBdr>
        <w:top w:val="none" w:sz="0" w:space="0" w:color="auto"/>
        <w:left w:val="none" w:sz="0" w:space="0" w:color="auto"/>
        <w:bottom w:val="none" w:sz="0" w:space="0" w:color="auto"/>
        <w:right w:val="none" w:sz="0" w:space="0" w:color="auto"/>
      </w:divBdr>
    </w:div>
    <w:div w:id="1718815583">
      <w:bodyDiv w:val="1"/>
      <w:marLeft w:val="0"/>
      <w:marRight w:val="0"/>
      <w:marTop w:val="0"/>
      <w:marBottom w:val="0"/>
      <w:divBdr>
        <w:top w:val="none" w:sz="0" w:space="0" w:color="auto"/>
        <w:left w:val="none" w:sz="0" w:space="0" w:color="auto"/>
        <w:bottom w:val="none" w:sz="0" w:space="0" w:color="auto"/>
        <w:right w:val="none" w:sz="0" w:space="0" w:color="auto"/>
      </w:divBdr>
    </w:div>
    <w:div w:id="1780292686">
      <w:bodyDiv w:val="1"/>
      <w:marLeft w:val="0"/>
      <w:marRight w:val="0"/>
      <w:marTop w:val="0"/>
      <w:marBottom w:val="0"/>
      <w:divBdr>
        <w:top w:val="none" w:sz="0" w:space="0" w:color="auto"/>
        <w:left w:val="none" w:sz="0" w:space="0" w:color="auto"/>
        <w:bottom w:val="none" w:sz="0" w:space="0" w:color="auto"/>
        <w:right w:val="none" w:sz="0" w:space="0" w:color="auto"/>
      </w:divBdr>
    </w:div>
    <w:div w:id="2060199337">
      <w:bodyDiv w:val="1"/>
      <w:marLeft w:val="0"/>
      <w:marRight w:val="0"/>
      <w:marTop w:val="0"/>
      <w:marBottom w:val="0"/>
      <w:divBdr>
        <w:top w:val="none" w:sz="0" w:space="0" w:color="auto"/>
        <w:left w:val="none" w:sz="0" w:space="0" w:color="auto"/>
        <w:bottom w:val="none" w:sz="0" w:space="0" w:color="auto"/>
        <w:right w:val="none" w:sz="0" w:space="0" w:color="auto"/>
      </w:divBdr>
    </w:div>
    <w:div w:id="21363693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yperlink" Target="https://uic.org/IMG/pdf/fu-7100-3.0.0.pdf" TargetMode="Externa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mailto:infso-rsc@cec.eu.in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4.xml"/><Relationship Id="rId29" Type="http://schemas.openxmlformats.org/officeDocument/2006/relationships/hyperlink" Target="http://eur-lex.europa.eu/legal-content/EN/TXT/PDF/?uri=CELEX%3A01999D0569-19990729&amp;qid=1519396120758&amp;from=EN"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8.png"/><Relationship Id="rId28" Type="http://schemas.openxmlformats.org/officeDocument/2006/relationships/hyperlink" Target="http://eur-lex.europa.eu/legal-content/EN/TXT/PDF/?uri=CELEX%3A01999D0569-19990729&amp;qid=1519396120758&amp;from=EN" TargetMode="Externa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yperlink" Target="https://circabc.europa.eu/sd/a/b30590d7-5190-480b-b1d1-def24719e061/RSPG17-008-Final_opinion_ITS.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hyperlink" Target="http://www.era.europa.eu/Core-Activities/ERTMS/Pages/Current-Legal-Reference.aspx" TargetMode="External"/><Relationship Id="rId30" Type="http://schemas.openxmlformats.org/officeDocument/2006/relationships/hyperlink" Target="https://circabc.europa.eu/sd/a/b30590d7-5190-480b-b1d1-def24719e061/RSPG17-008-Final_opinion_ITS.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era.europa.eu/sites/default/files/library/docs/ex_post_evaluation/era_rep_150_ertms_longer_term_perspective_report_en.pd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573436D761B4095AC662A111489A0" ma:contentTypeVersion="13" ma:contentTypeDescription="Create a new document." ma:contentTypeScope="" ma:versionID="681117ffb2268100557be0d95ee55035">
  <xsd:schema xmlns:xsd="http://www.w3.org/2001/XMLSchema" xmlns:xs="http://www.w3.org/2001/XMLSchema" xmlns:p="http://schemas.microsoft.com/office/2006/metadata/properties" xmlns:ns3="ed1405a1-578d-47ad-a272-5ed16773c14e" xmlns:ns4="3280b507-aca7-44bc-9d35-909c802bb4fe" targetNamespace="http://schemas.microsoft.com/office/2006/metadata/properties" ma:root="true" ma:fieldsID="439b3f22f5bd07008049a0c3e2df0f9e" ns3:_="" ns4:_="">
    <xsd:import namespace="ed1405a1-578d-47ad-a272-5ed16773c14e"/>
    <xsd:import namespace="3280b507-aca7-44bc-9d35-909c802bb4f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1405a1-578d-47ad-a272-5ed16773c14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80b507-aca7-44bc-9d35-909c802bb4f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1BCEF-8BF1-4A92-9964-6281805D80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1405a1-578d-47ad-a272-5ed16773c14e"/>
    <ds:schemaRef ds:uri="3280b507-aca7-44bc-9d35-909c802bb4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6E8F3E4F-34CB-400C-B0D1-9695F28B4F08}">
  <ds:schemaRefs>
    <ds:schemaRef ds:uri="http://purl.org/dc/elements/1.1/"/>
    <ds:schemaRef ds:uri="http://schemas.openxmlformats.org/package/2006/metadata/core-properties"/>
    <ds:schemaRef ds:uri="http://schemas.microsoft.com/office/2006/metadata/properties"/>
    <ds:schemaRef ds:uri="http://schemas.microsoft.com/office/infopath/2007/PartnerControls"/>
    <ds:schemaRef ds:uri="http://purl.org/dc/terms/"/>
    <ds:schemaRef ds:uri="http://schemas.microsoft.com/office/2006/documentManagement/types"/>
    <ds:schemaRef ds:uri="3280b507-aca7-44bc-9d35-909c802bb4fe"/>
    <ds:schemaRef ds:uri="ed1405a1-578d-47ad-a272-5ed16773c14e"/>
    <ds:schemaRef ds:uri="http://www.w3.org/XML/1998/namespace"/>
    <ds:schemaRef ds:uri="http://purl.org/dc/dcmitype/"/>
  </ds:schemaRefs>
</ds:datastoreItem>
</file>

<file path=customXml/itemProps4.xml><?xml version="1.0" encoding="utf-8"?>
<ds:datastoreItem xmlns:ds="http://schemas.openxmlformats.org/officeDocument/2006/customXml" ds:itemID="{DB6A7DCA-0E38-4317-9729-C621C643D638}">
  <ds:schemaRefs>
    <ds:schemaRef ds:uri="http://schemas.microsoft.com/sharepoint/v3/contenttype/forms"/>
  </ds:schemaRefs>
</ds:datastoreItem>
</file>

<file path=customXml/itemProps5.xml><?xml version="1.0" encoding="utf-8"?>
<ds:datastoreItem xmlns:ds="http://schemas.openxmlformats.org/officeDocument/2006/customXml" ds:itemID="{72FAD8E1-2AA8-4E08-BF13-84980A4FB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20816</Words>
  <Characters>106581</Characters>
  <Application>Microsoft Office Word</Application>
  <DocSecurity>0</DocSecurity>
  <Lines>3045</Lines>
  <Paragraphs>2196</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Draft CEPT Report A</vt:lpstr>
      <vt:lpstr>Draft CEPT Report A</vt:lpstr>
      <vt:lpstr>Draft CEPT Report A</vt:lpstr>
    </vt:vector>
  </TitlesOfParts>
  <Company>WGFM#95</Company>
  <LinksUpToDate>false</LinksUpToDate>
  <CharactersWithSpaces>125201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CEPT Report 74</dc:title>
  <dc:creator>ECC Secretary</dc:creator>
  <cp:keywords>EC Mandate</cp:keywords>
  <dc:description>FRMCS</dc:description>
  <cp:lastModifiedBy>ECO</cp:lastModifiedBy>
  <cp:revision>4</cp:revision>
  <dcterms:created xsi:type="dcterms:W3CDTF">2020-07-14T11:57:00Z</dcterms:created>
  <dcterms:modified xsi:type="dcterms:W3CDTF">2020-07-22T07:09:00Z</dcterms:modified>
  <cp:contentStatus>Input to ECC#52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0x01010062D573436D761B4095AC662A111489A0</vt:lpwstr>
  </property>
</Properties>
</file>